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831" w:rsidRDefault="00885DBC" w:rsidP="00361F53">
      <w:pPr>
        <w:jc w:val="center"/>
        <w:rPr>
          <w:b/>
          <w:bCs/>
          <w:color w:val="000000"/>
        </w:rPr>
      </w:pPr>
      <w:r>
        <w:rPr>
          <w:b/>
          <w:bCs/>
          <w:color w:val="000000"/>
        </w:rPr>
        <w:t>Data Collection for Evaluation of Education, Communication, and Training Activities</w:t>
      </w:r>
      <w:r w:rsidR="00BB0CAC">
        <w:rPr>
          <w:b/>
          <w:bCs/>
          <w:color w:val="000000"/>
        </w:rPr>
        <w:t xml:space="preserve"> for the Division of Global Migration and Quarantine</w:t>
      </w:r>
    </w:p>
    <w:p w:rsidR="00885DBC" w:rsidRDefault="00885DBC" w:rsidP="00361F53">
      <w:pPr>
        <w:spacing w:after="200"/>
        <w:rPr>
          <w:b/>
          <w:bCs/>
          <w:color w:val="000000"/>
        </w:rPr>
      </w:pPr>
    </w:p>
    <w:p w:rsidR="00885DBC" w:rsidRDefault="00885DBC" w:rsidP="00361F53">
      <w:pPr>
        <w:jc w:val="center"/>
        <w:rPr>
          <w:b/>
        </w:rPr>
      </w:pPr>
      <w:r>
        <w:rPr>
          <w:b/>
        </w:rPr>
        <w:t>Request for OMB Approval of a “Generic Clearance” Data Collection</w:t>
      </w:r>
    </w:p>
    <w:p w:rsidR="00C54B8D" w:rsidRDefault="00C54B8D" w:rsidP="00361F53">
      <w:pPr>
        <w:jc w:val="center"/>
        <w:rPr>
          <w:b/>
        </w:rPr>
      </w:pPr>
    </w:p>
    <w:p w:rsidR="00C54B8D" w:rsidRDefault="00534B2A" w:rsidP="00361F53">
      <w:pPr>
        <w:jc w:val="center"/>
        <w:rPr>
          <w:b/>
        </w:rPr>
      </w:pPr>
      <w:r>
        <w:rPr>
          <w:b/>
        </w:rPr>
        <w:t>March 15, 2012</w:t>
      </w:r>
      <w:bookmarkStart w:id="0" w:name="_GoBack"/>
      <w:bookmarkEnd w:id="0"/>
    </w:p>
    <w:p w:rsidR="00960A53" w:rsidRDefault="00960A53" w:rsidP="00361F53">
      <w:pPr>
        <w:jc w:val="center"/>
        <w:rPr>
          <w:b/>
        </w:rPr>
      </w:pPr>
    </w:p>
    <w:p w:rsidR="00960A53" w:rsidRDefault="00960A53" w:rsidP="00361F53">
      <w:pPr>
        <w:jc w:val="center"/>
        <w:rPr>
          <w:b/>
        </w:rPr>
      </w:pPr>
      <w:r>
        <w:rPr>
          <w:b/>
        </w:rPr>
        <w:t>Statement A</w:t>
      </w: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Pr="008C27C2" w:rsidRDefault="00885DBC" w:rsidP="008C27C2">
      <w:pPr>
        <w:rPr>
          <w:b/>
        </w:rPr>
      </w:pPr>
      <w:bookmarkStart w:id="1" w:name="_Toc295817038"/>
      <w:bookmarkStart w:id="2" w:name="_Toc295817572"/>
      <w:bookmarkStart w:id="3" w:name="_Toc295818053"/>
      <w:bookmarkStart w:id="4" w:name="_Toc295819826"/>
      <w:r w:rsidRPr="008C27C2">
        <w:rPr>
          <w:b/>
        </w:rPr>
        <w:t>Contact:</w:t>
      </w:r>
      <w:bookmarkEnd w:id="1"/>
      <w:bookmarkEnd w:id="2"/>
      <w:bookmarkEnd w:id="3"/>
      <w:bookmarkEnd w:id="4"/>
    </w:p>
    <w:p w:rsidR="00885DBC" w:rsidRPr="008C27C2" w:rsidRDefault="00885DBC" w:rsidP="008C27C2">
      <w:pPr>
        <w:rPr>
          <w:b/>
        </w:rPr>
      </w:pPr>
      <w:bookmarkStart w:id="5" w:name="_Toc295817039"/>
      <w:bookmarkStart w:id="6" w:name="_Toc295817573"/>
      <w:bookmarkStart w:id="7" w:name="_Toc295818054"/>
      <w:bookmarkStart w:id="8" w:name="_Toc295819827"/>
      <w:r w:rsidRPr="008C27C2">
        <w:rPr>
          <w:b/>
        </w:rPr>
        <w:t>Paulette Ford-Knights</w:t>
      </w:r>
      <w:bookmarkEnd w:id="5"/>
      <w:bookmarkEnd w:id="6"/>
      <w:bookmarkEnd w:id="7"/>
      <w:bookmarkEnd w:id="8"/>
    </w:p>
    <w:p w:rsidR="00885DBC" w:rsidRPr="008C27C2" w:rsidRDefault="00885DBC" w:rsidP="008C27C2">
      <w:pPr>
        <w:rPr>
          <w:b/>
        </w:rPr>
      </w:pPr>
      <w:bookmarkStart w:id="9" w:name="_Toc295817040"/>
      <w:bookmarkStart w:id="10" w:name="_Toc295817574"/>
      <w:bookmarkStart w:id="11" w:name="_Toc295818055"/>
      <w:bookmarkStart w:id="12" w:name="_Toc295819828"/>
      <w:r w:rsidRPr="008C27C2">
        <w:rPr>
          <w:b/>
        </w:rPr>
        <w:t>Office of Policy and Planning</w:t>
      </w:r>
      <w:bookmarkEnd w:id="9"/>
      <w:bookmarkEnd w:id="10"/>
      <w:bookmarkEnd w:id="11"/>
      <w:bookmarkEnd w:id="12"/>
    </w:p>
    <w:p w:rsidR="00885DBC" w:rsidRPr="008C27C2" w:rsidRDefault="00885DBC" w:rsidP="008C27C2">
      <w:pPr>
        <w:rPr>
          <w:b/>
        </w:rPr>
      </w:pPr>
      <w:bookmarkStart w:id="13" w:name="_Toc295817041"/>
      <w:bookmarkStart w:id="14" w:name="_Toc295817575"/>
      <w:bookmarkStart w:id="15" w:name="_Toc295818056"/>
      <w:bookmarkStart w:id="16" w:name="_Toc295819829"/>
      <w:r w:rsidRPr="008C27C2">
        <w:rPr>
          <w:b/>
        </w:rPr>
        <w:t>National Center for Emerging and Zoonotic Infectious Diseases</w:t>
      </w:r>
      <w:bookmarkEnd w:id="13"/>
      <w:bookmarkEnd w:id="14"/>
      <w:bookmarkEnd w:id="15"/>
      <w:bookmarkEnd w:id="16"/>
    </w:p>
    <w:p w:rsidR="00885DBC" w:rsidRPr="008C27C2" w:rsidRDefault="00885DBC" w:rsidP="008C27C2">
      <w:pPr>
        <w:rPr>
          <w:b/>
        </w:rPr>
      </w:pPr>
      <w:bookmarkStart w:id="17" w:name="_Toc295817042"/>
      <w:bookmarkStart w:id="18" w:name="_Toc295817576"/>
      <w:bookmarkStart w:id="19" w:name="_Toc295818057"/>
      <w:bookmarkStart w:id="20" w:name="_Toc295819830"/>
      <w:r w:rsidRPr="008C27C2">
        <w:rPr>
          <w:b/>
        </w:rPr>
        <w:t>Centers for Disease Control and Prevention</w:t>
      </w:r>
      <w:bookmarkEnd w:id="17"/>
      <w:bookmarkEnd w:id="18"/>
      <w:bookmarkEnd w:id="19"/>
      <w:bookmarkEnd w:id="20"/>
    </w:p>
    <w:p w:rsidR="00885DBC" w:rsidRPr="008C27C2" w:rsidRDefault="00885DBC" w:rsidP="008C27C2">
      <w:pPr>
        <w:rPr>
          <w:b/>
        </w:rPr>
      </w:pPr>
      <w:bookmarkStart w:id="21" w:name="_Toc295817043"/>
      <w:bookmarkStart w:id="22" w:name="_Toc295817577"/>
      <w:bookmarkStart w:id="23" w:name="_Toc295818058"/>
      <w:bookmarkStart w:id="24" w:name="_Toc295819831"/>
      <w:r w:rsidRPr="008C27C2">
        <w:rPr>
          <w:b/>
        </w:rPr>
        <w:t>1600 Clifton Road, N.E., MS D76</w:t>
      </w:r>
      <w:bookmarkEnd w:id="21"/>
      <w:bookmarkEnd w:id="22"/>
      <w:bookmarkEnd w:id="23"/>
      <w:bookmarkEnd w:id="24"/>
    </w:p>
    <w:p w:rsidR="00885DBC" w:rsidRPr="008C27C2" w:rsidRDefault="00885DBC" w:rsidP="008C27C2">
      <w:pPr>
        <w:rPr>
          <w:b/>
        </w:rPr>
      </w:pPr>
      <w:bookmarkStart w:id="25" w:name="_Toc295817044"/>
      <w:bookmarkStart w:id="26" w:name="_Toc295817578"/>
      <w:bookmarkStart w:id="27" w:name="_Toc295818059"/>
      <w:bookmarkStart w:id="28" w:name="_Toc295819832"/>
      <w:r w:rsidRPr="008C27C2">
        <w:rPr>
          <w:b/>
        </w:rPr>
        <w:t>Atlanta, Georgia 30333</w:t>
      </w:r>
      <w:bookmarkEnd w:id="25"/>
      <w:bookmarkEnd w:id="26"/>
      <w:bookmarkEnd w:id="27"/>
      <w:bookmarkEnd w:id="28"/>
    </w:p>
    <w:p w:rsidR="00885DBC" w:rsidRPr="008C27C2" w:rsidRDefault="00885DBC" w:rsidP="008C27C2">
      <w:pPr>
        <w:rPr>
          <w:b/>
        </w:rPr>
      </w:pPr>
      <w:bookmarkStart w:id="29" w:name="_Toc295817045"/>
      <w:bookmarkStart w:id="30" w:name="_Toc295817579"/>
      <w:bookmarkStart w:id="31" w:name="_Toc295818060"/>
      <w:bookmarkStart w:id="32" w:name="_Toc295819833"/>
      <w:r w:rsidRPr="008C27C2">
        <w:rPr>
          <w:b/>
        </w:rPr>
        <w:t>Phone: (404) 639-4895</w:t>
      </w:r>
      <w:bookmarkEnd w:id="29"/>
      <w:bookmarkEnd w:id="30"/>
      <w:bookmarkEnd w:id="31"/>
      <w:bookmarkEnd w:id="32"/>
    </w:p>
    <w:p w:rsidR="00885DBC" w:rsidRPr="008C27C2" w:rsidRDefault="00885DBC" w:rsidP="008C27C2">
      <w:pPr>
        <w:rPr>
          <w:b/>
        </w:rPr>
      </w:pPr>
      <w:r w:rsidRPr="008C27C2">
        <w:rPr>
          <w:b/>
        </w:rPr>
        <w:t>Fax: (404) 248-4146</w:t>
      </w:r>
    </w:p>
    <w:p w:rsidR="00885DBC" w:rsidRPr="008C27C2" w:rsidRDefault="00885DBC" w:rsidP="008C27C2">
      <w:pPr>
        <w:rPr>
          <w:b/>
        </w:rPr>
      </w:pPr>
      <w:bookmarkStart w:id="33" w:name="_Toc295817046"/>
      <w:bookmarkStart w:id="34" w:name="_Toc295817580"/>
      <w:bookmarkStart w:id="35" w:name="_Toc295818061"/>
      <w:bookmarkStart w:id="36" w:name="_Toc295819834"/>
      <w:r w:rsidRPr="008C27C2">
        <w:rPr>
          <w:b/>
        </w:rPr>
        <w:t>Email: pbf7@cdc.gov</w:t>
      </w:r>
      <w:bookmarkEnd w:id="33"/>
      <w:bookmarkEnd w:id="34"/>
      <w:bookmarkEnd w:id="35"/>
      <w:bookmarkEnd w:id="36"/>
    </w:p>
    <w:p w:rsidR="00885DBC" w:rsidRDefault="00885DBC" w:rsidP="00361F53">
      <w:pPr>
        <w:spacing w:after="200"/>
        <w:rPr>
          <w:b/>
          <w:bCs/>
          <w:color w:val="000000"/>
        </w:rPr>
      </w:pPr>
      <w:r>
        <w:rPr>
          <w:b/>
          <w:bCs/>
          <w:color w:val="000000"/>
        </w:rPr>
        <w:br w:type="page"/>
      </w: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EndPr/>
      <w:sdtContent>
        <w:p w:rsidR="00275B13" w:rsidRDefault="00275B13">
          <w:pPr>
            <w:pStyle w:val="TOCHeading"/>
          </w:pPr>
          <w:r>
            <w:t>Contents</w:t>
          </w:r>
        </w:p>
        <w:p w:rsidR="00275B13" w:rsidRDefault="002D1791">
          <w:pPr>
            <w:pStyle w:val="TOC1"/>
            <w:rPr>
              <w:rFonts w:asciiTheme="minorHAnsi" w:eastAsiaTheme="minorEastAsia" w:hAnsiTheme="minorHAnsi" w:cstheme="minorBidi"/>
              <w:noProof/>
              <w:sz w:val="22"/>
              <w:szCs w:val="22"/>
            </w:rPr>
          </w:pPr>
          <w:r>
            <w:fldChar w:fldCharType="begin"/>
          </w:r>
          <w:r w:rsidR="00275B13">
            <w:instrText xml:space="preserve"> TOC \o "1-3" \h \z \u </w:instrText>
          </w:r>
          <w:r>
            <w:fldChar w:fldCharType="separate"/>
          </w:r>
          <w:hyperlink w:anchor="_Toc299967992" w:history="1">
            <w:r w:rsidR="00275B13" w:rsidRPr="001D77ED">
              <w:rPr>
                <w:rStyle w:val="Hyperlink"/>
                <w:b/>
                <w:noProof/>
              </w:rPr>
              <w:t>PART A. JUSTIFICATION</w:t>
            </w:r>
            <w:r w:rsidR="00275B13">
              <w:rPr>
                <w:noProof/>
                <w:webHidden/>
              </w:rPr>
              <w:tab/>
            </w:r>
            <w:r>
              <w:rPr>
                <w:noProof/>
                <w:webHidden/>
              </w:rPr>
              <w:fldChar w:fldCharType="begin"/>
            </w:r>
            <w:r w:rsidR="00275B13">
              <w:rPr>
                <w:noProof/>
                <w:webHidden/>
              </w:rPr>
              <w:instrText xml:space="preserve"> PAGEREF _Toc299967992 \h </w:instrText>
            </w:r>
            <w:r>
              <w:rPr>
                <w:noProof/>
                <w:webHidden/>
              </w:rPr>
            </w:r>
            <w:r>
              <w:rPr>
                <w:noProof/>
                <w:webHidden/>
              </w:rPr>
              <w:fldChar w:fldCharType="separate"/>
            </w:r>
            <w:r w:rsidR="00D3611F">
              <w:rPr>
                <w:noProof/>
                <w:webHidden/>
              </w:rPr>
              <w:t>3</w:t>
            </w:r>
            <w:r>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Pr>
              <w:noProof/>
            </w:rPr>
            <w:tab/>
          </w:r>
          <w:hyperlink w:anchor="_Toc299967993" w:history="1">
            <w:r w:rsidR="00275B13" w:rsidRPr="001D77ED">
              <w:rPr>
                <w:rStyle w:val="Hyperlink"/>
                <w:noProof/>
              </w:rPr>
              <w:t>A.1. Circumstances Making the Collection of Information Necessary</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_Toc299967993 \h </w:instrText>
            </w:r>
            <w:r w:rsidR="002D1791" w:rsidRPr="001D77ED">
              <w:rPr>
                <w:noProof/>
                <w:webHidden/>
              </w:rPr>
            </w:r>
            <w:r w:rsidR="002D1791" w:rsidRPr="001D77ED">
              <w:rPr>
                <w:noProof/>
                <w:webHidden/>
              </w:rPr>
              <w:fldChar w:fldCharType="separate"/>
            </w:r>
            <w:r w:rsidR="00D3611F">
              <w:rPr>
                <w:noProof/>
                <w:webHidden/>
              </w:rPr>
              <w:t>3</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7994" w:history="1">
            <w:r w:rsidR="00275B13" w:rsidRPr="001D77ED">
              <w:rPr>
                <w:rStyle w:val="Hyperlink"/>
                <w:bCs/>
                <w:iCs/>
                <w:noProof/>
              </w:rPr>
              <w:t>A.2. Purpose and Use of Information Collection</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_Toc299967994 \h </w:instrText>
            </w:r>
            <w:r w:rsidR="002D1791" w:rsidRPr="001D77ED">
              <w:rPr>
                <w:noProof/>
                <w:webHidden/>
              </w:rPr>
            </w:r>
            <w:r w:rsidR="002D1791" w:rsidRPr="001D77ED">
              <w:rPr>
                <w:noProof/>
                <w:webHidden/>
              </w:rPr>
              <w:fldChar w:fldCharType="separate"/>
            </w:r>
            <w:r w:rsidR="00D3611F">
              <w:rPr>
                <w:noProof/>
                <w:webHidden/>
              </w:rPr>
              <w:t>4</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7995" w:history="1">
            <w:r w:rsidR="00275B13" w:rsidRPr="001D77ED">
              <w:rPr>
                <w:rStyle w:val="Hyperlink"/>
                <w:bCs/>
                <w:iCs/>
                <w:noProof/>
              </w:rPr>
              <w:t>A.3. Use of Improved Information Technology and Burden Reduction</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_Toc299967995 \h </w:instrText>
            </w:r>
            <w:r w:rsidR="002D1791" w:rsidRPr="001D77ED">
              <w:rPr>
                <w:noProof/>
                <w:webHidden/>
              </w:rPr>
            </w:r>
            <w:r w:rsidR="002D1791" w:rsidRPr="001D77ED">
              <w:rPr>
                <w:noProof/>
                <w:webHidden/>
              </w:rPr>
              <w:fldChar w:fldCharType="separate"/>
            </w:r>
            <w:r w:rsidR="00D3611F">
              <w:rPr>
                <w:noProof/>
                <w:webHidden/>
              </w:rPr>
              <w:t>6</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7996" w:history="1">
            <w:r w:rsidR="00275B13" w:rsidRPr="001D77ED">
              <w:rPr>
                <w:rStyle w:val="Hyperlink"/>
                <w:bCs/>
                <w:iCs/>
                <w:noProof/>
              </w:rPr>
              <w:t>A.4. Efforts to Identify Duplication and Use of Similar Information</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_Toc299967996 \h </w:instrText>
            </w:r>
            <w:r w:rsidR="002D1791" w:rsidRPr="001D77ED">
              <w:rPr>
                <w:noProof/>
                <w:webHidden/>
              </w:rPr>
            </w:r>
            <w:r w:rsidR="002D1791" w:rsidRPr="001D77ED">
              <w:rPr>
                <w:noProof/>
                <w:webHidden/>
              </w:rPr>
              <w:fldChar w:fldCharType="separate"/>
            </w:r>
            <w:r w:rsidR="00D3611F">
              <w:rPr>
                <w:noProof/>
                <w:webHidden/>
              </w:rPr>
              <w:t>6</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7997" w:history="1">
            <w:r w:rsidR="00275B13" w:rsidRPr="001D77ED">
              <w:rPr>
                <w:rStyle w:val="Hyperlink"/>
                <w:bCs/>
                <w:iCs/>
                <w:noProof/>
              </w:rPr>
              <w:t>A.5. Impact on Small Businesses or Other Small Entities</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_Toc299967997 \h </w:instrText>
            </w:r>
            <w:r w:rsidR="002D1791" w:rsidRPr="001D77ED">
              <w:rPr>
                <w:noProof/>
                <w:webHidden/>
              </w:rPr>
            </w:r>
            <w:r w:rsidR="002D1791" w:rsidRPr="001D77ED">
              <w:rPr>
                <w:noProof/>
                <w:webHidden/>
              </w:rPr>
              <w:fldChar w:fldCharType="separate"/>
            </w:r>
            <w:r w:rsidR="00D3611F">
              <w:rPr>
                <w:noProof/>
                <w:webHidden/>
              </w:rPr>
              <w:t>6</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7998" w:history="1">
            <w:r w:rsidR="00275B13" w:rsidRPr="001D77ED">
              <w:rPr>
                <w:rStyle w:val="Hyperlink"/>
                <w:bCs/>
                <w:iCs/>
                <w:noProof/>
              </w:rPr>
              <w:t>A.6. Consequences of Collecting the Information Less Frequently</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_Toc299967998 \h </w:instrText>
            </w:r>
            <w:r w:rsidR="002D1791" w:rsidRPr="001D77ED">
              <w:rPr>
                <w:noProof/>
                <w:webHidden/>
              </w:rPr>
            </w:r>
            <w:r w:rsidR="002D1791" w:rsidRPr="001D77ED">
              <w:rPr>
                <w:noProof/>
                <w:webHidden/>
              </w:rPr>
              <w:fldChar w:fldCharType="separate"/>
            </w:r>
            <w:r w:rsidR="00D3611F">
              <w:rPr>
                <w:noProof/>
                <w:webHidden/>
              </w:rPr>
              <w:t>6</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7999" w:history="1">
            <w:r w:rsidR="00275B13" w:rsidRPr="001D77ED">
              <w:rPr>
                <w:rStyle w:val="Hyperlink"/>
                <w:bCs/>
                <w:iCs/>
                <w:noProof/>
              </w:rPr>
              <w:t>A.7. Special Circumstances Relating to the Guidelines of 5 CFR 1320.5</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_Toc299967999 \h </w:instrText>
            </w:r>
            <w:r w:rsidR="002D1791" w:rsidRPr="001D77ED">
              <w:rPr>
                <w:noProof/>
                <w:webHidden/>
              </w:rPr>
            </w:r>
            <w:r w:rsidR="002D1791" w:rsidRPr="001D77ED">
              <w:rPr>
                <w:noProof/>
                <w:webHidden/>
              </w:rPr>
              <w:fldChar w:fldCharType="separate"/>
            </w:r>
            <w:r w:rsidR="00D3611F">
              <w:rPr>
                <w:noProof/>
                <w:webHidden/>
              </w:rPr>
              <w:t>7</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00" w:history="1">
            <w:r w:rsidR="00275B13" w:rsidRPr="001D77ED">
              <w:rPr>
                <w:rStyle w:val="Hyperlink"/>
                <w:bCs/>
                <w:iCs/>
                <w:noProof/>
              </w:rPr>
              <w:t>A.8. Comments in Response to the Federal Register Notice and Efforts to Consult Outside the Agency</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_Toc299968000 \h </w:instrText>
            </w:r>
            <w:r w:rsidR="002D1791" w:rsidRPr="001D77ED">
              <w:rPr>
                <w:noProof/>
                <w:webHidden/>
              </w:rPr>
            </w:r>
            <w:r w:rsidR="002D1791" w:rsidRPr="001D77ED">
              <w:rPr>
                <w:noProof/>
                <w:webHidden/>
              </w:rPr>
              <w:fldChar w:fldCharType="separate"/>
            </w:r>
            <w:r w:rsidR="00D3611F">
              <w:rPr>
                <w:noProof/>
                <w:webHidden/>
              </w:rPr>
              <w:t>8</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01" w:history="1">
            <w:r w:rsidR="00275B13" w:rsidRPr="001D77ED">
              <w:rPr>
                <w:rStyle w:val="Hyperlink"/>
                <w:bCs/>
                <w:iCs/>
                <w:noProof/>
              </w:rPr>
              <w:t>A.9. Explanation of Any Payment or Gift to Respondents</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_Toc299968001 \h </w:instrText>
            </w:r>
            <w:r w:rsidR="002D1791" w:rsidRPr="001D77ED">
              <w:rPr>
                <w:noProof/>
                <w:webHidden/>
              </w:rPr>
            </w:r>
            <w:r w:rsidR="002D1791" w:rsidRPr="001D77ED">
              <w:rPr>
                <w:noProof/>
                <w:webHidden/>
              </w:rPr>
              <w:fldChar w:fldCharType="separate"/>
            </w:r>
            <w:r w:rsidR="00D3611F">
              <w:rPr>
                <w:noProof/>
                <w:webHidden/>
              </w:rPr>
              <w:t>9</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02" w:history="1">
            <w:r w:rsidR="00275B13" w:rsidRPr="001D77ED">
              <w:rPr>
                <w:rStyle w:val="Hyperlink"/>
                <w:bCs/>
                <w:iCs/>
                <w:noProof/>
              </w:rPr>
              <w:t>A.10. Assurance of Confidentiality Provided to Respondents</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_Toc299968002 \h </w:instrText>
            </w:r>
            <w:r w:rsidR="002D1791" w:rsidRPr="001D77ED">
              <w:rPr>
                <w:noProof/>
                <w:webHidden/>
              </w:rPr>
            </w:r>
            <w:r w:rsidR="002D1791" w:rsidRPr="001D77ED">
              <w:rPr>
                <w:noProof/>
                <w:webHidden/>
              </w:rPr>
              <w:fldChar w:fldCharType="separate"/>
            </w:r>
            <w:r w:rsidR="00D3611F">
              <w:rPr>
                <w:noProof/>
                <w:webHidden/>
              </w:rPr>
              <w:t>10</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03" w:history="1">
            <w:r w:rsidR="00275B13" w:rsidRPr="001D77ED">
              <w:rPr>
                <w:rStyle w:val="Hyperlink"/>
                <w:noProof/>
              </w:rPr>
              <w:t>A.11. Justification for Sensitive Questions</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_Toc299968003 \h </w:instrText>
            </w:r>
            <w:r w:rsidR="002D1791" w:rsidRPr="001D77ED">
              <w:rPr>
                <w:noProof/>
                <w:webHidden/>
              </w:rPr>
            </w:r>
            <w:r w:rsidR="002D1791" w:rsidRPr="001D77ED">
              <w:rPr>
                <w:noProof/>
                <w:webHidden/>
              </w:rPr>
              <w:fldChar w:fldCharType="separate"/>
            </w:r>
            <w:r w:rsidR="00D3611F">
              <w:rPr>
                <w:noProof/>
                <w:webHidden/>
              </w:rPr>
              <w:t>11</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04" w:history="1">
            <w:r w:rsidR="00275B13" w:rsidRPr="001D77ED">
              <w:rPr>
                <w:rStyle w:val="Hyperlink"/>
                <w:bCs/>
                <w:iCs/>
                <w:noProof/>
              </w:rPr>
              <w:t>A.12. Estimates of Annualized Burden Hours and Costs</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_Toc299968004 \h </w:instrText>
            </w:r>
            <w:r w:rsidR="002D1791" w:rsidRPr="001D77ED">
              <w:rPr>
                <w:noProof/>
                <w:webHidden/>
              </w:rPr>
            </w:r>
            <w:r w:rsidR="002D1791" w:rsidRPr="001D77ED">
              <w:rPr>
                <w:noProof/>
                <w:webHidden/>
              </w:rPr>
              <w:fldChar w:fldCharType="separate"/>
            </w:r>
            <w:r w:rsidR="00D3611F">
              <w:rPr>
                <w:noProof/>
                <w:webHidden/>
              </w:rPr>
              <w:t>12</w:t>
            </w:r>
            <w:r w:rsidR="002D1791" w:rsidRPr="001D77ED">
              <w:rPr>
                <w:noProof/>
                <w:webHidden/>
              </w:rPr>
              <w:fldChar w:fldCharType="end"/>
            </w:r>
          </w:hyperlink>
        </w:p>
        <w:p w:rsidR="00275B13" w:rsidRDefault="001D77ED">
          <w:pPr>
            <w:pStyle w:val="TOC1"/>
            <w:rPr>
              <w:rFonts w:asciiTheme="minorHAnsi" w:eastAsiaTheme="minorEastAsia" w:hAnsiTheme="minorHAnsi" w:cstheme="minorBidi"/>
              <w:noProof/>
              <w:sz w:val="22"/>
              <w:szCs w:val="22"/>
            </w:rPr>
          </w:pPr>
          <w:r>
            <w:rPr>
              <w:noProof/>
            </w:rPr>
            <w:tab/>
            <w:t xml:space="preserve">      </w:t>
          </w:r>
          <w:hyperlink w:anchor="_Toc299968005" w:history="1">
            <w:r w:rsidR="00275B13" w:rsidRPr="00424AB5">
              <w:rPr>
                <w:rStyle w:val="Hyperlink"/>
                <w:bCs/>
                <w:noProof/>
              </w:rPr>
              <w:t>Table A.12-A: Estimated Annualized Burden to Respondents</w:t>
            </w:r>
            <w:r w:rsidR="00275B13">
              <w:rPr>
                <w:noProof/>
                <w:webHidden/>
              </w:rPr>
              <w:tab/>
            </w:r>
            <w:r w:rsidR="002D1791">
              <w:rPr>
                <w:noProof/>
                <w:webHidden/>
              </w:rPr>
              <w:fldChar w:fldCharType="begin"/>
            </w:r>
            <w:r w:rsidR="00275B13">
              <w:rPr>
                <w:noProof/>
                <w:webHidden/>
              </w:rPr>
              <w:instrText xml:space="preserve"> PAGEREF _Toc299968005 \h </w:instrText>
            </w:r>
            <w:r w:rsidR="002D1791">
              <w:rPr>
                <w:noProof/>
                <w:webHidden/>
              </w:rPr>
            </w:r>
            <w:r w:rsidR="002D1791">
              <w:rPr>
                <w:noProof/>
                <w:webHidden/>
              </w:rPr>
              <w:fldChar w:fldCharType="separate"/>
            </w:r>
            <w:r w:rsidR="00D3611F">
              <w:rPr>
                <w:noProof/>
                <w:webHidden/>
              </w:rPr>
              <w:t>12</w:t>
            </w:r>
            <w:r w:rsidR="002D1791">
              <w:rPr>
                <w:noProof/>
                <w:webHidden/>
              </w:rPr>
              <w:fldChar w:fldCharType="end"/>
            </w:r>
          </w:hyperlink>
        </w:p>
        <w:p w:rsidR="00275B13" w:rsidRDefault="001D77ED">
          <w:pPr>
            <w:pStyle w:val="TOC1"/>
            <w:rPr>
              <w:rFonts w:asciiTheme="minorHAnsi" w:eastAsiaTheme="minorEastAsia" w:hAnsiTheme="minorHAnsi" w:cstheme="minorBidi"/>
              <w:noProof/>
              <w:sz w:val="22"/>
              <w:szCs w:val="22"/>
            </w:rPr>
          </w:pPr>
          <w:r>
            <w:rPr>
              <w:noProof/>
            </w:rPr>
            <w:tab/>
            <w:t xml:space="preserve">      </w:t>
          </w:r>
          <w:hyperlink w:anchor="_Toc299968006" w:history="1">
            <w:r w:rsidR="00275B13" w:rsidRPr="00424AB5">
              <w:rPr>
                <w:rStyle w:val="Hyperlink"/>
                <w:bCs/>
                <w:noProof/>
              </w:rPr>
              <w:t>Table A.12-B: Estimated Annualized Cost to Respondents</w:t>
            </w:r>
            <w:r w:rsidR="00275B13">
              <w:rPr>
                <w:noProof/>
                <w:webHidden/>
              </w:rPr>
              <w:tab/>
            </w:r>
            <w:r w:rsidR="002D1791">
              <w:rPr>
                <w:noProof/>
                <w:webHidden/>
              </w:rPr>
              <w:fldChar w:fldCharType="begin"/>
            </w:r>
            <w:r w:rsidR="00275B13">
              <w:rPr>
                <w:noProof/>
                <w:webHidden/>
              </w:rPr>
              <w:instrText xml:space="preserve"> PAGEREF _Toc299968006 \h </w:instrText>
            </w:r>
            <w:r w:rsidR="002D1791">
              <w:rPr>
                <w:noProof/>
                <w:webHidden/>
              </w:rPr>
            </w:r>
            <w:r w:rsidR="002D1791">
              <w:rPr>
                <w:noProof/>
                <w:webHidden/>
              </w:rPr>
              <w:fldChar w:fldCharType="separate"/>
            </w:r>
            <w:r w:rsidR="00D3611F">
              <w:rPr>
                <w:noProof/>
                <w:webHidden/>
              </w:rPr>
              <w:t>14</w:t>
            </w:r>
            <w:r w:rsidR="002D1791">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Pr>
              <w:noProof/>
            </w:rPr>
            <w:tab/>
          </w:r>
          <w:hyperlink w:anchor="_Toc299968007" w:history="1">
            <w:r w:rsidR="00275B13" w:rsidRPr="001D77ED">
              <w:rPr>
                <w:rStyle w:val="Hyperlink"/>
                <w:bCs/>
                <w:iCs/>
                <w:noProof/>
              </w:rPr>
              <w:t>A.13. Estimates of Other Total Annual Cost Burden to Respondents or Record Keepers</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_Toc299968007 \h </w:instrText>
            </w:r>
            <w:r w:rsidR="002D1791" w:rsidRPr="001D77ED">
              <w:rPr>
                <w:noProof/>
                <w:webHidden/>
              </w:rPr>
            </w:r>
            <w:r w:rsidR="002D1791" w:rsidRPr="001D77ED">
              <w:rPr>
                <w:noProof/>
                <w:webHidden/>
              </w:rPr>
              <w:fldChar w:fldCharType="separate"/>
            </w:r>
            <w:r w:rsidR="00D3611F">
              <w:rPr>
                <w:noProof/>
                <w:webHidden/>
              </w:rPr>
              <w:t>15</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08" w:history="1">
            <w:r w:rsidR="00275B13" w:rsidRPr="001D77ED">
              <w:rPr>
                <w:rStyle w:val="Hyperlink"/>
                <w:bCs/>
                <w:iCs/>
                <w:noProof/>
              </w:rPr>
              <w:t>A.14. Annualized Cost to the Government</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_Toc299968008 \h </w:instrText>
            </w:r>
            <w:r w:rsidR="002D1791" w:rsidRPr="001D77ED">
              <w:rPr>
                <w:noProof/>
                <w:webHidden/>
              </w:rPr>
            </w:r>
            <w:r w:rsidR="002D1791" w:rsidRPr="001D77ED">
              <w:rPr>
                <w:noProof/>
                <w:webHidden/>
              </w:rPr>
              <w:fldChar w:fldCharType="separate"/>
            </w:r>
            <w:r w:rsidR="00D3611F">
              <w:rPr>
                <w:noProof/>
                <w:webHidden/>
              </w:rPr>
              <w:t>15</w:t>
            </w:r>
            <w:r w:rsidR="002D1791" w:rsidRPr="001D77ED">
              <w:rPr>
                <w:noProof/>
                <w:webHidden/>
              </w:rPr>
              <w:fldChar w:fldCharType="end"/>
            </w:r>
          </w:hyperlink>
        </w:p>
        <w:p w:rsidR="00275B13" w:rsidRDefault="001D77ED">
          <w:pPr>
            <w:pStyle w:val="TOC1"/>
            <w:rPr>
              <w:rFonts w:asciiTheme="minorHAnsi" w:eastAsiaTheme="minorEastAsia" w:hAnsiTheme="minorHAnsi" w:cstheme="minorBidi"/>
              <w:noProof/>
              <w:sz w:val="22"/>
              <w:szCs w:val="22"/>
            </w:rPr>
          </w:pPr>
          <w:r>
            <w:rPr>
              <w:noProof/>
            </w:rPr>
            <w:tab/>
            <w:t xml:space="preserve">      </w:t>
          </w:r>
          <w:hyperlink w:anchor="_Toc299968009" w:history="1">
            <w:r w:rsidR="00275B13" w:rsidRPr="00424AB5">
              <w:rPr>
                <w:rStyle w:val="Hyperlink"/>
                <w:bCs/>
                <w:noProof/>
              </w:rPr>
              <w:t>Table A.13-A: Estimated Annualized Cost to the Government per Activity and Total</w:t>
            </w:r>
            <w:r w:rsidR="00275B13">
              <w:rPr>
                <w:noProof/>
                <w:webHidden/>
              </w:rPr>
              <w:tab/>
            </w:r>
            <w:r w:rsidR="002D1791">
              <w:rPr>
                <w:noProof/>
                <w:webHidden/>
              </w:rPr>
              <w:fldChar w:fldCharType="begin"/>
            </w:r>
            <w:r w:rsidR="00275B13">
              <w:rPr>
                <w:noProof/>
                <w:webHidden/>
              </w:rPr>
              <w:instrText xml:space="preserve"> PAGEREF _Toc299968009 \h </w:instrText>
            </w:r>
            <w:r w:rsidR="002D1791">
              <w:rPr>
                <w:noProof/>
                <w:webHidden/>
              </w:rPr>
            </w:r>
            <w:r w:rsidR="002D1791">
              <w:rPr>
                <w:noProof/>
                <w:webHidden/>
              </w:rPr>
              <w:fldChar w:fldCharType="separate"/>
            </w:r>
            <w:r w:rsidR="00D3611F">
              <w:rPr>
                <w:noProof/>
                <w:webHidden/>
              </w:rPr>
              <w:t>16</w:t>
            </w:r>
            <w:r w:rsidR="002D1791">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10" w:history="1">
            <w:r w:rsidR="00275B13" w:rsidRPr="001D77ED">
              <w:rPr>
                <w:rStyle w:val="Hyperlink"/>
                <w:bCs/>
                <w:iCs/>
                <w:noProof/>
              </w:rPr>
              <w:t>A.15. Explanation for Program Changes or Adjustments</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_Toc299968010 \h </w:instrText>
            </w:r>
            <w:r w:rsidR="002D1791" w:rsidRPr="001D77ED">
              <w:rPr>
                <w:noProof/>
                <w:webHidden/>
              </w:rPr>
            </w:r>
            <w:r w:rsidR="002D1791" w:rsidRPr="001D77ED">
              <w:rPr>
                <w:noProof/>
                <w:webHidden/>
              </w:rPr>
              <w:fldChar w:fldCharType="separate"/>
            </w:r>
            <w:r w:rsidR="00D3611F">
              <w:rPr>
                <w:noProof/>
                <w:webHidden/>
              </w:rPr>
              <w:t>16</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11" w:history="1">
            <w:r w:rsidR="00275B13" w:rsidRPr="001D77ED">
              <w:rPr>
                <w:rStyle w:val="Hyperlink"/>
                <w:bCs/>
                <w:iCs/>
                <w:noProof/>
              </w:rPr>
              <w:t>A.16. Plans for Tabulation and Publication and Project Time Schedule</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_Toc299968011 \h </w:instrText>
            </w:r>
            <w:r w:rsidR="002D1791" w:rsidRPr="001D77ED">
              <w:rPr>
                <w:noProof/>
                <w:webHidden/>
              </w:rPr>
            </w:r>
            <w:r w:rsidR="002D1791" w:rsidRPr="001D77ED">
              <w:rPr>
                <w:noProof/>
                <w:webHidden/>
              </w:rPr>
              <w:fldChar w:fldCharType="separate"/>
            </w:r>
            <w:r w:rsidR="00D3611F">
              <w:rPr>
                <w:noProof/>
                <w:webHidden/>
              </w:rPr>
              <w:t>16</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12" w:history="1">
            <w:r w:rsidR="00275B13" w:rsidRPr="001D77ED">
              <w:rPr>
                <w:rStyle w:val="Hyperlink"/>
                <w:bCs/>
                <w:iCs/>
                <w:noProof/>
              </w:rPr>
              <w:t>A.17. Reason(s) Display of OMB Expiration Date is Inappropriate</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_Toc299968012 \h </w:instrText>
            </w:r>
            <w:r w:rsidR="002D1791" w:rsidRPr="001D77ED">
              <w:rPr>
                <w:noProof/>
                <w:webHidden/>
              </w:rPr>
            </w:r>
            <w:r w:rsidR="002D1791" w:rsidRPr="001D77ED">
              <w:rPr>
                <w:noProof/>
                <w:webHidden/>
              </w:rPr>
              <w:fldChar w:fldCharType="separate"/>
            </w:r>
            <w:r w:rsidR="00D3611F">
              <w:rPr>
                <w:noProof/>
                <w:webHidden/>
              </w:rPr>
              <w:t>16</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13" w:history="1">
            <w:r w:rsidR="00275B13" w:rsidRPr="001D77ED">
              <w:rPr>
                <w:rStyle w:val="Hyperlink"/>
                <w:bCs/>
                <w:iCs/>
                <w:noProof/>
              </w:rPr>
              <w:t>A.18. Exceptions to Certification for Paperwork Reduction Act Submissions</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_Toc299968013 \h </w:instrText>
            </w:r>
            <w:r w:rsidR="002D1791" w:rsidRPr="001D77ED">
              <w:rPr>
                <w:noProof/>
                <w:webHidden/>
              </w:rPr>
            </w:r>
            <w:r w:rsidR="002D1791" w:rsidRPr="001D77ED">
              <w:rPr>
                <w:noProof/>
                <w:webHidden/>
              </w:rPr>
              <w:fldChar w:fldCharType="separate"/>
            </w:r>
            <w:r w:rsidR="00D3611F">
              <w:rPr>
                <w:noProof/>
                <w:webHidden/>
              </w:rPr>
              <w:t>16</w:t>
            </w:r>
            <w:r w:rsidR="002D1791" w:rsidRPr="001D77ED">
              <w:rPr>
                <w:noProof/>
                <w:webHidden/>
              </w:rPr>
              <w:fldChar w:fldCharType="end"/>
            </w:r>
          </w:hyperlink>
        </w:p>
        <w:p w:rsidR="00275B13" w:rsidRDefault="00534B2A">
          <w:pPr>
            <w:pStyle w:val="TOC1"/>
            <w:rPr>
              <w:rFonts w:asciiTheme="minorHAnsi" w:eastAsiaTheme="minorEastAsia" w:hAnsiTheme="minorHAnsi" w:cstheme="minorBidi"/>
              <w:noProof/>
              <w:sz w:val="22"/>
              <w:szCs w:val="22"/>
            </w:rPr>
          </w:pPr>
          <w:hyperlink w:anchor="_Toc299968014" w:history="1">
            <w:r w:rsidR="00275B13" w:rsidRPr="001D77ED">
              <w:rPr>
                <w:rStyle w:val="Hyperlink"/>
                <w:b/>
                <w:noProof/>
              </w:rPr>
              <w:t>REFERENCES</w:t>
            </w:r>
            <w:r w:rsidR="00275B13">
              <w:rPr>
                <w:noProof/>
                <w:webHidden/>
              </w:rPr>
              <w:tab/>
            </w:r>
            <w:r w:rsidR="002D1791">
              <w:rPr>
                <w:noProof/>
                <w:webHidden/>
              </w:rPr>
              <w:fldChar w:fldCharType="begin"/>
            </w:r>
            <w:r w:rsidR="00275B13">
              <w:rPr>
                <w:noProof/>
                <w:webHidden/>
              </w:rPr>
              <w:instrText xml:space="preserve"> PAGEREF _Toc299968014 \h </w:instrText>
            </w:r>
            <w:r w:rsidR="002D1791">
              <w:rPr>
                <w:noProof/>
                <w:webHidden/>
              </w:rPr>
            </w:r>
            <w:r w:rsidR="002D1791">
              <w:rPr>
                <w:noProof/>
                <w:webHidden/>
              </w:rPr>
              <w:fldChar w:fldCharType="separate"/>
            </w:r>
            <w:r w:rsidR="00D3611F">
              <w:rPr>
                <w:noProof/>
                <w:webHidden/>
              </w:rPr>
              <w:t>17</w:t>
            </w:r>
            <w:r w:rsidR="002D1791">
              <w:rPr>
                <w:noProof/>
                <w:webHidden/>
              </w:rPr>
              <w:fldChar w:fldCharType="end"/>
            </w:r>
          </w:hyperlink>
        </w:p>
        <w:p w:rsidR="00275B13" w:rsidRDefault="00534B2A">
          <w:pPr>
            <w:pStyle w:val="TOC1"/>
            <w:rPr>
              <w:rFonts w:asciiTheme="minorHAnsi" w:eastAsiaTheme="minorEastAsia" w:hAnsiTheme="minorHAnsi" w:cstheme="minorBidi"/>
              <w:noProof/>
              <w:sz w:val="22"/>
              <w:szCs w:val="22"/>
            </w:rPr>
          </w:pPr>
          <w:hyperlink w:anchor="_Toc299968015" w:history="1">
            <w:r w:rsidR="00275B13" w:rsidRPr="001D77ED">
              <w:rPr>
                <w:rStyle w:val="Hyperlink"/>
                <w:b/>
                <w:noProof/>
              </w:rPr>
              <w:t>ATTACHMENTS</w:t>
            </w:r>
            <w:r w:rsidR="00275B13">
              <w:rPr>
                <w:noProof/>
                <w:webHidden/>
              </w:rPr>
              <w:tab/>
            </w:r>
            <w:r w:rsidR="002D1791">
              <w:rPr>
                <w:noProof/>
                <w:webHidden/>
              </w:rPr>
              <w:fldChar w:fldCharType="begin"/>
            </w:r>
            <w:r w:rsidR="00275B13">
              <w:rPr>
                <w:noProof/>
                <w:webHidden/>
              </w:rPr>
              <w:instrText xml:space="preserve"> PAGEREF _Toc299968015 \h </w:instrText>
            </w:r>
            <w:r w:rsidR="002D1791">
              <w:rPr>
                <w:noProof/>
                <w:webHidden/>
              </w:rPr>
            </w:r>
            <w:r w:rsidR="002D1791">
              <w:rPr>
                <w:noProof/>
                <w:webHidden/>
              </w:rPr>
              <w:fldChar w:fldCharType="separate"/>
            </w:r>
            <w:r w:rsidR="00D3611F">
              <w:rPr>
                <w:noProof/>
                <w:webHidden/>
              </w:rPr>
              <w:t>18</w:t>
            </w:r>
            <w:r w:rsidR="002D1791">
              <w:rPr>
                <w:noProof/>
                <w:webHidden/>
              </w:rPr>
              <w:fldChar w:fldCharType="end"/>
            </w:r>
          </w:hyperlink>
        </w:p>
        <w:p w:rsidR="00275B13" w:rsidRDefault="00534B2A" w:rsidP="001D77ED">
          <w:pPr>
            <w:pStyle w:val="TOC1"/>
            <w:ind w:left="900"/>
            <w:rPr>
              <w:rFonts w:asciiTheme="minorHAnsi" w:eastAsiaTheme="minorEastAsia" w:hAnsiTheme="minorHAnsi" w:cstheme="minorBidi"/>
              <w:noProof/>
              <w:sz w:val="22"/>
              <w:szCs w:val="22"/>
            </w:rPr>
          </w:pPr>
          <w:hyperlink w:anchor="_Toc299968016" w:history="1">
            <w:r w:rsidR="00275B13" w:rsidRPr="00424AB5">
              <w:rPr>
                <w:rStyle w:val="Hyperlink"/>
                <w:noProof/>
              </w:rPr>
              <w:t>A.</w:t>
            </w:r>
            <w:r w:rsidR="00275B13">
              <w:rPr>
                <w:rFonts w:asciiTheme="minorHAnsi" w:eastAsiaTheme="minorEastAsia" w:hAnsiTheme="minorHAnsi" w:cstheme="minorBidi"/>
                <w:noProof/>
                <w:sz w:val="22"/>
                <w:szCs w:val="22"/>
              </w:rPr>
              <w:tab/>
            </w:r>
            <w:r w:rsidR="00275B13" w:rsidRPr="00424AB5">
              <w:rPr>
                <w:rStyle w:val="Hyperlink"/>
                <w:noProof/>
              </w:rPr>
              <w:t>Legislative Authority: Section 361 of the Public Health Service (PHS) Act (42 USC 264). These regulations are codified in 42 Code of Federal Regulations (CFR) Parts 70 and 71.</w:t>
            </w:r>
            <w:r w:rsidR="00275B13">
              <w:rPr>
                <w:noProof/>
                <w:webHidden/>
              </w:rPr>
              <w:tab/>
            </w:r>
          </w:hyperlink>
        </w:p>
        <w:p w:rsidR="00275B13" w:rsidRDefault="00534B2A" w:rsidP="001D77ED">
          <w:pPr>
            <w:pStyle w:val="TOC1"/>
            <w:ind w:left="900"/>
            <w:rPr>
              <w:rFonts w:asciiTheme="minorHAnsi" w:eastAsiaTheme="minorEastAsia" w:hAnsiTheme="minorHAnsi" w:cstheme="minorBidi"/>
              <w:noProof/>
              <w:sz w:val="22"/>
              <w:szCs w:val="22"/>
            </w:rPr>
          </w:pPr>
          <w:hyperlink w:anchor="_Toc299968017" w:history="1">
            <w:r w:rsidR="00275B13" w:rsidRPr="00424AB5">
              <w:rPr>
                <w:rStyle w:val="Hyperlink"/>
                <w:noProof/>
              </w:rPr>
              <w:t>B.</w:t>
            </w:r>
            <w:r w:rsidR="00275B13">
              <w:rPr>
                <w:rFonts w:asciiTheme="minorHAnsi" w:eastAsiaTheme="minorEastAsia" w:hAnsiTheme="minorHAnsi" w:cstheme="minorBidi"/>
                <w:noProof/>
                <w:sz w:val="22"/>
                <w:szCs w:val="22"/>
              </w:rPr>
              <w:tab/>
            </w:r>
            <w:r w:rsidR="00275B13" w:rsidRPr="00424AB5">
              <w:rPr>
                <w:rStyle w:val="Hyperlink"/>
                <w:noProof/>
              </w:rPr>
              <w:t>Legislative Authority: Section 212(a)(1)(A) of the Immigration and Nationality Act</w:t>
            </w:r>
            <w:r w:rsidR="00275B13">
              <w:rPr>
                <w:noProof/>
                <w:webHidden/>
              </w:rPr>
              <w:tab/>
            </w:r>
          </w:hyperlink>
        </w:p>
        <w:p w:rsidR="00275B13" w:rsidRDefault="00534B2A" w:rsidP="001D77ED">
          <w:pPr>
            <w:pStyle w:val="TOC1"/>
            <w:ind w:left="900"/>
            <w:rPr>
              <w:rFonts w:asciiTheme="minorHAnsi" w:eastAsiaTheme="minorEastAsia" w:hAnsiTheme="minorHAnsi" w:cstheme="minorBidi"/>
              <w:noProof/>
              <w:sz w:val="22"/>
              <w:szCs w:val="22"/>
            </w:rPr>
          </w:pPr>
          <w:hyperlink w:anchor="_Toc299968018" w:history="1">
            <w:r w:rsidR="00275B13" w:rsidRPr="00424AB5">
              <w:rPr>
                <w:rStyle w:val="Hyperlink"/>
                <w:noProof/>
              </w:rPr>
              <w:t>C.</w:t>
            </w:r>
            <w:r w:rsidR="00275B13">
              <w:rPr>
                <w:rFonts w:asciiTheme="minorHAnsi" w:eastAsiaTheme="minorEastAsia" w:hAnsiTheme="minorHAnsi" w:cstheme="minorBidi"/>
                <w:noProof/>
                <w:sz w:val="22"/>
                <w:szCs w:val="22"/>
              </w:rPr>
              <w:tab/>
            </w:r>
            <w:r w:rsidR="00275B13" w:rsidRPr="00424AB5">
              <w:rPr>
                <w:rStyle w:val="Hyperlink"/>
                <w:noProof/>
              </w:rPr>
              <w:t>Legislative Authority: Section 325 of the Public Health Service Act.</w:t>
            </w:r>
            <w:r w:rsidR="00275B13">
              <w:rPr>
                <w:noProof/>
                <w:webHidden/>
              </w:rPr>
              <w:tab/>
            </w:r>
          </w:hyperlink>
        </w:p>
        <w:p w:rsidR="00275B13" w:rsidRDefault="00534B2A" w:rsidP="001D77ED">
          <w:pPr>
            <w:pStyle w:val="TOC1"/>
            <w:ind w:left="900"/>
            <w:rPr>
              <w:rFonts w:asciiTheme="minorHAnsi" w:eastAsiaTheme="minorEastAsia" w:hAnsiTheme="minorHAnsi" w:cstheme="minorBidi"/>
              <w:noProof/>
              <w:sz w:val="22"/>
              <w:szCs w:val="22"/>
            </w:rPr>
          </w:pPr>
          <w:hyperlink w:anchor="_Toc299968019" w:history="1">
            <w:r w:rsidR="00275B13" w:rsidRPr="006B4F4E">
              <w:rPr>
                <w:rStyle w:val="Hyperlink"/>
                <w:noProof/>
              </w:rPr>
              <w:t>D.</w:t>
            </w:r>
            <w:r w:rsidR="00275B13" w:rsidRPr="006B4F4E">
              <w:rPr>
                <w:rFonts w:asciiTheme="minorHAnsi" w:eastAsiaTheme="minorEastAsia" w:hAnsiTheme="minorHAnsi" w:cstheme="minorBidi"/>
                <w:noProof/>
                <w:sz w:val="22"/>
                <w:szCs w:val="22"/>
              </w:rPr>
              <w:tab/>
            </w:r>
            <w:r w:rsidR="00275B13" w:rsidRPr="006B4F4E">
              <w:rPr>
                <w:rStyle w:val="Hyperlink"/>
                <w:noProof/>
              </w:rPr>
              <w:t>60-Day Federal Register Notice</w:t>
            </w:r>
            <w:r w:rsidR="00275B13" w:rsidRPr="006B4F4E">
              <w:rPr>
                <w:noProof/>
                <w:webHidden/>
              </w:rPr>
              <w:tab/>
            </w:r>
          </w:hyperlink>
        </w:p>
        <w:p w:rsidR="00275B13" w:rsidRDefault="00534B2A" w:rsidP="001D77ED">
          <w:pPr>
            <w:pStyle w:val="TOC1"/>
            <w:ind w:left="900"/>
            <w:rPr>
              <w:rFonts w:asciiTheme="minorHAnsi" w:eastAsiaTheme="minorEastAsia" w:hAnsiTheme="minorHAnsi" w:cstheme="minorBidi"/>
              <w:noProof/>
              <w:sz w:val="22"/>
              <w:szCs w:val="22"/>
            </w:rPr>
          </w:pPr>
          <w:hyperlink w:anchor="_Toc299968020" w:history="1">
            <w:r w:rsidR="00275B13" w:rsidRPr="00424AB5">
              <w:rPr>
                <w:rStyle w:val="Hyperlink"/>
                <w:noProof/>
              </w:rPr>
              <w:t>E.</w:t>
            </w:r>
            <w:r w:rsidR="00275B13">
              <w:rPr>
                <w:rFonts w:asciiTheme="minorHAnsi" w:eastAsiaTheme="minorEastAsia" w:hAnsiTheme="minorHAnsi" w:cstheme="minorBidi"/>
                <w:noProof/>
                <w:sz w:val="22"/>
                <w:szCs w:val="22"/>
              </w:rPr>
              <w:tab/>
            </w:r>
            <w:r w:rsidR="00275B13" w:rsidRPr="00424AB5">
              <w:rPr>
                <w:rStyle w:val="Hyperlink"/>
                <w:noProof/>
              </w:rPr>
              <w:t>Example of a Focus Group Guide</w:t>
            </w:r>
            <w:r w:rsidR="00275B13">
              <w:rPr>
                <w:noProof/>
                <w:webHidden/>
              </w:rPr>
              <w:tab/>
            </w:r>
          </w:hyperlink>
        </w:p>
        <w:p w:rsidR="00275B13" w:rsidRDefault="00534B2A" w:rsidP="001D77ED">
          <w:pPr>
            <w:pStyle w:val="TOC1"/>
            <w:ind w:left="900"/>
            <w:rPr>
              <w:rFonts w:asciiTheme="minorHAnsi" w:eastAsiaTheme="minorEastAsia" w:hAnsiTheme="minorHAnsi" w:cstheme="minorBidi"/>
              <w:noProof/>
              <w:sz w:val="22"/>
              <w:szCs w:val="22"/>
            </w:rPr>
          </w:pPr>
          <w:hyperlink w:anchor="_Toc299968021" w:history="1">
            <w:r w:rsidR="00275B13" w:rsidRPr="00424AB5">
              <w:rPr>
                <w:rStyle w:val="Hyperlink"/>
                <w:noProof/>
              </w:rPr>
              <w:t>F.</w:t>
            </w:r>
            <w:r w:rsidR="00275B13">
              <w:rPr>
                <w:rFonts w:asciiTheme="minorHAnsi" w:eastAsiaTheme="minorEastAsia" w:hAnsiTheme="minorHAnsi" w:cstheme="minorBidi"/>
                <w:noProof/>
                <w:sz w:val="22"/>
                <w:szCs w:val="22"/>
              </w:rPr>
              <w:tab/>
            </w:r>
            <w:r w:rsidR="00275B13" w:rsidRPr="00424AB5">
              <w:rPr>
                <w:rStyle w:val="Hyperlink"/>
                <w:noProof/>
              </w:rPr>
              <w:t>Example of an Interview Guide</w:t>
            </w:r>
            <w:r w:rsidR="00275B13">
              <w:rPr>
                <w:noProof/>
                <w:webHidden/>
              </w:rPr>
              <w:tab/>
            </w:r>
          </w:hyperlink>
        </w:p>
        <w:p w:rsidR="00275B13" w:rsidRDefault="00534B2A" w:rsidP="001D77ED">
          <w:pPr>
            <w:pStyle w:val="TOC1"/>
            <w:ind w:left="900"/>
            <w:rPr>
              <w:rFonts w:asciiTheme="minorHAnsi" w:eastAsiaTheme="minorEastAsia" w:hAnsiTheme="minorHAnsi" w:cstheme="minorBidi"/>
              <w:noProof/>
              <w:sz w:val="22"/>
              <w:szCs w:val="22"/>
            </w:rPr>
          </w:pPr>
          <w:hyperlink w:anchor="_Toc299968022" w:history="1">
            <w:r w:rsidR="00275B13" w:rsidRPr="00424AB5">
              <w:rPr>
                <w:rStyle w:val="Hyperlink"/>
                <w:noProof/>
              </w:rPr>
              <w:t>G.</w:t>
            </w:r>
            <w:r w:rsidR="00275B13">
              <w:rPr>
                <w:rFonts w:asciiTheme="minorHAnsi" w:eastAsiaTheme="minorEastAsia" w:hAnsiTheme="minorHAnsi" w:cstheme="minorBidi"/>
                <w:noProof/>
                <w:sz w:val="22"/>
                <w:szCs w:val="22"/>
              </w:rPr>
              <w:tab/>
            </w:r>
            <w:r w:rsidR="00275B13" w:rsidRPr="00424AB5">
              <w:rPr>
                <w:rStyle w:val="Hyperlink"/>
                <w:noProof/>
              </w:rPr>
              <w:t>Example of a Survey</w:t>
            </w:r>
            <w:r w:rsidR="00275B13">
              <w:rPr>
                <w:noProof/>
                <w:webHidden/>
              </w:rPr>
              <w:tab/>
            </w:r>
          </w:hyperlink>
        </w:p>
        <w:p w:rsidR="00275B13" w:rsidRDefault="002D1791">
          <w:r>
            <w:lastRenderedPageBreak/>
            <w:fldChar w:fldCharType="end"/>
          </w:r>
        </w:p>
      </w:sdtContent>
    </w:sdt>
    <w:p w:rsidR="008B0E6B" w:rsidRPr="00D9621A" w:rsidRDefault="008B0E6B" w:rsidP="00D1701D">
      <w:pPr>
        <w:tabs>
          <w:tab w:val="left" w:pos="648"/>
          <w:tab w:val="left" w:pos="900"/>
          <w:tab w:val="left" w:pos="2340"/>
          <w:tab w:val="right" w:leader="dot" w:pos="10080"/>
        </w:tabs>
        <w:jc w:val="center"/>
        <w:rPr>
          <w:b/>
          <w:bCs/>
          <w:color w:val="000000"/>
        </w:rPr>
      </w:pPr>
      <w:r>
        <w:rPr>
          <w:b/>
          <w:bCs/>
          <w:color w:val="000000"/>
        </w:rPr>
        <w:t>Data Collection for Evaluation of Education, Communication, and Training Activities</w:t>
      </w:r>
    </w:p>
    <w:p w:rsidR="008B0E6B" w:rsidRDefault="008B0E6B" w:rsidP="00D1701D">
      <w:pPr>
        <w:jc w:val="center"/>
        <w:rPr>
          <w:bCs/>
          <w:color w:val="000000"/>
        </w:rPr>
      </w:pPr>
    </w:p>
    <w:p w:rsidR="008B0E6B" w:rsidRDefault="009A2831">
      <w:pPr>
        <w:jc w:val="center"/>
        <w:rPr>
          <w:b/>
          <w:bCs/>
          <w:color w:val="000000"/>
        </w:rPr>
      </w:pPr>
      <w:proofErr w:type="gramStart"/>
      <w:r>
        <w:rPr>
          <w:b/>
          <w:bCs/>
          <w:color w:val="000000"/>
        </w:rPr>
        <w:t>for</w:t>
      </w:r>
      <w:proofErr w:type="gramEnd"/>
      <w:r>
        <w:rPr>
          <w:b/>
          <w:bCs/>
          <w:color w:val="000000"/>
        </w:rPr>
        <w:t xml:space="preserve"> </w:t>
      </w:r>
      <w:r w:rsidR="008B0E6B">
        <w:rPr>
          <w:b/>
          <w:bCs/>
          <w:color w:val="000000"/>
        </w:rPr>
        <w:t>the Division of Global Migration and Quarantine</w:t>
      </w:r>
    </w:p>
    <w:p w:rsidR="008B0E6B" w:rsidRDefault="008B0E6B">
      <w:pPr>
        <w:jc w:val="center"/>
        <w:rPr>
          <w:b/>
          <w:bCs/>
          <w:color w:val="000000"/>
        </w:rPr>
      </w:pPr>
    </w:p>
    <w:p w:rsidR="008B0E6B" w:rsidRPr="00B77456" w:rsidRDefault="008B0E6B">
      <w:pPr>
        <w:jc w:val="center"/>
        <w:rPr>
          <w:b/>
          <w:bCs/>
          <w:color w:val="000000"/>
        </w:rPr>
      </w:pPr>
      <w:r w:rsidRPr="00B77456">
        <w:rPr>
          <w:b/>
          <w:bCs/>
          <w:color w:val="000000"/>
        </w:rPr>
        <w:t>A Generic Clearance Submission</w:t>
      </w:r>
    </w:p>
    <w:p w:rsidR="008B0E6B" w:rsidRDefault="008B0E6B" w:rsidP="00361F53">
      <w:pPr>
        <w:jc w:val="center"/>
        <w:rPr>
          <w:b/>
          <w:color w:val="000000"/>
        </w:rPr>
      </w:pPr>
    </w:p>
    <w:p w:rsidR="008B0E6B" w:rsidRPr="00701543" w:rsidRDefault="00B77456" w:rsidP="00701543">
      <w:pPr>
        <w:pStyle w:val="Heading1"/>
        <w:rPr>
          <w:color w:val="000000" w:themeColor="text1"/>
        </w:rPr>
      </w:pPr>
      <w:bookmarkStart w:id="37" w:name="_Toc299967992"/>
      <w:r w:rsidRPr="00701543">
        <w:rPr>
          <w:color w:val="000000" w:themeColor="text1"/>
        </w:rPr>
        <w:t xml:space="preserve">PART </w:t>
      </w:r>
      <w:r w:rsidR="008B0E6B" w:rsidRPr="00701543">
        <w:rPr>
          <w:color w:val="000000" w:themeColor="text1"/>
        </w:rPr>
        <w:t>A. JUSTIFICATION</w:t>
      </w:r>
      <w:bookmarkEnd w:id="37"/>
    </w:p>
    <w:p w:rsidR="008B0E6B" w:rsidRDefault="008B0E6B" w:rsidP="00361F53">
      <w:pPr>
        <w:rPr>
          <w:color w:val="000000"/>
        </w:rPr>
      </w:pPr>
    </w:p>
    <w:p w:rsidR="008B0E6B" w:rsidRPr="00F56FE4" w:rsidRDefault="008B0E6B" w:rsidP="00361F53">
      <w:pPr>
        <w:rPr>
          <w:color w:val="000000"/>
        </w:rPr>
      </w:pPr>
    </w:p>
    <w:p w:rsidR="008B0E6B" w:rsidRPr="0092182A" w:rsidRDefault="008B0E6B" w:rsidP="00361F53">
      <w:pPr>
        <w:outlineLvl w:val="0"/>
        <w:rPr>
          <w:color w:val="000000"/>
        </w:rPr>
      </w:pPr>
      <w:bookmarkStart w:id="38" w:name="_Toc299967993"/>
      <w:r w:rsidRPr="0092182A">
        <w:rPr>
          <w:b/>
          <w:color w:val="000000"/>
        </w:rPr>
        <w:t>A</w:t>
      </w:r>
      <w:r w:rsidR="00DC2107">
        <w:rPr>
          <w:b/>
          <w:color w:val="000000"/>
        </w:rPr>
        <w:t>.</w:t>
      </w:r>
      <w:r w:rsidRPr="0092182A">
        <w:rPr>
          <w:b/>
          <w:color w:val="000000"/>
        </w:rPr>
        <w:t>1. Circumstances Making the Collection of Information Necessary</w:t>
      </w:r>
      <w:bookmarkEnd w:id="38"/>
    </w:p>
    <w:p w:rsidR="008B0E6B" w:rsidRDefault="008B0E6B" w:rsidP="00361F53">
      <w:pPr>
        <w:rPr>
          <w:color w:val="000000"/>
        </w:rPr>
      </w:pPr>
    </w:p>
    <w:p w:rsidR="008B0E6B" w:rsidRDefault="008B0E6B" w:rsidP="00361F53">
      <w:pPr>
        <w:rPr>
          <w:color w:val="000000"/>
        </w:rPr>
      </w:pPr>
      <w:r w:rsidRPr="00E96FE7">
        <w:rPr>
          <w:color w:val="000000"/>
        </w:rPr>
        <w:t xml:space="preserve">The Centers for Disease Control and Prevention (CDC), </w:t>
      </w:r>
      <w:r w:rsidR="002D60CF">
        <w:rPr>
          <w:color w:val="000000"/>
        </w:rPr>
        <w:t xml:space="preserve">National Center for Emerging and Zoonotic Infectious Diseases (NCEZID), </w:t>
      </w:r>
      <w:r w:rsidRPr="00E96FE7">
        <w:rPr>
          <w:color w:val="000000"/>
        </w:rPr>
        <w:t xml:space="preserve">Division of </w:t>
      </w:r>
      <w:r>
        <w:rPr>
          <w:color w:val="000000"/>
        </w:rPr>
        <w:t>Global Migration and Quarantine</w:t>
      </w:r>
      <w:r w:rsidRPr="00E96FE7">
        <w:rPr>
          <w:color w:val="000000"/>
        </w:rPr>
        <w:t xml:space="preserve"> (</w:t>
      </w:r>
      <w:r w:rsidR="003A4D97" w:rsidRPr="00AA5973">
        <w:rPr>
          <w:color w:val="000000"/>
        </w:rPr>
        <w:t>DGMQ</w:t>
      </w:r>
      <w:r w:rsidRPr="00E96FE7">
        <w:rPr>
          <w:color w:val="000000"/>
        </w:rPr>
        <w:t>), request</w:t>
      </w:r>
      <w:r>
        <w:rPr>
          <w:color w:val="000000"/>
        </w:rPr>
        <w:t>s</w:t>
      </w:r>
      <w:r w:rsidRPr="00E96FE7">
        <w:rPr>
          <w:color w:val="000000"/>
        </w:rPr>
        <w:t xml:space="preserve"> approval </w:t>
      </w:r>
      <w:r>
        <w:rPr>
          <w:color w:val="000000"/>
        </w:rPr>
        <w:t xml:space="preserve">of a </w:t>
      </w:r>
      <w:r w:rsidR="00DD79B1">
        <w:rPr>
          <w:color w:val="000000"/>
        </w:rPr>
        <w:t>new “</w:t>
      </w:r>
      <w:r>
        <w:rPr>
          <w:color w:val="000000"/>
        </w:rPr>
        <w:t>generic clearance</w:t>
      </w:r>
      <w:r w:rsidR="00DD79B1">
        <w:rPr>
          <w:color w:val="000000"/>
        </w:rPr>
        <w:t>”</w:t>
      </w:r>
      <w:r>
        <w:rPr>
          <w:color w:val="000000"/>
        </w:rPr>
        <w:t xml:space="preserve"> </w:t>
      </w:r>
      <w:r w:rsidRPr="00E96FE7">
        <w:rPr>
          <w:color w:val="000000"/>
        </w:rPr>
        <w:t xml:space="preserve">to conduct </w:t>
      </w:r>
      <w:r w:rsidR="002D60CF">
        <w:rPr>
          <w:color w:val="000000"/>
        </w:rPr>
        <w:t xml:space="preserve">evaluation </w:t>
      </w:r>
      <w:r>
        <w:rPr>
          <w:color w:val="000000"/>
        </w:rPr>
        <w:t>research</w:t>
      </w:r>
      <w:r w:rsidR="00D81625">
        <w:rPr>
          <w:color w:val="000000"/>
        </w:rPr>
        <w:t xml:space="preserve"> in order</w:t>
      </w:r>
      <w:r>
        <w:rPr>
          <w:color w:val="000000"/>
        </w:rPr>
        <w:t xml:space="preserve"> to plan, implement, and </w:t>
      </w:r>
      <w:r w:rsidR="002D60CF">
        <w:rPr>
          <w:color w:val="000000"/>
        </w:rPr>
        <w:t xml:space="preserve">demonstrate </w:t>
      </w:r>
      <w:r w:rsidR="00D3594F">
        <w:rPr>
          <w:color w:val="000000"/>
        </w:rPr>
        <w:t xml:space="preserve">outcome and </w:t>
      </w:r>
      <w:r w:rsidR="002D60CF">
        <w:rPr>
          <w:color w:val="000000"/>
        </w:rPr>
        <w:t>impact of</w:t>
      </w:r>
      <w:r w:rsidR="002D60CF" w:rsidRPr="00914C46">
        <w:rPr>
          <w:color w:val="000000"/>
        </w:rPr>
        <w:t xml:space="preserve"> </w:t>
      </w:r>
      <w:r>
        <w:rPr>
          <w:color w:val="000000"/>
        </w:rPr>
        <w:t>health communication, education, and training activities</w:t>
      </w:r>
      <w:r w:rsidR="00A84B5F">
        <w:rPr>
          <w:color w:val="000000"/>
        </w:rPr>
        <w:t xml:space="preserve">. </w:t>
      </w:r>
      <w:r w:rsidR="00DD79B1">
        <w:rPr>
          <w:color w:val="000000"/>
        </w:rPr>
        <w:t>The</w:t>
      </w:r>
      <w:r w:rsidR="00F15079">
        <w:rPr>
          <w:color w:val="000000"/>
        </w:rPr>
        <w:t>se</w:t>
      </w:r>
      <w:r w:rsidR="00DD79B1">
        <w:rPr>
          <w:color w:val="000000"/>
        </w:rPr>
        <w:t xml:space="preserve"> </w:t>
      </w:r>
      <w:r w:rsidR="00F15079">
        <w:rPr>
          <w:color w:val="000000"/>
        </w:rPr>
        <w:t>activities include</w:t>
      </w:r>
      <w:r>
        <w:rPr>
          <w:color w:val="000000"/>
        </w:rPr>
        <w:t xml:space="preserve"> communicating with international travelers</w:t>
      </w:r>
      <w:r w:rsidR="00DA0852">
        <w:rPr>
          <w:color w:val="000000"/>
        </w:rPr>
        <w:t xml:space="preserve"> and other mobile populations</w:t>
      </w:r>
      <w:r>
        <w:rPr>
          <w:color w:val="000000"/>
        </w:rPr>
        <w:t xml:space="preserve">, training healthcare providers and educating public health departments. </w:t>
      </w:r>
      <w:r w:rsidRPr="00F027AA">
        <w:rPr>
          <w:color w:val="000000"/>
        </w:rPr>
        <w:t xml:space="preserve"> </w:t>
      </w:r>
    </w:p>
    <w:p w:rsidR="008B0E6B" w:rsidRDefault="008B0E6B" w:rsidP="00361F53">
      <w:pPr>
        <w:rPr>
          <w:color w:val="000000"/>
        </w:rPr>
      </w:pPr>
    </w:p>
    <w:p w:rsidR="008B0E6B" w:rsidRDefault="008B0E6B" w:rsidP="00361F53">
      <w:pPr>
        <w:rPr>
          <w:color w:val="000000"/>
        </w:rPr>
      </w:pPr>
      <w:r w:rsidRPr="00E96FE7">
        <w:rPr>
          <w:color w:val="000000"/>
        </w:rPr>
        <w:t>The information collection for which approval is sought is in</w:t>
      </w:r>
      <w:r>
        <w:rPr>
          <w:color w:val="000000"/>
        </w:rPr>
        <w:t xml:space="preserve"> accordance with </w:t>
      </w:r>
      <w:r w:rsidRPr="003F7719">
        <w:rPr>
          <w:color w:val="000000"/>
        </w:rPr>
        <w:t>DGMQ</w:t>
      </w:r>
      <w:r>
        <w:rPr>
          <w:color w:val="000000"/>
        </w:rPr>
        <w:t xml:space="preserve">’s </w:t>
      </w:r>
      <w:r w:rsidRPr="00E96FE7">
        <w:rPr>
          <w:color w:val="000000"/>
        </w:rPr>
        <w:t xml:space="preserve">mission </w:t>
      </w:r>
      <w:r>
        <w:rPr>
          <w:color w:val="000000"/>
        </w:rPr>
        <w:t xml:space="preserve">to </w:t>
      </w:r>
      <w:r w:rsidRPr="0009269F">
        <w:rPr>
          <w:color w:val="000000"/>
        </w:rPr>
        <w:t xml:space="preserve">reduce morbidity and mortality among immigrants, refugees, travelers, expatriates, and other globally mobile populations, </w:t>
      </w:r>
      <w:r>
        <w:rPr>
          <w:color w:val="000000"/>
        </w:rPr>
        <w:t xml:space="preserve">and </w:t>
      </w:r>
      <w:r w:rsidRPr="00F027AA">
        <w:rPr>
          <w:color w:val="000000"/>
        </w:rPr>
        <w:t>to prevent the introduction, transmission, or spread of communicable diseases from foreign countries into the United States.</w:t>
      </w:r>
      <w:r>
        <w:rPr>
          <w:color w:val="000000"/>
        </w:rPr>
        <w:t xml:space="preserve"> This mission is supported by delegated legal authorities.</w:t>
      </w:r>
    </w:p>
    <w:p w:rsidR="008B0E6B" w:rsidRDefault="008B0E6B" w:rsidP="00361F53">
      <w:pPr>
        <w:rPr>
          <w:color w:val="000000"/>
        </w:rPr>
      </w:pPr>
    </w:p>
    <w:p w:rsidR="008B0E6B" w:rsidRDefault="008B0E6B" w:rsidP="00361F53">
      <w:pPr>
        <w:rPr>
          <w:rFonts w:cs="Arial"/>
        </w:rPr>
      </w:pPr>
      <w:r w:rsidRPr="00523EA5">
        <w:rPr>
          <w:rFonts w:cs="Arial"/>
        </w:rPr>
        <w:t xml:space="preserve">Section 361 of the Public Health Service (PHS) Act (42 USC 264) </w:t>
      </w:r>
      <w:r w:rsidRPr="00D945C2">
        <w:rPr>
          <w:rFonts w:cs="Arial"/>
        </w:rPr>
        <w:t>(Attachment A)</w:t>
      </w:r>
      <w:r w:rsidRPr="00CA6AEA">
        <w:rPr>
          <w:rFonts w:cs="Arial"/>
          <w:b/>
        </w:rPr>
        <w:t xml:space="preserve"> </w:t>
      </w:r>
      <w:r w:rsidRPr="00523EA5">
        <w:rPr>
          <w:rFonts w:cs="Arial"/>
        </w:rPr>
        <w:t xml:space="preserve">authorizes the Secretary of Health and Human Services </w:t>
      </w:r>
      <w:r>
        <w:rPr>
          <w:rFonts w:cs="Arial"/>
        </w:rPr>
        <w:t xml:space="preserve">(HHS) </w:t>
      </w:r>
      <w:r w:rsidRPr="00523EA5">
        <w:rPr>
          <w:rFonts w:cs="Arial"/>
        </w:rPr>
        <w:t>to make and enforce regulations necessary to prevent the introduction, transmission</w:t>
      </w:r>
      <w:r w:rsidR="00A84B5F">
        <w:rPr>
          <w:rFonts w:cs="Arial"/>
        </w:rPr>
        <w:t>,</w:t>
      </w:r>
      <w:r w:rsidRPr="00523EA5">
        <w:rPr>
          <w:rFonts w:cs="Arial"/>
        </w:rPr>
        <w:t xml:space="preserve"> or spread of communicable diseases from foreign countries </w:t>
      </w:r>
      <w:r>
        <w:rPr>
          <w:rFonts w:cs="Arial"/>
        </w:rPr>
        <w:t xml:space="preserve">or possessions </w:t>
      </w:r>
      <w:r w:rsidRPr="00523EA5">
        <w:rPr>
          <w:rFonts w:cs="Arial"/>
        </w:rPr>
        <w:t>into the United States</w:t>
      </w:r>
      <w:r>
        <w:rPr>
          <w:rFonts w:cs="Arial"/>
        </w:rPr>
        <w:t xml:space="preserve"> </w:t>
      </w:r>
      <w:r w:rsidRPr="00441DEE">
        <w:rPr>
          <w:rFonts w:cs="Arial"/>
        </w:rPr>
        <w:t>and from one state or possession into any other state or possession</w:t>
      </w:r>
      <w:r w:rsidRPr="00523EA5">
        <w:rPr>
          <w:rFonts w:cs="Arial"/>
        </w:rPr>
        <w:t xml:space="preserve">. </w:t>
      </w:r>
      <w:r>
        <w:rPr>
          <w:rFonts w:cs="Arial"/>
        </w:rPr>
        <w:t>These regulations are codified in 42 Code of Federal Regulations (CFR) Parts 70 and 71.</w:t>
      </w:r>
    </w:p>
    <w:p w:rsidR="008B0E6B" w:rsidRDefault="008B0E6B" w:rsidP="00361F53">
      <w:pPr>
        <w:rPr>
          <w:rFonts w:cs="Arial"/>
        </w:rPr>
      </w:pPr>
    </w:p>
    <w:p w:rsidR="008B0E6B" w:rsidRDefault="008B0E6B" w:rsidP="00361F53">
      <w:pPr>
        <w:autoSpaceDE w:val="0"/>
        <w:autoSpaceDN w:val="0"/>
        <w:adjustRightInd w:val="0"/>
        <w:rPr>
          <w:rFonts w:eastAsiaTheme="minorHAnsi"/>
        </w:rPr>
      </w:pPr>
      <w:r>
        <w:rPr>
          <w:rFonts w:eastAsiaTheme="minorHAnsi"/>
        </w:rPr>
        <w:t>The Secretary of Health and Human Services also has the legal authority to establish regulations outlining the requirements for the medical examination of aliens before they may be admitted into the United States. This authority is provided under Section 212(a</w:t>
      </w:r>
      <w:proofErr w:type="gramStart"/>
      <w:r>
        <w:rPr>
          <w:rFonts w:eastAsiaTheme="minorHAnsi"/>
        </w:rPr>
        <w:t>)(</w:t>
      </w:r>
      <w:proofErr w:type="gramEnd"/>
      <w:r>
        <w:rPr>
          <w:rFonts w:eastAsiaTheme="minorHAnsi"/>
        </w:rPr>
        <w:t xml:space="preserve">1)(A) of the Immigration and Nationality Act (8 U.S.C. § 1182(a)(1)(A)) </w:t>
      </w:r>
      <w:r>
        <w:rPr>
          <w:rFonts w:cs="Arial"/>
        </w:rPr>
        <w:t>(Attachment B</w:t>
      </w:r>
      <w:r w:rsidRPr="00D945C2">
        <w:rPr>
          <w:rFonts w:cs="Arial"/>
        </w:rPr>
        <w:t>)</w:t>
      </w:r>
      <w:r w:rsidRPr="00CA6AEA">
        <w:rPr>
          <w:rFonts w:cs="Arial"/>
          <w:b/>
        </w:rPr>
        <w:t xml:space="preserve"> </w:t>
      </w:r>
      <w:r>
        <w:rPr>
          <w:rFonts w:eastAsiaTheme="minorHAnsi"/>
        </w:rPr>
        <w:t xml:space="preserve">and Section 325 of the Public Health Service Act </w:t>
      </w:r>
      <w:r>
        <w:rPr>
          <w:rFonts w:cs="Arial"/>
        </w:rPr>
        <w:t>(Attachment C</w:t>
      </w:r>
      <w:r w:rsidRPr="00D945C2">
        <w:rPr>
          <w:rFonts w:cs="Arial"/>
        </w:rPr>
        <w:t>)</w:t>
      </w:r>
      <w:r w:rsidR="00A84B5F">
        <w:rPr>
          <w:rFonts w:eastAsiaTheme="minorHAnsi"/>
        </w:rPr>
        <w:t xml:space="preserve">. </w:t>
      </w:r>
      <w:r w:rsidR="00DD79B1">
        <w:rPr>
          <w:rFonts w:eastAsiaTheme="minorHAnsi"/>
        </w:rPr>
        <w:t xml:space="preserve">These regulations are codified in 42 CFR Part 34, which </w:t>
      </w:r>
      <w:r>
        <w:rPr>
          <w:rFonts w:eastAsiaTheme="minorHAnsi"/>
        </w:rPr>
        <w:t>establish requirements that determine whether aliens can be admitted into the United States.</w:t>
      </w:r>
    </w:p>
    <w:p w:rsidR="008B0E6B" w:rsidRDefault="008B0E6B" w:rsidP="00361F53">
      <w:pPr>
        <w:autoSpaceDE w:val="0"/>
        <w:autoSpaceDN w:val="0"/>
        <w:adjustRightInd w:val="0"/>
        <w:rPr>
          <w:rFonts w:eastAsiaTheme="minorHAnsi"/>
        </w:rPr>
      </w:pPr>
      <w:r>
        <w:rPr>
          <w:rFonts w:eastAsiaTheme="minorHAnsi"/>
        </w:rPr>
        <w:t xml:space="preserve"> </w:t>
      </w:r>
    </w:p>
    <w:p w:rsidR="001B0FDF" w:rsidRDefault="00DD79B1" w:rsidP="00361F53">
      <w:pPr>
        <w:rPr>
          <w:rFonts w:eastAsiaTheme="minorHAnsi"/>
        </w:rPr>
      </w:pPr>
      <w:r>
        <w:rPr>
          <w:color w:val="000000"/>
        </w:rPr>
        <w:t xml:space="preserve">Successful implementation of </w:t>
      </w:r>
      <w:r w:rsidRPr="003F7719">
        <w:rPr>
          <w:color w:val="000000"/>
        </w:rPr>
        <w:t>DGMQ</w:t>
      </w:r>
      <w:r>
        <w:rPr>
          <w:color w:val="000000"/>
        </w:rPr>
        <w:t>’s regulatory authority and public health mission requires a variety of communication, training</w:t>
      </w:r>
      <w:r w:rsidR="00A84B5F">
        <w:rPr>
          <w:color w:val="000000"/>
        </w:rPr>
        <w:t>,</w:t>
      </w:r>
      <w:r>
        <w:rPr>
          <w:color w:val="000000"/>
        </w:rPr>
        <w:t xml:space="preserve"> and/or educational activities with staff, partners, mobile populations and the general public. </w:t>
      </w:r>
      <w:r w:rsidR="003A4D97" w:rsidRPr="00AA5973">
        <w:rPr>
          <w:color w:val="000000"/>
        </w:rPr>
        <w:t>DGMQ</w:t>
      </w:r>
      <w:r w:rsidR="001B0FDF">
        <w:rPr>
          <w:color w:val="000000"/>
        </w:rPr>
        <w:t xml:space="preserve"> conducts many communication and education activities to convey health information to key audiences. Data collection is needed to successfully plan, implement and evaluate health communication, education, and training activities related to </w:t>
      </w:r>
      <w:r w:rsidR="003A4D97" w:rsidRPr="00AA5973">
        <w:rPr>
          <w:color w:val="000000"/>
        </w:rPr>
        <w:t>DGMQ</w:t>
      </w:r>
      <w:r w:rsidR="0000457F">
        <w:rPr>
          <w:color w:val="000000"/>
        </w:rPr>
        <w:t>’s</w:t>
      </w:r>
      <w:r w:rsidR="001B0FDF">
        <w:rPr>
          <w:color w:val="000000"/>
        </w:rPr>
        <w:t xml:space="preserve"> public health mission.</w:t>
      </w:r>
      <w:r w:rsidR="001B0FDF" w:rsidDel="00DD79B1">
        <w:rPr>
          <w:color w:val="000000"/>
        </w:rPr>
        <w:t xml:space="preserve"> </w:t>
      </w:r>
    </w:p>
    <w:p w:rsidR="008B0E6B" w:rsidRDefault="008B0E6B" w:rsidP="00361F53">
      <w:pPr>
        <w:rPr>
          <w:color w:val="000000"/>
        </w:rPr>
      </w:pPr>
    </w:p>
    <w:p w:rsidR="00185BFC" w:rsidRDefault="008B0E6B" w:rsidP="00361F53">
      <w:pPr>
        <w:rPr>
          <w:color w:val="000000"/>
        </w:rPr>
      </w:pPr>
      <w:r>
        <w:rPr>
          <w:color w:val="000000"/>
        </w:rPr>
        <w:t xml:space="preserve">This generic OMB clearance will allow </w:t>
      </w:r>
      <w:r w:rsidR="003A4D97" w:rsidRPr="00AA5973">
        <w:rPr>
          <w:color w:val="000000"/>
        </w:rPr>
        <w:t>DGMQ</w:t>
      </w:r>
      <w:r>
        <w:rPr>
          <w:color w:val="000000"/>
        </w:rPr>
        <w:t xml:space="preserve"> to </w:t>
      </w:r>
      <w:r w:rsidR="00273A87">
        <w:rPr>
          <w:color w:val="000000"/>
        </w:rPr>
        <w:t xml:space="preserve">quickly </w:t>
      </w:r>
      <w:r>
        <w:rPr>
          <w:color w:val="000000"/>
        </w:rPr>
        <w:t xml:space="preserve">collect information </w:t>
      </w:r>
      <w:r w:rsidR="00185BFC">
        <w:rPr>
          <w:color w:val="000000"/>
        </w:rPr>
        <w:t xml:space="preserve">about the knowledge, attitudes, and behaviors </w:t>
      </w:r>
      <w:r>
        <w:rPr>
          <w:color w:val="000000"/>
        </w:rPr>
        <w:t xml:space="preserve">from key </w:t>
      </w:r>
      <w:r w:rsidRPr="008A2CD1">
        <w:t xml:space="preserve">audiences </w:t>
      </w:r>
      <w:r w:rsidR="008A2CD1" w:rsidRPr="008A2CD1">
        <w:t xml:space="preserve">(such as </w:t>
      </w:r>
      <w:r w:rsidR="00A920BE" w:rsidRPr="008A2CD1">
        <w:t xml:space="preserve">refugees, </w:t>
      </w:r>
      <w:r w:rsidR="008A2CD1" w:rsidRPr="008A2CD1">
        <w:t xml:space="preserve">immigrants, </w:t>
      </w:r>
      <w:r w:rsidR="008D4DFE">
        <w:t xml:space="preserve">migrants, </w:t>
      </w:r>
      <w:r w:rsidR="008A2CD1" w:rsidRPr="008A2CD1">
        <w:t xml:space="preserve">international </w:t>
      </w:r>
      <w:r w:rsidR="00A920BE" w:rsidRPr="008A2CD1">
        <w:t xml:space="preserve">travelers, travel industry partners, </w:t>
      </w:r>
      <w:r w:rsidR="008A2CD1" w:rsidRPr="008A2CD1">
        <w:t>healthcare providers, non-profit agencies,</w:t>
      </w:r>
      <w:r w:rsidR="0067091C">
        <w:t xml:space="preserve"> </w:t>
      </w:r>
      <w:r w:rsidR="006C1051">
        <w:t>customs brokers and forwarders</w:t>
      </w:r>
      <w:r w:rsidR="003A38E9">
        <w:t>, school</w:t>
      </w:r>
      <w:r w:rsidR="00EC6D5F">
        <w:t>s</w:t>
      </w:r>
      <w:r w:rsidR="003A38E9">
        <w:t>,</w:t>
      </w:r>
      <w:r w:rsidR="008A2CD1" w:rsidRPr="008A2CD1">
        <w:t xml:space="preserve"> state and local health departments</w:t>
      </w:r>
      <w:r w:rsidR="00A920BE" w:rsidRPr="008A2CD1">
        <w:t xml:space="preserve">) </w:t>
      </w:r>
      <w:r>
        <w:rPr>
          <w:color w:val="000000"/>
        </w:rPr>
        <w:t xml:space="preserve">to help improve and inform these </w:t>
      </w:r>
      <w:r w:rsidR="00185BFC">
        <w:rPr>
          <w:color w:val="000000"/>
        </w:rPr>
        <w:t xml:space="preserve">activities during routine and </w:t>
      </w:r>
      <w:r>
        <w:rPr>
          <w:color w:val="000000"/>
        </w:rPr>
        <w:t>emergency</w:t>
      </w:r>
      <w:r w:rsidR="00A84B5F">
        <w:rPr>
          <w:color w:val="000000"/>
        </w:rPr>
        <w:t xml:space="preserve"> public health events.</w:t>
      </w:r>
      <w:r w:rsidR="00185BFC">
        <w:rPr>
          <w:color w:val="000000"/>
        </w:rPr>
        <w:t xml:space="preserve"> </w:t>
      </w:r>
      <w:r w:rsidR="001B0FDF">
        <w:rPr>
          <w:color w:val="000000"/>
        </w:rPr>
        <w:t xml:space="preserve">This generic OMB clearance will </w:t>
      </w:r>
      <w:r w:rsidR="00D3594F">
        <w:rPr>
          <w:color w:val="000000"/>
        </w:rPr>
        <w:t xml:space="preserve">also </w:t>
      </w:r>
      <w:r w:rsidR="001B0FDF">
        <w:rPr>
          <w:color w:val="000000"/>
        </w:rPr>
        <w:t xml:space="preserve">help </w:t>
      </w:r>
      <w:r w:rsidR="003A4D97" w:rsidRPr="00AA5973">
        <w:rPr>
          <w:color w:val="000000"/>
        </w:rPr>
        <w:t>DGMQ</w:t>
      </w:r>
      <w:r w:rsidR="001B0FDF">
        <w:rPr>
          <w:color w:val="000000"/>
        </w:rPr>
        <w:t xml:space="preserve"> continue to refine these efforts in a timely manner, and will be especially valuable for communication activities that must occur quickly.  </w:t>
      </w:r>
    </w:p>
    <w:p w:rsidR="00185BFC" w:rsidRDefault="00185BFC" w:rsidP="00361F53">
      <w:pPr>
        <w:rPr>
          <w:color w:val="000000"/>
        </w:rPr>
      </w:pPr>
    </w:p>
    <w:p w:rsidR="00185BFC" w:rsidRPr="0074782B" w:rsidRDefault="007D7FC0" w:rsidP="0074782B">
      <w:pPr>
        <w:spacing w:after="120"/>
        <w:rPr>
          <w:color w:val="000000"/>
          <w:u w:val="single"/>
        </w:rPr>
      </w:pPr>
      <w:r w:rsidRPr="0074782B">
        <w:rPr>
          <w:color w:val="000000"/>
          <w:u w:val="single"/>
        </w:rPr>
        <w:t>Privacy Impact Assessment</w:t>
      </w:r>
      <w:r w:rsidR="0074782B">
        <w:rPr>
          <w:color w:val="000000"/>
          <w:u w:val="single"/>
        </w:rPr>
        <w:t xml:space="preserve"> Information</w:t>
      </w:r>
    </w:p>
    <w:p w:rsidR="00185BFC" w:rsidRPr="0074782B" w:rsidRDefault="00185BFC" w:rsidP="0074782B">
      <w:pPr>
        <w:spacing w:before="120" w:after="120"/>
        <w:rPr>
          <w:i/>
          <w:color w:val="000000"/>
        </w:rPr>
      </w:pPr>
      <w:r w:rsidRPr="0074782B">
        <w:rPr>
          <w:i/>
          <w:color w:val="000000"/>
        </w:rPr>
        <w:t>Overview of Data Collection System</w:t>
      </w:r>
    </w:p>
    <w:p w:rsidR="006708A1" w:rsidRDefault="003A4D97" w:rsidP="006708A1">
      <w:pPr>
        <w:rPr>
          <w:rFonts w:ascii="Calibri" w:hAnsi="Calibri" w:cs="Calibri"/>
          <w:color w:val="1F497D"/>
          <w:sz w:val="22"/>
          <w:szCs w:val="22"/>
        </w:rPr>
      </w:pPr>
      <w:r w:rsidRPr="00AA5973">
        <w:rPr>
          <w:color w:val="000000"/>
        </w:rPr>
        <w:t>DGMQ</w:t>
      </w:r>
      <w:r w:rsidR="00684429">
        <w:rPr>
          <w:color w:val="000000"/>
        </w:rPr>
        <w:t xml:space="preserve"> staff proposes the following data collection methods for this package: </w:t>
      </w:r>
      <w:r w:rsidR="00684429" w:rsidRPr="007A7BD4">
        <w:rPr>
          <w:color w:val="000000"/>
        </w:rPr>
        <w:t>interviews,</w:t>
      </w:r>
      <w:r w:rsidR="00684429">
        <w:rPr>
          <w:color w:val="000000"/>
        </w:rPr>
        <w:t xml:space="preserve"> </w:t>
      </w:r>
      <w:r w:rsidR="00684429" w:rsidRPr="007A7BD4">
        <w:rPr>
          <w:color w:val="000000"/>
        </w:rPr>
        <w:t xml:space="preserve">focus groups, </w:t>
      </w:r>
      <w:r w:rsidR="00684429">
        <w:rPr>
          <w:color w:val="000000"/>
        </w:rPr>
        <w:t xml:space="preserve">group discussions, </w:t>
      </w:r>
      <w:r w:rsidR="00684429" w:rsidRPr="007A7BD4">
        <w:rPr>
          <w:color w:val="000000"/>
        </w:rPr>
        <w:t>surveys,</w:t>
      </w:r>
      <w:r w:rsidR="00684429">
        <w:rPr>
          <w:color w:val="000000"/>
        </w:rPr>
        <w:t xml:space="preserve"> and pre-post tests. Depending on the information collected, data collection methods may be conducted either in-person, by telephone, on paper</w:t>
      </w:r>
      <w:r w:rsidR="005534D9">
        <w:rPr>
          <w:color w:val="000000"/>
        </w:rPr>
        <w:t>,</w:t>
      </w:r>
      <w:r w:rsidR="00684429">
        <w:rPr>
          <w:color w:val="000000"/>
        </w:rPr>
        <w:t xml:space="preserve"> or online.</w:t>
      </w:r>
      <w:r w:rsidR="00944123" w:rsidRPr="00944123">
        <w:rPr>
          <w:rFonts w:ascii="Courier New" w:hAnsi="Courier New" w:cs="Courier New"/>
        </w:rPr>
        <w:t xml:space="preserve"> </w:t>
      </w:r>
      <w:r w:rsidR="00944123" w:rsidRPr="00944123">
        <w:t>Data may be collected in quantitative and/or qualitative forms.</w:t>
      </w:r>
      <w:r w:rsidR="006708A1">
        <w:t xml:space="preserve"> </w:t>
      </w:r>
      <w:r w:rsidR="000C3C1F">
        <w:t xml:space="preserve">Each proposed evaluation project </w:t>
      </w:r>
      <w:r w:rsidR="000C3C1F" w:rsidRPr="000C3C1F">
        <w:rPr>
          <w:color w:val="000000"/>
        </w:rPr>
        <w:t xml:space="preserve">will submit the tools used for </w:t>
      </w:r>
      <w:r w:rsidR="0038564E">
        <w:rPr>
          <w:color w:val="000000"/>
        </w:rPr>
        <w:t>data collection</w:t>
      </w:r>
      <w:r w:rsidR="000C3C1F" w:rsidRPr="000C3C1F">
        <w:rPr>
          <w:color w:val="000000"/>
        </w:rPr>
        <w:t xml:space="preserve">, including </w:t>
      </w:r>
      <w:r w:rsidR="006708A1" w:rsidRPr="000C3C1F">
        <w:rPr>
          <w:color w:val="000000"/>
        </w:rPr>
        <w:t>screenshots</w:t>
      </w:r>
      <w:r w:rsidR="0038564E">
        <w:rPr>
          <w:color w:val="000000"/>
        </w:rPr>
        <w:t xml:space="preserve"> of </w:t>
      </w:r>
      <w:r w:rsidR="000C3C1F" w:rsidRPr="000C3C1F">
        <w:rPr>
          <w:color w:val="000000"/>
        </w:rPr>
        <w:t xml:space="preserve">web-based surveys, </w:t>
      </w:r>
      <w:r w:rsidR="000C3C1F">
        <w:t xml:space="preserve">in the statement </w:t>
      </w:r>
      <w:r w:rsidR="000C3C1F" w:rsidRPr="000C3C1F">
        <w:t>provided to OMB</w:t>
      </w:r>
      <w:r w:rsidR="006708A1" w:rsidRPr="000C3C1F">
        <w:rPr>
          <w:color w:val="000000"/>
        </w:rPr>
        <w:t>.</w:t>
      </w:r>
    </w:p>
    <w:p w:rsidR="00684429" w:rsidRDefault="00684429" w:rsidP="00361F53">
      <w:pPr>
        <w:rPr>
          <w:color w:val="000000"/>
        </w:rPr>
      </w:pPr>
    </w:p>
    <w:p w:rsidR="00EC3FE4" w:rsidRPr="0074782B" w:rsidRDefault="007D7FC0" w:rsidP="0074782B">
      <w:pPr>
        <w:spacing w:before="120" w:after="120"/>
        <w:rPr>
          <w:i/>
          <w:color w:val="000000"/>
        </w:rPr>
      </w:pPr>
      <w:r w:rsidRPr="0074782B">
        <w:rPr>
          <w:i/>
          <w:color w:val="000000"/>
        </w:rPr>
        <w:t>Items</w:t>
      </w:r>
      <w:r w:rsidR="00AB10DA" w:rsidRPr="0074782B">
        <w:rPr>
          <w:i/>
          <w:color w:val="000000"/>
        </w:rPr>
        <w:t xml:space="preserve"> of Information</w:t>
      </w:r>
      <w:r w:rsidRPr="0074782B">
        <w:rPr>
          <w:i/>
          <w:color w:val="000000"/>
        </w:rPr>
        <w:t xml:space="preserve"> to be Collected</w:t>
      </w:r>
    </w:p>
    <w:p w:rsidR="00684429" w:rsidRPr="00E96FE7" w:rsidRDefault="00684429" w:rsidP="00361F53">
      <w:pPr>
        <w:rPr>
          <w:color w:val="000000"/>
        </w:rPr>
      </w:pPr>
      <w:r>
        <w:rPr>
          <w:color w:val="000000"/>
        </w:rPr>
        <w:t>N</w:t>
      </w:r>
      <w:r w:rsidRPr="00E96FE7">
        <w:rPr>
          <w:color w:val="000000"/>
        </w:rPr>
        <w:t xml:space="preserve">umerous </w:t>
      </w:r>
      <w:r>
        <w:rPr>
          <w:color w:val="000000"/>
        </w:rPr>
        <w:t xml:space="preserve">audience variables will be assessed </w:t>
      </w:r>
      <w:r w:rsidRPr="00E96FE7">
        <w:rPr>
          <w:color w:val="000000"/>
        </w:rPr>
        <w:t>under the auspices of this generic OMB clearance</w:t>
      </w:r>
      <w:r>
        <w:rPr>
          <w:color w:val="000000"/>
        </w:rPr>
        <w:t>. These</w:t>
      </w:r>
      <w:r w:rsidRPr="00E96FE7">
        <w:rPr>
          <w:color w:val="000000"/>
        </w:rPr>
        <w:t xml:space="preserve"> include, but are not limited to</w:t>
      </w:r>
      <w:r w:rsidR="00A84B5F">
        <w:rPr>
          <w:color w:val="000000"/>
        </w:rPr>
        <w:t>,</w:t>
      </w:r>
      <w:r w:rsidRPr="00E96FE7">
        <w:rPr>
          <w:color w:val="000000"/>
        </w:rPr>
        <w:t xml:space="preserve"> knowledge, attitudes, beliefs, behavioral intentions,</w:t>
      </w:r>
      <w:r>
        <w:rPr>
          <w:color w:val="000000"/>
        </w:rPr>
        <w:t xml:space="preserve"> practices, behaviors, skills,</w:t>
      </w:r>
      <w:r w:rsidRPr="00E96FE7">
        <w:rPr>
          <w:color w:val="000000"/>
        </w:rPr>
        <w:t xml:space="preserve"> </w:t>
      </w:r>
      <w:r>
        <w:rPr>
          <w:color w:val="000000"/>
        </w:rPr>
        <w:t>self-efficacy, and information needs and sources.</w:t>
      </w:r>
      <w:r w:rsidRPr="00E96FE7">
        <w:rPr>
          <w:color w:val="000000"/>
        </w:rPr>
        <w:t xml:space="preserve"> Insights gained from </w:t>
      </w:r>
      <w:r w:rsidR="00110290">
        <w:rPr>
          <w:color w:val="000000"/>
        </w:rPr>
        <w:t xml:space="preserve">evaluation </w:t>
      </w:r>
      <w:r>
        <w:rPr>
          <w:color w:val="000000"/>
        </w:rPr>
        <w:t>research</w:t>
      </w:r>
      <w:r w:rsidRPr="00E96FE7">
        <w:rPr>
          <w:color w:val="000000"/>
        </w:rPr>
        <w:t xml:space="preserve"> will a</w:t>
      </w:r>
      <w:r>
        <w:rPr>
          <w:color w:val="000000"/>
        </w:rPr>
        <w:t xml:space="preserve">ssist in the development, </w:t>
      </w:r>
      <w:r w:rsidRPr="00E96FE7">
        <w:rPr>
          <w:color w:val="000000"/>
        </w:rPr>
        <w:t>refinement</w:t>
      </w:r>
      <w:r>
        <w:rPr>
          <w:color w:val="000000"/>
        </w:rPr>
        <w:t>, implementation</w:t>
      </w:r>
      <w:r w:rsidR="00A84B5F">
        <w:rPr>
          <w:color w:val="000000"/>
        </w:rPr>
        <w:t>,</w:t>
      </w:r>
      <w:r>
        <w:rPr>
          <w:color w:val="000000"/>
        </w:rPr>
        <w:t xml:space="preserve"> and evaluation</w:t>
      </w:r>
      <w:r w:rsidRPr="00E96FE7">
        <w:rPr>
          <w:color w:val="000000"/>
        </w:rPr>
        <w:t xml:space="preserve"> of </w:t>
      </w:r>
      <w:r>
        <w:rPr>
          <w:color w:val="000000"/>
        </w:rPr>
        <w:t>communication, education, and training activities</w:t>
      </w:r>
      <w:r w:rsidRPr="00E96FE7">
        <w:rPr>
          <w:color w:val="000000"/>
        </w:rPr>
        <w:t>.</w:t>
      </w:r>
    </w:p>
    <w:p w:rsidR="00EC3FE4" w:rsidRDefault="00EC3FE4" w:rsidP="00361F53">
      <w:pPr>
        <w:rPr>
          <w:color w:val="000000"/>
          <w:u w:val="single"/>
        </w:rPr>
      </w:pPr>
    </w:p>
    <w:p w:rsidR="00EC3FE4" w:rsidRPr="0074782B" w:rsidRDefault="007D7FC0" w:rsidP="0074782B">
      <w:pPr>
        <w:spacing w:before="120" w:after="120"/>
        <w:rPr>
          <w:i/>
          <w:color w:val="000000"/>
        </w:rPr>
      </w:pPr>
      <w:r w:rsidRPr="0074782B">
        <w:rPr>
          <w:i/>
          <w:color w:val="000000"/>
        </w:rPr>
        <w:t xml:space="preserve">Identification of Websites and Website Content directed at Children </w:t>
      </w:r>
      <w:r w:rsidR="002440A2" w:rsidRPr="0074782B">
        <w:rPr>
          <w:i/>
          <w:color w:val="000000"/>
        </w:rPr>
        <w:t>u</w:t>
      </w:r>
      <w:r w:rsidRPr="0074782B">
        <w:rPr>
          <w:i/>
          <w:color w:val="000000"/>
        </w:rPr>
        <w:t xml:space="preserve">nder 13 </w:t>
      </w:r>
      <w:r w:rsidR="002440A2" w:rsidRPr="0074782B">
        <w:rPr>
          <w:i/>
          <w:color w:val="000000"/>
        </w:rPr>
        <w:t>Y</w:t>
      </w:r>
      <w:r w:rsidRPr="0074782B">
        <w:rPr>
          <w:i/>
          <w:color w:val="000000"/>
        </w:rPr>
        <w:t xml:space="preserve">ears of </w:t>
      </w:r>
      <w:r w:rsidR="002440A2" w:rsidRPr="0074782B">
        <w:rPr>
          <w:i/>
          <w:color w:val="000000"/>
        </w:rPr>
        <w:t>A</w:t>
      </w:r>
      <w:r w:rsidRPr="0074782B">
        <w:rPr>
          <w:i/>
          <w:color w:val="000000"/>
        </w:rPr>
        <w:t>ge</w:t>
      </w:r>
    </w:p>
    <w:p w:rsidR="00EC3FE4" w:rsidRPr="00AB10DA" w:rsidRDefault="00684429" w:rsidP="00361F53">
      <w:pPr>
        <w:rPr>
          <w:color w:val="000000"/>
        </w:rPr>
      </w:pPr>
      <w:r w:rsidRPr="00AB10DA">
        <w:rPr>
          <w:color w:val="000000"/>
        </w:rPr>
        <w:t xml:space="preserve">No website content will be specifically directed to children </w:t>
      </w:r>
      <w:proofErr w:type="gramStart"/>
      <w:r w:rsidRPr="00AB10DA">
        <w:rPr>
          <w:color w:val="000000"/>
        </w:rPr>
        <w:t>under</w:t>
      </w:r>
      <w:proofErr w:type="gramEnd"/>
      <w:r w:rsidRPr="00AB10DA">
        <w:rPr>
          <w:color w:val="000000"/>
        </w:rPr>
        <w:t xml:space="preserve"> 13 years of age.</w:t>
      </w:r>
    </w:p>
    <w:p w:rsidR="00185BFC" w:rsidRDefault="00185BFC" w:rsidP="00361F53">
      <w:pPr>
        <w:rPr>
          <w:color w:val="000000"/>
          <w:u w:val="single"/>
        </w:rPr>
      </w:pPr>
    </w:p>
    <w:p w:rsidR="0074782B" w:rsidRPr="00185BFC" w:rsidRDefault="0074782B" w:rsidP="00361F53">
      <w:pPr>
        <w:rPr>
          <w:color w:val="000000"/>
          <w:u w:val="single"/>
        </w:rPr>
      </w:pPr>
    </w:p>
    <w:p w:rsidR="008B0E6B" w:rsidRPr="0092182A" w:rsidRDefault="00B17DC8" w:rsidP="00361F53">
      <w:pPr>
        <w:outlineLvl w:val="0"/>
        <w:rPr>
          <w:b/>
          <w:bCs/>
          <w:iCs/>
          <w:color w:val="000000"/>
        </w:rPr>
      </w:pPr>
      <w:bookmarkStart w:id="39" w:name="_Toc299967994"/>
      <w:r w:rsidRPr="0092182A">
        <w:rPr>
          <w:b/>
          <w:bCs/>
          <w:iCs/>
          <w:color w:val="000000"/>
        </w:rPr>
        <w:t>A</w:t>
      </w:r>
      <w:r w:rsidR="00DC2107">
        <w:rPr>
          <w:b/>
          <w:bCs/>
          <w:iCs/>
          <w:color w:val="000000"/>
        </w:rPr>
        <w:t>.</w:t>
      </w:r>
      <w:r w:rsidRPr="0092182A">
        <w:rPr>
          <w:b/>
          <w:bCs/>
          <w:iCs/>
          <w:color w:val="000000"/>
        </w:rPr>
        <w:t xml:space="preserve">2. Purpose and Use of </w:t>
      </w:r>
      <w:r w:rsidR="008B0E6B" w:rsidRPr="0092182A">
        <w:rPr>
          <w:b/>
          <w:bCs/>
          <w:iCs/>
          <w:color w:val="000000"/>
        </w:rPr>
        <w:t>Information Collection</w:t>
      </w:r>
      <w:bookmarkEnd w:id="39"/>
    </w:p>
    <w:p w:rsidR="008B0E6B" w:rsidRPr="00E96FE7" w:rsidRDefault="008B0E6B" w:rsidP="00361F53">
      <w:pPr>
        <w:rPr>
          <w:color w:val="000000"/>
        </w:rPr>
      </w:pPr>
    </w:p>
    <w:p w:rsidR="00361961" w:rsidRDefault="008B0E6B" w:rsidP="00361F53">
      <w:pPr>
        <w:rPr>
          <w:color w:val="000000"/>
        </w:rPr>
      </w:pPr>
      <w:r w:rsidRPr="00E96FE7">
        <w:rPr>
          <w:color w:val="000000"/>
        </w:rPr>
        <w:t xml:space="preserve">The purpose of this generic clearance request is to conduct </w:t>
      </w:r>
      <w:r>
        <w:rPr>
          <w:color w:val="000000"/>
        </w:rPr>
        <w:t xml:space="preserve">timely evaluations </w:t>
      </w:r>
      <w:r w:rsidR="00EC3FE4">
        <w:rPr>
          <w:color w:val="000000"/>
        </w:rPr>
        <w:t xml:space="preserve">of </w:t>
      </w:r>
      <w:r w:rsidR="003A4D97" w:rsidRPr="00AA5973">
        <w:rPr>
          <w:color w:val="000000"/>
        </w:rPr>
        <w:t>DGMQ</w:t>
      </w:r>
      <w:r w:rsidRPr="00AA5973">
        <w:rPr>
          <w:color w:val="000000"/>
        </w:rPr>
        <w:t>’s</w:t>
      </w:r>
      <w:r>
        <w:rPr>
          <w:color w:val="000000"/>
        </w:rPr>
        <w:t xml:space="preserve"> communication, education, and training </w:t>
      </w:r>
      <w:r w:rsidRPr="00E96FE7">
        <w:rPr>
          <w:color w:val="000000"/>
        </w:rPr>
        <w:t>activities</w:t>
      </w:r>
      <w:r>
        <w:rPr>
          <w:color w:val="000000"/>
        </w:rPr>
        <w:t xml:space="preserve">. These evaluation activities will allow </w:t>
      </w:r>
      <w:r w:rsidR="003A4D97" w:rsidRPr="00AA5973">
        <w:rPr>
          <w:color w:val="000000"/>
        </w:rPr>
        <w:t>DGMQ</w:t>
      </w:r>
      <w:r>
        <w:rPr>
          <w:color w:val="000000"/>
        </w:rPr>
        <w:t xml:space="preserve"> to provide clear, </w:t>
      </w:r>
      <w:r w:rsidR="006F2146">
        <w:rPr>
          <w:color w:val="000000"/>
        </w:rPr>
        <w:t xml:space="preserve">effective, </w:t>
      </w:r>
      <w:r>
        <w:rPr>
          <w:color w:val="000000"/>
        </w:rPr>
        <w:t xml:space="preserve">and appropriate training, education, and communication to key audiences. The information collected </w:t>
      </w:r>
      <w:r w:rsidRPr="00E96FE7">
        <w:rPr>
          <w:color w:val="000000"/>
        </w:rPr>
        <w:t xml:space="preserve">will be used by </w:t>
      </w:r>
      <w:r w:rsidR="003A4D97" w:rsidRPr="00AA5973">
        <w:rPr>
          <w:color w:val="000000"/>
        </w:rPr>
        <w:t>DGMQ</w:t>
      </w:r>
      <w:r w:rsidRPr="00E96FE7">
        <w:rPr>
          <w:color w:val="000000"/>
        </w:rPr>
        <w:t xml:space="preserve"> staff to appropriately plan</w:t>
      </w:r>
      <w:r>
        <w:rPr>
          <w:color w:val="000000"/>
        </w:rPr>
        <w:t>, implement</w:t>
      </w:r>
      <w:r w:rsidR="00A84B5F">
        <w:rPr>
          <w:color w:val="000000"/>
        </w:rPr>
        <w:t>,</w:t>
      </w:r>
      <w:r>
        <w:rPr>
          <w:color w:val="000000"/>
        </w:rPr>
        <w:t xml:space="preserve"> and </w:t>
      </w:r>
      <w:r w:rsidR="00D3594F">
        <w:rPr>
          <w:color w:val="000000"/>
        </w:rPr>
        <w:t>demonstrate outcomes and impact of</w:t>
      </w:r>
      <w:r w:rsidR="00D3594F" w:rsidRPr="00E96FE7">
        <w:rPr>
          <w:color w:val="000000"/>
        </w:rPr>
        <w:t xml:space="preserve"> </w:t>
      </w:r>
      <w:r>
        <w:rPr>
          <w:color w:val="000000"/>
        </w:rPr>
        <w:t>communication, education, and training activities.</w:t>
      </w:r>
      <w:r w:rsidR="0030794A">
        <w:rPr>
          <w:color w:val="000000"/>
        </w:rPr>
        <w:t xml:space="preserve"> </w:t>
      </w:r>
      <w:r w:rsidR="00361961">
        <w:rPr>
          <w:color w:val="000000"/>
        </w:rPr>
        <w:t>This generic OMB clearance will support conducting evaluation for communication, education, and training activities</w:t>
      </w:r>
      <w:r w:rsidR="00E466D1">
        <w:rPr>
          <w:color w:val="000000"/>
        </w:rPr>
        <w:t>.</w:t>
      </w:r>
      <w:r w:rsidR="0030794A">
        <w:rPr>
          <w:color w:val="000000"/>
        </w:rPr>
        <w:t xml:space="preserve"> </w:t>
      </w:r>
    </w:p>
    <w:p w:rsidR="0030794A" w:rsidRPr="00E96FE7" w:rsidRDefault="0030794A" w:rsidP="00361F53">
      <w:pPr>
        <w:rPr>
          <w:color w:val="000000"/>
        </w:rPr>
      </w:pPr>
    </w:p>
    <w:p w:rsidR="00CF32F1" w:rsidRPr="00AB10DA" w:rsidRDefault="00CF32F1" w:rsidP="0074782B">
      <w:pPr>
        <w:spacing w:after="120"/>
        <w:rPr>
          <w:color w:val="000000"/>
          <w:u w:val="single"/>
        </w:rPr>
      </w:pPr>
      <w:r w:rsidRPr="00AB10DA">
        <w:rPr>
          <w:color w:val="000000"/>
          <w:u w:val="single"/>
        </w:rPr>
        <w:t>Privacy Impact Assessment Information</w:t>
      </w:r>
    </w:p>
    <w:p w:rsidR="00E52BC6" w:rsidRPr="00ED01A2" w:rsidRDefault="003A4D97" w:rsidP="00361F53">
      <w:r w:rsidRPr="00AA5973">
        <w:t>DGMQ</w:t>
      </w:r>
      <w:r w:rsidR="00E52BC6">
        <w:t xml:space="preserve"> and contractors will follow procedures for assuring and maintaining privacy during all stages of data collection. </w:t>
      </w:r>
      <w:r w:rsidR="00E52BC6">
        <w:rPr>
          <w:bCs/>
          <w:iCs/>
          <w:color w:val="000000"/>
        </w:rPr>
        <w:t xml:space="preserve">Respondents will be recruited </w:t>
      </w:r>
      <w:r w:rsidR="00E52BC6">
        <w:rPr>
          <w:color w:val="000000"/>
        </w:rPr>
        <w:t>using established record systems such as proprietary databases of professional organizations (e.g., the American Medical Association), commercial focus group</w:t>
      </w:r>
      <w:r w:rsidR="00A84B5F">
        <w:rPr>
          <w:color w:val="000000"/>
        </w:rPr>
        <w:t xml:space="preserve"> companies, and other sources. </w:t>
      </w:r>
      <w:r w:rsidR="00BB0CAC" w:rsidRPr="003701B1">
        <w:rPr>
          <w:color w:val="000000"/>
        </w:rPr>
        <w:t xml:space="preserve">Each proposed evaluation project will </w:t>
      </w:r>
      <w:r w:rsidR="00BB0CAC" w:rsidRPr="003701B1">
        <w:rPr>
          <w:color w:val="000000"/>
        </w:rPr>
        <w:lastRenderedPageBreak/>
        <w:t>submit</w:t>
      </w:r>
      <w:r w:rsidR="00BB0CAC" w:rsidRPr="00AA5973">
        <w:rPr>
          <w:color w:val="000000"/>
        </w:rPr>
        <w:t xml:space="preserve"> </w:t>
      </w:r>
      <w:r w:rsidR="00BB0CAC">
        <w:rPr>
          <w:color w:val="000000"/>
        </w:rPr>
        <w:t xml:space="preserve">information about record </w:t>
      </w:r>
      <w:proofErr w:type="gramStart"/>
      <w:r w:rsidR="00BB0CAC">
        <w:rPr>
          <w:color w:val="000000"/>
        </w:rPr>
        <w:t>systems</w:t>
      </w:r>
      <w:r w:rsidR="00B756F6">
        <w:rPr>
          <w:color w:val="000000"/>
        </w:rPr>
        <w:t>,</w:t>
      </w:r>
      <w:proofErr w:type="gramEnd"/>
      <w:r w:rsidR="00BB0CAC">
        <w:rPr>
          <w:color w:val="000000"/>
        </w:rPr>
        <w:t xml:space="preserve"> any demographic information retained for purposes of analysis</w:t>
      </w:r>
      <w:r w:rsidR="00B756F6">
        <w:rPr>
          <w:color w:val="000000"/>
        </w:rPr>
        <w:t>, and will reference the appropriate Systems of Records Notice for the data as it applies to the project</w:t>
      </w:r>
      <w:r w:rsidR="00BB0CAC">
        <w:rPr>
          <w:color w:val="000000"/>
        </w:rPr>
        <w:t xml:space="preserve">. </w:t>
      </w:r>
    </w:p>
    <w:p w:rsidR="00E52BC6" w:rsidRDefault="00E52BC6" w:rsidP="00361F53">
      <w:pPr>
        <w:autoSpaceDE w:val="0"/>
        <w:autoSpaceDN w:val="0"/>
        <w:adjustRightInd w:val="0"/>
        <w:rPr>
          <w:color w:val="000000"/>
        </w:rPr>
      </w:pPr>
    </w:p>
    <w:p w:rsidR="00E52BC6" w:rsidRDefault="00944123" w:rsidP="00361F53">
      <w:pPr>
        <w:autoSpaceDE w:val="0"/>
        <w:autoSpaceDN w:val="0"/>
        <w:adjustRightInd w:val="0"/>
        <w:rPr>
          <w:color w:val="000000"/>
        </w:rPr>
      </w:pPr>
      <w:r>
        <w:rPr>
          <w:color w:val="000000"/>
        </w:rPr>
        <w:t>Each proposed activity will submit an application for IRB review and approval, which will outlin</w:t>
      </w:r>
      <w:r w:rsidR="00A84B5F">
        <w:rPr>
          <w:color w:val="000000"/>
        </w:rPr>
        <w:t xml:space="preserve">e their procedure for consent. </w:t>
      </w:r>
      <w:r>
        <w:rPr>
          <w:color w:val="000000"/>
        </w:rPr>
        <w:t>However, p</w:t>
      </w:r>
      <w:r w:rsidR="00E52BC6" w:rsidRPr="002F0A78">
        <w:rPr>
          <w:color w:val="000000"/>
        </w:rPr>
        <w:t xml:space="preserve">rior to participating in the information collection, </w:t>
      </w:r>
      <w:r>
        <w:rPr>
          <w:color w:val="000000"/>
        </w:rPr>
        <w:t xml:space="preserve">most </w:t>
      </w:r>
      <w:r w:rsidR="00E52BC6" w:rsidRPr="002F0A78">
        <w:rPr>
          <w:color w:val="000000"/>
        </w:rPr>
        <w:t>prospective respondent</w:t>
      </w:r>
      <w:r>
        <w:rPr>
          <w:color w:val="000000"/>
        </w:rPr>
        <w:t>s</w:t>
      </w:r>
      <w:r w:rsidR="00E52BC6" w:rsidRPr="002F0A78">
        <w:rPr>
          <w:color w:val="000000"/>
        </w:rPr>
        <w:t xml:space="preserve"> will receive information such </w:t>
      </w:r>
      <w:r>
        <w:rPr>
          <w:color w:val="000000"/>
        </w:rPr>
        <w:t xml:space="preserve">as the </w:t>
      </w:r>
      <w:r w:rsidR="00E52BC6" w:rsidRPr="002F0A78">
        <w:rPr>
          <w:color w:val="000000"/>
        </w:rPr>
        <w:t>sponsorship of the</w:t>
      </w:r>
      <w:r w:rsidR="00110290">
        <w:rPr>
          <w:color w:val="000000"/>
        </w:rPr>
        <w:t xml:space="preserve"> </w:t>
      </w:r>
      <w:r w:rsidR="00D3594F">
        <w:rPr>
          <w:color w:val="000000"/>
        </w:rPr>
        <w:t xml:space="preserve">evaluation </w:t>
      </w:r>
      <w:r w:rsidR="00C53537">
        <w:rPr>
          <w:color w:val="000000"/>
        </w:rPr>
        <w:t>project</w:t>
      </w:r>
      <w:r w:rsidR="00E52BC6" w:rsidRPr="002F0A78">
        <w:rPr>
          <w:color w:val="000000"/>
        </w:rPr>
        <w:t>, their rights as participants, risks and benefits in participating, and contacts for more information</w:t>
      </w:r>
      <w:r>
        <w:rPr>
          <w:color w:val="000000"/>
        </w:rPr>
        <w:t xml:space="preserve"> about the</w:t>
      </w:r>
      <w:r w:rsidR="00110290">
        <w:rPr>
          <w:color w:val="000000"/>
        </w:rPr>
        <w:t xml:space="preserve"> </w:t>
      </w:r>
      <w:r w:rsidR="00C53537">
        <w:rPr>
          <w:color w:val="000000"/>
        </w:rPr>
        <w:t>evaluation project</w:t>
      </w:r>
      <w:r>
        <w:rPr>
          <w:color w:val="000000"/>
        </w:rPr>
        <w:t>.</w:t>
      </w:r>
      <w:r w:rsidR="00E52BC6" w:rsidRPr="002F0A78">
        <w:rPr>
          <w:color w:val="000000"/>
        </w:rPr>
        <w:t xml:space="preserve"> </w:t>
      </w:r>
      <w:r w:rsidR="00E52BC6">
        <w:rPr>
          <w:color w:val="000000"/>
        </w:rPr>
        <w:t>Prior to the beginning of the information collection, a</w:t>
      </w:r>
      <w:r w:rsidR="00E52BC6" w:rsidRPr="002F0A78">
        <w:rPr>
          <w:color w:val="000000"/>
        </w:rPr>
        <w:t xml:space="preserve"> staff member will address any questions the participants have about the </w:t>
      </w:r>
      <w:r w:rsidR="00C53537">
        <w:rPr>
          <w:color w:val="000000"/>
        </w:rPr>
        <w:t>evaluation project</w:t>
      </w:r>
      <w:r w:rsidR="00E52BC6">
        <w:rPr>
          <w:color w:val="000000"/>
        </w:rPr>
        <w:t>.</w:t>
      </w:r>
    </w:p>
    <w:p w:rsidR="00E52BC6" w:rsidRDefault="00E52BC6" w:rsidP="00361F53">
      <w:pPr>
        <w:rPr>
          <w:color w:val="000000"/>
        </w:rPr>
      </w:pPr>
    </w:p>
    <w:p w:rsidR="00E52BC6" w:rsidRPr="00E96FE7" w:rsidRDefault="00E52BC6" w:rsidP="00361F53">
      <w:pPr>
        <w:rPr>
          <w:color w:val="000000"/>
        </w:rPr>
      </w:pPr>
      <w:r>
        <w:rPr>
          <w:color w:val="000000"/>
        </w:rPr>
        <w:t xml:space="preserve">Participants will be informed that </w:t>
      </w:r>
      <w:r w:rsidR="00110290">
        <w:rPr>
          <w:color w:val="000000"/>
        </w:rPr>
        <w:t xml:space="preserve">evaluation </w:t>
      </w:r>
      <w:r>
        <w:rPr>
          <w:color w:val="000000"/>
        </w:rPr>
        <w:t>research may</w:t>
      </w:r>
      <w:r w:rsidRPr="00E96FE7">
        <w:rPr>
          <w:color w:val="000000"/>
        </w:rPr>
        <w:t xml:space="preserve"> be </w:t>
      </w:r>
      <w:r w:rsidR="00D3594F">
        <w:rPr>
          <w:color w:val="000000"/>
        </w:rPr>
        <w:t>recorded</w:t>
      </w:r>
      <w:r>
        <w:rPr>
          <w:color w:val="000000"/>
        </w:rPr>
        <w:t xml:space="preserve"> and transcribed, and that</w:t>
      </w:r>
      <w:r w:rsidRPr="00E96FE7">
        <w:rPr>
          <w:color w:val="000000"/>
        </w:rPr>
        <w:t xml:space="preserve"> </w:t>
      </w:r>
      <w:r w:rsidR="00D3594F">
        <w:rPr>
          <w:color w:val="000000"/>
        </w:rPr>
        <w:t>multimedia recordings</w:t>
      </w:r>
      <w:r w:rsidR="00D64124">
        <w:rPr>
          <w:color w:val="000000"/>
        </w:rPr>
        <w:t xml:space="preserve"> </w:t>
      </w:r>
      <w:r w:rsidRPr="00E96FE7">
        <w:rPr>
          <w:color w:val="000000"/>
        </w:rPr>
        <w:t>will be destroyed</w:t>
      </w:r>
      <w:r>
        <w:rPr>
          <w:color w:val="000000"/>
        </w:rPr>
        <w:t xml:space="preserve"> after completion of each report on findings</w:t>
      </w:r>
      <w:r w:rsidR="00A84B5F">
        <w:rPr>
          <w:color w:val="000000"/>
        </w:rPr>
        <w:t xml:space="preserve">. </w:t>
      </w:r>
      <w:r w:rsidR="003A4D97" w:rsidRPr="00AA5973">
        <w:rPr>
          <w:color w:val="000000"/>
        </w:rPr>
        <w:t>DGMQ</w:t>
      </w:r>
      <w:r>
        <w:rPr>
          <w:color w:val="000000"/>
        </w:rPr>
        <w:t xml:space="preserve"> staff</w:t>
      </w:r>
      <w:r w:rsidR="00D64124">
        <w:rPr>
          <w:color w:val="000000"/>
        </w:rPr>
        <w:t xml:space="preserve"> </w:t>
      </w:r>
      <w:r w:rsidR="00D3594F">
        <w:rPr>
          <w:color w:val="000000"/>
        </w:rPr>
        <w:t>and</w:t>
      </w:r>
      <w:r>
        <w:rPr>
          <w:color w:val="000000"/>
        </w:rPr>
        <w:t xml:space="preserve"> </w:t>
      </w:r>
      <w:r w:rsidRPr="00E96FE7">
        <w:rPr>
          <w:color w:val="000000"/>
        </w:rPr>
        <w:t>contractor</w:t>
      </w:r>
      <w:r w:rsidR="00D3594F">
        <w:rPr>
          <w:color w:val="000000"/>
        </w:rPr>
        <w:t>s</w:t>
      </w:r>
      <w:r w:rsidRPr="00E96FE7">
        <w:rPr>
          <w:color w:val="000000"/>
        </w:rPr>
        <w:t xml:space="preserve"> will collect and evaluate the </w:t>
      </w:r>
      <w:r>
        <w:rPr>
          <w:color w:val="000000"/>
        </w:rPr>
        <w:t>research</w:t>
      </w:r>
      <w:r w:rsidRPr="00E96FE7">
        <w:rPr>
          <w:color w:val="000000"/>
        </w:rPr>
        <w:t xml:space="preserve"> data.  </w:t>
      </w:r>
    </w:p>
    <w:p w:rsidR="00E52BC6" w:rsidRPr="00E96FE7" w:rsidRDefault="00E52BC6" w:rsidP="00361F53">
      <w:pPr>
        <w:rPr>
          <w:color w:val="000000"/>
        </w:rPr>
      </w:pPr>
    </w:p>
    <w:p w:rsidR="00E52BC6" w:rsidRDefault="00E52BC6" w:rsidP="00361F53">
      <w:pPr>
        <w:autoSpaceDE w:val="0"/>
        <w:autoSpaceDN w:val="0"/>
        <w:adjustRightInd w:val="0"/>
        <w:rPr>
          <w:color w:val="000000"/>
        </w:rPr>
      </w:pPr>
      <w:r w:rsidRPr="00E96FE7">
        <w:rPr>
          <w:color w:val="000000"/>
        </w:rPr>
        <w:t xml:space="preserve">All information provided by respondents will be treated in a </w:t>
      </w:r>
      <w:r>
        <w:rPr>
          <w:color w:val="000000"/>
        </w:rPr>
        <w:t>secure</w:t>
      </w:r>
      <w:r w:rsidRPr="00E96FE7">
        <w:rPr>
          <w:color w:val="000000"/>
        </w:rPr>
        <w:t xml:space="preserve"> manner</w:t>
      </w:r>
      <w:r>
        <w:rPr>
          <w:color w:val="000000"/>
        </w:rPr>
        <w:t xml:space="preserve"> and will not be disclosed</w:t>
      </w:r>
      <w:r w:rsidRPr="00E96FE7">
        <w:rPr>
          <w:color w:val="000000"/>
        </w:rPr>
        <w:t xml:space="preserve"> unless otherwise compelled by law. </w:t>
      </w:r>
      <w:r>
        <w:rPr>
          <w:color w:val="000000"/>
        </w:rPr>
        <w:t xml:space="preserve">Respondents </w:t>
      </w:r>
      <w:r w:rsidRPr="00E96FE7">
        <w:rPr>
          <w:color w:val="000000"/>
        </w:rPr>
        <w:t xml:space="preserve">will be informed prior to participation that their responses will be treated in a </w:t>
      </w:r>
      <w:r>
        <w:rPr>
          <w:color w:val="000000"/>
        </w:rPr>
        <w:t>secure</w:t>
      </w:r>
      <w:r w:rsidRPr="00E96FE7">
        <w:rPr>
          <w:color w:val="000000"/>
        </w:rPr>
        <w:t xml:space="preserve"> manner. </w:t>
      </w:r>
    </w:p>
    <w:p w:rsidR="00E52BC6" w:rsidRDefault="00E52BC6" w:rsidP="00361F53">
      <w:pPr>
        <w:rPr>
          <w:sz w:val="22"/>
          <w:szCs w:val="22"/>
        </w:rPr>
      </w:pPr>
    </w:p>
    <w:p w:rsidR="00CF32F1" w:rsidRPr="00D3594F" w:rsidRDefault="0000457F" w:rsidP="00361F53">
      <w:pPr>
        <w:rPr>
          <w:color w:val="000000"/>
        </w:rPr>
      </w:pPr>
      <w:r w:rsidRPr="0000457F">
        <w:t>The proposed data collection will have little or no effect on the respondent’s privacy.</w:t>
      </w:r>
    </w:p>
    <w:p w:rsidR="00F03802" w:rsidRDefault="00F03802" w:rsidP="00361F53">
      <w:pPr>
        <w:outlineLvl w:val="0"/>
        <w:rPr>
          <w:b/>
          <w:bCs/>
          <w:iCs/>
          <w:color w:val="000000"/>
        </w:rPr>
      </w:pPr>
    </w:p>
    <w:p w:rsidR="00F03802" w:rsidRDefault="00F03802" w:rsidP="00361F53">
      <w:pPr>
        <w:outlineLvl w:val="0"/>
        <w:rPr>
          <w:b/>
          <w:bCs/>
          <w:iCs/>
          <w:color w:val="000000"/>
        </w:rPr>
      </w:pPr>
    </w:p>
    <w:p w:rsidR="00F03802" w:rsidRDefault="00F03802" w:rsidP="00361F53">
      <w:pPr>
        <w:outlineLvl w:val="0"/>
        <w:rPr>
          <w:b/>
          <w:bCs/>
          <w:iCs/>
          <w:color w:val="000000"/>
        </w:rPr>
      </w:pPr>
    </w:p>
    <w:p w:rsidR="008B0E6B" w:rsidRPr="0092182A" w:rsidRDefault="008B0E6B" w:rsidP="00361F53">
      <w:pPr>
        <w:outlineLvl w:val="0"/>
        <w:rPr>
          <w:b/>
          <w:bCs/>
          <w:iCs/>
          <w:color w:val="000000"/>
        </w:rPr>
      </w:pPr>
      <w:bookmarkStart w:id="40" w:name="_Toc299967995"/>
      <w:r w:rsidRPr="0092182A">
        <w:rPr>
          <w:b/>
          <w:bCs/>
          <w:iCs/>
          <w:color w:val="000000"/>
        </w:rPr>
        <w:t>A</w:t>
      </w:r>
      <w:r w:rsidR="00DC2107">
        <w:rPr>
          <w:b/>
          <w:bCs/>
          <w:iCs/>
          <w:color w:val="000000"/>
        </w:rPr>
        <w:t>.</w:t>
      </w:r>
      <w:r w:rsidRPr="0092182A">
        <w:rPr>
          <w:b/>
          <w:bCs/>
          <w:iCs/>
          <w:color w:val="000000"/>
        </w:rPr>
        <w:t>3. Use of Improved Information Technology and Burden Reduction</w:t>
      </w:r>
      <w:bookmarkEnd w:id="40"/>
    </w:p>
    <w:p w:rsidR="008B0E6B" w:rsidRPr="00E96FE7" w:rsidRDefault="008B0E6B" w:rsidP="00361F53">
      <w:pPr>
        <w:rPr>
          <w:color w:val="000000"/>
        </w:rPr>
      </w:pPr>
    </w:p>
    <w:p w:rsidR="008B0E6B" w:rsidRPr="00E96FE7" w:rsidRDefault="008B0E6B" w:rsidP="00361F53">
      <w:pPr>
        <w:rPr>
          <w:color w:val="000000"/>
        </w:rPr>
      </w:pPr>
      <w:r>
        <w:rPr>
          <w:color w:val="000000"/>
        </w:rPr>
        <w:t>W</w:t>
      </w:r>
      <w:r w:rsidRPr="00E96FE7">
        <w:rPr>
          <w:color w:val="000000"/>
        </w:rPr>
        <w:t xml:space="preserve">henever possible, </w:t>
      </w:r>
      <w:r w:rsidR="003A4D97" w:rsidRPr="00AA5973">
        <w:rPr>
          <w:color w:val="000000"/>
        </w:rPr>
        <w:t>DGMQ</w:t>
      </w:r>
      <w:r w:rsidRPr="00E96FE7">
        <w:rPr>
          <w:color w:val="000000"/>
        </w:rPr>
        <w:t xml:space="preserve"> staff will employ </w:t>
      </w:r>
      <w:r>
        <w:rPr>
          <w:color w:val="000000"/>
        </w:rPr>
        <w:t>electronic</w:t>
      </w:r>
      <w:r w:rsidRPr="00E96FE7">
        <w:rPr>
          <w:color w:val="000000"/>
        </w:rPr>
        <w:t xml:space="preserve"> technology to collect and process data in order to reduce respondent burden and aid in data processing and reporting efficiency. </w:t>
      </w:r>
      <w:r w:rsidRPr="007A7BD4">
        <w:rPr>
          <w:color w:val="000000"/>
        </w:rPr>
        <w:t>Particular emphasis will be placed on compliance with the Government Paperwork Elimination Act (GPEA), Public Law 105-277, title XVII.</w:t>
      </w:r>
      <w:r>
        <w:rPr>
          <w:sz w:val="22"/>
          <w:szCs w:val="22"/>
        </w:rPr>
        <w:t xml:space="preserve">  </w:t>
      </w:r>
    </w:p>
    <w:p w:rsidR="008B0E6B" w:rsidRPr="00E96FE7" w:rsidRDefault="008B0E6B" w:rsidP="00361F53">
      <w:pPr>
        <w:rPr>
          <w:color w:val="000000"/>
        </w:rPr>
      </w:pPr>
    </w:p>
    <w:p w:rsidR="006708A1" w:rsidRDefault="005534D9" w:rsidP="006708A1">
      <w:pPr>
        <w:rPr>
          <w:rFonts w:ascii="Calibri" w:hAnsi="Calibri" w:cs="Calibri"/>
          <w:color w:val="1F497D"/>
          <w:sz w:val="22"/>
          <w:szCs w:val="22"/>
        </w:rPr>
      </w:pPr>
      <w:r>
        <w:rPr>
          <w:color w:val="000000"/>
        </w:rPr>
        <w:t xml:space="preserve">Data collection </w:t>
      </w:r>
      <w:r w:rsidR="00D33EB1" w:rsidRPr="00D33EB1">
        <w:rPr>
          <w:color w:val="000000"/>
        </w:rPr>
        <w:t xml:space="preserve">will be conducted using the most current </w:t>
      </w:r>
      <w:r w:rsidR="001B0FDF" w:rsidRPr="00D33EB1">
        <w:rPr>
          <w:color w:val="000000"/>
        </w:rPr>
        <w:t>m</w:t>
      </w:r>
      <w:r w:rsidR="001B0FDF">
        <w:rPr>
          <w:color w:val="000000"/>
        </w:rPr>
        <w:t>odes</w:t>
      </w:r>
      <w:r w:rsidR="001B0FDF" w:rsidRPr="00D33EB1">
        <w:rPr>
          <w:color w:val="000000"/>
        </w:rPr>
        <w:t>,</w:t>
      </w:r>
      <w:r w:rsidR="00D33EB1" w:rsidRPr="00D33EB1">
        <w:rPr>
          <w:color w:val="000000"/>
        </w:rPr>
        <w:t xml:space="preserve"> including </w:t>
      </w:r>
      <w:r w:rsidR="00A84B5F">
        <w:rPr>
          <w:color w:val="000000"/>
        </w:rPr>
        <w:t>computer-</w:t>
      </w:r>
      <w:r w:rsidR="00D33EB1">
        <w:rPr>
          <w:color w:val="000000"/>
        </w:rPr>
        <w:t xml:space="preserve">assisted methods, </w:t>
      </w:r>
      <w:r w:rsidR="00D33EB1" w:rsidRPr="00D33EB1">
        <w:rPr>
          <w:color w:val="000000"/>
        </w:rPr>
        <w:t xml:space="preserve">web-based surveys, </w:t>
      </w:r>
      <w:r>
        <w:rPr>
          <w:color w:val="000000"/>
        </w:rPr>
        <w:t xml:space="preserve">web-based focus groups, </w:t>
      </w:r>
      <w:r w:rsidR="00D33EB1" w:rsidRPr="00D33EB1">
        <w:rPr>
          <w:color w:val="000000"/>
        </w:rPr>
        <w:t xml:space="preserve">or other modes </w:t>
      </w:r>
      <w:r w:rsidR="00D33EB1">
        <w:rPr>
          <w:color w:val="000000"/>
        </w:rPr>
        <w:t>as necessary to reach the intended audience</w:t>
      </w:r>
      <w:r w:rsidR="005A5981">
        <w:rPr>
          <w:color w:val="000000"/>
        </w:rPr>
        <w:t xml:space="preserve">. </w:t>
      </w:r>
      <w:r w:rsidR="00D33EB1" w:rsidRPr="00D33EB1">
        <w:rPr>
          <w:color w:val="000000"/>
        </w:rPr>
        <w:t xml:space="preserve">Though these technologies will be used by many of the individual projects in this data collection, the nature of many of these proposed activities typically requires direct interaction between respondents and project staff, especially in the case of qualitative </w:t>
      </w:r>
      <w:r w:rsidR="00D33EB1">
        <w:rPr>
          <w:color w:val="000000"/>
        </w:rPr>
        <w:t>focus group discussions</w:t>
      </w:r>
      <w:r w:rsidR="00D33EB1" w:rsidRPr="00D33EB1">
        <w:rPr>
          <w:color w:val="000000"/>
        </w:rPr>
        <w:t>. Also, in cases when respondents do not have access to electronic means of communication, a paper</w:t>
      </w:r>
      <w:r w:rsidR="00D3594F">
        <w:rPr>
          <w:color w:val="000000"/>
        </w:rPr>
        <w:t>-</w:t>
      </w:r>
      <w:r w:rsidR="00D33EB1" w:rsidRPr="00D33EB1">
        <w:rPr>
          <w:color w:val="000000"/>
        </w:rPr>
        <w:t xml:space="preserve">based data collection will be implemented on a limited basis. </w:t>
      </w:r>
      <w:r w:rsidR="000C3C1F">
        <w:t xml:space="preserve">Each proposed evaluation project </w:t>
      </w:r>
      <w:r w:rsidR="000C3C1F" w:rsidRPr="000C3C1F">
        <w:rPr>
          <w:color w:val="000000"/>
        </w:rPr>
        <w:t xml:space="preserve">will submit the tools used for </w:t>
      </w:r>
      <w:r w:rsidR="0038564E">
        <w:rPr>
          <w:color w:val="000000"/>
        </w:rPr>
        <w:t>data collection</w:t>
      </w:r>
      <w:r w:rsidR="000C3C1F" w:rsidRPr="000C3C1F">
        <w:rPr>
          <w:color w:val="000000"/>
        </w:rPr>
        <w:t>, including screenshots</w:t>
      </w:r>
      <w:r w:rsidR="0038564E">
        <w:rPr>
          <w:color w:val="000000"/>
        </w:rPr>
        <w:t xml:space="preserve"> of </w:t>
      </w:r>
      <w:r w:rsidR="000C3C1F" w:rsidRPr="000C3C1F">
        <w:rPr>
          <w:color w:val="000000"/>
        </w:rPr>
        <w:t xml:space="preserve">web-based surveys, </w:t>
      </w:r>
      <w:r w:rsidR="000C3C1F">
        <w:t xml:space="preserve">in the statement </w:t>
      </w:r>
      <w:r w:rsidR="000C3C1F" w:rsidRPr="000C3C1F">
        <w:t>provided to OMB</w:t>
      </w:r>
      <w:r w:rsidR="000C3C1F" w:rsidRPr="000C3C1F">
        <w:rPr>
          <w:color w:val="000000"/>
        </w:rPr>
        <w:t>.</w:t>
      </w:r>
    </w:p>
    <w:p w:rsidR="00D33EB1" w:rsidRPr="00D33EB1" w:rsidRDefault="00D33EB1" w:rsidP="00361F53">
      <w:pPr>
        <w:rPr>
          <w:color w:val="000000"/>
        </w:rPr>
      </w:pPr>
    </w:p>
    <w:p w:rsidR="00D33EB1" w:rsidRDefault="00D33EB1" w:rsidP="00361F53">
      <w:pPr>
        <w:rPr>
          <w:color w:val="000000"/>
        </w:rPr>
      </w:pPr>
    </w:p>
    <w:p w:rsidR="008B0E6B" w:rsidRPr="00E96FE7" w:rsidRDefault="008B0E6B" w:rsidP="00361F53">
      <w:pPr>
        <w:rPr>
          <w:color w:val="000000"/>
        </w:rPr>
      </w:pPr>
      <w:r w:rsidRPr="00C941B3">
        <w:rPr>
          <w:color w:val="000000"/>
        </w:rPr>
        <w:t>In all i</w:t>
      </w:r>
      <w:r w:rsidR="00C941B3" w:rsidRPr="00C941B3">
        <w:rPr>
          <w:color w:val="000000"/>
        </w:rPr>
        <w:t>nformation collections</w:t>
      </w:r>
      <w:r w:rsidRPr="00C941B3">
        <w:rPr>
          <w:color w:val="000000"/>
        </w:rPr>
        <w:t xml:space="preserve">, the number of </w:t>
      </w:r>
      <w:r w:rsidR="00D33EB1">
        <w:rPr>
          <w:color w:val="000000"/>
        </w:rPr>
        <w:t>questions</w:t>
      </w:r>
      <w:r w:rsidR="00D33EB1" w:rsidRPr="00C941B3">
        <w:rPr>
          <w:color w:val="000000"/>
        </w:rPr>
        <w:t xml:space="preserve"> </w:t>
      </w:r>
      <w:r w:rsidRPr="00C941B3">
        <w:rPr>
          <w:color w:val="000000"/>
        </w:rPr>
        <w:t>posed will be held to the minimum required in order to elicit the necessary data.</w:t>
      </w:r>
      <w:r w:rsidRPr="00E96FE7">
        <w:rPr>
          <w:color w:val="000000"/>
        </w:rPr>
        <w:t xml:space="preserve">  </w:t>
      </w:r>
    </w:p>
    <w:p w:rsidR="008B0E6B" w:rsidRDefault="008B0E6B" w:rsidP="00361F53">
      <w:pPr>
        <w:outlineLvl w:val="0"/>
        <w:rPr>
          <w:b/>
          <w:bCs/>
          <w:i/>
          <w:iCs/>
          <w:color w:val="000000"/>
        </w:rPr>
      </w:pPr>
    </w:p>
    <w:p w:rsidR="0074782B" w:rsidRDefault="0074782B" w:rsidP="00361F53">
      <w:pPr>
        <w:outlineLvl w:val="0"/>
        <w:rPr>
          <w:b/>
          <w:bCs/>
          <w:i/>
          <w:iCs/>
          <w:color w:val="000000"/>
        </w:rPr>
      </w:pPr>
    </w:p>
    <w:p w:rsidR="008B0E6B" w:rsidRPr="0092182A" w:rsidRDefault="008B0E6B" w:rsidP="00361F53">
      <w:pPr>
        <w:outlineLvl w:val="0"/>
        <w:rPr>
          <w:b/>
          <w:bCs/>
          <w:iCs/>
          <w:color w:val="000000"/>
        </w:rPr>
      </w:pPr>
      <w:bookmarkStart w:id="41" w:name="_Toc299967996"/>
      <w:r w:rsidRPr="0092182A">
        <w:rPr>
          <w:b/>
          <w:bCs/>
          <w:iCs/>
          <w:color w:val="000000"/>
        </w:rPr>
        <w:t>A</w:t>
      </w:r>
      <w:r w:rsidR="00DC2107">
        <w:rPr>
          <w:b/>
          <w:bCs/>
          <w:iCs/>
          <w:color w:val="000000"/>
        </w:rPr>
        <w:t>.</w:t>
      </w:r>
      <w:r w:rsidRPr="0092182A">
        <w:rPr>
          <w:b/>
          <w:bCs/>
          <w:iCs/>
          <w:color w:val="000000"/>
        </w:rPr>
        <w:t>4. Efforts to Identify Duplication and Use of Similar Information</w:t>
      </w:r>
      <w:bookmarkEnd w:id="41"/>
      <w:r w:rsidRPr="0092182A">
        <w:rPr>
          <w:b/>
          <w:bCs/>
          <w:iCs/>
          <w:color w:val="000000"/>
        </w:rPr>
        <w:t xml:space="preserve"> </w:t>
      </w:r>
    </w:p>
    <w:p w:rsidR="00A920BE" w:rsidRDefault="00A920BE" w:rsidP="00361F53"/>
    <w:p w:rsidR="00A920BE" w:rsidRDefault="005A5981" w:rsidP="00361F53">
      <w:r>
        <w:lastRenderedPageBreak/>
        <w:t xml:space="preserve">Because </w:t>
      </w:r>
      <w:r w:rsidR="003A4D97" w:rsidRPr="00AA5973">
        <w:t>DGMQ</w:t>
      </w:r>
      <w:r w:rsidRPr="00AA5973">
        <w:t>’s</w:t>
      </w:r>
      <w:r>
        <w:t xml:space="preserve"> public heath mission is supported by regulatory responsibilities</w:t>
      </w:r>
      <w:r w:rsidR="00A84B5F">
        <w:t>,</w:t>
      </w:r>
      <w:r>
        <w:t xml:space="preserve"> as outlined in Section A1, it</w:t>
      </w:r>
      <w:r w:rsidR="00A920BE">
        <w:t xml:space="preserve"> is not expected that any of the information </w:t>
      </w:r>
      <w:r>
        <w:t>collected under this proposed generic clearance</w:t>
      </w:r>
      <w:r w:rsidR="00A920BE">
        <w:t xml:space="preserve"> is duplicative or is already in th</w:t>
      </w:r>
      <w:r w:rsidR="004804D5">
        <w:t>e possession of the f</w:t>
      </w:r>
      <w:r w:rsidR="00F50F52">
        <w:t xml:space="preserve">ederal </w:t>
      </w:r>
      <w:r w:rsidR="004804D5">
        <w:t>g</w:t>
      </w:r>
      <w:r w:rsidR="00A920BE">
        <w:t xml:space="preserve">overnment. The proposed generic </w:t>
      </w:r>
      <w:r w:rsidR="00D33EB1">
        <w:t xml:space="preserve">clearance </w:t>
      </w:r>
      <w:r w:rsidR="00A920BE">
        <w:t xml:space="preserve">will allow </w:t>
      </w:r>
      <w:r w:rsidR="003A4D97" w:rsidRPr="00AA5973">
        <w:t>DGMQ</w:t>
      </w:r>
      <w:r w:rsidR="00F50F52">
        <w:t xml:space="preserve"> to significantly improve </w:t>
      </w:r>
      <w:r w:rsidR="00A920BE">
        <w:t xml:space="preserve">its ability to develop, refine and evaluate </w:t>
      </w:r>
      <w:r w:rsidR="00A920BE">
        <w:rPr>
          <w:color w:val="000000"/>
        </w:rPr>
        <w:t xml:space="preserve">communication, education, and training </w:t>
      </w:r>
      <w:r w:rsidR="00A920BE" w:rsidRPr="00E96FE7">
        <w:rPr>
          <w:color w:val="000000"/>
        </w:rPr>
        <w:t>activities</w:t>
      </w:r>
      <w:r w:rsidR="003F0F47">
        <w:rPr>
          <w:color w:val="000000"/>
        </w:rPr>
        <w:t>. The results and final products from these</w:t>
      </w:r>
      <w:r w:rsidR="00F50F52">
        <w:rPr>
          <w:color w:val="000000"/>
        </w:rPr>
        <w:t xml:space="preserve"> activities</w:t>
      </w:r>
      <w:r w:rsidR="00A920BE">
        <w:t xml:space="preserve"> </w:t>
      </w:r>
      <w:r w:rsidR="00F50F52">
        <w:t xml:space="preserve">may </w:t>
      </w:r>
      <w:r w:rsidR="004A07C6">
        <w:t xml:space="preserve">be </w:t>
      </w:r>
      <w:r w:rsidR="00F50F52">
        <w:t xml:space="preserve">used by multiple government and non-profit </w:t>
      </w:r>
      <w:r w:rsidR="00A920BE">
        <w:t>agencies.</w:t>
      </w:r>
    </w:p>
    <w:p w:rsidR="008B0E6B" w:rsidRDefault="008B0E6B" w:rsidP="00361F53">
      <w:pPr>
        <w:rPr>
          <w:b/>
          <w:bCs/>
        </w:rPr>
      </w:pPr>
    </w:p>
    <w:p w:rsidR="0074782B" w:rsidRPr="0092182A" w:rsidRDefault="0074782B" w:rsidP="00361F53">
      <w:pPr>
        <w:rPr>
          <w:b/>
          <w:bCs/>
        </w:rPr>
      </w:pPr>
    </w:p>
    <w:p w:rsidR="00F50F52" w:rsidRPr="0092182A" w:rsidRDefault="004435C4" w:rsidP="00361F53">
      <w:pPr>
        <w:outlineLvl w:val="0"/>
        <w:rPr>
          <w:b/>
          <w:bCs/>
          <w:iCs/>
          <w:color w:val="000000"/>
        </w:rPr>
      </w:pPr>
      <w:bookmarkStart w:id="42" w:name="_Toc299967997"/>
      <w:r w:rsidRPr="0092182A">
        <w:rPr>
          <w:b/>
          <w:bCs/>
          <w:iCs/>
          <w:color w:val="000000"/>
        </w:rPr>
        <w:t>A</w:t>
      </w:r>
      <w:r w:rsidR="00DC2107">
        <w:rPr>
          <w:b/>
          <w:bCs/>
          <w:iCs/>
          <w:color w:val="000000"/>
        </w:rPr>
        <w:t>.</w:t>
      </w:r>
      <w:r w:rsidR="00F50F52" w:rsidRPr="0092182A">
        <w:rPr>
          <w:b/>
          <w:bCs/>
          <w:iCs/>
          <w:color w:val="000000"/>
        </w:rPr>
        <w:t>5. Impact on Small Businesses or Other Small Entities</w:t>
      </w:r>
      <w:bookmarkEnd w:id="42"/>
    </w:p>
    <w:p w:rsidR="00F50F52" w:rsidRDefault="00F50F52" w:rsidP="00361F53"/>
    <w:p w:rsidR="00D25282" w:rsidRPr="00E96FE7" w:rsidRDefault="00D25282" w:rsidP="00361F53">
      <w:pPr>
        <w:rPr>
          <w:color w:val="000000"/>
        </w:rPr>
      </w:pPr>
      <w:r>
        <w:rPr>
          <w:color w:val="000000"/>
        </w:rPr>
        <w:t>C</w:t>
      </w:r>
      <w:r w:rsidRPr="00E96FE7">
        <w:rPr>
          <w:color w:val="000000"/>
        </w:rPr>
        <w:t>ommunication</w:t>
      </w:r>
      <w:r>
        <w:rPr>
          <w:color w:val="000000"/>
        </w:rPr>
        <w:t>, training</w:t>
      </w:r>
      <w:r w:rsidR="006C1051">
        <w:rPr>
          <w:color w:val="000000"/>
        </w:rPr>
        <w:t>,</w:t>
      </w:r>
      <w:r>
        <w:rPr>
          <w:color w:val="000000"/>
        </w:rPr>
        <w:t xml:space="preserve"> and educational activities</w:t>
      </w:r>
      <w:r w:rsidRPr="00E96FE7">
        <w:rPr>
          <w:color w:val="000000"/>
        </w:rPr>
        <w:t xml:space="preserve"> </w:t>
      </w:r>
      <w:r>
        <w:rPr>
          <w:color w:val="000000"/>
        </w:rPr>
        <w:t xml:space="preserve">frequently </w:t>
      </w:r>
      <w:r w:rsidRPr="00E96FE7">
        <w:rPr>
          <w:color w:val="000000"/>
        </w:rPr>
        <w:t>inc</w:t>
      </w:r>
      <w:r>
        <w:rPr>
          <w:color w:val="000000"/>
        </w:rPr>
        <w:t>lude</w:t>
      </w:r>
      <w:r w:rsidR="004437FE">
        <w:rPr>
          <w:color w:val="000000"/>
        </w:rPr>
        <w:t xml:space="preserve"> health</w:t>
      </w:r>
      <w:r w:rsidRPr="00E96FE7">
        <w:rPr>
          <w:color w:val="000000"/>
        </w:rPr>
        <w:t>care providers in the target population. When research with this audience</w:t>
      </w:r>
      <w:r>
        <w:rPr>
          <w:color w:val="000000"/>
        </w:rPr>
        <w:t xml:space="preserve"> is required</w:t>
      </w:r>
      <w:r w:rsidRPr="00E96FE7">
        <w:rPr>
          <w:color w:val="000000"/>
        </w:rPr>
        <w:t xml:space="preserve">, </w:t>
      </w:r>
      <w:r w:rsidR="003A4D97" w:rsidRPr="00AA5973">
        <w:rPr>
          <w:color w:val="000000"/>
        </w:rPr>
        <w:t>CDC</w:t>
      </w:r>
      <w:r w:rsidRPr="00E96FE7">
        <w:rPr>
          <w:color w:val="000000"/>
        </w:rPr>
        <w:t xml:space="preserve"> works through established medical and professional societies and research contractors to gain access and obtain </w:t>
      </w:r>
      <w:r>
        <w:rPr>
          <w:color w:val="000000"/>
        </w:rPr>
        <w:t xml:space="preserve">the necessary </w:t>
      </w:r>
      <w:r w:rsidRPr="00E96FE7">
        <w:rPr>
          <w:color w:val="000000"/>
        </w:rPr>
        <w:t>participa</w:t>
      </w:r>
      <w:r>
        <w:rPr>
          <w:color w:val="000000"/>
        </w:rPr>
        <w:t>nts</w:t>
      </w:r>
      <w:r w:rsidRPr="00E96FE7">
        <w:rPr>
          <w:color w:val="000000"/>
        </w:rPr>
        <w:t xml:space="preserve">. </w:t>
      </w:r>
      <w:r w:rsidR="006111CA">
        <w:rPr>
          <w:color w:val="000000"/>
        </w:rPr>
        <w:t>Evaluation research</w:t>
      </w:r>
      <w:r w:rsidRPr="00E96FE7">
        <w:rPr>
          <w:color w:val="000000"/>
        </w:rPr>
        <w:t xml:space="preserve"> efforts will be carefully planned to minimize the burden on </w:t>
      </w:r>
      <w:r w:rsidR="004437FE">
        <w:rPr>
          <w:color w:val="000000"/>
        </w:rPr>
        <w:t>health</w:t>
      </w:r>
      <w:r w:rsidR="005534D9">
        <w:rPr>
          <w:color w:val="000000"/>
        </w:rPr>
        <w:t>care provider</w:t>
      </w:r>
      <w:r w:rsidR="00ED523F" w:rsidRPr="00E96FE7">
        <w:rPr>
          <w:color w:val="000000"/>
        </w:rPr>
        <w:t xml:space="preserve"> </w:t>
      </w:r>
      <w:r w:rsidRPr="00E96FE7">
        <w:rPr>
          <w:color w:val="000000"/>
        </w:rPr>
        <w:t xml:space="preserve">practices and other small entities. </w:t>
      </w:r>
    </w:p>
    <w:p w:rsidR="007C1142" w:rsidRDefault="007C1142" w:rsidP="00361F53"/>
    <w:p w:rsidR="0074782B" w:rsidRPr="0092182A" w:rsidRDefault="0074782B" w:rsidP="00361F53"/>
    <w:p w:rsidR="00F50F52" w:rsidRPr="0092182A" w:rsidRDefault="004435C4" w:rsidP="00361F53">
      <w:pPr>
        <w:outlineLvl w:val="0"/>
        <w:rPr>
          <w:b/>
          <w:bCs/>
          <w:iCs/>
          <w:color w:val="000000"/>
        </w:rPr>
      </w:pPr>
      <w:bookmarkStart w:id="43" w:name="_Toc299967998"/>
      <w:r w:rsidRPr="0092182A">
        <w:rPr>
          <w:b/>
          <w:bCs/>
          <w:iCs/>
          <w:color w:val="000000"/>
        </w:rPr>
        <w:t>A</w:t>
      </w:r>
      <w:r w:rsidR="00DC2107">
        <w:rPr>
          <w:b/>
          <w:bCs/>
          <w:iCs/>
          <w:color w:val="000000"/>
        </w:rPr>
        <w:t>.</w:t>
      </w:r>
      <w:r w:rsidR="00F50F52" w:rsidRPr="0092182A">
        <w:rPr>
          <w:b/>
          <w:bCs/>
          <w:iCs/>
          <w:color w:val="000000"/>
        </w:rPr>
        <w:t>6. Consequences of Collecting the Information Less Frequently</w:t>
      </w:r>
      <w:bookmarkEnd w:id="43"/>
    </w:p>
    <w:p w:rsidR="00F50F52" w:rsidRDefault="00F50F52" w:rsidP="00361F53"/>
    <w:p w:rsidR="00D25282" w:rsidRPr="003F0F47" w:rsidRDefault="00F50F52" w:rsidP="00361F53">
      <w:r w:rsidRPr="00701543">
        <w:t xml:space="preserve">If this information is not collected, </w:t>
      </w:r>
      <w:r w:rsidR="003A4D97" w:rsidRPr="00701543">
        <w:t>DGMQ</w:t>
      </w:r>
      <w:r w:rsidRPr="00701543">
        <w:t xml:space="preserve">’s ability to </w:t>
      </w:r>
      <w:r w:rsidR="006E3B52" w:rsidRPr="00701543">
        <w:t xml:space="preserve">effectively </w:t>
      </w:r>
      <w:r w:rsidR="00F85F4D" w:rsidRPr="00701543">
        <w:t xml:space="preserve">communicate messages to mobile populations who may be at increased public health risk </w:t>
      </w:r>
      <w:r w:rsidRPr="00701543">
        <w:t xml:space="preserve">will be compromised. </w:t>
      </w:r>
      <w:proofErr w:type="gramStart"/>
      <w:r w:rsidR="00F26A92" w:rsidRPr="00701543">
        <w:t xml:space="preserve">According to the </w:t>
      </w:r>
      <w:r w:rsidR="00745921" w:rsidRPr="00701543">
        <w:t>CDC’s Introduction to Program Evaluation for Public Health Programs: A Self-Study</w:t>
      </w:r>
      <w:r w:rsidR="00745921" w:rsidRPr="00745921">
        <w:rPr>
          <w:color w:val="000000"/>
        </w:rPr>
        <w:t xml:space="preserve"> Guide (1)</w:t>
      </w:r>
      <w:r w:rsidR="00F26A92">
        <w:rPr>
          <w:color w:val="000000"/>
        </w:rPr>
        <w:t xml:space="preserve">, </w:t>
      </w:r>
      <w:r w:rsidR="00D25282" w:rsidRPr="00E96FE7">
        <w:rPr>
          <w:color w:val="000000"/>
        </w:rPr>
        <w:t xml:space="preserve">evaluation </w:t>
      </w:r>
      <w:r w:rsidR="00F26A92">
        <w:rPr>
          <w:color w:val="000000"/>
        </w:rPr>
        <w:t xml:space="preserve">is </w:t>
      </w:r>
      <w:r w:rsidR="00D25282" w:rsidRPr="00E96FE7">
        <w:rPr>
          <w:color w:val="000000"/>
        </w:rPr>
        <w:t xml:space="preserve">critical </w:t>
      </w:r>
      <w:r w:rsidR="00D25282">
        <w:rPr>
          <w:color w:val="000000"/>
        </w:rPr>
        <w:t>for engaging in</w:t>
      </w:r>
      <w:r w:rsidR="00D25282" w:rsidRPr="00E96FE7">
        <w:rPr>
          <w:color w:val="000000"/>
        </w:rPr>
        <w:t xml:space="preserve"> scientifically sound </w:t>
      </w:r>
      <w:r w:rsidR="00D25282">
        <w:rPr>
          <w:color w:val="000000"/>
        </w:rPr>
        <w:t>communication, training</w:t>
      </w:r>
      <w:r w:rsidR="004437FE">
        <w:rPr>
          <w:color w:val="000000"/>
        </w:rPr>
        <w:t>,</w:t>
      </w:r>
      <w:r w:rsidR="00D25282">
        <w:rPr>
          <w:color w:val="000000"/>
        </w:rPr>
        <w:t xml:space="preserve"> and educational</w:t>
      </w:r>
      <w:r w:rsidR="00D25282" w:rsidRPr="00E96FE7">
        <w:rPr>
          <w:color w:val="000000"/>
        </w:rPr>
        <w:t xml:space="preserve"> effort</w:t>
      </w:r>
      <w:r w:rsidR="00D25282">
        <w:rPr>
          <w:color w:val="000000"/>
        </w:rPr>
        <w:t>s</w:t>
      </w:r>
      <w:r w:rsidR="00D25282" w:rsidRPr="00E96FE7">
        <w:rPr>
          <w:color w:val="000000"/>
        </w:rPr>
        <w:t>.</w:t>
      </w:r>
      <w:proofErr w:type="gramEnd"/>
      <w:r w:rsidR="00D25282" w:rsidRPr="00E96FE7">
        <w:rPr>
          <w:color w:val="000000"/>
        </w:rPr>
        <w:t xml:space="preserve"> </w:t>
      </w:r>
      <w:r w:rsidR="0030794A">
        <w:rPr>
          <w:color w:val="000000"/>
        </w:rPr>
        <w:t>Communications e</w:t>
      </w:r>
      <w:r w:rsidR="00D25282">
        <w:rPr>
          <w:color w:val="000000"/>
        </w:rPr>
        <w:t>valuation</w:t>
      </w:r>
      <w:r w:rsidR="00D25282" w:rsidRPr="00E96FE7">
        <w:rPr>
          <w:color w:val="000000"/>
        </w:rPr>
        <w:t>, often encompassing concept, message, and materials testing activities, is essential in pre-testing materials to evaluate a wide variety of dimensions that include, but are not limited to, appeal, saliency, clarity, cultural appropriateness</w:t>
      </w:r>
      <w:r w:rsidR="004437FE">
        <w:rPr>
          <w:color w:val="000000"/>
        </w:rPr>
        <w:t>,</w:t>
      </w:r>
      <w:r w:rsidR="00D25282" w:rsidRPr="00E96FE7">
        <w:rPr>
          <w:color w:val="000000"/>
        </w:rPr>
        <w:t xml:space="preserve"> and readability/understandability. If a concept and/or a message </w:t>
      </w:r>
      <w:proofErr w:type="gramStart"/>
      <w:r w:rsidR="004437FE">
        <w:rPr>
          <w:color w:val="000000"/>
        </w:rPr>
        <w:t>is</w:t>
      </w:r>
      <w:proofErr w:type="gramEnd"/>
      <w:r w:rsidR="004437FE">
        <w:rPr>
          <w:color w:val="000000"/>
        </w:rPr>
        <w:t xml:space="preserve"> </w:t>
      </w:r>
      <w:r w:rsidR="00D25282" w:rsidRPr="00E96FE7">
        <w:rPr>
          <w:color w:val="000000"/>
        </w:rPr>
        <w:t>not tested</w:t>
      </w:r>
      <w:r w:rsidR="00D25282">
        <w:rPr>
          <w:color w:val="000000"/>
        </w:rPr>
        <w:t>,</w:t>
      </w:r>
      <w:r w:rsidR="00D25282" w:rsidRPr="00E96FE7">
        <w:rPr>
          <w:color w:val="000000"/>
        </w:rPr>
        <w:t xml:space="preserve"> then resources could be expended without</w:t>
      </w:r>
      <w:r w:rsidR="004B6DC1">
        <w:rPr>
          <w:color w:val="000000"/>
        </w:rPr>
        <w:t xml:space="preserve"> evidence that the activity is </w:t>
      </w:r>
      <w:r w:rsidR="00692D2C">
        <w:rPr>
          <w:color w:val="000000"/>
        </w:rPr>
        <w:t>appropriate or e</w:t>
      </w:r>
      <w:r w:rsidR="004B6DC1">
        <w:rPr>
          <w:color w:val="000000"/>
        </w:rPr>
        <w:t>ffective.</w:t>
      </w:r>
      <w:r w:rsidR="00D25282" w:rsidRPr="00E96FE7">
        <w:rPr>
          <w:color w:val="000000"/>
        </w:rPr>
        <w:t xml:space="preserve"> </w:t>
      </w:r>
      <w:r w:rsidR="001B0FDF">
        <w:rPr>
          <w:color w:val="000000"/>
        </w:rPr>
        <w:t>For example, being able to assess a lack of understanding of the term “H1N1 flu” amongst refugee populations during the recent pandemic would have helped communicators develop materials that were understandable for this vulnerable population.</w:t>
      </w:r>
    </w:p>
    <w:p w:rsidR="00D25282" w:rsidRDefault="00D25282" w:rsidP="00361F53">
      <w:pPr>
        <w:rPr>
          <w:color w:val="000000"/>
        </w:rPr>
      </w:pPr>
    </w:p>
    <w:p w:rsidR="00D25282" w:rsidRDefault="0030794A" w:rsidP="00361F53">
      <w:pPr>
        <w:rPr>
          <w:color w:val="000000"/>
        </w:rPr>
      </w:pPr>
      <w:r>
        <w:rPr>
          <w:color w:val="000000"/>
        </w:rPr>
        <w:t>E</w:t>
      </w:r>
      <w:r w:rsidR="00D25282">
        <w:rPr>
          <w:color w:val="000000"/>
        </w:rPr>
        <w:t xml:space="preserve">valuation is also important in the health communication process because it can reveal why specific activities </w:t>
      </w:r>
      <w:r w:rsidR="004B6DC1">
        <w:rPr>
          <w:color w:val="000000"/>
        </w:rPr>
        <w:t>occur as planned</w:t>
      </w:r>
      <w:r w:rsidR="00D25282">
        <w:rPr>
          <w:color w:val="000000"/>
        </w:rPr>
        <w:t>. These insights can facilitate program improvement</w:t>
      </w:r>
      <w:r w:rsidR="007175C6">
        <w:rPr>
          <w:color w:val="000000"/>
        </w:rPr>
        <w:t xml:space="preserve"> and ensure best allocation of resources</w:t>
      </w:r>
      <w:r w:rsidR="00D25282">
        <w:rPr>
          <w:color w:val="000000"/>
        </w:rPr>
        <w:t>.</w:t>
      </w:r>
      <w:r w:rsidR="001B0FDF" w:rsidRPr="001B0FDF">
        <w:rPr>
          <w:color w:val="000000"/>
        </w:rPr>
        <w:t xml:space="preserve"> </w:t>
      </w:r>
      <w:r w:rsidR="001B0FDF">
        <w:rPr>
          <w:color w:val="000000"/>
        </w:rPr>
        <w:t xml:space="preserve">For example, being able to gather information on how many of the 10 million printed Travel Health Alert Notices during the H1N1 response were actually received and read by departing travelers could help save the government on printing costs, provide for better estimates for future emergencies, and improve distribution processes. </w:t>
      </w:r>
    </w:p>
    <w:p w:rsidR="00D25282" w:rsidRDefault="00D25282" w:rsidP="00361F53"/>
    <w:p w:rsidR="00692D2C" w:rsidRDefault="0030794A" w:rsidP="00361F53">
      <w:pPr>
        <w:rPr>
          <w:color w:val="000000"/>
        </w:rPr>
      </w:pPr>
      <w:r>
        <w:rPr>
          <w:color w:val="000000"/>
        </w:rPr>
        <w:t>E</w:t>
      </w:r>
      <w:r w:rsidR="00D25282" w:rsidRPr="00394692">
        <w:rPr>
          <w:color w:val="000000"/>
        </w:rPr>
        <w:t xml:space="preserve">valuation is equally important because it provides accountability to stakeholders for </w:t>
      </w:r>
      <w:r w:rsidR="003A4D97" w:rsidRPr="00AA5973">
        <w:rPr>
          <w:color w:val="000000"/>
        </w:rPr>
        <w:t>DGMQ</w:t>
      </w:r>
      <w:r w:rsidR="00D25282" w:rsidRPr="00AA5973">
        <w:rPr>
          <w:color w:val="000000"/>
        </w:rPr>
        <w:t>’s</w:t>
      </w:r>
      <w:r w:rsidR="00D25282" w:rsidRPr="00394692">
        <w:rPr>
          <w:color w:val="000000"/>
        </w:rPr>
        <w:t xml:space="preserve"> activities by demonstrating the effectiveness and the impact of the communication, training</w:t>
      </w:r>
      <w:r w:rsidR="004437FE">
        <w:rPr>
          <w:color w:val="000000"/>
        </w:rPr>
        <w:t>,</w:t>
      </w:r>
      <w:r w:rsidR="00D25282" w:rsidRPr="00394692">
        <w:rPr>
          <w:color w:val="000000"/>
        </w:rPr>
        <w:t xml:space="preserve"> and educational activities</w:t>
      </w:r>
      <w:r>
        <w:rPr>
          <w:color w:val="000000"/>
        </w:rPr>
        <w:t>. E</w:t>
      </w:r>
      <w:r w:rsidR="00D25282" w:rsidRPr="00394692">
        <w:rPr>
          <w:color w:val="000000"/>
        </w:rPr>
        <w:t>valuation can also help to improve the effectiveness and efficiency of existing programs</w:t>
      </w:r>
      <w:r w:rsidR="007175C6" w:rsidRPr="00394692">
        <w:rPr>
          <w:color w:val="000000"/>
        </w:rPr>
        <w:t>, and support the most effective distribution of resources</w:t>
      </w:r>
      <w:r w:rsidR="00D25282" w:rsidRPr="00394692">
        <w:rPr>
          <w:color w:val="000000"/>
        </w:rPr>
        <w:t>.</w:t>
      </w:r>
      <w:r w:rsidR="001B0FDF" w:rsidRPr="001B0FDF">
        <w:rPr>
          <w:color w:val="000000"/>
        </w:rPr>
        <w:t xml:space="preserve"> </w:t>
      </w:r>
      <w:r w:rsidR="001B0FDF">
        <w:rPr>
          <w:color w:val="000000"/>
        </w:rPr>
        <w:t xml:space="preserve">For example, knowing whether travelers understood that they should consider postponing their travel after seeing </w:t>
      </w:r>
      <w:r w:rsidR="003A4D97" w:rsidRPr="00AA5973">
        <w:rPr>
          <w:color w:val="000000"/>
        </w:rPr>
        <w:t>DGMQ</w:t>
      </w:r>
      <w:r w:rsidR="001B0FDF" w:rsidRPr="00AA5973">
        <w:rPr>
          <w:color w:val="000000"/>
        </w:rPr>
        <w:t>’s</w:t>
      </w:r>
      <w:r w:rsidR="001B0FDF">
        <w:rPr>
          <w:color w:val="000000"/>
        </w:rPr>
        <w:t xml:space="preserve"> Travelers Health 2009 H1N1 Flu Campaign messages would help </w:t>
      </w:r>
      <w:r w:rsidR="003A4D97" w:rsidRPr="00AA5973">
        <w:rPr>
          <w:color w:val="000000"/>
        </w:rPr>
        <w:t>DGMQ</w:t>
      </w:r>
      <w:r w:rsidR="001B0FDF">
        <w:rPr>
          <w:color w:val="000000"/>
        </w:rPr>
        <w:t xml:space="preserve"> better understand the outcome of the campaign and what may or may not be effective for future campaigns.</w:t>
      </w:r>
    </w:p>
    <w:p w:rsidR="00A35F72" w:rsidRDefault="00A35F72" w:rsidP="00361F53">
      <w:pPr>
        <w:rPr>
          <w:color w:val="000000"/>
        </w:rPr>
      </w:pPr>
    </w:p>
    <w:p w:rsidR="006111CA" w:rsidRDefault="006111CA" w:rsidP="00701543"/>
    <w:p w:rsidR="00D25282" w:rsidRPr="00E96FE7" w:rsidRDefault="00D25282" w:rsidP="00701543">
      <w:bookmarkStart w:id="44" w:name="_Toc295817053"/>
      <w:bookmarkStart w:id="45" w:name="_Toc295817588"/>
      <w:bookmarkStart w:id="46" w:name="_Toc295818069"/>
      <w:bookmarkStart w:id="47" w:name="_Toc295819842"/>
      <w:r w:rsidRPr="00E96FE7">
        <w:t>There are no legal obstacles to reducing the burden.</w:t>
      </w:r>
      <w:bookmarkEnd w:id="44"/>
      <w:bookmarkEnd w:id="45"/>
      <w:bookmarkEnd w:id="46"/>
      <w:bookmarkEnd w:id="47"/>
      <w:r w:rsidRPr="00E96FE7">
        <w:t xml:space="preserve"> </w:t>
      </w:r>
    </w:p>
    <w:p w:rsidR="00D25282" w:rsidRDefault="00D25282" w:rsidP="00361F53"/>
    <w:p w:rsidR="0074782B" w:rsidRDefault="0074782B" w:rsidP="00361F53"/>
    <w:p w:rsidR="006E3B52" w:rsidRPr="0092182A" w:rsidRDefault="004435C4" w:rsidP="00361F53">
      <w:pPr>
        <w:outlineLvl w:val="0"/>
        <w:rPr>
          <w:b/>
          <w:bCs/>
          <w:iCs/>
          <w:color w:val="000000"/>
        </w:rPr>
      </w:pPr>
      <w:bookmarkStart w:id="48" w:name="_Toc299967999"/>
      <w:r w:rsidRPr="0092182A">
        <w:rPr>
          <w:b/>
          <w:bCs/>
          <w:iCs/>
          <w:color w:val="000000"/>
        </w:rPr>
        <w:t>A</w:t>
      </w:r>
      <w:r w:rsidR="00DC2107">
        <w:rPr>
          <w:b/>
          <w:bCs/>
          <w:iCs/>
          <w:color w:val="000000"/>
        </w:rPr>
        <w:t>.</w:t>
      </w:r>
      <w:r w:rsidR="006E3B52" w:rsidRPr="0092182A">
        <w:rPr>
          <w:b/>
          <w:bCs/>
          <w:iCs/>
          <w:color w:val="000000"/>
        </w:rPr>
        <w:t>7. Special Circumstances Relating to the Guidelines of 5 CFR 1320.5</w:t>
      </w:r>
      <w:bookmarkEnd w:id="48"/>
    </w:p>
    <w:p w:rsidR="006E3B52" w:rsidRDefault="006E3B52" w:rsidP="00361F53"/>
    <w:p w:rsidR="006E3B52" w:rsidRDefault="006E3B52" w:rsidP="00361F53">
      <w:r>
        <w:t>Various data collection activities may be conducted under the auspices of this request.</w:t>
      </w:r>
    </w:p>
    <w:p w:rsidR="00D25282" w:rsidRPr="00E96FE7" w:rsidRDefault="006E3B52" w:rsidP="00701543">
      <w:pPr>
        <w:rPr>
          <w:color w:val="000000"/>
        </w:rPr>
      </w:pPr>
      <w:bookmarkStart w:id="49" w:name="_Toc295817055"/>
      <w:bookmarkStart w:id="50" w:name="_Toc295817590"/>
      <w:bookmarkStart w:id="51" w:name="_Toc295818071"/>
      <w:bookmarkStart w:id="52" w:name="_Toc295819844"/>
      <w:r>
        <w:t>Each activity is anticipated to be a one-time collection</w:t>
      </w:r>
      <w:r w:rsidR="004437FE">
        <w:t>, with the exception of pre-</w:t>
      </w:r>
      <w:r w:rsidR="00692D2C">
        <w:t>post tests</w:t>
      </w:r>
      <w:r>
        <w:t xml:space="preserve">. </w:t>
      </w:r>
      <w:r w:rsidR="00D25282" w:rsidRPr="00E96FE7">
        <w:rPr>
          <w:color w:val="000000"/>
        </w:rPr>
        <w:t xml:space="preserve">The activities outlined in this package fully comply with all guidelines of 5 </w:t>
      </w:r>
      <w:smartTag w:uri="urn:schemas-microsoft-com:office:smarttags" w:element="stockticker">
        <w:r w:rsidR="00D25282" w:rsidRPr="00E96FE7">
          <w:rPr>
            <w:color w:val="000000"/>
          </w:rPr>
          <w:t>CFR</w:t>
        </w:r>
      </w:smartTag>
      <w:r w:rsidR="00D25282" w:rsidRPr="00E96FE7">
        <w:rPr>
          <w:color w:val="000000"/>
        </w:rPr>
        <w:t xml:space="preserve"> 1320.5.</w:t>
      </w:r>
      <w:bookmarkEnd w:id="49"/>
      <w:bookmarkEnd w:id="50"/>
      <w:bookmarkEnd w:id="51"/>
      <w:bookmarkEnd w:id="52"/>
    </w:p>
    <w:p w:rsidR="006E3B52" w:rsidRDefault="006E3B52" w:rsidP="00701543"/>
    <w:p w:rsidR="0074782B" w:rsidRDefault="0074782B" w:rsidP="00361F53"/>
    <w:p w:rsidR="006E3B52" w:rsidRPr="0092182A" w:rsidRDefault="004435C4" w:rsidP="006708A1">
      <w:pPr>
        <w:spacing w:after="200" w:line="276" w:lineRule="auto"/>
        <w:rPr>
          <w:b/>
          <w:bCs/>
          <w:iCs/>
          <w:color w:val="000000"/>
        </w:rPr>
      </w:pPr>
      <w:bookmarkStart w:id="53" w:name="_Toc299968000"/>
      <w:r w:rsidRPr="0092182A">
        <w:rPr>
          <w:b/>
          <w:bCs/>
          <w:iCs/>
          <w:color w:val="000000"/>
        </w:rPr>
        <w:t>A</w:t>
      </w:r>
      <w:r w:rsidR="00DC2107">
        <w:rPr>
          <w:b/>
          <w:bCs/>
          <w:iCs/>
          <w:color w:val="000000"/>
        </w:rPr>
        <w:t>.</w:t>
      </w:r>
      <w:r w:rsidR="006E3B52" w:rsidRPr="0092182A">
        <w:rPr>
          <w:b/>
          <w:bCs/>
          <w:iCs/>
          <w:color w:val="000000"/>
        </w:rPr>
        <w:t>8. Comments in Response to the Federal Register Notice and Efforts to Consult Outside the Agency</w:t>
      </w:r>
      <w:bookmarkEnd w:id="53"/>
    </w:p>
    <w:p w:rsidR="006E3B52" w:rsidRDefault="006E3B52" w:rsidP="00361F53"/>
    <w:p w:rsidR="00C40682" w:rsidRDefault="006E3B52" w:rsidP="00C40682">
      <w:pPr>
        <w:rPr>
          <w:rFonts w:ascii="Calibri" w:hAnsi="Calibri" w:cs="Calibri"/>
          <w:sz w:val="22"/>
          <w:szCs w:val="22"/>
        </w:rPr>
      </w:pPr>
      <w:r>
        <w:t>A</w:t>
      </w:r>
      <w:r w:rsidR="00DC2107">
        <w:t>.</w:t>
      </w:r>
      <w:r w:rsidR="00AB10DA">
        <w:t>8a.</w:t>
      </w:r>
      <w:r>
        <w:t xml:space="preserve"> </w:t>
      </w:r>
      <w:r w:rsidR="00AF7E2D">
        <w:t xml:space="preserve">A </w:t>
      </w:r>
      <w:r>
        <w:t xml:space="preserve">60-day Federal Register notice was published </w:t>
      </w:r>
      <w:r w:rsidRPr="006B4F4E">
        <w:t xml:space="preserve">in the Federal Register on </w:t>
      </w:r>
      <w:r w:rsidR="006B4F4E">
        <w:t>August 10, 2011</w:t>
      </w:r>
      <w:r w:rsidR="00BB0CAC" w:rsidRPr="006B4F4E">
        <w:t>(Attachment D)</w:t>
      </w:r>
      <w:r w:rsidR="00394692" w:rsidRPr="006B4F4E">
        <w:t>.</w:t>
      </w:r>
      <w:r w:rsidR="00C40682" w:rsidRPr="00C40682">
        <w:rPr>
          <w:rFonts w:ascii="Calibri" w:hAnsi="Calibri" w:cs="Calibri"/>
          <w:b/>
          <w:bCs/>
          <w:sz w:val="22"/>
          <w:szCs w:val="22"/>
        </w:rPr>
        <w:t xml:space="preserve"> </w:t>
      </w:r>
      <w:r w:rsidR="00C40682" w:rsidRPr="00C40682">
        <w:t>One non-substantive comment</w:t>
      </w:r>
      <w:r w:rsidR="00C40682">
        <w:t xml:space="preserve"> was received, and </w:t>
      </w:r>
      <w:r w:rsidR="00C40682" w:rsidRPr="00C40682">
        <w:t>CDC’s standard response was sent</w:t>
      </w:r>
      <w:r w:rsidR="00C40682">
        <w:t xml:space="preserve"> to address the comment</w:t>
      </w:r>
      <w:r w:rsidR="00C40682" w:rsidRPr="00C40682">
        <w:t xml:space="preserve">.  </w:t>
      </w:r>
    </w:p>
    <w:p w:rsidR="006E3B52" w:rsidRDefault="006E3B52" w:rsidP="00361F53"/>
    <w:p w:rsidR="00A35F72" w:rsidRDefault="00A35F72" w:rsidP="00361F53">
      <w:pPr>
        <w:rPr>
          <w:b/>
          <w:bCs/>
        </w:rPr>
      </w:pPr>
    </w:p>
    <w:p w:rsidR="00016DFD" w:rsidRPr="00AC1C9E" w:rsidRDefault="00016DFD" w:rsidP="00AC1C9E">
      <w:r w:rsidRPr="00AC1C9E">
        <w:t>A.8.b Consultation</w:t>
      </w:r>
    </w:p>
    <w:p w:rsidR="00016DFD" w:rsidRDefault="00016DFD" w:rsidP="00016DFD">
      <w:pPr>
        <w:rPr>
          <w:color w:val="000000"/>
          <w:highlight w:val="yellow"/>
        </w:rPr>
      </w:pPr>
    </w:p>
    <w:p w:rsidR="00016DFD" w:rsidRDefault="00016DFD" w:rsidP="00016DFD">
      <w:pPr>
        <w:rPr>
          <w:color w:val="000000"/>
        </w:rPr>
      </w:pPr>
      <w:r w:rsidRPr="007D7FC0">
        <w:rPr>
          <w:color w:val="000000"/>
        </w:rPr>
        <w:t>The following</w:t>
      </w:r>
      <w:r>
        <w:rPr>
          <w:color w:val="000000"/>
        </w:rPr>
        <w:t xml:space="preserve"> agencies and organizations outside of </w:t>
      </w:r>
      <w:r w:rsidRPr="00AA5973">
        <w:rPr>
          <w:color w:val="000000"/>
        </w:rPr>
        <w:t>CDC</w:t>
      </w:r>
      <w:r>
        <w:rPr>
          <w:color w:val="000000"/>
        </w:rPr>
        <w:t xml:space="preserve"> have been consulted on the need for data collection with the audiences, and for the purposes, described in this generic clearance package:</w:t>
      </w:r>
    </w:p>
    <w:p w:rsidR="006708A1" w:rsidRDefault="006708A1" w:rsidP="00016DFD">
      <w:pPr>
        <w:rPr>
          <w:color w:val="000000"/>
        </w:rPr>
      </w:pPr>
    </w:p>
    <w:p w:rsidR="00F03802" w:rsidRPr="006708A1" w:rsidRDefault="00D01B36" w:rsidP="006708A1">
      <w:pPr>
        <w:pStyle w:val="ListParagraph"/>
        <w:numPr>
          <w:ilvl w:val="0"/>
          <w:numId w:val="6"/>
        </w:numPr>
        <w:contextualSpacing w:val="0"/>
        <w:rPr>
          <w:color w:val="000000"/>
        </w:rPr>
      </w:pPr>
      <w:r>
        <w:rPr>
          <w:color w:val="000000"/>
        </w:rPr>
        <w:t xml:space="preserve">In consultation with </w:t>
      </w:r>
      <w:r w:rsidR="00016DFD">
        <w:rPr>
          <w:color w:val="000000"/>
        </w:rPr>
        <w:t>The Association of Refugee Health Coordinators</w:t>
      </w:r>
      <w:r>
        <w:rPr>
          <w:color w:val="000000"/>
        </w:rPr>
        <w:t>,</w:t>
      </w:r>
      <w:r w:rsidR="0092193A">
        <w:rPr>
          <w:color w:val="000000"/>
        </w:rPr>
        <w:t xml:space="preserve"> </w:t>
      </w:r>
      <w:r w:rsidR="00016DFD">
        <w:rPr>
          <w:color w:val="000000"/>
        </w:rPr>
        <w:t>the need for clear, culturally and linguistically appropriate information for refugees on infectious diseases</w:t>
      </w:r>
      <w:r>
        <w:rPr>
          <w:color w:val="000000"/>
        </w:rPr>
        <w:t xml:space="preserve"> </w:t>
      </w:r>
      <w:r w:rsidR="0092193A">
        <w:rPr>
          <w:color w:val="000000"/>
        </w:rPr>
        <w:t>was</w:t>
      </w:r>
      <w:r>
        <w:rPr>
          <w:color w:val="000000"/>
        </w:rPr>
        <w:t xml:space="preserve"> identified in 2009</w:t>
      </w:r>
      <w:r w:rsidR="00016DFD">
        <w:rPr>
          <w:color w:val="000000"/>
        </w:rPr>
        <w:t>. This organization also recognized the need to gather information from refugees to help develop these communication materials.</w:t>
      </w:r>
    </w:p>
    <w:p w:rsidR="006708A1" w:rsidRDefault="006708A1" w:rsidP="00016DFD">
      <w:pPr>
        <w:pStyle w:val="ListParagraph"/>
        <w:rPr>
          <w:color w:val="000000"/>
        </w:rPr>
      </w:pPr>
    </w:p>
    <w:p w:rsidR="00016DFD" w:rsidRPr="00911EAE" w:rsidRDefault="00016DFD" w:rsidP="00016DFD">
      <w:pPr>
        <w:pStyle w:val="ListParagraph"/>
        <w:rPr>
          <w:color w:val="000000"/>
        </w:rPr>
      </w:pPr>
      <w:r w:rsidRPr="00911EAE">
        <w:rPr>
          <w:color w:val="000000"/>
        </w:rPr>
        <w:t>Jennifer Cochran</w:t>
      </w:r>
      <w:r w:rsidR="0092193A">
        <w:rPr>
          <w:color w:val="000000"/>
        </w:rPr>
        <w:t>, Chair</w:t>
      </w:r>
      <w:r w:rsidRPr="00911EAE">
        <w:rPr>
          <w:color w:val="000000"/>
        </w:rPr>
        <w:br/>
      </w:r>
      <w:r w:rsidR="00D01B36">
        <w:rPr>
          <w:color w:val="000000"/>
        </w:rPr>
        <w:t>Phone</w:t>
      </w:r>
      <w:r w:rsidRPr="00911EAE">
        <w:rPr>
          <w:color w:val="000000"/>
        </w:rPr>
        <w:t>: 617.983.6596</w:t>
      </w:r>
    </w:p>
    <w:p w:rsidR="00F03802" w:rsidRDefault="00016DFD" w:rsidP="006708A1">
      <w:pPr>
        <w:pStyle w:val="ListParagraph"/>
        <w:rPr>
          <w:color w:val="000000"/>
        </w:rPr>
      </w:pPr>
      <w:r w:rsidRPr="00911EAE">
        <w:rPr>
          <w:color w:val="000000"/>
        </w:rPr>
        <w:t xml:space="preserve">E-mail: </w:t>
      </w:r>
      <w:hyperlink r:id="rId12" w:history="1">
        <w:r w:rsidRPr="00911EAE">
          <w:rPr>
            <w:color w:val="000000"/>
          </w:rPr>
          <w:t>jennifer.cochran@state.ma.us</w:t>
        </w:r>
      </w:hyperlink>
    </w:p>
    <w:p w:rsidR="006708A1" w:rsidRDefault="006708A1" w:rsidP="006708A1">
      <w:pPr>
        <w:pStyle w:val="ListParagraph"/>
      </w:pPr>
    </w:p>
    <w:p w:rsidR="00F03802" w:rsidRDefault="00D01B36" w:rsidP="006708A1">
      <w:pPr>
        <w:numPr>
          <w:ilvl w:val="0"/>
          <w:numId w:val="6"/>
        </w:numPr>
      </w:pPr>
      <w:r>
        <w:t>In consultation with t</w:t>
      </w:r>
      <w:r w:rsidR="00016DFD" w:rsidRPr="00CD3460">
        <w:t>he United States Olympic Committee</w:t>
      </w:r>
      <w:r>
        <w:t>,</w:t>
      </w:r>
      <w:r w:rsidR="00016DFD" w:rsidRPr="00CD3460">
        <w:t xml:space="preserve"> the need to educate Olympic athletes, coaches, and support staff on travel health</w:t>
      </w:r>
      <w:r w:rsidR="00944DBF">
        <w:t xml:space="preserve"> </w:t>
      </w:r>
      <w:r w:rsidR="00651A18">
        <w:t xml:space="preserve">was identified </w:t>
      </w:r>
      <w:r w:rsidR="00944DBF">
        <w:t>in 2008.</w:t>
      </w:r>
    </w:p>
    <w:p w:rsidR="006708A1" w:rsidRDefault="006708A1" w:rsidP="00D0767C">
      <w:pPr>
        <w:pStyle w:val="ListParagraph"/>
        <w:rPr>
          <w:color w:val="000000"/>
        </w:rPr>
      </w:pPr>
    </w:p>
    <w:p w:rsidR="00D0767C" w:rsidRPr="00D0767C" w:rsidRDefault="00D0767C" w:rsidP="00D0767C">
      <w:pPr>
        <w:pStyle w:val="ListParagraph"/>
        <w:rPr>
          <w:color w:val="000000"/>
        </w:rPr>
      </w:pPr>
      <w:r w:rsidRPr="00D0767C">
        <w:rPr>
          <w:color w:val="000000"/>
        </w:rPr>
        <w:t>Margaret Hunt, MS, ATC</w:t>
      </w:r>
    </w:p>
    <w:p w:rsidR="00D0767C" w:rsidRPr="00D0767C" w:rsidRDefault="00D0767C" w:rsidP="00D0767C">
      <w:pPr>
        <w:pStyle w:val="ListParagraph"/>
        <w:rPr>
          <w:color w:val="000000"/>
        </w:rPr>
      </w:pPr>
      <w:r w:rsidRPr="00D0767C">
        <w:rPr>
          <w:color w:val="000000"/>
        </w:rPr>
        <w:t>Manager, Medical Network</w:t>
      </w:r>
    </w:p>
    <w:p w:rsidR="00D0767C" w:rsidRPr="00D0767C" w:rsidRDefault="00D0767C" w:rsidP="00D0767C">
      <w:pPr>
        <w:pStyle w:val="ListParagraph"/>
        <w:rPr>
          <w:color w:val="000000"/>
        </w:rPr>
      </w:pPr>
      <w:r w:rsidRPr="00D0767C">
        <w:rPr>
          <w:color w:val="000000"/>
        </w:rPr>
        <w:t>Phone: 719-866-4612</w:t>
      </w:r>
    </w:p>
    <w:p w:rsidR="00F03802" w:rsidRDefault="00D0767C" w:rsidP="006708A1">
      <w:pPr>
        <w:pStyle w:val="ListParagraph"/>
        <w:rPr>
          <w:color w:val="000000"/>
        </w:rPr>
      </w:pPr>
      <w:r w:rsidRPr="00D0767C">
        <w:rPr>
          <w:color w:val="000000"/>
        </w:rPr>
        <w:t xml:space="preserve">E-mail: </w:t>
      </w:r>
      <w:hyperlink r:id="rId13" w:history="1">
        <w:r w:rsidRPr="00D0767C">
          <w:rPr>
            <w:color w:val="000000"/>
          </w:rPr>
          <w:t>Margaret.hunt@usoc.org</w:t>
        </w:r>
      </w:hyperlink>
    </w:p>
    <w:p w:rsidR="006708A1" w:rsidRPr="006708A1" w:rsidRDefault="006708A1" w:rsidP="006708A1">
      <w:pPr>
        <w:pStyle w:val="ListParagraph"/>
        <w:rPr>
          <w:color w:val="000000"/>
        </w:rPr>
      </w:pPr>
    </w:p>
    <w:p w:rsidR="0092193A" w:rsidRPr="00F03802" w:rsidRDefault="00D01B36" w:rsidP="006708A1">
      <w:pPr>
        <w:pStyle w:val="ListParagraph"/>
        <w:numPr>
          <w:ilvl w:val="0"/>
          <w:numId w:val="6"/>
        </w:numPr>
        <w:contextualSpacing w:val="0"/>
      </w:pPr>
      <w:r>
        <w:rPr>
          <w:color w:val="000000"/>
        </w:rPr>
        <w:t>In consultation</w:t>
      </w:r>
      <w:r w:rsidR="00944DBF">
        <w:rPr>
          <w:color w:val="000000"/>
        </w:rPr>
        <w:t>, with t</w:t>
      </w:r>
      <w:r w:rsidR="00016DFD">
        <w:rPr>
          <w:color w:val="000000"/>
        </w:rPr>
        <w:t>he National Association of State EMS Officials</w:t>
      </w:r>
      <w:r w:rsidR="00651A18">
        <w:rPr>
          <w:color w:val="000000"/>
        </w:rPr>
        <w:t>,</w:t>
      </w:r>
      <w:r w:rsidR="00016DFD">
        <w:rPr>
          <w:color w:val="000000"/>
        </w:rPr>
        <w:t xml:space="preserve"> the need for gathering information from EMS providers to help understand their training and education</w:t>
      </w:r>
      <w:r w:rsidR="00944DBF">
        <w:rPr>
          <w:color w:val="000000"/>
        </w:rPr>
        <w:t xml:space="preserve"> </w:t>
      </w:r>
      <w:r w:rsidR="00016DFD">
        <w:rPr>
          <w:color w:val="000000"/>
        </w:rPr>
        <w:t>needs for responding to public health events</w:t>
      </w:r>
      <w:r w:rsidR="00651A18">
        <w:rPr>
          <w:color w:val="000000"/>
        </w:rPr>
        <w:t xml:space="preserve"> was identified</w:t>
      </w:r>
      <w:r w:rsidR="00944DBF">
        <w:rPr>
          <w:color w:val="000000"/>
        </w:rPr>
        <w:t xml:space="preserve"> in 2007</w:t>
      </w:r>
      <w:r w:rsidR="00016DFD">
        <w:rPr>
          <w:color w:val="000000"/>
        </w:rPr>
        <w:t>.</w:t>
      </w:r>
    </w:p>
    <w:p w:rsidR="00F03802" w:rsidRDefault="00F03802" w:rsidP="00016DFD">
      <w:pPr>
        <w:pStyle w:val="ListParagraph"/>
        <w:contextualSpacing w:val="0"/>
        <w:rPr>
          <w:color w:val="000000"/>
        </w:rPr>
      </w:pPr>
    </w:p>
    <w:p w:rsidR="00016DFD" w:rsidRDefault="00016DFD" w:rsidP="00016DFD">
      <w:pPr>
        <w:pStyle w:val="ListParagraph"/>
        <w:contextualSpacing w:val="0"/>
        <w:rPr>
          <w:color w:val="000000"/>
        </w:rPr>
      </w:pPr>
      <w:r w:rsidRPr="00911EAE">
        <w:rPr>
          <w:color w:val="000000"/>
        </w:rPr>
        <w:t>Leslee Stein-Spencer</w:t>
      </w:r>
      <w:r w:rsidR="00944DBF">
        <w:rPr>
          <w:color w:val="000000"/>
        </w:rPr>
        <w:t>, Policy Advisor</w:t>
      </w:r>
    </w:p>
    <w:p w:rsidR="00016DFD" w:rsidRDefault="00016DFD" w:rsidP="00016DFD">
      <w:pPr>
        <w:pStyle w:val="ListParagraph"/>
        <w:contextualSpacing w:val="0"/>
        <w:rPr>
          <w:color w:val="000000"/>
        </w:rPr>
      </w:pPr>
      <w:r>
        <w:rPr>
          <w:color w:val="000000"/>
        </w:rPr>
        <w:t>Phone: 773-</w:t>
      </w:r>
      <w:r w:rsidRPr="00911EAE">
        <w:rPr>
          <w:color w:val="000000"/>
        </w:rPr>
        <w:t>640-0649</w:t>
      </w:r>
    </w:p>
    <w:p w:rsidR="005D3418" w:rsidRPr="006708A1" w:rsidRDefault="00016DFD" w:rsidP="006708A1">
      <w:pPr>
        <w:pStyle w:val="ListParagraph"/>
        <w:contextualSpacing w:val="0"/>
      </w:pPr>
      <w:r>
        <w:rPr>
          <w:color w:val="000000"/>
        </w:rPr>
        <w:t xml:space="preserve">E-mail: </w:t>
      </w:r>
      <w:hyperlink r:id="rId14" w:history="1">
        <w:r w:rsidRPr="00AF7E2D">
          <w:rPr>
            <w:rStyle w:val="Hyperlink"/>
            <w:color w:val="auto"/>
            <w:u w:val="none"/>
          </w:rPr>
          <w:t>lesleess@aol.com</w:t>
        </w:r>
      </w:hyperlink>
    </w:p>
    <w:p w:rsidR="005D3418" w:rsidRPr="00F03802" w:rsidRDefault="005D3418" w:rsidP="00F03802">
      <w:pPr>
        <w:pStyle w:val="ListParagraph"/>
        <w:contextualSpacing w:val="0"/>
        <w:rPr>
          <w:color w:val="000000"/>
        </w:rPr>
      </w:pPr>
    </w:p>
    <w:p w:rsidR="00F03802" w:rsidRDefault="00651A18" w:rsidP="00F03802">
      <w:pPr>
        <w:pStyle w:val="ListParagraph"/>
        <w:numPr>
          <w:ilvl w:val="0"/>
          <w:numId w:val="6"/>
        </w:numPr>
        <w:contextualSpacing w:val="0"/>
        <w:rPr>
          <w:color w:val="000000"/>
        </w:rPr>
      </w:pPr>
      <w:r>
        <w:rPr>
          <w:color w:val="000000"/>
        </w:rPr>
        <w:t>In consultation with t</w:t>
      </w:r>
      <w:r w:rsidR="00016DFD">
        <w:rPr>
          <w:color w:val="000000"/>
        </w:rPr>
        <w:t xml:space="preserve">he International Panel Physician Association </w:t>
      </w:r>
      <w:r>
        <w:rPr>
          <w:color w:val="000000"/>
        </w:rPr>
        <w:t xml:space="preserve">, </w:t>
      </w:r>
      <w:r w:rsidR="00016DFD">
        <w:rPr>
          <w:color w:val="000000"/>
        </w:rPr>
        <w:t>the need for conducting training and education assessments with panel physicians to help improve panel physician understanding and implementation of U.S. medical screening requirements</w:t>
      </w:r>
      <w:r>
        <w:rPr>
          <w:color w:val="000000"/>
        </w:rPr>
        <w:t xml:space="preserve"> was identified in 2010</w:t>
      </w:r>
      <w:r w:rsidR="00016DFD">
        <w:rPr>
          <w:color w:val="000000"/>
        </w:rPr>
        <w:t>.</w:t>
      </w:r>
    </w:p>
    <w:p w:rsidR="005D3418" w:rsidRPr="00F03802" w:rsidRDefault="005D3418" w:rsidP="00F03802">
      <w:pPr>
        <w:pStyle w:val="ListParagraph"/>
        <w:contextualSpacing w:val="0"/>
        <w:rPr>
          <w:color w:val="000000"/>
        </w:rPr>
      </w:pPr>
    </w:p>
    <w:p w:rsidR="007B4FA1" w:rsidRDefault="0092193A">
      <w:r>
        <w:tab/>
      </w:r>
      <w:r w:rsidR="00016DFD" w:rsidRPr="006A12C2">
        <w:t>Ruth Abrahamson</w:t>
      </w:r>
      <w:r w:rsidR="00944DBF">
        <w:t>,</w:t>
      </w:r>
      <w:r w:rsidR="00016DFD" w:rsidRPr="006A12C2">
        <w:t xml:space="preserve"> CMP</w:t>
      </w:r>
      <w:r w:rsidR="00944DBF">
        <w:t xml:space="preserve">, Executive Director </w:t>
      </w:r>
    </w:p>
    <w:p w:rsidR="007B4FA1" w:rsidRDefault="0092193A">
      <w:r>
        <w:tab/>
      </w:r>
      <w:r w:rsidR="00944DBF">
        <w:t>Phone:</w:t>
      </w:r>
      <w:r w:rsidR="00016DFD" w:rsidRPr="006A12C2">
        <w:t xml:space="preserve"> 416-494-1440 x 231</w:t>
      </w:r>
    </w:p>
    <w:p w:rsidR="0092193A" w:rsidRDefault="00016DFD" w:rsidP="00016DFD">
      <w:pPr>
        <w:ind w:left="720"/>
        <w:rPr>
          <w:color w:val="000000"/>
        </w:rPr>
      </w:pPr>
      <w:r w:rsidRPr="006A12C2">
        <w:t>E-m</w:t>
      </w:r>
      <w:r w:rsidRPr="00AF7E2D">
        <w:rPr>
          <w:color w:val="000000"/>
        </w:rPr>
        <w:t xml:space="preserve">ail: </w:t>
      </w:r>
      <w:hyperlink r:id="rId15" w:tgtFrame="_blank" w:history="1">
        <w:r w:rsidR="006C33A0" w:rsidRPr="00AF7E2D">
          <w:rPr>
            <w:color w:val="000000"/>
          </w:rPr>
          <w:t>executivedirector@panelphysicians.org</w:t>
        </w:r>
      </w:hyperlink>
    </w:p>
    <w:p w:rsidR="006708A1" w:rsidRPr="00965B17" w:rsidRDefault="006708A1" w:rsidP="00016DFD">
      <w:pPr>
        <w:ind w:left="720"/>
      </w:pPr>
    </w:p>
    <w:p w:rsidR="008D0766" w:rsidRPr="008D0766" w:rsidRDefault="008D0766" w:rsidP="006708A1">
      <w:pPr>
        <w:pStyle w:val="ListParagraph"/>
        <w:numPr>
          <w:ilvl w:val="0"/>
          <w:numId w:val="6"/>
        </w:numPr>
        <w:contextualSpacing w:val="0"/>
        <w:rPr>
          <w:color w:val="000000"/>
        </w:rPr>
      </w:pPr>
      <w:r w:rsidRPr="008D0766">
        <w:rPr>
          <w:color w:val="000000"/>
        </w:rPr>
        <w:t xml:space="preserve">In consultation with the American Academy of Pediatrics (AAP) Early Education and Child Care Initiatives, the need for CDC to collect information about child care and early childhood programs in order to refine communication materials and guidance about community measures to slow the spread of flu was identified in 2009. Constituents felt that it was important to identify the appropriate channels for reaching child care and early childhood programs and to promote rapid communication during a public health emergency. </w:t>
      </w:r>
    </w:p>
    <w:p w:rsidR="006708A1" w:rsidRDefault="006708A1" w:rsidP="008D0766">
      <w:pPr>
        <w:pStyle w:val="ListParagraph"/>
        <w:rPr>
          <w:color w:val="000000"/>
        </w:rPr>
      </w:pPr>
    </w:p>
    <w:p w:rsidR="008D0766" w:rsidRDefault="008D0766" w:rsidP="008D0766">
      <w:pPr>
        <w:pStyle w:val="ListParagraph"/>
        <w:rPr>
          <w:color w:val="000000"/>
        </w:rPr>
      </w:pPr>
      <w:r w:rsidRPr="008D0766">
        <w:rPr>
          <w:color w:val="000000"/>
        </w:rPr>
        <w:t xml:space="preserve">Jeanne </w:t>
      </w:r>
      <w:proofErr w:type="spellStart"/>
      <w:r w:rsidRPr="008D0766">
        <w:rPr>
          <w:color w:val="000000"/>
        </w:rPr>
        <w:t>VanOrsdal</w:t>
      </w:r>
      <w:proofErr w:type="spellEnd"/>
      <w:r w:rsidRPr="008D0766">
        <w:rPr>
          <w:color w:val="000000"/>
        </w:rPr>
        <w:t>, Manager, Early Education and Child Care Initiatives</w:t>
      </w:r>
    </w:p>
    <w:p w:rsidR="008D0766" w:rsidRDefault="008D0766" w:rsidP="008D0766">
      <w:pPr>
        <w:pStyle w:val="ListParagraph"/>
        <w:rPr>
          <w:color w:val="000000"/>
        </w:rPr>
      </w:pPr>
      <w:r w:rsidRPr="008D0766">
        <w:rPr>
          <w:color w:val="000000"/>
        </w:rPr>
        <w:t>Phone: 847-434-7638</w:t>
      </w:r>
    </w:p>
    <w:p w:rsidR="008D0766" w:rsidRDefault="008D0766" w:rsidP="008D0766">
      <w:pPr>
        <w:pStyle w:val="ListParagraph"/>
        <w:rPr>
          <w:color w:val="000000"/>
        </w:rPr>
      </w:pPr>
      <w:r w:rsidRPr="008D0766">
        <w:rPr>
          <w:color w:val="000000"/>
        </w:rPr>
        <w:t xml:space="preserve">E-mail: </w:t>
      </w:r>
      <w:hyperlink r:id="rId16" w:tgtFrame="_blank" w:history="1">
        <w:r w:rsidRPr="008D0766">
          <w:rPr>
            <w:color w:val="000000"/>
          </w:rPr>
          <w:t>Jvanorsdal@aap.org</w:t>
        </w:r>
      </w:hyperlink>
    </w:p>
    <w:p w:rsidR="006708A1" w:rsidRPr="008D0766" w:rsidRDefault="006708A1" w:rsidP="008D0766">
      <w:pPr>
        <w:pStyle w:val="ListParagraph"/>
        <w:rPr>
          <w:color w:val="000000"/>
        </w:rPr>
      </w:pPr>
    </w:p>
    <w:p w:rsidR="008D0766" w:rsidRPr="008D0766" w:rsidRDefault="008D0766" w:rsidP="006708A1">
      <w:pPr>
        <w:pStyle w:val="ListParagraph"/>
        <w:numPr>
          <w:ilvl w:val="0"/>
          <w:numId w:val="6"/>
        </w:numPr>
        <w:contextualSpacing w:val="0"/>
        <w:rPr>
          <w:color w:val="000000"/>
        </w:rPr>
      </w:pPr>
      <w:r w:rsidRPr="008D0766">
        <w:rPr>
          <w:color w:val="000000"/>
        </w:rPr>
        <w:t>In consultation with the American Academy of Pediatrics (AAP) Disaster Preparedness Initiatives, the need for CDC to collect information on pediatric health care professionals' perspectives (including pediatricians in private practice, as well as those who work in community or children's hospitals). This is important, as pediatricians are viewed as trusted advisors by families and they can help the CDC to communicate to others about the need for infection control methods as well as the importance of influenza vaccine. There is a need for communication to occur between the CDC and the health professionals who care for children as well as between the CDC and the public. Including pediatricians in discussions about effective communication will greatly improve the CDC's ability to enhance its messaging.</w:t>
      </w:r>
    </w:p>
    <w:p w:rsidR="006708A1" w:rsidRDefault="006708A1" w:rsidP="008D0766">
      <w:pPr>
        <w:pStyle w:val="ListParagraph"/>
        <w:rPr>
          <w:color w:val="000000"/>
        </w:rPr>
      </w:pPr>
    </w:p>
    <w:p w:rsidR="008D0766" w:rsidRPr="008D0766" w:rsidRDefault="008D0766" w:rsidP="008D0766">
      <w:pPr>
        <w:pStyle w:val="ListParagraph"/>
        <w:rPr>
          <w:color w:val="000000"/>
        </w:rPr>
      </w:pPr>
      <w:r w:rsidRPr="008D0766">
        <w:rPr>
          <w:color w:val="000000"/>
        </w:rPr>
        <w:t xml:space="preserve">Laura </w:t>
      </w:r>
      <w:proofErr w:type="spellStart"/>
      <w:r w:rsidRPr="008D0766">
        <w:rPr>
          <w:color w:val="000000"/>
        </w:rPr>
        <w:t>Aird</w:t>
      </w:r>
      <w:proofErr w:type="spellEnd"/>
      <w:r w:rsidRPr="008D0766">
        <w:rPr>
          <w:color w:val="000000"/>
        </w:rPr>
        <w:t>, Manager, Disaster Preparedness and Response</w:t>
      </w:r>
    </w:p>
    <w:p w:rsidR="008D0766" w:rsidRPr="008D0766" w:rsidRDefault="008D0766" w:rsidP="008D0766">
      <w:pPr>
        <w:pStyle w:val="ListParagraph"/>
        <w:rPr>
          <w:color w:val="000000"/>
        </w:rPr>
      </w:pPr>
      <w:r w:rsidRPr="008D0766">
        <w:rPr>
          <w:color w:val="000000"/>
        </w:rPr>
        <w:t>Phone: 847-434-7132</w:t>
      </w:r>
    </w:p>
    <w:p w:rsidR="00016DFD" w:rsidRPr="008D0766" w:rsidRDefault="008D0766" w:rsidP="008D0766">
      <w:pPr>
        <w:pStyle w:val="ListParagraph"/>
        <w:rPr>
          <w:color w:val="000000"/>
        </w:rPr>
      </w:pPr>
      <w:r w:rsidRPr="008D0766">
        <w:rPr>
          <w:color w:val="000000"/>
        </w:rPr>
        <w:t xml:space="preserve">E-mail: </w:t>
      </w:r>
      <w:hyperlink r:id="rId17" w:tgtFrame="_blank" w:history="1">
        <w:r w:rsidRPr="008D0766">
          <w:rPr>
            <w:color w:val="000000"/>
          </w:rPr>
          <w:t>laird@aap.org</w:t>
        </w:r>
      </w:hyperlink>
    </w:p>
    <w:p w:rsidR="0074782B" w:rsidRDefault="0074782B" w:rsidP="00361F53"/>
    <w:p w:rsidR="006E3B52" w:rsidRPr="0092182A" w:rsidRDefault="004435C4" w:rsidP="00361F53">
      <w:pPr>
        <w:outlineLvl w:val="0"/>
        <w:rPr>
          <w:b/>
          <w:bCs/>
          <w:iCs/>
          <w:color w:val="000000"/>
        </w:rPr>
      </w:pPr>
      <w:bookmarkStart w:id="54" w:name="_Toc299968001"/>
      <w:r w:rsidRPr="0092182A">
        <w:rPr>
          <w:b/>
          <w:bCs/>
          <w:iCs/>
          <w:color w:val="000000"/>
        </w:rPr>
        <w:t>A</w:t>
      </w:r>
      <w:r w:rsidR="00DC2107">
        <w:rPr>
          <w:b/>
          <w:bCs/>
          <w:iCs/>
          <w:color w:val="000000"/>
        </w:rPr>
        <w:t>.</w:t>
      </w:r>
      <w:r w:rsidR="006E3B52" w:rsidRPr="0092182A">
        <w:rPr>
          <w:b/>
          <w:bCs/>
          <w:iCs/>
          <w:color w:val="000000"/>
        </w:rPr>
        <w:t>9. Explanation of Any Payment or Gift to Respondent</w:t>
      </w:r>
      <w:r w:rsidRPr="0092182A">
        <w:rPr>
          <w:b/>
          <w:bCs/>
          <w:iCs/>
          <w:color w:val="000000"/>
        </w:rPr>
        <w:t>s</w:t>
      </w:r>
      <w:bookmarkEnd w:id="54"/>
    </w:p>
    <w:p w:rsidR="006E3B52" w:rsidRDefault="006E3B52" w:rsidP="00361F53">
      <w:pPr>
        <w:rPr>
          <w:b/>
        </w:rPr>
      </w:pPr>
    </w:p>
    <w:p w:rsidR="006E3B52" w:rsidRDefault="006E3B52" w:rsidP="00361F53">
      <w:r>
        <w:t xml:space="preserve">A cash </w:t>
      </w:r>
      <w:r w:rsidR="00D25282">
        <w:t xml:space="preserve">stipend </w:t>
      </w:r>
      <w:r w:rsidR="006B4F4E">
        <w:t>will be offered to the evaluation research participants as a token of appreciation for a respondent’s time and interest</w:t>
      </w:r>
      <w:r w:rsidR="00C40682">
        <w:t xml:space="preserve"> in the project</w:t>
      </w:r>
      <w:r>
        <w:t xml:space="preserve">. Amounts and justifications will be determined on an individual project basis. This information will be included in the </w:t>
      </w:r>
      <w:r w:rsidR="00AF7E2D">
        <w:t>statement</w:t>
      </w:r>
      <w:r>
        <w:t xml:space="preserve"> provided to OMB for each </w:t>
      </w:r>
      <w:r w:rsidR="003F0F47">
        <w:t xml:space="preserve">information collection </w:t>
      </w:r>
      <w:r>
        <w:t>to be conducted</w:t>
      </w:r>
      <w:r w:rsidR="003F0F47">
        <w:t xml:space="preserve"> by </w:t>
      </w:r>
      <w:r w:rsidR="003A4D97" w:rsidRPr="00AA5973">
        <w:t>DGMQ</w:t>
      </w:r>
      <w:r>
        <w:t>.</w:t>
      </w:r>
    </w:p>
    <w:p w:rsidR="00D25282" w:rsidRDefault="00D25282" w:rsidP="00361F53"/>
    <w:p w:rsidR="00D25282" w:rsidRPr="0074782B" w:rsidRDefault="00D25282" w:rsidP="0074782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i/>
          <w:color w:val="000000"/>
          <w:sz w:val="24"/>
          <w:szCs w:val="24"/>
        </w:rPr>
      </w:pPr>
      <w:r w:rsidRPr="0074782B">
        <w:rPr>
          <w:rFonts w:ascii="Times New Roman" w:hAnsi="Times New Roman"/>
          <w:i/>
          <w:color w:val="000000"/>
          <w:sz w:val="24"/>
          <w:szCs w:val="24"/>
        </w:rPr>
        <w:t>The Need for Incentives</w:t>
      </w:r>
    </w:p>
    <w:p w:rsidR="00D25282" w:rsidRPr="00E96FE7" w:rsidRDefault="00D25282" w:rsidP="00361F53">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E96FE7">
        <w:rPr>
          <w:rFonts w:ascii="Times New Roman" w:hAnsi="Times New Roman"/>
          <w:color w:val="000000"/>
          <w:sz w:val="24"/>
          <w:szCs w:val="24"/>
        </w:rPr>
        <w:t>Incorporating modest incentives to aid in recruitmen</w:t>
      </w:r>
      <w:r>
        <w:rPr>
          <w:rFonts w:ascii="Times New Roman" w:hAnsi="Times New Roman"/>
          <w:color w:val="000000"/>
          <w:sz w:val="24"/>
          <w:szCs w:val="24"/>
        </w:rPr>
        <w:t>t</w:t>
      </w:r>
      <w:r w:rsidRPr="00E96FE7">
        <w:rPr>
          <w:rFonts w:ascii="Times New Roman" w:hAnsi="Times New Roman"/>
          <w:color w:val="000000"/>
          <w:sz w:val="24"/>
          <w:szCs w:val="24"/>
        </w:rPr>
        <w:t xml:space="preserve"> </w:t>
      </w:r>
      <w:r>
        <w:rPr>
          <w:rFonts w:ascii="Times New Roman" w:hAnsi="Times New Roman"/>
          <w:color w:val="000000"/>
          <w:sz w:val="24"/>
          <w:szCs w:val="24"/>
        </w:rPr>
        <w:t>for</w:t>
      </w:r>
      <w:r w:rsidRPr="00E96FE7">
        <w:rPr>
          <w:rFonts w:ascii="Times New Roman" w:hAnsi="Times New Roman"/>
          <w:color w:val="000000"/>
          <w:sz w:val="24"/>
          <w:szCs w:val="24"/>
        </w:rPr>
        <w:t xml:space="preserve"> </w:t>
      </w:r>
      <w:r w:rsidR="00110290">
        <w:rPr>
          <w:rFonts w:ascii="Times New Roman" w:hAnsi="Times New Roman"/>
          <w:color w:val="000000"/>
          <w:sz w:val="24"/>
          <w:szCs w:val="24"/>
        </w:rPr>
        <w:t xml:space="preserve">evaluation </w:t>
      </w:r>
      <w:r>
        <w:rPr>
          <w:rFonts w:ascii="Times New Roman" w:hAnsi="Times New Roman"/>
          <w:color w:val="000000"/>
          <w:sz w:val="24"/>
          <w:szCs w:val="24"/>
        </w:rPr>
        <w:t xml:space="preserve">research </w:t>
      </w:r>
      <w:r w:rsidRPr="00E96FE7">
        <w:rPr>
          <w:rFonts w:ascii="Times New Roman" w:hAnsi="Times New Roman"/>
          <w:color w:val="000000"/>
          <w:sz w:val="24"/>
          <w:szCs w:val="24"/>
        </w:rPr>
        <w:t>is standard practice among</w:t>
      </w:r>
      <w:r>
        <w:rPr>
          <w:rFonts w:ascii="Times New Roman" w:hAnsi="Times New Roman"/>
          <w:color w:val="000000"/>
          <w:sz w:val="24"/>
          <w:szCs w:val="24"/>
        </w:rPr>
        <w:t xml:space="preserve"> commercial market researchers. For a number of reasons, this practice is also appropriate for information collections covered by this generic package. </w:t>
      </w:r>
    </w:p>
    <w:p w:rsidR="00FF71FE" w:rsidRDefault="00FF71FE" w:rsidP="00361F53">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25282" w:rsidRPr="00E96FE7" w:rsidRDefault="00D25282" w:rsidP="00361F53">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E96FE7">
        <w:rPr>
          <w:color w:val="000000"/>
        </w:rPr>
        <w:t xml:space="preserve">The most important aspect of an incentive plan may be its potential for reducing response bias, underreporting bias, and similar sources of error. Findings from the National Survey of Family Growth (a study in which </w:t>
      </w:r>
      <w:r>
        <w:rPr>
          <w:color w:val="000000"/>
        </w:rPr>
        <w:t>childbearing and family planning patterns</w:t>
      </w:r>
      <w:r w:rsidRPr="00E96FE7">
        <w:rPr>
          <w:color w:val="000000"/>
        </w:rPr>
        <w:t xml:space="preserve"> </w:t>
      </w:r>
      <w:r>
        <w:rPr>
          <w:color w:val="000000"/>
        </w:rPr>
        <w:t>are</w:t>
      </w:r>
      <w:r w:rsidRPr="00E96FE7">
        <w:rPr>
          <w:color w:val="000000"/>
        </w:rPr>
        <w:t xml:space="preserve"> collected from young </w:t>
      </w:r>
      <w:r>
        <w:rPr>
          <w:color w:val="000000"/>
        </w:rPr>
        <w:t>women</w:t>
      </w:r>
      <w:r w:rsidRPr="00E96FE7">
        <w:rPr>
          <w:color w:val="000000"/>
        </w:rPr>
        <w:t>) demonstrated that incentives not only had positive effects on response rates, but they also increased the accuracy of reporting</w:t>
      </w:r>
      <w:r w:rsidR="00106BA7">
        <w:rPr>
          <w:color w:val="000000"/>
        </w:rPr>
        <w:t xml:space="preserve"> </w:t>
      </w:r>
      <w:r w:rsidR="00106BA7" w:rsidRPr="00106BA7">
        <w:rPr>
          <w:color w:val="000000"/>
        </w:rPr>
        <w:t>(2)</w:t>
      </w:r>
      <w:r>
        <w:rPr>
          <w:color w:val="000000"/>
        </w:rPr>
        <w:t>.</w:t>
      </w:r>
      <w:r w:rsidRPr="00063DC5">
        <w:t xml:space="preserve"> </w:t>
      </w:r>
      <w:r w:rsidRPr="00E96FE7">
        <w:rPr>
          <w:color w:val="000000"/>
        </w:rPr>
        <w:t>Incentives are necessary for testing in order to ensure that those who are willing to participate are as representative as possib</w:t>
      </w:r>
      <w:r w:rsidR="003701B1">
        <w:rPr>
          <w:color w:val="000000"/>
        </w:rPr>
        <w:t xml:space="preserve">le of the wider public. </w:t>
      </w:r>
      <w:r w:rsidRPr="00E96FE7">
        <w:rPr>
          <w:color w:val="000000"/>
        </w:rPr>
        <w:t>Failure to provide a basic incentive is likely to bias samples in the direction of well-educated individuals who are generally predisposed to be helpful</w:t>
      </w:r>
      <w:r w:rsidR="00944123">
        <w:rPr>
          <w:color w:val="000000"/>
        </w:rPr>
        <w:t>.</w:t>
      </w:r>
      <w:r>
        <w:rPr>
          <w:color w:val="000000"/>
        </w:rPr>
        <w:t xml:space="preserve"> </w:t>
      </w:r>
    </w:p>
    <w:p w:rsidR="00D25282" w:rsidRDefault="00D25282" w:rsidP="00361F53">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p>
    <w:p w:rsidR="00D25282" w:rsidRDefault="00D25282" w:rsidP="00361F53">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E96FE7">
        <w:rPr>
          <w:rFonts w:ascii="Times New Roman" w:hAnsi="Times New Roman"/>
          <w:color w:val="000000"/>
          <w:sz w:val="24"/>
          <w:szCs w:val="24"/>
        </w:rPr>
        <w:t xml:space="preserve">In the National Adult </w:t>
      </w:r>
      <w:r w:rsidR="00106BA7">
        <w:rPr>
          <w:rFonts w:ascii="Times New Roman" w:hAnsi="Times New Roman"/>
          <w:color w:val="000000"/>
          <w:sz w:val="24"/>
          <w:szCs w:val="24"/>
        </w:rPr>
        <w:t xml:space="preserve">Literacy Survey by Berlin </w:t>
      </w:r>
      <w:r w:rsidRPr="00E96FE7">
        <w:rPr>
          <w:rFonts w:ascii="Times New Roman" w:hAnsi="Times New Roman"/>
          <w:color w:val="000000"/>
          <w:sz w:val="24"/>
          <w:szCs w:val="24"/>
        </w:rPr>
        <w:t>and colleagues</w:t>
      </w:r>
      <w:r w:rsidR="00106BA7">
        <w:rPr>
          <w:rFonts w:ascii="Times New Roman" w:hAnsi="Times New Roman"/>
          <w:color w:val="000000"/>
          <w:sz w:val="24"/>
          <w:szCs w:val="24"/>
        </w:rPr>
        <w:t xml:space="preserve"> (3)</w:t>
      </w:r>
      <w:r w:rsidRPr="00E96FE7">
        <w:rPr>
          <w:rFonts w:ascii="Times New Roman" w:hAnsi="Times New Roman"/>
          <w:color w:val="000000"/>
          <w:sz w:val="24"/>
          <w:szCs w:val="24"/>
        </w:rPr>
        <w:t>, a $20 incentive resulted in not only higher response rates from the sample cohort</w:t>
      </w:r>
      <w:r w:rsidR="003701B1">
        <w:rPr>
          <w:rFonts w:ascii="Times New Roman" w:hAnsi="Times New Roman"/>
          <w:color w:val="000000"/>
          <w:sz w:val="24"/>
          <w:szCs w:val="24"/>
        </w:rPr>
        <w:t>,</w:t>
      </w:r>
      <w:r w:rsidRPr="00E96FE7">
        <w:rPr>
          <w:rFonts w:ascii="Times New Roman" w:hAnsi="Times New Roman"/>
          <w:color w:val="000000"/>
          <w:sz w:val="24"/>
          <w:szCs w:val="24"/>
        </w:rPr>
        <w:t xml:space="preserve"> but also lower costs per completed case than the comparison group. Importantly, the incentives provided higher response rates from adults with lower-than-average levels of education and basic literacy and numeracy skills</w:t>
      </w:r>
      <w:r w:rsidR="005F4083">
        <w:rPr>
          <w:rFonts w:ascii="Times New Roman" w:hAnsi="Times New Roman"/>
          <w:color w:val="000000"/>
          <w:sz w:val="24"/>
          <w:szCs w:val="24"/>
        </w:rPr>
        <w:t>.</w:t>
      </w:r>
    </w:p>
    <w:p w:rsidR="005F4083" w:rsidRDefault="005F4083" w:rsidP="00361F53">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p>
    <w:p w:rsidR="00522277" w:rsidRDefault="00D25282" w:rsidP="00361F53">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Pr>
          <w:rFonts w:ascii="Times New Roman" w:hAnsi="Times New Roman"/>
          <w:color w:val="000000"/>
          <w:sz w:val="24"/>
          <w:szCs w:val="24"/>
        </w:rPr>
        <w:t>E</w:t>
      </w:r>
      <w:r w:rsidRPr="00E96FE7">
        <w:rPr>
          <w:rFonts w:ascii="Times New Roman" w:hAnsi="Times New Roman"/>
          <w:color w:val="000000"/>
          <w:sz w:val="24"/>
          <w:szCs w:val="24"/>
        </w:rPr>
        <w:t>mpirical evidence suggests that motivation is increased when an incentive is present</w:t>
      </w:r>
      <w:r>
        <w:rPr>
          <w:rFonts w:ascii="Times New Roman" w:hAnsi="Times New Roman"/>
          <w:color w:val="000000"/>
          <w:sz w:val="24"/>
          <w:szCs w:val="24"/>
        </w:rPr>
        <w:t xml:space="preserve"> for research</w:t>
      </w:r>
      <w:r w:rsidRPr="00E96FE7">
        <w:rPr>
          <w:rFonts w:ascii="Times New Roman" w:hAnsi="Times New Roman"/>
          <w:color w:val="000000"/>
          <w:sz w:val="24"/>
          <w:szCs w:val="24"/>
        </w:rPr>
        <w:t xml:space="preserve">. </w:t>
      </w:r>
      <w:r w:rsidR="00522277" w:rsidRPr="00E96FE7">
        <w:rPr>
          <w:rFonts w:ascii="Times New Roman" w:hAnsi="Times New Roman"/>
          <w:color w:val="000000"/>
          <w:sz w:val="24"/>
          <w:szCs w:val="24"/>
        </w:rPr>
        <w:t>Krueg</w:t>
      </w:r>
      <w:r w:rsidR="003701B1">
        <w:rPr>
          <w:rFonts w:ascii="Times New Roman" w:hAnsi="Times New Roman"/>
          <w:color w:val="000000"/>
          <w:sz w:val="24"/>
          <w:szCs w:val="24"/>
        </w:rPr>
        <w:t>e</w:t>
      </w:r>
      <w:r w:rsidR="00106BA7">
        <w:rPr>
          <w:rFonts w:ascii="Times New Roman" w:hAnsi="Times New Roman"/>
          <w:color w:val="000000"/>
          <w:sz w:val="24"/>
          <w:szCs w:val="24"/>
        </w:rPr>
        <w:t>r (</w:t>
      </w:r>
      <w:r w:rsidR="00522277" w:rsidRPr="00E96FE7">
        <w:rPr>
          <w:rFonts w:ascii="Times New Roman" w:hAnsi="Times New Roman"/>
          <w:color w:val="000000"/>
          <w:sz w:val="24"/>
          <w:szCs w:val="24"/>
        </w:rPr>
        <w:t xml:space="preserve">4) cautions that without providing minimal levels of monetary compensation, insufficient numbers of participants will attend and results will not be useful. </w:t>
      </w:r>
      <w:r w:rsidR="00522277">
        <w:rPr>
          <w:rFonts w:ascii="Times New Roman" w:hAnsi="Times New Roman"/>
          <w:color w:val="000000"/>
          <w:sz w:val="24"/>
          <w:szCs w:val="24"/>
        </w:rPr>
        <w:t>In addition</w:t>
      </w:r>
      <w:r w:rsidR="00522277" w:rsidRPr="00E96FE7">
        <w:rPr>
          <w:rFonts w:ascii="Times New Roman" w:hAnsi="Times New Roman"/>
          <w:color w:val="000000"/>
          <w:sz w:val="24"/>
          <w:szCs w:val="24"/>
        </w:rPr>
        <w:t>, there is substantial evidence that monetary incentives incre</w:t>
      </w:r>
      <w:r w:rsidR="003701B1">
        <w:rPr>
          <w:rFonts w:ascii="Times New Roman" w:hAnsi="Times New Roman"/>
          <w:color w:val="000000"/>
          <w:sz w:val="24"/>
          <w:szCs w:val="24"/>
        </w:rPr>
        <w:t xml:space="preserve">ase response rates to surveys. </w:t>
      </w:r>
      <w:r w:rsidR="00522277" w:rsidRPr="00E96FE7">
        <w:rPr>
          <w:rFonts w:ascii="Times New Roman" w:hAnsi="Times New Roman"/>
          <w:color w:val="000000"/>
          <w:sz w:val="24"/>
          <w:szCs w:val="24"/>
        </w:rPr>
        <w:t>In a meta-analysis of 38 experiments and</w:t>
      </w:r>
      <w:r w:rsidR="00106BA7">
        <w:rPr>
          <w:rFonts w:ascii="Times New Roman" w:hAnsi="Times New Roman"/>
          <w:color w:val="000000"/>
          <w:sz w:val="24"/>
          <w:szCs w:val="24"/>
        </w:rPr>
        <w:t xml:space="preserve"> quasi-experiments, Church (5</w:t>
      </w:r>
      <w:r w:rsidR="00522277" w:rsidRPr="00E96FE7">
        <w:rPr>
          <w:rFonts w:ascii="Times New Roman" w:hAnsi="Times New Roman"/>
          <w:color w:val="000000"/>
          <w:sz w:val="24"/>
          <w:szCs w:val="24"/>
        </w:rPr>
        <w:t>) found that nonmonetary gifts were significantly less effective than cash in generating survey response</w:t>
      </w:r>
      <w:r w:rsidR="00522277">
        <w:rPr>
          <w:rFonts w:ascii="Times New Roman" w:hAnsi="Times New Roman"/>
          <w:color w:val="000000"/>
          <w:sz w:val="24"/>
          <w:szCs w:val="24"/>
        </w:rPr>
        <w:t>s</w:t>
      </w:r>
      <w:r w:rsidR="00522277" w:rsidRPr="00E96FE7">
        <w:rPr>
          <w:rFonts w:ascii="Times New Roman" w:hAnsi="Times New Roman"/>
          <w:color w:val="000000"/>
          <w:sz w:val="24"/>
          <w:szCs w:val="24"/>
        </w:rPr>
        <w:t>, and noted that offering pre</w:t>
      </w:r>
      <w:r w:rsidR="003701B1">
        <w:rPr>
          <w:rFonts w:ascii="Times New Roman" w:hAnsi="Times New Roman"/>
          <w:color w:val="000000"/>
          <w:sz w:val="24"/>
          <w:szCs w:val="24"/>
        </w:rPr>
        <w:t>-</w:t>
      </w:r>
      <w:r w:rsidR="00522277" w:rsidRPr="00E96FE7">
        <w:rPr>
          <w:rFonts w:ascii="Times New Roman" w:hAnsi="Times New Roman"/>
          <w:color w:val="000000"/>
          <w:sz w:val="24"/>
          <w:szCs w:val="24"/>
        </w:rPr>
        <w:t>paid monetary incentives yielded an average increase of 19.1 percentage points over comparison groups.</w:t>
      </w:r>
    </w:p>
    <w:p w:rsidR="00D25282" w:rsidRDefault="00D25282" w:rsidP="00361F53">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D25282" w:rsidRPr="0074782B" w:rsidRDefault="00D25282" w:rsidP="0074782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i/>
          <w:color w:val="000000"/>
          <w:sz w:val="24"/>
          <w:szCs w:val="24"/>
        </w:rPr>
      </w:pPr>
      <w:r w:rsidRPr="0074782B">
        <w:rPr>
          <w:rFonts w:ascii="Times New Roman" w:hAnsi="Times New Roman"/>
          <w:i/>
          <w:color w:val="000000"/>
          <w:sz w:val="24"/>
          <w:szCs w:val="24"/>
        </w:rPr>
        <w:t xml:space="preserve">Level of Incentive Payment </w:t>
      </w:r>
    </w:p>
    <w:p w:rsidR="00D25282" w:rsidRPr="00B10EC4" w:rsidRDefault="00D25282" w:rsidP="0074782B">
      <w:pPr>
        <w:tabs>
          <w:tab w:val="left" w:pos="90"/>
        </w:tabs>
        <w:rPr>
          <w:snapToGrid w:val="0"/>
          <w:color w:val="000000"/>
        </w:rPr>
      </w:pPr>
      <w:r w:rsidRPr="00B10EC4">
        <w:rPr>
          <w:snapToGrid w:val="0"/>
          <w:color w:val="000000"/>
        </w:rPr>
        <w:t xml:space="preserve">Under the terms of the subject OMB package, </w:t>
      </w:r>
      <w:r w:rsidR="00AA5973">
        <w:rPr>
          <w:snapToGrid w:val="0"/>
          <w:color w:val="000000"/>
        </w:rPr>
        <w:t>DGMQ</w:t>
      </w:r>
      <w:r w:rsidR="00AA5973" w:rsidRPr="00B10EC4">
        <w:rPr>
          <w:snapToGrid w:val="0"/>
          <w:color w:val="000000"/>
        </w:rPr>
        <w:t xml:space="preserve"> </w:t>
      </w:r>
      <w:r w:rsidRPr="00B10EC4">
        <w:rPr>
          <w:snapToGrid w:val="0"/>
          <w:color w:val="000000"/>
        </w:rPr>
        <w:t xml:space="preserve">will not directly provide remuneration to respondents. However, some respondents may receive remuneration through recruitment companies contracted to obtain participants. </w:t>
      </w:r>
      <w:r w:rsidR="00AA5973">
        <w:rPr>
          <w:snapToGrid w:val="0"/>
          <w:color w:val="000000"/>
        </w:rPr>
        <w:t>DGMQ</w:t>
      </w:r>
      <w:r w:rsidR="00AA5973" w:rsidRPr="00B10EC4">
        <w:rPr>
          <w:snapToGrid w:val="0"/>
          <w:color w:val="000000"/>
        </w:rPr>
        <w:t xml:space="preserve"> </w:t>
      </w:r>
      <w:r w:rsidRPr="00B10EC4">
        <w:rPr>
          <w:snapToGrid w:val="0"/>
          <w:color w:val="000000"/>
        </w:rPr>
        <w:t>may use these recruitment companies to find participants for larger surveys or when it is difficult to find specific types of audiences willing to participate, e.g.</w:t>
      </w:r>
      <w:r w:rsidR="003701B1">
        <w:rPr>
          <w:snapToGrid w:val="0"/>
          <w:color w:val="000000"/>
        </w:rPr>
        <w:t>,</w:t>
      </w:r>
      <w:r w:rsidRPr="00B10EC4">
        <w:rPr>
          <w:snapToGrid w:val="0"/>
          <w:color w:val="000000"/>
        </w:rPr>
        <w:t xml:space="preserve"> </w:t>
      </w:r>
      <w:r w:rsidR="003701B1">
        <w:rPr>
          <w:snapToGrid w:val="0"/>
          <w:color w:val="000000"/>
        </w:rPr>
        <w:t>health</w:t>
      </w:r>
      <w:r w:rsidR="003F0F47">
        <w:rPr>
          <w:snapToGrid w:val="0"/>
          <w:color w:val="000000"/>
        </w:rPr>
        <w:t>care providers</w:t>
      </w:r>
      <w:r w:rsidRPr="00B10EC4">
        <w:rPr>
          <w:snapToGrid w:val="0"/>
          <w:color w:val="000000"/>
        </w:rPr>
        <w:t>. It is typical for recruitment companies to provide remuneration to users as part of their practices. The amount of remuneration is based on pay scales these companies follow</w:t>
      </w:r>
      <w:r w:rsidR="003F0F47">
        <w:rPr>
          <w:snapToGrid w:val="0"/>
          <w:color w:val="000000"/>
        </w:rPr>
        <w:t xml:space="preserve"> for </w:t>
      </w:r>
      <w:r w:rsidR="00110290">
        <w:rPr>
          <w:snapToGrid w:val="0"/>
          <w:color w:val="000000"/>
        </w:rPr>
        <w:t xml:space="preserve">evaluation </w:t>
      </w:r>
      <w:r w:rsidR="003F0F47">
        <w:rPr>
          <w:snapToGrid w:val="0"/>
          <w:color w:val="000000"/>
        </w:rPr>
        <w:t>research</w:t>
      </w:r>
      <w:r w:rsidRPr="00B10EC4">
        <w:rPr>
          <w:snapToGrid w:val="0"/>
          <w:color w:val="000000"/>
        </w:rPr>
        <w:t xml:space="preserve">. </w:t>
      </w:r>
      <w:r w:rsidR="00AA5973">
        <w:rPr>
          <w:snapToGrid w:val="0"/>
          <w:color w:val="000000"/>
        </w:rPr>
        <w:t>DGMQ</w:t>
      </w:r>
      <w:r w:rsidR="00AA5973" w:rsidRPr="00B10EC4">
        <w:rPr>
          <w:snapToGrid w:val="0"/>
          <w:color w:val="000000"/>
        </w:rPr>
        <w:t xml:space="preserve"> </w:t>
      </w:r>
      <w:r w:rsidRPr="00B10EC4">
        <w:rPr>
          <w:snapToGrid w:val="0"/>
          <w:color w:val="000000"/>
        </w:rPr>
        <w:t>will pay a fixed price to a recruitment company for their services and not specifically for any set remuneration.</w:t>
      </w:r>
    </w:p>
    <w:p w:rsidR="00D25282" w:rsidRDefault="00D25282" w:rsidP="00361F53"/>
    <w:p w:rsidR="0074782B" w:rsidRDefault="0074782B" w:rsidP="00361F53"/>
    <w:p w:rsidR="006E3B52" w:rsidRPr="0092182A" w:rsidRDefault="004435C4" w:rsidP="00361F53">
      <w:pPr>
        <w:outlineLvl w:val="0"/>
        <w:rPr>
          <w:b/>
          <w:bCs/>
          <w:iCs/>
          <w:color w:val="000000"/>
        </w:rPr>
      </w:pPr>
      <w:bookmarkStart w:id="55" w:name="_Toc299968002"/>
      <w:r w:rsidRPr="0092182A">
        <w:rPr>
          <w:b/>
          <w:bCs/>
          <w:iCs/>
          <w:color w:val="000000"/>
        </w:rPr>
        <w:t>A</w:t>
      </w:r>
      <w:r w:rsidR="00DC2107">
        <w:rPr>
          <w:b/>
          <w:bCs/>
          <w:iCs/>
          <w:color w:val="000000"/>
        </w:rPr>
        <w:t>.</w:t>
      </w:r>
      <w:r w:rsidR="006E3B52" w:rsidRPr="0092182A">
        <w:rPr>
          <w:b/>
          <w:bCs/>
          <w:iCs/>
          <w:color w:val="000000"/>
        </w:rPr>
        <w:t>10. Assurance of Confidentiality Provided to Respondents</w:t>
      </w:r>
      <w:bookmarkEnd w:id="55"/>
    </w:p>
    <w:p w:rsidR="006E3B52" w:rsidRDefault="006E3B52" w:rsidP="00361F53">
      <w:pPr>
        <w:rPr>
          <w:b/>
        </w:rPr>
      </w:pPr>
    </w:p>
    <w:p w:rsidR="007C1142" w:rsidRPr="00ED01A2" w:rsidRDefault="003A4D97" w:rsidP="00361F53">
      <w:r w:rsidRPr="00AA5973">
        <w:t>DGMQ</w:t>
      </w:r>
      <w:r w:rsidR="006E3B52">
        <w:t xml:space="preserve"> and contractors will follow procedures for assuring and maintaining privacy during all stages of data collection. </w:t>
      </w:r>
      <w:r w:rsidR="007C1142">
        <w:rPr>
          <w:bCs/>
          <w:iCs/>
          <w:color w:val="000000"/>
        </w:rPr>
        <w:t xml:space="preserve">Respondents will be recruited </w:t>
      </w:r>
      <w:r w:rsidR="007C1142">
        <w:rPr>
          <w:color w:val="000000"/>
        </w:rPr>
        <w:t xml:space="preserve">using established record systems such as </w:t>
      </w:r>
      <w:r w:rsidR="007C1142">
        <w:rPr>
          <w:color w:val="000000"/>
        </w:rPr>
        <w:lastRenderedPageBreak/>
        <w:t xml:space="preserve">proprietary databases of professional organizations (e.g., the American Medical Association), commercial focus group companies, and other sources. </w:t>
      </w:r>
    </w:p>
    <w:p w:rsidR="007C1142" w:rsidRDefault="007C1142" w:rsidP="00361F53">
      <w:pPr>
        <w:autoSpaceDE w:val="0"/>
        <w:autoSpaceDN w:val="0"/>
        <w:adjustRightInd w:val="0"/>
        <w:rPr>
          <w:color w:val="000000"/>
        </w:rPr>
      </w:pPr>
    </w:p>
    <w:p w:rsidR="007C1142" w:rsidRPr="00E96FE7" w:rsidRDefault="007C1142" w:rsidP="00361F53">
      <w:pPr>
        <w:rPr>
          <w:color w:val="000000"/>
        </w:rPr>
      </w:pPr>
      <w:r>
        <w:rPr>
          <w:color w:val="000000"/>
        </w:rPr>
        <w:t xml:space="preserve">Respondents will be informed that </w:t>
      </w:r>
      <w:r w:rsidR="00C53537">
        <w:rPr>
          <w:color w:val="000000"/>
        </w:rPr>
        <w:t>information collected</w:t>
      </w:r>
      <w:r>
        <w:rPr>
          <w:color w:val="000000"/>
        </w:rPr>
        <w:t xml:space="preserve"> may</w:t>
      </w:r>
      <w:r w:rsidRPr="00E96FE7">
        <w:rPr>
          <w:color w:val="000000"/>
        </w:rPr>
        <w:t xml:space="preserve"> be </w:t>
      </w:r>
      <w:r w:rsidR="00236646">
        <w:rPr>
          <w:color w:val="000000"/>
        </w:rPr>
        <w:t>recorded</w:t>
      </w:r>
      <w:r>
        <w:rPr>
          <w:color w:val="000000"/>
        </w:rPr>
        <w:t xml:space="preserve"> and transcribed, and that</w:t>
      </w:r>
      <w:r w:rsidRPr="00E96FE7">
        <w:rPr>
          <w:color w:val="000000"/>
        </w:rPr>
        <w:t xml:space="preserve"> </w:t>
      </w:r>
      <w:r w:rsidR="00236646">
        <w:rPr>
          <w:color w:val="000000"/>
        </w:rPr>
        <w:t>any multimedia recordings</w:t>
      </w:r>
      <w:r w:rsidRPr="00E96FE7">
        <w:rPr>
          <w:color w:val="000000"/>
        </w:rPr>
        <w:t xml:space="preserve"> will be destroyed</w:t>
      </w:r>
      <w:r>
        <w:rPr>
          <w:color w:val="000000"/>
        </w:rPr>
        <w:t xml:space="preserve"> after completion of each report on findings</w:t>
      </w:r>
      <w:r w:rsidRPr="00E96FE7">
        <w:rPr>
          <w:color w:val="000000"/>
        </w:rPr>
        <w:t xml:space="preserve">. </w:t>
      </w:r>
      <w:r w:rsidR="003A4D97" w:rsidRPr="00AA5973">
        <w:rPr>
          <w:color w:val="000000"/>
        </w:rPr>
        <w:t>DGMQ</w:t>
      </w:r>
      <w:r>
        <w:rPr>
          <w:color w:val="000000"/>
        </w:rPr>
        <w:t xml:space="preserve"> staff, in conjunction with the </w:t>
      </w:r>
      <w:r w:rsidRPr="00E96FE7">
        <w:rPr>
          <w:color w:val="000000"/>
        </w:rPr>
        <w:t xml:space="preserve">contractor, will collect and evaluate the </w:t>
      </w:r>
      <w:r>
        <w:rPr>
          <w:color w:val="000000"/>
        </w:rPr>
        <w:t>research</w:t>
      </w:r>
      <w:r w:rsidRPr="00E96FE7">
        <w:rPr>
          <w:color w:val="000000"/>
        </w:rPr>
        <w:t xml:space="preserve"> data.  </w:t>
      </w:r>
    </w:p>
    <w:p w:rsidR="007C1142" w:rsidRDefault="007C1142" w:rsidP="00361F53">
      <w:pPr>
        <w:autoSpaceDE w:val="0"/>
        <w:autoSpaceDN w:val="0"/>
        <w:adjustRightInd w:val="0"/>
        <w:rPr>
          <w:color w:val="000000"/>
        </w:rPr>
      </w:pPr>
      <w:r w:rsidRPr="00E96FE7">
        <w:rPr>
          <w:color w:val="000000"/>
        </w:rPr>
        <w:t xml:space="preserve">All information provided by respondents will be treated in a </w:t>
      </w:r>
      <w:r w:rsidR="008143DD">
        <w:rPr>
          <w:color w:val="000000"/>
        </w:rPr>
        <w:t>secure</w:t>
      </w:r>
      <w:r w:rsidR="008143DD" w:rsidRPr="00E96FE7">
        <w:rPr>
          <w:color w:val="000000"/>
        </w:rPr>
        <w:t xml:space="preserve"> </w:t>
      </w:r>
      <w:r w:rsidRPr="00E96FE7">
        <w:rPr>
          <w:color w:val="000000"/>
        </w:rPr>
        <w:t>manner</w:t>
      </w:r>
      <w:r>
        <w:rPr>
          <w:color w:val="000000"/>
        </w:rPr>
        <w:t xml:space="preserve"> and will not be disclosed</w:t>
      </w:r>
      <w:r w:rsidRPr="00E96FE7">
        <w:rPr>
          <w:color w:val="000000"/>
        </w:rPr>
        <w:t xml:space="preserve"> unless otherwise compelled by law. </w:t>
      </w:r>
      <w:r>
        <w:rPr>
          <w:color w:val="000000"/>
        </w:rPr>
        <w:t xml:space="preserve">Respondents </w:t>
      </w:r>
      <w:r w:rsidRPr="00E96FE7">
        <w:rPr>
          <w:color w:val="000000"/>
        </w:rPr>
        <w:t xml:space="preserve">will be informed prior to participation that their responses will be treated in a </w:t>
      </w:r>
      <w:r w:rsidR="008143DD">
        <w:rPr>
          <w:color w:val="000000"/>
        </w:rPr>
        <w:t>secure</w:t>
      </w:r>
      <w:r w:rsidR="008143DD" w:rsidRPr="00E96FE7">
        <w:rPr>
          <w:color w:val="000000"/>
        </w:rPr>
        <w:t xml:space="preserve"> </w:t>
      </w:r>
      <w:r w:rsidRPr="00E96FE7">
        <w:rPr>
          <w:color w:val="000000"/>
        </w:rPr>
        <w:t xml:space="preserve">manner. </w:t>
      </w:r>
      <w:r w:rsidR="00236646">
        <w:rPr>
          <w:color w:val="000000"/>
        </w:rPr>
        <w:t xml:space="preserve">An </w:t>
      </w:r>
      <w:r w:rsidR="003F3CCC">
        <w:rPr>
          <w:color w:val="000000"/>
        </w:rPr>
        <w:t>application for IRB review and approval</w:t>
      </w:r>
      <w:r w:rsidR="00236646">
        <w:rPr>
          <w:color w:val="000000"/>
        </w:rPr>
        <w:t xml:space="preserve"> will be submitted for each proposed </w:t>
      </w:r>
      <w:r w:rsidR="00C53537">
        <w:rPr>
          <w:color w:val="000000"/>
        </w:rPr>
        <w:t>evaluation project</w:t>
      </w:r>
      <w:r w:rsidR="003701B1">
        <w:rPr>
          <w:color w:val="000000"/>
        </w:rPr>
        <w:t>, which will outline their</w:t>
      </w:r>
      <w:r w:rsidR="00DB083E" w:rsidRPr="006E1718">
        <w:rPr>
          <w:color w:val="000000"/>
        </w:rPr>
        <w:t xml:space="preserve"> procedure for participant consent</w:t>
      </w:r>
      <w:r w:rsidR="003F3CCC">
        <w:rPr>
          <w:color w:val="000000"/>
        </w:rPr>
        <w:t xml:space="preserve">.  </w:t>
      </w:r>
      <w:r w:rsidR="00ED01A2" w:rsidRPr="00ED01A2">
        <w:t xml:space="preserve"> </w:t>
      </w:r>
    </w:p>
    <w:p w:rsidR="00EE7B95" w:rsidRDefault="00EE7B95" w:rsidP="00361F53">
      <w:pPr>
        <w:autoSpaceDE w:val="0"/>
        <w:autoSpaceDN w:val="0"/>
        <w:adjustRightInd w:val="0"/>
        <w:rPr>
          <w:color w:val="000000"/>
        </w:rPr>
      </w:pPr>
    </w:p>
    <w:p w:rsidR="005F4083" w:rsidRPr="00AB10DA" w:rsidRDefault="005F4083" w:rsidP="0074782B">
      <w:pPr>
        <w:autoSpaceDE w:val="0"/>
        <w:autoSpaceDN w:val="0"/>
        <w:adjustRightInd w:val="0"/>
        <w:spacing w:after="120"/>
        <w:rPr>
          <w:color w:val="000000"/>
          <w:u w:val="single"/>
        </w:rPr>
      </w:pPr>
      <w:r w:rsidRPr="00AB10DA">
        <w:rPr>
          <w:color w:val="000000"/>
          <w:u w:val="single"/>
        </w:rPr>
        <w:t>Privacy Impact Assessment Information</w:t>
      </w:r>
    </w:p>
    <w:p w:rsidR="005F4083" w:rsidRPr="003701B1" w:rsidRDefault="005F4083" w:rsidP="00361F53">
      <w:pPr>
        <w:pStyle w:val="ListParagraph"/>
        <w:numPr>
          <w:ilvl w:val="0"/>
          <w:numId w:val="14"/>
        </w:numPr>
        <w:autoSpaceDE w:val="0"/>
        <w:autoSpaceDN w:val="0"/>
        <w:adjustRightInd w:val="0"/>
        <w:rPr>
          <w:color w:val="000000"/>
        </w:rPr>
      </w:pPr>
      <w:r w:rsidRPr="003701B1">
        <w:rPr>
          <w:color w:val="000000"/>
        </w:rPr>
        <w:t>This information collection request has been reviewed by the National Center for Emerging and Zoonotic Infectious Diseases (NCEZID), and determined that the Privacy Act does not apply. Individuals responding to this request are doing so voluntarily.</w:t>
      </w:r>
    </w:p>
    <w:p w:rsidR="005F4083" w:rsidRDefault="005F4083" w:rsidP="00361F53">
      <w:pPr>
        <w:autoSpaceDE w:val="0"/>
        <w:autoSpaceDN w:val="0"/>
        <w:adjustRightInd w:val="0"/>
        <w:rPr>
          <w:color w:val="000000"/>
        </w:rPr>
      </w:pPr>
    </w:p>
    <w:p w:rsidR="005F4083" w:rsidRPr="003701B1" w:rsidRDefault="005F4083" w:rsidP="00361F53">
      <w:pPr>
        <w:pStyle w:val="ListParagraph"/>
        <w:numPr>
          <w:ilvl w:val="0"/>
          <w:numId w:val="14"/>
        </w:numPr>
        <w:autoSpaceDE w:val="0"/>
        <w:autoSpaceDN w:val="0"/>
        <w:adjustRightInd w:val="0"/>
        <w:rPr>
          <w:color w:val="000000"/>
        </w:rPr>
      </w:pPr>
      <w:r w:rsidRPr="003701B1">
        <w:rPr>
          <w:color w:val="000000"/>
        </w:rPr>
        <w:t xml:space="preserve">All data will be stored in secured electronic files at </w:t>
      </w:r>
      <w:r w:rsidR="003A4D97" w:rsidRPr="003701B1">
        <w:rPr>
          <w:color w:val="000000"/>
        </w:rPr>
        <w:t>CDC</w:t>
      </w:r>
      <w:r w:rsidR="0000457F" w:rsidRPr="003701B1">
        <w:rPr>
          <w:color w:val="000000"/>
        </w:rPr>
        <w:t>’s</w:t>
      </w:r>
      <w:r w:rsidRPr="003701B1">
        <w:rPr>
          <w:color w:val="000000"/>
        </w:rPr>
        <w:t xml:space="preserve"> and/or a contractor’s office and will be accessible only to staff dir</w:t>
      </w:r>
      <w:r w:rsidR="003701B1">
        <w:rPr>
          <w:color w:val="000000"/>
        </w:rPr>
        <w:t xml:space="preserve">ectly involved in the project. </w:t>
      </w:r>
      <w:r w:rsidRPr="003701B1">
        <w:rPr>
          <w:color w:val="000000"/>
        </w:rPr>
        <w:t>All members of the project will be required to sign a statement pledging their personal commitment to guar</w:t>
      </w:r>
      <w:r w:rsidR="003701B1">
        <w:rPr>
          <w:color w:val="000000"/>
        </w:rPr>
        <w:t xml:space="preserve">d the confidentiality of data. </w:t>
      </w:r>
      <w:r w:rsidRPr="003701B1">
        <w:rPr>
          <w:color w:val="000000"/>
        </w:rPr>
        <w:t xml:space="preserve">Data files will be retained for a period of no more than three years and then destroyed. </w:t>
      </w:r>
      <w:r w:rsidR="003701B1">
        <w:t>After the three</w:t>
      </w:r>
      <w:r w:rsidRPr="006E3588">
        <w:t xml:space="preserve"> years</w:t>
      </w:r>
      <w:r>
        <w:t>,</w:t>
      </w:r>
      <w:r w:rsidRPr="006E3588">
        <w:t xml:space="preserve"> the documents and </w:t>
      </w:r>
      <w:r w:rsidR="00236646">
        <w:t>multimedia recordings</w:t>
      </w:r>
      <w:r w:rsidRPr="006E3588">
        <w:t xml:space="preserve"> will be </w:t>
      </w:r>
      <w:r w:rsidR="00236646">
        <w:t>deleted</w:t>
      </w:r>
      <w:r w:rsidRPr="006E3588">
        <w:t>.</w:t>
      </w:r>
    </w:p>
    <w:p w:rsidR="005F4083" w:rsidRPr="002F0A78" w:rsidRDefault="005F4083" w:rsidP="00361F53">
      <w:pPr>
        <w:autoSpaceDE w:val="0"/>
        <w:autoSpaceDN w:val="0"/>
        <w:adjustRightInd w:val="0"/>
        <w:rPr>
          <w:color w:val="000000"/>
        </w:rPr>
      </w:pPr>
    </w:p>
    <w:p w:rsidR="005F4083" w:rsidRPr="003701B1" w:rsidRDefault="005F4083" w:rsidP="00361F53">
      <w:pPr>
        <w:pStyle w:val="ListParagraph"/>
        <w:numPr>
          <w:ilvl w:val="0"/>
          <w:numId w:val="14"/>
        </w:numPr>
        <w:autoSpaceDE w:val="0"/>
        <w:autoSpaceDN w:val="0"/>
        <w:adjustRightInd w:val="0"/>
        <w:rPr>
          <w:color w:val="000000"/>
        </w:rPr>
      </w:pPr>
      <w:r w:rsidRPr="003701B1">
        <w:rPr>
          <w:color w:val="000000"/>
        </w:rPr>
        <w:t>Online data collections will conform totally to federal regulations [the Hawkins-Stafford Amendments of 1988 (P.L. 100-297) and the Computer Security Act of 1987] and will be required to have comprehensive, written plans</w:t>
      </w:r>
      <w:r w:rsidR="003701B1">
        <w:rPr>
          <w:color w:val="000000"/>
        </w:rPr>
        <w:t xml:space="preserve"> to maintain confidentiality. </w:t>
      </w:r>
      <w:r w:rsidRPr="003701B1">
        <w:rPr>
          <w:color w:val="000000"/>
        </w:rPr>
        <w:t>This plan will include having all personnel who will have access to individual identifiers si</w:t>
      </w:r>
      <w:r w:rsidR="003701B1">
        <w:rPr>
          <w:color w:val="000000"/>
        </w:rPr>
        <w:t xml:space="preserve">gn confidentiality agreements. </w:t>
      </w:r>
      <w:r w:rsidRPr="003701B1">
        <w:rPr>
          <w:color w:val="000000"/>
        </w:rPr>
        <w:t>They will also be trained in the meaning of confidentiality, particularly as it relates to handling requests for information from respondents, and in providing assurance to respondents about the protection of their responses.</w:t>
      </w:r>
    </w:p>
    <w:p w:rsidR="005F4083" w:rsidRPr="002F0A78" w:rsidRDefault="005F4083" w:rsidP="00361F53">
      <w:pPr>
        <w:autoSpaceDE w:val="0"/>
        <w:autoSpaceDN w:val="0"/>
        <w:adjustRightInd w:val="0"/>
        <w:rPr>
          <w:color w:val="000000"/>
        </w:rPr>
      </w:pPr>
    </w:p>
    <w:p w:rsidR="005F4083" w:rsidRPr="003701B1" w:rsidRDefault="00D14CA9" w:rsidP="00361F53">
      <w:pPr>
        <w:pStyle w:val="ListParagraph"/>
        <w:numPr>
          <w:ilvl w:val="0"/>
          <w:numId w:val="14"/>
        </w:numPr>
        <w:autoSpaceDE w:val="0"/>
        <w:autoSpaceDN w:val="0"/>
        <w:adjustRightInd w:val="0"/>
        <w:rPr>
          <w:color w:val="000000"/>
        </w:rPr>
      </w:pPr>
      <w:r w:rsidRPr="003701B1">
        <w:rPr>
          <w:color w:val="000000"/>
        </w:rPr>
        <w:t xml:space="preserve">Each proposed </w:t>
      </w:r>
      <w:r w:rsidR="00C53537" w:rsidRPr="003701B1">
        <w:rPr>
          <w:color w:val="000000"/>
        </w:rPr>
        <w:t>evaluation project</w:t>
      </w:r>
      <w:r w:rsidRPr="003701B1">
        <w:rPr>
          <w:color w:val="000000"/>
        </w:rPr>
        <w:t xml:space="preserve"> will submit an application for IRB review and approval, which will outline their procedure for participant consent. However, p</w:t>
      </w:r>
      <w:r w:rsidR="005F4083" w:rsidRPr="003701B1">
        <w:rPr>
          <w:color w:val="000000"/>
        </w:rPr>
        <w:t xml:space="preserve">rior to participating in the information collection, </w:t>
      </w:r>
      <w:r w:rsidRPr="003701B1">
        <w:rPr>
          <w:color w:val="000000"/>
        </w:rPr>
        <w:t>most</w:t>
      </w:r>
      <w:r w:rsidR="005F4083" w:rsidRPr="003701B1">
        <w:rPr>
          <w:color w:val="000000"/>
        </w:rPr>
        <w:t xml:space="preserve"> prospective respondent</w:t>
      </w:r>
      <w:r w:rsidRPr="003701B1">
        <w:rPr>
          <w:color w:val="000000"/>
        </w:rPr>
        <w:t>s</w:t>
      </w:r>
      <w:r w:rsidR="005F4083" w:rsidRPr="003701B1">
        <w:rPr>
          <w:color w:val="000000"/>
        </w:rPr>
        <w:t xml:space="preserve"> will receive information </w:t>
      </w:r>
      <w:r w:rsidRPr="003701B1">
        <w:rPr>
          <w:color w:val="000000"/>
        </w:rPr>
        <w:t xml:space="preserve">such </w:t>
      </w:r>
      <w:r w:rsidR="005F4083" w:rsidRPr="003701B1">
        <w:rPr>
          <w:color w:val="000000"/>
        </w:rPr>
        <w:t xml:space="preserve">as sponsorship of the </w:t>
      </w:r>
      <w:r w:rsidR="00C53537" w:rsidRPr="003701B1">
        <w:rPr>
          <w:color w:val="000000"/>
        </w:rPr>
        <w:t>evaluation project</w:t>
      </w:r>
      <w:r w:rsidR="005F4083" w:rsidRPr="003701B1">
        <w:rPr>
          <w:color w:val="000000"/>
        </w:rPr>
        <w:t>, their rights as participants, risks and benefits in participating, and contacts for more information</w:t>
      </w:r>
      <w:r w:rsidRPr="003701B1">
        <w:rPr>
          <w:color w:val="000000"/>
        </w:rPr>
        <w:t xml:space="preserve"> about the </w:t>
      </w:r>
      <w:r w:rsidR="00236646" w:rsidRPr="003701B1">
        <w:rPr>
          <w:color w:val="000000"/>
        </w:rPr>
        <w:t>project</w:t>
      </w:r>
      <w:r w:rsidRPr="003701B1">
        <w:rPr>
          <w:color w:val="000000"/>
        </w:rPr>
        <w:t xml:space="preserve">. </w:t>
      </w:r>
      <w:r w:rsidR="005F4083" w:rsidRPr="003701B1">
        <w:rPr>
          <w:color w:val="000000"/>
        </w:rPr>
        <w:t xml:space="preserve">Prior to the beginning of the information collection, a staff member will address any questions the participants have about the </w:t>
      </w:r>
      <w:r w:rsidR="00C53537" w:rsidRPr="003701B1">
        <w:rPr>
          <w:color w:val="000000"/>
        </w:rPr>
        <w:t>evaluation project</w:t>
      </w:r>
      <w:r w:rsidR="005F4083" w:rsidRPr="003701B1">
        <w:rPr>
          <w:color w:val="000000"/>
        </w:rPr>
        <w:t>.</w:t>
      </w:r>
    </w:p>
    <w:p w:rsidR="005F4083" w:rsidRDefault="005F4083" w:rsidP="00361F53">
      <w:pPr>
        <w:autoSpaceDE w:val="0"/>
        <w:autoSpaceDN w:val="0"/>
        <w:adjustRightInd w:val="0"/>
        <w:rPr>
          <w:color w:val="000000"/>
        </w:rPr>
      </w:pPr>
    </w:p>
    <w:p w:rsidR="005F4083" w:rsidRPr="003701B1" w:rsidRDefault="005F4083" w:rsidP="00361F53">
      <w:pPr>
        <w:pStyle w:val="ListParagraph"/>
        <w:numPr>
          <w:ilvl w:val="0"/>
          <w:numId w:val="14"/>
        </w:numPr>
        <w:autoSpaceDE w:val="0"/>
        <w:autoSpaceDN w:val="0"/>
        <w:adjustRightInd w:val="0"/>
        <w:rPr>
          <w:color w:val="000000"/>
        </w:rPr>
      </w:pPr>
      <w:r w:rsidRPr="003701B1">
        <w:rPr>
          <w:color w:val="000000"/>
        </w:rPr>
        <w:t>Respondents will be advised of the nature of the</w:t>
      </w:r>
      <w:r w:rsidR="00236646" w:rsidRPr="003701B1">
        <w:rPr>
          <w:color w:val="000000"/>
        </w:rPr>
        <w:t xml:space="preserve"> information collection activity</w:t>
      </w:r>
      <w:r w:rsidRPr="003701B1">
        <w:rPr>
          <w:color w:val="000000"/>
        </w:rPr>
        <w:t>, the length of time it will require, and that part</w:t>
      </w:r>
      <w:r w:rsidR="003701B1">
        <w:rPr>
          <w:color w:val="000000"/>
        </w:rPr>
        <w:t xml:space="preserve">icipation is purely voluntary. </w:t>
      </w:r>
      <w:r w:rsidRPr="003701B1">
        <w:rPr>
          <w:color w:val="000000"/>
        </w:rPr>
        <w:t>Respondents will be assured that no penalties will occur if they wish not to respond to the information collection as a whole</w:t>
      </w:r>
      <w:r w:rsidR="003701B1">
        <w:rPr>
          <w:color w:val="000000"/>
        </w:rPr>
        <w:t xml:space="preserve"> or to any specific questions. </w:t>
      </w:r>
      <w:r w:rsidRPr="003701B1">
        <w:rPr>
          <w:color w:val="000000"/>
        </w:rPr>
        <w:t xml:space="preserve">These procedures conform to ethical practices for collecting data from human participants. </w:t>
      </w:r>
    </w:p>
    <w:p w:rsidR="005F4083" w:rsidRDefault="005F4083" w:rsidP="00361F53">
      <w:pPr>
        <w:autoSpaceDE w:val="0"/>
        <w:autoSpaceDN w:val="0"/>
        <w:adjustRightInd w:val="0"/>
        <w:rPr>
          <w:color w:val="000000"/>
        </w:rPr>
      </w:pPr>
    </w:p>
    <w:p w:rsidR="0074782B" w:rsidRDefault="0074782B" w:rsidP="00361F53">
      <w:pPr>
        <w:autoSpaceDE w:val="0"/>
        <w:autoSpaceDN w:val="0"/>
        <w:adjustRightInd w:val="0"/>
        <w:rPr>
          <w:color w:val="000000"/>
        </w:rPr>
      </w:pPr>
    </w:p>
    <w:p w:rsidR="006E3B52" w:rsidRPr="0092182A" w:rsidRDefault="004435C4" w:rsidP="00361F53">
      <w:pPr>
        <w:outlineLvl w:val="0"/>
        <w:rPr>
          <w:b/>
        </w:rPr>
      </w:pPr>
      <w:bookmarkStart w:id="56" w:name="_Toc299968003"/>
      <w:r w:rsidRPr="0092182A">
        <w:rPr>
          <w:b/>
        </w:rPr>
        <w:t>A</w:t>
      </w:r>
      <w:r w:rsidR="00DC2107">
        <w:rPr>
          <w:b/>
        </w:rPr>
        <w:t>.</w:t>
      </w:r>
      <w:r w:rsidR="006E3B52" w:rsidRPr="0092182A">
        <w:rPr>
          <w:b/>
        </w:rPr>
        <w:t>11. Justification for Sensitive Questions</w:t>
      </w:r>
      <w:bookmarkEnd w:id="56"/>
    </w:p>
    <w:p w:rsidR="006E3B52" w:rsidRDefault="006E3B52" w:rsidP="00361F53"/>
    <w:p w:rsidR="007C1142" w:rsidRDefault="007C1142" w:rsidP="00361F53">
      <w:pPr>
        <w:rPr>
          <w:color w:val="000000"/>
        </w:rPr>
      </w:pPr>
      <w:r w:rsidRPr="00E96FE7">
        <w:rPr>
          <w:color w:val="000000"/>
        </w:rPr>
        <w:t xml:space="preserve">The majority of questions asked will not be of a sensitive nature. However, some </w:t>
      </w:r>
      <w:r>
        <w:rPr>
          <w:color w:val="000000"/>
        </w:rPr>
        <w:t>respondent</w:t>
      </w:r>
      <w:r w:rsidRPr="00E96FE7">
        <w:rPr>
          <w:color w:val="000000"/>
        </w:rPr>
        <w:t xml:space="preserve">s (namely the general public) may find thinking about and discussing </w:t>
      </w:r>
      <w:r>
        <w:rPr>
          <w:color w:val="000000"/>
        </w:rPr>
        <w:t xml:space="preserve">a disease </w:t>
      </w:r>
      <w:r w:rsidRPr="00E96FE7">
        <w:rPr>
          <w:color w:val="000000"/>
        </w:rPr>
        <w:t xml:space="preserve">unpleasant. </w:t>
      </w:r>
      <w:r>
        <w:rPr>
          <w:color w:val="000000"/>
        </w:rPr>
        <w:t>A portion of respondents could consider questions about race, ethnicity, or other demographic characteristics to be sensitive, although such questions are un</w:t>
      </w:r>
      <w:r w:rsidR="003701B1">
        <w:rPr>
          <w:color w:val="000000"/>
        </w:rPr>
        <w:t xml:space="preserve">likely to be highly sensitive. </w:t>
      </w:r>
      <w:r w:rsidRPr="007A7BD4">
        <w:rPr>
          <w:color w:val="000000"/>
        </w:rPr>
        <w:t xml:space="preserve">Where relevant to the </w:t>
      </w:r>
      <w:r w:rsidR="00ED01A2">
        <w:rPr>
          <w:color w:val="000000"/>
        </w:rPr>
        <w:t>information collection</w:t>
      </w:r>
      <w:r w:rsidRPr="007A7BD4">
        <w:rPr>
          <w:color w:val="000000"/>
        </w:rPr>
        <w:t xml:space="preserve">, </w:t>
      </w:r>
      <w:r>
        <w:rPr>
          <w:color w:val="000000"/>
        </w:rPr>
        <w:t>r</w:t>
      </w:r>
      <w:r w:rsidRPr="007A7BD4">
        <w:rPr>
          <w:color w:val="000000"/>
        </w:rPr>
        <w:t xml:space="preserve">ace and </w:t>
      </w:r>
      <w:r>
        <w:rPr>
          <w:color w:val="000000"/>
        </w:rPr>
        <w:t>e</w:t>
      </w:r>
      <w:r w:rsidRPr="007A7BD4">
        <w:rPr>
          <w:color w:val="000000"/>
        </w:rPr>
        <w:t>thnicity data will be collected consistent with HHS policy and standard OMB classifications.</w:t>
      </w:r>
      <w:r w:rsidRPr="00AB6A01">
        <w:rPr>
          <w:color w:val="000000"/>
        </w:rPr>
        <w:t xml:space="preserve"> </w:t>
      </w:r>
    </w:p>
    <w:p w:rsidR="007C1142" w:rsidRDefault="007C1142" w:rsidP="00361F53">
      <w:pPr>
        <w:rPr>
          <w:color w:val="000000"/>
        </w:rPr>
      </w:pPr>
    </w:p>
    <w:p w:rsidR="007C1142" w:rsidRDefault="007C1142" w:rsidP="00361F53">
      <w:pPr>
        <w:rPr>
          <w:color w:val="000000"/>
        </w:rPr>
      </w:pPr>
      <w:r w:rsidRPr="00E96FE7">
        <w:rPr>
          <w:color w:val="000000"/>
        </w:rPr>
        <w:t>Additionally</w:t>
      </w:r>
      <w:r>
        <w:rPr>
          <w:color w:val="000000"/>
        </w:rPr>
        <w:t>, some respondent</w:t>
      </w:r>
      <w:r w:rsidRPr="00E96FE7">
        <w:rPr>
          <w:color w:val="000000"/>
        </w:rPr>
        <w:t>s may feel uncomfortable answering</w:t>
      </w:r>
      <w:r>
        <w:rPr>
          <w:color w:val="000000"/>
        </w:rPr>
        <w:t xml:space="preserve"> particular </w:t>
      </w:r>
      <w:r w:rsidRPr="00E96FE7">
        <w:rPr>
          <w:color w:val="000000"/>
        </w:rPr>
        <w:t xml:space="preserve">questions about their individual experiences, level of disease awareness, and/or adopted preventative behaviors (or lack thereof) associated with </w:t>
      </w:r>
      <w:r>
        <w:rPr>
          <w:color w:val="000000"/>
        </w:rPr>
        <w:t>various diseases</w:t>
      </w:r>
      <w:r w:rsidRPr="00E96FE7">
        <w:rPr>
          <w:color w:val="000000"/>
        </w:rPr>
        <w:t xml:space="preserve">. </w:t>
      </w:r>
      <w:r>
        <w:rPr>
          <w:color w:val="000000"/>
        </w:rPr>
        <w:t xml:space="preserve">Such questions, if asked, would be necessary for the purposes of a targeted communication, training or education activity and thus to the </w:t>
      </w:r>
      <w:r w:rsidR="003701B1">
        <w:rPr>
          <w:color w:val="000000"/>
        </w:rPr>
        <w:t xml:space="preserve">information collection. </w:t>
      </w:r>
      <w:r w:rsidRPr="00E96FE7">
        <w:rPr>
          <w:color w:val="000000"/>
        </w:rPr>
        <w:t xml:space="preserve">To minimize psychological distress, the moderator </w:t>
      </w:r>
      <w:r w:rsidR="00BB0CAC">
        <w:rPr>
          <w:color w:val="000000"/>
        </w:rPr>
        <w:t xml:space="preserve">or data collection instrument instructions </w:t>
      </w:r>
      <w:r w:rsidRPr="00E96FE7">
        <w:rPr>
          <w:color w:val="000000"/>
        </w:rPr>
        <w:t>will inform participants that they do not have to respond to any questions they do not want to answer and they may s</w:t>
      </w:r>
      <w:r w:rsidR="003701B1">
        <w:rPr>
          <w:color w:val="000000"/>
        </w:rPr>
        <w:t xml:space="preserve">top participating at any time. </w:t>
      </w:r>
      <w:r w:rsidR="00ED01A2">
        <w:rPr>
          <w:color w:val="000000"/>
        </w:rPr>
        <w:t xml:space="preserve">In addition, a subject matter expert from </w:t>
      </w:r>
      <w:r w:rsidR="00AA5973">
        <w:rPr>
          <w:color w:val="000000"/>
        </w:rPr>
        <w:t xml:space="preserve">DGMQ </w:t>
      </w:r>
      <w:r w:rsidR="00591F4A">
        <w:rPr>
          <w:color w:val="000000"/>
        </w:rPr>
        <w:t xml:space="preserve">or delegated organization </w:t>
      </w:r>
      <w:r w:rsidR="00ED01A2">
        <w:rPr>
          <w:color w:val="000000"/>
        </w:rPr>
        <w:t>will be present during the information collection to answer questions from participants at the end of the information collection activity.</w:t>
      </w:r>
    </w:p>
    <w:p w:rsidR="004435C4" w:rsidRDefault="004435C4" w:rsidP="00361F53">
      <w:pPr>
        <w:rPr>
          <w:color w:val="000000"/>
        </w:rPr>
      </w:pPr>
    </w:p>
    <w:p w:rsidR="0074782B" w:rsidRPr="00E96FE7" w:rsidRDefault="0074782B" w:rsidP="00361F53">
      <w:pPr>
        <w:rPr>
          <w:color w:val="000000"/>
        </w:rPr>
      </w:pPr>
    </w:p>
    <w:p w:rsidR="007C1142" w:rsidRPr="0092182A" w:rsidRDefault="007C1142" w:rsidP="00361F53">
      <w:pPr>
        <w:outlineLvl w:val="0"/>
        <w:rPr>
          <w:b/>
          <w:bCs/>
          <w:iCs/>
          <w:color w:val="000000"/>
        </w:rPr>
      </w:pPr>
      <w:bookmarkStart w:id="57" w:name="_Toc299968004"/>
      <w:r w:rsidRPr="0092182A">
        <w:rPr>
          <w:b/>
          <w:bCs/>
          <w:iCs/>
          <w:color w:val="000000"/>
        </w:rPr>
        <w:t>A</w:t>
      </w:r>
      <w:r w:rsidR="00DC2107">
        <w:rPr>
          <w:b/>
          <w:bCs/>
          <w:iCs/>
          <w:color w:val="000000"/>
        </w:rPr>
        <w:t>.</w:t>
      </w:r>
      <w:r w:rsidRPr="0092182A">
        <w:rPr>
          <w:b/>
          <w:bCs/>
          <w:iCs/>
          <w:color w:val="000000"/>
        </w:rPr>
        <w:t>12. Estimates of Annualized Burden Hours and Costs</w:t>
      </w:r>
      <w:bookmarkEnd w:id="57"/>
    </w:p>
    <w:p w:rsidR="007C1142" w:rsidRPr="00E96FE7" w:rsidRDefault="007C1142" w:rsidP="00361F53">
      <w:pPr>
        <w:rPr>
          <w:color w:val="000000"/>
        </w:rPr>
      </w:pPr>
    </w:p>
    <w:p w:rsidR="007C1142" w:rsidRPr="004C4475" w:rsidRDefault="007C1142" w:rsidP="00361F53">
      <w:pPr>
        <w:pStyle w:val="ListParagraph"/>
        <w:numPr>
          <w:ilvl w:val="0"/>
          <w:numId w:val="16"/>
        </w:numPr>
      </w:pPr>
      <w:r w:rsidRPr="003701B1">
        <w:rPr>
          <w:bCs/>
          <w:iCs/>
          <w:color w:val="000000"/>
        </w:rPr>
        <w:t xml:space="preserve">The surveys, </w:t>
      </w:r>
      <w:r w:rsidR="004C4475" w:rsidRPr="003701B1">
        <w:rPr>
          <w:bCs/>
          <w:iCs/>
          <w:color w:val="000000"/>
        </w:rPr>
        <w:t xml:space="preserve">tests, </w:t>
      </w:r>
      <w:r w:rsidRPr="003701B1">
        <w:rPr>
          <w:bCs/>
          <w:iCs/>
          <w:color w:val="000000"/>
        </w:rPr>
        <w:t xml:space="preserve">discussion </w:t>
      </w:r>
      <w:r w:rsidR="00F62D76" w:rsidRPr="003701B1">
        <w:rPr>
          <w:bCs/>
          <w:iCs/>
          <w:color w:val="000000"/>
        </w:rPr>
        <w:t>and interview guides</w:t>
      </w:r>
      <w:r w:rsidRPr="003701B1">
        <w:rPr>
          <w:bCs/>
          <w:iCs/>
          <w:color w:val="000000"/>
        </w:rPr>
        <w:t xml:space="preserve"> for each </w:t>
      </w:r>
      <w:r w:rsidR="00F62D76" w:rsidRPr="003701B1">
        <w:rPr>
          <w:bCs/>
          <w:iCs/>
          <w:color w:val="000000"/>
        </w:rPr>
        <w:t>information collection</w:t>
      </w:r>
      <w:r w:rsidRPr="003701B1">
        <w:rPr>
          <w:bCs/>
          <w:iCs/>
          <w:color w:val="000000"/>
        </w:rPr>
        <w:t xml:space="preserve"> activity </w:t>
      </w:r>
      <w:r w:rsidR="00F62D76" w:rsidRPr="003701B1">
        <w:rPr>
          <w:bCs/>
          <w:iCs/>
          <w:color w:val="000000"/>
        </w:rPr>
        <w:t xml:space="preserve">will be submitted for </w:t>
      </w:r>
      <w:r w:rsidR="004241DA" w:rsidRPr="003701B1">
        <w:rPr>
          <w:bCs/>
          <w:iCs/>
          <w:color w:val="000000"/>
        </w:rPr>
        <w:t xml:space="preserve">OMB </w:t>
      </w:r>
      <w:r w:rsidR="00F62D76" w:rsidRPr="003701B1">
        <w:rPr>
          <w:bCs/>
          <w:iCs/>
          <w:color w:val="000000"/>
        </w:rPr>
        <w:t xml:space="preserve">review. </w:t>
      </w:r>
      <w:r w:rsidRPr="003701B1">
        <w:rPr>
          <w:bCs/>
          <w:iCs/>
          <w:color w:val="000000"/>
        </w:rPr>
        <w:t>The average burden</w:t>
      </w:r>
      <w:r w:rsidR="00236646" w:rsidRPr="003701B1">
        <w:rPr>
          <w:bCs/>
          <w:iCs/>
          <w:color w:val="000000"/>
        </w:rPr>
        <w:t xml:space="preserve"> for</w:t>
      </w:r>
      <w:r w:rsidRPr="003701B1">
        <w:rPr>
          <w:bCs/>
          <w:iCs/>
          <w:color w:val="000000"/>
        </w:rPr>
        <w:t xml:space="preserve"> </w:t>
      </w:r>
      <w:r w:rsidR="00F85F4D" w:rsidRPr="003701B1">
        <w:rPr>
          <w:bCs/>
          <w:iCs/>
          <w:color w:val="000000"/>
        </w:rPr>
        <w:t>each respondent depending on the specific data collection and type of respondent will range from 10-90 minutes.</w:t>
      </w:r>
    </w:p>
    <w:p w:rsidR="007C1142" w:rsidRDefault="007C1142" w:rsidP="00361F53">
      <w:pPr>
        <w:rPr>
          <w:bCs/>
          <w:iCs/>
          <w:color w:val="000000"/>
        </w:rPr>
      </w:pPr>
    </w:p>
    <w:p w:rsidR="007C1142" w:rsidRPr="003701B1" w:rsidRDefault="007C1142" w:rsidP="00361F53">
      <w:pPr>
        <w:pStyle w:val="ListParagraph"/>
        <w:rPr>
          <w:bCs/>
          <w:iCs/>
          <w:color w:val="000000"/>
        </w:rPr>
      </w:pPr>
      <w:r w:rsidRPr="003701B1">
        <w:rPr>
          <w:bCs/>
          <w:iCs/>
          <w:color w:val="000000"/>
        </w:rPr>
        <w:t xml:space="preserve">Similarly, potential respondents </w:t>
      </w:r>
      <w:r w:rsidR="00434B9D" w:rsidRPr="003701B1">
        <w:rPr>
          <w:bCs/>
          <w:iCs/>
          <w:color w:val="000000"/>
        </w:rPr>
        <w:t xml:space="preserve">may </w:t>
      </w:r>
      <w:r w:rsidRPr="003701B1">
        <w:rPr>
          <w:bCs/>
          <w:iCs/>
          <w:color w:val="000000"/>
        </w:rPr>
        <w:t>be screened for interest and el</w:t>
      </w:r>
      <w:r w:rsidR="003701B1">
        <w:rPr>
          <w:bCs/>
          <w:iCs/>
          <w:color w:val="000000"/>
        </w:rPr>
        <w:t>igibility using a customizable s</w:t>
      </w:r>
      <w:r w:rsidRPr="003701B1">
        <w:rPr>
          <w:bCs/>
          <w:iCs/>
          <w:color w:val="000000"/>
        </w:rPr>
        <w:t xml:space="preserve">creening </w:t>
      </w:r>
      <w:r w:rsidR="003701B1">
        <w:rPr>
          <w:bCs/>
          <w:iCs/>
          <w:color w:val="000000"/>
        </w:rPr>
        <w:t>f</w:t>
      </w:r>
      <w:r w:rsidRPr="003701B1">
        <w:rPr>
          <w:bCs/>
          <w:iCs/>
          <w:color w:val="000000"/>
        </w:rPr>
        <w:t>orm</w:t>
      </w:r>
      <w:r w:rsidR="007819F0" w:rsidRPr="003701B1">
        <w:rPr>
          <w:bCs/>
          <w:iCs/>
          <w:color w:val="000000"/>
        </w:rPr>
        <w:t xml:space="preserve">. Screening forms </w:t>
      </w:r>
      <w:r w:rsidR="004241DA" w:rsidRPr="003701B1">
        <w:rPr>
          <w:bCs/>
          <w:iCs/>
          <w:color w:val="000000"/>
        </w:rPr>
        <w:t>for each information collection will be submitted for</w:t>
      </w:r>
      <w:r w:rsidRPr="003701B1">
        <w:rPr>
          <w:bCs/>
          <w:iCs/>
          <w:color w:val="000000"/>
        </w:rPr>
        <w:t xml:space="preserve"> </w:t>
      </w:r>
      <w:r w:rsidR="004241DA" w:rsidRPr="003701B1">
        <w:rPr>
          <w:bCs/>
          <w:iCs/>
          <w:color w:val="000000"/>
        </w:rPr>
        <w:t xml:space="preserve">OMB review. </w:t>
      </w:r>
      <w:r w:rsidRPr="003701B1">
        <w:rPr>
          <w:bCs/>
          <w:iCs/>
          <w:color w:val="000000"/>
        </w:rPr>
        <w:t>Based on experience recruiting participants from master lists of eligible or interested persons, it is estimated that twice the number of respondents needed must be screened in order to yield the desired number of respondents.</w:t>
      </w:r>
    </w:p>
    <w:p w:rsidR="007C1142" w:rsidRDefault="007C1142" w:rsidP="00361F53">
      <w:pPr>
        <w:rPr>
          <w:bCs/>
          <w:iCs/>
          <w:color w:val="000000"/>
        </w:rPr>
      </w:pPr>
    </w:p>
    <w:p w:rsidR="007C1142" w:rsidRPr="003701B1" w:rsidRDefault="007C1142" w:rsidP="00361F53">
      <w:pPr>
        <w:pStyle w:val="ListParagraph"/>
        <w:rPr>
          <w:color w:val="000000"/>
        </w:rPr>
      </w:pPr>
      <w:r w:rsidRPr="003701B1">
        <w:rPr>
          <w:bCs/>
          <w:iCs/>
          <w:color w:val="000000"/>
        </w:rPr>
        <w:t>The estimated burden to respondents is summarized in Table A</w:t>
      </w:r>
      <w:r w:rsidR="00154F20">
        <w:rPr>
          <w:bCs/>
          <w:iCs/>
          <w:color w:val="000000"/>
        </w:rPr>
        <w:t>.</w:t>
      </w:r>
      <w:r w:rsidRPr="003701B1">
        <w:rPr>
          <w:bCs/>
          <w:iCs/>
          <w:color w:val="000000"/>
        </w:rPr>
        <w:t>12-A below.</w:t>
      </w:r>
    </w:p>
    <w:p w:rsidR="00D14CA9" w:rsidRDefault="00D14CA9" w:rsidP="00361F53">
      <w:pPr>
        <w:outlineLvl w:val="0"/>
        <w:rPr>
          <w:b/>
          <w:bCs/>
          <w:color w:val="000000"/>
        </w:rPr>
      </w:pPr>
    </w:p>
    <w:p w:rsidR="007C1142" w:rsidRPr="00E96FE7" w:rsidRDefault="007C1142" w:rsidP="00361F53">
      <w:pPr>
        <w:spacing w:after="120"/>
        <w:outlineLvl w:val="0"/>
        <w:rPr>
          <w:color w:val="000000"/>
        </w:rPr>
      </w:pPr>
      <w:bookmarkStart w:id="58" w:name="_Toc295818078"/>
      <w:bookmarkStart w:id="59" w:name="_Toc295819851"/>
      <w:bookmarkStart w:id="60" w:name="_Toc299968005"/>
      <w:r w:rsidRPr="0092182A">
        <w:rPr>
          <w:bCs/>
          <w:color w:val="000000"/>
        </w:rPr>
        <w:t>Table A</w:t>
      </w:r>
      <w:r w:rsidR="00DC2107">
        <w:rPr>
          <w:bCs/>
          <w:color w:val="000000"/>
        </w:rPr>
        <w:t>.</w:t>
      </w:r>
      <w:r w:rsidRPr="0092182A">
        <w:rPr>
          <w:bCs/>
          <w:color w:val="000000"/>
        </w:rPr>
        <w:t>12-A: Estimated Annualized Burden to Respondents</w:t>
      </w:r>
      <w:bookmarkEnd w:id="58"/>
      <w:bookmarkEnd w:id="59"/>
      <w:bookmarkEnd w:id="60"/>
    </w:p>
    <w:tbl>
      <w:tblPr>
        <w:tblStyle w:val="TableGrid"/>
        <w:tblW w:w="0" w:type="auto"/>
        <w:tblLayout w:type="fixed"/>
        <w:tblLook w:val="04A0" w:firstRow="1" w:lastRow="0" w:firstColumn="1" w:lastColumn="0" w:noHBand="0" w:noVBand="1"/>
      </w:tblPr>
      <w:tblGrid>
        <w:gridCol w:w="2178"/>
        <w:gridCol w:w="1710"/>
        <w:gridCol w:w="1530"/>
        <w:gridCol w:w="1440"/>
        <w:gridCol w:w="1440"/>
        <w:gridCol w:w="1278"/>
      </w:tblGrid>
      <w:tr w:rsidR="00FD3DD1" w:rsidTr="00154F20">
        <w:trPr>
          <w:tblHeader/>
        </w:trPr>
        <w:tc>
          <w:tcPr>
            <w:tcW w:w="2178" w:type="dxa"/>
          </w:tcPr>
          <w:p w:rsidR="00FD3DD1" w:rsidRDefault="00FD3DD1" w:rsidP="00361F53">
            <w:pPr>
              <w:spacing w:before="120" w:after="120"/>
            </w:pPr>
            <w:r w:rsidRPr="006F4E9C">
              <w:rPr>
                <w:b/>
                <w:color w:val="000000"/>
              </w:rPr>
              <w:t>Type of Respondents</w:t>
            </w:r>
          </w:p>
        </w:tc>
        <w:tc>
          <w:tcPr>
            <w:tcW w:w="1710" w:type="dxa"/>
          </w:tcPr>
          <w:p w:rsidR="00FD3DD1" w:rsidRDefault="00FD3DD1" w:rsidP="00361F53">
            <w:pPr>
              <w:spacing w:before="120" w:after="120"/>
            </w:pPr>
            <w:r w:rsidRPr="006F4E9C">
              <w:rPr>
                <w:b/>
                <w:color w:val="000000"/>
              </w:rPr>
              <w:t>Form Name</w:t>
            </w:r>
          </w:p>
        </w:tc>
        <w:tc>
          <w:tcPr>
            <w:tcW w:w="1530" w:type="dxa"/>
          </w:tcPr>
          <w:p w:rsidR="00FD3DD1" w:rsidRPr="006F4E9C" w:rsidRDefault="00FD3DD1" w:rsidP="00361F53">
            <w:pPr>
              <w:spacing w:before="120" w:after="120"/>
              <w:rPr>
                <w:b/>
                <w:color w:val="000000"/>
              </w:rPr>
            </w:pPr>
            <w:r w:rsidRPr="006F4E9C">
              <w:rPr>
                <w:b/>
                <w:color w:val="000000"/>
              </w:rPr>
              <w:t xml:space="preserve">Number of Respondents </w:t>
            </w:r>
          </w:p>
        </w:tc>
        <w:tc>
          <w:tcPr>
            <w:tcW w:w="1440" w:type="dxa"/>
          </w:tcPr>
          <w:p w:rsidR="00FD3DD1" w:rsidRPr="006F4E9C" w:rsidRDefault="003701B1" w:rsidP="00361F53">
            <w:pPr>
              <w:spacing w:before="120" w:after="120"/>
              <w:rPr>
                <w:b/>
                <w:color w:val="000000"/>
              </w:rPr>
            </w:pPr>
            <w:r>
              <w:rPr>
                <w:b/>
                <w:color w:val="000000"/>
              </w:rPr>
              <w:t>Number</w:t>
            </w:r>
            <w:r w:rsidR="00FD3DD1" w:rsidRPr="006F4E9C">
              <w:rPr>
                <w:b/>
                <w:color w:val="000000"/>
              </w:rPr>
              <w:t xml:space="preserve"> of Responses per Respondent</w:t>
            </w:r>
          </w:p>
        </w:tc>
        <w:tc>
          <w:tcPr>
            <w:tcW w:w="1440" w:type="dxa"/>
          </w:tcPr>
          <w:p w:rsidR="00FD3DD1" w:rsidRPr="006F4E9C" w:rsidRDefault="00FD3DD1" w:rsidP="00361F53">
            <w:pPr>
              <w:spacing w:before="120" w:after="120"/>
              <w:rPr>
                <w:b/>
                <w:color w:val="000000"/>
              </w:rPr>
            </w:pPr>
            <w:r w:rsidRPr="006F4E9C">
              <w:rPr>
                <w:b/>
                <w:color w:val="000000"/>
              </w:rPr>
              <w:t>Average Burden per Response (in hours)</w:t>
            </w:r>
          </w:p>
        </w:tc>
        <w:tc>
          <w:tcPr>
            <w:tcW w:w="1278" w:type="dxa"/>
          </w:tcPr>
          <w:p w:rsidR="00FD3DD1" w:rsidRPr="006F4E9C" w:rsidRDefault="00FD3DD1" w:rsidP="00361F53">
            <w:pPr>
              <w:spacing w:before="120" w:after="120"/>
              <w:rPr>
                <w:b/>
                <w:color w:val="000000"/>
              </w:rPr>
            </w:pPr>
            <w:r w:rsidRPr="006F4E9C">
              <w:rPr>
                <w:b/>
                <w:color w:val="000000"/>
              </w:rPr>
              <w:t>Total Burden</w:t>
            </w:r>
          </w:p>
          <w:p w:rsidR="00FD3DD1" w:rsidRPr="006F4E9C" w:rsidRDefault="00FD3DD1" w:rsidP="00361F53">
            <w:pPr>
              <w:spacing w:before="120" w:after="120"/>
              <w:rPr>
                <w:b/>
                <w:color w:val="000000"/>
              </w:rPr>
            </w:pPr>
            <w:r w:rsidRPr="006F4E9C">
              <w:rPr>
                <w:b/>
                <w:color w:val="000000"/>
              </w:rPr>
              <w:t>(in hours)</w:t>
            </w:r>
          </w:p>
        </w:tc>
      </w:tr>
      <w:tr w:rsidR="00FD3DD1" w:rsidTr="00154F20">
        <w:trPr>
          <w:trHeight w:val="386"/>
        </w:trPr>
        <w:tc>
          <w:tcPr>
            <w:tcW w:w="2178" w:type="dxa"/>
            <w:vMerge w:val="restart"/>
          </w:tcPr>
          <w:p w:rsidR="00FD3DD1" w:rsidRDefault="00FD3DD1" w:rsidP="00361F53">
            <w:pPr>
              <w:spacing w:before="120" w:after="120"/>
            </w:pPr>
            <w:r>
              <w:t>General Public/</w:t>
            </w:r>
            <w:r w:rsidR="00154F20">
              <w:t>Healthcare Professionals Focus G</w:t>
            </w:r>
            <w:r>
              <w:t>roups</w:t>
            </w:r>
          </w:p>
        </w:tc>
        <w:tc>
          <w:tcPr>
            <w:tcW w:w="1710" w:type="dxa"/>
          </w:tcPr>
          <w:p w:rsidR="00FD3DD1" w:rsidRDefault="00FD3DD1" w:rsidP="00361F53">
            <w:pPr>
              <w:spacing w:before="120" w:after="120"/>
            </w:pPr>
            <w:r>
              <w:t>Screening form</w:t>
            </w:r>
          </w:p>
        </w:tc>
        <w:tc>
          <w:tcPr>
            <w:tcW w:w="1530" w:type="dxa"/>
          </w:tcPr>
          <w:p w:rsidR="00FD3DD1" w:rsidRDefault="00FD3DD1" w:rsidP="00361F53">
            <w:pPr>
              <w:spacing w:before="120" w:after="120"/>
              <w:jc w:val="center"/>
            </w:pPr>
            <w:r>
              <w:t>3</w:t>
            </w:r>
            <w:r w:rsidR="004F3B1D">
              <w:t>,</w:t>
            </w:r>
            <w:r>
              <w:t>000</w:t>
            </w:r>
          </w:p>
        </w:tc>
        <w:tc>
          <w:tcPr>
            <w:tcW w:w="1440" w:type="dxa"/>
          </w:tcPr>
          <w:p w:rsidR="00FD3DD1" w:rsidRDefault="00FD3DD1" w:rsidP="00361F53">
            <w:pPr>
              <w:spacing w:before="120" w:after="120"/>
              <w:jc w:val="center"/>
            </w:pPr>
            <w:r>
              <w:t>1</w:t>
            </w:r>
          </w:p>
        </w:tc>
        <w:tc>
          <w:tcPr>
            <w:tcW w:w="1440" w:type="dxa"/>
          </w:tcPr>
          <w:p w:rsidR="00FD3DD1" w:rsidRPr="00D93FE9" w:rsidRDefault="00FD3DD1" w:rsidP="00361F53">
            <w:pPr>
              <w:spacing w:before="120" w:after="120"/>
              <w:jc w:val="center"/>
              <w:rPr>
                <w:color w:val="000000"/>
              </w:rPr>
            </w:pPr>
            <w:r w:rsidRPr="00D93FE9">
              <w:rPr>
                <w:color w:val="000000"/>
                <w:sz w:val="22"/>
                <w:szCs w:val="22"/>
              </w:rPr>
              <w:t>10/60</w:t>
            </w:r>
          </w:p>
        </w:tc>
        <w:tc>
          <w:tcPr>
            <w:tcW w:w="1278" w:type="dxa"/>
          </w:tcPr>
          <w:p w:rsidR="00FD3DD1" w:rsidRDefault="00FD3DD1" w:rsidP="00361F53">
            <w:pPr>
              <w:spacing w:before="120" w:after="120"/>
              <w:jc w:val="center"/>
            </w:pPr>
            <w:r>
              <w:t>500</w:t>
            </w:r>
          </w:p>
        </w:tc>
      </w:tr>
      <w:tr w:rsidR="00FD3DD1" w:rsidTr="00154F20">
        <w:trPr>
          <w:trHeight w:val="386"/>
        </w:trPr>
        <w:tc>
          <w:tcPr>
            <w:tcW w:w="2178" w:type="dxa"/>
            <w:vMerge/>
          </w:tcPr>
          <w:p w:rsidR="00FD3DD1" w:rsidRDefault="00FD3DD1" w:rsidP="00361F53">
            <w:pPr>
              <w:spacing w:before="120" w:after="120"/>
            </w:pPr>
          </w:p>
        </w:tc>
        <w:tc>
          <w:tcPr>
            <w:tcW w:w="1710" w:type="dxa"/>
          </w:tcPr>
          <w:p w:rsidR="00FD3DD1" w:rsidRDefault="00FD3DD1" w:rsidP="00361F53">
            <w:pPr>
              <w:spacing w:before="120" w:after="120"/>
            </w:pPr>
            <w:r>
              <w:t>Focus Groups</w:t>
            </w:r>
          </w:p>
        </w:tc>
        <w:tc>
          <w:tcPr>
            <w:tcW w:w="1530" w:type="dxa"/>
          </w:tcPr>
          <w:p w:rsidR="00FD3DD1" w:rsidRDefault="00FD3DD1" w:rsidP="00361F53">
            <w:pPr>
              <w:spacing w:before="120" w:after="120"/>
              <w:jc w:val="center"/>
            </w:pPr>
            <w:r>
              <w:t>1</w:t>
            </w:r>
            <w:r w:rsidR="004F3B1D">
              <w:t>,</w:t>
            </w:r>
            <w:r>
              <w:t>500</w:t>
            </w:r>
          </w:p>
        </w:tc>
        <w:tc>
          <w:tcPr>
            <w:tcW w:w="1440" w:type="dxa"/>
          </w:tcPr>
          <w:p w:rsidR="00FD3DD1" w:rsidRDefault="00FD3DD1" w:rsidP="00361F53">
            <w:pPr>
              <w:spacing w:before="120" w:after="120"/>
              <w:jc w:val="center"/>
            </w:pPr>
            <w:r>
              <w:t>1</w:t>
            </w:r>
          </w:p>
        </w:tc>
        <w:tc>
          <w:tcPr>
            <w:tcW w:w="1440" w:type="dxa"/>
          </w:tcPr>
          <w:p w:rsidR="00FD3DD1" w:rsidRPr="00D93FE9" w:rsidRDefault="002F399F" w:rsidP="00361F53">
            <w:pPr>
              <w:spacing w:before="120" w:after="120"/>
              <w:jc w:val="center"/>
              <w:rPr>
                <w:color w:val="000000"/>
              </w:rPr>
            </w:pPr>
            <w:r>
              <w:rPr>
                <w:color w:val="000000"/>
                <w:sz w:val="22"/>
                <w:szCs w:val="22"/>
              </w:rPr>
              <w:t>1.5</w:t>
            </w:r>
          </w:p>
        </w:tc>
        <w:tc>
          <w:tcPr>
            <w:tcW w:w="1278" w:type="dxa"/>
          </w:tcPr>
          <w:p w:rsidR="00FD3DD1" w:rsidRDefault="00FD3DD1" w:rsidP="00361F53">
            <w:pPr>
              <w:spacing w:before="120" w:after="120"/>
              <w:jc w:val="center"/>
            </w:pPr>
            <w:r>
              <w:t>2</w:t>
            </w:r>
            <w:r w:rsidR="004F3B1D">
              <w:t>,</w:t>
            </w:r>
            <w:r>
              <w:t>250</w:t>
            </w:r>
          </w:p>
        </w:tc>
      </w:tr>
      <w:tr w:rsidR="00FD3DD1" w:rsidTr="00154F20">
        <w:trPr>
          <w:trHeight w:val="386"/>
        </w:trPr>
        <w:tc>
          <w:tcPr>
            <w:tcW w:w="2178" w:type="dxa"/>
            <w:vMerge w:val="restart"/>
          </w:tcPr>
          <w:p w:rsidR="00FD3DD1" w:rsidRDefault="00FD3DD1" w:rsidP="00361F53">
            <w:pPr>
              <w:spacing w:before="120" w:after="120"/>
            </w:pPr>
            <w:r>
              <w:lastRenderedPageBreak/>
              <w:t>General Public/Healthcare Professionals Interviews</w:t>
            </w:r>
          </w:p>
        </w:tc>
        <w:tc>
          <w:tcPr>
            <w:tcW w:w="1710" w:type="dxa"/>
          </w:tcPr>
          <w:p w:rsidR="00FD3DD1" w:rsidRDefault="00FD3DD1" w:rsidP="00361F53">
            <w:pPr>
              <w:spacing w:before="120" w:after="120"/>
            </w:pPr>
            <w:r>
              <w:t>Screening Form</w:t>
            </w:r>
          </w:p>
        </w:tc>
        <w:tc>
          <w:tcPr>
            <w:tcW w:w="1530" w:type="dxa"/>
          </w:tcPr>
          <w:p w:rsidR="00FD3DD1" w:rsidRDefault="00FD3DD1" w:rsidP="00361F53">
            <w:pPr>
              <w:spacing w:before="120" w:after="120"/>
              <w:jc w:val="center"/>
            </w:pPr>
            <w:r>
              <w:t>2</w:t>
            </w:r>
            <w:r w:rsidR="004F3B1D">
              <w:t>,</w:t>
            </w:r>
            <w:r>
              <w:t>000</w:t>
            </w:r>
          </w:p>
        </w:tc>
        <w:tc>
          <w:tcPr>
            <w:tcW w:w="1440" w:type="dxa"/>
          </w:tcPr>
          <w:p w:rsidR="00FD3DD1" w:rsidRDefault="00FD3DD1" w:rsidP="00361F53">
            <w:pPr>
              <w:spacing w:before="120" w:after="120"/>
              <w:jc w:val="center"/>
            </w:pPr>
            <w:r>
              <w:t>1</w:t>
            </w:r>
          </w:p>
        </w:tc>
        <w:tc>
          <w:tcPr>
            <w:tcW w:w="1440" w:type="dxa"/>
          </w:tcPr>
          <w:p w:rsidR="00FD3DD1" w:rsidRDefault="00FD3DD1" w:rsidP="00361F53">
            <w:pPr>
              <w:spacing w:before="120" w:after="120"/>
              <w:jc w:val="center"/>
            </w:pPr>
            <w:r w:rsidRPr="00D93FE9">
              <w:rPr>
                <w:color w:val="000000"/>
                <w:sz w:val="22"/>
                <w:szCs w:val="22"/>
              </w:rPr>
              <w:t>10/60</w:t>
            </w:r>
          </w:p>
        </w:tc>
        <w:tc>
          <w:tcPr>
            <w:tcW w:w="1278" w:type="dxa"/>
          </w:tcPr>
          <w:p w:rsidR="00FD3DD1" w:rsidRDefault="00FD3DD1" w:rsidP="00361F53">
            <w:pPr>
              <w:spacing w:before="120" w:after="120"/>
              <w:jc w:val="center"/>
            </w:pPr>
            <w:r>
              <w:t>333</w:t>
            </w:r>
          </w:p>
        </w:tc>
      </w:tr>
      <w:tr w:rsidR="00FD3DD1" w:rsidTr="00154F20">
        <w:trPr>
          <w:trHeight w:val="386"/>
        </w:trPr>
        <w:tc>
          <w:tcPr>
            <w:tcW w:w="2178" w:type="dxa"/>
            <w:vMerge/>
          </w:tcPr>
          <w:p w:rsidR="00FD3DD1" w:rsidRDefault="00FD3DD1" w:rsidP="00361F53">
            <w:pPr>
              <w:spacing w:before="120" w:after="120"/>
            </w:pPr>
          </w:p>
        </w:tc>
        <w:tc>
          <w:tcPr>
            <w:tcW w:w="1710" w:type="dxa"/>
          </w:tcPr>
          <w:p w:rsidR="00FD3DD1" w:rsidRDefault="00FD3DD1" w:rsidP="00361F53">
            <w:pPr>
              <w:spacing w:before="120" w:after="120"/>
            </w:pPr>
            <w:r>
              <w:t>Interviews</w:t>
            </w:r>
          </w:p>
        </w:tc>
        <w:tc>
          <w:tcPr>
            <w:tcW w:w="1530" w:type="dxa"/>
          </w:tcPr>
          <w:p w:rsidR="00FD3DD1" w:rsidRDefault="00FD3DD1" w:rsidP="00361F53">
            <w:pPr>
              <w:spacing w:before="120" w:after="120"/>
              <w:jc w:val="center"/>
            </w:pPr>
            <w:r>
              <w:t>1</w:t>
            </w:r>
            <w:r w:rsidR="004F3B1D">
              <w:t>,</w:t>
            </w:r>
            <w:r>
              <w:t>000</w:t>
            </w:r>
          </w:p>
        </w:tc>
        <w:tc>
          <w:tcPr>
            <w:tcW w:w="1440" w:type="dxa"/>
          </w:tcPr>
          <w:p w:rsidR="00FD3DD1" w:rsidRDefault="00FD3DD1" w:rsidP="00361F53">
            <w:pPr>
              <w:spacing w:before="120" w:after="120"/>
              <w:jc w:val="center"/>
            </w:pPr>
            <w:r>
              <w:t>1</w:t>
            </w:r>
          </w:p>
        </w:tc>
        <w:tc>
          <w:tcPr>
            <w:tcW w:w="1440" w:type="dxa"/>
          </w:tcPr>
          <w:p w:rsidR="00FD3DD1" w:rsidRDefault="00612684" w:rsidP="00361F53">
            <w:pPr>
              <w:spacing w:before="120" w:after="120"/>
              <w:jc w:val="center"/>
            </w:pPr>
            <w:r>
              <w:t>1</w:t>
            </w:r>
          </w:p>
        </w:tc>
        <w:tc>
          <w:tcPr>
            <w:tcW w:w="1278" w:type="dxa"/>
          </w:tcPr>
          <w:p w:rsidR="00FD3DD1" w:rsidRDefault="00FD3DD1" w:rsidP="00361F53">
            <w:pPr>
              <w:spacing w:before="120" w:after="120"/>
              <w:jc w:val="center"/>
            </w:pPr>
            <w:r>
              <w:t>1</w:t>
            </w:r>
            <w:r w:rsidR="004F3B1D">
              <w:t>,</w:t>
            </w:r>
            <w:r>
              <w:t>000</w:t>
            </w:r>
          </w:p>
        </w:tc>
      </w:tr>
      <w:tr w:rsidR="00FD3DD1" w:rsidTr="00154F20">
        <w:trPr>
          <w:trHeight w:val="484"/>
        </w:trPr>
        <w:tc>
          <w:tcPr>
            <w:tcW w:w="2178" w:type="dxa"/>
            <w:vMerge w:val="restart"/>
          </w:tcPr>
          <w:p w:rsidR="00FD3DD1" w:rsidRDefault="00FD3DD1" w:rsidP="00361F53">
            <w:pPr>
              <w:spacing w:before="120" w:after="120"/>
            </w:pPr>
            <w:r>
              <w:t>General Public/</w:t>
            </w:r>
            <w:r w:rsidR="00154F20">
              <w:t>Healthcare Professionals Large Group D</w:t>
            </w:r>
            <w:r>
              <w:t>iscussions</w:t>
            </w:r>
          </w:p>
        </w:tc>
        <w:tc>
          <w:tcPr>
            <w:tcW w:w="1710" w:type="dxa"/>
          </w:tcPr>
          <w:p w:rsidR="00FD3DD1" w:rsidRDefault="00FD3DD1" w:rsidP="00361F53">
            <w:pPr>
              <w:spacing w:before="120" w:after="120"/>
            </w:pPr>
            <w:r>
              <w:t>Screening Forms</w:t>
            </w:r>
          </w:p>
        </w:tc>
        <w:tc>
          <w:tcPr>
            <w:tcW w:w="1530" w:type="dxa"/>
          </w:tcPr>
          <w:p w:rsidR="00FD3DD1" w:rsidRDefault="00FD3DD1" w:rsidP="00361F53">
            <w:pPr>
              <w:spacing w:before="120" w:after="120"/>
              <w:jc w:val="center"/>
            </w:pPr>
            <w:r>
              <w:t>2</w:t>
            </w:r>
            <w:r w:rsidR="004F3B1D">
              <w:t>,</w:t>
            </w:r>
            <w:r>
              <w:t>000</w:t>
            </w:r>
          </w:p>
        </w:tc>
        <w:tc>
          <w:tcPr>
            <w:tcW w:w="1440" w:type="dxa"/>
          </w:tcPr>
          <w:p w:rsidR="00FD3DD1" w:rsidRDefault="00FD3DD1" w:rsidP="00361F53">
            <w:pPr>
              <w:spacing w:before="120" w:after="120"/>
              <w:jc w:val="center"/>
            </w:pPr>
            <w:r>
              <w:t>1</w:t>
            </w:r>
          </w:p>
        </w:tc>
        <w:tc>
          <w:tcPr>
            <w:tcW w:w="1440" w:type="dxa"/>
          </w:tcPr>
          <w:p w:rsidR="00FD3DD1" w:rsidRDefault="00FD3DD1" w:rsidP="00361F53">
            <w:pPr>
              <w:spacing w:before="120" w:after="120"/>
              <w:jc w:val="center"/>
            </w:pPr>
            <w:r>
              <w:t>10/60</w:t>
            </w:r>
          </w:p>
        </w:tc>
        <w:tc>
          <w:tcPr>
            <w:tcW w:w="1278" w:type="dxa"/>
          </w:tcPr>
          <w:p w:rsidR="00FD3DD1" w:rsidRDefault="00FD3DD1" w:rsidP="00361F53">
            <w:pPr>
              <w:spacing w:before="120" w:after="120"/>
              <w:jc w:val="center"/>
            </w:pPr>
            <w:r>
              <w:t>333</w:t>
            </w:r>
          </w:p>
        </w:tc>
      </w:tr>
      <w:tr w:rsidR="00FD3DD1" w:rsidTr="00154F20">
        <w:trPr>
          <w:trHeight w:val="484"/>
        </w:trPr>
        <w:tc>
          <w:tcPr>
            <w:tcW w:w="2178" w:type="dxa"/>
            <w:vMerge/>
          </w:tcPr>
          <w:p w:rsidR="00FD3DD1" w:rsidRDefault="00FD3DD1" w:rsidP="00361F53">
            <w:pPr>
              <w:spacing w:before="120" w:after="120"/>
            </w:pPr>
          </w:p>
        </w:tc>
        <w:tc>
          <w:tcPr>
            <w:tcW w:w="1710" w:type="dxa"/>
          </w:tcPr>
          <w:p w:rsidR="00FD3DD1" w:rsidRDefault="00FD3DD1" w:rsidP="00361F53">
            <w:pPr>
              <w:spacing w:before="120" w:after="120"/>
            </w:pPr>
            <w:r>
              <w:t>Large Group Discussion</w:t>
            </w:r>
          </w:p>
        </w:tc>
        <w:tc>
          <w:tcPr>
            <w:tcW w:w="1530" w:type="dxa"/>
          </w:tcPr>
          <w:p w:rsidR="00FD3DD1" w:rsidRDefault="00FD3DD1" w:rsidP="00361F53">
            <w:pPr>
              <w:spacing w:before="120" w:after="120"/>
              <w:jc w:val="center"/>
            </w:pPr>
            <w:r>
              <w:t>1</w:t>
            </w:r>
            <w:r w:rsidR="004F3B1D">
              <w:t>,</w:t>
            </w:r>
            <w:r>
              <w:t>000</w:t>
            </w:r>
          </w:p>
        </w:tc>
        <w:tc>
          <w:tcPr>
            <w:tcW w:w="1440" w:type="dxa"/>
          </w:tcPr>
          <w:p w:rsidR="00FD3DD1" w:rsidRDefault="00FD3DD1" w:rsidP="00361F53">
            <w:pPr>
              <w:spacing w:before="120" w:after="120"/>
              <w:jc w:val="center"/>
            </w:pPr>
            <w:r>
              <w:t>1</w:t>
            </w:r>
          </w:p>
        </w:tc>
        <w:tc>
          <w:tcPr>
            <w:tcW w:w="1440" w:type="dxa"/>
          </w:tcPr>
          <w:p w:rsidR="00FD3DD1" w:rsidRDefault="00612684" w:rsidP="00361F53">
            <w:pPr>
              <w:spacing w:before="120" w:after="120"/>
              <w:jc w:val="center"/>
            </w:pPr>
            <w:r>
              <w:t>1.5</w:t>
            </w:r>
          </w:p>
        </w:tc>
        <w:tc>
          <w:tcPr>
            <w:tcW w:w="1278" w:type="dxa"/>
          </w:tcPr>
          <w:p w:rsidR="00FD3DD1" w:rsidRDefault="007640B2" w:rsidP="00361F53">
            <w:pPr>
              <w:spacing w:before="120" w:after="120"/>
              <w:jc w:val="center"/>
            </w:pPr>
            <w:r>
              <w:t>1</w:t>
            </w:r>
            <w:r w:rsidR="004F3B1D">
              <w:t>,</w:t>
            </w:r>
            <w:r>
              <w:t>500</w:t>
            </w:r>
          </w:p>
        </w:tc>
      </w:tr>
      <w:tr w:rsidR="00FD3DD1" w:rsidTr="00154F20">
        <w:trPr>
          <w:trHeight w:val="386"/>
        </w:trPr>
        <w:tc>
          <w:tcPr>
            <w:tcW w:w="2178" w:type="dxa"/>
            <w:vMerge w:val="restart"/>
          </w:tcPr>
          <w:p w:rsidR="00FD3DD1" w:rsidRDefault="00FD3DD1" w:rsidP="00361F53">
            <w:pPr>
              <w:spacing w:before="120" w:after="120"/>
            </w:pPr>
            <w:r>
              <w:t>General P</w:t>
            </w:r>
            <w:r w:rsidR="00154F20">
              <w:t>ublic/Healthcare Professionals S</w:t>
            </w:r>
            <w:r>
              <w:t>urveys</w:t>
            </w:r>
          </w:p>
        </w:tc>
        <w:tc>
          <w:tcPr>
            <w:tcW w:w="1710" w:type="dxa"/>
          </w:tcPr>
          <w:p w:rsidR="00FD3DD1" w:rsidRDefault="00FD3DD1" w:rsidP="00361F53">
            <w:pPr>
              <w:spacing w:before="120" w:after="120"/>
            </w:pPr>
            <w:r>
              <w:t>Screening Forms</w:t>
            </w:r>
          </w:p>
        </w:tc>
        <w:tc>
          <w:tcPr>
            <w:tcW w:w="1530" w:type="dxa"/>
          </w:tcPr>
          <w:p w:rsidR="00FD3DD1" w:rsidRDefault="00FD3DD1" w:rsidP="00361F53">
            <w:pPr>
              <w:spacing w:before="120" w:after="120"/>
              <w:jc w:val="center"/>
            </w:pPr>
            <w:r>
              <w:t>15</w:t>
            </w:r>
            <w:r w:rsidR="004F3B1D">
              <w:t>,</w:t>
            </w:r>
            <w:r>
              <w:t>000</w:t>
            </w:r>
          </w:p>
        </w:tc>
        <w:tc>
          <w:tcPr>
            <w:tcW w:w="1440" w:type="dxa"/>
          </w:tcPr>
          <w:p w:rsidR="00FD3DD1" w:rsidRDefault="00FD3DD1" w:rsidP="00361F53">
            <w:pPr>
              <w:spacing w:before="120" w:after="120"/>
              <w:jc w:val="center"/>
            </w:pPr>
            <w:r>
              <w:t>1</w:t>
            </w:r>
          </w:p>
        </w:tc>
        <w:tc>
          <w:tcPr>
            <w:tcW w:w="1440" w:type="dxa"/>
          </w:tcPr>
          <w:p w:rsidR="00FD3DD1" w:rsidRDefault="00FD3DD1" w:rsidP="00361F53">
            <w:pPr>
              <w:spacing w:before="120" w:after="120"/>
              <w:jc w:val="center"/>
            </w:pPr>
            <w:r>
              <w:t>10/60</w:t>
            </w:r>
          </w:p>
        </w:tc>
        <w:tc>
          <w:tcPr>
            <w:tcW w:w="1278" w:type="dxa"/>
          </w:tcPr>
          <w:p w:rsidR="00FD3DD1" w:rsidRDefault="00FD3DD1" w:rsidP="00361F53">
            <w:pPr>
              <w:spacing w:before="120" w:after="120"/>
              <w:jc w:val="center"/>
            </w:pPr>
            <w:r>
              <w:t>2</w:t>
            </w:r>
            <w:r w:rsidR="004F3B1D">
              <w:t>,</w:t>
            </w:r>
            <w:r>
              <w:t>500</w:t>
            </w:r>
          </w:p>
        </w:tc>
      </w:tr>
      <w:tr w:rsidR="00FD3DD1" w:rsidTr="00154F20">
        <w:trPr>
          <w:trHeight w:val="386"/>
        </w:trPr>
        <w:tc>
          <w:tcPr>
            <w:tcW w:w="2178" w:type="dxa"/>
            <w:vMerge/>
          </w:tcPr>
          <w:p w:rsidR="00FD3DD1" w:rsidRDefault="00FD3DD1" w:rsidP="00361F53">
            <w:pPr>
              <w:spacing w:before="120" w:after="120"/>
            </w:pPr>
          </w:p>
        </w:tc>
        <w:tc>
          <w:tcPr>
            <w:tcW w:w="1710" w:type="dxa"/>
          </w:tcPr>
          <w:p w:rsidR="00FD3DD1" w:rsidRDefault="00FD3DD1" w:rsidP="00361F53">
            <w:pPr>
              <w:spacing w:before="120" w:after="120"/>
            </w:pPr>
            <w:r>
              <w:t>Surveys</w:t>
            </w:r>
          </w:p>
        </w:tc>
        <w:tc>
          <w:tcPr>
            <w:tcW w:w="1530" w:type="dxa"/>
          </w:tcPr>
          <w:p w:rsidR="00FD3DD1" w:rsidRDefault="00FD3DD1" w:rsidP="00361F53">
            <w:pPr>
              <w:spacing w:before="120" w:after="120"/>
              <w:jc w:val="center"/>
            </w:pPr>
            <w:r>
              <w:t>7</w:t>
            </w:r>
            <w:r w:rsidR="004F3B1D">
              <w:t>,</w:t>
            </w:r>
            <w:r>
              <w:t>500</w:t>
            </w:r>
          </w:p>
        </w:tc>
        <w:tc>
          <w:tcPr>
            <w:tcW w:w="1440" w:type="dxa"/>
          </w:tcPr>
          <w:p w:rsidR="00FD3DD1" w:rsidRDefault="00FD3DD1" w:rsidP="00361F53">
            <w:pPr>
              <w:spacing w:before="120" w:after="120"/>
              <w:jc w:val="center"/>
            </w:pPr>
            <w:r>
              <w:t>1</w:t>
            </w:r>
          </w:p>
        </w:tc>
        <w:tc>
          <w:tcPr>
            <w:tcW w:w="1440" w:type="dxa"/>
          </w:tcPr>
          <w:p w:rsidR="00FD3DD1" w:rsidRDefault="00FD3DD1" w:rsidP="00361F53">
            <w:pPr>
              <w:spacing w:before="120" w:after="120"/>
              <w:jc w:val="center"/>
            </w:pPr>
            <w:r>
              <w:t>45/60</w:t>
            </w:r>
          </w:p>
        </w:tc>
        <w:tc>
          <w:tcPr>
            <w:tcW w:w="1278" w:type="dxa"/>
          </w:tcPr>
          <w:p w:rsidR="00FD3DD1" w:rsidRDefault="00FD3DD1" w:rsidP="00361F53">
            <w:pPr>
              <w:spacing w:before="120" w:after="120"/>
              <w:jc w:val="center"/>
            </w:pPr>
            <w:r>
              <w:t>5</w:t>
            </w:r>
            <w:r w:rsidR="004F3B1D">
              <w:t>,</w:t>
            </w:r>
            <w:r>
              <w:t>625</w:t>
            </w:r>
          </w:p>
        </w:tc>
      </w:tr>
      <w:tr w:rsidR="00FD3DD1" w:rsidTr="00154F20">
        <w:trPr>
          <w:trHeight w:val="386"/>
        </w:trPr>
        <w:tc>
          <w:tcPr>
            <w:tcW w:w="2178" w:type="dxa"/>
            <w:vMerge w:val="restart"/>
          </w:tcPr>
          <w:p w:rsidR="00FD3DD1" w:rsidRDefault="00FD3DD1" w:rsidP="00361F53">
            <w:pPr>
              <w:spacing w:before="120" w:after="120"/>
            </w:pPr>
            <w:r>
              <w:t>General P</w:t>
            </w:r>
            <w:r w:rsidR="00154F20">
              <w:t>ublic/Healthcare Professionals P</w:t>
            </w:r>
            <w:r>
              <w:t>re/post tests</w:t>
            </w:r>
          </w:p>
        </w:tc>
        <w:tc>
          <w:tcPr>
            <w:tcW w:w="1710" w:type="dxa"/>
          </w:tcPr>
          <w:p w:rsidR="00FD3DD1" w:rsidRDefault="00FD3DD1" w:rsidP="00361F53">
            <w:pPr>
              <w:spacing w:before="120" w:after="120"/>
            </w:pPr>
            <w:r>
              <w:t>Screening Forms</w:t>
            </w:r>
          </w:p>
        </w:tc>
        <w:tc>
          <w:tcPr>
            <w:tcW w:w="1530" w:type="dxa"/>
          </w:tcPr>
          <w:p w:rsidR="00FD3DD1" w:rsidRDefault="00FD3DD1" w:rsidP="00361F53">
            <w:pPr>
              <w:spacing w:before="120" w:after="120"/>
              <w:jc w:val="center"/>
            </w:pPr>
            <w:r>
              <w:t>15</w:t>
            </w:r>
            <w:r w:rsidR="004F3B1D">
              <w:t>,</w:t>
            </w:r>
            <w:r>
              <w:t>000</w:t>
            </w:r>
          </w:p>
        </w:tc>
        <w:tc>
          <w:tcPr>
            <w:tcW w:w="1440" w:type="dxa"/>
          </w:tcPr>
          <w:p w:rsidR="00FD3DD1" w:rsidRDefault="00FD3DD1" w:rsidP="00361F53">
            <w:pPr>
              <w:spacing w:before="120" w:after="120"/>
              <w:jc w:val="center"/>
            </w:pPr>
            <w:r>
              <w:t>1</w:t>
            </w:r>
          </w:p>
        </w:tc>
        <w:tc>
          <w:tcPr>
            <w:tcW w:w="1440" w:type="dxa"/>
          </w:tcPr>
          <w:p w:rsidR="00FD3DD1" w:rsidRDefault="00FD3DD1" w:rsidP="00361F53">
            <w:pPr>
              <w:spacing w:before="120" w:after="120"/>
              <w:jc w:val="center"/>
            </w:pPr>
            <w:r>
              <w:t>10/60</w:t>
            </w:r>
          </w:p>
        </w:tc>
        <w:tc>
          <w:tcPr>
            <w:tcW w:w="1278" w:type="dxa"/>
          </w:tcPr>
          <w:p w:rsidR="00FD3DD1" w:rsidRDefault="00FD3DD1" w:rsidP="00361F53">
            <w:pPr>
              <w:spacing w:before="120" w:after="120"/>
              <w:jc w:val="center"/>
            </w:pPr>
            <w:r>
              <w:t>2</w:t>
            </w:r>
            <w:r w:rsidR="004F3B1D">
              <w:t>,</w:t>
            </w:r>
            <w:r>
              <w:t>500</w:t>
            </w:r>
          </w:p>
        </w:tc>
      </w:tr>
      <w:tr w:rsidR="00FD3DD1" w:rsidTr="00154F20">
        <w:trPr>
          <w:trHeight w:val="278"/>
        </w:trPr>
        <w:tc>
          <w:tcPr>
            <w:tcW w:w="2178" w:type="dxa"/>
            <w:vMerge/>
          </w:tcPr>
          <w:p w:rsidR="00FD3DD1" w:rsidRDefault="00FD3DD1" w:rsidP="00361F53">
            <w:pPr>
              <w:spacing w:before="120" w:after="120"/>
            </w:pPr>
          </w:p>
        </w:tc>
        <w:tc>
          <w:tcPr>
            <w:tcW w:w="1710" w:type="dxa"/>
          </w:tcPr>
          <w:p w:rsidR="00FD3DD1" w:rsidRDefault="00FD3DD1" w:rsidP="00361F53">
            <w:pPr>
              <w:spacing w:before="120" w:after="120"/>
            </w:pPr>
            <w:r>
              <w:t>Pre/Post Tests</w:t>
            </w:r>
          </w:p>
        </w:tc>
        <w:tc>
          <w:tcPr>
            <w:tcW w:w="1530" w:type="dxa"/>
          </w:tcPr>
          <w:p w:rsidR="00FD3DD1" w:rsidRDefault="00FD3DD1" w:rsidP="00361F53">
            <w:pPr>
              <w:spacing w:before="120" w:after="120"/>
              <w:jc w:val="center"/>
            </w:pPr>
            <w:r>
              <w:t>7</w:t>
            </w:r>
            <w:r w:rsidR="004F3B1D">
              <w:t>,</w:t>
            </w:r>
            <w:r>
              <w:t>500</w:t>
            </w:r>
          </w:p>
        </w:tc>
        <w:tc>
          <w:tcPr>
            <w:tcW w:w="1440" w:type="dxa"/>
          </w:tcPr>
          <w:p w:rsidR="00FD3DD1" w:rsidRDefault="00FD3DD1" w:rsidP="00361F53">
            <w:pPr>
              <w:spacing w:before="120" w:after="120"/>
              <w:jc w:val="center"/>
            </w:pPr>
            <w:r>
              <w:t>1</w:t>
            </w:r>
          </w:p>
        </w:tc>
        <w:tc>
          <w:tcPr>
            <w:tcW w:w="1440" w:type="dxa"/>
          </w:tcPr>
          <w:p w:rsidR="00FD3DD1" w:rsidRDefault="00FD3DD1" w:rsidP="00361F53">
            <w:pPr>
              <w:spacing w:before="120" w:after="120"/>
              <w:jc w:val="center"/>
            </w:pPr>
            <w:r>
              <w:t>45/60</w:t>
            </w:r>
          </w:p>
        </w:tc>
        <w:tc>
          <w:tcPr>
            <w:tcW w:w="1278" w:type="dxa"/>
          </w:tcPr>
          <w:p w:rsidR="00FD3DD1" w:rsidRDefault="00FD3DD1" w:rsidP="00361F53">
            <w:pPr>
              <w:spacing w:before="120" w:after="120"/>
              <w:jc w:val="center"/>
            </w:pPr>
            <w:r>
              <w:t>5</w:t>
            </w:r>
            <w:r w:rsidR="004F3B1D">
              <w:t>,</w:t>
            </w:r>
            <w:r>
              <w:t>625</w:t>
            </w:r>
          </w:p>
        </w:tc>
      </w:tr>
      <w:tr w:rsidR="00FD3DD1" w:rsidTr="00154F20">
        <w:tc>
          <w:tcPr>
            <w:tcW w:w="2178" w:type="dxa"/>
          </w:tcPr>
          <w:p w:rsidR="00FD3DD1" w:rsidRDefault="00FD3DD1" w:rsidP="00361F53">
            <w:pPr>
              <w:spacing w:before="120" w:after="120"/>
            </w:pPr>
            <w:r>
              <w:t>TOTAL</w:t>
            </w:r>
          </w:p>
        </w:tc>
        <w:tc>
          <w:tcPr>
            <w:tcW w:w="7398" w:type="dxa"/>
            <w:gridSpan w:val="5"/>
          </w:tcPr>
          <w:p w:rsidR="00FD3DD1" w:rsidRDefault="007640B2" w:rsidP="00361F53">
            <w:pPr>
              <w:spacing w:before="120" w:after="120"/>
            </w:pPr>
            <w:r>
              <w:t>22</w:t>
            </w:r>
            <w:r w:rsidR="00FD3DD1">
              <w:t>,</w:t>
            </w:r>
            <w:r>
              <w:t>166</w:t>
            </w:r>
          </w:p>
        </w:tc>
      </w:tr>
    </w:tbl>
    <w:p w:rsidR="007C1142" w:rsidRDefault="007C1142" w:rsidP="00361F53">
      <w:pPr>
        <w:rPr>
          <w:color w:val="000000"/>
        </w:rPr>
      </w:pPr>
    </w:p>
    <w:p w:rsidR="007C1142" w:rsidRPr="00154F20" w:rsidRDefault="007C1142" w:rsidP="00361F53">
      <w:pPr>
        <w:pStyle w:val="ListParagraph"/>
        <w:rPr>
          <w:color w:val="000000"/>
        </w:rPr>
      </w:pPr>
      <w:r w:rsidRPr="00154F20">
        <w:rPr>
          <w:color w:val="000000"/>
        </w:rPr>
        <w:t>Information will be collected over a three year time period. There are no costs to respondents except their time to participate in the research activities. The total annualized burden to respondents is</w:t>
      </w:r>
      <w:r w:rsidR="006F4E9C" w:rsidRPr="00154F20">
        <w:rPr>
          <w:color w:val="000000"/>
        </w:rPr>
        <w:t xml:space="preserve"> </w:t>
      </w:r>
      <w:r w:rsidR="00612684">
        <w:rPr>
          <w:color w:val="000000"/>
        </w:rPr>
        <w:t>22,166</w:t>
      </w:r>
      <w:r w:rsidR="006B4F4E">
        <w:rPr>
          <w:color w:val="000000"/>
        </w:rPr>
        <w:t xml:space="preserve"> </w:t>
      </w:r>
      <w:r w:rsidRPr="00154F20">
        <w:rPr>
          <w:color w:val="000000"/>
        </w:rPr>
        <w:t>hours.</w:t>
      </w:r>
    </w:p>
    <w:p w:rsidR="007C1142" w:rsidRDefault="007C1142" w:rsidP="00361F53">
      <w:pPr>
        <w:rPr>
          <w:color w:val="000000"/>
        </w:rPr>
      </w:pPr>
    </w:p>
    <w:p w:rsidR="007C1142" w:rsidRPr="00154F20" w:rsidRDefault="007C1142" w:rsidP="00361F53">
      <w:pPr>
        <w:pStyle w:val="ListParagraph"/>
        <w:numPr>
          <w:ilvl w:val="0"/>
          <w:numId w:val="16"/>
        </w:numPr>
        <w:rPr>
          <w:color w:val="000000"/>
        </w:rPr>
      </w:pPr>
      <w:r w:rsidRPr="00154F20">
        <w:rPr>
          <w:color w:val="000000"/>
        </w:rPr>
        <w:t xml:space="preserve">Approximately </w:t>
      </w:r>
      <w:r w:rsidR="00882FB1" w:rsidRPr="00154F20">
        <w:rPr>
          <w:color w:val="000000"/>
        </w:rPr>
        <w:t>7</w:t>
      </w:r>
      <w:r w:rsidR="00D93FE9" w:rsidRPr="00154F20">
        <w:rPr>
          <w:color w:val="000000"/>
        </w:rPr>
        <w:t>0</w:t>
      </w:r>
      <w:r w:rsidRPr="00154F20">
        <w:rPr>
          <w:color w:val="000000"/>
        </w:rPr>
        <w:t xml:space="preserve">% of respondents will be members of the general public and </w:t>
      </w:r>
      <w:r w:rsidR="00882FB1" w:rsidRPr="00154F20">
        <w:rPr>
          <w:color w:val="000000"/>
        </w:rPr>
        <w:t>3</w:t>
      </w:r>
      <w:r w:rsidR="006F4E9C" w:rsidRPr="00154F20">
        <w:rPr>
          <w:color w:val="000000"/>
        </w:rPr>
        <w:t>0</w:t>
      </w:r>
      <w:r w:rsidRPr="00154F20">
        <w:rPr>
          <w:color w:val="000000"/>
        </w:rPr>
        <w:t xml:space="preserve">% of respondents will </w:t>
      </w:r>
      <w:r w:rsidR="00154F20">
        <w:rPr>
          <w:color w:val="000000"/>
        </w:rPr>
        <w:t xml:space="preserve">be health care professionals. </w:t>
      </w:r>
      <w:r w:rsidRPr="00154F20">
        <w:rPr>
          <w:color w:val="000000"/>
        </w:rPr>
        <w:t>Table A</w:t>
      </w:r>
      <w:r w:rsidR="00154F20">
        <w:rPr>
          <w:color w:val="000000"/>
        </w:rPr>
        <w:t>.</w:t>
      </w:r>
      <w:r w:rsidRPr="00154F20">
        <w:rPr>
          <w:color w:val="000000"/>
        </w:rPr>
        <w:t>12-B presents the calculations for cost of respondents’ time using two categories of mean hourly wages</w:t>
      </w:r>
      <w:r w:rsidR="00110035">
        <w:rPr>
          <w:color w:val="000000"/>
        </w:rPr>
        <w:t>, one for the general public and one for health care providers</w:t>
      </w:r>
      <w:r w:rsidRPr="00154F20">
        <w:rPr>
          <w:color w:val="000000"/>
        </w:rPr>
        <w:t>. Hourly mean wage information is fr</w:t>
      </w:r>
      <w:r w:rsidR="00154F20">
        <w:rPr>
          <w:color w:val="000000"/>
        </w:rPr>
        <w:t>om the U.S. Department of Labor's</w:t>
      </w:r>
      <w:r w:rsidRPr="00154F20">
        <w:rPr>
          <w:color w:val="000000"/>
        </w:rPr>
        <w:t xml:space="preserve"> Bureau of Labor Statistics website</w:t>
      </w:r>
      <w:r w:rsidR="00154F20">
        <w:rPr>
          <w:color w:val="000000"/>
        </w:rPr>
        <w:t>,</w:t>
      </w:r>
      <w:r w:rsidRPr="00154F20">
        <w:rPr>
          <w:color w:val="000000"/>
        </w:rPr>
        <w:t xml:space="preserve"> specifically originating from the 2009 National Compensation Survey. The total estimated annualized respondent cost (including the screening form) is </w:t>
      </w:r>
      <w:r w:rsidR="0078220F" w:rsidRPr="00154F20">
        <w:rPr>
          <w:color w:val="000000"/>
        </w:rPr>
        <w:t>$880,265</w:t>
      </w:r>
      <w:r w:rsidR="004C4475" w:rsidRPr="00154F20">
        <w:rPr>
          <w:color w:val="000000"/>
        </w:rPr>
        <w:t>.</w:t>
      </w:r>
    </w:p>
    <w:p w:rsidR="0074741E" w:rsidRDefault="0074741E" w:rsidP="00361F53">
      <w:pPr>
        <w:rPr>
          <w:color w:val="000000"/>
        </w:rPr>
      </w:pPr>
    </w:p>
    <w:p w:rsidR="0074782B" w:rsidRDefault="0074782B">
      <w:pPr>
        <w:spacing w:after="200" w:line="276" w:lineRule="auto"/>
        <w:rPr>
          <w:bCs/>
          <w:color w:val="000000"/>
        </w:rPr>
      </w:pPr>
      <w:bookmarkStart w:id="61" w:name="_Toc295818079"/>
      <w:r>
        <w:rPr>
          <w:bCs/>
          <w:color w:val="000000"/>
        </w:rPr>
        <w:br w:type="page"/>
      </w:r>
    </w:p>
    <w:p w:rsidR="0078220F" w:rsidRPr="0092182A" w:rsidRDefault="0078220F" w:rsidP="00361F53">
      <w:pPr>
        <w:spacing w:after="120"/>
        <w:outlineLvl w:val="0"/>
        <w:rPr>
          <w:bCs/>
          <w:color w:val="000000"/>
        </w:rPr>
      </w:pPr>
      <w:bookmarkStart w:id="62" w:name="_Toc295819852"/>
      <w:bookmarkStart w:id="63" w:name="_Toc299968006"/>
      <w:r w:rsidRPr="0092182A">
        <w:rPr>
          <w:bCs/>
          <w:color w:val="000000"/>
        </w:rPr>
        <w:lastRenderedPageBreak/>
        <w:t>Table A</w:t>
      </w:r>
      <w:r w:rsidR="00DC2107">
        <w:rPr>
          <w:bCs/>
          <w:color w:val="000000"/>
        </w:rPr>
        <w:t>.</w:t>
      </w:r>
      <w:r w:rsidRPr="0092182A">
        <w:rPr>
          <w:bCs/>
          <w:color w:val="000000"/>
        </w:rPr>
        <w:t>12-B: Estimated Annualized Cost to Respondents</w:t>
      </w:r>
      <w:bookmarkEnd w:id="61"/>
      <w:bookmarkEnd w:id="62"/>
      <w:bookmarkEnd w:id="63"/>
      <w:r w:rsidRPr="0092182A">
        <w:rPr>
          <w:bCs/>
          <w:color w:val="000000"/>
        </w:rPr>
        <w:t xml:space="preserve"> </w:t>
      </w:r>
    </w:p>
    <w:tbl>
      <w:tblPr>
        <w:tblW w:w="9317" w:type="dxa"/>
        <w:jc w:val="center"/>
        <w:tblLook w:val="01E0" w:firstRow="1" w:lastRow="1" w:firstColumn="1" w:lastColumn="1" w:noHBand="0" w:noVBand="0"/>
      </w:tblPr>
      <w:tblGrid>
        <w:gridCol w:w="1415"/>
        <w:gridCol w:w="1096"/>
        <w:gridCol w:w="1415"/>
        <w:gridCol w:w="1329"/>
        <w:gridCol w:w="1097"/>
        <w:gridCol w:w="926"/>
        <w:gridCol w:w="998"/>
        <w:gridCol w:w="1041"/>
      </w:tblGrid>
      <w:tr w:rsidR="0078220F" w:rsidRPr="00154F20" w:rsidTr="004804D5">
        <w:trPr>
          <w:cantSplit/>
          <w:trHeight w:val="934"/>
          <w:tblHeader/>
          <w:jc w:val="center"/>
        </w:trPr>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b/>
                <w:color w:val="000000"/>
              </w:rPr>
            </w:pPr>
            <w:r w:rsidRPr="00154F20">
              <w:rPr>
                <w:b/>
                <w:color w:val="000000"/>
                <w:sz w:val="22"/>
                <w:szCs w:val="22"/>
              </w:rPr>
              <w:t>Type of Respondents</w:t>
            </w: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b/>
                <w:color w:val="000000"/>
              </w:rPr>
            </w:pPr>
            <w:r w:rsidRPr="00154F20">
              <w:rPr>
                <w:b/>
                <w:color w:val="000000"/>
                <w:sz w:val="22"/>
                <w:szCs w:val="22"/>
              </w:rPr>
              <w:t>Form Name</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b/>
                <w:color w:val="000000"/>
              </w:rPr>
            </w:pPr>
            <w:r w:rsidRPr="00154F20">
              <w:rPr>
                <w:b/>
                <w:color w:val="000000"/>
                <w:sz w:val="22"/>
                <w:szCs w:val="22"/>
              </w:rPr>
              <w:t>Number of Respondents</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b/>
                <w:color w:val="000000"/>
              </w:rPr>
            </w:pPr>
            <w:r w:rsidRPr="00154F20">
              <w:rPr>
                <w:b/>
                <w:color w:val="000000"/>
                <w:sz w:val="22"/>
                <w:szCs w:val="22"/>
              </w:rPr>
              <w:t>Number of Responses per Respondent</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b/>
                <w:color w:val="000000"/>
              </w:rPr>
            </w:pPr>
            <w:r w:rsidRPr="00154F20">
              <w:rPr>
                <w:b/>
                <w:color w:val="000000"/>
                <w:sz w:val="22"/>
                <w:szCs w:val="22"/>
              </w:rPr>
              <w:t>Average Burden per Response (in hours)</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b/>
                <w:color w:val="000000"/>
              </w:rPr>
            </w:pPr>
            <w:r w:rsidRPr="00154F20">
              <w:rPr>
                <w:b/>
                <w:color w:val="000000"/>
                <w:sz w:val="22"/>
                <w:szCs w:val="22"/>
              </w:rPr>
              <w:t>Total Burden</w:t>
            </w:r>
          </w:p>
          <w:p w:rsidR="0078220F" w:rsidRPr="00154F20" w:rsidRDefault="0078220F" w:rsidP="00361F53">
            <w:pPr>
              <w:spacing w:before="120" w:after="120"/>
              <w:rPr>
                <w:b/>
                <w:color w:val="000000"/>
              </w:rPr>
            </w:pPr>
            <w:r w:rsidRPr="00154F20">
              <w:rPr>
                <w:b/>
                <w:color w:val="000000"/>
                <w:sz w:val="22"/>
                <w:szCs w:val="22"/>
              </w:rPr>
              <w:t>(in hours)</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b/>
                <w:color w:val="000000"/>
              </w:rPr>
            </w:pPr>
            <w:r w:rsidRPr="00154F20">
              <w:rPr>
                <w:b/>
                <w:color w:val="000000"/>
                <w:sz w:val="22"/>
                <w:szCs w:val="22"/>
              </w:rPr>
              <w:t>Average Hourly Wage Rate</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b/>
                <w:color w:val="000000"/>
              </w:rPr>
            </w:pPr>
            <w:r w:rsidRPr="00154F20">
              <w:rPr>
                <w:b/>
                <w:color w:val="000000"/>
                <w:sz w:val="22"/>
                <w:szCs w:val="22"/>
              </w:rPr>
              <w:t xml:space="preserve">Total Cost </w:t>
            </w:r>
          </w:p>
        </w:tc>
      </w:tr>
      <w:tr w:rsidR="0078220F" w:rsidRPr="00154F20" w:rsidTr="004804D5">
        <w:trPr>
          <w:cantSplit/>
          <w:trHeight w:val="357"/>
          <w:jc w:val="center"/>
        </w:trPr>
        <w:tc>
          <w:tcPr>
            <w:tcW w:w="1415" w:type="dxa"/>
            <w:vMerge w:val="restart"/>
            <w:tcBorders>
              <w:top w:val="single" w:sz="4" w:space="0" w:color="auto"/>
              <w:left w:val="single" w:sz="4" w:space="0" w:color="auto"/>
              <w:bottom w:val="single" w:sz="4" w:space="0" w:color="auto"/>
              <w:right w:val="single" w:sz="4" w:space="0" w:color="auto"/>
            </w:tcBorders>
          </w:tcPr>
          <w:p w:rsidR="0074741E" w:rsidRPr="00154F20" w:rsidRDefault="0078220F" w:rsidP="00361F53">
            <w:pPr>
              <w:spacing w:before="120" w:after="120"/>
              <w:rPr>
                <w:color w:val="000000"/>
              </w:rPr>
            </w:pPr>
            <w:r w:rsidRPr="00154F20">
              <w:rPr>
                <w:color w:val="000000"/>
                <w:sz w:val="22"/>
                <w:szCs w:val="22"/>
              </w:rPr>
              <w:t>Healthcare Provider Focus Groups</w:t>
            </w: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Screening Form</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900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10/60</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150</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$83.59</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12,539</w:t>
            </w:r>
          </w:p>
        </w:tc>
      </w:tr>
      <w:tr w:rsidR="0078220F" w:rsidRPr="00154F20" w:rsidTr="004804D5">
        <w:trPr>
          <w:cantSplit/>
          <w:trHeight w:val="357"/>
          <w:jc w:val="center"/>
        </w:trPr>
        <w:tc>
          <w:tcPr>
            <w:tcW w:w="1415" w:type="dxa"/>
            <w:vMerge/>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Research Activity</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450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612684" w:rsidP="00361F53">
            <w:pPr>
              <w:spacing w:before="120" w:after="120"/>
              <w:jc w:val="center"/>
              <w:rPr>
                <w:color w:val="000000"/>
              </w:rPr>
            </w:pPr>
            <w:r>
              <w:rPr>
                <w:color w:val="000000"/>
                <w:sz w:val="22"/>
                <w:szCs w:val="22"/>
              </w:rPr>
              <w:t>1.5</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675</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$83.59</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56,423</w:t>
            </w:r>
          </w:p>
        </w:tc>
      </w:tr>
      <w:tr w:rsidR="0078220F" w:rsidRPr="00154F20" w:rsidTr="004804D5">
        <w:trPr>
          <w:cantSplit/>
          <w:trHeight w:val="357"/>
          <w:jc w:val="center"/>
        </w:trPr>
        <w:tc>
          <w:tcPr>
            <w:tcW w:w="1415" w:type="dxa"/>
            <w:vMerge w:val="restart"/>
            <w:tcBorders>
              <w:top w:val="single" w:sz="4" w:space="0" w:color="auto"/>
              <w:left w:val="single" w:sz="4" w:space="0" w:color="auto"/>
              <w:bottom w:val="single" w:sz="4" w:space="0" w:color="auto"/>
              <w:right w:val="single" w:sz="4" w:space="0" w:color="auto"/>
            </w:tcBorders>
          </w:tcPr>
          <w:p w:rsidR="0074741E" w:rsidRPr="00154F20" w:rsidRDefault="0078220F" w:rsidP="00361F53">
            <w:pPr>
              <w:spacing w:before="120" w:after="120"/>
              <w:rPr>
                <w:color w:val="000000"/>
              </w:rPr>
            </w:pPr>
            <w:r w:rsidRPr="00154F20">
              <w:rPr>
                <w:color w:val="000000"/>
                <w:sz w:val="22"/>
                <w:szCs w:val="22"/>
              </w:rPr>
              <w:t>Healthcare</w:t>
            </w:r>
            <w:r w:rsidR="00154F20" w:rsidRPr="00154F20">
              <w:rPr>
                <w:color w:val="000000"/>
                <w:sz w:val="22"/>
                <w:szCs w:val="22"/>
              </w:rPr>
              <w:t xml:space="preserve"> </w:t>
            </w:r>
            <w:r w:rsidRPr="00154F20">
              <w:rPr>
                <w:color w:val="000000"/>
                <w:sz w:val="22"/>
                <w:szCs w:val="22"/>
              </w:rPr>
              <w:t>Provider Interviews</w:t>
            </w: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Screening Form</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600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10/60</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100</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$83.59</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8</w:t>
            </w:r>
            <w:r w:rsidR="0074741E" w:rsidRPr="00154F20">
              <w:rPr>
                <w:color w:val="000000"/>
                <w:sz w:val="22"/>
                <w:szCs w:val="22"/>
              </w:rPr>
              <w:t>,</w:t>
            </w:r>
            <w:r w:rsidR="0078220F" w:rsidRPr="00154F20">
              <w:rPr>
                <w:color w:val="000000"/>
                <w:sz w:val="22"/>
                <w:szCs w:val="22"/>
              </w:rPr>
              <w:t>359</w:t>
            </w:r>
          </w:p>
        </w:tc>
      </w:tr>
      <w:tr w:rsidR="0078220F" w:rsidRPr="00154F20" w:rsidTr="004804D5">
        <w:trPr>
          <w:cantSplit/>
          <w:trHeight w:val="357"/>
          <w:jc w:val="center"/>
        </w:trPr>
        <w:tc>
          <w:tcPr>
            <w:tcW w:w="1415" w:type="dxa"/>
            <w:vMerge/>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Research Activity</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300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612684" w:rsidP="00361F53">
            <w:pPr>
              <w:spacing w:before="120" w:after="120"/>
              <w:jc w:val="center"/>
              <w:rPr>
                <w:color w:val="000000"/>
              </w:rPr>
            </w:pPr>
            <w:r>
              <w:rPr>
                <w:color w:val="000000"/>
                <w:sz w:val="22"/>
                <w:szCs w:val="22"/>
              </w:rPr>
              <w:t>1</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300</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$83.59</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25</w:t>
            </w:r>
            <w:r w:rsidR="007640B2" w:rsidRPr="00154F20">
              <w:rPr>
                <w:color w:val="000000"/>
                <w:sz w:val="22"/>
                <w:szCs w:val="22"/>
              </w:rPr>
              <w:t>,</w:t>
            </w:r>
            <w:r w:rsidR="0078220F" w:rsidRPr="00154F20">
              <w:rPr>
                <w:color w:val="000000"/>
                <w:sz w:val="22"/>
                <w:szCs w:val="22"/>
              </w:rPr>
              <w:t>077</w:t>
            </w:r>
          </w:p>
        </w:tc>
      </w:tr>
      <w:tr w:rsidR="0078220F" w:rsidRPr="00154F20" w:rsidTr="004804D5">
        <w:trPr>
          <w:cantSplit/>
          <w:trHeight w:val="386"/>
          <w:jc w:val="center"/>
        </w:trPr>
        <w:tc>
          <w:tcPr>
            <w:tcW w:w="1415" w:type="dxa"/>
            <w:vMerge w:val="restart"/>
            <w:tcBorders>
              <w:top w:val="single" w:sz="4" w:space="0" w:color="auto"/>
              <w:left w:val="single" w:sz="4" w:space="0" w:color="auto"/>
              <w:bottom w:val="single" w:sz="4" w:space="0" w:color="auto"/>
              <w:right w:val="single" w:sz="4" w:space="0" w:color="auto"/>
            </w:tcBorders>
          </w:tcPr>
          <w:p w:rsidR="0074741E" w:rsidRPr="00154F20" w:rsidRDefault="0078220F" w:rsidP="00361F53">
            <w:pPr>
              <w:spacing w:before="120" w:after="120"/>
              <w:rPr>
                <w:color w:val="000000"/>
              </w:rPr>
            </w:pPr>
            <w:r w:rsidRPr="00154F20">
              <w:rPr>
                <w:color w:val="000000"/>
                <w:sz w:val="22"/>
                <w:szCs w:val="22"/>
              </w:rPr>
              <w:t>Healthcare Provider Group Discussion</w:t>
            </w: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Screening Form</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600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10/60</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100</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$83.59</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8</w:t>
            </w:r>
            <w:r w:rsidR="0074741E" w:rsidRPr="00154F20">
              <w:rPr>
                <w:color w:val="000000"/>
                <w:sz w:val="22"/>
                <w:szCs w:val="22"/>
              </w:rPr>
              <w:t>,</w:t>
            </w:r>
            <w:r w:rsidR="0078220F" w:rsidRPr="00154F20">
              <w:rPr>
                <w:color w:val="000000"/>
                <w:sz w:val="22"/>
                <w:szCs w:val="22"/>
              </w:rPr>
              <w:t>359</w:t>
            </w:r>
          </w:p>
        </w:tc>
      </w:tr>
      <w:tr w:rsidR="0078220F" w:rsidRPr="00154F20" w:rsidTr="004804D5">
        <w:trPr>
          <w:cantSplit/>
          <w:trHeight w:val="386"/>
          <w:jc w:val="center"/>
        </w:trPr>
        <w:tc>
          <w:tcPr>
            <w:tcW w:w="1415" w:type="dxa"/>
            <w:vMerge/>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Research Activity</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300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612684" w:rsidP="00361F53">
            <w:pPr>
              <w:spacing w:before="120" w:after="120"/>
              <w:jc w:val="center"/>
              <w:rPr>
                <w:color w:val="000000"/>
              </w:rPr>
            </w:pPr>
            <w:r>
              <w:rPr>
                <w:color w:val="000000"/>
                <w:sz w:val="22"/>
                <w:szCs w:val="22"/>
              </w:rPr>
              <w:t>1.5</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450</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$83.59</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37</w:t>
            </w:r>
            <w:r w:rsidR="007640B2" w:rsidRPr="00154F20">
              <w:rPr>
                <w:color w:val="000000"/>
                <w:sz w:val="22"/>
                <w:szCs w:val="22"/>
              </w:rPr>
              <w:t>,</w:t>
            </w:r>
            <w:r w:rsidR="0078220F" w:rsidRPr="00154F20">
              <w:rPr>
                <w:color w:val="000000"/>
                <w:sz w:val="22"/>
                <w:szCs w:val="22"/>
              </w:rPr>
              <w:t>616</w:t>
            </w:r>
          </w:p>
        </w:tc>
      </w:tr>
      <w:tr w:rsidR="0078220F" w:rsidRPr="00154F20" w:rsidTr="004804D5">
        <w:trPr>
          <w:cantSplit/>
          <w:trHeight w:val="357"/>
          <w:jc w:val="center"/>
        </w:trPr>
        <w:tc>
          <w:tcPr>
            <w:tcW w:w="1415" w:type="dxa"/>
            <w:vMerge w:val="restart"/>
            <w:tcBorders>
              <w:top w:val="single" w:sz="4" w:space="0" w:color="auto"/>
              <w:left w:val="single" w:sz="4" w:space="0" w:color="auto"/>
              <w:bottom w:val="single" w:sz="4" w:space="0" w:color="auto"/>
              <w:right w:val="single" w:sz="4" w:space="0" w:color="auto"/>
            </w:tcBorders>
          </w:tcPr>
          <w:p w:rsidR="0074741E" w:rsidRPr="00154F20" w:rsidRDefault="0078220F" w:rsidP="00361F53">
            <w:pPr>
              <w:spacing w:before="120" w:after="120"/>
              <w:rPr>
                <w:color w:val="000000"/>
              </w:rPr>
            </w:pPr>
            <w:r w:rsidRPr="00154F20">
              <w:rPr>
                <w:color w:val="000000"/>
                <w:sz w:val="22"/>
                <w:szCs w:val="22"/>
              </w:rPr>
              <w:t xml:space="preserve">Healthcare </w:t>
            </w:r>
            <w:r w:rsidR="00154F20" w:rsidRPr="00154F20">
              <w:rPr>
                <w:color w:val="000000"/>
                <w:sz w:val="22"/>
                <w:szCs w:val="22"/>
              </w:rPr>
              <w:t>P</w:t>
            </w:r>
            <w:r w:rsidRPr="00154F20">
              <w:rPr>
                <w:color w:val="000000"/>
                <w:sz w:val="22"/>
                <w:szCs w:val="22"/>
              </w:rPr>
              <w:t>rovider Survey</w:t>
            </w: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Screening Form</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4</w:t>
            </w:r>
            <w:r w:rsidR="004F3B1D" w:rsidRPr="00154F20">
              <w:rPr>
                <w:color w:val="000000"/>
                <w:sz w:val="22"/>
                <w:szCs w:val="22"/>
              </w:rPr>
              <w:t>,</w:t>
            </w:r>
            <w:r w:rsidRPr="00154F20">
              <w:rPr>
                <w:color w:val="000000"/>
                <w:sz w:val="22"/>
                <w:szCs w:val="22"/>
              </w:rPr>
              <w:t>500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10/60</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750</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$83.59</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62,693</w:t>
            </w:r>
          </w:p>
        </w:tc>
      </w:tr>
      <w:tr w:rsidR="0078220F" w:rsidRPr="00154F20" w:rsidTr="004804D5">
        <w:trPr>
          <w:cantSplit/>
          <w:trHeight w:val="357"/>
          <w:jc w:val="center"/>
        </w:trPr>
        <w:tc>
          <w:tcPr>
            <w:tcW w:w="1415" w:type="dxa"/>
            <w:vMerge/>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Research Activity</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2</w:t>
            </w:r>
            <w:r w:rsidR="004F3B1D" w:rsidRPr="00154F20">
              <w:rPr>
                <w:color w:val="000000"/>
                <w:sz w:val="22"/>
                <w:szCs w:val="22"/>
              </w:rPr>
              <w:t>,</w:t>
            </w:r>
            <w:r w:rsidRPr="00154F20">
              <w:rPr>
                <w:color w:val="000000"/>
                <w:sz w:val="22"/>
                <w:szCs w:val="22"/>
              </w:rPr>
              <w:t>250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45/60</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r w:rsidR="004F3B1D" w:rsidRPr="00154F20">
              <w:rPr>
                <w:color w:val="000000"/>
                <w:sz w:val="22"/>
                <w:szCs w:val="22"/>
              </w:rPr>
              <w:t>,</w:t>
            </w:r>
            <w:r w:rsidRPr="00154F20">
              <w:rPr>
                <w:color w:val="000000"/>
                <w:sz w:val="22"/>
                <w:szCs w:val="22"/>
              </w:rPr>
              <w:t>688</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$83.59</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141,100</w:t>
            </w:r>
          </w:p>
        </w:tc>
      </w:tr>
      <w:tr w:rsidR="0078220F" w:rsidRPr="00154F20" w:rsidTr="004804D5">
        <w:trPr>
          <w:cantSplit/>
          <w:trHeight w:val="386"/>
          <w:jc w:val="center"/>
        </w:trPr>
        <w:tc>
          <w:tcPr>
            <w:tcW w:w="1415" w:type="dxa"/>
            <w:vMerge w:val="restart"/>
            <w:tcBorders>
              <w:top w:val="single" w:sz="4" w:space="0" w:color="auto"/>
              <w:left w:val="single" w:sz="4" w:space="0" w:color="auto"/>
              <w:bottom w:val="single" w:sz="4" w:space="0" w:color="auto"/>
              <w:right w:val="single" w:sz="4" w:space="0" w:color="auto"/>
            </w:tcBorders>
          </w:tcPr>
          <w:p w:rsidR="0074741E" w:rsidRPr="00154F20" w:rsidRDefault="00154F20" w:rsidP="00361F53">
            <w:pPr>
              <w:spacing w:before="120" w:after="120"/>
              <w:rPr>
                <w:color w:val="000000"/>
              </w:rPr>
            </w:pPr>
            <w:r w:rsidRPr="00154F20">
              <w:rPr>
                <w:color w:val="000000"/>
                <w:sz w:val="22"/>
                <w:szCs w:val="22"/>
              </w:rPr>
              <w:t>Healthcare P</w:t>
            </w:r>
            <w:r w:rsidR="0078220F" w:rsidRPr="00154F20">
              <w:rPr>
                <w:color w:val="000000"/>
                <w:sz w:val="22"/>
                <w:szCs w:val="22"/>
              </w:rPr>
              <w:t>rovider</w:t>
            </w:r>
            <w:r w:rsidRPr="00154F20">
              <w:rPr>
                <w:color w:val="000000"/>
                <w:sz w:val="22"/>
                <w:szCs w:val="22"/>
              </w:rPr>
              <w:t xml:space="preserve"> </w:t>
            </w:r>
            <w:r w:rsidR="0078220F" w:rsidRPr="00154F20">
              <w:rPr>
                <w:color w:val="000000"/>
                <w:sz w:val="22"/>
                <w:szCs w:val="22"/>
              </w:rPr>
              <w:t>Pre/Post tests</w:t>
            </w: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Screening Form</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4</w:t>
            </w:r>
            <w:r w:rsidR="004F3B1D" w:rsidRPr="00154F20">
              <w:rPr>
                <w:color w:val="000000"/>
                <w:sz w:val="22"/>
                <w:szCs w:val="22"/>
              </w:rPr>
              <w:t>,</w:t>
            </w:r>
            <w:r w:rsidRPr="00154F20">
              <w:rPr>
                <w:color w:val="000000"/>
                <w:sz w:val="22"/>
                <w:szCs w:val="22"/>
              </w:rPr>
              <w:t>500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10/60</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750</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$83.59</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62,693</w:t>
            </w:r>
          </w:p>
        </w:tc>
      </w:tr>
      <w:tr w:rsidR="0078220F" w:rsidRPr="00154F20" w:rsidTr="004804D5">
        <w:trPr>
          <w:cantSplit/>
          <w:trHeight w:val="386"/>
          <w:jc w:val="center"/>
        </w:trPr>
        <w:tc>
          <w:tcPr>
            <w:tcW w:w="1415" w:type="dxa"/>
            <w:vMerge/>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Research Activity</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2</w:t>
            </w:r>
            <w:r w:rsidR="004F3B1D" w:rsidRPr="00154F20">
              <w:rPr>
                <w:color w:val="000000"/>
                <w:sz w:val="22"/>
                <w:szCs w:val="22"/>
              </w:rPr>
              <w:t>,</w:t>
            </w:r>
            <w:r w:rsidRPr="00154F20">
              <w:rPr>
                <w:color w:val="000000"/>
                <w:sz w:val="22"/>
                <w:szCs w:val="22"/>
              </w:rPr>
              <w:t>250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45/60</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r w:rsidR="004F3B1D" w:rsidRPr="00154F20">
              <w:rPr>
                <w:color w:val="000000"/>
                <w:sz w:val="22"/>
                <w:szCs w:val="22"/>
              </w:rPr>
              <w:t>,</w:t>
            </w:r>
            <w:r w:rsidRPr="00154F20">
              <w:rPr>
                <w:color w:val="000000"/>
                <w:sz w:val="22"/>
                <w:szCs w:val="22"/>
              </w:rPr>
              <w:t>688</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$83.59</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tabs>
                <w:tab w:val="left" w:pos="576"/>
              </w:tabs>
              <w:spacing w:before="120" w:after="120"/>
              <w:jc w:val="center"/>
            </w:pPr>
            <w:r w:rsidRPr="00154F20">
              <w:rPr>
                <w:sz w:val="22"/>
                <w:szCs w:val="22"/>
              </w:rPr>
              <w:t>$</w:t>
            </w:r>
            <w:r w:rsidR="0078220F" w:rsidRPr="00154F20">
              <w:rPr>
                <w:sz w:val="22"/>
                <w:szCs w:val="22"/>
              </w:rPr>
              <w:t>141,100</w:t>
            </w:r>
          </w:p>
        </w:tc>
      </w:tr>
      <w:tr w:rsidR="0078220F" w:rsidRPr="00154F20" w:rsidTr="004804D5">
        <w:trPr>
          <w:cantSplit/>
          <w:trHeight w:val="667"/>
          <w:jc w:val="center"/>
        </w:trPr>
        <w:tc>
          <w:tcPr>
            <w:tcW w:w="1415" w:type="dxa"/>
            <w:vMerge w:val="restart"/>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General Public</w:t>
            </w:r>
            <w:r w:rsidR="00154F20" w:rsidRPr="00154F20">
              <w:rPr>
                <w:color w:val="000000"/>
                <w:sz w:val="22"/>
                <w:szCs w:val="22"/>
              </w:rPr>
              <w:t xml:space="preserve"> F</w:t>
            </w:r>
            <w:r w:rsidRPr="00154F20">
              <w:rPr>
                <w:color w:val="000000"/>
                <w:sz w:val="22"/>
                <w:szCs w:val="22"/>
              </w:rPr>
              <w:t xml:space="preserve">ocus </w:t>
            </w:r>
            <w:r w:rsidR="00154F20" w:rsidRPr="00154F20">
              <w:rPr>
                <w:color w:val="000000"/>
                <w:sz w:val="22"/>
                <w:szCs w:val="22"/>
              </w:rPr>
              <w:t>G</w:t>
            </w:r>
            <w:r w:rsidRPr="00154F20">
              <w:rPr>
                <w:color w:val="000000"/>
                <w:sz w:val="22"/>
                <w:szCs w:val="22"/>
              </w:rPr>
              <w:t>roups</w:t>
            </w: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Screening Form</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2</w:t>
            </w:r>
            <w:r w:rsidR="004F3B1D" w:rsidRPr="00154F20">
              <w:rPr>
                <w:color w:val="000000"/>
                <w:sz w:val="22"/>
                <w:szCs w:val="22"/>
              </w:rPr>
              <w:t>,</w:t>
            </w:r>
            <w:r w:rsidRPr="00154F20">
              <w:rPr>
                <w:color w:val="000000"/>
                <w:sz w:val="22"/>
                <w:szCs w:val="22"/>
              </w:rPr>
              <w:t>100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10/60</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350</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$20.90</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7</w:t>
            </w:r>
            <w:r w:rsidR="0074741E" w:rsidRPr="00154F20">
              <w:rPr>
                <w:color w:val="000000"/>
                <w:sz w:val="22"/>
                <w:szCs w:val="22"/>
              </w:rPr>
              <w:t>,</w:t>
            </w:r>
            <w:r w:rsidR="0078220F" w:rsidRPr="00154F20">
              <w:rPr>
                <w:color w:val="000000"/>
                <w:sz w:val="22"/>
                <w:szCs w:val="22"/>
              </w:rPr>
              <w:t>315</w:t>
            </w:r>
          </w:p>
        </w:tc>
      </w:tr>
      <w:tr w:rsidR="0078220F" w:rsidRPr="00154F20" w:rsidTr="004804D5">
        <w:trPr>
          <w:cantSplit/>
          <w:trHeight w:val="667"/>
          <w:jc w:val="center"/>
        </w:trPr>
        <w:tc>
          <w:tcPr>
            <w:tcW w:w="1415" w:type="dxa"/>
            <w:vMerge/>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Research Activity</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1,050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612684" w:rsidP="00361F53">
            <w:pPr>
              <w:spacing w:before="120" w:after="120"/>
              <w:jc w:val="center"/>
              <w:rPr>
                <w:color w:val="000000"/>
              </w:rPr>
            </w:pPr>
            <w:r>
              <w:rPr>
                <w:color w:val="000000"/>
                <w:sz w:val="22"/>
                <w:szCs w:val="22"/>
              </w:rPr>
              <w:t>1.5</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r w:rsidR="004F3B1D" w:rsidRPr="00154F20">
              <w:rPr>
                <w:color w:val="000000"/>
                <w:sz w:val="22"/>
                <w:szCs w:val="22"/>
              </w:rPr>
              <w:t>,</w:t>
            </w:r>
            <w:r w:rsidRPr="00154F20">
              <w:rPr>
                <w:color w:val="000000"/>
                <w:sz w:val="22"/>
                <w:szCs w:val="22"/>
              </w:rPr>
              <w:t>575</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$20.90</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32,918</w:t>
            </w:r>
          </w:p>
        </w:tc>
      </w:tr>
      <w:tr w:rsidR="0078220F" w:rsidRPr="00154F20" w:rsidTr="004804D5">
        <w:trPr>
          <w:cantSplit/>
          <w:trHeight w:val="667"/>
          <w:jc w:val="center"/>
        </w:trPr>
        <w:tc>
          <w:tcPr>
            <w:tcW w:w="1415" w:type="dxa"/>
            <w:vMerge w:val="restart"/>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General Public Interviews</w:t>
            </w: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Screening Form</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1,400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10/60</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233</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$20.90</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4</w:t>
            </w:r>
            <w:r w:rsidR="0074741E" w:rsidRPr="00154F20">
              <w:rPr>
                <w:color w:val="000000"/>
                <w:sz w:val="22"/>
                <w:szCs w:val="22"/>
              </w:rPr>
              <w:t>,</w:t>
            </w:r>
            <w:r w:rsidR="0078220F" w:rsidRPr="00154F20">
              <w:rPr>
                <w:color w:val="000000"/>
                <w:sz w:val="22"/>
                <w:szCs w:val="22"/>
              </w:rPr>
              <w:t>870</w:t>
            </w:r>
          </w:p>
        </w:tc>
      </w:tr>
      <w:tr w:rsidR="0078220F" w:rsidRPr="00154F20" w:rsidTr="004804D5">
        <w:trPr>
          <w:cantSplit/>
          <w:trHeight w:val="667"/>
          <w:jc w:val="center"/>
        </w:trPr>
        <w:tc>
          <w:tcPr>
            <w:tcW w:w="1415" w:type="dxa"/>
            <w:vMerge/>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Research Activity</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700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612684" w:rsidP="00361F53">
            <w:pPr>
              <w:spacing w:before="120" w:after="120"/>
              <w:jc w:val="center"/>
              <w:rPr>
                <w:color w:val="000000"/>
              </w:rPr>
            </w:pPr>
            <w:r>
              <w:rPr>
                <w:color w:val="000000"/>
                <w:sz w:val="22"/>
                <w:szCs w:val="22"/>
              </w:rPr>
              <w:t>1</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700</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$20.90</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14</w:t>
            </w:r>
            <w:r w:rsidR="0074741E" w:rsidRPr="00154F20">
              <w:rPr>
                <w:color w:val="000000"/>
                <w:sz w:val="22"/>
                <w:szCs w:val="22"/>
              </w:rPr>
              <w:t>,</w:t>
            </w:r>
            <w:r w:rsidR="0078220F" w:rsidRPr="00154F20">
              <w:rPr>
                <w:color w:val="000000"/>
                <w:sz w:val="22"/>
                <w:szCs w:val="22"/>
              </w:rPr>
              <w:t>630</w:t>
            </w:r>
          </w:p>
        </w:tc>
      </w:tr>
      <w:tr w:rsidR="0078220F" w:rsidRPr="00154F20" w:rsidTr="004804D5">
        <w:trPr>
          <w:cantSplit/>
          <w:trHeight w:val="667"/>
          <w:jc w:val="center"/>
        </w:trPr>
        <w:tc>
          <w:tcPr>
            <w:tcW w:w="1415" w:type="dxa"/>
            <w:vMerge w:val="restart"/>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lastRenderedPageBreak/>
              <w:t>General Public Group Discussions</w:t>
            </w: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Screening Form</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r w:rsidR="004F3B1D" w:rsidRPr="00154F20">
              <w:rPr>
                <w:color w:val="000000"/>
                <w:sz w:val="22"/>
                <w:szCs w:val="22"/>
              </w:rPr>
              <w:t>,</w:t>
            </w:r>
            <w:r w:rsidRPr="00154F20">
              <w:rPr>
                <w:color w:val="000000"/>
                <w:sz w:val="22"/>
                <w:szCs w:val="22"/>
              </w:rPr>
              <w:t>400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10/60</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233</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$20.90</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4</w:t>
            </w:r>
            <w:r w:rsidR="0074741E" w:rsidRPr="00154F20">
              <w:rPr>
                <w:color w:val="000000"/>
                <w:sz w:val="22"/>
                <w:szCs w:val="22"/>
              </w:rPr>
              <w:t>,</w:t>
            </w:r>
            <w:r w:rsidR="0078220F" w:rsidRPr="00154F20">
              <w:rPr>
                <w:color w:val="000000"/>
                <w:sz w:val="22"/>
                <w:szCs w:val="22"/>
              </w:rPr>
              <w:t>870</w:t>
            </w:r>
          </w:p>
        </w:tc>
      </w:tr>
      <w:tr w:rsidR="0078220F" w:rsidRPr="00154F20" w:rsidTr="004804D5">
        <w:trPr>
          <w:cantSplit/>
          <w:trHeight w:val="667"/>
          <w:jc w:val="center"/>
        </w:trPr>
        <w:tc>
          <w:tcPr>
            <w:tcW w:w="1415" w:type="dxa"/>
            <w:vMerge/>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Research Activity</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700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612684" w:rsidP="00361F53">
            <w:pPr>
              <w:spacing w:before="120" w:after="120"/>
              <w:jc w:val="center"/>
              <w:rPr>
                <w:color w:val="000000"/>
              </w:rPr>
            </w:pPr>
            <w:r>
              <w:rPr>
                <w:color w:val="000000"/>
                <w:sz w:val="22"/>
                <w:szCs w:val="22"/>
              </w:rPr>
              <w:t>1.5</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r w:rsidR="004F3B1D" w:rsidRPr="00154F20">
              <w:rPr>
                <w:color w:val="000000"/>
                <w:sz w:val="22"/>
                <w:szCs w:val="22"/>
              </w:rPr>
              <w:t>,</w:t>
            </w:r>
            <w:r w:rsidRPr="00154F20">
              <w:rPr>
                <w:color w:val="000000"/>
                <w:sz w:val="22"/>
                <w:szCs w:val="22"/>
              </w:rPr>
              <w:t>050</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$20.90</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21,945</w:t>
            </w:r>
          </w:p>
        </w:tc>
      </w:tr>
      <w:tr w:rsidR="0078220F" w:rsidRPr="00154F20" w:rsidTr="004804D5">
        <w:trPr>
          <w:cantSplit/>
          <w:trHeight w:val="254"/>
          <w:jc w:val="center"/>
        </w:trPr>
        <w:tc>
          <w:tcPr>
            <w:tcW w:w="1415" w:type="dxa"/>
            <w:vMerge w:val="restart"/>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General Public</w:t>
            </w:r>
            <w:r w:rsidR="00154F20" w:rsidRPr="00154F20">
              <w:rPr>
                <w:color w:val="000000"/>
                <w:sz w:val="22"/>
                <w:szCs w:val="22"/>
              </w:rPr>
              <w:t xml:space="preserve"> </w:t>
            </w:r>
            <w:r w:rsidRPr="00154F20">
              <w:rPr>
                <w:color w:val="000000"/>
                <w:sz w:val="22"/>
                <w:szCs w:val="22"/>
              </w:rPr>
              <w:t>Surveys</w:t>
            </w: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Screening Form</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10,500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10/60</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r w:rsidR="004F3B1D" w:rsidRPr="00154F20">
              <w:rPr>
                <w:color w:val="000000"/>
                <w:sz w:val="22"/>
                <w:szCs w:val="22"/>
              </w:rPr>
              <w:t>,</w:t>
            </w:r>
            <w:r w:rsidRPr="00154F20">
              <w:rPr>
                <w:color w:val="000000"/>
                <w:sz w:val="22"/>
                <w:szCs w:val="22"/>
              </w:rPr>
              <w:t>750</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$20.90</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36</w:t>
            </w:r>
            <w:r w:rsidR="0074741E" w:rsidRPr="00154F20">
              <w:rPr>
                <w:color w:val="000000"/>
                <w:sz w:val="22"/>
                <w:szCs w:val="22"/>
              </w:rPr>
              <w:t>,</w:t>
            </w:r>
            <w:r w:rsidR="0078220F" w:rsidRPr="00154F20">
              <w:rPr>
                <w:color w:val="000000"/>
                <w:sz w:val="22"/>
                <w:szCs w:val="22"/>
              </w:rPr>
              <w:t>575</w:t>
            </w:r>
          </w:p>
        </w:tc>
      </w:tr>
      <w:tr w:rsidR="0078220F" w:rsidRPr="00154F20" w:rsidTr="004804D5">
        <w:trPr>
          <w:cantSplit/>
          <w:trHeight w:val="253"/>
          <w:jc w:val="center"/>
        </w:trPr>
        <w:tc>
          <w:tcPr>
            <w:tcW w:w="1415" w:type="dxa"/>
            <w:vMerge/>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Research Activity</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5,250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45/60</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3</w:t>
            </w:r>
            <w:r w:rsidR="004F3B1D" w:rsidRPr="00154F20">
              <w:rPr>
                <w:color w:val="000000"/>
                <w:sz w:val="22"/>
                <w:szCs w:val="22"/>
              </w:rPr>
              <w:t>,</w:t>
            </w:r>
            <w:r w:rsidRPr="00154F20">
              <w:rPr>
                <w:color w:val="000000"/>
                <w:sz w:val="22"/>
                <w:szCs w:val="22"/>
              </w:rPr>
              <w:t>938</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$20.90</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82</w:t>
            </w:r>
            <w:r w:rsidR="0074741E" w:rsidRPr="00154F20">
              <w:rPr>
                <w:color w:val="000000"/>
                <w:sz w:val="22"/>
                <w:szCs w:val="22"/>
              </w:rPr>
              <w:t>,</w:t>
            </w:r>
            <w:r w:rsidR="0078220F" w:rsidRPr="00154F20">
              <w:rPr>
                <w:color w:val="000000"/>
                <w:sz w:val="22"/>
                <w:szCs w:val="22"/>
              </w:rPr>
              <w:t>304</w:t>
            </w:r>
          </w:p>
        </w:tc>
      </w:tr>
      <w:tr w:rsidR="0078220F" w:rsidRPr="00154F20" w:rsidTr="004804D5">
        <w:trPr>
          <w:cantSplit/>
          <w:trHeight w:val="667"/>
          <w:jc w:val="center"/>
        </w:trPr>
        <w:tc>
          <w:tcPr>
            <w:tcW w:w="1415" w:type="dxa"/>
            <w:vMerge w:val="restart"/>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General Public</w:t>
            </w:r>
            <w:r w:rsidR="00154F20" w:rsidRPr="00154F20">
              <w:rPr>
                <w:color w:val="000000"/>
                <w:sz w:val="22"/>
                <w:szCs w:val="22"/>
              </w:rPr>
              <w:t xml:space="preserve"> </w:t>
            </w:r>
            <w:r w:rsidRPr="00154F20">
              <w:rPr>
                <w:color w:val="000000"/>
                <w:sz w:val="22"/>
                <w:szCs w:val="22"/>
              </w:rPr>
              <w:t>Pre/post tests</w:t>
            </w: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Screening Form</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10,500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10/60</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r w:rsidR="004F3B1D" w:rsidRPr="00154F20">
              <w:rPr>
                <w:color w:val="000000"/>
                <w:sz w:val="22"/>
                <w:szCs w:val="22"/>
              </w:rPr>
              <w:t>,</w:t>
            </w:r>
            <w:r w:rsidRPr="00154F20">
              <w:rPr>
                <w:color w:val="000000"/>
                <w:sz w:val="22"/>
                <w:szCs w:val="22"/>
              </w:rPr>
              <w:t>750</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$20.90</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36</w:t>
            </w:r>
            <w:r w:rsidR="0074741E" w:rsidRPr="00154F20">
              <w:rPr>
                <w:color w:val="000000"/>
                <w:sz w:val="22"/>
                <w:szCs w:val="22"/>
              </w:rPr>
              <w:t>,</w:t>
            </w:r>
            <w:r w:rsidR="0078220F" w:rsidRPr="00154F20">
              <w:rPr>
                <w:color w:val="000000"/>
                <w:sz w:val="22"/>
                <w:szCs w:val="22"/>
              </w:rPr>
              <w:t>575</w:t>
            </w:r>
          </w:p>
        </w:tc>
      </w:tr>
      <w:tr w:rsidR="0078220F" w:rsidRPr="00154F20" w:rsidTr="004804D5">
        <w:trPr>
          <w:cantSplit/>
          <w:trHeight w:val="667"/>
          <w:jc w:val="center"/>
        </w:trPr>
        <w:tc>
          <w:tcPr>
            <w:tcW w:w="1415" w:type="dxa"/>
            <w:vMerge/>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p>
        </w:tc>
        <w:tc>
          <w:tcPr>
            <w:tcW w:w="109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sz w:val="22"/>
                <w:szCs w:val="22"/>
              </w:rPr>
              <w:t>Research Activity</w:t>
            </w:r>
          </w:p>
        </w:tc>
        <w:tc>
          <w:tcPr>
            <w:tcW w:w="1415"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5,250</w:t>
            </w:r>
          </w:p>
        </w:tc>
        <w:tc>
          <w:tcPr>
            <w:tcW w:w="1329"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1</w:t>
            </w:r>
          </w:p>
        </w:tc>
        <w:tc>
          <w:tcPr>
            <w:tcW w:w="1097"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45/60</w:t>
            </w:r>
          </w:p>
        </w:tc>
        <w:tc>
          <w:tcPr>
            <w:tcW w:w="926"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3</w:t>
            </w:r>
            <w:r w:rsidR="004F3B1D" w:rsidRPr="00154F20">
              <w:rPr>
                <w:color w:val="000000"/>
                <w:sz w:val="22"/>
                <w:szCs w:val="22"/>
              </w:rPr>
              <w:t>,</w:t>
            </w:r>
            <w:r w:rsidRPr="00154F20">
              <w:rPr>
                <w:color w:val="000000"/>
                <w:sz w:val="22"/>
                <w:szCs w:val="22"/>
              </w:rPr>
              <w:t>938</w:t>
            </w:r>
          </w:p>
        </w:tc>
        <w:tc>
          <w:tcPr>
            <w:tcW w:w="998" w:type="dxa"/>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jc w:val="center"/>
              <w:rPr>
                <w:color w:val="000000"/>
              </w:rPr>
            </w:pPr>
            <w:r w:rsidRPr="00154F20">
              <w:rPr>
                <w:color w:val="000000"/>
                <w:sz w:val="22"/>
                <w:szCs w:val="22"/>
              </w:rPr>
              <w:t>$20.90</w:t>
            </w:r>
          </w:p>
        </w:tc>
        <w:tc>
          <w:tcPr>
            <w:tcW w:w="1041" w:type="dxa"/>
            <w:tcBorders>
              <w:top w:val="single" w:sz="4" w:space="0" w:color="auto"/>
              <w:left w:val="single" w:sz="4" w:space="0" w:color="auto"/>
              <w:bottom w:val="single" w:sz="4" w:space="0" w:color="auto"/>
              <w:right w:val="single" w:sz="4" w:space="0" w:color="auto"/>
            </w:tcBorders>
          </w:tcPr>
          <w:p w:rsidR="0078220F" w:rsidRPr="00154F20" w:rsidRDefault="000E200E" w:rsidP="00361F53">
            <w:pPr>
              <w:spacing w:before="120" w:after="120"/>
              <w:jc w:val="center"/>
              <w:rPr>
                <w:color w:val="000000"/>
              </w:rPr>
            </w:pPr>
            <w:r w:rsidRPr="00154F20">
              <w:rPr>
                <w:color w:val="000000"/>
                <w:sz w:val="22"/>
                <w:szCs w:val="22"/>
              </w:rPr>
              <w:t>$</w:t>
            </w:r>
            <w:r w:rsidR="0078220F" w:rsidRPr="00154F20">
              <w:rPr>
                <w:color w:val="000000"/>
                <w:sz w:val="22"/>
                <w:szCs w:val="22"/>
              </w:rPr>
              <w:t>82</w:t>
            </w:r>
            <w:r w:rsidR="0074741E" w:rsidRPr="00154F20">
              <w:rPr>
                <w:color w:val="000000"/>
                <w:sz w:val="22"/>
                <w:szCs w:val="22"/>
              </w:rPr>
              <w:t>,</w:t>
            </w:r>
            <w:r w:rsidR="0078220F" w:rsidRPr="00154F20">
              <w:rPr>
                <w:color w:val="000000"/>
                <w:sz w:val="22"/>
                <w:szCs w:val="22"/>
              </w:rPr>
              <w:t>304</w:t>
            </w:r>
          </w:p>
        </w:tc>
      </w:tr>
      <w:tr w:rsidR="0078220F" w:rsidRPr="00154F20" w:rsidTr="004804D5">
        <w:trPr>
          <w:cantSplit/>
          <w:trHeight w:val="667"/>
          <w:jc w:val="center"/>
        </w:trPr>
        <w:tc>
          <w:tcPr>
            <w:tcW w:w="7278" w:type="dxa"/>
            <w:gridSpan w:val="6"/>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rPr>
              <w:t>Total</w:t>
            </w:r>
          </w:p>
        </w:tc>
        <w:tc>
          <w:tcPr>
            <w:tcW w:w="2039" w:type="dxa"/>
            <w:gridSpan w:val="2"/>
            <w:tcBorders>
              <w:top w:val="single" w:sz="4" w:space="0" w:color="auto"/>
              <w:left w:val="single" w:sz="4" w:space="0" w:color="auto"/>
              <w:bottom w:val="single" w:sz="4" w:space="0" w:color="auto"/>
              <w:right w:val="single" w:sz="4" w:space="0" w:color="auto"/>
            </w:tcBorders>
          </w:tcPr>
          <w:p w:rsidR="0078220F" w:rsidRPr="00154F20" w:rsidRDefault="0078220F" w:rsidP="00361F53">
            <w:pPr>
              <w:spacing w:before="120" w:after="120"/>
              <w:rPr>
                <w:color w:val="000000"/>
              </w:rPr>
            </w:pPr>
            <w:r w:rsidRPr="00154F20">
              <w:rPr>
                <w:color w:val="000000"/>
              </w:rPr>
              <w:t>$880,265</w:t>
            </w:r>
          </w:p>
        </w:tc>
      </w:tr>
    </w:tbl>
    <w:p w:rsidR="0078220F" w:rsidRDefault="0078220F" w:rsidP="0074782B">
      <w:pPr>
        <w:spacing w:before="120"/>
      </w:pPr>
      <w:r>
        <w:t xml:space="preserve">*Healthcare wages from </w:t>
      </w:r>
      <w:hyperlink r:id="rId18" w:history="1">
        <w:r w:rsidRPr="002D72A7">
          <w:rPr>
            <w:rStyle w:val="Hyperlink"/>
          </w:rPr>
          <w:t>http://www.bls.gov/oes/current/oes291069.htm</w:t>
        </w:r>
      </w:hyperlink>
    </w:p>
    <w:p w:rsidR="0078220F" w:rsidRDefault="0078220F" w:rsidP="0074782B">
      <w:pPr>
        <w:spacing w:before="120"/>
      </w:pPr>
      <w:r>
        <w:t xml:space="preserve">*Public wages from </w:t>
      </w:r>
      <w:hyperlink r:id="rId19" w:anchor="00-0000" w:history="1">
        <w:r w:rsidRPr="002D72A7">
          <w:rPr>
            <w:rStyle w:val="Hyperlink"/>
          </w:rPr>
          <w:t>http://www.bls.gov/oes/current/oes_nat.htm#00-0000</w:t>
        </w:r>
      </w:hyperlink>
    </w:p>
    <w:p w:rsidR="007C1142" w:rsidRDefault="007C1142" w:rsidP="00361F53">
      <w:pPr>
        <w:outlineLvl w:val="0"/>
        <w:rPr>
          <w:color w:val="000000"/>
          <w:u w:val="single"/>
        </w:rPr>
      </w:pPr>
    </w:p>
    <w:p w:rsidR="0074782B" w:rsidRPr="00E96FE7" w:rsidRDefault="0074782B" w:rsidP="00361F53">
      <w:pPr>
        <w:outlineLvl w:val="0"/>
        <w:rPr>
          <w:color w:val="000000"/>
          <w:u w:val="single"/>
        </w:rPr>
      </w:pPr>
    </w:p>
    <w:p w:rsidR="007C1142" w:rsidRPr="0092182A" w:rsidRDefault="007C1142" w:rsidP="00361F53">
      <w:pPr>
        <w:outlineLvl w:val="0"/>
        <w:rPr>
          <w:b/>
          <w:bCs/>
          <w:iCs/>
          <w:color w:val="000000"/>
        </w:rPr>
      </w:pPr>
      <w:bookmarkStart w:id="64" w:name="_Toc68687809"/>
      <w:bookmarkStart w:id="65" w:name="_Toc299968007"/>
      <w:r w:rsidRPr="0092182A">
        <w:rPr>
          <w:b/>
          <w:bCs/>
          <w:iCs/>
          <w:color w:val="000000"/>
        </w:rPr>
        <w:t>A</w:t>
      </w:r>
      <w:r w:rsidR="00DC2107">
        <w:rPr>
          <w:b/>
          <w:bCs/>
          <w:iCs/>
          <w:color w:val="000000"/>
        </w:rPr>
        <w:t>.</w:t>
      </w:r>
      <w:r w:rsidRPr="0092182A">
        <w:rPr>
          <w:b/>
          <w:bCs/>
          <w:iCs/>
          <w:color w:val="000000"/>
        </w:rPr>
        <w:t>13. Estimates of Other Total Annual Cost Burden to Respondents or Record</w:t>
      </w:r>
      <w:r w:rsidR="004435C4" w:rsidRPr="0092182A">
        <w:rPr>
          <w:b/>
          <w:bCs/>
          <w:iCs/>
          <w:color w:val="000000"/>
        </w:rPr>
        <w:t xml:space="preserve"> K</w:t>
      </w:r>
      <w:r w:rsidRPr="0092182A">
        <w:rPr>
          <w:b/>
          <w:bCs/>
          <w:iCs/>
          <w:color w:val="000000"/>
        </w:rPr>
        <w:t>eepers</w:t>
      </w:r>
      <w:bookmarkEnd w:id="64"/>
      <w:bookmarkEnd w:id="65"/>
    </w:p>
    <w:p w:rsidR="007C1142" w:rsidRPr="00E96FE7" w:rsidRDefault="007C1142" w:rsidP="00361F53">
      <w:pPr>
        <w:outlineLvl w:val="0"/>
        <w:rPr>
          <w:color w:val="000000"/>
        </w:rPr>
      </w:pPr>
    </w:p>
    <w:p w:rsidR="007C1142" w:rsidRPr="00E96FE7" w:rsidRDefault="007C1142" w:rsidP="00275B13">
      <w:bookmarkStart w:id="66" w:name="_Toc295817065"/>
      <w:bookmarkStart w:id="67" w:name="_Toc295817600"/>
      <w:bookmarkStart w:id="68" w:name="_Toc295818081"/>
      <w:bookmarkStart w:id="69" w:name="_Toc295819854"/>
      <w:r w:rsidRPr="00E96FE7">
        <w:t>None.</w:t>
      </w:r>
      <w:bookmarkEnd w:id="66"/>
      <w:bookmarkEnd w:id="67"/>
      <w:bookmarkEnd w:id="68"/>
      <w:bookmarkEnd w:id="69"/>
      <w:r w:rsidRPr="00E96FE7">
        <w:t xml:space="preserve">  </w:t>
      </w:r>
    </w:p>
    <w:p w:rsidR="007C1142" w:rsidRDefault="007C1142" w:rsidP="00361F53">
      <w:pPr>
        <w:rPr>
          <w:color w:val="000000"/>
        </w:rPr>
      </w:pPr>
    </w:p>
    <w:p w:rsidR="0074782B" w:rsidRPr="0092182A" w:rsidRDefault="0074782B" w:rsidP="00361F53">
      <w:pPr>
        <w:rPr>
          <w:color w:val="000000"/>
        </w:rPr>
      </w:pPr>
    </w:p>
    <w:p w:rsidR="007C1142" w:rsidRPr="0092182A" w:rsidRDefault="007C1142" w:rsidP="00361F53">
      <w:pPr>
        <w:outlineLvl w:val="0"/>
        <w:rPr>
          <w:b/>
          <w:bCs/>
          <w:iCs/>
          <w:color w:val="000000"/>
        </w:rPr>
      </w:pPr>
      <w:bookmarkStart w:id="70" w:name="_Toc68687810"/>
      <w:bookmarkStart w:id="71" w:name="_Toc299968008"/>
      <w:bookmarkStart w:id="72" w:name="OLE_LINK1"/>
      <w:r w:rsidRPr="0092182A">
        <w:rPr>
          <w:b/>
          <w:bCs/>
          <w:iCs/>
          <w:color w:val="000000"/>
        </w:rPr>
        <w:t>A</w:t>
      </w:r>
      <w:r w:rsidR="00DC2107">
        <w:rPr>
          <w:b/>
          <w:bCs/>
          <w:iCs/>
          <w:color w:val="000000"/>
        </w:rPr>
        <w:t>.</w:t>
      </w:r>
      <w:r w:rsidRPr="0092182A">
        <w:rPr>
          <w:b/>
          <w:bCs/>
          <w:iCs/>
          <w:color w:val="000000"/>
        </w:rPr>
        <w:t>14. Annualized Cost to the Government</w:t>
      </w:r>
      <w:bookmarkEnd w:id="70"/>
      <w:bookmarkEnd w:id="71"/>
    </w:p>
    <w:bookmarkEnd w:id="72"/>
    <w:p w:rsidR="007C1142" w:rsidRDefault="007C1142" w:rsidP="00361F53">
      <w:pPr>
        <w:autoSpaceDE w:val="0"/>
        <w:autoSpaceDN w:val="0"/>
        <w:adjustRightInd w:val="0"/>
        <w:rPr>
          <w:color w:val="000000"/>
        </w:rPr>
      </w:pPr>
    </w:p>
    <w:p w:rsidR="007C1142" w:rsidRPr="00453F6C" w:rsidRDefault="007C1142" w:rsidP="00361F53">
      <w:pPr>
        <w:autoSpaceDE w:val="0"/>
        <w:autoSpaceDN w:val="0"/>
        <w:adjustRightInd w:val="0"/>
        <w:rPr>
          <w:color w:val="000000"/>
        </w:rPr>
      </w:pPr>
      <w:r w:rsidRPr="00453F6C">
        <w:rPr>
          <w:color w:val="000000"/>
        </w:rPr>
        <w:t>The estima</w:t>
      </w:r>
      <w:r w:rsidR="004804D5">
        <w:rPr>
          <w:color w:val="000000"/>
        </w:rPr>
        <w:t>ted average annual cost to the f</w:t>
      </w:r>
      <w:r w:rsidRPr="00453F6C">
        <w:rPr>
          <w:color w:val="000000"/>
        </w:rPr>
        <w:t xml:space="preserve">ederal government for the proposed </w:t>
      </w:r>
      <w:r w:rsidR="002B0956">
        <w:rPr>
          <w:color w:val="000000"/>
        </w:rPr>
        <w:t>information collection activities</w:t>
      </w:r>
      <w:r w:rsidRPr="00453F6C">
        <w:rPr>
          <w:color w:val="000000"/>
        </w:rPr>
        <w:t xml:space="preserve"> is </w:t>
      </w:r>
      <w:r w:rsidR="002F399F">
        <w:rPr>
          <w:color w:val="000000"/>
        </w:rPr>
        <w:t>$4</w:t>
      </w:r>
      <w:r w:rsidR="002B0956" w:rsidRPr="002B0956">
        <w:rPr>
          <w:color w:val="000000"/>
        </w:rPr>
        <w:t>67</w:t>
      </w:r>
      <w:r w:rsidR="002F399F">
        <w:rPr>
          <w:color w:val="000000"/>
        </w:rPr>
        <w:t>,</w:t>
      </w:r>
      <w:r w:rsidR="002B0956" w:rsidRPr="002B0956">
        <w:rPr>
          <w:color w:val="000000"/>
        </w:rPr>
        <w:t>000</w:t>
      </w:r>
      <w:r w:rsidRPr="00453F6C">
        <w:rPr>
          <w:color w:val="000000"/>
        </w:rPr>
        <w:t>.</w:t>
      </w:r>
      <w:r w:rsidR="00DB083E">
        <w:rPr>
          <w:color w:val="000000"/>
        </w:rPr>
        <w:t xml:space="preserve"> </w:t>
      </w:r>
      <w:r w:rsidRPr="00453F6C">
        <w:rPr>
          <w:color w:val="000000"/>
        </w:rPr>
        <w:t xml:space="preserve">This figure encompasses </w:t>
      </w:r>
      <w:r w:rsidR="00453F6C" w:rsidRPr="00453F6C">
        <w:rPr>
          <w:color w:val="000000"/>
        </w:rPr>
        <w:t>50</w:t>
      </w:r>
      <w:r w:rsidR="004C1B77" w:rsidRPr="00453F6C">
        <w:rPr>
          <w:color w:val="000000"/>
        </w:rPr>
        <w:t>%</w:t>
      </w:r>
      <w:r w:rsidR="004C1B77">
        <w:rPr>
          <w:color w:val="000000"/>
        </w:rPr>
        <w:t xml:space="preserve"> </w:t>
      </w:r>
      <w:r w:rsidR="004C1B77" w:rsidRPr="00453F6C">
        <w:rPr>
          <w:color w:val="000000"/>
        </w:rPr>
        <w:t>FTE</w:t>
      </w:r>
      <w:r w:rsidR="00453F6C">
        <w:rPr>
          <w:color w:val="000000"/>
        </w:rPr>
        <w:t xml:space="preserve"> of</w:t>
      </w:r>
      <w:r w:rsidR="00453F6C" w:rsidRPr="00453F6C">
        <w:rPr>
          <w:color w:val="000000"/>
        </w:rPr>
        <w:t xml:space="preserve"> </w:t>
      </w:r>
      <w:r w:rsidR="00453F6C">
        <w:rPr>
          <w:color w:val="000000"/>
        </w:rPr>
        <w:t xml:space="preserve">two GS-13 employees and information collection </w:t>
      </w:r>
      <w:r w:rsidRPr="00453F6C">
        <w:rPr>
          <w:color w:val="000000"/>
        </w:rPr>
        <w:t>contract costs. The average hourly rate was obtained from the Office of Personnel Management’s website (</w:t>
      </w:r>
      <w:hyperlink r:id="rId20" w:history="1">
        <w:r w:rsidRPr="00453F6C">
          <w:rPr>
            <w:rStyle w:val="Hyperlink"/>
          </w:rPr>
          <w:t>http://www.opm.gov/oca/09tables/html/atl_h.asp</w:t>
        </w:r>
      </w:hyperlink>
      <w:r w:rsidRPr="00453F6C">
        <w:rPr>
          <w:color w:val="000000"/>
        </w:rPr>
        <w:t xml:space="preserve">). The hourly rate for a GS-13 in metro Atlanta is $40.11 per hour, which is about $83,500 per year. </w:t>
      </w:r>
    </w:p>
    <w:p w:rsidR="007C1142" w:rsidRPr="00453F6C" w:rsidRDefault="007C1142" w:rsidP="00361F53">
      <w:pPr>
        <w:autoSpaceDE w:val="0"/>
        <w:autoSpaceDN w:val="0"/>
        <w:adjustRightInd w:val="0"/>
        <w:rPr>
          <w:color w:val="000000"/>
        </w:rPr>
      </w:pPr>
    </w:p>
    <w:p w:rsidR="007C1142" w:rsidRDefault="007C1142" w:rsidP="00361F53">
      <w:pPr>
        <w:autoSpaceDE w:val="0"/>
        <w:autoSpaceDN w:val="0"/>
        <w:adjustRightInd w:val="0"/>
        <w:rPr>
          <w:color w:val="000000"/>
        </w:rPr>
      </w:pPr>
      <w:r w:rsidRPr="00453F6C">
        <w:rPr>
          <w:color w:val="000000"/>
        </w:rPr>
        <w:t xml:space="preserve">The contractual cost for </w:t>
      </w:r>
      <w:r w:rsidR="00453F6C" w:rsidRPr="00453F6C">
        <w:rPr>
          <w:color w:val="000000"/>
        </w:rPr>
        <w:t>an information collection</w:t>
      </w:r>
      <w:r w:rsidRPr="00453F6C">
        <w:rPr>
          <w:color w:val="000000"/>
        </w:rPr>
        <w:t xml:space="preserve"> </w:t>
      </w:r>
      <w:r w:rsidR="00453F6C" w:rsidRPr="00453F6C">
        <w:rPr>
          <w:color w:val="000000"/>
        </w:rPr>
        <w:t>(</w:t>
      </w:r>
      <w:r w:rsidR="002B0956">
        <w:rPr>
          <w:color w:val="000000"/>
        </w:rPr>
        <w:t>e</w:t>
      </w:r>
      <w:r w:rsidR="00453F6C" w:rsidRPr="00453F6C">
        <w:rPr>
          <w:color w:val="000000"/>
        </w:rPr>
        <w:t xml:space="preserve">.g. </w:t>
      </w:r>
      <w:r w:rsidR="002B0956">
        <w:rPr>
          <w:color w:val="000000"/>
        </w:rPr>
        <w:t>the development of a screener and instrument, participant recruitment</w:t>
      </w:r>
      <w:r w:rsidRPr="00453F6C">
        <w:rPr>
          <w:color w:val="000000"/>
        </w:rPr>
        <w:t>, incentiv</w:t>
      </w:r>
      <w:r w:rsidR="00453F6C" w:rsidRPr="00453F6C">
        <w:rPr>
          <w:color w:val="000000"/>
        </w:rPr>
        <w:t>e payments, facility rental</w:t>
      </w:r>
      <w:r w:rsidR="002B0956">
        <w:rPr>
          <w:color w:val="000000"/>
        </w:rPr>
        <w:t xml:space="preserve"> (when applicable)</w:t>
      </w:r>
      <w:r w:rsidR="00453F6C" w:rsidRPr="00453F6C">
        <w:rPr>
          <w:color w:val="000000"/>
        </w:rPr>
        <w:t>,</w:t>
      </w:r>
      <w:r w:rsidRPr="00453F6C">
        <w:rPr>
          <w:color w:val="000000"/>
        </w:rPr>
        <w:t xml:space="preserve"> transcription</w:t>
      </w:r>
      <w:r w:rsidR="00453F6C" w:rsidRPr="00453F6C">
        <w:rPr>
          <w:color w:val="000000"/>
        </w:rPr>
        <w:t>s, and</w:t>
      </w:r>
      <w:r w:rsidR="002B0956">
        <w:rPr>
          <w:color w:val="000000"/>
        </w:rPr>
        <w:t xml:space="preserve"> final</w:t>
      </w:r>
      <w:r w:rsidR="00453F6C" w:rsidRPr="00453F6C">
        <w:rPr>
          <w:color w:val="000000"/>
        </w:rPr>
        <w:t xml:space="preserve"> reports)</w:t>
      </w:r>
      <w:r w:rsidRPr="00453F6C">
        <w:rPr>
          <w:color w:val="000000"/>
        </w:rPr>
        <w:t xml:space="preserve"> </w:t>
      </w:r>
      <w:r w:rsidR="00453F6C" w:rsidRPr="00453F6C">
        <w:rPr>
          <w:color w:val="000000"/>
        </w:rPr>
        <w:t xml:space="preserve">is </w:t>
      </w:r>
      <w:r w:rsidRPr="00453F6C">
        <w:rPr>
          <w:color w:val="000000"/>
        </w:rPr>
        <w:t>estimated at</w:t>
      </w:r>
      <w:r w:rsidR="002B0956">
        <w:rPr>
          <w:color w:val="000000"/>
        </w:rPr>
        <w:t xml:space="preserve"> </w:t>
      </w:r>
      <w:r w:rsidR="00453F6C" w:rsidRPr="00453F6C">
        <w:rPr>
          <w:color w:val="000000"/>
        </w:rPr>
        <w:t>$150,000.</w:t>
      </w:r>
      <w:r>
        <w:rPr>
          <w:color w:val="000000"/>
        </w:rPr>
        <w:t xml:space="preserve"> </w:t>
      </w:r>
    </w:p>
    <w:p w:rsidR="002B288D" w:rsidRDefault="002B288D" w:rsidP="00361F53">
      <w:pPr>
        <w:autoSpaceDE w:val="0"/>
        <w:autoSpaceDN w:val="0"/>
        <w:adjustRightInd w:val="0"/>
        <w:rPr>
          <w:color w:val="000000"/>
        </w:rPr>
      </w:pPr>
    </w:p>
    <w:p w:rsidR="000C5352" w:rsidRPr="0092182A" w:rsidRDefault="000C5352" w:rsidP="000C5352">
      <w:pPr>
        <w:spacing w:after="120"/>
        <w:outlineLvl w:val="0"/>
        <w:rPr>
          <w:bCs/>
          <w:color w:val="000000"/>
        </w:rPr>
      </w:pPr>
      <w:bookmarkStart w:id="73" w:name="_Toc299968009"/>
      <w:r w:rsidRPr="0092182A">
        <w:rPr>
          <w:bCs/>
          <w:color w:val="000000"/>
        </w:rPr>
        <w:lastRenderedPageBreak/>
        <w:t>Table A</w:t>
      </w:r>
      <w:r>
        <w:rPr>
          <w:bCs/>
          <w:color w:val="000000"/>
        </w:rPr>
        <w:t>.13-A</w:t>
      </w:r>
      <w:r w:rsidRPr="0092182A">
        <w:rPr>
          <w:bCs/>
          <w:color w:val="000000"/>
        </w:rPr>
        <w:t xml:space="preserve">: Estimated Annualized Cost to </w:t>
      </w:r>
      <w:r>
        <w:rPr>
          <w:bCs/>
          <w:color w:val="000000"/>
        </w:rPr>
        <w:t>the Government per Activity and Total</w:t>
      </w:r>
      <w:bookmarkEnd w:id="73"/>
    </w:p>
    <w:p w:rsidR="000C5352" w:rsidRDefault="000C5352" w:rsidP="00361F53">
      <w:pPr>
        <w:autoSpaceDE w:val="0"/>
        <w:autoSpaceDN w:val="0"/>
        <w:adjustRightInd w:val="0"/>
        <w:rPr>
          <w:color w:val="000000"/>
        </w:rPr>
      </w:pPr>
    </w:p>
    <w:tbl>
      <w:tblPr>
        <w:tblStyle w:val="TableGrid"/>
        <w:tblW w:w="0" w:type="auto"/>
        <w:tblInd w:w="288" w:type="dxa"/>
        <w:tblLook w:val="01E0" w:firstRow="1" w:lastRow="1" w:firstColumn="1" w:lastColumn="1" w:noHBand="0" w:noVBand="0"/>
      </w:tblPr>
      <w:tblGrid>
        <w:gridCol w:w="5040"/>
        <w:gridCol w:w="2880"/>
      </w:tblGrid>
      <w:tr w:rsidR="007C1142" w:rsidTr="002B0956">
        <w:tc>
          <w:tcPr>
            <w:tcW w:w="7920" w:type="dxa"/>
            <w:gridSpan w:val="2"/>
          </w:tcPr>
          <w:p w:rsidR="007C1142" w:rsidRPr="00ED5E23" w:rsidRDefault="007C1142" w:rsidP="00361F53">
            <w:pPr>
              <w:autoSpaceDE w:val="0"/>
              <w:autoSpaceDN w:val="0"/>
              <w:adjustRightInd w:val="0"/>
              <w:spacing w:before="60" w:after="60"/>
              <w:jc w:val="center"/>
              <w:rPr>
                <w:b/>
                <w:color w:val="000000"/>
              </w:rPr>
            </w:pPr>
            <w:r w:rsidRPr="002B0956">
              <w:rPr>
                <w:b/>
                <w:color w:val="000000"/>
              </w:rPr>
              <w:t>Estimated An</w:t>
            </w:r>
            <w:r w:rsidR="00453F6C" w:rsidRPr="002B0956">
              <w:rPr>
                <w:b/>
                <w:color w:val="000000"/>
              </w:rPr>
              <w:t>nualized Cost to the Government</w:t>
            </w:r>
            <w:r w:rsidRPr="002B0956">
              <w:rPr>
                <w:b/>
                <w:color w:val="000000"/>
              </w:rPr>
              <w:t xml:space="preserve"> per Activity and Total</w:t>
            </w:r>
          </w:p>
        </w:tc>
      </w:tr>
      <w:tr w:rsidR="007C1142" w:rsidTr="002B0956">
        <w:tc>
          <w:tcPr>
            <w:tcW w:w="5040" w:type="dxa"/>
          </w:tcPr>
          <w:p w:rsidR="007C1142" w:rsidRDefault="007C1142" w:rsidP="00361F53">
            <w:pPr>
              <w:autoSpaceDE w:val="0"/>
              <w:autoSpaceDN w:val="0"/>
              <w:adjustRightInd w:val="0"/>
              <w:spacing w:before="60" w:after="60"/>
              <w:rPr>
                <w:color w:val="000000"/>
              </w:rPr>
            </w:pPr>
            <w:r>
              <w:rPr>
                <w:color w:val="000000"/>
              </w:rPr>
              <w:t>Cost Category</w:t>
            </w:r>
          </w:p>
        </w:tc>
        <w:tc>
          <w:tcPr>
            <w:tcW w:w="2880" w:type="dxa"/>
          </w:tcPr>
          <w:p w:rsidR="007C1142" w:rsidRDefault="007C1142" w:rsidP="00361F53">
            <w:pPr>
              <w:autoSpaceDE w:val="0"/>
              <w:autoSpaceDN w:val="0"/>
              <w:adjustRightInd w:val="0"/>
              <w:spacing w:before="60" w:after="60"/>
              <w:rPr>
                <w:color w:val="000000"/>
              </w:rPr>
            </w:pPr>
            <w:r>
              <w:rPr>
                <w:color w:val="000000"/>
              </w:rPr>
              <w:t>Estimated Annualized Cost</w:t>
            </w:r>
          </w:p>
        </w:tc>
      </w:tr>
      <w:tr w:rsidR="007C1142" w:rsidTr="002B0956">
        <w:tc>
          <w:tcPr>
            <w:tcW w:w="5040" w:type="dxa"/>
          </w:tcPr>
          <w:p w:rsidR="007C1142" w:rsidRDefault="007C1142" w:rsidP="00361F53">
            <w:pPr>
              <w:autoSpaceDE w:val="0"/>
              <w:autoSpaceDN w:val="0"/>
              <w:adjustRightInd w:val="0"/>
              <w:spacing w:before="60" w:after="60"/>
              <w:rPr>
                <w:color w:val="000000"/>
              </w:rPr>
            </w:pPr>
            <w:r>
              <w:rPr>
                <w:color w:val="000000"/>
              </w:rPr>
              <w:t xml:space="preserve">Federal employee costs, per </w:t>
            </w:r>
            <w:r w:rsidR="00453F6C">
              <w:rPr>
                <w:color w:val="000000"/>
              </w:rPr>
              <w:t>information collection</w:t>
            </w:r>
            <w:r>
              <w:rPr>
                <w:color w:val="000000"/>
              </w:rPr>
              <w:t xml:space="preserve"> (50% FTE of </w:t>
            </w:r>
            <w:r w:rsidR="004804D5">
              <w:rPr>
                <w:color w:val="000000"/>
              </w:rPr>
              <w:t xml:space="preserve">two </w:t>
            </w:r>
            <w:r>
              <w:rPr>
                <w:color w:val="000000"/>
              </w:rPr>
              <w:t xml:space="preserve">GS-13 </w:t>
            </w:r>
            <w:r w:rsidR="004804D5">
              <w:rPr>
                <w:color w:val="000000"/>
              </w:rPr>
              <w:t>at</w:t>
            </w:r>
            <w:r>
              <w:rPr>
                <w:color w:val="000000"/>
              </w:rPr>
              <w:t xml:space="preserve"> $83,500/y</w:t>
            </w:r>
            <w:r w:rsidR="004804D5">
              <w:rPr>
                <w:color w:val="000000"/>
              </w:rPr>
              <w:t>ea</w:t>
            </w:r>
            <w:r>
              <w:rPr>
                <w:color w:val="000000"/>
              </w:rPr>
              <w:t>r)</w:t>
            </w:r>
          </w:p>
        </w:tc>
        <w:tc>
          <w:tcPr>
            <w:tcW w:w="2880" w:type="dxa"/>
          </w:tcPr>
          <w:p w:rsidR="007C1142" w:rsidRDefault="00453F6C" w:rsidP="00361F53">
            <w:pPr>
              <w:autoSpaceDE w:val="0"/>
              <w:autoSpaceDN w:val="0"/>
              <w:adjustRightInd w:val="0"/>
              <w:spacing w:before="60" w:after="60"/>
              <w:jc w:val="right"/>
              <w:rPr>
                <w:color w:val="000000"/>
              </w:rPr>
            </w:pPr>
            <w:r>
              <w:rPr>
                <w:color w:val="000000"/>
              </w:rPr>
              <w:t>$83,500</w:t>
            </w:r>
          </w:p>
        </w:tc>
      </w:tr>
      <w:tr w:rsidR="007C1142" w:rsidTr="002B0956">
        <w:tc>
          <w:tcPr>
            <w:tcW w:w="5040" w:type="dxa"/>
          </w:tcPr>
          <w:p w:rsidR="007C1142" w:rsidRDefault="007C1142" w:rsidP="00361F53">
            <w:pPr>
              <w:autoSpaceDE w:val="0"/>
              <w:autoSpaceDN w:val="0"/>
              <w:adjustRightInd w:val="0"/>
              <w:spacing w:before="60" w:after="60"/>
              <w:rPr>
                <w:color w:val="000000"/>
              </w:rPr>
            </w:pPr>
            <w:r>
              <w:rPr>
                <w:color w:val="000000"/>
              </w:rPr>
              <w:t xml:space="preserve">Contractual costs for </w:t>
            </w:r>
            <w:r w:rsidR="002B0956">
              <w:rPr>
                <w:color w:val="000000"/>
              </w:rPr>
              <w:t xml:space="preserve">an information collection </w:t>
            </w:r>
            <w:r w:rsidR="00453F6C">
              <w:rPr>
                <w:color w:val="000000"/>
              </w:rPr>
              <w:t xml:space="preserve">(e.g. </w:t>
            </w:r>
            <w:r w:rsidR="002B0956">
              <w:rPr>
                <w:color w:val="000000"/>
              </w:rPr>
              <w:t xml:space="preserve">facility rental, </w:t>
            </w:r>
            <w:r>
              <w:rPr>
                <w:color w:val="000000"/>
              </w:rPr>
              <w:t>moderator/interviewer, participant recruitment,</w:t>
            </w:r>
            <w:r w:rsidR="00453F6C">
              <w:rPr>
                <w:color w:val="000000"/>
              </w:rPr>
              <w:t xml:space="preserve"> transcriptions</w:t>
            </w:r>
            <w:r>
              <w:rPr>
                <w:color w:val="000000"/>
              </w:rPr>
              <w:t xml:space="preserve"> and report on findings</w:t>
            </w:r>
            <w:r w:rsidR="00453F6C">
              <w:rPr>
                <w:color w:val="000000"/>
              </w:rPr>
              <w:t>)</w:t>
            </w:r>
          </w:p>
        </w:tc>
        <w:tc>
          <w:tcPr>
            <w:tcW w:w="2880" w:type="dxa"/>
          </w:tcPr>
          <w:p w:rsidR="007C1142" w:rsidRDefault="00453F6C" w:rsidP="00361F53">
            <w:pPr>
              <w:autoSpaceDE w:val="0"/>
              <w:autoSpaceDN w:val="0"/>
              <w:adjustRightInd w:val="0"/>
              <w:spacing w:before="60" w:after="60"/>
              <w:jc w:val="right"/>
              <w:rPr>
                <w:color w:val="000000"/>
              </w:rPr>
            </w:pPr>
            <w:r>
              <w:rPr>
                <w:color w:val="000000"/>
              </w:rPr>
              <w:t>$</w:t>
            </w:r>
            <w:r w:rsidR="002B0956">
              <w:rPr>
                <w:color w:val="000000"/>
              </w:rPr>
              <w:t>150</w:t>
            </w:r>
            <w:r>
              <w:rPr>
                <w:color w:val="000000"/>
              </w:rPr>
              <w:t>,000</w:t>
            </w:r>
          </w:p>
        </w:tc>
      </w:tr>
      <w:tr w:rsidR="00453F6C" w:rsidTr="002B0956">
        <w:tc>
          <w:tcPr>
            <w:tcW w:w="5040" w:type="dxa"/>
          </w:tcPr>
          <w:p w:rsidR="00453F6C" w:rsidRDefault="00453F6C" w:rsidP="00361F53">
            <w:pPr>
              <w:autoSpaceDE w:val="0"/>
              <w:autoSpaceDN w:val="0"/>
              <w:adjustRightInd w:val="0"/>
              <w:spacing w:before="60" w:after="60"/>
              <w:rPr>
                <w:b/>
                <w:color w:val="000000"/>
              </w:rPr>
            </w:pPr>
            <w:r>
              <w:rPr>
                <w:b/>
                <w:color w:val="000000"/>
              </w:rPr>
              <w:t>Cost per information collection</w:t>
            </w:r>
          </w:p>
        </w:tc>
        <w:tc>
          <w:tcPr>
            <w:tcW w:w="2880" w:type="dxa"/>
          </w:tcPr>
          <w:p w:rsidR="00453F6C" w:rsidRPr="002B0956" w:rsidRDefault="00453F6C" w:rsidP="00361F53">
            <w:pPr>
              <w:autoSpaceDE w:val="0"/>
              <w:autoSpaceDN w:val="0"/>
              <w:adjustRightInd w:val="0"/>
              <w:spacing w:before="60" w:after="60"/>
              <w:jc w:val="right"/>
              <w:rPr>
                <w:color w:val="000000"/>
              </w:rPr>
            </w:pPr>
            <w:r w:rsidRPr="002B0956">
              <w:rPr>
                <w:color w:val="000000"/>
              </w:rPr>
              <w:t>$233,500</w:t>
            </w:r>
          </w:p>
        </w:tc>
      </w:tr>
      <w:tr w:rsidR="007C1142" w:rsidTr="002B0956">
        <w:tc>
          <w:tcPr>
            <w:tcW w:w="5040" w:type="dxa"/>
          </w:tcPr>
          <w:p w:rsidR="007C1142" w:rsidRPr="00ED5E23" w:rsidRDefault="007C1142" w:rsidP="00361F53">
            <w:pPr>
              <w:autoSpaceDE w:val="0"/>
              <w:autoSpaceDN w:val="0"/>
              <w:adjustRightInd w:val="0"/>
              <w:spacing w:before="60" w:after="60"/>
              <w:rPr>
                <w:b/>
                <w:color w:val="000000"/>
              </w:rPr>
            </w:pPr>
            <w:r>
              <w:rPr>
                <w:b/>
                <w:color w:val="000000"/>
              </w:rPr>
              <w:t>Total</w:t>
            </w:r>
            <w:r w:rsidR="00453F6C">
              <w:rPr>
                <w:b/>
                <w:color w:val="000000"/>
              </w:rPr>
              <w:t xml:space="preserve"> </w:t>
            </w:r>
            <w:r w:rsidR="002B0956">
              <w:rPr>
                <w:b/>
                <w:color w:val="000000"/>
              </w:rPr>
              <w:t>c</w:t>
            </w:r>
            <w:r w:rsidR="00453F6C">
              <w:rPr>
                <w:b/>
                <w:color w:val="000000"/>
              </w:rPr>
              <w:t>ost of 20 information collections</w:t>
            </w:r>
          </w:p>
        </w:tc>
        <w:tc>
          <w:tcPr>
            <w:tcW w:w="2880" w:type="dxa"/>
          </w:tcPr>
          <w:p w:rsidR="007C1142" w:rsidRPr="002B0956" w:rsidRDefault="002B0956" w:rsidP="00612684">
            <w:pPr>
              <w:autoSpaceDE w:val="0"/>
              <w:autoSpaceDN w:val="0"/>
              <w:adjustRightInd w:val="0"/>
              <w:spacing w:before="60" w:after="60"/>
              <w:jc w:val="right"/>
              <w:rPr>
                <w:color w:val="000000"/>
              </w:rPr>
            </w:pPr>
            <w:r w:rsidRPr="002B0956">
              <w:rPr>
                <w:color w:val="000000"/>
              </w:rPr>
              <w:t>$</w:t>
            </w:r>
            <w:r w:rsidR="00612684">
              <w:rPr>
                <w:color w:val="000000"/>
              </w:rPr>
              <w:t>467,000</w:t>
            </w:r>
          </w:p>
        </w:tc>
      </w:tr>
    </w:tbl>
    <w:p w:rsidR="007C1142" w:rsidRDefault="007C1142" w:rsidP="00361F53">
      <w:pPr>
        <w:outlineLvl w:val="0"/>
        <w:rPr>
          <w:b/>
          <w:bCs/>
          <w:i/>
          <w:iCs/>
          <w:color w:val="000000"/>
        </w:rPr>
      </w:pPr>
    </w:p>
    <w:p w:rsidR="0074782B" w:rsidRDefault="0074782B" w:rsidP="00361F53">
      <w:pPr>
        <w:outlineLvl w:val="0"/>
        <w:rPr>
          <w:b/>
          <w:bCs/>
          <w:i/>
          <w:iCs/>
          <w:color w:val="000000"/>
        </w:rPr>
      </w:pPr>
    </w:p>
    <w:p w:rsidR="007C1142" w:rsidRPr="0092182A" w:rsidRDefault="007C1142" w:rsidP="00361F53">
      <w:pPr>
        <w:outlineLvl w:val="0"/>
        <w:rPr>
          <w:b/>
          <w:bCs/>
          <w:iCs/>
          <w:color w:val="000000"/>
        </w:rPr>
      </w:pPr>
      <w:bookmarkStart w:id="74" w:name="_Toc299968010"/>
      <w:r w:rsidRPr="0092182A">
        <w:rPr>
          <w:b/>
          <w:bCs/>
          <w:iCs/>
          <w:color w:val="000000"/>
        </w:rPr>
        <w:t>A</w:t>
      </w:r>
      <w:r w:rsidR="00DC2107">
        <w:rPr>
          <w:b/>
          <w:bCs/>
          <w:iCs/>
          <w:color w:val="000000"/>
        </w:rPr>
        <w:t>.</w:t>
      </w:r>
      <w:r w:rsidRPr="0092182A">
        <w:rPr>
          <w:b/>
          <w:bCs/>
          <w:iCs/>
          <w:color w:val="000000"/>
        </w:rPr>
        <w:t>15. Explanation for Program Changes or Adjustments</w:t>
      </w:r>
      <w:bookmarkEnd w:id="74"/>
    </w:p>
    <w:p w:rsidR="007C1142" w:rsidRPr="00E96FE7" w:rsidRDefault="007C1142" w:rsidP="00361F53">
      <w:pPr>
        <w:rPr>
          <w:color w:val="000000"/>
        </w:rPr>
      </w:pPr>
    </w:p>
    <w:p w:rsidR="007C1142" w:rsidRDefault="007C1142" w:rsidP="00275B13">
      <w:bookmarkStart w:id="75" w:name="_Toc295817068"/>
      <w:bookmarkStart w:id="76" w:name="_Toc295817603"/>
      <w:bookmarkStart w:id="77" w:name="_Toc295818084"/>
      <w:bookmarkStart w:id="78" w:name="_Toc295819857"/>
      <w:r w:rsidRPr="00E96FE7">
        <w:t xml:space="preserve">This is a new </w:t>
      </w:r>
      <w:r>
        <w:t>information</w:t>
      </w:r>
      <w:r w:rsidRPr="00E96FE7">
        <w:t xml:space="preserve"> collection.</w:t>
      </w:r>
      <w:bookmarkEnd w:id="75"/>
      <w:bookmarkEnd w:id="76"/>
      <w:bookmarkEnd w:id="77"/>
      <w:bookmarkEnd w:id="78"/>
    </w:p>
    <w:p w:rsidR="007C1142" w:rsidRDefault="007C1142" w:rsidP="00361F53"/>
    <w:p w:rsidR="0074782B" w:rsidRDefault="0074782B" w:rsidP="00361F53"/>
    <w:p w:rsidR="007C1142" w:rsidRPr="0092182A" w:rsidRDefault="007C1142" w:rsidP="00361F53">
      <w:pPr>
        <w:outlineLvl w:val="0"/>
        <w:rPr>
          <w:b/>
          <w:bCs/>
          <w:iCs/>
          <w:color w:val="000000"/>
        </w:rPr>
      </w:pPr>
      <w:bookmarkStart w:id="79" w:name="_Toc299968011"/>
      <w:r w:rsidRPr="0092182A">
        <w:rPr>
          <w:b/>
          <w:bCs/>
          <w:iCs/>
          <w:color w:val="000000"/>
        </w:rPr>
        <w:t>A</w:t>
      </w:r>
      <w:r w:rsidR="00DC2107">
        <w:rPr>
          <w:b/>
          <w:bCs/>
          <w:iCs/>
          <w:color w:val="000000"/>
        </w:rPr>
        <w:t>.</w:t>
      </w:r>
      <w:r w:rsidRPr="0092182A">
        <w:rPr>
          <w:b/>
          <w:bCs/>
          <w:iCs/>
          <w:color w:val="000000"/>
        </w:rPr>
        <w:t>16. Plans for Tabulation and Publication and Project Time Schedule</w:t>
      </w:r>
      <w:bookmarkEnd w:id="79"/>
    </w:p>
    <w:p w:rsidR="007C1142" w:rsidRPr="00E96FE7" w:rsidRDefault="007C1142" w:rsidP="00361F53">
      <w:pPr>
        <w:rPr>
          <w:color w:val="000000"/>
        </w:rPr>
      </w:pPr>
    </w:p>
    <w:p w:rsidR="007C1142" w:rsidRDefault="007C1142" w:rsidP="00275B13">
      <w:pPr>
        <w:rPr>
          <w:u w:val="single"/>
        </w:rPr>
      </w:pPr>
      <w:bookmarkStart w:id="80" w:name="_Toc295817070"/>
      <w:bookmarkStart w:id="81" w:name="_Toc295817605"/>
      <w:bookmarkStart w:id="82" w:name="_Toc295818086"/>
      <w:bookmarkStart w:id="83" w:name="_Toc295819859"/>
      <w:r w:rsidRPr="00275B13">
        <w:rPr>
          <w:u w:val="single"/>
        </w:rPr>
        <w:t>Project Time Schedule</w:t>
      </w:r>
      <w:bookmarkEnd w:id="80"/>
      <w:bookmarkEnd w:id="81"/>
      <w:bookmarkEnd w:id="82"/>
      <w:bookmarkEnd w:id="83"/>
    </w:p>
    <w:p w:rsidR="00275B13" w:rsidRPr="00275B13" w:rsidRDefault="00275B13" w:rsidP="00275B13">
      <w:pPr>
        <w:rPr>
          <w:u w:val="single"/>
        </w:rPr>
      </w:pPr>
    </w:p>
    <w:p w:rsidR="007C1142" w:rsidRDefault="007C1142"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2C63F6">
        <w:t xml:space="preserve">In some cases, the results of </w:t>
      </w:r>
      <w:r w:rsidR="002B0956">
        <w:t>information collection</w:t>
      </w:r>
      <w:r w:rsidRPr="002C63F6">
        <w:t xml:space="preserve"> will not be published; instead, the information will be used to inform communication, training and/or education activities across </w:t>
      </w:r>
      <w:r w:rsidR="003A4D97" w:rsidRPr="00AA5973">
        <w:t>DGMQ</w:t>
      </w:r>
      <w:r w:rsidRPr="002C63F6">
        <w:t xml:space="preserve">. </w:t>
      </w:r>
      <w:r w:rsidR="002B0956">
        <w:t xml:space="preserve">In other cases, results will be presented at professional conferences and in peer-reviewed journals. </w:t>
      </w:r>
      <w:r w:rsidRPr="002C63F6">
        <w:t>Project timelines will vary, depending on the program requirements and the activity itself.</w:t>
      </w:r>
      <w:r w:rsidRPr="002C63F6" w:rsidDel="005626D1">
        <w:t xml:space="preserve"> </w:t>
      </w:r>
      <w:r w:rsidR="00A03206">
        <w:t>The project timeline will be dependent on the nature of the data collection.</w:t>
      </w:r>
    </w:p>
    <w:p w:rsidR="007C1142" w:rsidRDefault="007C1142" w:rsidP="00361F53">
      <w:pPr>
        <w:rPr>
          <w:color w:val="000000"/>
        </w:rPr>
      </w:pPr>
    </w:p>
    <w:p w:rsidR="0074782B" w:rsidRPr="00E96FE7" w:rsidRDefault="0074782B" w:rsidP="00361F53">
      <w:pPr>
        <w:rPr>
          <w:color w:val="000000"/>
        </w:rPr>
      </w:pPr>
    </w:p>
    <w:p w:rsidR="007C1142" w:rsidRPr="0092182A" w:rsidRDefault="007C1142" w:rsidP="00361F53">
      <w:pPr>
        <w:outlineLvl w:val="0"/>
        <w:rPr>
          <w:b/>
          <w:bCs/>
          <w:iCs/>
          <w:color w:val="000000"/>
        </w:rPr>
      </w:pPr>
      <w:bookmarkStart w:id="84" w:name="_Toc299968012"/>
      <w:r w:rsidRPr="0092182A">
        <w:rPr>
          <w:b/>
          <w:bCs/>
          <w:iCs/>
          <w:color w:val="000000"/>
        </w:rPr>
        <w:t>A</w:t>
      </w:r>
      <w:r w:rsidR="00DC2107">
        <w:rPr>
          <w:b/>
          <w:bCs/>
          <w:iCs/>
          <w:color w:val="000000"/>
        </w:rPr>
        <w:t>.</w:t>
      </w:r>
      <w:r w:rsidRPr="0092182A">
        <w:rPr>
          <w:b/>
          <w:bCs/>
          <w:iCs/>
          <w:color w:val="000000"/>
        </w:rPr>
        <w:t xml:space="preserve">17. Reason(s) </w:t>
      </w:r>
      <w:r w:rsidR="00C16160">
        <w:rPr>
          <w:b/>
          <w:bCs/>
          <w:iCs/>
          <w:color w:val="000000"/>
        </w:rPr>
        <w:t>Display of OMB Expiration Date i</w:t>
      </w:r>
      <w:r w:rsidRPr="0092182A">
        <w:rPr>
          <w:b/>
          <w:bCs/>
          <w:iCs/>
          <w:color w:val="000000"/>
        </w:rPr>
        <w:t>s Inappropriate</w:t>
      </w:r>
      <w:bookmarkEnd w:id="84"/>
    </w:p>
    <w:p w:rsidR="007C1142" w:rsidRPr="00E96FE7" w:rsidRDefault="007C1142" w:rsidP="00275B13"/>
    <w:p w:rsidR="007C1142" w:rsidRDefault="006B4F4E" w:rsidP="00275B13">
      <w:r>
        <w:t>The display of the OMB expiration date is not inappropriate.</w:t>
      </w:r>
    </w:p>
    <w:p w:rsidR="0074782B" w:rsidRDefault="0074782B" w:rsidP="00361F53">
      <w:pPr>
        <w:rPr>
          <w:color w:val="000000"/>
        </w:rPr>
      </w:pPr>
    </w:p>
    <w:p w:rsidR="007C1142" w:rsidRPr="0092182A" w:rsidRDefault="004435C4" w:rsidP="00361F53">
      <w:pPr>
        <w:outlineLvl w:val="0"/>
        <w:rPr>
          <w:b/>
          <w:bCs/>
          <w:iCs/>
          <w:color w:val="000000"/>
        </w:rPr>
      </w:pPr>
      <w:bookmarkStart w:id="85" w:name="_Toc299968013"/>
      <w:r w:rsidRPr="0092182A">
        <w:rPr>
          <w:b/>
          <w:bCs/>
          <w:iCs/>
          <w:color w:val="000000"/>
        </w:rPr>
        <w:t>A</w:t>
      </w:r>
      <w:r w:rsidR="00DC2107">
        <w:rPr>
          <w:b/>
          <w:bCs/>
          <w:iCs/>
          <w:color w:val="000000"/>
        </w:rPr>
        <w:t>.</w:t>
      </w:r>
      <w:r w:rsidRPr="0092182A">
        <w:rPr>
          <w:b/>
          <w:bCs/>
          <w:iCs/>
          <w:color w:val="000000"/>
        </w:rPr>
        <w:t>18. Exceptions</w:t>
      </w:r>
      <w:r w:rsidR="007C1142" w:rsidRPr="0092182A">
        <w:rPr>
          <w:b/>
          <w:bCs/>
          <w:iCs/>
          <w:color w:val="000000"/>
        </w:rPr>
        <w:t xml:space="preserve"> to Certification for Paperwork Reduction Act Submissions</w:t>
      </w:r>
      <w:bookmarkEnd w:id="85"/>
    </w:p>
    <w:p w:rsidR="007C1142" w:rsidRPr="00E96FE7" w:rsidRDefault="007C1142" w:rsidP="00275B13"/>
    <w:p w:rsidR="007C1142" w:rsidRPr="00E96FE7" w:rsidRDefault="007C1142" w:rsidP="00275B13">
      <w:bookmarkStart w:id="86" w:name="_Toc295817074"/>
      <w:bookmarkStart w:id="87" w:name="_Toc295817609"/>
      <w:bookmarkStart w:id="88" w:name="_Toc295818090"/>
      <w:bookmarkStart w:id="89" w:name="_Toc295819863"/>
      <w:r w:rsidRPr="00E96FE7">
        <w:t>Not applicable. No certification exemption is being sought.</w:t>
      </w:r>
      <w:bookmarkEnd w:id="86"/>
      <w:bookmarkEnd w:id="87"/>
      <w:bookmarkEnd w:id="88"/>
      <w:bookmarkEnd w:id="89"/>
    </w:p>
    <w:p w:rsidR="007C1142" w:rsidRPr="00E96FE7" w:rsidRDefault="007C1142" w:rsidP="00361F53">
      <w:pPr>
        <w:outlineLvl w:val="0"/>
        <w:rPr>
          <w:color w:val="000000"/>
        </w:rPr>
      </w:pPr>
    </w:p>
    <w:p w:rsidR="006E1718" w:rsidRDefault="006E1718" w:rsidP="00361F53">
      <w:pPr>
        <w:outlineLvl w:val="0"/>
        <w:rPr>
          <w:color w:val="000000"/>
        </w:rPr>
      </w:pPr>
    </w:p>
    <w:p w:rsidR="006E1718" w:rsidRDefault="006E1718" w:rsidP="00361F53">
      <w:pPr>
        <w:spacing w:after="200"/>
        <w:rPr>
          <w:color w:val="000000"/>
        </w:rPr>
      </w:pPr>
      <w:r>
        <w:rPr>
          <w:color w:val="000000"/>
        </w:rPr>
        <w:br w:type="page"/>
      </w:r>
    </w:p>
    <w:p w:rsidR="007C1142" w:rsidRPr="00701543" w:rsidRDefault="0074782B" w:rsidP="00701543">
      <w:pPr>
        <w:pStyle w:val="Heading1"/>
        <w:rPr>
          <w:color w:val="000000" w:themeColor="text1"/>
        </w:rPr>
      </w:pPr>
      <w:bookmarkStart w:id="90" w:name="_Toc299968014"/>
      <w:r w:rsidRPr="00701543">
        <w:rPr>
          <w:color w:val="000000" w:themeColor="text1"/>
        </w:rPr>
        <w:lastRenderedPageBreak/>
        <w:t>REFERENCES</w:t>
      </w:r>
      <w:bookmarkEnd w:id="90"/>
    </w:p>
    <w:p w:rsidR="007C1142" w:rsidRPr="00E96FE7" w:rsidRDefault="007C1142" w:rsidP="00361F53">
      <w:pPr>
        <w:outlineLvl w:val="0"/>
        <w:rPr>
          <w:color w:val="000000"/>
        </w:rPr>
      </w:pPr>
    </w:p>
    <w:p w:rsidR="00106BA7" w:rsidRDefault="00106BA7" w:rsidP="00106BA7">
      <w:pPr>
        <w:rPr>
          <w:color w:val="000000"/>
        </w:rPr>
      </w:pPr>
      <w:r w:rsidRPr="00106BA7">
        <w:rPr>
          <w:color w:val="000000"/>
        </w:rPr>
        <w:t>1. U.S. Department of Health and Human Services. Centers for Disease Control and Prevention. Office of the Director, Office of Strategy and Innovation. Introduction to program evaluation for public health programs: A self-study guide. Atlanta: Centers for Disease Control and Prevention; 2005.</w:t>
      </w:r>
    </w:p>
    <w:p w:rsidR="00106BA7" w:rsidRDefault="00106BA7" w:rsidP="00106BA7"/>
    <w:p w:rsidR="00106BA7" w:rsidRDefault="00106BA7" w:rsidP="00106BA7">
      <w:pPr>
        <w:rPr>
          <w:color w:val="000000"/>
        </w:rPr>
      </w:pPr>
      <w:r w:rsidRPr="00106BA7">
        <w:rPr>
          <w:color w:val="000000"/>
        </w:rPr>
        <w:t>2. Mosher WD. Design and operation of the 1995 National Survey of Family Growth. Family Planning Perspectives 1998:30(1).</w:t>
      </w:r>
    </w:p>
    <w:p w:rsidR="00106BA7" w:rsidRPr="00106BA7" w:rsidRDefault="00106BA7" w:rsidP="00106BA7">
      <w:pPr>
        <w:rPr>
          <w:color w:val="000000"/>
        </w:rPr>
      </w:pPr>
    </w:p>
    <w:p w:rsidR="00106BA7" w:rsidRPr="00106BA7" w:rsidRDefault="00106BA7" w:rsidP="00106BA7">
      <w:pPr>
        <w:rPr>
          <w:color w:val="000000"/>
        </w:rPr>
      </w:pPr>
      <w:r w:rsidRPr="00106BA7">
        <w:rPr>
          <w:color w:val="000000"/>
        </w:rPr>
        <w:t xml:space="preserve">3. Berlin M, </w:t>
      </w:r>
      <w:proofErr w:type="spellStart"/>
      <w:r w:rsidRPr="00106BA7">
        <w:rPr>
          <w:color w:val="000000"/>
        </w:rPr>
        <w:t>Mohadjer</w:t>
      </w:r>
      <w:proofErr w:type="spellEnd"/>
      <w:r w:rsidRPr="00106BA7">
        <w:rPr>
          <w:color w:val="000000"/>
        </w:rPr>
        <w:t xml:space="preserve"> L, </w:t>
      </w:r>
      <w:proofErr w:type="spellStart"/>
      <w:r w:rsidRPr="00106BA7">
        <w:rPr>
          <w:color w:val="000000"/>
        </w:rPr>
        <w:t>Waksberg</w:t>
      </w:r>
      <w:proofErr w:type="spellEnd"/>
      <w:r w:rsidRPr="00106BA7">
        <w:rPr>
          <w:color w:val="000000"/>
        </w:rPr>
        <w:t xml:space="preserve"> J, </w:t>
      </w:r>
      <w:proofErr w:type="spellStart"/>
      <w:r w:rsidRPr="00106BA7">
        <w:rPr>
          <w:color w:val="000000"/>
        </w:rPr>
        <w:t>Kolstad</w:t>
      </w:r>
      <w:proofErr w:type="spellEnd"/>
      <w:r w:rsidRPr="00106BA7">
        <w:rPr>
          <w:color w:val="000000"/>
        </w:rPr>
        <w:t xml:space="preserve"> A, Kirsch I, Rock D, Yamamoto K.  An experiment in monetary incentives. In: American Statistical Association, editor. </w:t>
      </w:r>
      <w:proofErr w:type="gramStart"/>
      <w:r w:rsidRPr="00106BA7">
        <w:rPr>
          <w:color w:val="000000"/>
        </w:rPr>
        <w:t>Proceedings of the American Stat</w:t>
      </w:r>
      <w:r w:rsidR="006708A1">
        <w:rPr>
          <w:color w:val="000000"/>
        </w:rPr>
        <w:t xml:space="preserve">istical Association Section on </w:t>
      </w:r>
      <w:r w:rsidRPr="00106BA7">
        <w:rPr>
          <w:color w:val="000000"/>
        </w:rPr>
        <w:t>Survey Research Methods.</w:t>
      </w:r>
      <w:proofErr w:type="gramEnd"/>
      <w:r w:rsidRPr="00106BA7">
        <w:rPr>
          <w:color w:val="000000"/>
        </w:rPr>
        <w:t xml:space="preserve"> Alexandria (VA): American Statistical Association;1992, p. 393-398. </w:t>
      </w:r>
    </w:p>
    <w:p w:rsidR="00106BA7" w:rsidRPr="00106BA7" w:rsidRDefault="00106BA7" w:rsidP="00106BA7">
      <w:pPr>
        <w:rPr>
          <w:color w:val="000000"/>
        </w:rPr>
      </w:pPr>
    </w:p>
    <w:p w:rsidR="00106BA7" w:rsidRDefault="00106BA7" w:rsidP="00106BA7">
      <w:pPr>
        <w:rPr>
          <w:color w:val="000000"/>
        </w:rPr>
      </w:pPr>
      <w:r w:rsidRPr="00106BA7">
        <w:rPr>
          <w:color w:val="000000"/>
        </w:rPr>
        <w:t>4. Krueger RA. Focus groups: a practical guide for applied research. 2nd ed. Thousand Oaks, CA: Sage Publications; 1994.</w:t>
      </w:r>
    </w:p>
    <w:p w:rsidR="00106BA7" w:rsidRPr="00106BA7" w:rsidRDefault="00106BA7" w:rsidP="00106BA7">
      <w:pPr>
        <w:rPr>
          <w:color w:val="000000"/>
        </w:rPr>
      </w:pPr>
    </w:p>
    <w:p w:rsidR="00106BA7" w:rsidRPr="00106BA7" w:rsidRDefault="00106BA7" w:rsidP="00106BA7">
      <w:pPr>
        <w:rPr>
          <w:color w:val="000000"/>
        </w:rPr>
      </w:pPr>
      <w:r w:rsidRPr="00106BA7">
        <w:rPr>
          <w:color w:val="000000"/>
        </w:rPr>
        <w:t xml:space="preserve">5. Church AH . Estimating the Effect of Incentives on Mail Survey Response Rates:  A Meta Analysis. Pub </w:t>
      </w:r>
      <w:proofErr w:type="spellStart"/>
      <w:r w:rsidRPr="00106BA7">
        <w:rPr>
          <w:color w:val="000000"/>
        </w:rPr>
        <w:t>Opin</w:t>
      </w:r>
      <w:proofErr w:type="spellEnd"/>
      <w:r w:rsidRPr="00106BA7">
        <w:rPr>
          <w:color w:val="000000"/>
        </w:rPr>
        <w:t xml:space="preserve"> Q 1993:57: 62 79.</w:t>
      </w:r>
    </w:p>
    <w:p w:rsidR="00106BA7" w:rsidRPr="00106BA7" w:rsidRDefault="00106BA7" w:rsidP="00106BA7">
      <w:pPr>
        <w:rPr>
          <w:color w:val="000000"/>
        </w:rPr>
      </w:pPr>
    </w:p>
    <w:p w:rsidR="00106BA7" w:rsidRPr="00106BA7" w:rsidRDefault="00106BA7" w:rsidP="00106BA7">
      <w:pPr>
        <w:rPr>
          <w:color w:val="000000"/>
        </w:rPr>
      </w:pPr>
    </w:p>
    <w:p w:rsidR="00106BA7" w:rsidRPr="00106BA7" w:rsidRDefault="00106BA7" w:rsidP="00106BA7">
      <w:pPr>
        <w:rPr>
          <w:color w:val="000000"/>
        </w:rPr>
      </w:pPr>
    </w:p>
    <w:p w:rsidR="003161FF" w:rsidRDefault="003161FF" w:rsidP="00361F53">
      <w:pPr>
        <w:spacing w:after="200"/>
      </w:pPr>
      <w:r>
        <w:br w:type="page"/>
      </w:r>
    </w:p>
    <w:p w:rsidR="003161FF" w:rsidRPr="00701543" w:rsidRDefault="003161FF" w:rsidP="00701543">
      <w:pPr>
        <w:pStyle w:val="Heading1"/>
        <w:rPr>
          <w:color w:val="000000" w:themeColor="text1"/>
        </w:rPr>
      </w:pPr>
      <w:bookmarkStart w:id="91" w:name="_Toc299968015"/>
      <w:r w:rsidRPr="00701543">
        <w:rPr>
          <w:color w:val="000000" w:themeColor="text1"/>
        </w:rPr>
        <w:lastRenderedPageBreak/>
        <w:t>ATTACHMENTS</w:t>
      </w:r>
      <w:bookmarkEnd w:id="91"/>
    </w:p>
    <w:p w:rsidR="001B0FDF" w:rsidRPr="003A66C4" w:rsidRDefault="001B0FDF" w:rsidP="003A66C4">
      <w:pPr>
        <w:outlineLvl w:val="0"/>
        <w:rPr>
          <w:color w:val="000000"/>
        </w:rPr>
      </w:pPr>
    </w:p>
    <w:p w:rsidR="001B0FDF" w:rsidRPr="006D325F" w:rsidRDefault="001B0FDF" w:rsidP="003A66C4">
      <w:pPr>
        <w:pStyle w:val="ListParagraph"/>
        <w:numPr>
          <w:ilvl w:val="0"/>
          <w:numId w:val="20"/>
        </w:numPr>
        <w:spacing w:after="120"/>
        <w:contextualSpacing w:val="0"/>
        <w:outlineLvl w:val="0"/>
        <w:rPr>
          <w:color w:val="000000"/>
        </w:rPr>
      </w:pPr>
      <w:bookmarkStart w:id="92" w:name="_Toc299968016"/>
      <w:r w:rsidRPr="006D325F">
        <w:rPr>
          <w:color w:val="000000"/>
        </w:rPr>
        <w:t>Legislative Authority: Section 361 of the Public Health Service (PHS) Act (42 USC 264). These regulations are codified in 42 Code of Federal Regulations (CFR) Parts 70 and 71.</w:t>
      </w:r>
      <w:bookmarkEnd w:id="92"/>
    </w:p>
    <w:p w:rsidR="001B0FDF" w:rsidRPr="006D325F" w:rsidRDefault="001B0FDF" w:rsidP="0074782B">
      <w:pPr>
        <w:pStyle w:val="ListParagraph"/>
        <w:numPr>
          <w:ilvl w:val="0"/>
          <w:numId w:val="20"/>
        </w:numPr>
        <w:spacing w:before="120" w:after="120"/>
        <w:contextualSpacing w:val="0"/>
        <w:outlineLvl w:val="0"/>
        <w:rPr>
          <w:color w:val="000000"/>
        </w:rPr>
      </w:pPr>
      <w:bookmarkStart w:id="93" w:name="_Toc299968017"/>
      <w:r w:rsidRPr="006D325F">
        <w:rPr>
          <w:color w:val="000000"/>
        </w:rPr>
        <w:t>Legislative Authority: Section 212(a)(1)(A) of the Immigration and Nationality Act</w:t>
      </w:r>
      <w:bookmarkEnd w:id="93"/>
    </w:p>
    <w:p w:rsidR="001B0FDF" w:rsidRPr="006D325F" w:rsidRDefault="001B0FDF" w:rsidP="0074782B">
      <w:pPr>
        <w:pStyle w:val="ListParagraph"/>
        <w:numPr>
          <w:ilvl w:val="0"/>
          <w:numId w:val="20"/>
        </w:numPr>
        <w:spacing w:before="120" w:after="120"/>
        <w:contextualSpacing w:val="0"/>
        <w:outlineLvl w:val="0"/>
        <w:rPr>
          <w:color w:val="000000"/>
        </w:rPr>
      </w:pPr>
      <w:bookmarkStart w:id="94" w:name="_Toc299968018"/>
      <w:r w:rsidRPr="006D325F">
        <w:rPr>
          <w:color w:val="000000"/>
        </w:rPr>
        <w:t>Legislative Authority: Section 325 of the Public Health Service Act.</w:t>
      </w:r>
      <w:bookmarkEnd w:id="94"/>
    </w:p>
    <w:p w:rsidR="001B0FDF" w:rsidRPr="006B4F4E" w:rsidRDefault="004544C4" w:rsidP="0074782B">
      <w:pPr>
        <w:pStyle w:val="ListParagraph"/>
        <w:numPr>
          <w:ilvl w:val="0"/>
          <w:numId w:val="20"/>
        </w:numPr>
        <w:spacing w:before="120" w:after="120"/>
        <w:contextualSpacing w:val="0"/>
        <w:outlineLvl w:val="0"/>
        <w:rPr>
          <w:color w:val="000000"/>
        </w:rPr>
      </w:pPr>
      <w:bookmarkStart w:id="95" w:name="_Toc299968019"/>
      <w:r w:rsidRPr="006B4F4E">
        <w:rPr>
          <w:color w:val="000000"/>
        </w:rPr>
        <w:t>60-Day Federal Register Notice</w:t>
      </w:r>
      <w:bookmarkEnd w:id="95"/>
    </w:p>
    <w:p w:rsidR="002703AB" w:rsidRPr="00A825F8" w:rsidRDefault="002703AB" w:rsidP="0074782B">
      <w:pPr>
        <w:pStyle w:val="ListParagraph"/>
        <w:numPr>
          <w:ilvl w:val="0"/>
          <w:numId w:val="20"/>
        </w:numPr>
        <w:spacing w:before="120" w:after="120"/>
        <w:contextualSpacing w:val="0"/>
        <w:outlineLvl w:val="0"/>
        <w:rPr>
          <w:color w:val="000000"/>
        </w:rPr>
      </w:pPr>
      <w:bookmarkStart w:id="96" w:name="_Toc299968020"/>
      <w:r w:rsidRPr="00A825F8">
        <w:rPr>
          <w:color w:val="000000"/>
        </w:rPr>
        <w:t>Example of a Focus Group Guide</w:t>
      </w:r>
      <w:bookmarkEnd w:id="96"/>
    </w:p>
    <w:p w:rsidR="002703AB" w:rsidRPr="00A825F8" w:rsidRDefault="002703AB" w:rsidP="0074782B">
      <w:pPr>
        <w:pStyle w:val="ListParagraph"/>
        <w:numPr>
          <w:ilvl w:val="0"/>
          <w:numId w:val="20"/>
        </w:numPr>
        <w:spacing w:before="120" w:after="120"/>
        <w:contextualSpacing w:val="0"/>
        <w:outlineLvl w:val="0"/>
        <w:rPr>
          <w:color w:val="000000"/>
        </w:rPr>
      </w:pPr>
      <w:bookmarkStart w:id="97" w:name="_Toc299968021"/>
      <w:r w:rsidRPr="00A825F8">
        <w:rPr>
          <w:color w:val="000000"/>
        </w:rPr>
        <w:t>Example of an Interview Guide</w:t>
      </w:r>
      <w:bookmarkEnd w:id="97"/>
    </w:p>
    <w:p w:rsidR="002703AB" w:rsidRPr="00A825F8" w:rsidRDefault="002703AB" w:rsidP="0074782B">
      <w:pPr>
        <w:pStyle w:val="ListParagraph"/>
        <w:numPr>
          <w:ilvl w:val="0"/>
          <w:numId w:val="20"/>
        </w:numPr>
        <w:spacing w:before="120" w:after="120"/>
        <w:contextualSpacing w:val="0"/>
        <w:outlineLvl w:val="0"/>
        <w:rPr>
          <w:color w:val="000000"/>
        </w:rPr>
      </w:pPr>
      <w:bookmarkStart w:id="98" w:name="_Toc299968022"/>
      <w:r w:rsidRPr="00A825F8">
        <w:rPr>
          <w:color w:val="000000"/>
        </w:rPr>
        <w:t>Example of a Survey</w:t>
      </w:r>
      <w:bookmarkEnd w:id="98"/>
    </w:p>
    <w:p w:rsidR="00E54F1F" w:rsidRDefault="00E54F1F" w:rsidP="00361F53"/>
    <w:p w:rsidR="00506CF6" w:rsidRPr="00CD3460" w:rsidRDefault="00506CF6" w:rsidP="0071521A">
      <w:pPr>
        <w:spacing w:after="200" w:line="276" w:lineRule="auto"/>
      </w:pPr>
    </w:p>
    <w:sectPr w:rsidR="00506CF6" w:rsidRPr="00CD3460" w:rsidSect="00154F20">
      <w:footerReference w:type="default" r:id="rId21"/>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94A" w:rsidRDefault="0030794A" w:rsidP="00827DF4">
      <w:r>
        <w:separator/>
      </w:r>
    </w:p>
  </w:endnote>
  <w:endnote w:type="continuationSeparator" w:id="0">
    <w:p w:rsidR="0030794A" w:rsidRDefault="0030794A" w:rsidP="008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311969"/>
      <w:docPartObj>
        <w:docPartGallery w:val="Page Numbers (Bottom of Page)"/>
        <w:docPartUnique/>
      </w:docPartObj>
    </w:sdtPr>
    <w:sdtEndPr/>
    <w:sdtContent>
      <w:p w:rsidR="0030794A" w:rsidRDefault="0030794A">
        <w:pPr>
          <w:pStyle w:val="Footer"/>
          <w:jc w:val="right"/>
        </w:pPr>
        <w:r>
          <w:fldChar w:fldCharType="begin"/>
        </w:r>
        <w:r>
          <w:instrText xml:space="preserve"> PAGE   \* MERGEFORMAT </w:instrText>
        </w:r>
        <w:r>
          <w:fldChar w:fldCharType="separate"/>
        </w:r>
        <w:r w:rsidR="00534B2A">
          <w:rPr>
            <w:noProof/>
          </w:rPr>
          <w:t>1</w:t>
        </w:r>
        <w:r>
          <w:rPr>
            <w:noProof/>
          </w:rPr>
          <w:fldChar w:fldCharType="end"/>
        </w:r>
      </w:p>
    </w:sdtContent>
  </w:sdt>
  <w:p w:rsidR="0030794A" w:rsidRDefault="00307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94A" w:rsidRDefault="0030794A" w:rsidP="00827DF4">
      <w:r>
        <w:separator/>
      </w:r>
    </w:p>
  </w:footnote>
  <w:footnote w:type="continuationSeparator" w:id="0">
    <w:p w:rsidR="0030794A" w:rsidRDefault="0030794A" w:rsidP="00827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85AEA"/>
    <w:multiLevelType w:val="hybridMultilevel"/>
    <w:tmpl w:val="3CEEF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95A95"/>
    <w:multiLevelType w:val="hybridMultilevel"/>
    <w:tmpl w:val="8274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E45F7"/>
    <w:multiLevelType w:val="hybridMultilevel"/>
    <w:tmpl w:val="11C03C32"/>
    <w:lvl w:ilvl="0" w:tplc="9D20460E">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FF2455"/>
    <w:multiLevelType w:val="hybridMultilevel"/>
    <w:tmpl w:val="11C03C32"/>
    <w:lvl w:ilvl="0" w:tplc="9D20460E">
      <w:start w:val="1"/>
      <w:numFmt w:val="upp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463EF"/>
    <w:multiLevelType w:val="hybridMultilevel"/>
    <w:tmpl w:val="171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0F7634"/>
    <w:multiLevelType w:val="hybridMultilevel"/>
    <w:tmpl w:val="0B74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26446DB"/>
    <w:multiLevelType w:val="hybridMultilevel"/>
    <w:tmpl w:val="FB56D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997669"/>
    <w:multiLevelType w:val="hybridMultilevel"/>
    <w:tmpl w:val="E53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356176"/>
    <w:multiLevelType w:val="hybridMultilevel"/>
    <w:tmpl w:val="1548BB8A"/>
    <w:lvl w:ilvl="0" w:tplc="129EAF2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021302"/>
    <w:multiLevelType w:val="hybridMultilevel"/>
    <w:tmpl w:val="C0D8CB88"/>
    <w:lvl w:ilvl="0" w:tplc="DC0E91B6">
      <w:start w:val="1"/>
      <w:numFmt w:val="bullet"/>
      <w:lvlText w:val="•"/>
      <w:lvlJc w:val="left"/>
      <w:pPr>
        <w:tabs>
          <w:tab w:val="num" w:pos="720"/>
        </w:tabs>
        <w:ind w:left="720" w:hanging="360"/>
      </w:pPr>
      <w:rPr>
        <w:rFonts w:ascii="Arial" w:hAnsi="Arial" w:hint="default"/>
      </w:rPr>
    </w:lvl>
    <w:lvl w:ilvl="1" w:tplc="92E4AB34" w:tentative="1">
      <w:start w:val="1"/>
      <w:numFmt w:val="bullet"/>
      <w:lvlText w:val="•"/>
      <w:lvlJc w:val="left"/>
      <w:pPr>
        <w:tabs>
          <w:tab w:val="num" w:pos="1440"/>
        </w:tabs>
        <w:ind w:left="1440" w:hanging="360"/>
      </w:pPr>
      <w:rPr>
        <w:rFonts w:ascii="Arial" w:hAnsi="Arial" w:hint="default"/>
      </w:rPr>
    </w:lvl>
    <w:lvl w:ilvl="2" w:tplc="6188FADC" w:tentative="1">
      <w:start w:val="1"/>
      <w:numFmt w:val="bullet"/>
      <w:lvlText w:val="•"/>
      <w:lvlJc w:val="left"/>
      <w:pPr>
        <w:tabs>
          <w:tab w:val="num" w:pos="2160"/>
        </w:tabs>
        <w:ind w:left="2160" w:hanging="360"/>
      </w:pPr>
      <w:rPr>
        <w:rFonts w:ascii="Arial" w:hAnsi="Arial" w:hint="default"/>
      </w:rPr>
    </w:lvl>
    <w:lvl w:ilvl="3" w:tplc="7CB6C36E" w:tentative="1">
      <w:start w:val="1"/>
      <w:numFmt w:val="bullet"/>
      <w:lvlText w:val="•"/>
      <w:lvlJc w:val="left"/>
      <w:pPr>
        <w:tabs>
          <w:tab w:val="num" w:pos="2880"/>
        </w:tabs>
        <w:ind w:left="2880" w:hanging="360"/>
      </w:pPr>
      <w:rPr>
        <w:rFonts w:ascii="Arial" w:hAnsi="Arial" w:hint="default"/>
      </w:rPr>
    </w:lvl>
    <w:lvl w:ilvl="4" w:tplc="F424A978" w:tentative="1">
      <w:start w:val="1"/>
      <w:numFmt w:val="bullet"/>
      <w:lvlText w:val="•"/>
      <w:lvlJc w:val="left"/>
      <w:pPr>
        <w:tabs>
          <w:tab w:val="num" w:pos="3600"/>
        </w:tabs>
        <w:ind w:left="3600" w:hanging="360"/>
      </w:pPr>
      <w:rPr>
        <w:rFonts w:ascii="Arial" w:hAnsi="Arial" w:hint="default"/>
      </w:rPr>
    </w:lvl>
    <w:lvl w:ilvl="5" w:tplc="D848D5F4" w:tentative="1">
      <w:start w:val="1"/>
      <w:numFmt w:val="bullet"/>
      <w:lvlText w:val="•"/>
      <w:lvlJc w:val="left"/>
      <w:pPr>
        <w:tabs>
          <w:tab w:val="num" w:pos="4320"/>
        </w:tabs>
        <w:ind w:left="4320" w:hanging="360"/>
      </w:pPr>
      <w:rPr>
        <w:rFonts w:ascii="Arial" w:hAnsi="Arial" w:hint="default"/>
      </w:rPr>
    </w:lvl>
    <w:lvl w:ilvl="6" w:tplc="9CAE6808" w:tentative="1">
      <w:start w:val="1"/>
      <w:numFmt w:val="bullet"/>
      <w:lvlText w:val="•"/>
      <w:lvlJc w:val="left"/>
      <w:pPr>
        <w:tabs>
          <w:tab w:val="num" w:pos="5040"/>
        </w:tabs>
        <w:ind w:left="5040" w:hanging="360"/>
      </w:pPr>
      <w:rPr>
        <w:rFonts w:ascii="Arial" w:hAnsi="Arial" w:hint="default"/>
      </w:rPr>
    </w:lvl>
    <w:lvl w:ilvl="7" w:tplc="7108A86E" w:tentative="1">
      <w:start w:val="1"/>
      <w:numFmt w:val="bullet"/>
      <w:lvlText w:val="•"/>
      <w:lvlJc w:val="left"/>
      <w:pPr>
        <w:tabs>
          <w:tab w:val="num" w:pos="5760"/>
        </w:tabs>
        <w:ind w:left="5760" w:hanging="360"/>
      </w:pPr>
      <w:rPr>
        <w:rFonts w:ascii="Arial" w:hAnsi="Arial" w:hint="default"/>
      </w:rPr>
    </w:lvl>
    <w:lvl w:ilvl="8" w:tplc="32A692FA" w:tentative="1">
      <w:start w:val="1"/>
      <w:numFmt w:val="bullet"/>
      <w:lvlText w:val="•"/>
      <w:lvlJc w:val="left"/>
      <w:pPr>
        <w:tabs>
          <w:tab w:val="num" w:pos="6480"/>
        </w:tabs>
        <w:ind w:left="6480" w:hanging="360"/>
      </w:pPr>
      <w:rPr>
        <w:rFonts w:ascii="Arial" w:hAnsi="Arial" w:hint="default"/>
      </w:rPr>
    </w:lvl>
  </w:abstractNum>
  <w:abstractNum w:abstractNumId="13">
    <w:nsid w:val="5D5677E5"/>
    <w:multiLevelType w:val="hybridMultilevel"/>
    <w:tmpl w:val="BD8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8E586E"/>
    <w:multiLevelType w:val="hybridMultilevel"/>
    <w:tmpl w:val="6C8A4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C7B6EE1"/>
    <w:multiLevelType w:val="multilevel"/>
    <w:tmpl w:val="DDF24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E7C6A2A"/>
    <w:multiLevelType w:val="hybridMultilevel"/>
    <w:tmpl w:val="46C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F111A8"/>
    <w:multiLevelType w:val="hybridMultilevel"/>
    <w:tmpl w:val="413E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1C4B04"/>
    <w:multiLevelType w:val="hybridMultilevel"/>
    <w:tmpl w:val="01E4C85C"/>
    <w:lvl w:ilvl="0" w:tplc="931C46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E60FA4"/>
    <w:multiLevelType w:val="hybridMultilevel"/>
    <w:tmpl w:val="54629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BC0E23"/>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6"/>
  </w:num>
  <w:num w:numId="4">
    <w:abstractNumId w:val="12"/>
  </w:num>
  <w:num w:numId="5">
    <w:abstractNumId w:val="10"/>
  </w:num>
  <w:num w:numId="6">
    <w:abstractNumId w:val="17"/>
  </w:num>
  <w:num w:numId="7">
    <w:abstractNumId w:val="4"/>
  </w:num>
  <w:num w:numId="8">
    <w:abstractNumId w:val="3"/>
  </w:num>
  <w:num w:numId="9">
    <w:abstractNumId w:val="14"/>
  </w:num>
  <w:num w:numId="10">
    <w:abstractNumId w:val="8"/>
  </w:num>
  <w:num w:numId="1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2">
    <w:abstractNumId w:val="7"/>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9"/>
  </w:num>
  <w:num w:numId="16">
    <w:abstractNumId w:val="5"/>
  </w:num>
  <w:num w:numId="17">
    <w:abstractNumId w:val="11"/>
  </w:num>
  <w:num w:numId="18">
    <w:abstractNumId w:val="1"/>
  </w:num>
  <w:num w:numId="19">
    <w:abstractNumId w:val="20"/>
  </w:num>
  <w:num w:numId="20">
    <w:abstractNumId w:val="9"/>
  </w:num>
  <w:num w:numId="21">
    <w:abstractNumId w:val="2"/>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6B"/>
    <w:rsid w:val="0000457F"/>
    <w:rsid w:val="00016DFD"/>
    <w:rsid w:val="00023744"/>
    <w:rsid w:val="00024F9D"/>
    <w:rsid w:val="00031E53"/>
    <w:rsid w:val="000451FC"/>
    <w:rsid w:val="00086A3D"/>
    <w:rsid w:val="000A1ADF"/>
    <w:rsid w:val="000A1B0D"/>
    <w:rsid w:val="000A716E"/>
    <w:rsid w:val="000C3A74"/>
    <w:rsid w:val="000C3C1F"/>
    <w:rsid w:val="000C5352"/>
    <w:rsid w:val="000D17CD"/>
    <w:rsid w:val="000D50A6"/>
    <w:rsid w:val="000D70BD"/>
    <w:rsid w:val="000E0CD5"/>
    <w:rsid w:val="000E200E"/>
    <w:rsid w:val="000F6550"/>
    <w:rsid w:val="00101917"/>
    <w:rsid w:val="001060DE"/>
    <w:rsid w:val="00106BA7"/>
    <w:rsid w:val="00110035"/>
    <w:rsid w:val="001100B3"/>
    <w:rsid w:val="00110290"/>
    <w:rsid w:val="00115477"/>
    <w:rsid w:val="001156DB"/>
    <w:rsid w:val="001254EA"/>
    <w:rsid w:val="00132888"/>
    <w:rsid w:val="001427AB"/>
    <w:rsid w:val="00146DA7"/>
    <w:rsid w:val="00152D0D"/>
    <w:rsid w:val="00154F20"/>
    <w:rsid w:val="001834D0"/>
    <w:rsid w:val="00185BFC"/>
    <w:rsid w:val="0018726F"/>
    <w:rsid w:val="00197F20"/>
    <w:rsid w:val="001B0FDF"/>
    <w:rsid w:val="001B3710"/>
    <w:rsid w:val="001C79E2"/>
    <w:rsid w:val="001D77ED"/>
    <w:rsid w:val="001E085D"/>
    <w:rsid w:val="001E39B9"/>
    <w:rsid w:val="001F3D8A"/>
    <w:rsid w:val="00207004"/>
    <w:rsid w:val="00210A19"/>
    <w:rsid w:val="00231433"/>
    <w:rsid w:val="00236646"/>
    <w:rsid w:val="002440A2"/>
    <w:rsid w:val="002455CF"/>
    <w:rsid w:val="002703AB"/>
    <w:rsid w:val="00273A87"/>
    <w:rsid w:val="00275B13"/>
    <w:rsid w:val="00282256"/>
    <w:rsid w:val="002844BF"/>
    <w:rsid w:val="00285044"/>
    <w:rsid w:val="0029618A"/>
    <w:rsid w:val="002B0956"/>
    <w:rsid w:val="002B288D"/>
    <w:rsid w:val="002B7DD4"/>
    <w:rsid w:val="002C5D12"/>
    <w:rsid w:val="002C7E67"/>
    <w:rsid w:val="002D1791"/>
    <w:rsid w:val="002D4437"/>
    <w:rsid w:val="002D60CF"/>
    <w:rsid w:val="002F11BD"/>
    <w:rsid w:val="002F2CEC"/>
    <w:rsid w:val="002F399F"/>
    <w:rsid w:val="003028A3"/>
    <w:rsid w:val="0030794A"/>
    <w:rsid w:val="003161FF"/>
    <w:rsid w:val="00332D84"/>
    <w:rsid w:val="00333F3C"/>
    <w:rsid w:val="0034047D"/>
    <w:rsid w:val="003407A4"/>
    <w:rsid w:val="00353D19"/>
    <w:rsid w:val="00361961"/>
    <w:rsid w:val="00361F53"/>
    <w:rsid w:val="00366E12"/>
    <w:rsid w:val="003701B1"/>
    <w:rsid w:val="00380743"/>
    <w:rsid w:val="00381331"/>
    <w:rsid w:val="0038564E"/>
    <w:rsid w:val="0038793E"/>
    <w:rsid w:val="003900EE"/>
    <w:rsid w:val="00390549"/>
    <w:rsid w:val="003942DE"/>
    <w:rsid w:val="00394692"/>
    <w:rsid w:val="003A38E9"/>
    <w:rsid w:val="003A4D97"/>
    <w:rsid w:val="003A66C4"/>
    <w:rsid w:val="003D51F5"/>
    <w:rsid w:val="003E0BAC"/>
    <w:rsid w:val="003E735B"/>
    <w:rsid w:val="003F0F47"/>
    <w:rsid w:val="003F3CCC"/>
    <w:rsid w:val="003F7719"/>
    <w:rsid w:val="004241DA"/>
    <w:rsid w:val="00430F18"/>
    <w:rsid w:val="00434B9D"/>
    <w:rsid w:val="00441DE3"/>
    <w:rsid w:val="004435C4"/>
    <w:rsid w:val="004437FE"/>
    <w:rsid w:val="00446358"/>
    <w:rsid w:val="00453F6C"/>
    <w:rsid w:val="004544C4"/>
    <w:rsid w:val="0047633C"/>
    <w:rsid w:val="004804D5"/>
    <w:rsid w:val="004A07C6"/>
    <w:rsid w:val="004A43A2"/>
    <w:rsid w:val="004B3B2D"/>
    <w:rsid w:val="004B6DC1"/>
    <w:rsid w:val="004C1B77"/>
    <w:rsid w:val="004C32D8"/>
    <w:rsid w:val="004C4475"/>
    <w:rsid w:val="004C6399"/>
    <w:rsid w:val="004C7758"/>
    <w:rsid w:val="004D4179"/>
    <w:rsid w:val="004F3B1D"/>
    <w:rsid w:val="00506CF6"/>
    <w:rsid w:val="005074AC"/>
    <w:rsid w:val="005075D5"/>
    <w:rsid w:val="0051285D"/>
    <w:rsid w:val="00517C3A"/>
    <w:rsid w:val="00521362"/>
    <w:rsid w:val="00522277"/>
    <w:rsid w:val="00526DC9"/>
    <w:rsid w:val="00532F40"/>
    <w:rsid w:val="00534B2A"/>
    <w:rsid w:val="00537DEE"/>
    <w:rsid w:val="00547161"/>
    <w:rsid w:val="005534D9"/>
    <w:rsid w:val="00565156"/>
    <w:rsid w:val="005855CA"/>
    <w:rsid w:val="00591F4A"/>
    <w:rsid w:val="005A0B7C"/>
    <w:rsid w:val="005A5981"/>
    <w:rsid w:val="005D14E9"/>
    <w:rsid w:val="005D3418"/>
    <w:rsid w:val="005E2028"/>
    <w:rsid w:val="005F2A2E"/>
    <w:rsid w:val="005F4083"/>
    <w:rsid w:val="005F66AD"/>
    <w:rsid w:val="006011C7"/>
    <w:rsid w:val="00601928"/>
    <w:rsid w:val="006111CA"/>
    <w:rsid w:val="00612684"/>
    <w:rsid w:val="00621C9D"/>
    <w:rsid w:val="00644920"/>
    <w:rsid w:val="00651A18"/>
    <w:rsid w:val="00654C70"/>
    <w:rsid w:val="006708A1"/>
    <w:rsid w:val="0067091C"/>
    <w:rsid w:val="00682186"/>
    <w:rsid w:val="00684429"/>
    <w:rsid w:val="00691B8A"/>
    <w:rsid w:val="00692D2C"/>
    <w:rsid w:val="00696648"/>
    <w:rsid w:val="006A37F0"/>
    <w:rsid w:val="006A46B5"/>
    <w:rsid w:val="006A6545"/>
    <w:rsid w:val="006B4F4E"/>
    <w:rsid w:val="006B56C9"/>
    <w:rsid w:val="006C02A1"/>
    <w:rsid w:val="006C1051"/>
    <w:rsid w:val="006C33A0"/>
    <w:rsid w:val="006D21E5"/>
    <w:rsid w:val="006D325F"/>
    <w:rsid w:val="006D3C61"/>
    <w:rsid w:val="006E1718"/>
    <w:rsid w:val="006E3B52"/>
    <w:rsid w:val="006F2146"/>
    <w:rsid w:val="006F4E9C"/>
    <w:rsid w:val="006F596D"/>
    <w:rsid w:val="00701543"/>
    <w:rsid w:val="0071521A"/>
    <w:rsid w:val="007175C6"/>
    <w:rsid w:val="00721DCC"/>
    <w:rsid w:val="00736A2A"/>
    <w:rsid w:val="007457BD"/>
    <w:rsid w:val="00745921"/>
    <w:rsid w:val="0074741E"/>
    <w:rsid w:val="0074782B"/>
    <w:rsid w:val="007526B7"/>
    <w:rsid w:val="00754761"/>
    <w:rsid w:val="007640B2"/>
    <w:rsid w:val="00774782"/>
    <w:rsid w:val="007819F0"/>
    <w:rsid w:val="00781D75"/>
    <w:rsid w:val="0078220F"/>
    <w:rsid w:val="0078347F"/>
    <w:rsid w:val="007A0252"/>
    <w:rsid w:val="007B4FA1"/>
    <w:rsid w:val="007B563A"/>
    <w:rsid w:val="007C1142"/>
    <w:rsid w:val="007C4223"/>
    <w:rsid w:val="007D1AFC"/>
    <w:rsid w:val="007D7FC0"/>
    <w:rsid w:val="007E7916"/>
    <w:rsid w:val="00803367"/>
    <w:rsid w:val="00810B19"/>
    <w:rsid w:val="008143DD"/>
    <w:rsid w:val="00815911"/>
    <w:rsid w:val="00821D2A"/>
    <w:rsid w:val="00824DB4"/>
    <w:rsid w:val="00827DF4"/>
    <w:rsid w:val="008351BE"/>
    <w:rsid w:val="00862F5D"/>
    <w:rsid w:val="00864A05"/>
    <w:rsid w:val="00882A31"/>
    <w:rsid w:val="00882FB1"/>
    <w:rsid w:val="00885DBC"/>
    <w:rsid w:val="008A2CD1"/>
    <w:rsid w:val="008B0E6B"/>
    <w:rsid w:val="008B4938"/>
    <w:rsid w:val="008C27C2"/>
    <w:rsid w:val="008D0630"/>
    <w:rsid w:val="008D0766"/>
    <w:rsid w:val="008D0F45"/>
    <w:rsid w:val="008D12F6"/>
    <w:rsid w:val="008D4DFE"/>
    <w:rsid w:val="0090233E"/>
    <w:rsid w:val="00917E72"/>
    <w:rsid w:val="0092182A"/>
    <w:rsid w:val="0092193A"/>
    <w:rsid w:val="00941AB5"/>
    <w:rsid w:val="00941EA1"/>
    <w:rsid w:val="00944123"/>
    <w:rsid w:val="0094449F"/>
    <w:rsid w:val="00944DBF"/>
    <w:rsid w:val="00953577"/>
    <w:rsid w:val="00960A53"/>
    <w:rsid w:val="00970022"/>
    <w:rsid w:val="009714C5"/>
    <w:rsid w:val="00996B71"/>
    <w:rsid w:val="009A2831"/>
    <w:rsid w:val="009A3FFD"/>
    <w:rsid w:val="009A496F"/>
    <w:rsid w:val="009B130C"/>
    <w:rsid w:val="009B5F90"/>
    <w:rsid w:val="009C2AF8"/>
    <w:rsid w:val="009D2385"/>
    <w:rsid w:val="009D3476"/>
    <w:rsid w:val="009E2A82"/>
    <w:rsid w:val="009F4132"/>
    <w:rsid w:val="009F5181"/>
    <w:rsid w:val="009F74BD"/>
    <w:rsid w:val="00A0058B"/>
    <w:rsid w:val="00A00686"/>
    <w:rsid w:val="00A03206"/>
    <w:rsid w:val="00A03F29"/>
    <w:rsid w:val="00A057E7"/>
    <w:rsid w:val="00A10618"/>
    <w:rsid w:val="00A24635"/>
    <w:rsid w:val="00A24F50"/>
    <w:rsid w:val="00A30E4D"/>
    <w:rsid w:val="00A35F72"/>
    <w:rsid w:val="00A37809"/>
    <w:rsid w:val="00A46610"/>
    <w:rsid w:val="00A52084"/>
    <w:rsid w:val="00A6307E"/>
    <w:rsid w:val="00A75E21"/>
    <w:rsid w:val="00A75E8E"/>
    <w:rsid w:val="00A80FC3"/>
    <w:rsid w:val="00A825F8"/>
    <w:rsid w:val="00A84B5F"/>
    <w:rsid w:val="00A920BE"/>
    <w:rsid w:val="00A962D8"/>
    <w:rsid w:val="00AA36C4"/>
    <w:rsid w:val="00AA5973"/>
    <w:rsid w:val="00AB10DA"/>
    <w:rsid w:val="00AB4914"/>
    <w:rsid w:val="00AB7812"/>
    <w:rsid w:val="00AC1C9E"/>
    <w:rsid w:val="00AC77ED"/>
    <w:rsid w:val="00AF1FC1"/>
    <w:rsid w:val="00AF4EF5"/>
    <w:rsid w:val="00AF4FBC"/>
    <w:rsid w:val="00AF7E2D"/>
    <w:rsid w:val="00B1042D"/>
    <w:rsid w:val="00B17955"/>
    <w:rsid w:val="00B17DC8"/>
    <w:rsid w:val="00B2241F"/>
    <w:rsid w:val="00B5069D"/>
    <w:rsid w:val="00B756F6"/>
    <w:rsid w:val="00B76F1A"/>
    <w:rsid w:val="00B77456"/>
    <w:rsid w:val="00B8007D"/>
    <w:rsid w:val="00B844C8"/>
    <w:rsid w:val="00B8494A"/>
    <w:rsid w:val="00B96C51"/>
    <w:rsid w:val="00BB0CAC"/>
    <w:rsid w:val="00BB5C36"/>
    <w:rsid w:val="00BC7C87"/>
    <w:rsid w:val="00BD2DC1"/>
    <w:rsid w:val="00BD37D9"/>
    <w:rsid w:val="00BD5523"/>
    <w:rsid w:val="00BD6C1F"/>
    <w:rsid w:val="00BE4154"/>
    <w:rsid w:val="00BF73F0"/>
    <w:rsid w:val="00C01ADE"/>
    <w:rsid w:val="00C025A9"/>
    <w:rsid w:val="00C1235F"/>
    <w:rsid w:val="00C15CDE"/>
    <w:rsid w:val="00C16160"/>
    <w:rsid w:val="00C24E1C"/>
    <w:rsid w:val="00C2530B"/>
    <w:rsid w:val="00C40682"/>
    <w:rsid w:val="00C43BEC"/>
    <w:rsid w:val="00C45CA8"/>
    <w:rsid w:val="00C53537"/>
    <w:rsid w:val="00C54B8D"/>
    <w:rsid w:val="00C57DE7"/>
    <w:rsid w:val="00C61DC0"/>
    <w:rsid w:val="00C642C6"/>
    <w:rsid w:val="00C82850"/>
    <w:rsid w:val="00C82AED"/>
    <w:rsid w:val="00C851EF"/>
    <w:rsid w:val="00C92E90"/>
    <w:rsid w:val="00C941B3"/>
    <w:rsid w:val="00C94F55"/>
    <w:rsid w:val="00CB026A"/>
    <w:rsid w:val="00CC2D20"/>
    <w:rsid w:val="00CC3654"/>
    <w:rsid w:val="00CD3460"/>
    <w:rsid w:val="00CF32F1"/>
    <w:rsid w:val="00CF3CA0"/>
    <w:rsid w:val="00D00FB8"/>
    <w:rsid w:val="00D01B36"/>
    <w:rsid w:val="00D029CE"/>
    <w:rsid w:val="00D02FD7"/>
    <w:rsid w:val="00D03A37"/>
    <w:rsid w:val="00D064BC"/>
    <w:rsid w:val="00D0767C"/>
    <w:rsid w:val="00D12715"/>
    <w:rsid w:val="00D1309C"/>
    <w:rsid w:val="00D14CA9"/>
    <w:rsid w:val="00D1701D"/>
    <w:rsid w:val="00D25282"/>
    <w:rsid w:val="00D33894"/>
    <w:rsid w:val="00D33EB1"/>
    <w:rsid w:val="00D3594F"/>
    <w:rsid w:val="00D3611F"/>
    <w:rsid w:val="00D37F26"/>
    <w:rsid w:val="00D46811"/>
    <w:rsid w:val="00D61210"/>
    <w:rsid w:val="00D64124"/>
    <w:rsid w:val="00D74DA8"/>
    <w:rsid w:val="00D81625"/>
    <w:rsid w:val="00D83C22"/>
    <w:rsid w:val="00D87FC0"/>
    <w:rsid w:val="00D93FE9"/>
    <w:rsid w:val="00D95FDB"/>
    <w:rsid w:val="00D97070"/>
    <w:rsid w:val="00DA0852"/>
    <w:rsid w:val="00DA0E9C"/>
    <w:rsid w:val="00DA2489"/>
    <w:rsid w:val="00DB083E"/>
    <w:rsid w:val="00DB4C39"/>
    <w:rsid w:val="00DC2107"/>
    <w:rsid w:val="00DD2717"/>
    <w:rsid w:val="00DD4BC6"/>
    <w:rsid w:val="00DD79B1"/>
    <w:rsid w:val="00DE0261"/>
    <w:rsid w:val="00DF2F58"/>
    <w:rsid w:val="00DF5950"/>
    <w:rsid w:val="00E0428C"/>
    <w:rsid w:val="00E05012"/>
    <w:rsid w:val="00E2727F"/>
    <w:rsid w:val="00E3112A"/>
    <w:rsid w:val="00E466D1"/>
    <w:rsid w:val="00E52BC6"/>
    <w:rsid w:val="00E54502"/>
    <w:rsid w:val="00E54F1F"/>
    <w:rsid w:val="00E6224C"/>
    <w:rsid w:val="00E64FD5"/>
    <w:rsid w:val="00E669C1"/>
    <w:rsid w:val="00E97B8B"/>
    <w:rsid w:val="00EC0B1D"/>
    <w:rsid w:val="00EC3A3A"/>
    <w:rsid w:val="00EC3DCF"/>
    <w:rsid w:val="00EC3FE4"/>
    <w:rsid w:val="00EC6D5F"/>
    <w:rsid w:val="00ED01A2"/>
    <w:rsid w:val="00ED523F"/>
    <w:rsid w:val="00ED6AA4"/>
    <w:rsid w:val="00EE7338"/>
    <w:rsid w:val="00EE7B95"/>
    <w:rsid w:val="00EF4BAC"/>
    <w:rsid w:val="00F03802"/>
    <w:rsid w:val="00F043B1"/>
    <w:rsid w:val="00F05ADA"/>
    <w:rsid w:val="00F15079"/>
    <w:rsid w:val="00F26A92"/>
    <w:rsid w:val="00F278FD"/>
    <w:rsid w:val="00F312EA"/>
    <w:rsid w:val="00F340D5"/>
    <w:rsid w:val="00F36459"/>
    <w:rsid w:val="00F50F52"/>
    <w:rsid w:val="00F571E1"/>
    <w:rsid w:val="00F62D76"/>
    <w:rsid w:val="00F65AC7"/>
    <w:rsid w:val="00F70BDA"/>
    <w:rsid w:val="00F70F7E"/>
    <w:rsid w:val="00F7238A"/>
    <w:rsid w:val="00F74857"/>
    <w:rsid w:val="00F85F4D"/>
    <w:rsid w:val="00FA2C0F"/>
    <w:rsid w:val="00FA6178"/>
    <w:rsid w:val="00FB194B"/>
    <w:rsid w:val="00FB43FF"/>
    <w:rsid w:val="00FB4476"/>
    <w:rsid w:val="00FB56FA"/>
    <w:rsid w:val="00FB7E80"/>
    <w:rsid w:val="00FC2F67"/>
    <w:rsid w:val="00FD3DD1"/>
    <w:rsid w:val="00FE542F"/>
    <w:rsid w:val="00FE5533"/>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A24635"/>
    <w:pPr>
      <w:tabs>
        <w:tab w:val="center" w:pos="4680"/>
        <w:tab w:val="right" w:pos="9360"/>
      </w:tabs>
    </w:pPr>
  </w:style>
  <w:style w:type="character" w:customStyle="1" w:styleId="HeaderChar">
    <w:name w:val="Header Char"/>
    <w:basedOn w:val="DefaultParagraphFont"/>
    <w:link w:val="Header"/>
    <w:uiPriority w:val="99"/>
    <w:semiHidden/>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A24635"/>
    <w:pPr>
      <w:tabs>
        <w:tab w:val="center" w:pos="4680"/>
        <w:tab w:val="right" w:pos="9360"/>
      </w:tabs>
    </w:pPr>
  </w:style>
  <w:style w:type="character" w:customStyle="1" w:styleId="HeaderChar">
    <w:name w:val="Header Char"/>
    <w:basedOn w:val="DefaultParagraphFont"/>
    <w:link w:val="Header"/>
    <w:uiPriority w:val="99"/>
    <w:semiHidden/>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425537393">
      <w:bodyDiv w:val="1"/>
      <w:marLeft w:val="60"/>
      <w:marRight w:val="60"/>
      <w:marTop w:val="60"/>
      <w:marBottom w:val="15"/>
      <w:divBdr>
        <w:top w:val="none" w:sz="0" w:space="0" w:color="auto"/>
        <w:left w:val="none" w:sz="0" w:space="0" w:color="auto"/>
        <w:bottom w:val="none" w:sz="0" w:space="0" w:color="auto"/>
        <w:right w:val="none" w:sz="0" w:space="0" w:color="auto"/>
      </w:divBdr>
      <w:divsChild>
        <w:div w:id="1858152128">
          <w:marLeft w:val="0"/>
          <w:marRight w:val="0"/>
          <w:marTop w:val="120"/>
          <w:marBottom w:val="120"/>
          <w:divBdr>
            <w:top w:val="none" w:sz="0" w:space="0" w:color="auto"/>
            <w:left w:val="none" w:sz="0" w:space="0" w:color="auto"/>
            <w:bottom w:val="none" w:sz="0" w:space="0" w:color="auto"/>
            <w:right w:val="none" w:sz="0" w:space="0" w:color="auto"/>
          </w:divBdr>
        </w:div>
        <w:div w:id="705526565">
          <w:marLeft w:val="0"/>
          <w:marRight w:val="0"/>
          <w:marTop w:val="0"/>
          <w:marBottom w:val="0"/>
          <w:divBdr>
            <w:top w:val="none" w:sz="0" w:space="0" w:color="auto"/>
            <w:left w:val="none" w:sz="0" w:space="0" w:color="auto"/>
            <w:bottom w:val="none" w:sz="0" w:space="0" w:color="auto"/>
            <w:right w:val="none" w:sz="0" w:space="0" w:color="auto"/>
          </w:divBdr>
        </w:div>
        <w:div w:id="1577083589">
          <w:marLeft w:val="0"/>
          <w:marRight w:val="0"/>
          <w:marTop w:val="0"/>
          <w:marBottom w:val="0"/>
          <w:divBdr>
            <w:top w:val="none" w:sz="0" w:space="0" w:color="auto"/>
            <w:left w:val="none" w:sz="0" w:space="0" w:color="auto"/>
            <w:bottom w:val="none" w:sz="0" w:space="0" w:color="auto"/>
            <w:right w:val="none" w:sz="0" w:space="0" w:color="auto"/>
          </w:divBdr>
        </w:div>
        <w:div w:id="1226840192">
          <w:marLeft w:val="0"/>
          <w:marRight w:val="0"/>
          <w:marTop w:val="0"/>
          <w:marBottom w:val="0"/>
          <w:divBdr>
            <w:top w:val="none" w:sz="0" w:space="0" w:color="auto"/>
            <w:left w:val="none" w:sz="0" w:space="0" w:color="auto"/>
            <w:bottom w:val="none" w:sz="0" w:space="0" w:color="auto"/>
            <w:right w:val="none" w:sz="0" w:space="0" w:color="auto"/>
          </w:divBdr>
        </w:div>
        <w:div w:id="2092701632">
          <w:marLeft w:val="0"/>
          <w:marRight w:val="0"/>
          <w:marTop w:val="0"/>
          <w:marBottom w:val="0"/>
          <w:divBdr>
            <w:top w:val="none" w:sz="0" w:space="0" w:color="auto"/>
            <w:left w:val="none" w:sz="0" w:space="0" w:color="auto"/>
            <w:bottom w:val="none" w:sz="0" w:space="0" w:color="auto"/>
            <w:right w:val="none" w:sz="0" w:space="0" w:color="auto"/>
          </w:divBdr>
        </w:div>
        <w:div w:id="1043558354">
          <w:marLeft w:val="0"/>
          <w:marRight w:val="0"/>
          <w:marTop w:val="0"/>
          <w:marBottom w:val="0"/>
          <w:divBdr>
            <w:top w:val="none" w:sz="0" w:space="0" w:color="auto"/>
            <w:left w:val="none" w:sz="0" w:space="0" w:color="auto"/>
            <w:bottom w:val="none" w:sz="0" w:space="0" w:color="auto"/>
            <w:right w:val="none" w:sz="0" w:space="0" w:color="auto"/>
          </w:divBdr>
        </w:div>
        <w:div w:id="1685551698">
          <w:marLeft w:val="0"/>
          <w:marRight w:val="0"/>
          <w:marTop w:val="0"/>
          <w:marBottom w:val="0"/>
          <w:divBdr>
            <w:top w:val="none" w:sz="0" w:space="0" w:color="auto"/>
            <w:left w:val="none" w:sz="0" w:space="0" w:color="auto"/>
            <w:bottom w:val="none" w:sz="0" w:space="0" w:color="auto"/>
            <w:right w:val="none" w:sz="0" w:space="0" w:color="auto"/>
          </w:divBdr>
        </w:div>
        <w:div w:id="1183663753">
          <w:marLeft w:val="0"/>
          <w:marRight w:val="0"/>
          <w:marTop w:val="0"/>
          <w:marBottom w:val="0"/>
          <w:divBdr>
            <w:top w:val="none" w:sz="0" w:space="0" w:color="auto"/>
            <w:left w:val="none" w:sz="0" w:space="0" w:color="auto"/>
            <w:bottom w:val="none" w:sz="0" w:space="0" w:color="auto"/>
            <w:right w:val="none" w:sz="0" w:space="0" w:color="auto"/>
          </w:divBdr>
        </w:div>
        <w:div w:id="451556456">
          <w:marLeft w:val="0"/>
          <w:marRight w:val="0"/>
          <w:marTop w:val="0"/>
          <w:marBottom w:val="0"/>
          <w:divBdr>
            <w:top w:val="none" w:sz="0" w:space="0" w:color="auto"/>
            <w:left w:val="none" w:sz="0" w:space="0" w:color="auto"/>
            <w:bottom w:val="none" w:sz="0" w:space="0" w:color="auto"/>
            <w:right w:val="none" w:sz="0" w:space="0" w:color="auto"/>
          </w:divBdr>
        </w:div>
        <w:div w:id="517157544">
          <w:marLeft w:val="0"/>
          <w:marRight w:val="0"/>
          <w:marTop w:val="0"/>
          <w:marBottom w:val="0"/>
          <w:divBdr>
            <w:top w:val="none" w:sz="0" w:space="0" w:color="auto"/>
            <w:left w:val="none" w:sz="0" w:space="0" w:color="auto"/>
            <w:bottom w:val="none" w:sz="0" w:space="0" w:color="auto"/>
            <w:right w:val="none" w:sz="0" w:space="0" w:color="auto"/>
          </w:divBdr>
        </w:div>
        <w:div w:id="1939098106">
          <w:marLeft w:val="0"/>
          <w:marRight w:val="0"/>
          <w:marTop w:val="0"/>
          <w:marBottom w:val="0"/>
          <w:divBdr>
            <w:top w:val="none" w:sz="0" w:space="0" w:color="auto"/>
            <w:left w:val="none" w:sz="0" w:space="0" w:color="auto"/>
            <w:bottom w:val="none" w:sz="0" w:space="0" w:color="auto"/>
            <w:right w:val="none" w:sz="0" w:space="0" w:color="auto"/>
          </w:divBdr>
        </w:div>
      </w:divsChild>
    </w:div>
    <w:div w:id="446044521">
      <w:bodyDiv w:val="1"/>
      <w:marLeft w:val="0"/>
      <w:marRight w:val="0"/>
      <w:marTop w:val="0"/>
      <w:marBottom w:val="0"/>
      <w:divBdr>
        <w:top w:val="none" w:sz="0" w:space="0" w:color="auto"/>
        <w:left w:val="none" w:sz="0" w:space="0" w:color="auto"/>
        <w:bottom w:val="none" w:sz="0" w:space="0" w:color="auto"/>
        <w:right w:val="none" w:sz="0" w:space="0" w:color="auto"/>
      </w:divBdr>
      <w:divsChild>
        <w:div w:id="662856304">
          <w:marLeft w:val="0"/>
          <w:marRight w:val="0"/>
          <w:marTop w:val="0"/>
          <w:marBottom w:val="0"/>
          <w:divBdr>
            <w:top w:val="none" w:sz="0" w:space="0" w:color="auto"/>
            <w:left w:val="single" w:sz="6" w:space="0" w:color="CCCCCC"/>
            <w:bottom w:val="none" w:sz="0" w:space="0" w:color="auto"/>
            <w:right w:val="single" w:sz="6" w:space="0" w:color="CCCCCC"/>
          </w:divBdr>
          <w:divsChild>
            <w:div w:id="103232406">
              <w:marLeft w:val="0"/>
              <w:marRight w:val="0"/>
              <w:marTop w:val="0"/>
              <w:marBottom w:val="0"/>
              <w:divBdr>
                <w:top w:val="none" w:sz="0" w:space="0" w:color="auto"/>
                <w:left w:val="none" w:sz="0" w:space="0" w:color="auto"/>
                <w:bottom w:val="none" w:sz="0" w:space="0" w:color="auto"/>
                <w:right w:val="none" w:sz="0" w:space="0" w:color="auto"/>
              </w:divBdr>
              <w:divsChild>
                <w:div w:id="39207691">
                  <w:marLeft w:val="0"/>
                  <w:marRight w:val="0"/>
                  <w:marTop w:val="0"/>
                  <w:marBottom w:val="0"/>
                  <w:divBdr>
                    <w:top w:val="none" w:sz="0" w:space="0" w:color="auto"/>
                    <w:left w:val="none" w:sz="0" w:space="0" w:color="auto"/>
                    <w:bottom w:val="none" w:sz="0" w:space="0" w:color="auto"/>
                    <w:right w:val="none" w:sz="0" w:space="0" w:color="auto"/>
                  </w:divBdr>
                  <w:divsChild>
                    <w:div w:id="325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284999">
      <w:bodyDiv w:val="1"/>
      <w:marLeft w:val="0"/>
      <w:marRight w:val="0"/>
      <w:marTop w:val="0"/>
      <w:marBottom w:val="0"/>
      <w:divBdr>
        <w:top w:val="none" w:sz="0" w:space="0" w:color="auto"/>
        <w:left w:val="none" w:sz="0" w:space="0" w:color="auto"/>
        <w:bottom w:val="none" w:sz="0" w:space="0" w:color="auto"/>
        <w:right w:val="none" w:sz="0" w:space="0" w:color="auto"/>
      </w:divBdr>
    </w:div>
    <w:div w:id="764110324">
      <w:bodyDiv w:val="1"/>
      <w:marLeft w:val="0"/>
      <w:marRight w:val="0"/>
      <w:marTop w:val="0"/>
      <w:marBottom w:val="0"/>
      <w:divBdr>
        <w:top w:val="none" w:sz="0" w:space="0" w:color="auto"/>
        <w:left w:val="none" w:sz="0" w:space="0" w:color="auto"/>
        <w:bottom w:val="none" w:sz="0" w:space="0" w:color="auto"/>
        <w:right w:val="none" w:sz="0" w:space="0" w:color="auto"/>
      </w:divBdr>
    </w:div>
    <w:div w:id="1072890822">
      <w:bodyDiv w:val="1"/>
      <w:marLeft w:val="0"/>
      <w:marRight w:val="0"/>
      <w:marTop w:val="0"/>
      <w:marBottom w:val="0"/>
      <w:divBdr>
        <w:top w:val="none" w:sz="0" w:space="0" w:color="auto"/>
        <w:left w:val="none" w:sz="0" w:space="0" w:color="auto"/>
        <w:bottom w:val="none" w:sz="0" w:space="0" w:color="auto"/>
        <w:right w:val="none" w:sz="0" w:space="0" w:color="auto"/>
      </w:divBdr>
    </w:div>
    <w:div w:id="1150749525">
      <w:bodyDiv w:val="1"/>
      <w:marLeft w:val="0"/>
      <w:marRight w:val="0"/>
      <w:marTop w:val="0"/>
      <w:marBottom w:val="0"/>
      <w:divBdr>
        <w:top w:val="none" w:sz="0" w:space="0" w:color="auto"/>
        <w:left w:val="none" w:sz="0" w:space="0" w:color="auto"/>
        <w:bottom w:val="none" w:sz="0" w:space="0" w:color="auto"/>
        <w:right w:val="none" w:sz="0" w:space="0" w:color="auto"/>
      </w:divBdr>
    </w:div>
    <w:div w:id="1349865820">
      <w:bodyDiv w:val="1"/>
      <w:marLeft w:val="0"/>
      <w:marRight w:val="0"/>
      <w:marTop w:val="0"/>
      <w:marBottom w:val="0"/>
      <w:divBdr>
        <w:top w:val="none" w:sz="0" w:space="0" w:color="auto"/>
        <w:left w:val="none" w:sz="0" w:space="0" w:color="auto"/>
        <w:bottom w:val="none" w:sz="0" w:space="0" w:color="auto"/>
        <w:right w:val="none" w:sz="0" w:space="0" w:color="auto"/>
      </w:divBdr>
    </w:div>
    <w:div w:id="1366716202">
      <w:bodyDiv w:val="1"/>
      <w:marLeft w:val="0"/>
      <w:marRight w:val="0"/>
      <w:marTop w:val="0"/>
      <w:marBottom w:val="0"/>
      <w:divBdr>
        <w:top w:val="none" w:sz="0" w:space="0" w:color="auto"/>
        <w:left w:val="none" w:sz="0" w:space="0" w:color="auto"/>
        <w:bottom w:val="none" w:sz="0" w:space="0" w:color="auto"/>
        <w:right w:val="none" w:sz="0" w:space="0" w:color="auto"/>
      </w:divBdr>
    </w:div>
    <w:div w:id="1647248106">
      <w:bodyDiv w:val="1"/>
      <w:marLeft w:val="0"/>
      <w:marRight w:val="0"/>
      <w:marTop w:val="0"/>
      <w:marBottom w:val="0"/>
      <w:divBdr>
        <w:top w:val="none" w:sz="0" w:space="0" w:color="auto"/>
        <w:left w:val="none" w:sz="0" w:space="0" w:color="auto"/>
        <w:bottom w:val="none" w:sz="0" w:space="0" w:color="auto"/>
        <w:right w:val="none" w:sz="0" w:space="0" w:color="auto"/>
      </w:divBdr>
      <w:divsChild>
        <w:div w:id="218594779">
          <w:marLeft w:val="0"/>
          <w:marRight w:val="0"/>
          <w:marTop w:val="0"/>
          <w:marBottom w:val="0"/>
          <w:divBdr>
            <w:top w:val="none" w:sz="0" w:space="0" w:color="auto"/>
            <w:left w:val="single" w:sz="6" w:space="0" w:color="CCCCCC"/>
            <w:bottom w:val="none" w:sz="0" w:space="0" w:color="auto"/>
            <w:right w:val="single" w:sz="6" w:space="0" w:color="CCCCCC"/>
          </w:divBdr>
          <w:divsChild>
            <w:div w:id="1301768313">
              <w:marLeft w:val="0"/>
              <w:marRight w:val="0"/>
              <w:marTop w:val="0"/>
              <w:marBottom w:val="0"/>
              <w:divBdr>
                <w:top w:val="none" w:sz="0" w:space="0" w:color="auto"/>
                <w:left w:val="none" w:sz="0" w:space="0" w:color="auto"/>
                <w:bottom w:val="none" w:sz="0" w:space="0" w:color="auto"/>
                <w:right w:val="none" w:sz="0" w:space="0" w:color="auto"/>
              </w:divBdr>
              <w:divsChild>
                <w:div w:id="542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355">
      <w:bodyDiv w:val="1"/>
      <w:marLeft w:val="0"/>
      <w:marRight w:val="0"/>
      <w:marTop w:val="0"/>
      <w:marBottom w:val="0"/>
      <w:divBdr>
        <w:top w:val="none" w:sz="0" w:space="0" w:color="auto"/>
        <w:left w:val="none" w:sz="0" w:space="0" w:color="auto"/>
        <w:bottom w:val="none" w:sz="0" w:space="0" w:color="auto"/>
        <w:right w:val="none" w:sz="0" w:space="0" w:color="auto"/>
      </w:divBdr>
    </w:div>
    <w:div w:id="2076581922">
      <w:bodyDiv w:val="1"/>
      <w:marLeft w:val="0"/>
      <w:marRight w:val="0"/>
      <w:marTop w:val="0"/>
      <w:marBottom w:val="0"/>
      <w:divBdr>
        <w:top w:val="none" w:sz="0" w:space="0" w:color="auto"/>
        <w:left w:val="none" w:sz="0" w:space="0" w:color="auto"/>
        <w:bottom w:val="none" w:sz="0" w:space="0" w:color="auto"/>
        <w:right w:val="none" w:sz="0" w:space="0" w:color="auto"/>
      </w:divBdr>
    </w:div>
    <w:div w:id="2091539064">
      <w:bodyDiv w:val="1"/>
      <w:marLeft w:val="0"/>
      <w:marRight w:val="0"/>
      <w:marTop w:val="0"/>
      <w:marBottom w:val="0"/>
      <w:divBdr>
        <w:top w:val="none" w:sz="0" w:space="0" w:color="auto"/>
        <w:left w:val="none" w:sz="0" w:space="0" w:color="auto"/>
        <w:bottom w:val="none" w:sz="0" w:space="0" w:color="auto"/>
        <w:right w:val="none" w:sz="0" w:space="0" w:color="auto"/>
      </w:divBdr>
    </w:div>
    <w:div w:id="2112431015">
      <w:bodyDiv w:val="1"/>
      <w:marLeft w:val="0"/>
      <w:marRight w:val="0"/>
      <w:marTop w:val="0"/>
      <w:marBottom w:val="0"/>
      <w:divBdr>
        <w:top w:val="none" w:sz="0" w:space="0" w:color="auto"/>
        <w:left w:val="none" w:sz="0" w:space="0" w:color="auto"/>
        <w:bottom w:val="none" w:sz="0" w:space="0" w:color="auto"/>
        <w:right w:val="none" w:sz="0" w:space="0" w:color="auto"/>
      </w:divBdr>
      <w:divsChild>
        <w:div w:id="144677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garet.hunt@usoc.org" TargetMode="External"/><Relationship Id="rId18" Type="http://schemas.openxmlformats.org/officeDocument/2006/relationships/hyperlink" Target="http://www.bls.gov/oes/current/oes291069.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mailto:jennifer.cochran@state.ma.us" TargetMode="External"/><Relationship Id="rId17" Type="http://schemas.openxmlformats.org/officeDocument/2006/relationships/hyperlink" Target="mailto:laird@aap.org" TargetMode="External"/><Relationship Id="rId2" Type="http://schemas.openxmlformats.org/officeDocument/2006/relationships/customXml" Target="../customXml/item2.xml"/><Relationship Id="rId16" Type="http://schemas.openxmlformats.org/officeDocument/2006/relationships/hyperlink" Target="mailto:Jvanorsdal@aap.org" TargetMode="External"/><Relationship Id="rId20" Type="http://schemas.openxmlformats.org/officeDocument/2006/relationships/hyperlink" Target="http://www.opm.gov/oca/09tables/html/atl_h.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executivedirector@panelphysicians.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bls.gov/oes/current/oes_nat.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sleess@ao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D89F1-7311-4073-AA7D-BAA3173637FB}">
  <ds:schemaRefs>
    <ds:schemaRef ds:uri="http://schemas.openxmlformats.org/officeDocument/2006/bibliography"/>
  </ds:schemaRefs>
</ds:datastoreItem>
</file>

<file path=customXml/itemProps2.xml><?xml version="1.0" encoding="utf-8"?>
<ds:datastoreItem xmlns:ds="http://schemas.openxmlformats.org/officeDocument/2006/customXml" ds:itemID="{29BF78AB-FB46-44A9-B170-6354150740AA}">
  <ds:schemaRefs>
    <ds:schemaRef ds:uri="http://schemas.openxmlformats.org/officeDocument/2006/bibliography"/>
  </ds:schemaRefs>
</ds:datastoreItem>
</file>

<file path=customXml/itemProps3.xml><?xml version="1.0" encoding="utf-8"?>
<ds:datastoreItem xmlns:ds="http://schemas.openxmlformats.org/officeDocument/2006/customXml" ds:itemID="{B02339D7-7251-4900-99D0-4B00B238A02F}">
  <ds:schemaRefs>
    <ds:schemaRef ds:uri="http://schemas.openxmlformats.org/officeDocument/2006/bibliography"/>
  </ds:schemaRefs>
</ds:datastoreItem>
</file>

<file path=customXml/itemProps4.xml><?xml version="1.0" encoding="utf-8"?>
<ds:datastoreItem xmlns:ds="http://schemas.openxmlformats.org/officeDocument/2006/customXml" ds:itemID="{EC157521-6447-4A84-80BC-13CF15307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5454</Words>
  <Characters>31094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36476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Gissendaner, Petunia (CDC/OD/OADS)</cp:lastModifiedBy>
  <cp:revision>4</cp:revision>
  <cp:lastPrinted>2011-08-01T15:24:00Z</cp:lastPrinted>
  <dcterms:created xsi:type="dcterms:W3CDTF">2012-03-15T20:47:00Z</dcterms:created>
  <dcterms:modified xsi:type="dcterms:W3CDTF">2012-03-20T17:44:00Z</dcterms:modified>
</cp:coreProperties>
</file>