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ADF" w:rsidRPr="005C43A1" w:rsidRDefault="00495ADF" w:rsidP="00495ADF">
      <w:pPr>
        <w:pStyle w:val="Cov-Date"/>
      </w:pPr>
      <w:bookmarkStart w:id="0" w:name="_GoBack"/>
      <w:bookmarkStart w:id="1" w:name="_Toc67387400"/>
      <w:bookmarkEnd w:id="0"/>
    </w:p>
    <w:p w:rsidR="00495ADF" w:rsidRPr="005C43A1" w:rsidRDefault="00495ADF" w:rsidP="00495ADF">
      <w:pPr>
        <w:pStyle w:val="Cov-Date"/>
      </w:pPr>
    </w:p>
    <w:p w:rsidR="00495ADF" w:rsidRPr="005C43A1" w:rsidRDefault="0055363C" w:rsidP="0055363C">
      <w:pPr>
        <w:pStyle w:val="Cov-Title"/>
      </w:pPr>
      <w:r w:rsidRPr="005C43A1">
        <w:t>Community Transformation Grants: Use of System Dynamic Modeling and Economic Analysis in Select Communities</w:t>
      </w:r>
    </w:p>
    <w:p w:rsidR="00495ADF" w:rsidRPr="005C43A1" w:rsidRDefault="00495ADF" w:rsidP="00495ADF">
      <w:pPr>
        <w:pStyle w:val="Cov-Title"/>
      </w:pPr>
    </w:p>
    <w:p w:rsidR="00495ADF" w:rsidRDefault="00495ADF" w:rsidP="00495ADF">
      <w:pPr>
        <w:pStyle w:val="Cov-Title"/>
        <w:rPr>
          <w:sz w:val="40"/>
          <w:szCs w:val="40"/>
        </w:rPr>
      </w:pPr>
      <w:r w:rsidRPr="005C43A1">
        <w:rPr>
          <w:sz w:val="40"/>
          <w:szCs w:val="40"/>
        </w:rPr>
        <w:t>Supporting Statement</w:t>
      </w:r>
    </w:p>
    <w:p w:rsidR="00D55B6C" w:rsidRDefault="00D55B6C" w:rsidP="00495ADF">
      <w:pPr>
        <w:pStyle w:val="Cov-Title"/>
        <w:rPr>
          <w:sz w:val="40"/>
          <w:szCs w:val="40"/>
        </w:rPr>
      </w:pPr>
    </w:p>
    <w:p w:rsidR="00495ADF" w:rsidRPr="005C43A1" w:rsidRDefault="00D55B6C" w:rsidP="00D55B6C">
      <w:pPr>
        <w:pStyle w:val="Cov-Title"/>
      </w:pPr>
      <w:r>
        <w:rPr>
          <w:sz w:val="40"/>
          <w:szCs w:val="40"/>
        </w:rPr>
        <w:t>Part A</w:t>
      </w:r>
    </w:p>
    <w:p w:rsidR="00495ADF" w:rsidRPr="005C43A1" w:rsidRDefault="00495ADF" w:rsidP="00495ADF">
      <w:pPr>
        <w:pStyle w:val="Cov-Date"/>
      </w:pPr>
    </w:p>
    <w:p w:rsidR="00495ADF" w:rsidRDefault="00495ADF" w:rsidP="00495ADF">
      <w:pPr>
        <w:pStyle w:val="Cov-Date"/>
      </w:pPr>
    </w:p>
    <w:p w:rsidR="00AA2200" w:rsidRDefault="00AA2200" w:rsidP="00495ADF">
      <w:pPr>
        <w:pStyle w:val="Cov-Date"/>
      </w:pPr>
    </w:p>
    <w:p w:rsidR="00AA2200" w:rsidRPr="005C43A1" w:rsidRDefault="00AA2200" w:rsidP="00495ADF">
      <w:pPr>
        <w:pStyle w:val="Cov-Date"/>
      </w:pPr>
    </w:p>
    <w:p w:rsidR="00495ADF" w:rsidRPr="005C43A1" w:rsidRDefault="00495ADF" w:rsidP="00495ADF">
      <w:pPr>
        <w:pStyle w:val="Cov-Date"/>
      </w:pPr>
    </w:p>
    <w:p w:rsidR="00495ADF" w:rsidRDefault="00495ADF" w:rsidP="00495ADF">
      <w:pPr>
        <w:pStyle w:val="Cov-Date"/>
      </w:pPr>
    </w:p>
    <w:p w:rsidR="00AA2200" w:rsidRDefault="00AA2200" w:rsidP="00495ADF">
      <w:pPr>
        <w:pStyle w:val="Cov-Date"/>
      </w:pPr>
    </w:p>
    <w:p w:rsidR="00AA2200" w:rsidRDefault="00AA2200" w:rsidP="00495ADF">
      <w:pPr>
        <w:pStyle w:val="Cov-Date"/>
      </w:pPr>
    </w:p>
    <w:p w:rsidR="00AA2200" w:rsidRPr="005C43A1" w:rsidRDefault="00AA2200" w:rsidP="00495ADF">
      <w:pPr>
        <w:pStyle w:val="Cov-Date"/>
      </w:pPr>
    </w:p>
    <w:p w:rsidR="00495ADF" w:rsidRPr="005C43A1" w:rsidRDefault="00E17FD0" w:rsidP="00495ADF">
      <w:pPr>
        <w:pStyle w:val="Cov-Address"/>
      </w:pPr>
      <w:r>
        <w:t>Contact:</w:t>
      </w:r>
    </w:p>
    <w:p w:rsidR="00495ADF" w:rsidRPr="005C43A1" w:rsidRDefault="00495ADF" w:rsidP="00495ADF">
      <w:pPr>
        <w:pStyle w:val="Cov-Address"/>
      </w:pPr>
    </w:p>
    <w:p w:rsidR="0055363C" w:rsidRPr="005C43A1" w:rsidRDefault="0055363C" w:rsidP="00995FB5">
      <w:pPr>
        <w:pStyle w:val="Cov-Author"/>
      </w:pPr>
      <w:r w:rsidRPr="005C43A1">
        <w:t>Robin Soler, PhD</w:t>
      </w:r>
    </w:p>
    <w:p w:rsidR="0055363C" w:rsidRPr="005C43A1" w:rsidRDefault="0055363C" w:rsidP="0055363C">
      <w:pPr>
        <w:pStyle w:val="Cov-Address"/>
      </w:pPr>
      <w:r w:rsidRPr="005C43A1">
        <w:t>Technical Monitor and Principal Investigator</w:t>
      </w:r>
    </w:p>
    <w:p w:rsidR="0055363C" w:rsidRPr="005C43A1" w:rsidRDefault="0055363C" w:rsidP="0055363C">
      <w:pPr>
        <w:pStyle w:val="Cov-Address"/>
      </w:pPr>
      <w:r w:rsidRPr="005C43A1">
        <w:t>Division of Community Health</w:t>
      </w:r>
    </w:p>
    <w:p w:rsidR="0055363C" w:rsidRPr="005C43A1" w:rsidRDefault="0055363C" w:rsidP="003B3264">
      <w:pPr>
        <w:pStyle w:val="Cov-Address"/>
      </w:pPr>
      <w:r w:rsidRPr="005C43A1">
        <w:t>Centers for Disease Control and Prevention</w:t>
      </w:r>
    </w:p>
    <w:p w:rsidR="0055363C" w:rsidRPr="00995FB5" w:rsidRDefault="0055363C" w:rsidP="00995FB5">
      <w:pPr>
        <w:pStyle w:val="Cov-Address"/>
        <w:rPr>
          <w:rStyle w:val="Strong"/>
          <w:b w:val="0"/>
          <w:bCs w:val="0"/>
        </w:rPr>
      </w:pPr>
      <w:r w:rsidRPr="00995FB5">
        <w:rPr>
          <w:rStyle w:val="Strong"/>
          <w:b w:val="0"/>
          <w:bCs w:val="0"/>
        </w:rPr>
        <w:t>4770 Buford Hwy, NE</w:t>
      </w:r>
      <w:r w:rsidR="00C05817" w:rsidRPr="00995FB5">
        <w:rPr>
          <w:rStyle w:val="Strong"/>
          <w:b w:val="0"/>
          <w:bCs w:val="0"/>
        </w:rPr>
        <w:t xml:space="preserve"> </w:t>
      </w:r>
      <w:r w:rsidRPr="00995FB5">
        <w:rPr>
          <w:rStyle w:val="Strong"/>
          <w:b w:val="0"/>
          <w:bCs w:val="0"/>
        </w:rPr>
        <w:t>MS K-45</w:t>
      </w:r>
    </w:p>
    <w:p w:rsidR="0055363C" w:rsidRPr="00995FB5" w:rsidRDefault="0055363C" w:rsidP="0055363C">
      <w:pPr>
        <w:pStyle w:val="Cov-Address"/>
        <w:rPr>
          <w:rStyle w:val="Strong"/>
          <w:b w:val="0"/>
          <w:bCs w:val="0"/>
        </w:rPr>
      </w:pPr>
      <w:r w:rsidRPr="00995FB5">
        <w:rPr>
          <w:rStyle w:val="Strong"/>
          <w:b w:val="0"/>
          <w:bCs w:val="0"/>
        </w:rPr>
        <w:t>Atlanta</w:t>
      </w:r>
      <w:r w:rsidR="003B3264">
        <w:rPr>
          <w:rStyle w:val="Strong"/>
          <w:b w:val="0"/>
          <w:bCs w:val="0"/>
        </w:rPr>
        <w:t>,</w:t>
      </w:r>
      <w:r w:rsidRPr="00995FB5">
        <w:rPr>
          <w:rStyle w:val="Strong"/>
          <w:b w:val="0"/>
          <w:bCs w:val="0"/>
        </w:rPr>
        <w:t xml:space="preserve"> GA 30341</w:t>
      </w:r>
    </w:p>
    <w:p w:rsidR="0055363C" w:rsidRPr="009564D8" w:rsidRDefault="0055363C" w:rsidP="0055363C">
      <w:pPr>
        <w:pStyle w:val="Cov-Address"/>
        <w:rPr>
          <w:rStyle w:val="Strong"/>
          <w:b w:val="0"/>
          <w:bCs w:val="0"/>
        </w:rPr>
      </w:pPr>
      <w:r w:rsidRPr="009564D8">
        <w:rPr>
          <w:rStyle w:val="Strong"/>
          <w:b w:val="0"/>
          <w:bCs w:val="0"/>
        </w:rPr>
        <w:t>Telephone: (770) 488-5103</w:t>
      </w:r>
    </w:p>
    <w:p w:rsidR="0055363C" w:rsidRPr="00995FB5" w:rsidRDefault="0055363C" w:rsidP="0055363C">
      <w:pPr>
        <w:pStyle w:val="Cov-Address"/>
        <w:rPr>
          <w:rStyle w:val="Strong"/>
          <w:b w:val="0"/>
          <w:bCs w:val="0"/>
        </w:rPr>
      </w:pPr>
      <w:r w:rsidRPr="009564D8">
        <w:rPr>
          <w:rStyle w:val="Strong"/>
          <w:b w:val="0"/>
          <w:bCs w:val="0"/>
        </w:rPr>
        <w:t>FAX: (770) 488-</w:t>
      </w:r>
      <w:r w:rsidR="009564D8" w:rsidRPr="009564D8">
        <w:rPr>
          <w:rStyle w:val="Strong"/>
          <w:b w:val="0"/>
          <w:bCs w:val="0"/>
        </w:rPr>
        <w:t>6450</w:t>
      </w:r>
    </w:p>
    <w:p w:rsidR="00495ADF" w:rsidRPr="005C43A1" w:rsidRDefault="00495ADF" w:rsidP="00495ADF">
      <w:pPr>
        <w:pStyle w:val="Cov-Address"/>
      </w:pPr>
    </w:p>
    <w:p w:rsidR="00495ADF" w:rsidRDefault="00495ADF" w:rsidP="00495ADF">
      <w:pPr>
        <w:pStyle w:val="Cov-Address"/>
      </w:pPr>
    </w:p>
    <w:p w:rsidR="00E17FD0" w:rsidRPr="005C43A1" w:rsidRDefault="0055076B" w:rsidP="00E17FD0">
      <w:pPr>
        <w:pStyle w:val="Cov-Address"/>
      </w:pPr>
      <w:r>
        <w:t>February 1</w:t>
      </w:r>
      <w:r w:rsidR="00D65B44">
        <w:t>6</w:t>
      </w:r>
      <w:r>
        <w:t>, 2012</w:t>
      </w:r>
    </w:p>
    <w:p w:rsidR="00AC6ACE" w:rsidRPr="00125995" w:rsidRDefault="00125995" w:rsidP="00125995">
      <w:pPr>
        <w:jc w:val="right"/>
        <w:rPr>
          <w:rFonts w:ascii="Arial" w:hAnsi="Arial" w:cs="Arial"/>
          <w:color w:val="000000"/>
        </w:rPr>
      </w:pPr>
      <w:r w:rsidRPr="00125995">
        <w:rPr>
          <w:rFonts w:ascii="Arial" w:hAnsi="Arial" w:cs="Arial"/>
          <w:color w:val="000000"/>
        </w:rPr>
        <w:t>Revised April 12, 2012</w:t>
      </w:r>
    </w:p>
    <w:p w:rsidR="00AC6ACE" w:rsidRPr="005C43A1" w:rsidRDefault="00AC6ACE" w:rsidP="00423334">
      <w:pPr>
        <w:jc w:val="center"/>
        <w:rPr>
          <w:b/>
          <w:color w:val="000000"/>
        </w:rPr>
      </w:pPr>
    </w:p>
    <w:bookmarkEnd w:id="1"/>
    <w:p w:rsidR="00A14087" w:rsidRPr="005C43A1" w:rsidRDefault="00A14087" w:rsidP="00832BA3">
      <w:pPr>
        <w:rPr>
          <w:b/>
          <w:bCs/>
          <w:caps/>
          <w:color w:val="000000"/>
        </w:rPr>
        <w:sectPr w:rsidR="00A14087" w:rsidRPr="005C43A1" w:rsidSect="00782650">
          <w:headerReference w:type="default" r:id="rId8"/>
          <w:footerReference w:type="even" r:id="rId9"/>
          <w:pgSz w:w="12240" w:h="15840"/>
          <w:pgMar w:top="1440" w:right="1440" w:bottom="1440" w:left="1440" w:header="720" w:footer="720" w:gutter="0"/>
          <w:cols w:space="720"/>
          <w:docGrid w:linePitch="360"/>
        </w:sectPr>
      </w:pPr>
    </w:p>
    <w:p w:rsidR="00C65FD6" w:rsidRPr="005C43A1" w:rsidRDefault="009D2919" w:rsidP="00F72F56">
      <w:pPr>
        <w:pStyle w:val="TOC0"/>
      </w:pPr>
      <w:r w:rsidRPr="005C43A1">
        <w:lastRenderedPageBreak/>
        <w:fldChar w:fldCharType="begin"/>
      </w:r>
      <w:r w:rsidR="00C65FD6" w:rsidRPr="005C43A1">
        <w:instrText xml:space="preserve"> SEQ CHAPTER \h \r 1</w:instrText>
      </w:r>
      <w:r w:rsidRPr="005C43A1">
        <w:fldChar w:fldCharType="end"/>
      </w:r>
      <w:r w:rsidR="00C65FD6" w:rsidRPr="005C43A1">
        <w:rPr>
          <w:bCs/>
        </w:rPr>
        <w:t>TABLE OF CONTENTS</w:t>
      </w:r>
    </w:p>
    <w:p w:rsidR="00C65FD6" w:rsidRPr="005C43A1" w:rsidRDefault="00AC6ACE" w:rsidP="00AC6ACE">
      <w:pPr>
        <w:tabs>
          <w:tab w:val="right" w:pos="9360"/>
        </w:tabs>
        <w:rPr>
          <w:color w:val="000000"/>
        </w:rPr>
      </w:pPr>
      <w:r w:rsidRPr="005C43A1">
        <w:rPr>
          <w:b/>
          <w:color w:val="000000"/>
        </w:rPr>
        <w:t>Section</w:t>
      </w:r>
      <w:r w:rsidRPr="005C43A1">
        <w:rPr>
          <w:color w:val="000000"/>
        </w:rPr>
        <w:tab/>
      </w:r>
      <w:r w:rsidRPr="005C43A1">
        <w:rPr>
          <w:b/>
          <w:color w:val="000000"/>
        </w:rPr>
        <w:t>Page</w:t>
      </w:r>
    </w:p>
    <w:bookmarkStart w:id="2" w:name="_Toc79980788"/>
    <w:p w:rsidR="00A16980" w:rsidRDefault="009D2919">
      <w:pPr>
        <w:pStyle w:val="TOC1"/>
        <w:tabs>
          <w:tab w:val="left" w:pos="1350"/>
        </w:tabs>
        <w:rPr>
          <w:rFonts w:asciiTheme="minorHAnsi" w:eastAsiaTheme="minorEastAsia" w:hAnsiTheme="minorHAnsi" w:cstheme="minorBidi"/>
          <w:sz w:val="22"/>
          <w:szCs w:val="22"/>
        </w:rPr>
      </w:pPr>
      <w:r w:rsidRPr="005C43A1">
        <w:rPr>
          <w:b/>
          <w:bCs/>
          <w:caps/>
          <w:color w:val="000000"/>
        </w:rPr>
        <w:fldChar w:fldCharType="begin"/>
      </w:r>
      <w:r w:rsidR="002E5438" w:rsidRPr="005C43A1">
        <w:rPr>
          <w:b/>
          <w:bCs/>
          <w:caps/>
          <w:color w:val="000000"/>
        </w:rPr>
        <w:instrText xml:space="preserve"> TOC \o "1-2" \h \z \t "Heading 3,3" </w:instrText>
      </w:r>
      <w:r w:rsidRPr="005C43A1">
        <w:rPr>
          <w:b/>
          <w:bCs/>
          <w:caps/>
          <w:color w:val="000000"/>
        </w:rPr>
        <w:fldChar w:fldCharType="separate"/>
      </w:r>
      <w:hyperlink w:anchor="_Toc317196255" w:history="1">
        <w:r w:rsidR="00A16980" w:rsidRPr="000D67C8">
          <w:rPr>
            <w:rStyle w:val="Hyperlink"/>
          </w:rPr>
          <w:t>A.</w:t>
        </w:r>
        <w:r w:rsidR="00A16980">
          <w:rPr>
            <w:rFonts w:asciiTheme="minorHAnsi" w:eastAsiaTheme="minorEastAsia" w:hAnsiTheme="minorHAnsi" w:cstheme="minorBidi"/>
            <w:sz w:val="22"/>
            <w:szCs w:val="22"/>
          </w:rPr>
          <w:tab/>
        </w:r>
        <w:r w:rsidR="00A16980" w:rsidRPr="000D67C8">
          <w:rPr>
            <w:rStyle w:val="Hyperlink"/>
          </w:rPr>
          <w:t>Justification</w:t>
        </w:r>
        <w:r w:rsidR="00A16980">
          <w:rPr>
            <w:webHidden/>
          </w:rPr>
          <w:tab/>
        </w:r>
        <w:r>
          <w:rPr>
            <w:webHidden/>
          </w:rPr>
          <w:fldChar w:fldCharType="begin"/>
        </w:r>
        <w:r w:rsidR="00A16980">
          <w:rPr>
            <w:webHidden/>
          </w:rPr>
          <w:instrText xml:space="preserve"> PAGEREF _Toc317196255 \h </w:instrText>
        </w:r>
        <w:r>
          <w:rPr>
            <w:webHidden/>
          </w:rPr>
        </w:r>
        <w:r>
          <w:rPr>
            <w:webHidden/>
          </w:rPr>
          <w:fldChar w:fldCharType="separate"/>
        </w:r>
        <w:r w:rsidR="00A16980">
          <w:rPr>
            <w:webHidden/>
          </w:rPr>
          <w:t>1</w:t>
        </w:r>
        <w:r>
          <w:rPr>
            <w:webHidden/>
          </w:rPr>
          <w:fldChar w:fldCharType="end"/>
        </w:r>
      </w:hyperlink>
    </w:p>
    <w:p w:rsidR="00A16980" w:rsidRDefault="009D2919">
      <w:pPr>
        <w:pStyle w:val="TOC2"/>
        <w:tabs>
          <w:tab w:val="left" w:pos="1350"/>
        </w:tabs>
        <w:rPr>
          <w:rFonts w:asciiTheme="minorHAnsi" w:eastAsiaTheme="minorEastAsia" w:hAnsiTheme="minorHAnsi" w:cstheme="minorBidi"/>
          <w:sz w:val="22"/>
          <w:szCs w:val="22"/>
        </w:rPr>
      </w:pPr>
      <w:hyperlink w:anchor="_Toc317196256" w:history="1">
        <w:r w:rsidR="00A16980" w:rsidRPr="000D67C8">
          <w:rPr>
            <w:rStyle w:val="Hyperlink"/>
          </w:rPr>
          <w:t>A.1</w:t>
        </w:r>
        <w:r w:rsidR="00A16980">
          <w:rPr>
            <w:rFonts w:asciiTheme="minorHAnsi" w:eastAsiaTheme="minorEastAsia" w:hAnsiTheme="minorHAnsi" w:cstheme="minorBidi"/>
            <w:sz w:val="22"/>
            <w:szCs w:val="22"/>
          </w:rPr>
          <w:tab/>
        </w:r>
        <w:r w:rsidR="00A16980" w:rsidRPr="000D67C8">
          <w:rPr>
            <w:rStyle w:val="Hyperlink"/>
          </w:rPr>
          <w:t>Circumstances Making the Collection of Information Necessary</w:t>
        </w:r>
        <w:r w:rsidR="00A16980">
          <w:rPr>
            <w:webHidden/>
          </w:rPr>
          <w:tab/>
        </w:r>
        <w:r>
          <w:rPr>
            <w:webHidden/>
          </w:rPr>
          <w:fldChar w:fldCharType="begin"/>
        </w:r>
        <w:r w:rsidR="00A16980">
          <w:rPr>
            <w:webHidden/>
          </w:rPr>
          <w:instrText xml:space="preserve"> PAGEREF _Toc317196256 \h </w:instrText>
        </w:r>
        <w:r>
          <w:rPr>
            <w:webHidden/>
          </w:rPr>
        </w:r>
        <w:r>
          <w:rPr>
            <w:webHidden/>
          </w:rPr>
          <w:fldChar w:fldCharType="separate"/>
        </w:r>
        <w:r w:rsidR="00A16980">
          <w:rPr>
            <w:webHidden/>
          </w:rPr>
          <w:t>1</w:t>
        </w:r>
        <w:r>
          <w:rPr>
            <w:webHidden/>
          </w:rPr>
          <w:fldChar w:fldCharType="end"/>
        </w:r>
      </w:hyperlink>
    </w:p>
    <w:p w:rsidR="00A16980" w:rsidRDefault="009D2919">
      <w:pPr>
        <w:pStyle w:val="TOC2"/>
        <w:tabs>
          <w:tab w:val="left" w:pos="1350"/>
        </w:tabs>
        <w:rPr>
          <w:rFonts w:asciiTheme="minorHAnsi" w:eastAsiaTheme="minorEastAsia" w:hAnsiTheme="minorHAnsi" w:cstheme="minorBidi"/>
          <w:sz w:val="22"/>
          <w:szCs w:val="22"/>
        </w:rPr>
      </w:pPr>
      <w:hyperlink w:anchor="_Toc317196257" w:history="1">
        <w:r w:rsidR="00A16980" w:rsidRPr="000D67C8">
          <w:rPr>
            <w:rStyle w:val="Hyperlink"/>
          </w:rPr>
          <w:t>A.2</w:t>
        </w:r>
        <w:r w:rsidR="00A16980">
          <w:rPr>
            <w:rFonts w:asciiTheme="minorHAnsi" w:eastAsiaTheme="minorEastAsia" w:hAnsiTheme="minorHAnsi" w:cstheme="minorBidi"/>
            <w:sz w:val="22"/>
            <w:szCs w:val="22"/>
          </w:rPr>
          <w:tab/>
        </w:r>
        <w:r w:rsidR="00A16980" w:rsidRPr="000D67C8">
          <w:rPr>
            <w:rStyle w:val="Hyperlink"/>
          </w:rPr>
          <w:t>Purposes and Use of the Information Collection</w:t>
        </w:r>
        <w:r w:rsidR="00A16980">
          <w:rPr>
            <w:webHidden/>
          </w:rPr>
          <w:tab/>
        </w:r>
        <w:r>
          <w:rPr>
            <w:webHidden/>
          </w:rPr>
          <w:fldChar w:fldCharType="begin"/>
        </w:r>
        <w:r w:rsidR="00A16980">
          <w:rPr>
            <w:webHidden/>
          </w:rPr>
          <w:instrText xml:space="preserve"> PAGEREF _Toc317196257 \h </w:instrText>
        </w:r>
        <w:r>
          <w:rPr>
            <w:webHidden/>
          </w:rPr>
        </w:r>
        <w:r>
          <w:rPr>
            <w:webHidden/>
          </w:rPr>
          <w:fldChar w:fldCharType="separate"/>
        </w:r>
        <w:r w:rsidR="00A16980">
          <w:rPr>
            <w:webHidden/>
          </w:rPr>
          <w:t>4</w:t>
        </w:r>
        <w:r>
          <w:rPr>
            <w:webHidden/>
          </w:rPr>
          <w:fldChar w:fldCharType="end"/>
        </w:r>
      </w:hyperlink>
    </w:p>
    <w:p w:rsidR="00A16980" w:rsidRDefault="009D2919">
      <w:pPr>
        <w:pStyle w:val="TOC2"/>
        <w:tabs>
          <w:tab w:val="left" w:pos="1350"/>
        </w:tabs>
        <w:rPr>
          <w:rFonts w:asciiTheme="minorHAnsi" w:eastAsiaTheme="minorEastAsia" w:hAnsiTheme="minorHAnsi" w:cstheme="minorBidi"/>
          <w:sz w:val="22"/>
          <w:szCs w:val="22"/>
        </w:rPr>
      </w:pPr>
      <w:hyperlink w:anchor="_Toc317196258" w:history="1">
        <w:r w:rsidR="00A16980" w:rsidRPr="000D67C8">
          <w:rPr>
            <w:rStyle w:val="Hyperlink"/>
          </w:rPr>
          <w:t>A.3</w:t>
        </w:r>
        <w:r w:rsidR="00A16980">
          <w:rPr>
            <w:rFonts w:asciiTheme="minorHAnsi" w:eastAsiaTheme="minorEastAsia" w:hAnsiTheme="minorHAnsi" w:cstheme="minorBidi"/>
            <w:sz w:val="22"/>
            <w:szCs w:val="22"/>
          </w:rPr>
          <w:tab/>
        </w:r>
        <w:r w:rsidR="00A16980" w:rsidRPr="000D67C8">
          <w:rPr>
            <w:rStyle w:val="Hyperlink"/>
          </w:rPr>
          <w:t>Use of Improved Information Technology and Burden Reduction</w:t>
        </w:r>
        <w:r w:rsidR="00A16980">
          <w:rPr>
            <w:webHidden/>
          </w:rPr>
          <w:tab/>
        </w:r>
        <w:r>
          <w:rPr>
            <w:webHidden/>
          </w:rPr>
          <w:fldChar w:fldCharType="begin"/>
        </w:r>
        <w:r w:rsidR="00A16980">
          <w:rPr>
            <w:webHidden/>
          </w:rPr>
          <w:instrText xml:space="preserve"> PAGEREF _Toc317196258 \h </w:instrText>
        </w:r>
        <w:r>
          <w:rPr>
            <w:webHidden/>
          </w:rPr>
        </w:r>
        <w:r>
          <w:rPr>
            <w:webHidden/>
          </w:rPr>
          <w:fldChar w:fldCharType="separate"/>
        </w:r>
        <w:r w:rsidR="00A16980">
          <w:rPr>
            <w:webHidden/>
          </w:rPr>
          <w:t>6</w:t>
        </w:r>
        <w:r>
          <w:rPr>
            <w:webHidden/>
          </w:rPr>
          <w:fldChar w:fldCharType="end"/>
        </w:r>
      </w:hyperlink>
    </w:p>
    <w:p w:rsidR="00A16980" w:rsidRDefault="009D2919">
      <w:pPr>
        <w:pStyle w:val="TOC2"/>
        <w:tabs>
          <w:tab w:val="left" w:pos="1350"/>
        </w:tabs>
        <w:rPr>
          <w:rFonts w:asciiTheme="minorHAnsi" w:eastAsiaTheme="minorEastAsia" w:hAnsiTheme="minorHAnsi" w:cstheme="minorBidi"/>
          <w:sz w:val="22"/>
          <w:szCs w:val="22"/>
        </w:rPr>
      </w:pPr>
      <w:hyperlink w:anchor="_Toc317196259" w:history="1">
        <w:r w:rsidR="00A16980" w:rsidRPr="000D67C8">
          <w:rPr>
            <w:rStyle w:val="Hyperlink"/>
          </w:rPr>
          <w:t>A.4</w:t>
        </w:r>
        <w:r w:rsidR="00A16980">
          <w:rPr>
            <w:rFonts w:asciiTheme="minorHAnsi" w:eastAsiaTheme="minorEastAsia" w:hAnsiTheme="minorHAnsi" w:cstheme="minorBidi"/>
            <w:sz w:val="22"/>
            <w:szCs w:val="22"/>
          </w:rPr>
          <w:tab/>
        </w:r>
        <w:r w:rsidR="00A16980" w:rsidRPr="000D67C8">
          <w:rPr>
            <w:rStyle w:val="Hyperlink"/>
          </w:rPr>
          <w:t>Efforts to Identify Duplication and Use of Similar Information</w:t>
        </w:r>
        <w:r w:rsidR="00A16980">
          <w:rPr>
            <w:webHidden/>
          </w:rPr>
          <w:tab/>
        </w:r>
        <w:r>
          <w:rPr>
            <w:webHidden/>
          </w:rPr>
          <w:fldChar w:fldCharType="begin"/>
        </w:r>
        <w:r w:rsidR="00A16980">
          <w:rPr>
            <w:webHidden/>
          </w:rPr>
          <w:instrText xml:space="preserve"> PAGEREF _Toc317196259 \h </w:instrText>
        </w:r>
        <w:r>
          <w:rPr>
            <w:webHidden/>
          </w:rPr>
        </w:r>
        <w:r>
          <w:rPr>
            <w:webHidden/>
          </w:rPr>
          <w:fldChar w:fldCharType="separate"/>
        </w:r>
        <w:r w:rsidR="00A16980">
          <w:rPr>
            <w:webHidden/>
          </w:rPr>
          <w:t>7</w:t>
        </w:r>
        <w:r>
          <w:rPr>
            <w:webHidden/>
          </w:rPr>
          <w:fldChar w:fldCharType="end"/>
        </w:r>
      </w:hyperlink>
    </w:p>
    <w:p w:rsidR="00A16980" w:rsidRDefault="009D2919">
      <w:pPr>
        <w:pStyle w:val="TOC2"/>
        <w:tabs>
          <w:tab w:val="left" w:pos="1350"/>
        </w:tabs>
        <w:rPr>
          <w:rFonts w:asciiTheme="minorHAnsi" w:eastAsiaTheme="minorEastAsia" w:hAnsiTheme="minorHAnsi" w:cstheme="minorBidi"/>
          <w:sz w:val="22"/>
          <w:szCs w:val="22"/>
        </w:rPr>
      </w:pPr>
      <w:hyperlink w:anchor="_Toc317196260" w:history="1">
        <w:r w:rsidR="00A16980" w:rsidRPr="000D67C8">
          <w:rPr>
            <w:rStyle w:val="Hyperlink"/>
          </w:rPr>
          <w:t>A.5</w:t>
        </w:r>
        <w:r w:rsidR="00A16980">
          <w:rPr>
            <w:rFonts w:asciiTheme="minorHAnsi" w:eastAsiaTheme="minorEastAsia" w:hAnsiTheme="minorHAnsi" w:cstheme="minorBidi"/>
            <w:sz w:val="22"/>
            <w:szCs w:val="22"/>
          </w:rPr>
          <w:tab/>
        </w:r>
        <w:r w:rsidR="00A16980" w:rsidRPr="000D67C8">
          <w:rPr>
            <w:rStyle w:val="Hyperlink"/>
          </w:rPr>
          <w:t>Impact on Small Businesses or Other Small Entities</w:t>
        </w:r>
        <w:r w:rsidR="00A16980">
          <w:rPr>
            <w:webHidden/>
          </w:rPr>
          <w:tab/>
        </w:r>
        <w:r>
          <w:rPr>
            <w:webHidden/>
          </w:rPr>
          <w:fldChar w:fldCharType="begin"/>
        </w:r>
        <w:r w:rsidR="00A16980">
          <w:rPr>
            <w:webHidden/>
          </w:rPr>
          <w:instrText xml:space="preserve"> PAGEREF _Toc317196260 \h </w:instrText>
        </w:r>
        <w:r>
          <w:rPr>
            <w:webHidden/>
          </w:rPr>
        </w:r>
        <w:r>
          <w:rPr>
            <w:webHidden/>
          </w:rPr>
          <w:fldChar w:fldCharType="separate"/>
        </w:r>
        <w:r w:rsidR="00A16980">
          <w:rPr>
            <w:webHidden/>
          </w:rPr>
          <w:t>8</w:t>
        </w:r>
        <w:r>
          <w:rPr>
            <w:webHidden/>
          </w:rPr>
          <w:fldChar w:fldCharType="end"/>
        </w:r>
      </w:hyperlink>
    </w:p>
    <w:p w:rsidR="00A16980" w:rsidRDefault="009D2919">
      <w:pPr>
        <w:pStyle w:val="TOC2"/>
        <w:tabs>
          <w:tab w:val="left" w:pos="1350"/>
        </w:tabs>
        <w:rPr>
          <w:rFonts w:asciiTheme="minorHAnsi" w:eastAsiaTheme="minorEastAsia" w:hAnsiTheme="minorHAnsi" w:cstheme="minorBidi"/>
          <w:sz w:val="22"/>
          <w:szCs w:val="22"/>
        </w:rPr>
      </w:pPr>
      <w:hyperlink w:anchor="_Toc317196261" w:history="1">
        <w:r w:rsidR="00A16980" w:rsidRPr="000D67C8">
          <w:rPr>
            <w:rStyle w:val="Hyperlink"/>
          </w:rPr>
          <w:t>A.6</w:t>
        </w:r>
        <w:r w:rsidR="00A16980">
          <w:rPr>
            <w:rFonts w:asciiTheme="minorHAnsi" w:eastAsiaTheme="minorEastAsia" w:hAnsiTheme="minorHAnsi" w:cstheme="minorBidi"/>
            <w:sz w:val="22"/>
            <w:szCs w:val="22"/>
          </w:rPr>
          <w:tab/>
        </w:r>
        <w:r w:rsidR="00A16980" w:rsidRPr="000D67C8">
          <w:rPr>
            <w:rStyle w:val="Hyperlink"/>
          </w:rPr>
          <w:t>Consequences of Collecting the Information Less Frequently</w:t>
        </w:r>
        <w:r w:rsidR="00A16980">
          <w:rPr>
            <w:webHidden/>
          </w:rPr>
          <w:tab/>
        </w:r>
        <w:r>
          <w:rPr>
            <w:webHidden/>
          </w:rPr>
          <w:fldChar w:fldCharType="begin"/>
        </w:r>
        <w:r w:rsidR="00A16980">
          <w:rPr>
            <w:webHidden/>
          </w:rPr>
          <w:instrText xml:space="preserve"> PAGEREF _Toc317196261 \h </w:instrText>
        </w:r>
        <w:r>
          <w:rPr>
            <w:webHidden/>
          </w:rPr>
        </w:r>
        <w:r>
          <w:rPr>
            <w:webHidden/>
          </w:rPr>
          <w:fldChar w:fldCharType="separate"/>
        </w:r>
        <w:r w:rsidR="00A16980">
          <w:rPr>
            <w:webHidden/>
          </w:rPr>
          <w:t>8</w:t>
        </w:r>
        <w:r>
          <w:rPr>
            <w:webHidden/>
          </w:rPr>
          <w:fldChar w:fldCharType="end"/>
        </w:r>
      </w:hyperlink>
    </w:p>
    <w:p w:rsidR="00A16980" w:rsidRDefault="009D2919">
      <w:pPr>
        <w:pStyle w:val="TOC2"/>
        <w:tabs>
          <w:tab w:val="left" w:pos="1350"/>
        </w:tabs>
        <w:rPr>
          <w:rFonts w:asciiTheme="minorHAnsi" w:eastAsiaTheme="minorEastAsia" w:hAnsiTheme="minorHAnsi" w:cstheme="minorBidi"/>
          <w:sz w:val="22"/>
          <w:szCs w:val="22"/>
        </w:rPr>
      </w:pPr>
      <w:hyperlink w:anchor="_Toc317196262" w:history="1">
        <w:r w:rsidR="00A16980" w:rsidRPr="000D67C8">
          <w:rPr>
            <w:rStyle w:val="Hyperlink"/>
          </w:rPr>
          <w:t>A.7</w:t>
        </w:r>
        <w:r w:rsidR="00A16980">
          <w:rPr>
            <w:rFonts w:asciiTheme="minorHAnsi" w:eastAsiaTheme="minorEastAsia" w:hAnsiTheme="minorHAnsi" w:cstheme="minorBidi"/>
            <w:sz w:val="22"/>
            <w:szCs w:val="22"/>
          </w:rPr>
          <w:tab/>
        </w:r>
        <w:r w:rsidR="00A16980" w:rsidRPr="000D67C8">
          <w:rPr>
            <w:rStyle w:val="Hyperlink"/>
          </w:rPr>
          <w:t>Special Circumstances Relating to the Guidelines of 5 CFR1320.5</w:t>
        </w:r>
        <w:r w:rsidR="00A16980">
          <w:rPr>
            <w:webHidden/>
          </w:rPr>
          <w:tab/>
        </w:r>
        <w:r>
          <w:rPr>
            <w:webHidden/>
          </w:rPr>
          <w:fldChar w:fldCharType="begin"/>
        </w:r>
        <w:r w:rsidR="00A16980">
          <w:rPr>
            <w:webHidden/>
          </w:rPr>
          <w:instrText xml:space="preserve"> PAGEREF _Toc317196262 \h </w:instrText>
        </w:r>
        <w:r>
          <w:rPr>
            <w:webHidden/>
          </w:rPr>
        </w:r>
        <w:r>
          <w:rPr>
            <w:webHidden/>
          </w:rPr>
          <w:fldChar w:fldCharType="separate"/>
        </w:r>
        <w:r w:rsidR="00A16980">
          <w:rPr>
            <w:webHidden/>
          </w:rPr>
          <w:t>9</w:t>
        </w:r>
        <w:r>
          <w:rPr>
            <w:webHidden/>
          </w:rPr>
          <w:fldChar w:fldCharType="end"/>
        </w:r>
      </w:hyperlink>
    </w:p>
    <w:p w:rsidR="00A16980" w:rsidRDefault="009D2919">
      <w:pPr>
        <w:pStyle w:val="TOC2"/>
        <w:tabs>
          <w:tab w:val="left" w:pos="1350"/>
        </w:tabs>
        <w:rPr>
          <w:rFonts w:asciiTheme="minorHAnsi" w:eastAsiaTheme="minorEastAsia" w:hAnsiTheme="minorHAnsi" w:cstheme="minorBidi"/>
          <w:sz w:val="22"/>
          <w:szCs w:val="22"/>
        </w:rPr>
      </w:pPr>
      <w:hyperlink w:anchor="_Toc317196263" w:history="1">
        <w:r w:rsidR="00A16980" w:rsidRPr="000D67C8">
          <w:rPr>
            <w:rStyle w:val="Hyperlink"/>
          </w:rPr>
          <w:t>A.8</w:t>
        </w:r>
        <w:r w:rsidR="00A16980">
          <w:rPr>
            <w:rFonts w:asciiTheme="minorHAnsi" w:eastAsiaTheme="minorEastAsia" w:hAnsiTheme="minorHAnsi" w:cstheme="minorBidi"/>
            <w:sz w:val="22"/>
            <w:szCs w:val="22"/>
          </w:rPr>
          <w:tab/>
        </w:r>
        <w:r w:rsidR="00A16980" w:rsidRPr="000D67C8">
          <w:rPr>
            <w:rStyle w:val="Hyperlink"/>
          </w:rPr>
          <w:t>Comments in Response to the Federal Register Notice and Efforts to Consult Outside the Agency</w:t>
        </w:r>
        <w:r w:rsidR="00A16980">
          <w:rPr>
            <w:webHidden/>
          </w:rPr>
          <w:tab/>
        </w:r>
        <w:r>
          <w:rPr>
            <w:webHidden/>
          </w:rPr>
          <w:fldChar w:fldCharType="begin"/>
        </w:r>
        <w:r w:rsidR="00A16980">
          <w:rPr>
            <w:webHidden/>
          </w:rPr>
          <w:instrText xml:space="preserve"> PAGEREF _Toc317196263 \h </w:instrText>
        </w:r>
        <w:r>
          <w:rPr>
            <w:webHidden/>
          </w:rPr>
        </w:r>
        <w:r>
          <w:rPr>
            <w:webHidden/>
          </w:rPr>
          <w:fldChar w:fldCharType="separate"/>
        </w:r>
        <w:r w:rsidR="00A16980">
          <w:rPr>
            <w:webHidden/>
          </w:rPr>
          <w:t>9</w:t>
        </w:r>
        <w:r>
          <w:rPr>
            <w:webHidden/>
          </w:rPr>
          <w:fldChar w:fldCharType="end"/>
        </w:r>
      </w:hyperlink>
    </w:p>
    <w:p w:rsidR="00A16980" w:rsidRDefault="009D2919">
      <w:pPr>
        <w:pStyle w:val="TOC2"/>
        <w:tabs>
          <w:tab w:val="left" w:pos="1350"/>
        </w:tabs>
        <w:rPr>
          <w:rFonts w:asciiTheme="minorHAnsi" w:eastAsiaTheme="minorEastAsia" w:hAnsiTheme="minorHAnsi" w:cstheme="minorBidi"/>
          <w:sz w:val="22"/>
          <w:szCs w:val="22"/>
        </w:rPr>
      </w:pPr>
      <w:hyperlink w:anchor="_Toc317196264" w:history="1">
        <w:r w:rsidR="00A16980" w:rsidRPr="000D67C8">
          <w:rPr>
            <w:rStyle w:val="Hyperlink"/>
          </w:rPr>
          <w:t>A.9</w:t>
        </w:r>
        <w:r w:rsidR="00A16980">
          <w:rPr>
            <w:rFonts w:asciiTheme="minorHAnsi" w:eastAsiaTheme="minorEastAsia" w:hAnsiTheme="minorHAnsi" w:cstheme="minorBidi"/>
            <w:sz w:val="22"/>
            <w:szCs w:val="22"/>
          </w:rPr>
          <w:tab/>
        </w:r>
        <w:r w:rsidR="00A16980" w:rsidRPr="000D67C8">
          <w:rPr>
            <w:rStyle w:val="Hyperlink"/>
          </w:rPr>
          <w:t>Explanation of Any Payment or Gift to Respondents</w:t>
        </w:r>
        <w:r w:rsidR="00A16980">
          <w:rPr>
            <w:webHidden/>
          </w:rPr>
          <w:tab/>
        </w:r>
        <w:r>
          <w:rPr>
            <w:webHidden/>
          </w:rPr>
          <w:fldChar w:fldCharType="begin"/>
        </w:r>
        <w:r w:rsidR="00A16980">
          <w:rPr>
            <w:webHidden/>
          </w:rPr>
          <w:instrText xml:space="preserve"> PAGEREF _Toc317196264 \h </w:instrText>
        </w:r>
        <w:r>
          <w:rPr>
            <w:webHidden/>
          </w:rPr>
        </w:r>
        <w:r>
          <w:rPr>
            <w:webHidden/>
          </w:rPr>
          <w:fldChar w:fldCharType="separate"/>
        </w:r>
        <w:r w:rsidR="00A16980">
          <w:rPr>
            <w:webHidden/>
          </w:rPr>
          <w:t>9</w:t>
        </w:r>
        <w:r>
          <w:rPr>
            <w:webHidden/>
          </w:rPr>
          <w:fldChar w:fldCharType="end"/>
        </w:r>
      </w:hyperlink>
    </w:p>
    <w:p w:rsidR="00A16980" w:rsidRDefault="009D2919">
      <w:pPr>
        <w:pStyle w:val="TOC2"/>
        <w:tabs>
          <w:tab w:val="left" w:pos="2340"/>
        </w:tabs>
        <w:rPr>
          <w:rFonts w:asciiTheme="minorHAnsi" w:eastAsiaTheme="minorEastAsia" w:hAnsiTheme="minorHAnsi" w:cstheme="minorBidi"/>
          <w:sz w:val="22"/>
          <w:szCs w:val="22"/>
        </w:rPr>
      </w:pPr>
      <w:hyperlink w:anchor="_Toc317196265" w:history="1">
        <w:r w:rsidR="00A16980" w:rsidRPr="000D67C8">
          <w:rPr>
            <w:rStyle w:val="Hyperlink"/>
          </w:rPr>
          <w:t>A.10</w:t>
        </w:r>
        <w:r w:rsidR="00A16980">
          <w:rPr>
            <w:rFonts w:asciiTheme="minorHAnsi" w:eastAsiaTheme="minorEastAsia" w:hAnsiTheme="minorHAnsi" w:cstheme="minorBidi"/>
            <w:sz w:val="22"/>
            <w:szCs w:val="22"/>
          </w:rPr>
          <w:tab/>
        </w:r>
        <w:r w:rsidR="00A16980" w:rsidRPr="000D67C8">
          <w:rPr>
            <w:rStyle w:val="Hyperlink"/>
          </w:rPr>
          <w:t>Assurance of Confidentiality Provided to Respondents</w:t>
        </w:r>
        <w:r w:rsidR="00A16980">
          <w:rPr>
            <w:webHidden/>
          </w:rPr>
          <w:tab/>
        </w:r>
        <w:r>
          <w:rPr>
            <w:webHidden/>
          </w:rPr>
          <w:fldChar w:fldCharType="begin"/>
        </w:r>
        <w:r w:rsidR="00A16980">
          <w:rPr>
            <w:webHidden/>
          </w:rPr>
          <w:instrText xml:space="preserve"> PAGEREF _Toc317196265 \h </w:instrText>
        </w:r>
        <w:r>
          <w:rPr>
            <w:webHidden/>
          </w:rPr>
        </w:r>
        <w:r>
          <w:rPr>
            <w:webHidden/>
          </w:rPr>
          <w:fldChar w:fldCharType="separate"/>
        </w:r>
        <w:r w:rsidR="00A16980">
          <w:rPr>
            <w:webHidden/>
          </w:rPr>
          <w:t>9</w:t>
        </w:r>
        <w:r>
          <w:rPr>
            <w:webHidden/>
          </w:rPr>
          <w:fldChar w:fldCharType="end"/>
        </w:r>
      </w:hyperlink>
    </w:p>
    <w:p w:rsidR="00A16980" w:rsidRDefault="009D2919">
      <w:pPr>
        <w:pStyle w:val="TOC2"/>
        <w:tabs>
          <w:tab w:val="left" w:pos="2340"/>
        </w:tabs>
        <w:rPr>
          <w:rFonts w:asciiTheme="minorHAnsi" w:eastAsiaTheme="minorEastAsia" w:hAnsiTheme="minorHAnsi" w:cstheme="minorBidi"/>
          <w:sz w:val="22"/>
          <w:szCs w:val="22"/>
        </w:rPr>
      </w:pPr>
      <w:hyperlink w:anchor="_Toc317196266" w:history="1">
        <w:r w:rsidR="00A16980" w:rsidRPr="000D67C8">
          <w:rPr>
            <w:rStyle w:val="Hyperlink"/>
          </w:rPr>
          <w:t>A.11</w:t>
        </w:r>
        <w:r w:rsidR="00A16980">
          <w:rPr>
            <w:rFonts w:asciiTheme="minorHAnsi" w:eastAsiaTheme="minorEastAsia" w:hAnsiTheme="minorHAnsi" w:cstheme="minorBidi"/>
            <w:sz w:val="22"/>
            <w:szCs w:val="22"/>
          </w:rPr>
          <w:tab/>
        </w:r>
        <w:r w:rsidR="00A16980" w:rsidRPr="000D67C8">
          <w:rPr>
            <w:rStyle w:val="Hyperlink"/>
          </w:rPr>
          <w:t>Justification for Sensitive Questions</w:t>
        </w:r>
        <w:r w:rsidR="00A16980">
          <w:rPr>
            <w:webHidden/>
          </w:rPr>
          <w:tab/>
        </w:r>
        <w:r>
          <w:rPr>
            <w:webHidden/>
          </w:rPr>
          <w:fldChar w:fldCharType="begin"/>
        </w:r>
        <w:r w:rsidR="00A16980">
          <w:rPr>
            <w:webHidden/>
          </w:rPr>
          <w:instrText xml:space="preserve"> PAGEREF _Toc317196266 \h </w:instrText>
        </w:r>
        <w:r>
          <w:rPr>
            <w:webHidden/>
          </w:rPr>
        </w:r>
        <w:r>
          <w:rPr>
            <w:webHidden/>
          </w:rPr>
          <w:fldChar w:fldCharType="separate"/>
        </w:r>
        <w:r w:rsidR="00A16980">
          <w:rPr>
            <w:webHidden/>
          </w:rPr>
          <w:t>10</w:t>
        </w:r>
        <w:r>
          <w:rPr>
            <w:webHidden/>
          </w:rPr>
          <w:fldChar w:fldCharType="end"/>
        </w:r>
      </w:hyperlink>
    </w:p>
    <w:p w:rsidR="00A16980" w:rsidRDefault="009D2919">
      <w:pPr>
        <w:pStyle w:val="TOC2"/>
        <w:tabs>
          <w:tab w:val="left" w:pos="2340"/>
        </w:tabs>
        <w:rPr>
          <w:rFonts w:asciiTheme="minorHAnsi" w:eastAsiaTheme="minorEastAsia" w:hAnsiTheme="minorHAnsi" w:cstheme="minorBidi"/>
          <w:sz w:val="22"/>
          <w:szCs w:val="22"/>
        </w:rPr>
      </w:pPr>
      <w:hyperlink w:anchor="_Toc317196267" w:history="1">
        <w:r w:rsidR="00A16980" w:rsidRPr="000D67C8">
          <w:rPr>
            <w:rStyle w:val="Hyperlink"/>
          </w:rPr>
          <w:t>A.12</w:t>
        </w:r>
        <w:r w:rsidR="00A16980">
          <w:rPr>
            <w:rFonts w:asciiTheme="minorHAnsi" w:eastAsiaTheme="minorEastAsia" w:hAnsiTheme="minorHAnsi" w:cstheme="minorBidi"/>
            <w:sz w:val="22"/>
            <w:szCs w:val="22"/>
          </w:rPr>
          <w:tab/>
        </w:r>
        <w:r w:rsidR="00A16980" w:rsidRPr="000D67C8">
          <w:rPr>
            <w:rStyle w:val="Hyperlink"/>
          </w:rPr>
          <w:t>Estimates of Annualized Burden Hours and Costs to Respondents</w:t>
        </w:r>
        <w:r w:rsidR="00A16980">
          <w:rPr>
            <w:webHidden/>
          </w:rPr>
          <w:tab/>
        </w:r>
        <w:r>
          <w:rPr>
            <w:webHidden/>
          </w:rPr>
          <w:fldChar w:fldCharType="begin"/>
        </w:r>
        <w:r w:rsidR="00A16980">
          <w:rPr>
            <w:webHidden/>
          </w:rPr>
          <w:instrText xml:space="preserve"> PAGEREF _Toc317196267 \h </w:instrText>
        </w:r>
        <w:r>
          <w:rPr>
            <w:webHidden/>
          </w:rPr>
        </w:r>
        <w:r>
          <w:rPr>
            <w:webHidden/>
          </w:rPr>
          <w:fldChar w:fldCharType="separate"/>
        </w:r>
        <w:r w:rsidR="00A16980">
          <w:rPr>
            <w:webHidden/>
          </w:rPr>
          <w:t>10</w:t>
        </w:r>
        <w:r>
          <w:rPr>
            <w:webHidden/>
          </w:rPr>
          <w:fldChar w:fldCharType="end"/>
        </w:r>
      </w:hyperlink>
    </w:p>
    <w:p w:rsidR="00A16980" w:rsidRDefault="009D2919">
      <w:pPr>
        <w:pStyle w:val="TOC3"/>
        <w:tabs>
          <w:tab w:val="left" w:pos="2340"/>
        </w:tabs>
        <w:rPr>
          <w:rFonts w:asciiTheme="minorHAnsi" w:eastAsiaTheme="minorEastAsia" w:hAnsiTheme="minorHAnsi" w:cstheme="minorBidi"/>
          <w:sz w:val="22"/>
          <w:szCs w:val="22"/>
        </w:rPr>
      </w:pPr>
      <w:hyperlink w:anchor="_Toc317196268" w:history="1">
        <w:r w:rsidR="00A16980" w:rsidRPr="000D67C8">
          <w:rPr>
            <w:rStyle w:val="Hyperlink"/>
          </w:rPr>
          <w:t>A.12.1</w:t>
        </w:r>
        <w:r w:rsidR="00A16980">
          <w:rPr>
            <w:rFonts w:asciiTheme="minorHAnsi" w:eastAsiaTheme="minorEastAsia" w:hAnsiTheme="minorHAnsi" w:cstheme="minorBidi"/>
            <w:sz w:val="22"/>
            <w:szCs w:val="22"/>
          </w:rPr>
          <w:tab/>
        </w:r>
        <w:r w:rsidR="00A16980" w:rsidRPr="000D67C8">
          <w:rPr>
            <w:rStyle w:val="Hyperlink"/>
          </w:rPr>
          <w:t>Estimated Annualized Burden Hours</w:t>
        </w:r>
        <w:r w:rsidR="00A16980">
          <w:rPr>
            <w:webHidden/>
          </w:rPr>
          <w:tab/>
        </w:r>
        <w:r>
          <w:rPr>
            <w:webHidden/>
          </w:rPr>
          <w:fldChar w:fldCharType="begin"/>
        </w:r>
        <w:r w:rsidR="00A16980">
          <w:rPr>
            <w:webHidden/>
          </w:rPr>
          <w:instrText xml:space="preserve"> PAGEREF _Toc317196268 \h </w:instrText>
        </w:r>
        <w:r>
          <w:rPr>
            <w:webHidden/>
          </w:rPr>
        </w:r>
        <w:r>
          <w:rPr>
            <w:webHidden/>
          </w:rPr>
          <w:fldChar w:fldCharType="separate"/>
        </w:r>
        <w:r w:rsidR="00A16980">
          <w:rPr>
            <w:webHidden/>
          </w:rPr>
          <w:t>10</w:t>
        </w:r>
        <w:r>
          <w:rPr>
            <w:webHidden/>
          </w:rPr>
          <w:fldChar w:fldCharType="end"/>
        </w:r>
      </w:hyperlink>
    </w:p>
    <w:p w:rsidR="00A16980" w:rsidRDefault="009D2919">
      <w:pPr>
        <w:pStyle w:val="TOC3"/>
        <w:tabs>
          <w:tab w:val="left" w:pos="2340"/>
        </w:tabs>
        <w:rPr>
          <w:rFonts w:asciiTheme="minorHAnsi" w:eastAsiaTheme="minorEastAsia" w:hAnsiTheme="minorHAnsi" w:cstheme="minorBidi"/>
          <w:sz w:val="22"/>
          <w:szCs w:val="22"/>
        </w:rPr>
      </w:pPr>
      <w:hyperlink w:anchor="_Toc317196269" w:history="1">
        <w:r w:rsidR="00A16980" w:rsidRPr="000D67C8">
          <w:rPr>
            <w:rStyle w:val="Hyperlink"/>
          </w:rPr>
          <w:t>A.12.2</w:t>
        </w:r>
        <w:r w:rsidR="00A16980">
          <w:rPr>
            <w:rFonts w:asciiTheme="minorHAnsi" w:eastAsiaTheme="minorEastAsia" w:hAnsiTheme="minorHAnsi" w:cstheme="minorBidi"/>
            <w:sz w:val="22"/>
            <w:szCs w:val="22"/>
          </w:rPr>
          <w:tab/>
        </w:r>
        <w:r w:rsidR="00A16980" w:rsidRPr="000D67C8">
          <w:rPr>
            <w:rStyle w:val="Hyperlink"/>
          </w:rPr>
          <w:t>Estimated Annualized Cost to Respondents</w:t>
        </w:r>
        <w:r w:rsidR="00A16980">
          <w:rPr>
            <w:webHidden/>
          </w:rPr>
          <w:tab/>
        </w:r>
        <w:r>
          <w:rPr>
            <w:webHidden/>
          </w:rPr>
          <w:fldChar w:fldCharType="begin"/>
        </w:r>
        <w:r w:rsidR="00A16980">
          <w:rPr>
            <w:webHidden/>
          </w:rPr>
          <w:instrText xml:space="preserve"> PAGEREF _Toc317196269 \h </w:instrText>
        </w:r>
        <w:r>
          <w:rPr>
            <w:webHidden/>
          </w:rPr>
        </w:r>
        <w:r>
          <w:rPr>
            <w:webHidden/>
          </w:rPr>
          <w:fldChar w:fldCharType="separate"/>
        </w:r>
        <w:r w:rsidR="00A16980">
          <w:rPr>
            <w:webHidden/>
          </w:rPr>
          <w:t>11</w:t>
        </w:r>
        <w:r>
          <w:rPr>
            <w:webHidden/>
          </w:rPr>
          <w:fldChar w:fldCharType="end"/>
        </w:r>
      </w:hyperlink>
    </w:p>
    <w:p w:rsidR="00A16980" w:rsidRDefault="009D2919">
      <w:pPr>
        <w:pStyle w:val="TOC2"/>
        <w:tabs>
          <w:tab w:val="left" w:pos="2340"/>
        </w:tabs>
        <w:rPr>
          <w:rFonts w:asciiTheme="minorHAnsi" w:eastAsiaTheme="minorEastAsia" w:hAnsiTheme="minorHAnsi" w:cstheme="minorBidi"/>
          <w:sz w:val="22"/>
          <w:szCs w:val="22"/>
        </w:rPr>
      </w:pPr>
      <w:hyperlink w:anchor="_Toc317196270" w:history="1">
        <w:r w:rsidR="00A16980" w:rsidRPr="000D67C8">
          <w:rPr>
            <w:rStyle w:val="Hyperlink"/>
          </w:rPr>
          <w:t>A.13</w:t>
        </w:r>
        <w:r w:rsidR="00A16980">
          <w:rPr>
            <w:rFonts w:asciiTheme="minorHAnsi" w:eastAsiaTheme="minorEastAsia" w:hAnsiTheme="minorHAnsi" w:cstheme="minorBidi"/>
            <w:sz w:val="22"/>
            <w:szCs w:val="22"/>
          </w:rPr>
          <w:tab/>
        </w:r>
        <w:r w:rsidR="00A16980" w:rsidRPr="000D67C8">
          <w:rPr>
            <w:rStyle w:val="Hyperlink"/>
          </w:rPr>
          <w:t>Estimates of Other Total Annual Cost Burden to Respondents or Record Keepers</w:t>
        </w:r>
        <w:r w:rsidR="00A16980">
          <w:rPr>
            <w:webHidden/>
          </w:rPr>
          <w:tab/>
        </w:r>
        <w:r>
          <w:rPr>
            <w:webHidden/>
          </w:rPr>
          <w:fldChar w:fldCharType="begin"/>
        </w:r>
        <w:r w:rsidR="00A16980">
          <w:rPr>
            <w:webHidden/>
          </w:rPr>
          <w:instrText xml:space="preserve"> PAGEREF _Toc317196270 \h </w:instrText>
        </w:r>
        <w:r>
          <w:rPr>
            <w:webHidden/>
          </w:rPr>
        </w:r>
        <w:r>
          <w:rPr>
            <w:webHidden/>
          </w:rPr>
          <w:fldChar w:fldCharType="separate"/>
        </w:r>
        <w:r w:rsidR="00A16980">
          <w:rPr>
            <w:webHidden/>
          </w:rPr>
          <w:t>12</w:t>
        </w:r>
        <w:r>
          <w:rPr>
            <w:webHidden/>
          </w:rPr>
          <w:fldChar w:fldCharType="end"/>
        </w:r>
      </w:hyperlink>
    </w:p>
    <w:p w:rsidR="00A16980" w:rsidRDefault="009D2919">
      <w:pPr>
        <w:pStyle w:val="TOC2"/>
        <w:tabs>
          <w:tab w:val="left" w:pos="2340"/>
        </w:tabs>
        <w:rPr>
          <w:rFonts w:asciiTheme="minorHAnsi" w:eastAsiaTheme="minorEastAsia" w:hAnsiTheme="minorHAnsi" w:cstheme="minorBidi"/>
          <w:sz w:val="22"/>
          <w:szCs w:val="22"/>
        </w:rPr>
      </w:pPr>
      <w:hyperlink w:anchor="_Toc317196271" w:history="1">
        <w:r w:rsidR="00A16980" w:rsidRPr="000D67C8">
          <w:rPr>
            <w:rStyle w:val="Hyperlink"/>
          </w:rPr>
          <w:t>A.14</w:t>
        </w:r>
        <w:r w:rsidR="00A16980">
          <w:rPr>
            <w:rFonts w:asciiTheme="minorHAnsi" w:eastAsiaTheme="minorEastAsia" w:hAnsiTheme="minorHAnsi" w:cstheme="minorBidi"/>
            <w:sz w:val="22"/>
            <w:szCs w:val="22"/>
          </w:rPr>
          <w:tab/>
        </w:r>
        <w:r w:rsidR="00A16980" w:rsidRPr="000D67C8">
          <w:rPr>
            <w:rStyle w:val="Hyperlink"/>
          </w:rPr>
          <w:t>Annualized Cost to the Federal Government</w:t>
        </w:r>
        <w:r w:rsidR="00A16980">
          <w:rPr>
            <w:webHidden/>
          </w:rPr>
          <w:tab/>
        </w:r>
        <w:r>
          <w:rPr>
            <w:webHidden/>
          </w:rPr>
          <w:fldChar w:fldCharType="begin"/>
        </w:r>
        <w:r w:rsidR="00A16980">
          <w:rPr>
            <w:webHidden/>
          </w:rPr>
          <w:instrText xml:space="preserve"> PAGEREF _Toc317196271 \h </w:instrText>
        </w:r>
        <w:r>
          <w:rPr>
            <w:webHidden/>
          </w:rPr>
        </w:r>
        <w:r>
          <w:rPr>
            <w:webHidden/>
          </w:rPr>
          <w:fldChar w:fldCharType="separate"/>
        </w:r>
        <w:r w:rsidR="00A16980">
          <w:rPr>
            <w:webHidden/>
          </w:rPr>
          <w:t>12</w:t>
        </w:r>
        <w:r>
          <w:rPr>
            <w:webHidden/>
          </w:rPr>
          <w:fldChar w:fldCharType="end"/>
        </w:r>
      </w:hyperlink>
    </w:p>
    <w:p w:rsidR="00A16980" w:rsidRDefault="009D2919">
      <w:pPr>
        <w:pStyle w:val="TOC2"/>
        <w:tabs>
          <w:tab w:val="left" w:pos="2340"/>
        </w:tabs>
        <w:rPr>
          <w:rFonts w:asciiTheme="minorHAnsi" w:eastAsiaTheme="minorEastAsia" w:hAnsiTheme="minorHAnsi" w:cstheme="minorBidi"/>
          <w:sz w:val="22"/>
          <w:szCs w:val="22"/>
        </w:rPr>
      </w:pPr>
      <w:hyperlink w:anchor="_Toc317196272" w:history="1">
        <w:r w:rsidR="00A16980" w:rsidRPr="000D67C8">
          <w:rPr>
            <w:rStyle w:val="Hyperlink"/>
          </w:rPr>
          <w:t>A.15</w:t>
        </w:r>
        <w:r w:rsidR="00A16980">
          <w:rPr>
            <w:rFonts w:asciiTheme="minorHAnsi" w:eastAsiaTheme="minorEastAsia" w:hAnsiTheme="minorHAnsi" w:cstheme="minorBidi"/>
            <w:sz w:val="22"/>
            <w:szCs w:val="22"/>
          </w:rPr>
          <w:tab/>
        </w:r>
        <w:r w:rsidR="00A16980" w:rsidRPr="000D67C8">
          <w:rPr>
            <w:rStyle w:val="Hyperlink"/>
          </w:rPr>
          <w:t>Explanation for Program Changes or Adjustments</w:t>
        </w:r>
        <w:r w:rsidR="00A16980">
          <w:rPr>
            <w:webHidden/>
          </w:rPr>
          <w:tab/>
        </w:r>
        <w:r>
          <w:rPr>
            <w:webHidden/>
          </w:rPr>
          <w:fldChar w:fldCharType="begin"/>
        </w:r>
        <w:r w:rsidR="00A16980">
          <w:rPr>
            <w:webHidden/>
          </w:rPr>
          <w:instrText xml:space="preserve"> PAGEREF _Toc317196272 \h </w:instrText>
        </w:r>
        <w:r>
          <w:rPr>
            <w:webHidden/>
          </w:rPr>
        </w:r>
        <w:r>
          <w:rPr>
            <w:webHidden/>
          </w:rPr>
          <w:fldChar w:fldCharType="separate"/>
        </w:r>
        <w:r w:rsidR="00A16980">
          <w:rPr>
            <w:webHidden/>
          </w:rPr>
          <w:t>13</w:t>
        </w:r>
        <w:r>
          <w:rPr>
            <w:webHidden/>
          </w:rPr>
          <w:fldChar w:fldCharType="end"/>
        </w:r>
      </w:hyperlink>
    </w:p>
    <w:p w:rsidR="00A16980" w:rsidRDefault="009D2919">
      <w:pPr>
        <w:pStyle w:val="TOC2"/>
        <w:tabs>
          <w:tab w:val="left" w:pos="2340"/>
        </w:tabs>
        <w:rPr>
          <w:rFonts w:asciiTheme="minorHAnsi" w:eastAsiaTheme="minorEastAsia" w:hAnsiTheme="minorHAnsi" w:cstheme="minorBidi"/>
          <w:sz w:val="22"/>
          <w:szCs w:val="22"/>
        </w:rPr>
      </w:pPr>
      <w:hyperlink w:anchor="_Toc317196273" w:history="1">
        <w:r w:rsidR="00A16980" w:rsidRPr="000D67C8">
          <w:rPr>
            <w:rStyle w:val="Hyperlink"/>
          </w:rPr>
          <w:t>A.16</w:t>
        </w:r>
        <w:r w:rsidR="00A16980">
          <w:rPr>
            <w:rFonts w:asciiTheme="minorHAnsi" w:eastAsiaTheme="minorEastAsia" w:hAnsiTheme="minorHAnsi" w:cstheme="minorBidi"/>
            <w:sz w:val="22"/>
            <w:szCs w:val="22"/>
          </w:rPr>
          <w:tab/>
        </w:r>
        <w:r w:rsidR="00A16980" w:rsidRPr="000D67C8">
          <w:rPr>
            <w:rStyle w:val="Hyperlink"/>
          </w:rPr>
          <w:t>Plans for Tabulation and Publication and Project Time Schedule</w:t>
        </w:r>
        <w:r w:rsidR="00A16980">
          <w:rPr>
            <w:webHidden/>
          </w:rPr>
          <w:tab/>
        </w:r>
        <w:r>
          <w:rPr>
            <w:webHidden/>
          </w:rPr>
          <w:fldChar w:fldCharType="begin"/>
        </w:r>
        <w:r w:rsidR="00A16980">
          <w:rPr>
            <w:webHidden/>
          </w:rPr>
          <w:instrText xml:space="preserve"> PAGEREF _Toc317196273 \h </w:instrText>
        </w:r>
        <w:r>
          <w:rPr>
            <w:webHidden/>
          </w:rPr>
        </w:r>
        <w:r>
          <w:rPr>
            <w:webHidden/>
          </w:rPr>
          <w:fldChar w:fldCharType="separate"/>
        </w:r>
        <w:r w:rsidR="00A16980">
          <w:rPr>
            <w:webHidden/>
          </w:rPr>
          <w:t>13</w:t>
        </w:r>
        <w:r>
          <w:rPr>
            <w:webHidden/>
          </w:rPr>
          <w:fldChar w:fldCharType="end"/>
        </w:r>
      </w:hyperlink>
    </w:p>
    <w:p w:rsidR="00A16980" w:rsidRDefault="009D2919">
      <w:pPr>
        <w:pStyle w:val="TOC3"/>
        <w:tabs>
          <w:tab w:val="left" w:pos="2340"/>
        </w:tabs>
        <w:rPr>
          <w:rFonts w:asciiTheme="minorHAnsi" w:eastAsiaTheme="minorEastAsia" w:hAnsiTheme="minorHAnsi" w:cstheme="minorBidi"/>
          <w:sz w:val="22"/>
          <w:szCs w:val="22"/>
        </w:rPr>
      </w:pPr>
      <w:hyperlink w:anchor="_Toc317196274" w:history="1">
        <w:r w:rsidR="00A16980" w:rsidRPr="000D67C8">
          <w:rPr>
            <w:rStyle w:val="Hyperlink"/>
          </w:rPr>
          <w:t>A.16.1</w:t>
        </w:r>
        <w:r w:rsidR="00A16980">
          <w:rPr>
            <w:rFonts w:asciiTheme="minorHAnsi" w:eastAsiaTheme="minorEastAsia" w:hAnsiTheme="minorHAnsi" w:cstheme="minorBidi"/>
            <w:sz w:val="22"/>
            <w:szCs w:val="22"/>
          </w:rPr>
          <w:tab/>
        </w:r>
        <w:r w:rsidR="00A16980" w:rsidRPr="000D67C8">
          <w:rPr>
            <w:rStyle w:val="Hyperlink"/>
          </w:rPr>
          <w:t>Publication Plan</w:t>
        </w:r>
        <w:r w:rsidR="00A16980">
          <w:rPr>
            <w:webHidden/>
          </w:rPr>
          <w:tab/>
        </w:r>
        <w:r>
          <w:rPr>
            <w:webHidden/>
          </w:rPr>
          <w:fldChar w:fldCharType="begin"/>
        </w:r>
        <w:r w:rsidR="00A16980">
          <w:rPr>
            <w:webHidden/>
          </w:rPr>
          <w:instrText xml:space="preserve"> PAGEREF _Toc317196274 \h </w:instrText>
        </w:r>
        <w:r>
          <w:rPr>
            <w:webHidden/>
          </w:rPr>
        </w:r>
        <w:r>
          <w:rPr>
            <w:webHidden/>
          </w:rPr>
          <w:fldChar w:fldCharType="separate"/>
        </w:r>
        <w:r w:rsidR="00A16980">
          <w:rPr>
            <w:webHidden/>
          </w:rPr>
          <w:t>13</w:t>
        </w:r>
        <w:r>
          <w:rPr>
            <w:webHidden/>
          </w:rPr>
          <w:fldChar w:fldCharType="end"/>
        </w:r>
      </w:hyperlink>
    </w:p>
    <w:p w:rsidR="00A16980" w:rsidRDefault="009D2919">
      <w:pPr>
        <w:pStyle w:val="TOC3"/>
        <w:tabs>
          <w:tab w:val="left" w:pos="2340"/>
        </w:tabs>
        <w:rPr>
          <w:rFonts w:asciiTheme="minorHAnsi" w:eastAsiaTheme="minorEastAsia" w:hAnsiTheme="minorHAnsi" w:cstheme="minorBidi"/>
          <w:sz w:val="22"/>
          <w:szCs w:val="22"/>
        </w:rPr>
      </w:pPr>
      <w:hyperlink w:anchor="_Toc317196275" w:history="1">
        <w:r w:rsidR="00A16980" w:rsidRPr="000D67C8">
          <w:rPr>
            <w:rStyle w:val="Hyperlink"/>
          </w:rPr>
          <w:t>A.16.2</w:t>
        </w:r>
        <w:r w:rsidR="00A16980">
          <w:rPr>
            <w:rFonts w:asciiTheme="minorHAnsi" w:eastAsiaTheme="minorEastAsia" w:hAnsiTheme="minorHAnsi" w:cstheme="minorBidi"/>
            <w:sz w:val="22"/>
            <w:szCs w:val="22"/>
          </w:rPr>
          <w:tab/>
        </w:r>
        <w:r w:rsidR="00A16980" w:rsidRPr="000D67C8">
          <w:rPr>
            <w:rStyle w:val="Hyperlink"/>
          </w:rPr>
          <w:t>Project Timeline</w:t>
        </w:r>
        <w:r w:rsidR="00A16980">
          <w:rPr>
            <w:webHidden/>
          </w:rPr>
          <w:tab/>
        </w:r>
        <w:r>
          <w:rPr>
            <w:webHidden/>
          </w:rPr>
          <w:fldChar w:fldCharType="begin"/>
        </w:r>
        <w:r w:rsidR="00A16980">
          <w:rPr>
            <w:webHidden/>
          </w:rPr>
          <w:instrText xml:space="preserve"> PAGEREF _Toc317196275 \h </w:instrText>
        </w:r>
        <w:r>
          <w:rPr>
            <w:webHidden/>
          </w:rPr>
        </w:r>
        <w:r>
          <w:rPr>
            <w:webHidden/>
          </w:rPr>
          <w:fldChar w:fldCharType="separate"/>
        </w:r>
        <w:r w:rsidR="00A16980">
          <w:rPr>
            <w:webHidden/>
          </w:rPr>
          <w:t>13</w:t>
        </w:r>
        <w:r>
          <w:rPr>
            <w:webHidden/>
          </w:rPr>
          <w:fldChar w:fldCharType="end"/>
        </w:r>
      </w:hyperlink>
    </w:p>
    <w:p w:rsidR="00A16980" w:rsidRDefault="009D2919">
      <w:pPr>
        <w:pStyle w:val="TOC2"/>
        <w:tabs>
          <w:tab w:val="left" w:pos="2340"/>
        </w:tabs>
        <w:rPr>
          <w:rFonts w:asciiTheme="minorHAnsi" w:eastAsiaTheme="minorEastAsia" w:hAnsiTheme="minorHAnsi" w:cstheme="minorBidi"/>
          <w:sz w:val="22"/>
          <w:szCs w:val="22"/>
        </w:rPr>
      </w:pPr>
      <w:hyperlink w:anchor="_Toc317196276" w:history="1">
        <w:r w:rsidR="00A16980" w:rsidRPr="000D67C8">
          <w:rPr>
            <w:rStyle w:val="Hyperlink"/>
          </w:rPr>
          <w:t>A.17</w:t>
        </w:r>
        <w:r w:rsidR="00A16980">
          <w:rPr>
            <w:rFonts w:asciiTheme="minorHAnsi" w:eastAsiaTheme="minorEastAsia" w:hAnsiTheme="minorHAnsi" w:cstheme="minorBidi"/>
            <w:sz w:val="22"/>
            <w:szCs w:val="22"/>
          </w:rPr>
          <w:tab/>
        </w:r>
        <w:r w:rsidR="00A16980" w:rsidRPr="000D67C8">
          <w:rPr>
            <w:rStyle w:val="Hyperlink"/>
          </w:rPr>
          <w:t>Reason(s) Display of OMB Expiration Date Is Inappropriate</w:t>
        </w:r>
        <w:r w:rsidR="00A16980">
          <w:rPr>
            <w:webHidden/>
          </w:rPr>
          <w:tab/>
        </w:r>
        <w:r>
          <w:rPr>
            <w:webHidden/>
          </w:rPr>
          <w:fldChar w:fldCharType="begin"/>
        </w:r>
        <w:r w:rsidR="00A16980">
          <w:rPr>
            <w:webHidden/>
          </w:rPr>
          <w:instrText xml:space="preserve"> PAGEREF _Toc317196276 \h </w:instrText>
        </w:r>
        <w:r>
          <w:rPr>
            <w:webHidden/>
          </w:rPr>
        </w:r>
        <w:r>
          <w:rPr>
            <w:webHidden/>
          </w:rPr>
          <w:fldChar w:fldCharType="separate"/>
        </w:r>
        <w:r w:rsidR="00A16980">
          <w:rPr>
            <w:webHidden/>
          </w:rPr>
          <w:t>13</w:t>
        </w:r>
        <w:r>
          <w:rPr>
            <w:webHidden/>
          </w:rPr>
          <w:fldChar w:fldCharType="end"/>
        </w:r>
      </w:hyperlink>
    </w:p>
    <w:p w:rsidR="00A16980" w:rsidRDefault="009D2919">
      <w:pPr>
        <w:pStyle w:val="TOC2"/>
        <w:tabs>
          <w:tab w:val="left" w:pos="2340"/>
        </w:tabs>
        <w:rPr>
          <w:rFonts w:asciiTheme="minorHAnsi" w:eastAsiaTheme="minorEastAsia" w:hAnsiTheme="minorHAnsi" w:cstheme="minorBidi"/>
          <w:sz w:val="22"/>
          <w:szCs w:val="22"/>
        </w:rPr>
      </w:pPr>
      <w:hyperlink w:anchor="_Toc317196277" w:history="1">
        <w:r w:rsidR="00A16980" w:rsidRPr="000D67C8">
          <w:rPr>
            <w:rStyle w:val="Hyperlink"/>
          </w:rPr>
          <w:t>A.18</w:t>
        </w:r>
        <w:r w:rsidR="00A16980">
          <w:rPr>
            <w:rFonts w:asciiTheme="minorHAnsi" w:eastAsiaTheme="minorEastAsia" w:hAnsiTheme="minorHAnsi" w:cstheme="minorBidi"/>
            <w:sz w:val="22"/>
            <w:szCs w:val="22"/>
          </w:rPr>
          <w:tab/>
        </w:r>
        <w:r w:rsidR="00A16980" w:rsidRPr="000D67C8">
          <w:rPr>
            <w:rStyle w:val="Hyperlink"/>
          </w:rPr>
          <w:t>Exceptions to Certification for Paperwork Reduction Act Submissions</w:t>
        </w:r>
        <w:r w:rsidR="00A16980">
          <w:rPr>
            <w:webHidden/>
          </w:rPr>
          <w:tab/>
        </w:r>
        <w:r>
          <w:rPr>
            <w:webHidden/>
          </w:rPr>
          <w:fldChar w:fldCharType="begin"/>
        </w:r>
        <w:r w:rsidR="00A16980">
          <w:rPr>
            <w:webHidden/>
          </w:rPr>
          <w:instrText xml:space="preserve"> PAGEREF _Toc317196277 \h </w:instrText>
        </w:r>
        <w:r>
          <w:rPr>
            <w:webHidden/>
          </w:rPr>
        </w:r>
        <w:r>
          <w:rPr>
            <w:webHidden/>
          </w:rPr>
          <w:fldChar w:fldCharType="separate"/>
        </w:r>
        <w:r w:rsidR="00A16980">
          <w:rPr>
            <w:webHidden/>
          </w:rPr>
          <w:t>14</w:t>
        </w:r>
        <w:r>
          <w:rPr>
            <w:webHidden/>
          </w:rPr>
          <w:fldChar w:fldCharType="end"/>
        </w:r>
      </w:hyperlink>
    </w:p>
    <w:p w:rsidR="00A16980" w:rsidRDefault="009D2919">
      <w:pPr>
        <w:pStyle w:val="TOC1"/>
        <w:rPr>
          <w:rFonts w:asciiTheme="minorHAnsi" w:eastAsiaTheme="minorEastAsia" w:hAnsiTheme="minorHAnsi" w:cstheme="minorBidi"/>
          <w:sz w:val="22"/>
          <w:szCs w:val="22"/>
        </w:rPr>
      </w:pPr>
      <w:hyperlink w:anchor="_Toc317196278" w:history="1">
        <w:r w:rsidR="00A16980" w:rsidRPr="000D67C8">
          <w:rPr>
            <w:rStyle w:val="Hyperlink"/>
          </w:rPr>
          <w:t>References</w:t>
        </w:r>
        <w:r w:rsidR="00A16980">
          <w:rPr>
            <w:webHidden/>
          </w:rPr>
          <w:tab/>
        </w:r>
        <w:r>
          <w:rPr>
            <w:webHidden/>
          </w:rPr>
          <w:fldChar w:fldCharType="begin"/>
        </w:r>
        <w:r w:rsidR="00A16980">
          <w:rPr>
            <w:webHidden/>
          </w:rPr>
          <w:instrText xml:space="preserve"> PAGEREF _Toc317196278 \h </w:instrText>
        </w:r>
        <w:r>
          <w:rPr>
            <w:webHidden/>
          </w:rPr>
        </w:r>
        <w:r>
          <w:rPr>
            <w:webHidden/>
          </w:rPr>
          <w:fldChar w:fldCharType="separate"/>
        </w:r>
        <w:r w:rsidR="00A16980">
          <w:rPr>
            <w:webHidden/>
          </w:rPr>
          <w:t>15</w:t>
        </w:r>
        <w:r>
          <w:rPr>
            <w:webHidden/>
          </w:rPr>
          <w:fldChar w:fldCharType="end"/>
        </w:r>
      </w:hyperlink>
    </w:p>
    <w:p w:rsidR="00F72F56" w:rsidRPr="005C43A1" w:rsidRDefault="009D2919" w:rsidP="00A935D1">
      <w:pPr>
        <w:rPr>
          <w:noProof/>
        </w:rPr>
      </w:pPr>
      <w:r w:rsidRPr="005C43A1">
        <w:rPr>
          <w:b/>
          <w:bCs/>
          <w:caps/>
          <w:noProof/>
          <w:color w:val="000000"/>
        </w:rPr>
        <w:fldChar w:fldCharType="end"/>
      </w:r>
    </w:p>
    <w:p w:rsidR="00A935D1" w:rsidRPr="005C43A1" w:rsidRDefault="00A935D1" w:rsidP="00A935D1"/>
    <w:p w:rsidR="00F72F56" w:rsidRPr="005C43A1" w:rsidRDefault="00F72F56" w:rsidP="00F72F56">
      <w:pPr>
        <w:rPr>
          <w:noProof/>
        </w:rPr>
      </w:pPr>
    </w:p>
    <w:p w:rsidR="00D55B6C" w:rsidRDefault="00D55B6C" w:rsidP="00451757">
      <w:pPr>
        <w:pStyle w:val="TOC0"/>
      </w:pPr>
    </w:p>
    <w:p w:rsidR="00D55B6C" w:rsidRDefault="00D55B6C" w:rsidP="00451757">
      <w:pPr>
        <w:pStyle w:val="TOC0"/>
      </w:pPr>
    </w:p>
    <w:p w:rsidR="00451757" w:rsidRPr="005C43A1" w:rsidRDefault="00451757" w:rsidP="00451757">
      <w:pPr>
        <w:pStyle w:val="TOC0"/>
      </w:pPr>
      <w:r w:rsidRPr="005C43A1">
        <w:lastRenderedPageBreak/>
        <w:t>LIST OF ATTACHMENTS</w:t>
      </w:r>
    </w:p>
    <w:p w:rsidR="00451757" w:rsidRPr="005C43A1" w:rsidRDefault="00451757" w:rsidP="00451757">
      <w:pPr>
        <w:tabs>
          <w:tab w:val="left" w:pos="-1200"/>
          <w:tab w:val="left" w:pos="-720"/>
        </w:tabs>
        <w:ind w:left="2160" w:hanging="2160"/>
      </w:pPr>
    </w:p>
    <w:p w:rsidR="00153FF9" w:rsidRDefault="0055363C" w:rsidP="0055363C">
      <w:pPr>
        <w:tabs>
          <w:tab w:val="left" w:pos="1680"/>
        </w:tabs>
      </w:pPr>
      <w:r w:rsidRPr="005C43A1">
        <w:t>Attachment 1a.</w:t>
      </w:r>
      <w:r w:rsidRPr="005C43A1">
        <w:tab/>
      </w:r>
      <w:r w:rsidR="00153FF9" w:rsidRPr="005C43A1">
        <w:t>Authorizing Legislation: American Recovery and Reinvestment Act of 2009</w:t>
      </w:r>
    </w:p>
    <w:p w:rsidR="0055363C" w:rsidRDefault="0055363C" w:rsidP="0055363C">
      <w:pPr>
        <w:tabs>
          <w:tab w:val="left" w:pos="1680"/>
        </w:tabs>
      </w:pPr>
      <w:r w:rsidRPr="005C43A1">
        <w:t>Attachment 1b.</w:t>
      </w:r>
      <w:r w:rsidRPr="005C43A1">
        <w:tab/>
      </w:r>
      <w:r w:rsidR="00153FF9">
        <w:t>Authorizing Legislation: Patient Protection and Affordable Care Act</w:t>
      </w:r>
      <w:r w:rsidR="00153FF9" w:rsidRPr="005C43A1" w:rsidDel="00153FF9">
        <w:t xml:space="preserve"> </w:t>
      </w:r>
    </w:p>
    <w:p w:rsidR="00153FF9" w:rsidRPr="005C43A1" w:rsidRDefault="00C619F0" w:rsidP="00153FF9">
      <w:pPr>
        <w:tabs>
          <w:tab w:val="left" w:pos="1680"/>
        </w:tabs>
      </w:pPr>
      <w:r>
        <w:t>Attachment 1c:</w:t>
      </w:r>
      <w:r>
        <w:tab/>
      </w:r>
      <w:r w:rsidR="00153FF9" w:rsidRPr="005C43A1">
        <w:t>Authorizing Legislation: Public Health Service Act</w:t>
      </w:r>
    </w:p>
    <w:p w:rsidR="0055363C" w:rsidRPr="005C43A1" w:rsidRDefault="0055363C" w:rsidP="0055363C">
      <w:pPr>
        <w:tabs>
          <w:tab w:val="left" w:pos="1680"/>
        </w:tabs>
      </w:pPr>
      <w:r w:rsidRPr="005C43A1">
        <w:t>Attachment 2.</w:t>
      </w:r>
      <w:r w:rsidRPr="005C43A1">
        <w:tab/>
        <w:t>60-day Federal Register Notice</w:t>
      </w:r>
    </w:p>
    <w:p w:rsidR="00C619F0" w:rsidRDefault="0055363C">
      <w:pPr>
        <w:tabs>
          <w:tab w:val="left" w:pos="1680"/>
        </w:tabs>
        <w:ind w:left="1680" w:hanging="1680"/>
      </w:pPr>
      <w:r w:rsidRPr="005C43A1">
        <w:t>Attachment 3.</w:t>
      </w:r>
      <w:r w:rsidR="00D43BE8" w:rsidRPr="005C43A1">
        <w:tab/>
      </w:r>
      <w:r w:rsidRPr="005C43A1">
        <w:t>CTG Strategic Directi</w:t>
      </w:r>
      <w:r w:rsidR="006969D6">
        <w:t>ons and Examples of CDC-Recommended Evidence- and Practice-Based Strategies</w:t>
      </w:r>
    </w:p>
    <w:p w:rsidR="003E4DEB" w:rsidRDefault="00C619F0">
      <w:pPr>
        <w:tabs>
          <w:tab w:val="left" w:pos="1680"/>
        </w:tabs>
        <w:ind w:left="1680" w:hanging="1680"/>
      </w:pPr>
      <w:r>
        <w:t>Attachment 4.</w:t>
      </w:r>
      <w:r>
        <w:tab/>
        <w:t>List of CTG Awardees</w:t>
      </w:r>
      <w:r w:rsidR="006969D6">
        <w:t xml:space="preserve"> </w:t>
      </w:r>
    </w:p>
    <w:p w:rsidR="0055363C" w:rsidRDefault="00531A7E" w:rsidP="0055363C">
      <w:pPr>
        <w:tabs>
          <w:tab w:val="left" w:pos="1680"/>
        </w:tabs>
      </w:pPr>
      <w:r w:rsidRPr="00531A7E">
        <w:t xml:space="preserve">Attachment </w:t>
      </w:r>
      <w:r w:rsidR="00C619F0">
        <w:t>5</w:t>
      </w:r>
      <w:r w:rsidRPr="00531A7E">
        <w:t>.</w:t>
      </w:r>
      <w:r w:rsidRPr="00531A7E">
        <w:tab/>
        <w:t>Overall CTG Evaluation Questions</w:t>
      </w:r>
    </w:p>
    <w:p w:rsidR="000930DB" w:rsidRPr="005C43A1" w:rsidRDefault="000930DB" w:rsidP="0055363C">
      <w:pPr>
        <w:tabs>
          <w:tab w:val="left" w:pos="1680"/>
        </w:tabs>
      </w:pPr>
      <w:r>
        <w:t>Attachment 6a.</w:t>
      </w:r>
      <w:r>
        <w:tab/>
        <w:t>CTG Cost Study Instrument (CTG-CSI)</w:t>
      </w:r>
    </w:p>
    <w:p w:rsidR="00F72F56" w:rsidRPr="005C43A1" w:rsidRDefault="00F72F56" w:rsidP="00932612">
      <w:pPr>
        <w:pStyle w:val="Heading1"/>
        <w:rPr>
          <w:color w:val="000000"/>
        </w:rPr>
        <w:sectPr w:rsidR="00F72F56" w:rsidRPr="005C43A1" w:rsidSect="00CB0350">
          <w:footerReference w:type="default" r:id="rId10"/>
          <w:pgSz w:w="12240" w:h="15840"/>
          <w:pgMar w:top="1440" w:right="1440" w:bottom="1440" w:left="1440" w:header="720" w:footer="720" w:gutter="0"/>
          <w:pgNumType w:fmt="lowerRoman" w:start="3"/>
          <w:cols w:space="720"/>
        </w:sectPr>
      </w:pPr>
    </w:p>
    <w:p w:rsidR="00D43F13" w:rsidRPr="005C43A1" w:rsidRDefault="00D43F13" w:rsidP="00932612">
      <w:pPr>
        <w:pStyle w:val="Heading1"/>
        <w:rPr>
          <w:color w:val="000000"/>
          <w:szCs w:val="20"/>
        </w:rPr>
      </w:pPr>
      <w:bookmarkStart w:id="3" w:name="_Toc317196255"/>
      <w:r w:rsidRPr="005C43A1">
        <w:rPr>
          <w:color w:val="000000"/>
        </w:rPr>
        <w:lastRenderedPageBreak/>
        <w:t>A.</w:t>
      </w:r>
      <w:r w:rsidR="00932612" w:rsidRPr="005C43A1">
        <w:rPr>
          <w:color w:val="000000"/>
        </w:rPr>
        <w:tab/>
      </w:r>
      <w:r w:rsidRPr="005C43A1">
        <w:rPr>
          <w:color w:val="000000"/>
        </w:rPr>
        <w:t>Justification</w:t>
      </w:r>
      <w:bookmarkEnd w:id="2"/>
      <w:bookmarkEnd w:id="3"/>
    </w:p>
    <w:p w:rsidR="00495ADF" w:rsidRPr="005C43A1" w:rsidRDefault="00495ADF" w:rsidP="00495ADF">
      <w:pPr>
        <w:pStyle w:val="Heading2"/>
      </w:pPr>
      <w:bookmarkStart w:id="4" w:name="_Toc88033459"/>
      <w:bookmarkStart w:id="5" w:name="_Toc317196256"/>
      <w:r w:rsidRPr="005C43A1">
        <w:t>A.1</w:t>
      </w:r>
      <w:r w:rsidRPr="005C43A1">
        <w:tab/>
        <w:t>Circumstances Making the Collection of Information Necessary</w:t>
      </w:r>
      <w:bookmarkEnd w:id="4"/>
      <w:bookmarkEnd w:id="5"/>
    </w:p>
    <w:p w:rsidR="000256F5" w:rsidRPr="005C43A1" w:rsidRDefault="0055363C" w:rsidP="00847FE9">
      <w:pPr>
        <w:pStyle w:val="BodyText1"/>
        <w:spacing w:after="0"/>
        <w:rPr>
          <w:rFonts w:eastAsia="Batang"/>
          <w:szCs w:val="24"/>
        </w:rPr>
      </w:pPr>
      <w:r w:rsidRPr="005C43A1">
        <w:rPr>
          <w:rFonts w:eastAsia="Batang"/>
          <w:szCs w:val="24"/>
        </w:rPr>
        <w:t>This is a new Information Collection Request (ICR).</w:t>
      </w:r>
      <w:bookmarkStart w:id="6" w:name="OLE_LINK3"/>
      <w:bookmarkStart w:id="7" w:name="OLE_LINK4"/>
      <w:r w:rsidR="00C619F0">
        <w:rPr>
          <w:rFonts w:eastAsia="Batang"/>
          <w:szCs w:val="24"/>
        </w:rPr>
        <w:t xml:space="preserve">  </w:t>
      </w:r>
      <w:r w:rsidR="00A55658">
        <w:rPr>
          <w:rFonts w:eastAsia="Batang"/>
          <w:szCs w:val="24"/>
        </w:rPr>
        <w:t xml:space="preserve">This </w:t>
      </w:r>
      <w:r w:rsidR="00C619F0">
        <w:rPr>
          <w:rFonts w:eastAsia="Batang"/>
          <w:szCs w:val="24"/>
        </w:rPr>
        <w:t>OMB approval is being requested for</w:t>
      </w:r>
      <w:r w:rsidR="00A55658">
        <w:rPr>
          <w:rFonts w:eastAsia="Batang"/>
          <w:szCs w:val="24"/>
        </w:rPr>
        <w:t xml:space="preserve"> </w:t>
      </w:r>
      <w:r w:rsidR="0023369B">
        <w:rPr>
          <w:rFonts w:eastAsia="Batang"/>
          <w:szCs w:val="24"/>
        </w:rPr>
        <w:t xml:space="preserve">the first </w:t>
      </w:r>
      <w:r w:rsidR="00847FE9">
        <w:rPr>
          <w:rFonts w:eastAsia="Batang"/>
          <w:szCs w:val="24"/>
        </w:rPr>
        <w:t>three</w:t>
      </w:r>
      <w:r w:rsidR="00C619F0">
        <w:rPr>
          <w:rFonts w:eastAsia="Batang"/>
          <w:szCs w:val="24"/>
        </w:rPr>
        <w:t xml:space="preserve"> years</w:t>
      </w:r>
      <w:r w:rsidR="00847FE9">
        <w:rPr>
          <w:rFonts w:eastAsia="Batang"/>
          <w:szCs w:val="24"/>
        </w:rPr>
        <w:t xml:space="preserve"> of a five</w:t>
      </w:r>
      <w:r w:rsidR="0023369B">
        <w:rPr>
          <w:rFonts w:eastAsia="Batang"/>
          <w:szCs w:val="24"/>
        </w:rPr>
        <w:t xml:space="preserve">-year project.  </w:t>
      </w:r>
      <w:r w:rsidR="00847FE9">
        <w:rPr>
          <w:rFonts w:eastAsia="Batang"/>
          <w:szCs w:val="24"/>
        </w:rPr>
        <w:t xml:space="preserve">CDC plans to seek an </w:t>
      </w:r>
      <w:r w:rsidR="00A55658">
        <w:rPr>
          <w:rFonts w:eastAsia="Batang"/>
          <w:szCs w:val="24"/>
        </w:rPr>
        <w:t xml:space="preserve">extension </w:t>
      </w:r>
      <w:r w:rsidR="00847FE9">
        <w:rPr>
          <w:rFonts w:eastAsia="Batang"/>
          <w:szCs w:val="24"/>
        </w:rPr>
        <w:t xml:space="preserve">of </w:t>
      </w:r>
      <w:r w:rsidR="00A55658">
        <w:rPr>
          <w:rFonts w:eastAsia="Batang"/>
          <w:szCs w:val="24"/>
        </w:rPr>
        <w:t xml:space="preserve">OMB approval </w:t>
      </w:r>
      <w:r w:rsidR="00847FE9">
        <w:rPr>
          <w:rFonts w:eastAsia="Batang"/>
          <w:szCs w:val="24"/>
        </w:rPr>
        <w:t>to support continued</w:t>
      </w:r>
      <w:r w:rsidR="00A55658">
        <w:rPr>
          <w:rFonts w:eastAsia="Batang"/>
          <w:szCs w:val="24"/>
        </w:rPr>
        <w:t xml:space="preserve"> data collection </w:t>
      </w:r>
      <w:r w:rsidR="00847FE9">
        <w:rPr>
          <w:rFonts w:eastAsia="Batang"/>
          <w:szCs w:val="24"/>
        </w:rPr>
        <w:t>through the final two years of the five-year CTG award period</w:t>
      </w:r>
      <w:r w:rsidR="00A55658">
        <w:rPr>
          <w:rFonts w:eastAsia="Batang"/>
          <w:szCs w:val="24"/>
        </w:rPr>
        <w:t xml:space="preserve">.  </w:t>
      </w:r>
      <w:r w:rsidR="004E62E6">
        <w:rPr>
          <w:rFonts w:eastAsia="Batang"/>
          <w:szCs w:val="24"/>
        </w:rPr>
        <w:t xml:space="preserve"> CDC requests OMB approval by June 1</w:t>
      </w:r>
      <w:r w:rsidR="001D09F4">
        <w:rPr>
          <w:rFonts w:eastAsia="Batang"/>
          <w:szCs w:val="24"/>
        </w:rPr>
        <w:t xml:space="preserve">, 2012, </w:t>
      </w:r>
      <w:r w:rsidR="004E62E6">
        <w:rPr>
          <w:rFonts w:eastAsia="Batang"/>
          <w:szCs w:val="24"/>
        </w:rPr>
        <w:t>in order to initiate data collection by July 1</w:t>
      </w:r>
      <w:r w:rsidR="001D09F4">
        <w:rPr>
          <w:rFonts w:eastAsia="Batang"/>
          <w:szCs w:val="24"/>
        </w:rPr>
        <w:t>, 2012</w:t>
      </w:r>
      <w:r w:rsidR="004E62E6">
        <w:rPr>
          <w:rFonts w:eastAsia="Batang"/>
          <w:szCs w:val="24"/>
        </w:rPr>
        <w:t xml:space="preserve">. </w:t>
      </w:r>
    </w:p>
    <w:p w:rsidR="000256F5" w:rsidRPr="005C43A1" w:rsidRDefault="0055363C" w:rsidP="002C1356">
      <w:pPr>
        <w:pStyle w:val="BodyText1"/>
        <w:rPr>
          <w:rFonts w:cs="Courier New"/>
        </w:rPr>
      </w:pPr>
      <w:r w:rsidRPr="005C43A1">
        <w:rPr>
          <w:rFonts w:eastAsia="Batang"/>
        </w:rPr>
        <w:t xml:space="preserve">In 2009, Title VIII of the </w:t>
      </w:r>
      <w:r w:rsidRPr="005C43A1">
        <w:t>American Recovery and Reinvestment Act (ARRA), Public Law 111–5 (Attachment 1a)</w:t>
      </w:r>
      <w:r w:rsidR="00A04F8B">
        <w:t>,</w:t>
      </w:r>
      <w:r w:rsidRPr="005C43A1">
        <w:t xml:space="preserve"> </w:t>
      </w:r>
      <w:r w:rsidRPr="005C43A1">
        <w:rPr>
          <w:rFonts w:eastAsia="Batang"/>
        </w:rPr>
        <w:t>provided $650 million to carry out evidence-based prevention and wellness strategies. The Department of Health and Human Services (HHS) has developed an initiative in response to ARRA</w:t>
      </w:r>
      <w:r w:rsidR="00C05817" w:rsidRPr="005C43A1">
        <w:rPr>
          <w:rFonts w:eastAsia="Batang"/>
        </w:rPr>
        <w:t>—</w:t>
      </w:r>
      <w:r w:rsidRPr="005C43A1">
        <w:rPr>
          <w:iCs/>
        </w:rPr>
        <w:t xml:space="preserve">the </w:t>
      </w:r>
      <w:r w:rsidRPr="005C43A1">
        <w:t xml:space="preserve">Patient Protection and Affordable Care Act </w:t>
      </w:r>
      <w:r w:rsidRPr="005C43A1">
        <w:rPr>
          <w:iCs/>
        </w:rPr>
        <w:t>(ACA)</w:t>
      </w:r>
      <w:r w:rsidR="001D09F4">
        <w:rPr>
          <w:iCs/>
        </w:rPr>
        <w:t>(Attachment 1b)</w:t>
      </w:r>
      <w:r w:rsidR="00A04F8B">
        <w:rPr>
          <w:iCs/>
        </w:rPr>
        <w:t>—that</w:t>
      </w:r>
      <w:r w:rsidRPr="005C43A1">
        <w:rPr>
          <w:iCs/>
        </w:rPr>
        <w:t xml:space="preserve"> is helping to </w:t>
      </w:r>
      <w:r w:rsidRPr="005C43A1">
        <w:rPr>
          <w:rFonts w:eastAsiaTheme="minorHAnsi"/>
        </w:rPr>
        <w:t xml:space="preserve">reorient </w:t>
      </w:r>
      <w:r w:rsidR="00A04F8B">
        <w:rPr>
          <w:rFonts w:eastAsiaTheme="minorHAnsi"/>
        </w:rPr>
        <w:t>the U.S.</w:t>
      </w:r>
      <w:r w:rsidRPr="005C43A1">
        <w:rPr>
          <w:rFonts w:eastAsiaTheme="minorHAnsi"/>
        </w:rPr>
        <w:t xml:space="preserve"> health</w:t>
      </w:r>
      <w:r w:rsidR="00A04F8B">
        <w:rPr>
          <w:rFonts w:eastAsiaTheme="minorHAnsi"/>
        </w:rPr>
        <w:t xml:space="preserve"> </w:t>
      </w:r>
      <w:r w:rsidRPr="005C43A1">
        <w:rPr>
          <w:rFonts w:eastAsiaTheme="minorHAnsi"/>
        </w:rPr>
        <w:t xml:space="preserve">care system </w:t>
      </w:r>
      <w:r w:rsidRPr="005C43A1">
        <w:rPr>
          <w:iCs/>
        </w:rPr>
        <w:t>from primarily treating disease to promoting population health and well-being.</w:t>
      </w:r>
      <w:r w:rsidRPr="005C43A1">
        <w:rPr>
          <w:rFonts w:eastAsiaTheme="minorHAnsi"/>
        </w:rPr>
        <w:t xml:space="preserve"> </w:t>
      </w:r>
      <w:r w:rsidRPr="005C43A1">
        <w:t xml:space="preserve">The ACA </w:t>
      </w:r>
      <w:r w:rsidRPr="005C43A1">
        <w:rPr>
          <w:iCs/>
        </w:rPr>
        <w:t xml:space="preserve">created a new Prevention and Public Health Fund designed to expand and sustain the necessary infrastructure to prevent disease, detect it early, and manage conditions before they become severe. </w:t>
      </w:r>
      <w:r w:rsidR="00A04F8B">
        <w:rPr>
          <w:iCs/>
        </w:rPr>
        <w:t>In fiscal year (FY) 2011, f</w:t>
      </w:r>
      <w:r w:rsidRPr="005C43A1">
        <w:rPr>
          <w:iCs/>
        </w:rPr>
        <w:t xml:space="preserve">unding of </w:t>
      </w:r>
      <w:r w:rsidRPr="005C43A1">
        <w:t>$102.6 million was authorized</w:t>
      </w:r>
      <w:r w:rsidR="00C05817" w:rsidRPr="005C43A1">
        <w:t xml:space="preserve"> </w:t>
      </w:r>
      <w:r w:rsidRPr="005C43A1">
        <w:t>to the Community Transformation Grants (CTG) program (CDC-RFA-DP11-1103PPHF11) to finance</w:t>
      </w:r>
      <w:r w:rsidR="00C05817" w:rsidRPr="005C43A1">
        <w:t xml:space="preserve"> </w:t>
      </w:r>
      <w:r w:rsidRPr="005C43A1">
        <w:t>national networks of community-based organizations, as outlined in Section III</w:t>
      </w:r>
      <w:r w:rsidR="001D09F4">
        <w:t>-</w:t>
      </w:r>
      <w:r w:rsidRPr="005C43A1">
        <w:t>Eligibility Information, to support, disseminate</w:t>
      </w:r>
      <w:r w:rsidR="00A04F8B">
        <w:t>,</w:t>
      </w:r>
      <w:r w:rsidRPr="005C43A1">
        <w:t xml:space="preserve"> and amplify successful program models and activities as prescri</w:t>
      </w:r>
      <w:r w:rsidR="00A04F8B">
        <w:t>bed under statutory authority (S</w:t>
      </w:r>
      <w:r w:rsidRPr="005C43A1">
        <w:t>ection 4201</w:t>
      </w:r>
      <w:r w:rsidR="00A04F8B">
        <w:t>[</w:t>
      </w:r>
      <w:r w:rsidRPr="005C43A1">
        <w:t>c</w:t>
      </w:r>
      <w:r w:rsidR="00A04F8B">
        <w:t>][</w:t>
      </w:r>
      <w:r w:rsidRPr="005C43A1">
        <w:t>5</w:t>
      </w:r>
      <w:r w:rsidR="00A04F8B">
        <w:t>]</w:t>
      </w:r>
      <w:r w:rsidRPr="005C43A1">
        <w:t xml:space="preserve"> of </w:t>
      </w:r>
      <w:r w:rsidR="00A04F8B">
        <w:t xml:space="preserve">the </w:t>
      </w:r>
      <w:r w:rsidRPr="005C43A1">
        <w:t>ACA</w:t>
      </w:r>
      <w:r w:rsidR="00A04F8B">
        <w:t>)</w:t>
      </w:r>
      <w:r w:rsidRPr="005C43A1">
        <w:t>.</w:t>
      </w:r>
      <w:r w:rsidR="00C05817" w:rsidRPr="005C43A1">
        <w:t xml:space="preserve"> </w:t>
      </w:r>
      <w:r w:rsidRPr="005C43A1">
        <w:rPr>
          <w:rFonts w:cs="Courier New"/>
          <w:color w:val="000000"/>
        </w:rPr>
        <w:t>The measurable outcomes of the overall CTG program are in alignment with performance goals for the</w:t>
      </w:r>
      <w:r w:rsidRPr="005C43A1">
        <w:rPr>
          <w:rFonts w:cs="Courier New"/>
        </w:rPr>
        <w:t xml:space="preserve"> </w:t>
      </w:r>
      <w:r w:rsidRPr="005C43A1">
        <w:rPr>
          <w:rFonts w:cs="Courier New"/>
          <w:bCs/>
          <w:iCs/>
        </w:rPr>
        <w:t>National Center for Chronic Disease Prevention and Health Promotion</w:t>
      </w:r>
      <w:r w:rsidR="002C1356">
        <w:rPr>
          <w:rFonts w:cs="Courier New"/>
          <w:bCs/>
          <w:iCs/>
        </w:rPr>
        <w:t xml:space="preserve"> in the</w:t>
      </w:r>
      <w:r w:rsidRPr="005C43A1">
        <w:rPr>
          <w:rFonts w:cs="Courier New"/>
          <w:bCs/>
          <w:iCs/>
        </w:rPr>
        <w:t xml:space="preserve"> Centers for Disease Control and Prevention (CDC) to reduce</w:t>
      </w:r>
      <w:r w:rsidRPr="005C43A1">
        <w:rPr>
          <w:rFonts w:cs="Courier New"/>
        </w:rPr>
        <w:t xml:space="preserve"> death and disability related to tobacco use, obesity via nutrition and physical activity, and stroke.</w:t>
      </w:r>
    </w:p>
    <w:p w:rsidR="000256F5" w:rsidRPr="005C43A1" w:rsidRDefault="0055363C" w:rsidP="00BB6DE5">
      <w:pPr>
        <w:pStyle w:val="BodyText1"/>
      </w:pPr>
      <w:r w:rsidRPr="005C43A1">
        <w:t>The</w:t>
      </w:r>
      <w:r w:rsidRPr="005C43A1">
        <w:rPr>
          <w:rFonts w:eastAsia="Batang"/>
        </w:rPr>
        <w:t xml:space="preserve"> CTG </w:t>
      </w:r>
      <w:r w:rsidR="00847FE9">
        <w:rPr>
          <w:rFonts w:eastAsia="Batang"/>
        </w:rPr>
        <w:t>awardee</w:t>
      </w:r>
      <w:r w:rsidRPr="005C43A1">
        <w:rPr>
          <w:rFonts w:eastAsia="Batang"/>
        </w:rPr>
        <w:t>s are required to focus on</w:t>
      </w:r>
      <w:r w:rsidRPr="005C43A1">
        <w:t xml:space="preserve"> five strategic directions (</w:t>
      </w:r>
      <w:r w:rsidR="000256F5" w:rsidRPr="005C43A1">
        <w:t>Attachment </w:t>
      </w:r>
      <w:r w:rsidRPr="005C43A1">
        <w:t>3): (1</w:t>
      </w:r>
      <w:r w:rsidR="000256F5" w:rsidRPr="005C43A1">
        <w:t>) </w:t>
      </w:r>
      <w:r w:rsidR="00731BA5">
        <w:t>t</w:t>
      </w:r>
      <w:r w:rsidRPr="005C43A1">
        <w:t>obacco-</w:t>
      </w:r>
      <w:r w:rsidR="00731BA5">
        <w:t>f</w:t>
      </w:r>
      <w:r w:rsidRPr="005C43A1">
        <w:t xml:space="preserve">ree </w:t>
      </w:r>
      <w:r w:rsidR="00731BA5">
        <w:t>l</w:t>
      </w:r>
      <w:r w:rsidRPr="005C43A1">
        <w:t>iving, (2</w:t>
      </w:r>
      <w:r w:rsidR="000256F5" w:rsidRPr="005C43A1">
        <w:t>) </w:t>
      </w:r>
      <w:r w:rsidR="00731BA5">
        <w:t>a</w:t>
      </w:r>
      <w:r w:rsidRPr="005C43A1">
        <w:t xml:space="preserve">ctive </w:t>
      </w:r>
      <w:r w:rsidR="00731BA5">
        <w:t>l</w:t>
      </w:r>
      <w:r w:rsidRPr="005C43A1">
        <w:t xml:space="preserve">ifestyles and </w:t>
      </w:r>
      <w:r w:rsidR="00731BA5">
        <w:t>h</w:t>
      </w:r>
      <w:r w:rsidRPr="005C43A1">
        <w:t xml:space="preserve">ealthy </w:t>
      </w:r>
      <w:r w:rsidR="00731BA5">
        <w:t>e</w:t>
      </w:r>
      <w:r w:rsidRPr="005C43A1">
        <w:t>ating, (3</w:t>
      </w:r>
      <w:r w:rsidR="000256F5" w:rsidRPr="005C43A1">
        <w:t>) </w:t>
      </w:r>
      <w:r w:rsidR="00731BA5">
        <w:t>h</w:t>
      </w:r>
      <w:r w:rsidRPr="005C43A1">
        <w:t xml:space="preserve">igh </w:t>
      </w:r>
      <w:r w:rsidR="00731BA5">
        <w:t>i</w:t>
      </w:r>
      <w:r w:rsidRPr="005C43A1">
        <w:t xml:space="preserve">mpact </w:t>
      </w:r>
      <w:r w:rsidR="00731BA5">
        <w:t>e</w:t>
      </w:r>
      <w:r w:rsidRPr="005C43A1">
        <w:t>vidence-</w:t>
      </w:r>
      <w:r w:rsidR="00731BA5">
        <w:t>b</w:t>
      </w:r>
      <w:r w:rsidRPr="005C43A1">
        <w:t xml:space="preserve">ased </w:t>
      </w:r>
      <w:r w:rsidR="00731BA5">
        <w:t>c</w:t>
      </w:r>
      <w:r w:rsidRPr="005C43A1">
        <w:t xml:space="preserve">linical and </w:t>
      </w:r>
      <w:r w:rsidR="00731BA5">
        <w:t>o</w:t>
      </w:r>
      <w:r w:rsidRPr="005C43A1">
        <w:t xml:space="preserve">ther </w:t>
      </w:r>
      <w:r w:rsidR="00731BA5">
        <w:t>p</w:t>
      </w:r>
      <w:r w:rsidRPr="005C43A1">
        <w:t xml:space="preserve">reventive </w:t>
      </w:r>
      <w:r w:rsidR="00731BA5">
        <w:t>s</w:t>
      </w:r>
      <w:r w:rsidRPr="005C43A1">
        <w:t>ervices, (4</w:t>
      </w:r>
      <w:r w:rsidR="000256F5" w:rsidRPr="005C43A1">
        <w:t>) </w:t>
      </w:r>
      <w:r w:rsidR="00731BA5">
        <w:t>s</w:t>
      </w:r>
      <w:r w:rsidRPr="005C43A1">
        <w:t xml:space="preserve">ocial and </w:t>
      </w:r>
      <w:r w:rsidR="00731BA5">
        <w:t>e</w:t>
      </w:r>
      <w:r w:rsidRPr="005C43A1">
        <w:t xml:space="preserve">motional </w:t>
      </w:r>
      <w:r w:rsidR="00731BA5">
        <w:t>w</w:t>
      </w:r>
      <w:r w:rsidRPr="005C43A1">
        <w:t>ell-</w:t>
      </w:r>
      <w:r w:rsidR="00731BA5">
        <w:t>b</w:t>
      </w:r>
      <w:r w:rsidRPr="005C43A1">
        <w:t>eing, and (5</w:t>
      </w:r>
      <w:r w:rsidR="000256F5" w:rsidRPr="005C43A1">
        <w:t>) </w:t>
      </w:r>
      <w:r w:rsidR="00731BA5">
        <w:t>h</w:t>
      </w:r>
      <w:r w:rsidRPr="005C43A1">
        <w:t xml:space="preserve">ealthy and </w:t>
      </w:r>
      <w:r w:rsidR="00731BA5">
        <w:t>s</w:t>
      </w:r>
      <w:r w:rsidRPr="005C43A1">
        <w:t xml:space="preserve">afe </w:t>
      </w:r>
      <w:r w:rsidR="00731BA5">
        <w:t>p</w:t>
      </w:r>
      <w:r w:rsidRPr="005C43A1">
        <w:t xml:space="preserve">hysical </w:t>
      </w:r>
      <w:r w:rsidR="00731BA5">
        <w:t>e</w:t>
      </w:r>
      <w:r w:rsidRPr="005C43A1">
        <w:t xml:space="preserve">nvironments. </w:t>
      </w:r>
      <w:r w:rsidR="00731BA5">
        <w:t>Out of these</w:t>
      </w:r>
      <w:r w:rsidRPr="005C43A1">
        <w:t xml:space="preserve">, CTG awardees </w:t>
      </w:r>
      <w:r w:rsidR="00A04F8B">
        <w:t xml:space="preserve">are required to </w:t>
      </w:r>
      <w:r w:rsidRPr="005C43A1">
        <w:t>address (1</w:t>
      </w:r>
      <w:r w:rsidR="000256F5" w:rsidRPr="005C43A1">
        <w:t>) </w:t>
      </w:r>
      <w:r w:rsidR="00A04F8B">
        <w:t>t</w:t>
      </w:r>
      <w:r w:rsidRPr="005C43A1">
        <w:t>obacco-free living</w:t>
      </w:r>
      <w:r w:rsidR="00A04F8B">
        <w:t>;</w:t>
      </w:r>
      <w:r w:rsidRPr="005C43A1">
        <w:t xml:space="preserve"> (2</w:t>
      </w:r>
      <w:r w:rsidR="000256F5" w:rsidRPr="005C43A1">
        <w:t>) </w:t>
      </w:r>
      <w:r w:rsidR="00A04F8B">
        <w:t>a</w:t>
      </w:r>
      <w:r w:rsidRPr="005C43A1">
        <w:t>ctive lifestyles and healthy eating</w:t>
      </w:r>
      <w:r w:rsidR="00A04F8B">
        <w:t>;</w:t>
      </w:r>
      <w:r w:rsidRPr="005C43A1">
        <w:t xml:space="preserve"> and (3</w:t>
      </w:r>
      <w:r w:rsidR="000256F5" w:rsidRPr="005C43A1">
        <w:t>) </w:t>
      </w:r>
      <w:r w:rsidR="00731BA5">
        <w:t xml:space="preserve">high impact </w:t>
      </w:r>
      <w:r w:rsidR="00A04F8B">
        <w:t>e</w:t>
      </w:r>
      <w:r w:rsidRPr="005C43A1">
        <w:t>vidence-based</w:t>
      </w:r>
      <w:r w:rsidR="00731BA5">
        <w:t xml:space="preserve"> clinical</w:t>
      </w:r>
      <w:r w:rsidRPr="005C43A1">
        <w:t xml:space="preserve"> and other preventive services, specifically prevention and control of high blood pressure. </w:t>
      </w:r>
      <w:r w:rsidR="00BB6DE5">
        <w:t xml:space="preserve">CTG </w:t>
      </w:r>
      <w:r w:rsidR="00BB6DE5">
        <w:lastRenderedPageBreak/>
        <w:t>a</w:t>
      </w:r>
      <w:r w:rsidRPr="005C43A1">
        <w:rPr>
          <w:rFonts w:eastAsia="Batang"/>
        </w:rPr>
        <w:t>wardees</w:t>
      </w:r>
      <w:r w:rsidRPr="005C43A1">
        <w:t xml:space="preserve"> will create healthier communities through implementation of sustainable, broad, evidence</w:t>
      </w:r>
      <w:r w:rsidR="00BB6DE5">
        <w:t>-</w:t>
      </w:r>
      <w:r w:rsidRPr="005C43A1">
        <w:t xml:space="preserve"> and practice-based policy, environmental, programmatic, and infrastructure changes in </w:t>
      </w:r>
      <w:r w:rsidRPr="006969D6">
        <w:t>counties, states, tribes</w:t>
      </w:r>
      <w:r w:rsidR="00A04F8B" w:rsidRPr="006969D6">
        <w:t>,</w:t>
      </w:r>
      <w:r w:rsidRPr="006969D6">
        <w:t xml:space="preserve"> and territories</w:t>
      </w:r>
      <w:r w:rsidR="00531A7E" w:rsidRPr="00531A7E">
        <w:t>.</w:t>
      </w:r>
    </w:p>
    <w:p w:rsidR="000256F5" w:rsidRPr="005C43A1" w:rsidRDefault="0055363C" w:rsidP="00E427A6">
      <w:pPr>
        <w:pStyle w:val="BodyText1"/>
        <w:rPr>
          <w:rFonts w:eastAsia="Batang"/>
        </w:rPr>
      </w:pPr>
      <w:r w:rsidRPr="005C43A1">
        <w:rPr>
          <w:rFonts w:eastAsia="Batang"/>
        </w:rPr>
        <w:t>In September 2011, HHS made 61 awards under the CTG to states and communities serving approximately 120 million Americans.</w:t>
      </w:r>
      <w:r w:rsidR="00C05817" w:rsidRPr="005C43A1">
        <w:rPr>
          <w:rFonts w:eastAsia="Batang"/>
        </w:rPr>
        <w:t xml:space="preserve"> </w:t>
      </w:r>
      <w:r w:rsidRPr="005C43A1">
        <w:rPr>
          <w:rFonts w:eastAsia="Batang"/>
        </w:rPr>
        <w:t>These awards are distributed among state and local government agencies, tribes, and territories, and state and local nonprofit organizations within 36 states, including seven tribes and one territory.</w:t>
      </w:r>
      <w:r w:rsidR="00C05817" w:rsidRPr="005C43A1">
        <w:rPr>
          <w:rFonts w:eastAsia="Batang"/>
        </w:rPr>
        <w:t xml:space="preserve"> </w:t>
      </w:r>
      <w:r w:rsidRPr="005C43A1">
        <w:rPr>
          <w:rFonts w:eastAsia="Batang"/>
        </w:rPr>
        <w:t>Thirty five of the awards are</w:t>
      </w:r>
      <w:r w:rsidR="00731BA5">
        <w:rPr>
          <w:rFonts w:eastAsia="Batang"/>
        </w:rPr>
        <w:t xml:space="preserve"> for</w:t>
      </w:r>
      <w:r w:rsidRPr="005C43A1">
        <w:rPr>
          <w:rFonts w:eastAsia="Batang"/>
        </w:rPr>
        <w:t xml:space="preserve"> implementation</w:t>
      </w:r>
      <w:r w:rsidR="00A04F8B">
        <w:rPr>
          <w:rFonts w:eastAsia="Batang"/>
        </w:rPr>
        <w:t>,</w:t>
      </w:r>
      <w:r w:rsidRPr="005C43A1">
        <w:rPr>
          <w:rFonts w:eastAsia="Batang"/>
        </w:rPr>
        <w:t xml:space="preserve"> and 26 </w:t>
      </w:r>
      <w:r w:rsidR="00731BA5">
        <w:rPr>
          <w:rFonts w:eastAsia="Batang"/>
        </w:rPr>
        <w:t xml:space="preserve">are for capacity building </w:t>
      </w:r>
      <w:bookmarkEnd w:id="6"/>
      <w:bookmarkEnd w:id="7"/>
      <w:r w:rsidR="00D011CD">
        <w:rPr>
          <w:rFonts w:eastAsia="Batang"/>
        </w:rPr>
        <w:t>(Attachment 4).  The proposed system cost</w:t>
      </w:r>
      <w:r w:rsidR="00A55658">
        <w:rPr>
          <w:rFonts w:eastAsia="Batang"/>
        </w:rPr>
        <w:t xml:space="preserve"> data collection</w:t>
      </w:r>
      <w:r w:rsidR="00D011CD">
        <w:rPr>
          <w:rFonts w:eastAsia="Batang"/>
        </w:rPr>
        <w:t xml:space="preserve"> will be conducted with a subset of 30 CTG implementation awardees.</w:t>
      </w:r>
    </w:p>
    <w:p w:rsidR="000256F5" w:rsidRPr="005C43A1" w:rsidRDefault="0055363C" w:rsidP="002C1356">
      <w:pPr>
        <w:pStyle w:val="BodyText1"/>
        <w:rPr>
          <w:rFonts w:eastAsia="Batang"/>
          <w:szCs w:val="24"/>
        </w:rPr>
      </w:pPr>
      <w:r w:rsidRPr="005C43A1">
        <w:t xml:space="preserve">The evaluation plan for CTG fulfills the requirements and goals established in </w:t>
      </w:r>
      <w:r w:rsidR="00A04F8B">
        <w:t xml:space="preserve">Section 4201 of </w:t>
      </w:r>
      <w:r w:rsidRPr="005C43A1">
        <w:t xml:space="preserve">the </w:t>
      </w:r>
      <w:r w:rsidR="00A04F8B">
        <w:t>ACA</w:t>
      </w:r>
      <w:r w:rsidRPr="005C43A1">
        <w:t xml:space="preserve"> and provides for a robust and multicomponent evaluation of policy, environmental, programmatic</w:t>
      </w:r>
      <w:r w:rsidR="00A04F8B">
        <w:t>,</w:t>
      </w:r>
      <w:r w:rsidRPr="005C43A1">
        <w:t xml:space="preserve"> and infrastructure changes; short-term and intermediate changes; changes in other nonbehavioral risk factors and related health outcomes; and intervention characteristics, the policy environment</w:t>
      </w:r>
      <w:r w:rsidR="00A04F8B">
        <w:t>,</w:t>
      </w:r>
      <w:r w:rsidRPr="005C43A1">
        <w:t xml:space="preserve"> and health-related costs and savings. The overall evaluation plan for the CTG will incorporate seven key evaluation approaches (</w:t>
      </w:r>
      <w:r w:rsidR="000256F5" w:rsidRPr="009D3619">
        <w:t>Attachment </w:t>
      </w:r>
      <w:r w:rsidR="00D011CD">
        <w:t>5</w:t>
      </w:r>
      <w:r w:rsidRPr="00A04F8B">
        <w:rPr>
          <w:iCs/>
        </w:rPr>
        <w:t>)</w:t>
      </w:r>
      <w:r w:rsidRPr="005C43A1">
        <w:t xml:space="preserve"> to assess the degree to which activities and strategies selected by CTG awardees result in changes that increase health equity, eliminate health disparities, and improve health of all groups. For each of the approaches that require data collection, distinct packages will be submitted for </w:t>
      </w:r>
      <w:r w:rsidR="009D3619">
        <w:t>Office of Management and Budget (</w:t>
      </w:r>
      <w:r w:rsidRPr="005C43A1">
        <w:t>OMB</w:t>
      </w:r>
      <w:r w:rsidR="009D3619">
        <w:t>)</w:t>
      </w:r>
      <w:r w:rsidRPr="005C43A1">
        <w:t xml:space="preserve"> approval. This OMB document specifically addresses </w:t>
      </w:r>
      <w:r w:rsidRPr="005C43A1">
        <w:rPr>
          <w:b/>
          <w:i/>
        </w:rPr>
        <w:t>Use of System Dynamics Modeling and Economic Analysis in Select Communities</w:t>
      </w:r>
      <w:r w:rsidR="00C05817" w:rsidRPr="005C43A1">
        <w:rPr>
          <w:b/>
          <w:i/>
        </w:rPr>
        <w:t xml:space="preserve"> </w:t>
      </w:r>
      <w:r w:rsidRPr="005C43A1">
        <w:t>and concentrates on approaches four and five</w:t>
      </w:r>
      <w:r w:rsidR="00731BA5">
        <w:t xml:space="preserve"> listed in Attachment </w:t>
      </w:r>
      <w:r w:rsidR="00D011CD">
        <w:t>5</w:t>
      </w:r>
      <w:r w:rsidRPr="005C43A1">
        <w:t>: (4</w:t>
      </w:r>
      <w:r w:rsidR="000256F5" w:rsidRPr="005C43A1">
        <w:rPr>
          <w:rFonts w:ascii="Calibri" w:hAnsi="Calibri" w:cs="Arial"/>
        </w:rPr>
        <w:t>) </w:t>
      </w:r>
      <w:r w:rsidR="009D3619">
        <w:rPr>
          <w:b/>
        </w:rPr>
        <w:t>c</w:t>
      </w:r>
      <w:r w:rsidRPr="009D3619">
        <w:rPr>
          <w:b/>
        </w:rPr>
        <w:t>ost</w:t>
      </w:r>
      <w:r w:rsidR="009D3619">
        <w:rPr>
          <w:b/>
        </w:rPr>
        <w:t>-</w:t>
      </w:r>
      <w:r w:rsidRPr="009D3619">
        <w:rPr>
          <w:b/>
        </w:rPr>
        <w:t>effectiveness, cost</w:t>
      </w:r>
      <w:r w:rsidR="009D3619">
        <w:rPr>
          <w:b/>
        </w:rPr>
        <w:t>,</w:t>
      </w:r>
      <w:r w:rsidRPr="009D3619">
        <w:rPr>
          <w:b/>
        </w:rPr>
        <w:t xml:space="preserve"> and health benefits studies</w:t>
      </w:r>
      <w:r w:rsidRPr="009D3619">
        <w:rPr>
          <w:b/>
          <w:i/>
          <w:iCs/>
        </w:rPr>
        <w:t xml:space="preserve"> </w:t>
      </w:r>
      <w:r w:rsidRPr="005C43A1">
        <w:rPr>
          <w:bCs/>
        </w:rPr>
        <w:t>will collect and analyze data related to the direct cost</w:t>
      </w:r>
      <w:r w:rsidR="000757CB">
        <w:rPr>
          <w:bCs/>
        </w:rPr>
        <w:t>s</w:t>
      </w:r>
      <w:r w:rsidRPr="005C43A1">
        <w:rPr>
          <w:bCs/>
        </w:rPr>
        <w:t xml:space="preserve"> and health benefits incurred by awardees implementing select intervention approaches drawn from the CTG Strategic Directions</w:t>
      </w:r>
      <w:r w:rsidR="000256F5" w:rsidRPr="005C43A1">
        <w:t>; and (5) </w:t>
      </w:r>
      <w:r w:rsidR="009D3619">
        <w:rPr>
          <w:b/>
        </w:rPr>
        <w:t>s</w:t>
      </w:r>
      <w:r w:rsidRPr="009D3619">
        <w:rPr>
          <w:b/>
        </w:rPr>
        <w:t>imulation modeling</w:t>
      </w:r>
      <w:r w:rsidR="00C05817" w:rsidRPr="009D3619">
        <w:rPr>
          <w:bCs/>
        </w:rPr>
        <w:t xml:space="preserve"> </w:t>
      </w:r>
      <w:r w:rsidRPr="005C43A1">
        <w:t>will integrate the cost data to simulate selected chronic disease outcomes and their associate</w:t>
      </w:r>
      <w:r w:rsidR="00BB6DE5">
        <w:t>d</w:t>
      </w:r>
      <w:r w:rsidR="00C05817" w:rsidRPr="005C43A1">
        <w:t xml:space="preserve"> </w:t>
      </w:r>
      <w:r w:rsidRPr="005C43A1">
        <w:t>monetary impacts under various scenarios, using a system dynamics approach</w:t>
      </w:r>
      <w:r w:rsidR="001F2D0D">
        <w:t xml:space="preserve">. </w:t>
      </w:r>
      <w:r w:rsidRPr="005C43A1">
        <w:t xml:space="preserve">The new cost data that </w:t>
      </w:r>
      <w:r w:rsidR="009D3619">
        <w:t>are</w:t>
      </w:r>
      <w:r w:rsidR="009D3619" w:rsidRPr="005C43A1">
        <w:t xml:space="preserve"> </w:t>
      </w:r>
      <w:r w:rsidRPr="005C43A1">
        <w:t xml:space="preserve">collected by CTG awardees will be used to update and customize </w:t>
      </w:r>
      <w:r w:rsidR="000757CB">
        <w:t xml:space="preserve">a </w:t>
      </w:r>
      <w:r w:rsidR="001F2D0D">
        <w:t>system dynamics model</w:t>
      </w:r>
      <w:r w:rsidR="001F2D0D" w:rsidRPr="005C43A1">
        <w:t xml:space="preserve"> </w:t>
      </w:r>
      <w:r w:rsidRPr="005C43A1">
        <w:t>to calculate the likely short- and long-term health and economic consequences of particular policy, environmental, programmatic, and infrastructure changes of interest to CTG.</w:t>
      </w:r>
      <w:r w:rsidR="000757CB">
        <w:t xml:space="preserve">  </w:t>
      </w:r>
      <w:r w:rsidR="008B7474">
        <w:t xml:space="preserve">This system dynamics model has been developed previously and </w:t>
      </w:r>
      <w:r w:rsidR="008C3F44">
        <w:t>a</w:t>
      </w:r>
      <w:r w:rsidR="008B7474">
        <w:t xml:space="preserve">lready contains all the health outcomes data necessary to </w:t>
      </w:r>
      <w:r w:rsidR="008B7474">
        <w:lastRenderedPageBreak/>
        <w:t>simulate the effect of CTG interventions</w:t>
      </w:r>
      <w:r w:rsidR="008C3F44">
        <w:t xml:space="preserve"> on morbidity, mortality, and related medical and productivity costs.  New cost data to be collected from CTG awardees will be integrated with the existing data in the systems dynamics model to conduct the analyses described above; no health outcomes data will be collected from CTG awardees for this effort.</w:t>
      </w:r>
      <w:r w:rsidR="008B7474">
        <w:t xml:space="preserve"> </w:t>
      </w:r>
      <w:r w:rsidR="000757CB">
        <w:t>CDC is authorized to collect this information by the Public Health Service Act (Attachment 1c).</w:t>
      </w:r>
    </w:p>
    <w:p w:rsidR="0055363C" w:rsidRPr="005C43A1" w:rsidRDefault="0055363C" w:rsidP="009D3619">
      <w:pPr>
        <w:pStyle w:val="Heading3NoTOC"/>
        <w:ind w:left="0" w:firstLine="0"/>
        <w:rPr>
          <w:lang w:val="en-US"/>
        </w:rPr>
      </w:pPr>
      <w:r w:rsidRPr="005C43A1">
        <w:rPr>
          <w:lang w:val="en-US"/>
        </w:rPr>
        <w:t>Privacy Impact Assessment</w:t>
      </w:r>
    </w:p>
    <w:p w:rsidR="0055363C" w:rsidRPr="005C43A1" w:rsidRDefault="0055363C" w:rsidP="000256F5">
      <w:pPr>
        <w:pStyle w:val="Heading4"/>
      </w:pPr>
      <w:r w:rsidRPr="005C43A1">
        <w:t>Overview of the Data Collection System</w:t>
      </w:r>
    </w:p>
    <w:p w:rsidR="000256F5" w:rsidRPr="005C43A1" w:rsidRDefault="0055363C" w:rsidP="00BB6DE5">
      <w:pPr>
        <w:pStyle w:val="BodyText1"/>
      </w:pPr>
      <w:r w:rsidRPr="005C43A1">
        <w:t xml:space="preserve">Cost data will be collected via a </w:t>
      </w:r>
      <w:r w:rsidR="009D3619">
        <w:t>W</w:t>
      </w:r>
      <w:r w:rsidRPr="005C43A1">
        <w:t>eb-based CTG Cost Study Instrument (CTG-CSI).</w:t>
      </w:r>
      <w:r w:rsidR="00C05817" w:rsidRPr="005C43A1">
        <w:t xml:space="preserve"> </w:t>
      </w:r>
      <w:r w:rsidRPr="005C43A1">
        <w:t>The CTG-CSI will be user-friendly and easily accessible for CTG awardees.</w:t>
      </w:r>
      <w:r w:rsidR="00C05817" w:rsidRPr="005C43A1">
        <w:t xml:space="preserve"> </w:t>
      </w:r>
      <w:r w:rsidRPr="005C43A1">
        <w:t>The data collection will occur on a quarterly basis starting approximately in July 2012 and ending in July 2016.</w:t>
      </w:r>
      <w:r w:rsidR="00C05817" w:rsidRPr="005C43A1">
        <w:t xml:space="preserve"> </w:t>
      </w:r>
      <w:r w:rsidRPr="005C43A1">
        <w:t>Access to the Web-based CTG-CSI system will be controlled by a password-protected login that allows varying degrees of access for HHS personnel, contract personnel, and project personnel associated with each CTG awardee. CTG awardee personnel will have access only to the data for their own awardee.</w:t>
      </w:r>
    </w:p>
    <w:p w:rsidR="0055363C" w:rsidRPr="005C43A1" w:rsidRDefault="0055363C" w:rsidP="000256F5">
      <w:pPr>
        <w:pStyle w:val="Heading4"/>
      </w:pPr>
      <w:r w:rsidRPr="005C43A1">
        <w:t xml:space="preserve">Items of Information to </w:t>
      </w:r>
      <w:r w:rsidR="00DA5075">
        <w:t>B</w:t>
      </w:r>
      <w:r w:rsidRPr="005C43A1">
        <w:t>e Collected</w:t>
      </w:r>
    </w:p>
    <w:p w:rsidR="000256F5" w:rsidRPr="005C43A1" w:rsidRDefault="0055363C" w:rsidP="00E427A6">
      <w:pPr>
        <w:pStyle w:val="BodyText1"/>
      </w:pPr>
      <w:r w:rsidRPr="005C43A1">
        <w:t xml:space="preserve">A draft version of the CTG-CSI is presented in </w:t>
      </w:r>
      <w:r w:rsidR="000256F5" w:rsidRPr="005C43A1">
        <w:t>Attachment </w:t>
      </w:r>
      <w:r w:rsidR="00D011CD">
        <w:t>6</w:t>
      </w:r>
      <w:r w:rsidR="001F2D0D">
        <w:t>a</w:t>
      </w:r>
      <w:r w:rsidRPr="005C43A1">
        <w:t>.</w:t>
      </w:r>
      <w:r w:rsidR="00C05817" w:rsidRPr="005C43A1">
        <w:t xml:space="preserve"> </w:t>
      </w:r>
      <w:r w:rsidRPr="005C43A1">
        <w:t>The CTG-CSI requests quarterly expenditure details in the following areas:</w:t>
      </w:r>
    </w:p>
    <w:p w:rsidR="000256F5" w:rsidRPr="005C43A1" w:rsidRDefault="0055363C" w:rsidP="000256F5">
      <w:pPr>
        <w:pStyle w:val="ListNumber"/>
      </w:pPr>
      <w:r w:rsidRPr="005C43A1">
        <w:t>Labor/Personnel Expenditures</w:t>
      </w:r>
    </w:p>
    <w:p w:rsidR="0055363C" w:rsidRPr="005C43A1" w:rsidRDefault="0055363C" w:rsidP="000256F5">
      <w:pPr>
        <w:pStyle w:val="ListNumber"/>
      </w:pPr>
      <w:r w:rsidRPr="005C43A1">
        <w:t>Partner Expenditures</w:t>
      </w:r>
    </w:p>
    <w:p w:rsidR="0055363C" w:rsidRPr="005C43A1" w:rsidRDefault="0055363C" w:rsidP="000256F5">
      <w:pPr>
        <w:pStyle w:val="ListNumber"/>
      </w:pPr>
      <w:r w:rsidRPr="005C43A1">
        <w:t>Consultant Expenditures</w:t>
      </w:r>
    </w:p>
    <w:p w:rsidR="0055363C" w:rsidRPr="005C43A1" w:rsidRDefault="0055363C" w:rsidP="000256F5">
      <w:pPr>
        <w:pStyle w:val="ListNumber"/>
      </w:pPr>
      <w:r w:rsidRPr="005C43A1">
        <w:t>Costs Associated with Materials, Travel, Services</w:t>
      </w:r>
    </w:p>
    <w:p w:rsidR="0055363C" w:rsidRPr="005C43A1" w:rsidRDefault="0055363C" w:rsidP="000256F5">
      <w:pPr>
        <w:pStyle w:val="ListNumber"/>
      </w:pPr>
      <w:r w:rsidRPr="005C43A1">
        <w:t>Other Administrative Costs (e.g., telephone, rent)</w:t>
      </w:r>
    </w:p>
    <w:p w:rsidR="0055363C" w:rsidRPr="005C43A1" w:rsidRDefault="0055363C" w:rsidP="000256F5">
      <w:pPr>
        <w:pStyle w:val="ListNumber"/>
      </w:pPr>
      <w:r w:rsidRPr="005C43A1">
        <w:t xml:space="preserve">Labor and </w:t>
      </w:r>
      <w:r w:rsidR="00BB6DE5">
        <w:t>N</w:t>
      </w:r>
      <w:r w:rsidRPr="005C43A1">
        <w:t>on-</w:t>
      </w:r>
      <w:r w:rsidR="00BB6DE5">
        <w:t>L</w:t>
      </w:r>
      <w:r w:rsidRPr="005C43A1">
        <w:t xml:space="preserve">abor </w:t>
      </w:r>
      <w:r w:rsidR="00BB6DE5">
        <w:t>I</w:t>
      </w:r>
      <w:r w:rsidRPr="005C43A1">
        <w:t>n-</w:t>
      </w:r>
      <w:r w:rsidR="00BB6DE5">
        <w:t>K</w:t>
      </w:r>
      <w:r w:rsidRPr="005C43A1">
        <w:t xml:space="preserve">ind </w:t>
      </w:r>
      <w:r w:rsidR="00BB6DE5">
        <w:t>R</w:t>
      </w:r>
      <w:r w:rsidRPr="005C43A1">
        <w:t>esources</w:t>
      </w:r>
    </w:p>
    <w:p w:rsidR="000256F5" w:rsidRPr="005C43A1" w:rsidRDefault="0055363C" w:rsidP="000256F5">
      <w:pPr>
        <w:pStyle w:val="BodyText1"/>
        <w:ind w:firstLine="0"/>
      </w:pPr>
      <w:r w:rsidRPr="005C43A1">
        <w:t>No individually identifiable information will be collected.</w:t>
      </w:r>
      <w:r w:rsidR="00A9194B">
        <w:t xml:space="preserve">  Information collected during the initial 36-month OMB approval period will be maintained for the duration of the five-year project.  The information will be used to revise a mathematical cost model.  The model maintained by CDC will comply with federal records retention requirements.</w:t>
      </w:r>
    </w:p>
    <w:p w:rsidR="0055363C" w:rsidRPr="005C43A1" w:rsidRDefault="0055363C" w:rsidP="00BB6DE5">
      <w:pPr>
        <w:pStyle w:val="Heading4"/>
      </w:pPr>
      <w:r w:rsidRPr="005C43A1">
        <w:lastRenderedPageBreak/>
        <w:t>Identification of Web</w:t>
      </w:r>
      <w:r w:rsidR="00BB6DE5">
        <w:t xml:space="preserve"> S</w:t>
      </w:r>
      <w:r w:rsidRPr="005C43A1">
        <w:t>ite(s) and Web</w:t>
      </w:r>
      <w:r w:rsidR="00BB6DE5">
        <w:t xml:space="preserve"> S</w:t>
      </w:r>
      <w:r w:rsidRPr="005C43A1">
        <w:t xml:space="preserve">ite Content Directed at Children </w:t>
      </w:r>
      <w:r w:rsidR="00BB6DE5">
        <w:t>Younger than</w:t>
      </w:r>
      <w:r w:rsidR="00BB6DE5" w:rsidRPr="005C43A1">
        <w:t xml:space="preserve"> </w:t>
      </w:r>
      <w:r w:rsidRPr="005C43A1">
        <w:t>13 Years of Age</w:t>
      </w:r>
    </w:p>
    <w:p w:rsidR="0055363C" w:rsidRPr="005C43A1" w:rsidRDefault="0055363C" w:rsidP="00E427A6">
      <w:pPr>
        <w:pStyle w:val="BodyText1"/>
      </w:pPr>
      <w:r w:rsidRPr="005C43A1">
        <w:t>The CTG-CSI is a Web-based tool that will be hosted on a secure server (</w:t>
      </w:r>
      <w:hyperlink r:id="rId11" w:history="1">
        <w:r w:rsidRPr="005C43A1">
          <w:rPr>
            <w:rStyle w:val="Hyperlink"/>
            <w:szCs w:val="24"/>
          </w:rPr>
          <w:t>https://ctgcost.rti.org</w:t>
        </w:r>
      </w:hyperlink>
      <w:r w:rsidRPr="005C43A1">
        <w:t xml:space="preserve">). Access to this </w:t>
      </w:r>
      <w:r w:rsidR="009D3619">
        <w:t>W</w:t>
      </w:r>
      <w:r w:rsidRPr="005C43A1">
        <w:t>eb</w:t>
      </w:r>
      <w:r w:rsidR="009D3619">
        <w:t xml:space="preserve"> </w:t>
      </w:r>
      <w:r w:rsidRPr="005C43A1">
        <w:t>site will be controlled by a password-protected login.</w:t>
      </w:r>
      <w:r w:rsidR="00C05817" w:rsidRPr="005C43A1">
        <w:t xml:space="preserve"> </w:t>
      </w:r>
      <w:r w:rsidRPr="005C43A1">
        <w:t>Access will be restricted to CDC CTG staff, RTI project staff, and awardee cost study respondents.</w:t>
      </w:r>
      <w:r w:rsidR="00C05817" w:rsidRPr="005C43A1">
        <w:t xml:space="preserve"> </w:t>
      </w:r>
      <w:r w:rsidRPr="005C43A1">
        <w:t xml:space="preserve">Content of this </w:t>
      </w:r>
      <w:r w:rsidR="009D3619">
        <w:t>W</w:t>
      </w:r>
      <w:r w:rsidRPr="005C43A1">
        <w:t>eb</w:t>
      </w:r>
      <w:r w:rsidR="009D3619">
        <w:t xml:space="preserve"> </w:t>
      </w:r>
      <w:r w:rsidRPr="005C43A1">
        <w:t xml:space="preserve">site will not be directed at children </w:t>
      </w:r>
      <w:r w:rsidR="009D3619">
        <w:t>younger than</w:t>
      </w:r>
      <w:r w:rsidR="009D3619" w:rsidRPr="005C43A1">
        <w:t xml:space="preserve"> </w:t>
      </w:r>
      <w:r w:rsidRPr="005C43A1">
        <w:t>13 years of age. To protect the database server and network infrastructure, RTI will monitor, control, and protect communications at external and internal boundaries of information systems and employ architectural designs, software development techniques, and systems engineering principles.</w:t>
      </w:r>
      <w:r w:rsidR="00C05817" w:rsidRPr="005C43A1">
        <w:t xml:space="preserve"> </w:t>
      </w:r>
      <w:r w:rsidRPr="005C43A1">
        <w:t>RTI has implemented an information security program based on the Defense in Depth concept, which combines the capabilities of people, operations, and technology.</w:t>
      </w:r>
    </w:p>
    <w:p w:rsidR="00495ADF" w:rsidRPr="005C43A1" w:rsidRDefault="00495ADF" w:rsidP="00495ADF">
      <w:pPr>
        <w:pStyle w:val="Heading2"/>
      </w:pPr>
      <w:bookmarkStart w:id="8" w:name="_Toc88033460"/>
      <w:bookmarkStart w:id="9" w:name="_Toc317196257"/>
      <w:r w:rsidRPr="005C43A1">
        <w:t>A.2</w:t>
      </w:r>
      <w:r w:rsidRPr="005C43A1">
        <w:tab/>
        <w:t>Purposes and Use of the Information</w:t>
      </w:r>
      <w:bookmarkEnd w:id="8"/>
      <w:r w:rsidRPr="005C43A1">
        <w:t xml:space="preserve"> Collection</w:t>
      </w:r>
      <w:bookmarkEnd w:id="9"/>
    </w:p>
    <w:p w:rsidR="000256F5" w:rsidRPr="005C43A1" w:rsidRDefault="0055363C" w:rsidP="002C1356">
      <w:pPr>
        <w:pStyle w:val="BodyText1"/>
      </w:pPr>
      <w:r w:rsidRPr="005C43A1">
        <w:t>The goal of the information collection for</w:t>
      </w:r>
      <w:r w:rsidR="00C05817" w:rsidRPr="005C43A1">
        <w:t xml:space="preserve"> </w:t>
      </w:r>
      <w:r w:rsidRPr="009D3619">
        <w:rPr>
          <w:b/>
          <w:i/>
          <w:iCs/>
        </w:rPr>
        <w:t>Use of System Dynamic Modeling and Economic Analysis in Select Communities</w:t>
      </w:r>
      <w:r w:rsidRPr="005C43A1">
        <w:rPr>
          <w:b/>
        </w:rPr>
        <w:t xml:space="preserve"> </w:t>
      </w:r>
      <w:r w:rsidRPr="005C43A1">
        <w:t>is</w:t>
      </w:r>
      <w:r w:rsidR="00AA2527">
        <w:t xml:space="preserve"> </w:t>
      </w:r>
      <w:r w:rsidR="000E5FA9">
        <w:t>to provide CTG awardees with the</w:t>
      </w:r>
      <w:r w:rsidR="00367C65">
        <w:t xml:space="preserve"> </w:t>
      </w:r>
      <w:r w:rsidRPr="005C43A1">
        <w:t>ability to analyze data related to the direct costs and health benefits associated with particular intervention approaches</w:t>
      </w:r>
      <w:r w:rsidR="000E5FA9">
        <w:t>,</w:t>
      </w:r>
      <w:r w:rsidR="007B5B2B">
        <w:t xml:space="preserve"> </w:t>
      </w:r>
      <w:r w:rsidR="001F56B2">
        <w:t>based on their timeframe.</w:t>
      </w:r>
      <w:r w:rsidRPr="005C43A1">
        <w:t xml:space="preserve"> </w:t>
      </w:r>
      <w:r w:rsidR="00BB6DE5">
        <w:t>These</w:t>
      </w:r>
      <w:r w:rsidR="00BB6DE5" w:rsidRPr="005C43A1">
        <w:t xml:space="preserve"> </w:t>
      </w:r>
      <w:r w:rsidRPr="005C43A1">
        <w:t xml:space="preserve">data </w:t>
      </w:r>
      <w:r w:rsidR="007B5B2B">
        <w:t xml:space="preserve">collected by RTI </w:t>
      </w:r>
      <w:r w:rsidRPr="005C43A1">
        <w:t xml:space="preserve">will be </w:t>
      </w:r>
      <w:r w:rsidR="000E5FA9" w:rsidRPr="005C43A1">
        <w:t>used</w:t>
      </w:r>
      <w:r w:rsidR="000E5FA9">
        <w:t xml:space="preserve"> </w:t>
      </w:r>
      <w:r w:rsidR="000E5FA9" w:rsidRPr="005C43A1">
        <w:t>to</w:t>
      </w:r>
      <w:r w:rsidRPr="005C43A1">
        <w:t xml:space="preserve"> augment </w:t>
      </w:r>
      <w:r w:rsidR="000757CB">
        <w:t xml:space="preserve">a </w:t>
      </w:r>
      <w:r w:rsidR="001F2D0D">
        <w:t>system dynamics model</w:t>
      </w:r>
      <w:r w:rsidRPr="005C43A1">
        <w:t xml:space="preserve"> with actual intervention cost data to calculate new economic metrics within the model, such as cost-effectiveness and cost and health benefits. These analyses and </w:t>
      </w:r>
      <w:r w:rsidR="002B60A7">
        <w:t xml:space="preserve">the </w:t>
      </w:r>
      <w:r w:rsidRPr="005C43A1">
        <w:t>refined</w:t>
      </w:r>
      <w:r w:rsidR="001F2D0D">
        <w:t xml:space="preserve"> model</w:t>
      </w:r>
      <w:r w:rsidRPr="005C43A1">
        <w:t xml:space="preserve"> will assist CTG awardees, CDC, and HHS </w:t>
      </w:r>
      <w:r w:rsidR="002C1356">
        <w:t>in</w:t>
      </w:r>
      <w:r w:rsidR="002C1356" w:rsidRPr="005C43A1">
        <w:t xml:space="preserve"> </w:t>
      </w:r>
      <w:r w:rsidRPr="005C43A1">
        <w:t>simulat</w:t>
      </w:r>
      <w:r w:rsidR="002C1356">
        <w:t>ing</w:t>
      </w:r>
      <w:r w:rsidRPr="005C43A1">
        <w:t xml:space="preserve"> various evidence-based scenarios in order to strategically choose intervention approaches for particular populations that are both cost</w:t>
      </w:r>
      <w:r w:rsidR="00BB6DE5">
        <w:t>-</w:t>
      </w:r>
      <w:r w:rsidRPr="005C43A1">
        <w:t>effective and cost and health beneficial.</w:t>
      </w:r>
      <w:r w:rsidR="001F2D0D" w:rsidRPr="00A57FFA">
        <w:rPr>
          <w:vertAlign w:val="superscript"/>
        </w:rPr>
        <w:t>1,2</w:t>
      </w:r>
      <w:r w:rsidR="00C05817" w:rsidRPr="005C43A1">
        <w:t xml:space="preserve"> </w:t>
      </w:r>
      <w:r w:rsidR="001F2D0D">
        <w:t>Th</w:t>
      </w:r>
      <w:r w:rsidR="009521AD">
        <w:t xml:space="preserve">is refined modeling </w:t>
      </w:r>
      <w:r w:rsidR="001F2D0D">
        <w:t>s</w:t>
      </w:r>
      <w:r w:rsidR="001F2D0D" w:rsidRPr="005C43A1">
        <w:t xml:space="preserve"> </w:t>
      </w:r>
      <w:r w:rsidRPr="005C43A1">
        <w:t>will also assist community leaders as they create work plans for transforming specific characteristics in their area, such as creating social and</w:t>
      </w:r>
      <w:r w:rsidR="009521AD">
        <w:t xml:space="preserve"> </w:t>
      </w:r>
      <w:r w:rsidRPr="005C43A1">
        <w:t xml:space="preserve"> physical environments that support healthy living or establishing polic</w:t>
      </w:r>
      <w:r w:rsidR="00BB6DE5">
        <w:t>i</w:t>
      </w:r>
      <w:r w:rsidRPr="005C43A1">
        <w:t>es and laws that provide access to improved preventive care.</w:t>
      </w:r>
    </w:p>
    <w:p w:rsidR="000256F5" w:rsidRPr="005C43A1" w:rsidRDefault="0055363C" w:rsidP="002C1356">
      <w:pPr>
        <w:pStyle w:val="BodyText1"/>
      </w:pPr>
      <w:r w:rsidRPr="005C43A1">
        <w:t>Cost data currently do not exist for large-scale, nationwide, community-based programs that employ multiple combinations of policy, environment</w:t>
      </w:r>
      <w:r w:rsidR="00BB6DE5">
        <w:t>al</w:t>
      </w:r>
      <w:r w:rsidRPr="005C43A1">
        <w:t xml:space="preserve">, programmatic, and infrastructure strategies. Integrating these economic metrics is advantageous both to the government and to community planners </w:t>
      </w:r>
      <w:r w:rsidR="002C1356">
        <w:t>that</w:t>
      </w:r>
      <w:r w:rsidR="002C1356" w:rsidRPr="005C43A1">
        <w:t xml:space="preserve"> </w:t>
      </w:r>
      <w:r w:rsidRPr="005C43A1">
        <w:t>want to make informed choices for developing policies, making programmatic choices, and identifying efficient resource allocation.</w:t>
      </w:r>
      <w:r w:rsidR="00C05817" w:rsidRPr="005C43A1">
        <w:t xml:space="preserve"> </w:t>
      </w:r>
      <w:r w:rsidR="00BB6DE5">
        <w:t>These</w:t>
      </w:r>
      <w:r w:rsidR="00BB6DE5" w:rsidRPr="005C43A1">
        <w:t xml:space="preserve"> </w:t>
      </w:r>
      <w:r w:rsidRPr="005C43A1">
        <w:t>new cost data will enable HHS to identify cost</w:t>
      </w:r>
      <w:r w:rsidR="00BB6DE5">
        <w:t>-</w:t>
      </w:r>
      <w:r w:rsidRPr="005C43A1">
        <w:t>effective and cost and health beneficial intervention approaches.</w:t>
      </w:r>
    </w:p>
    <w:p w:rsidR="000256F5" w:rsidRPr="005C43A1" w:rsidRDefault="004A100D" w:rsidP="002C1356">
      <w:pPr>
        <w:pStyle w:val="BodyText1"/>
      </w:pPr>
      <w:r>
        <w:lastRenderedPageBreak/>
        <w:t>E</w:t>
      </w:r>
      <w:r w:rsidR="0055363C" w:rsidRPr="005C43A1">
        <w:t>conomic analysis will provide critical information to inform decision</w:t>
      </w:r>
      <w:r w:rsidR="00BB6DE5">
        <w:t xml:space="preserve"> </w:t>
      </w:r>
      <w:r w:rsidR="0055363C" w:rsidRPr="005C43A1">
        <w:t xml:space="preserve">making by assessing the actual costs of carrying out policy- and environmental change-focused strategies at the community level. </w:t>
      </w:r>
      <w:r w:rsidR="002C1356">
        <w:t xml:space="preserve">The literature contains </w:t>
      </w:r>
      <w:r w:rsidR="0055363C" w:rsidRPr="005C43A1">
        <w:t>numerous examples o</w:t>
      </w:r>
      <w:r w:rsidR="000757CB">
        <w:t>f</w:t>
      </w:r>
      <w:r w:rsidR="0055363C" w:rsidRPr="005C43A1">
        <w:t xml:space="preserve"> using costing methodologies to obtain detailed cost data to perform economic evaluation</w:t>
      </w:r>
      <w:r w:rsidR="00BB6DE5">
        <w:t>s</w:t>
      </w:r>
      <w:r w:rsidR="0055363C" w:rsidRPr="005C43A1">
        <w:t xml:space="preserve"> of health programs in the United States and internationally. In the United States, there is a long history of using an activity-based costing approach to perform cost-effectiveness evaluation</w:t>
      </w:r>
      <w:r w:rsidR="00BB6DE5">
        <w:t>s</w:t>
      </w:r>
      <w:r w:rsidR="0055363C" w:rsidRPr="005C43A1">
        <w:t xml:space="preserve"> of substance abuse programs,</w:t>
      </w:r>
      <w:r w:rsidR="001F2D0D">
        <w:rPr>
          <w:vertAlign w:val="superscript"/>
        </w:rPr>
        <w:t>3</w:t>
      </w:r>
      <w:r w:rsidR="0055363C" w:rsidRPr="005C43A1">
        <w:rPr>
          <w:vertAlign w:val="superscript"/>
        </w:rPr>
        <w:t>-</w:t>
      </w:r>
      <w:r w:rsidR="001F2D0D">
        <w:rPr>
          <w:vertAlign w:val="superscript"/>
        </w:rPr>
        <w:t>5</w:t>
      </w:r>
      <w:r w:rsidR="0055363C" w:rsidRPr="005C43A1">
        <w:t xml:space="preserve"> which recently has been extended to cancer interventions.</w:t>
      </w:r>
      <w:r w:rsidR="001F2D0D">
        <w:rPr>
          <w:vertAlign w:val="superscript"/>
        </w:rPr>
        <w:t>6</w:t>
      </w:r>
      <w:r w:rsidR="0055363C" w:rsidRPr="005C43A1">
        <w:rPr>
          <w:vertAlign w:val="superscript"/>
        </w:rPr>
        <w:t>-</w:t>
      </w:r>
      <w:r w:rsidR="001F2D0D">
        <w:rPr>
          <w:vertAlign w:val="superscript"/>
        </w:rPr>
        <w:t>9</w:t>
      </w:r>
    </w:p>
    <w:p w:rsidR="000256F5" w:rsidRPr="005C43A1" w:rsidRDefault="0055363C" w:rsidP="000256F5">
      <w:pPr>
        <w:pStyle w:val="BodyText1"/>
      </w:pPr>
      <w:r w:rsidRPr="005C43A1">
        <w:t>Data collected in this cost and modeling evaluation will be used to answer the following questions:</w:t>
      </w:r>
    </w:p>
    <w:p w:rsidR="0055363C" w:rsidRPr="005C43A1" w:rsidRDefault="0055363C" w:rsidP="00E427A6">
      <w:pPr>
        <w:pStyle w:val="BodyText1"/>
        <w:keepNext/>
        <w:ind w:firstLine="0"/>
      </w:pPr>
      <w:r w:rsidRPr="005C43A1">
        <w:rPr>
          <w:rFonts w:cs="Arial"/>
          <w:u w:val="single"/>
        </w:rPr>
        <w:t>Measuring direct costs associated with implementation</w:t>
      </w:r>
      <w:r w:rsidRPr="00BB6DE5">
        <w:rPr>
          <w:rFonts w:cs="Arial"/>
        </w:rPr>
        <w:t>:</w:t>
      </w:r>
    </w:p>
    <w:p w:rsidR="000256F5" w:rsidRPr="005C43A1" w:rsidRDefault="0055363C" w:rsidP="002C1356">
      <w:pPr>
        <w:pStyle w:val="ListNumber"/>
        <w:numPr>
          <w:ilvl w:val="0"/>
          <w:numId w:val="10"/>
        </w:numPr>
        <w:tabs>
          <w:tab w:val="clear" w:pos="360"/>
          <w:tab w:val="num" w:pos="1080"/>
        </w:tabs>
        <w:ind w:left="1080"/>
      </w:pPr>
      <w:r w:rsidRPr="005C43A1">
        <w:t>What are the direct costs (budgetary and volunteer/in-kind)</w:t>
      </w:r>
      <w:r w:rsidR="002C1356">
        <w:t xml:space="preserve">, </w:t>
      </w:r>
      <w:r w:rsidRPr="005C43A1">
        <w:t>both in aggregate and per unit</w:t>
      </w:r>
      <w:r w:rsidR="002C1356">
        <w:t>,</w:t>
      </w:r>
      <w:r w:rsidRPr="005C43A1">
        <w:t xml:space="preserve"> incurred for select implementation strategies being conducted in communities that have implemented those strategies?</w:t>
      </w:r>
    </w:p>
    <w:p w:rsidR="000256F5" w:rsidRPr="005C43A1" w:rsidRDefault="0055363C" w:rsidP="000256F5">
      <w:pPr>
        <w:pStyle w:val="ListNumber"/>
        <w:numPr>
          <w:ilvl w:val="0"/>
          <w:numId w:val="10"/>
        </w:numPr>
        <w:tabs>
          <w:tab w:val="clear" w:pos="360"/>
          <w:tab w:val="num" w:pos="1080"/>
        </w:tabs>
        <w:ind w:left="1080"/>
      </w:pPr>
      <w:r w:rsidRPr="005C43A1">
        <w:t>How do different combinations of strategies affect costs?</w:t>
      </w:r>
      <w:r w:rsidR="00C05817" w:rsidRPr="005C43A1">
        <w:t xml:space="preserve"> </w:t>
      </w:r>
      <w:r w:rsidRPr="005C43A1">
        <w:t>Are there economies of scale and scope when enacting multiple interventions?</w:t>
      </w:r>
    </w:p>
    <w:p w:rsidR="000256F5" w:rsidRPr="005C43A1" w:rsidRDefault="0055363C" w:rsidP="00BB6DE5">
      <w:pPr>
        <w:pStyle w:val="ListNumber"/>
        <w:numPr>
          <w:ilvl w:val="0"/>
          <w:numId w:val="10"/>
        </w:numPr>
        <w:tabs>
          <w:tab w:val="clear" w:pos="360"/>
          <w:tab w:val="num" w:pos="1080"/>
        </w:tabs>
        <w:ind w:left="1080"/>
      </w:pPr>
      <w:r w:rsidRPr="005C43A1">
        <w:t>How do the direct costs incurred by communities pursuing the same combination of</w:t>
      </w:r>
      <w:r w:rsidR="00C05817" w:rsidRPr="005C43A1">
        <w:t xml:space="preserve"> </w:t>
      </w:r>
      <w:r w:rsidRPr="005C43A1">
        <w:t>strategies differ</w:t>
      </w:r>
      <w:r w:rsidR="00BB6DE5">
        <w:t>,</w:t>
      </w:r>
      <w:r w:rsidRPr="005C43A1">
        <w:t xml:space="preserve"> and what factors might drive these differences </w:t>
      </w:r>
      <w:r w:rsidR="00BB6DE5">
        <w:t>(</w:t>
      </w:r>
      <w:r w:rsidRPr="005C43A1">
        <w:t>i.e., differences in specific activities under each strategy</w:t>
      </w:r>
      <w:r w:rsidR="00BB6DE5">
        <w:t>;</w:t>
      </w:r>
      <w:r w:rsidRPr="005C43A1">
        <w:t xml:space="preserve"> variations in geographical size of community/state, population of community/state, population characteristics, staff resources, media, collaboration activities, and materials</w:t>
      </w:r>
      <w:r w:rsidR="00BB6DE5">
        <w:t>)</w:t>
      </w:r>
      <w:r w:rsidRPr="005C43A1">
        <w:t>?</w:t>
      </w:r>
    </w:p>
    <w:p w:rsidR="000256F5" w:rsidRPr="005C43A1" w:rsidRDefault="0055363C" w:rsidP="000256F5">
      <w:pPr>
        <w:pStyle w:val="ListNumber"/>
        <w:numPr>
          <w:ilvl w:val="0"/>
          <w:numId w:val="10"/>
        </w:numPr>
        <w:tabs>
          <w:tab w:val="clear" w:pos="360"/>
          <w:tab w:val="num" w:pos="1080"/>
        </w:tabs>
        <w:ind w:left="1080"/>
      </w:pPr>
      <w:r w:rsidRPr="005C43A1">
        <w:t>How do efforts to target historically underserved and hard-to-reach populations affect costs and cost benefits?</w:t>
      </w:r>
    </w:p>
    <w:p w:rsidR="000256F5" w:rsidRPr="005C43A1" w:rsidRDefault="0055363C" w:rsidP="002C1356">
      <w:pPr>
        <w:pStyle w:val="ListNumber"/>
        <w:numPr>
          <w:ilvl w:val="0"/>
          <w:numId w:val="10"/>
        </w:numPr>
        <w:tabs>
          <w:tab w:val="clear" w:pos="360"/>
          <w:tab w:val="num" w:pos="1080"/>
        </w:tabs>
        <w:ind w:left="1080"/>
      </w:pPr>
      <w:r w:rsidRPr="005C43A1">
        <w:rPr>
          <w:rFonts w:cs="Arial"/>
        </w:rPr>
        <w:t xml:space="preserve">What additional factors related to community implementation of strategies are related to costs incurred and </w:t>
      </w:r>
      <w:r w:rsidR="002C1356">
        <w:rPr>
          <w:rFonts w:cs="Arial"/>
        </w:rPr>
        <w:t>to</w:t>
      </w:r>
      <w:r w:rsidRPr="005C43A1">
        <w:rPr>
          <w:rFonts w:cs="Arial"/>
        </w:rPr>
        <w:t xml:space="preserve"> cost</w:t>
      </w:r>
      <w:r w:rsidR="00BB6DE5">
        <w:rPr>
          <w:rFonts w:cs="Arial"/>
        </w:rPr>
        <w:t>-</w:t>
      </w:r>
      <w:r w:rsidRPr="005C43A1">
        <w:rPr>
          <w:rFonts w:cs="Arial"/>
        </w:rPr>
        <w:t>effectiveness?</w:t>
      </w:r>
    </w:p>
    <w:p w:rsidR="000256F5" w:rsidRPr="005C43A1" w:rsidRDefault="000256F5" w:rsidP="000256F5">
      <w:pPr>
        <w:pStyle w:val="BodyText1"/>
        <w:ind w:firstLine="0"/>
        <w:rPr>
          <w:rFonts w:cs="Arial"/>
          <w:u w:val="single"/>
        </w:rPr>
      </w:pPr>
      <w:r w:rsidRPr="005C43A1">
        <w:rPr>
          <w:rFonts w:cs="Arial"/>
          <w:u w:val="single"/>
        </w:rPr>
        <w:t>Addressing health and economic consequences over time</w:t>
      </w:r>
      <w:r w:rsidRPr="00BB6DE5">
        <w:rPr>
          <w:rFonts w:cs="Arial"/>
        </w:rPr>
        <w:t>:</w:t>
      </w:r>
    </w:p>
    <w:p w:rsidR="000256F5" w:rsidRPr="005C43A1" w:rsidRDefault="0055363C" w:rsidP="000256F5">
      <w:pPr>
        <w:pStyle w:val="ListNumber"/>
        <w:numPr>
          <w:ilvl w:val="0"/>
          <w:numId w:val="10"/>
        </w:numPr>
        <w:tabs>
          <w:tab w:val="clear" w:pos="360"/>
          <w:tab w:val="num" w:pos="1080"/>
        </w:tabs>
        <w:ind w:left="1080"/>
      </w:pPr>
      <w:r w:rsidRPr="005C43A1">
        <w:rPr>
          <w:rFonts w:cs="Arial"/>
        </w:rPr>
        <w:t>What are the plausible health and economic consequences associated with specific strategies or combinations of strategies?</w:t>
      </w:r>
    </w:p>
    <w:p w:rsidR="000256F5" w:rsidRPr="005C43A1" w:rsidRDefault="0055363C" w:rsidP="00BB6DE5">
      <w:pPr>
        <w:pStyle w:val="ListNumber"/>
        <w:numPr>
          <w:ilvl w:val="0"/>
          <w:numId w:val="10"/>
        </w:numPr>
        <w:tabs>
          <w:tab w:val="clear" w:pos="360"/>
          <w:tab w:val="num" w:pos="1080"/>
        </w:tabs>
        <w:ind w:left="1080"/>
      </w:pPr>
      <w:r w:rsidRPr="005C43A1">
        <w:rPr>
          <w:rFonts w:cs="Arial"/>
        </w:rPr>
        <w:t>How strong (population reach and intervention intensity) do the interventions have to be to yield meaningful changes in specified outcomes (</w:t>
      </w:r>
      <w:r w:rsidR="00BB6DE5">
        <w:rPr>
          <w:rFonts w:cs="Arial"/>
        </w:rPr>
        <w:t xml:space="preserve">e.g., </w:t>
      </w:r>
      <w:r w:rsidRPr="005C43A1">
        <w:rPr>
          <w:rFonts w:cs="Arial"/>
        </w:rPr>
        <w:t>smoking prevalence, obesity, hypertension control, cardiovascular events)</w:t>
      </w:r>
      <w:r w:rsidR="00BB6DE5">
        <w:rPr>
          <w:rFonts w:cs="Arial"/>
        </w:rPr>
        <w:t>,</w:t>
      </w:r>
      <w:r w:rsidRPr="005C43A1">
        <w:rPr>
          <w:rFonts w:cs="Arial"/>
        </w:rPr>
        <w:t xml:space="preserve"> and does this vary by population characteristics?</w:t>
      </w:r>
    </w:p>
    <w:p w:rsidR="000256F5" w:rsidRPr="005C43A1" w:rsidRDefault="0055363C" w:rsidP="000256F5">
      <w:pPr>
        <w:pStyle w:val="ListNumber"/>
        <w:numPr>
          <w:ilvl w:val="0"/>
          <w:numId w:val="10"/>
        </w:numPr>
        <w:tabs>
          <w:tab w:val="clear" w:pos="360"/>
          <w:tab w:val="num" w:pos="1080"/>
        </w:tabs>
        <w:ind w:left="1080"/>
      </w:pPr>
      <w:r w:rsidRPr="005C43A1">
        <w:rPr>
          <w:rFonts w:cs="Arial"/>
        </w:rPr>
        <w:t>How long might it take to see the influence of a particular strategy or combination of strategies on its direct or indirect consequences?</w:t>
      </w:r>
    </w:p>
    <w:p w:rsidR="000256F5" w:rsidRPr="005C43A1" w:rsidRDefault="0055363C" w:rsidP="002C1356">
      <w:pPr>
        <w:pStyle w:val="ListNumber"/>
        <w:numPr>
          <w:ilvl w:val="0"/>
          <w:numId w:val="10"/>
        </w:numPr>
        <w:tabs>
          <w:tab w:val="clear" w:pos="360"/>
          <w:tab w:val="num" w:pos="1080"/>
        </w:tabs>
        <w:ind w:left="1080"/>
      </w:pPr>
      <w:r w:rsidRPr="005C43A1">
        <w:rPr>
          <w:rFonts w:cs="Arial"/>
        </w:rPr>
        <w:t>In what ways do the effects of strategic interventions differ in the short vs. long</w:t>
      </w:r>
      <w:r w:rsidR="002C1356">
        <w:rPr>
          <w:rFonts w:cs="Arial"/>
        </w:rPr>
        <w:t xml:space="preserve"> </w:t>
      </w:r>
      <w:r w:rsidRPr="005C43A1">
        <w:rPr>
          <w:rFonts w:cs="Arial"/>
        </w:rPr>
        <w:t>term?</w:t>
      </w:r>
    </w:p>
    <w:p w:rsidR="0055363C" w:rsidRPr="005C43A1" w:rsidRDefault="0055363C" w:rsidP="000256F5">
      <w:pPr>
        <w:pStyle w:val="ListNumber"/>
        <w:numPr>
          <w:ilvl w:val="0"/>
          <w:numId w:val="10"/>
        </w:numPr>
        <w:tabs>
          <w:tab w:val="clear" w:pos="360"/>
          <w:tab w:val="num" w:pos="1080"/>
        </w:tabs>
        <w:ind w:left="1080"/>
      </w:pPr>
      <w:r w:rsidRPr="005C43A1">
        <w:rPr>
          <w:rFonts w:cs="Arial"/>
        </w:rPr>
        <w:lastRenderedPageBreak/>
        <w:t>Under what conditions is it possible to transform the trajectories of health and economic indicators in CTG sites?</w:t>
      </w:r>
    </w:p>
    <w:p w:rsidR="000256F5" w:rsidRPr="005C43A1" w:rsidRDefault="0055363C" w:rsidP="00E427A6">
      <w:pPr>
        <w:pStyle w:val="BodyText1"/>
      </w:pPr>
      <w:r w:rsidRPr="005C43A1">
        <w:t>In addition, the cost data collected can also be used by the awardees themselves to achieve efficiencies within their programs in the future. Detailed activity-based cost data collected using the CTG</w:t>
      </w:r>
      <w:r w:rsidR="002C1356">
        <w:t>-</w:t>
      </w:r>
      <w:r w:rsidRPr="005C43A1">
        <w:t>CSI can be used by the programs to evaluate their activities and identify areas for improvement.</w:t>
      </w:r>
    </w:p>
    <w:p w:rsidR="0055363C" w:rsidRPr="005C43A1" w:rsidRDefault="0055363C" w:rsidP="002E5438">
      <w:pPr>
        <w:pStyle w:val="Heading3NoTOC"/>
        <w:rPr>
          <w:lang w:val="en-US"/>
        </w:rPr>
      </w:pPr>
      <w:r w:rsidRPr="005C43A1">
        <w:rPr>
          <w:lang w:val="en-US"/>
        </w:rPr>
        <w:t>Privacy Impact Assessment Information</w:t>
      </w:r>
    </w:p>
    <w:p w:rsidR="000256F5" w:rsidRPr="005C43A1" w:rsidRDefault="00EE0B1B" w:rsidP="00E427A6">
      <w:pPr>
        <w:pStyle w:val="BodyText1"/>
      </w:pPr>
      <w:r>
        <w:t xml:space="preserve">The proposed collection will have little or no effect on the respondent’s privacy.  </w:t>
      </w:r>
      <w:r w:rsidR="0055363C" w:rsidRPr="005C43A1">
        <w:t>No</w:t>
      </w:r>
      <w:r w:rsidR="00C56583">
        <w:t xml:space="preserve"> information in identifiable form (</w:t>
      </w:r>
      <w:r w:rsidR="00DF5387" w:rsidRPr="005C43A1">
        <w:t>I</w:t>
      </w:r>
      <w:r w:rsidR="00DF5387">
        <w:t>I</w:t>
      </w:r>
      <w:r w:rsidR="00DF5387" w:rsidRPr="005C43A1">
        <w:t>F</w:t>
      </w:r>
      <w:r w:rsidR="00C56583">
        <w:t xml:space="preserve">) </w:t>
      </w:r>
      <w:r w:rsidR="0055363C" w:rsidRPr="005C43A1">
        <w:t>is being collected.</w:t>
      </w:r>
    </w:p>
    <w:p w:rsidR="00495ADF" w:rsidRPr="005C43A1" w:rsidRDefault="00495ADF" w:rsidP="007F576C">
      <w:pPr>
        <w:pStyle w:val="Heading2"/>
      </w:pPr>
      <w:bookmarkStart w:id="10" w:name="_Toc88033467"/>
      <w:bookmarkStart w:id="11" w:name="_Toc317196258"/>
      <w:r w:rsidRPr="005C43A1">
        <w:t>A.3</w:t>
      </w:r>
      <w:r w:rsidRPr="005C43A1">
        <w:tab/>
      </w:r>
      <w:bookmarkEnd w:id="10"/>
      <w:r w:rsidRPr="005C43A1">
        <w:t>Use of Improved Information Technology and Burden Reduction</w:t>
      </w:r>
      <w:bookmarkEnd w:id="11"/>
    </w:p>
    <w:p w:rsidR="000256F5" w:rsidRPr="005C43A1" w:rsidRDefault="0055363C" w:rsidP="00E427A6">
      <w:pPr>
        <w:pStyle w:val="BodyText1"/>
      </w:pPr>
      <w:r w:rsidRPr="005C43A1">
        <w:t>Al</w:t>
      </w:r>
      <w:r w:rsidR="009D3619">
        <w:t>l data will be collected</w:t>
      </w:r>
      <w:r w:rsidR="00A86EDF">
        <w:t xml:space="preserve"> electronically</w:t>
      </w:r>
      <w:r w:rsidR="009D3619">
        <w:t xml:space="preserve"> via a W</w:t>
      </w:r>
      <w:r w:rsidRPr="005C43A1">
        <w:t>eb-based instrument</w:t>
      </w:r>
      <w:r w:rsidR="00D011CD">
        <w:t xml:space="preserve"> (Attachment 6</w:t>
      </w:r>
      <w:r w:rsidR="00A55658">
        <w:t>a</w:t>
      </w:r>
      <w:r w:rsidR="00D011CD">
        <w:t xml:space="preserve">) </w:t>
      </w:r>
      <w:r w:rsidRPr="005C43A1">
        <w:t>to reduce respondent burden, data collection errors, and delays in receiving data. A draft version of the CTG-CSI (</w:t>
      </w:r>
      <w:r w:rsidR="000256F5" w:rsidRPr="005C43A1">
        <w:t>Attachment </w:t>
      </w:r>
      <w:r w:rsidR="00D011CD">
        <w:t>6</w:t>
      </w:r>
      <w:r w:rsidR="001F2D0D">
        <w:t>a</w:t>
      </w:r>
      <w:r w:rsidRPr="005C43A1">
        <w:t>) will be pilot tested with fewer than five individuals representing CTG implementation awardees to assess</w:t>
      </w:r>
      <w:r w:rsidR="002C1356">
        <w:t xml:space="preserve"> its</w:t>
      </w:r>
      <w:r w:rsidRPr="005C43A1">
        <w:t xml:space="preserve"> ability to provide requested data and identify approaches to minimize burden.</w:t>
      </w:r>
      <w:r w:rsidR="00C05817" w:rsidRPr="005C43A1">
        <w:t xml:space="preserve"> </w:t>
      </w:r>
      <w:r w:rsidRPr="005C43A1">
        <w:t>During the pretest, the clarity of the instrument, usability of the system, and accuracy of the data entered will also be evaluated.</w:t>
      </w:r>
    </w:p>
    <w:p w:rsidR="000256F5" w:rsidRPr="005C43A1" w:rsidRDefault="0055363C" w:rsidP="00E427A6">
      <w:pPr>
        <w:pStyle w:val="BodyText1"/>
      </w:pPr>
      <w:r w:rsidRPr="005C43A1">
        <w:t xml:space="preserve">The instrument will be easily accessible through the </w:t>
      </w:r>
      <w:r w:rsidR="009D3619">
        <w:t>W</w:t>
      </w:r>
      <w:r w:rsidRPr="005C43A1">
        <w:t>eb and will include several features to specifically reduce data collection burden and collect high quality data.</w:t>
      </w:r>
      <w:r w:rsidR="00C05817" w:rsidRPr="005C43A1">
        <w:t xml:space="preserve"> </w:t>
      </w:r>
      <w:r w:rsidRPr="005C43A1">
        <w:t>Specifically, the CTG-CSI will include automated data checks so that it can be used by the awardees to perform self-directed quality checks on the data as they input the information.</w:t>
      </w:r>
      <w:r w:rsidR="00C05817" w:rsidRPr="005C43A1">
        <w:t xml:space="preserve"> </w:t>
      </w:r>
      <w:r w:rsidRPr="005C43A1">
        <w:t xml:space="preserve">For example, when costs are allocated across the interventions, the sum must equal 100% and the respondent will be alerted if the total is less </w:t>
      </w:r>
      <w:r w:rsidR="00B668C1">
        <w:t xml:space="preserve">than </w:t>
      </w:r>
      <w:r w:rsidRPr="005C43A1">
        <w:t>or greater than 100%.</w:t>
      </w:r>
      <w:r w:rsidR="00C05817" w:rsidRPr="005C43A1">
        <w:t xml:space="preserve"> </w:t>
      </w:r>
      <w:r w:rsidRPr="005C43A1">
        <w:t xml:space="preserve">In addition, the tool will include pre-loaded descriptions of </w:t>
      </w:r>
      <w:r w:rsidR="00E3352F" w:rsidRPr="005C43A1">
        <w:t>awardees’</w:t>
      </w:r>
      <w:r w:rsidRPr="005C43A1">
        <w:t xml:space="preserve"> interventions (to which costs will be allocated).</w:t>
      </w:r>
      <w:r w:rsidR="00C05817" w:rsidRPr="005C43A1">
        <w:t xml:space="preserve"> </w:t>
      </w:r>
      <w:r w:rsidRPr="005C43A1">
        <w:t xml:space="preserve">Users will also have an option to pre-load </w:t>
      </w:r>
      <w:r w:rsidR="00EE0B1B">
        <w:t xml:space="preserve">cost entries </w:t>
      </w:r>
      <w:r w:rsidRPr="005C43A1">
        <w:t>from a previous round of data collection.</w:t>
      </w:r>
      <w:r w:rsidR="00C05817" w:rsidRPr="005C43A1">
        <w:t xml:space="preserve"> </w:t>
      </w:r>
      <w:r w:rsidR="00EE0B1B">
        <w:t>This will preclude the necessity of</w:t>
      </w:r>
      <w:r w:rsidR="009521AD">
        <w:t xml:space="preserve"> </w:t>
      </w:r>
      <w:r w:rsidR="00EE0B1B">
        <w:t>r</w:t>
      </w:r>
      <w:r w:rsidR="00C04D8A">
        <w:t xml:space="preserve">eentering costs that are constant across quarters.  </w:t>
      </w:r>
      <w:r w:rsidRPr="005C43A1">
        <w:t>These features will significantly reduce the time spent typing in text and entering data.</w:t>
      </w:r>
    </w:p>
    <w:p w:rsidR="000256F5" w:rsidRPr="005C43A1" w:rsidRDefault="0055363C" w:rsidP="002C1356">
      <w:pPr>
        <w:pStyle w:val="BodyText1"/>
      </w:pPr>
      <w:r w:rsidRPr="005C43A1">
        <w:t xml:space="preserve">The tool will also contain an interactive </w:t>
      </w:r>
      <w:r w:rsidR="00C56583">
        <w:t>U</w:t>
      </w:r>
      <w:r w:rsidRPr="005C43A1">
        <w:t>ser</w:t>
      </w:r>
      <w:r w:rsidR="009D3619">
        <w:t>’</w:t>
      </w:r>
      <w:r w:rsidRPr="005C43A1">
        <w:t>s</w:t>
      </w:r>
      <w:r w:rsidR="00C56583">
        <w:t xml:space="preserve"> Manual</w:t>
      </w:r>
      <w:r w:rsidRPr="005C43A1">
        <w:t xml:space="preserve"> that will provide variable definitions and instructions for providing the required data.</w:t>
      </w:r>
      <w:r w:rsidR="00C05817" w:rsidRPr="005C43A1">
        <w:t xml:space="preserve"> </w:t>
      </w:r>
      <w:r w:rsidRPr="005C43A1">
        <w:t xml:space="preserve">RTI will develop a guidance document that will provide general background information, detail the approach used to capture costs of the program implemented by each </w:t>
      </w:r>
      <w:r w:rsidR="00E3352F" w:rsidRPr="005C43A1">
        <w:t>awardee</w:t>
      </w:r>
      <w:r w:rsidRPr="005C43A1">
        <w:t xml:space="preserve">, and provide guidance to awardees on how </w:t>
      </w:r>
      <w:r w:rsidR="002C1356">
        <w:t xml:space="preserve">to </w:t>
      </w:r>
      <w:r w:rsidR="002C1356">
        <w:lastRenderedPageBreak/>
        <w:t>collect and report</w:t>
      </w:r>
      <w:r w:rsidRPr="005C43A1">
        <w:t xml:space="preserve"> costs.</w:t>
      </w:r>
      <w:r w:rsidR="00C05817" w:rsidRPr="005C43A1">
        <w:t xml:space="preserve"> </w:t>
      </w:r>
      <w:r w:rsidRPr="005C43A1">
        <w:t>Each data element collected by the tool will be explained.</w:t>
      </w:r>
      <w:r w:rsidR="00C05817" w:rsidRPr="005C43A1">
        <w:t xml:space="preserve"> </w:t>
      </w:r>
      <w:r w:rsidRPr="005C43A1">
        <w:t xml:space="preserve">The document will also include a frequently-asked-questions section with answers to questions on the costs of community-based interventions. </w:t>
      </w:r>
      <w:r w:rsidRPr="005C43A1">
        <w:rPr>
          <w:bCs/>
        </w:rPr>
        <w:t xml:space="preserve">The guidance </w:t>
      </w:r>
      <w:r w:rsidRPr="005C43A1">
        <w:t>document</w:t>
      </w:r>
      <w:r w:rsidRPr="005C43A1">
        <w:rPr>
          <w:bCs/>
        </w:rPr>
        <w:t xml:space="preserve"> will be made available to awardees in both written and electronic formats.</w:t>
      </w:r>
      <w:r w:rsidR="00C05817" w:rsidRPr="005C43A1">
        <w:rPr>
          <w:bCs/>
        </w:rPr>
        <w:t xml:space="preserve"> </w:t>
      </w:r>
      <w:r w:rsidRPr="005C43A1">
        <w:t>All awardees participating in the study will be provided with detailed instructions and training to input the required data.</w:t>
      </w:r>
      <w:r w:rsidR="00C05817" w:rsidRPr="005C43A1">
        <w:t xml:space="preserve"> </w:t>
      </w:r>
      <w:r w:rsidRPr="005C43A1">
        <w:t>RTI</w:t>
      </w:r>
      <w:r w:rsidRPr="005C43A1">
        <w:rPr>
          <w:b/>
        </w:rPr>
        <w:t xml:space="preserve"> </w:t>
      </w:r>
      <w:r w:rsidRPr="005C43A1">
        <w:t xml:space="preserve">will conduct a </w:t>
      </w:r>
      <w:r w:rsidR="009D3619">
        <w:t>W</w:t>
      </w:r>
      <w:r w:rsidRPr="005C43A1">
        <w:t>eb-based training for all awardees, technical assistance/training at an awardees</w:t>
      </w:r>
      <w:r w:rsidR="00C05817" w:rsidRPr="005C43A1">
        <w:t>’</w:t>
      </w:r>
      <w:r w:rsidRPr="005C43A1">
        <w:t xml:space="preserve"> meeting, an in-person site visit</w:t>
      </w:r>
      <w:r w:rsidR="009D3619">
        <w:t>,</w:t>
      </w:r>
      <w:r w:rsidRPr="005C43A1">
        <w:t xml:space="preserve"> and </w:t>
      </w:r>
      <w:r w:rsidRPr="005C43A1">
        <w:rPr>
          <w:bCs/>
        </w:rPr>
        <w:t>telephone technical assistance for awardees</w:t>
      </w:r>
      <w:r w:rsidRPr="005C43A1">
        <w:t xml:space="preserve"> to ensure that all users are fully prepared to report accurate data.</w:t>
      </w:r>
    </w:p>
    <w:p w:rsidR="000256F5" w:rsidRPr="005C43A1" w:rsidRDefault="0055363C" w:rsidP="00B668C1">
      <w:pPr>
        <w:pStyle w:val="BodyText1"/>
      </w:pPr>
      <w:r w:rsidRPr="005C43A1">
        <w:t>RTI will collect and tabulate the data provided by the awardees.</w:t>
      </w:r>
      <w:r w:rsidR="00C05817" w:rsidRPr="005C43A1">
        <w:t xml:space="preserve"> </w:t>
      </w:r>
      <w:r w:rsidRPr="005C43A1">
        <w:t>We expect to collect minimum information necessary to address the research project</w:t>
      </w:r>
      <w:r w:rsidR="00C05817" w:rsidRPr="005C43A1">
        <w:t>’</w:t>
      </w:r>
      <w:r w:rsidRPr="005C43A1">
        <w:t>s research questions.</w:t>
      </w:r>
      <w:r w:rsidR="00C05817" w:rsidRPr="005C43A1">
        <w:t xml:space="preserve"> </w:t>
      </w:r>
      <w:r w:rsidRPr="005C43A1">
        <w:rPr>
          <w:bCs/>
        </w:rPr>
        <w:t>Efforts have been made to design the instrument to be brief, easy to use, and understandable. The study investigators have carefully considered the content, appropriateness, and phrasing of the questions</w:t>
      </w:r>
      <w:r w:rsidR="005D2B72" w:rsidRPr="005D2B72">
        <w:t>.</w:t>
      </w:r>
    </w:p>
    <w:p w:rsidR="00495ADF" w:rsidRPr="005C43A1" w:rsidRDefault="00495ADF" w:rsidP="007F576C">
      <w:pPr>
        <w:pStyle w:val="Heading2"/>
      </w:pPr>
      <w:bookmarkStart w:id="12" w:name="_Toc88033468"/>
      <w:bookmarkStart w:id="13" w:name="_Toc317196259"/>
      <w:r w:rsidRPr="005C43A1">
        <w:t>A.4</w:t>
      </w:r>
      <w:r w:rsidRPr="005C43A1">
        <w:tab/>
      </w:r>
      <w:bookmarkEnd w:id="12"/>
      <w:r w:rsidRPr="005C43A1">
        <w:t>Efforts to Identify Duplication and Use of Similar Information</w:t>
      </w:r>
      <w:bookmarkEnd w:id="13"/>
    </w:p>
    <w:p w:rsidR="001A023A" w:rsidRPr="005C43A1" w:rsidRDefault="0055363C" w:rsidP="002C1356">
      <w:pPr>
        <w:pStyle w:val="BodyText1"/>
      </w:pPr>
      <w:r w:rsidRPr="005C43A1">
        <w:t>The CTG program is a new initiative with new requirements to create healthier communities through implementation of sustainable, broad, evidence</w:t>
      </w:r>
      <w:r w:rsidR="00B668C1">
        <w:t>-</w:t>
      </w:r>
      <w:r w:rsidRPr="005C43A1">
        <w:t xml:space="preserve"> and practice-based policy, environmental, programmatic, and infrastructure changes in counties, states, tribes</w:t>
      </w:r>
      <w:r w:rsidR="009D3619">
        <w:t>,</w:t>
      </w:r>
      <w:r w:rsidRPr="005C43A1">
        <w:t xml:space="preserve"> and territories.</w:t>
      </w:r>
      <w:r w:rsidR="00C05817" w:rsidRPr="005C43A1">
        <w:t xml:space="preserve"> </w:t>
      </w:r>
      <w:r w:rsidRPr="005C43A1">
        <w:t>These collective</w:t>
      </w:r>
      <w:r w:rsidR="00C05817" w:rsidRPr="005C43A1">
        <w:t xml:space="preserve"> </w:t>
      </w:r>
      <w:r w:rsidRPr="005C43A1">
        <w:t>approaches broaden a systems</w:t>
      </w:r>
      <w:r w:rsidR="009D3619">
        <w:t>-</w:t>
      </w:r>
      <w:r w:rsidRPr="005C43A1">
        <w:t>level design beyond particular settings</w:t>
      </w:r>
      <w:r w:rsidR="009D3619">
        <w:t>,</w:t>
      </w:r>
      <w:r w:rsidRPr="005C43A1">
        <w:t xml:space="preserve"> such as an individual health care setting, and apply systems development to the entire community</w:t>
      </w:r>
      <w:r w:rsidRPr="005C43A1">
        <w:rPr>
          <w:rFonts w:ascii="Calibri" w:hAnsi="Calibri" w:cs="Arial"/>
        </w:rPr>
        <w:t>.</w:t>
      </w:r>
      <w:r w:rsidR="00C05817" w:rsidRPr="005C43A1">
        <w:t xml:space="preserve"> </w:t>
      </w:r>
      <w:r w:rsidRPr="005C43A1">
        <w:t>Given this wider, systems</w:t>
      </w:r>
      <w:r w:rsidR="009D3619">
        <w:t>-</w:t>
      </w:r>
      <w:r w:rsidRPr="005C43A1">
        <w:t>level perspective and combination of approaches, no data are currently available that include implementation costs at the community level on these approaches. Thus, the data collection will not duplicate or use similar, existing information from other sources.</w:t>
      </w:r>
      <w:r w:rsidR="00C05817" w:rsidRPr="005C43A1">
        <w:t xml:space="preserve"> </w:t>
      </w:r>
      <w:r w:rsidRPr="005C43A1">
        <w:t>Portions of the CTG-CSI are based on standard well-established methods for cost data collection.</w:t>
      </w:r>
      <w:r w:rsidR="005A4570">
        <w:rPr>
          <w:vertAlign w:val="superscript"/>
        </w:rPr>
        <w:t>3</w:t>
      </w:r>
      <w:r w:rsidRPr="005C43A1">
        <w:rPr>
          <w:vertAlign w:val="superscript"/>
        </w:rPr>
        <w:t>,</w:t>
      </w:r>
      <w:r w:rsidR="005A4570">
        <w:rPr>
          <w:vertAlign w:val="superscript"/>
        </w:rPr>
        <w:t>4</w:t>
      </w:r>
      <w:r w:rsidRPr="005C43A1">
        <w:rPr>
          <w:vertAlign w:val="superscript"/>
        </w:rPr>
        <w:t>,</w:t>
      </w:r>
      <w:r w:rsidR="005A4570">
        <w:rPr>
          <w:vertAlign w:val="superscript"/>
        </w:rPr>
        <w:t>6</w:t>
      </w:r>
      <w:r w:rsidRPr="005C43A1">
        <w:rPr>
          <w:vertAlign w:val="superscript"/>
        </w:rPr>
        <w:t>,</w:t>
      </w:r>
      <w:r w:rsidR="005A4570">
        <w:rPr>
          <w:vertAlign w:val="superscript"/>
        </w:rPr>
        <w:t>10</w:t>
      </w:r>
      <w:r w:rsidRPr="005C43A1">
        <w:rPr>
          <w:vertAlign w:val="superscript"/>
        </w:rPr>
        <w:t>,</w:t>
      </w:r>
      <w:r w:rsidR="005A4570">
        <w:rPr>
          <w:vertAlign w:val="superscript"/>
        </w:rPr>
        <w:t>11</w:t>
      </w:r>
      <w:r w:rsidRPr="005C43A1">
        <w:t xml:space="preserve"> Components of a previously developed and tested instrument used for the Study of the Costs Associated with Community Activities under the CPPW Initiative were modified for development of the CTG-CSI. The CPPW CSI was approved by OMB </w:t>
      </w:r>
      <w:r w:rsidR="009D3619">
        <w:t xml:space="preserve">on </w:t>
      </w:r>
      <w:r w:rsidRPr="005C43A1">
        <w:t>January 21, 2011 (OMB control number 0990-0365, expiration date January 31, 2014).</w:t>
      </w:r>
      <w:r w:rsidR="00C05817" w:rsidRPr="005C43A1">
        <w:t xml:space="preserve"> </w:t>
      </w:r>
      <w:r w:rsidR="002C1356">
        <w:t>Although</w:t>
      </w:r>
      <w:r w:rsidR="002C1356" w:rsidRPr="005C43A1">
        <w:t xml:space="preserve"> </w:t>
      </w:r>
      <w:r w:rsidRPr="005C43A1">
        <w:t xml:space="preserve">the format and structure of the CTG-CSI will be similar to the CPPW CSI, the two instruments collect data </w:t>
      </w:r>
      <w:r w:rsidR="00D011CD">
        <w:t>from different awardees and relate to</w:t>
      </w:r>
      <w:r w:rsidRPr="005C43A1">
        <w:t xml:space="preserve"> different types of programs, objectives, and interventions.</w:t>
      </w:r>
    </w:p>
    <w:p w:rsidR="001A023A" w:rsidRPr="005C43A1" w:rsidRDefault="0055363C" w:rsidP="00FC1732">
      <w:pPr>
        <w:pStyle w:val="BodyText1"/>
      </w:pPr>
      <w:r w:rsidRPr="005C43A1">
        <w:lastRenderedPageBreak/>
        <w:t>This data collection will allow HHS and other government agencies such as CDC to perform in-depth cost estimation (cost</w:t>
      </w:r>
      <w:r w:rsidR="00145D2A">
        <w:t>-</w:t>
      </w:r>
      <w:r w:rsidRPr="005C43A1">
        <w:t>effectiveness and cost and health benefit) evaluation of the CTG that would not have been possible using existing budget information alone. The main advantage of this cost and modeling</w:t>
      </w:r>
      <w:r w:rsidR="00C05817" w:rsidRPr="005C43A1">
        <w:t xml:space="preserve"> </w:t>
      </w:r>
      <w:r w:rsidRPr="005C43A1">
        <w:t>approach is that the cost</w:t>
      </w:r>
      <w:r w:rsidR="002C1356">
        <w:t>-</w:t>
      </w:r>
      <w:r w:rsidRPr="005C43A1">
        <w:t>effectiveness and cost and health benefit</w:t>
      </w:r>
      <w:r w:rsidR="002C1356">
        <w:t>s</w:t>
      </w:r>
      <w:r w:rsidRPr="005C43A1">
        <w:t xml:space="preserve"> of specific p</w:t>
      </w:r>
      <w:r w:rsidRPr="005C43A1">
        <w:rPr>
          <w:bCs/>
          <w:sz w:val="22"/>
          <w:szCs w:val="22"/>
        </w:rPr>
        <w:t>olicy,</w:t>
      </w:r>
      <w:r w:rsidR="00C05817" w:rsidRPr="005C43A1">
        <w:rPr>
          <w:bCs/>
          <w:sz w:val="22"/>
          <w:szCs w:val="22"/>
        </w:rPr>
        <w:t xml:space="preserve"> </w:t>
      </w:r>
      <w:r w:rsidRPr="005C43A1">
        <w:t>environmental, programmatic, and infrastructure changes</w:t>
      </w:r>
      <w:r w:rsidRPr="005C43A1">
        <w:rPr>
          <w:bCs/>
          <w:sz w:val="22"/>
          <w:szCs w:val="22"/>
        </w:rPr>
        <w:t xml:space="preserve"> </w:t>
      </w:r>
      <w:r w:rsidRPr="005C43A1">
        <w:t xml:space="preserve">of the CTG </w:t>
      </w:r>
      <w:r w:rsidR="002C1356">
        <w:t>program</w:t>
      </w:r>
      <w:r w:rsidR="002C1356" w:rsidRPr="005C43A1">
        <w:t xml:space="preserve"> </w:t>
      </w:r>
      <w:r w:rsidRPr="005C43A1">
        <w:t xml:space="preserve">can be quantified and compared for a variety of strategies and </w:t>
      </w:r>
      <w:r w:rsidR="002C1356">
        <w:t xml:space="preserve">for </w:t>
      </w:r>
      <w:r w:rsidRPr="005C43A1">
        <w:t>populations representing an array of demographic and</w:t>
      </w:r>
      <w:r w:rsidR="00C05817" w:rsidRPr="005C43A1">
        <w:t xml:space="preserve"> </w:t>
      </w:r>
      <w:r w:rsidRPr="005C43A1">
        <w:t>historically underserved and hard-to-reach groups.</w:t>
      </w:r>
      <w:r w:rsidR="00C05817" w:rsidRPr="005C43A1">
        <w:rPr>
          <w:rFonts w:cs="Arial"/>
          <w:sz w:val="22"/>
        </w:rPr>
        <w:t xml:space="preserve"> </w:t>
      </w:r>
      <w:r w:rsidRPr="005C43A1">
        <w:t xml:space="preserve">Unlike budget or total federal spending, the intervention cost data collected by the CTG-CSI will provide details to answer the 10 </w:t>
      </w:r>
      <w:r w:rsidR="00FC1732">
        <w:t>k</w:t>
      </w:r>
      <w:r w:rsidRPr="005C43A1">
        <w:t xml:space="preserve">ey </w:t>
      </w:r>
      <w:r w:rsidR="00FC1732">
        <w:t>e</w:t>
      </w:r>
      <w:r w:rsidRPr="005C43A1">
        <w:t xml:space="preserve">valuation </w:t>
      </w:r>
      <w:r w:rsidR="00FC1732">
        <w:t>q</w:t>
      </w:r>
      <w:r w:rsidRPr="005C43A1">
        <w:t xml:space="preserve">uestions (A.2), thus </w:t>
      </w:r>
      <w:r w:rsidR="00FC1732">
        <w:t>help</w:t>
      </w:r>
      <w:r w:rsidR="00FC1732" w:rsidRPr="005C43A1">
        <w:t xml:space="preserve">ing </w:t>
      </w:r>
      <w:r w:rsidRPr="005C43A1">
        <w:t>CTG communities as well as other communities in the future to develop and implement</w:t>
      </w:r>
      <w:r w:rsidRPr="005C43A1">
        <w:rPr>
          <w:sz w:val="22"/>
          <w:szCs w:val="22"/>
        </w:rPr>
        <w:t xml:space="preserve"> </w:t>
      </w:r>
      <w:r w:rsidRPr="005C43A1">
        <w:t xml:space="preserve">consequential strategies that improve health outcomes and costs for chronic diseases and other health problems. </w:t>
      </w:r>
      <w:r w:rsidR="005A4570">
        <w:t xml:space="preserve">The system dynamics model </w:t>
      </w:r>
      <w:r w:rsidRPr="005C43A1">
        <w:t>will be used to assist CDC staff and community leaders as they create work plans for transforming specific characteristics in their area.</w:t>
      </w:r>
    </w:p>
    <w:p w:rsidR="0055363C" w:rsidRPr="005C43A1" w:rsidRDefault="0055363C" w:rsidP="00FC1732">
      <w:pPr>
        <w:pStyle w:val="BodyText1"/>
      </w:pPr>
      <w:r w:rsidRPr="005C43A1">
        <w:t xml:space="preserve">In identifying data collection requirements for this cost and modeling study, CDC has also worked with internal teams conducting other evaluation components of the CTG </w:t>
      </w:r>
      <w:r w:rsidR="00FC1732">
        <w:t>program</w:t>
      </w:r>
      <w:r w:rsidR="00FC1732" w:rsidRPr="005C43A1">
        <w:t xml:space="preserve"> </w:t>
      </w:r>
      <w:r w:rsidRPr="005C43A1">
        <w:t>to identify potential data that can be shared across focused projects and thus avoid duplication of data that are being collected by the other evaluation teams.</w:t>
      </w:r>
    </w:p>
    <w:p w:rsidR="00495ADF" w:rsidRPr="005C43A1" w:rsidRDefault="00495ADF" w:rsidP="007F576C">
      <w:pPr>
        <w:pStyle w:val="Heading2"/>
      </w:pPr>
      <w:bookmarkStart w:id="14" w:name="_Toc88033469"/>
      <w:bookmarkStart w:id="15" w:name="_Toc317196260"/>
      <w:r w:rsidRPr="005C43A1">
        <w:t>A.5</w:t>
      </w:r>
      <w:r w:rsidRPr="005C43A1">
        <w:tab/>
      </w:r>
      <w:bookmarkEnd w:id="14"/>
      <w:r w:rsidRPr="005C43A1">
        <w:t>Impact on Small Businesses or Other Small Entities</w:t>
      </w:r>
      <w:bookmarkEnd w:id="15"/>
    </w:p>
    <w:p w:rsidR="0055363C" w:rsidRPr="005C43A1" w:rsidRDefault="0055363C" w:rsidP="00FC1732">
      <w:pPr>
        <w:pStyle w:val="BodyText1"/>
        <w:rPr>
          <w:rFonts w:eastAsia="Batang"/>
        </w:rPr>
      </w:pPr>
      <w:r w:rsidRPr="005C43A1">
        <w:rPr>
          <w:rFonts w:eastAsia="Batang"/>
        </w:rPr>
        <w:t xml:space="preserve">No small businesses are involved as respondents to this data collection effort. </w:t>
      </w:r>
    </w:p>
    <w:p w:rsidR="00495ADF" w:rsidRPr="005C43A1" w:rsidRDefault="00495ADF" w:rsidP="00B14DA8">
      <w:pPr>
        <w:pStyle w:val="Heading2"/>
      </w:pPr>
      <w:bookmarkStart w:id="16" w:name="_Toc88033470"/>
      <w:bookmarkStart w:id="17" w:name="_Toc317196261"/>
      <w:r w:rsidRPr="005C43A1">
        <w:t>A.6</w:t>
      </w:r>
      <w:r w:rsidRPr="005C43A1">
        <w:tab/>
      </w:r>
      <w:bookmarkEnd w:id="16"/>
      <w:r w:rsidRPr="005C43A1">
        <w:t>Consequences of Collecting the Information Less Frequently</w:t>
      </w:r>
      <w:bookmarkEnd w:id="17"/>
    </w:p>
    <w:p w:rsidR="0055363C" w:rsidRPr="005C43A1" w:rsidRDefault="0055363C" w:rsidP="00FC1732">
      <w:pPr>
        <w:pStyle w:val="BodyText1"/>
      </w:pPr>
      <w:r w:rsidRPr="005C43A1">
        <w:t>Without these cost data, HHS will not be able to assess the cost</w:t>
      </w:r>
      <w:r w:rsidR="00FC1732">
        <w:t>-</w:t>
      </w:r>
      <w:r w:rsidRPr="005C43A1">
        <w:t>effectiveness and cost and health benefits associated with particular intervention approaches (drawn from a core set of CTG Strategic Directi</w:t>
      </w:r>
      <w:r w:rsidR="006969D6">
        <w:t>ons</w:t>
      </w:r>
      <w:r w:rsidRPr="005C43A1">
        <w:t xml:space="preserve">, </w:t>
      </w:r>
      <w:r w:rsidR="000256F5" w:rsidRPr="005C43A1">
        <w:t>Attachment </w:t>
      </w:r>
      <w:r w:rsidRPr="005C43A1">
        <w:t>3) over time. This economic analysis will provide critical information to inform decision</w:t>
      </w:r>
      <w:r w:rsidR="00FC1732">
        <w:t xml:space="preserve"> </w:t>
      </w:r>
      <w:r w:rsidRPr="005C43A1">
        <w:t>making and future resource allocation by assessing the actual costs of carrying out policy- and environmental change-focused strategies in many</w:t>
      </w:r>
      <w:r w:rsidR="00C05817" w:rsidRPr="005C43A1">
        <w:t xml:space="preserve"> </w:t>
      </w:r>
      <w:r w:rsidRPr="005C43A1">
        <w:t>communities and hard</w:t>
      </w:r>
      <w:r w:rsidR="00FC1732">
        <w:t>-</w:t>
      </w:r>
      <w:r w:rsidRPr="005C43A1">
        <w:t>to</w:t>
      </w:r>
      <w:r w:rsidR="00FC1732">
        <w:t>-</w:t>
      </w:r>
      <w:r w:rsidRPr="005C43A1">
        <w:t>reach, diverse</w:t>
      </w:r>
      <w:r w:rsidR="00C05817" w:rsidRPr="005C43A1">
        <w:t xml:space="preserve"> </w:t>
      </w:r>
      <w:r w:rsidRPr="005C43A1">
        <w:t>populations</w:t>
      </w:r>
      <w:r w:rsidR="00C05817" w:rsidRPr="005C43A1">
        <w:t xml:space="preserve">. </w:t>
      </w:r>
      <w:r w:rsidRPr="005C43A1">
        <w:t xml:space="preserve">This information is vital to the overall evaluation of the CTG </w:t>
      </w:r>
      <w:r w:rsidR="00FC1732">
        <w:t>program</w:t>
      </w:r>
      <w:r w:rsidRPr="005C43A1">
        <w:t xml:space="preserve"> and essential for future, successful program planning and implementation. </w:t>
      </w:r>
      <w:r w:rsidRPr="005C43A1">
        <w:rPr>
          <w:rFonts w:eastAsia="Calibri"/>
        </w:rPr>
        <w:t xml:space="preserve">It is anticipated that </w:t>
      </w:r>
      <w:r w:rsidR="000757CB">
        <w:rPr>
          <w:rFonts w:eastAsia="Calibri"/>
        </w:rPr>
        <w:t xml:space="preserve">over the five-year award period, </w:t>
      </w:r>
      <w:r w:rsidRPr="005C43A1">
        <w:rPr>
          <w:rFonts w:eastAsia="Calibri"/>
        </w:rPr>
        <w:t xml:space="preserve">awardees will collect and report these cost data </w:t>
      </w:r>
      <w:r w:rsidR="000757CB">
        <w:rPr>
          <w:rFonts w:eastAsia="Calibri"/>
        </w:rPr>
        <w:t xml:space="preserve">a total of </w:t>
      </w:r>
      <w:r w:rsidRPr="005C43A1">
        <w:rPr>
          <w:rFonts w:eastAsia="Calibri"/>
        </w:rPr>
        <w:t xml:space="preserve">18 times </w:t>
      </w:r>
      <w:r w:rsidR="000757CB">
        <w:rPr>
          <w:rFonts w:eastAsia="Calibri"/>
        </w:rPr>
        <w:t xml:space="preserve">on a </w:t>
      </w:r>
      <w:r w:rsidRPr="005C43A1">
        <w:rPr>
          <w:rFonts w:eastAsia="Calibri"/>
        </w:rPr>
        <w:t>quarterly</w:t>
      </w:r>
      <w:r w:rsidR="000757CB">
        <w:rPr>
          <w:rFonts w:eastAsia="Calibri"/>
        </w:rPr>
        <w:t xml:space="preserve"> schedule</w:t>
      </w:r>
      <w:r w:rsidRPr="005C43A1">
        <w:rPr>
          <w:rFonts w:eastAsia="Calibri"/>
        </w:rPr>
        <w:t xml:space="preserve">, beginning at the end of the </w:t>
      </w:r>
      <w:r w:rsidR="000757CB">
        <w:rPr>
          <w:rFonts w:eastAsia="Calibri"/>
        </w:rPr>
        <w:t>third</w:t>
      </w:r>
      <w:r w:rsidRPr="005C43A1">
        <w:rPr>
          <w:rFonts w:eastAsia="Calibri"/>
        </w:rPr>
        <w:t xml:space="preserve"> quarter </w:t>
      </w:r>
      <w:r w:rsidRPr="005C43A1">
        <w:rPr>
          <w:rFonts w:eastAsia="Calibri"/>
        </w:rPr>
        <w:lastRenderedPageBreak/>
        <w:t>(approximately July 2012) through the end of the 20th</w:t>
      </w:r>
      <w:r w:rsidRPr="005C43A1">
        <w:rPr>
          <w:rFonts w:eastAsia="Calibri"/>
          <w:b/>
        </w:rPr>
        <w:t xml:space="preserve"> </w:t>
      </w:r>
      <w:r w:rsidRPr="005C43A1">
        <w:rPr>
          <w:rFonts w:eastAsia="Calibri"/>
        </w:rPr>
        <w:t>quarter (approximately July 2016)</w:t>
      </w:r>
      <w:r w:rsidR="00C05817" w:rsidRPr="005C43A1">
        <w:rPr>
          <w:rFonts w:eastAsia="Calibri"/>
        </w:rPr>
        <w:t xml:space="preserve"> </w:t>
      </w:r>
      <w:r w:rsidRPr="005C43A1">
        <w:rPr>
          <w:rFonts w:eastAsia="Calibri"/>
        </w:rPr>
        <w:t xml:space="preserve">of the CTG funding period. </w:t>
      </w:r>
      <w:r w:rsidRPr="005C43A1">
        <w:t>It is methodologically desirable to collect data at least quarterly to reduce the likelihood of errors in recall on items such as volunteer and in-kind contributions as well as staff time allocated to specific implementation of interventions. CTG awardees will be required to report quarterly on other aspects of program implementation</w:t>
      </w:r>
      <w:r w:rsidR="00FC1732">
        <w:t>,</w:t>
      </w:r>
      <w:r w:rsidRPr="005C43A1">
        <w:t xml:space="preserve"> so this protocol will align with those reporting cycles. Reducing the respondent burden below the estimated levels (that is, reducing the frequency of the data collection) would diminish the utility of the study and inhibit the ability of HHS to respond to anticipated requests for cost data</w:t>
      </w:r>
      <w:r w:rsidR="00145D2A">
        <w:t xml:space="preserve"> associated with this program. </w:t>
      </w:r>
      <w:r w:rsidRPr="005C43A1">
        <w:t>There are no legal obstacles to reduce the burden.</w:t>
      </w:r>
    </w:p>
    <w:p w:rsidR="00495ADF" w:rsidRPr="005C43A1" w:rsidRDefault="00495ADF" w:rsidP="00B14DA8">
      <w:pPr>
        <w:pStyle w:val="Heading2"/>
      </w:pPr>
      <w:bookmarkStart w:id="18" w:name="_Toc88033471"/>
      <w:bookmarkStart w:id="19" w:name="_Toc317196262"/>
      <w:r w:rsidRPr="005C43A1">
        <w:t>A.7</w:t>
      </w:r>
      <w:r w:rsidRPr="005C43A1">
        <w:tab/>
      </w:r>
      <w:bookmarkEnd w:id="18"/>
      <w:r w:rsidRPr="005C43A1">
        <w:t>Special Circumstances Relating to the Guidelines of 5 CFR1320.5</w:t>
      </w:r>
      <w:bookmarkEnd w:id="19"/>
    </w:p>
    <w:p w:rsidR="0055363C" w:rsidRPr="005C43A1" w:rsidRDefault="0055363C" w:rsidP="00E427A6">
      <w:pPr>
        <w:pStyle w:val="BodyText1"/>
      </w:pPr>
      <w:r w:rsidRPr="005C43A1">
        <w:t>This request fully complies with all guidelines of 5 CFR 1320.5. There are no special circumstances required.</w:t>
      </w:r>
    </w:p>
    <w:p w:rsidR="00495ADF" w:rsidRPr="005C43A1" w:rsidRDefault="00495ADF" w:rsidP="008633DF">
      <w:pPr>
        <w:pStyle w:val="Heading2"/>
        <w:spacing w:line="276" w:lineRule="auto"/>
      </w:pPr>
      <w:bookmarkStart w:id="20" w:name="_Toc88033472"/>
      <w:bookmarkStart w:id="21" w:name="_Toc317196263"/>
      <w:r w:rsidRPr="005C43A1">
        <w:t>A.8</w:t>
      </w:r>
      <w:r w:rsidRPr="005C43A1">
        <w:tab/>
      </w:r>
      <w:bookmarkEnd w:id="20"/>
      <w:r w:rsidRPr="005C43A1">
        <w:t>Comments in Response to the Federal Register Notice and Efforts to Consult Outside the Agency</w:t>
      </w:r>
      <w:bookmarkEnd w:id="21"/>
    </w:p>
    <w:p w:rsidR="000256F5" w:rsidRPr="005C43A1" w:rsidRDefault="0055363C" w:rsidP="008633DF">
      <w:pPr>
        <w:pStyle w:val="ListParagraph"/>
        <w:spacing w:line="276" w:lineRule="auto"/>
      </w:pPr>
      <w:r w:rsidRPr="005C43A1">
        <w:t>A.</w:t>
      </w:r>
      <w:r w:rsidRPr="005C43A1">
        <w:tab/>
        <w:t>A 60-day notice for public comments on the proposed data collection activities required by 5 CFR 1320.8(d)</w:t>
      </w:r>
      <w:r w:rsidR="00C05817" w:rsidRPr="005C43A1">
        <w:t xml:space="preserve"> </w:t>
      </w:r>
      <w:r w:rsidRPr="005C43A1">
        <w:t xml:space="preserve">was published in the </w:t>
      </w:r>
      <w:r w:rsidRPr="00145D2A">
        <w:rPr>
          <w:i/>
          <w:iCs/>
        </w:rPr>
        <w:t>Federal Register</w:t>
      </w:r>
      <w:r w:rsidRPr="005C43A1">
        <w:t xml:space="preserve"> on </w:t>
      </w:r>
      <w:r w:rsidR="00B30A9A">
        <w:rPr>
          <w:bCs/>
        </w:rPr>
        <w:t xml:space="preserve">December 9, 2011 </w:t>
      </w:r>
      <w:r w:rsidRPr="005C43A1">
        <w:t>(Volume</w:t>
      </w:r>
      <w:r w:rsidR="00B30A9A">
        <w:t xml:space="preserve"> 76</w:t>
      </w:r>
      <w:r w:rsidR="00C05817" w:rsidRPr="005C43A1">
        <w:t>,</w:t>
      </w:r>
      <w:r w:rsidRPr="005C43A1">
        <w:t xml:space="preserve"> Number</w:t>
      </w:r>
      <w:r w:rsidR="00B30A9A">
        <w:t xml:space="preserve"> 237</w:t>
      </w:r>
      <w:r w:rsidR="00C05817" w:rsidRPr="005C43A1">
        <w:t>,</w:t>
      </w:r>
      <w:r w:rsidRPr="005C43A1">
        <w:t xml:space="preserve"> pages </w:t>
      </w:r>
      <w:r w:rsidR="00B30A9A">
        <w:t>76976-76977</w:t>
      </w:r>
      <w:r w:rsidRPr="005C43A1">
        <w:t>) (</w:t>
      </w:r>
      <w:r w:rsidR="000256F5" w:rsidRPr="005C43A1">
        <w:rPr>
          <w:bCs/>
        </w:rPr>
        <w:t>Attachment </w:t>
      </w:r>
      <w:r w:rsidRPr="005C43A1">
        <w:rPr>
          <w:bCs/>
        </w:rPr>
        <w:t>2)</w:t>
      </w:r>
      <w:r w:rsidRPr="005C43A1">
        <w:t>.</w:t>
      </w:r>
      <w:r w:rsidR="00B30A9A">
        <w:t xml:space="preserve"> No public comments have been received.</w:t>
      </w:r>
    </w:p>
    <w:p w:rsidR="0055363C" w:rsidRPr="005C43A1" w:rsidRDefault="002E5438" w:rsidP="008633DF">
      <w:pPr>
        <w:pStyle w:val="ListParagraph"/>
        <w:spacing w:line="276" w:lineRule="auto"/>
      </w:pPr>
      <w:r w:rsidRPr="005C43A1">
        <w:t>B.</w:t>
      </w:r>
      <w:r w:rsidRPr="005C43A1">
        <w:tab/>
      </w:r>
      <w:r w:rsidR="00A86EDF">
        <w:t xml:space="preserve">The mathematical model being developed through this project is a CDC product.  CDC </w:t>
      </w:r>
      <w:r w:rsidR="006E7CDA">
        <w:t xml:space="preserve">also </w:t>
      </w:r>
      <w:r w:rsidR="00A86EDF">
        <w:t>co</w:t>
      </w:r>
      <w:r w:rsidR="00656709">
        <w:t xml:space="preserve">nsulted with Dr. Patty L. Mabry, Senior Advisor in the Office of Behavioral and Social Science Research (OBSSR) </w:t>
      </w:r>
      <w:r w:rsidR="00E6431E">
        <w:t>in the Office of the Director, NIH.</w:t>
      </w:r>
      <w:r w:rsidR="009405BF">
        <w:t xml:space="preserve">  </w:t>
      </w:r>
      <w:r w:rsidR="00656709">
        <w:t>Dr. Mabry</w:t>
      </w:r>
      <w:r w:rsidR="00E6431E">
        <w:t xml:space="preserve"> is a behaviora</w:t>
      </w:r>
      <w:r w:rsidR="006E7CDA">
        <w:t xml:space="preserve">l scientist </w:t>
      </w:r>
      <w:r w:rsidR="00E6431E">
        <w:t>with expertise in system</w:t>
      </w:r>
      <w:r w:rsidR="006E7CDA">
        <w:t xml:space="preserve">s </w:t>
      </w:r>
      <w:r w:rsidR="00E6431E">
        <w:t>(computational) science</w:t>
      </w:r>
      <w:r w:rsidR="006E7CDA">
        <w:t>.</w:t>
      </w:r>
      <w:r w:rsidR="00A86EDF">
        <w:t xml:space="preserve"> </w:t>
      </w:r>
      <w:r w:rsidR="00F54E65">
        <w:t xml:space="preserve"> </w:t>
      </w:r>
      <w:r w:rsidR="009405BF">
        <w:t>Her contact information  is</w:t>
      </w:r>
      <w:r w:rsidR="00F54E65">
        <w:t xml:space="preserve"> </w:t>
      </w:r>
      <w:r w:rsidR="00F54E65" w:rsidRPr="00A86EDF">
        <w:t>301.402.1753</w:t>
      </w:r>
      <w:r w:rsidR="00F54E65">
        <w:t xml:space="preserve"> (voice) or </w:t>
      </w:r>
      <w:hyperlink r:id="rId12" w:history="1">
        <w:r w:rsidR="00F54E65" w:rsidRPr="004965BF">
          <w:rPr>
            <w:rStyle w:val="Hyperlink"/>
          </w:rPr>
          <w:t>Patty.Mabry@nih.hhs.gov</w:t>
        </w:r>
      </w:hyperlink>
      <w:r w:rsidR="00F54E65">
        <w:t xml:space="preserve"> (electronic mail).  </w:t>
      </w:r>
    </w:p>
    <w:p w:rsidR="00495ADF" w:rsidRPr="005C43A1" w:rsidRDefault="00495ADF" w:rsidP="00E07659">
      <w:pPr>
        <w:pStyle w:val="Heading2"/>
      </w:pPr>
      <w:bookmarkStart w:id="22" w:name="_Toc88033473"/>
      <w:bookmarkStart w:id="23" w:name="_Toc317196264"/>
      <w:r w:rsidRPr="005C43A1">
        <w:t>A.9</w:t>
      </w:r>
      <w:r w:rsidRPr="005C43A1">
        <w:tab/>
      </w:r>
      <w:bookmarkEnd w:id="22"/>
      <w:r w:rsidRPr="005C43A1">
        <w:t>Explanation of Any Payment or Gift to Respondents</w:t>
      </w:r>
      <w:bookmarkEnd w:id="23"/>
    </w:p>
    <w:p w:rsidR="0055363C" w:rsidRPr="005C43A1" w:rsidRDefault="0055363C" w:rsidP="00FC1732">
      <w:pPr>
        <w:pStyle w:val="BodyText1"/>
        <w:rPr>
          <w:rFonts w:eastAsia="Batang"/>
        </w:rPr>
      </w:pPr>
      <w:r w:rsidRPr="005C43A1">
        <w:rPr>
          <w:rFonts w:eastAsia="Batang"/>
        </w:rPr>
        <w:t>HHS does not provide remuneration to CTG awardees for completi</w:t>
      </w:r>
      <w:r w:rsidR="00FC1732">
        <w:rPr>
          <w:rFonts w:eastAsia="Batang"/>
        </w:rPr>
        <w:t>ng</w:t>
      </w:r>
      <w:r w:rsidRPr="005C43A1">
        <w:rPr>
          <w:rFonts w:eastAsia="Batang"/>
        </w:rPr>
        <w:t xml:space="preserve"> and </w:t>
      </w:r>
      <w:r w:rsidR="00FC1732" w:rsidRPr="005C43A1">
        <w:rPr>
          <w:rFonts w:eastAsia="Batang"/>
        </w:rPr>
        <w:t>submi</w:t>
      </w:r>
      <w:r w:rsidR="00FC1732">
        <w:rPr>
          <w:rFonts w:eastAsia="Batang"/>
        </w:rPr>
        <w:t>tting</w:t>
      </w:r>
      <w:r w:rsidRPr="005C43A1">
        <w:rPr>
          <w:rFonts w:eastAsia="Batang"/>
        </w:rPr>
        <w:t xml:space="preserve"> the evaluation data. Awardees agreed to participate in evaluation activities as a condition of award.</w:t>
      </w:r>
    </w:p>
    <w:p w:rsidR="00495ADF" w:rsidRPr="005C43A1" w:rsidRDefault="00495ADF" w:rsidP="00E07659">
      <w:pPr>
        <w:pStyle w:val="Heading2"/>
      </w:pPr>
      <w:bookmarkStart w:id="24" w:name="_Toc88033474"/>
      <w:bookmarkStart w:id="25" w:name="_Toc317196265"/>
      <w:r w:rsidRPr="005C43A1">
        <w:lastRenderedPageBreak/>
        <w:t>A.10</w:t>
      </w:r>
      <w:r w:rsidRPr="005C43A1">
        <w:tab/>
      </w:r>
      <w:bookmarkEnd w:id="24"/>
      <w:r w:rsidRPr="005C43A1">
        <w:t>Assurance of Confidentiality Provided to Respondents</w:t>
      </w:r>
      <w:bookmarkEnd w:id="25"/>
    </w:p>
    <w:p w:rsidR="00C03D72" w:rsidRDefault="0055363C" w:rsidP="00E427A6">
      <w:pPr>
        <w:pStyle w:val="BodyText1"/>
      </w:pPr>
      <w:r w:rsidRPr="005C43A1">
        <w:t>Respondents are local governments and nonprofit organizations that are providing information on their organizational structure, infrastructure, intervention strategy costs</w:t>
      </w:r>
      <w:r w:rsidR="00FC1732">
        <w:t>,</w:t>
      </w:r>
      <w:r w:rsidRPr="005C43A1">
        <w:t xml:space="preserve"> and other</w:t>
      </w:r>
      <w:r w:rsidR="00C05817" w:rsidRPr="005C43A1">
        <w:t xml:space="preserve"> </w:t>
      </w:r>
      <w:r w:rsidRPr="005C43A1">
        <w:t>expenditures</w:t>
      </w:r>
      <w:r w:rsidR="00C03D72">
        <w:t>.</w:t>
      </w:r>
      <w:r w:rsidR="00C03D72" w:rsidRPr="00C03D72">
        <w:t xml:space="preserve"> </w:t>
      </w:r>
      <w:r w:rsidR="00C03D72">
        <w:t xml:space="preserve"> </w:t>
      </w:r>
      <w:r w:rsidR="00C03D72" w:rsidRPr="005C43A1">
        <w:t>No IFF is being collected</w:t>
      </w:r>
    </w:p>
    <w:p w:rsidR="002E5438" w:rsidRPr="005C43A1" w:rsidRDefault="00C03D72" w:rsidP="0038190A">
      <w:pPr>
        <w:pStyle w:val="BodyText1"/>
        <w:numPr>
          <w:ilvl w:val="0"/>
          <w:numId w:val="15"/>
        </w:numPr>
      </w:pPr>
      <w:r w:rsidRPr="008633DF">
        <w:rPr>
          <w:u w:val="single"/>
        </w:rPr>
        <w:t>Privacy Act Determination</w:t>
      </w:r>
      <w:r>
        <w:t xml:space="preserve">.  CDC has reviewed this submission and determined that the </w:t>
      </w:r>
      <w:r w:rsidR="0055363C" w:rsidRPr="005C43A1">
        <w:t xml:space="preserve">Privacy Act does not apply. Although a primary contact person will be identified for each </w:t>
      </w:r>
      <w:r w:rsidR="00E3352F" w:rsidRPr="005C43A1">
        <w:t>awardee</w:t>
      </w:r>
      <w:r w:rsidR="00A55658">
        <w:t>’</w:t>
      </w:r>
      <w:r w:rsidR="00E3352F" w:rsidRPr="005C43A1">
        <w:t>s</w:t>
      </w:r>
      <w:r w:rsidR="00D011CD">
        <w:t xml:space="preserve"> organization</w:t>
      </w:r>
      <w:r w:rsidR="0055363C" w:rsidRPr="005C43A1">
        <w:t xml:space="preserve">, the contact person will be speaking from their role as a representative of the responding CTG </w:t>
      </w:r>
      <w:r w:rsidR="00E3352F" w:rsidRPr="005C43A1">
        <w:t>awardee</w:t>
      </w:r>
      <w:r w:rsidR="00A55658">
        <w:t>’</w:t>
      </w:r>
      <w:r w:rsidR="00E3352F" w:rsidRPr="005C43A1">
        <w:t>s</w:t>
      </w:r>
      <w:r w:rsidR="00D011CD">
        <w:t xml:space="preserve"> organi</w:t>
      </w:r>
      <w:r w:rsidR="00A55658">
        <w:t>z</w:t>
      </w:r>
      <w:r w:rsidR="00D011CD">
        <w:t>ation</w:t>
      </w:r>
      <w:r w:rsidR="0055363C" w:rsidRPr="005C43A1">
        <w:t>. The information collection does not involve</w:t>
      </w:r>
      <w:r w:rsidR="00A55658">
        <w:t xml:space="preserve"> collection of</w:t>
      </w:r>
      <w:r w:rsidR="0055363C" w:rsidRPr="005C43A1">
        <w:t xml:space="preserve"> sensitive or personal information.</w:t>
      </w:r>
    </w:p>
    <w:p w:rsidR="000256F5" w:rsidRDefault="00C03D72" w:rsidP="0038190A">
      <w:pPr>
        <w:pStyle w:val="BodyText1"/>
        <w:numPr>
          <w:ilvl w:val="0"/>
          <w:numId w:val="15"/>
        </w:numPr>
      </w:pPr>
      <w:r w:rsidRPr="008633DF">
        <w:rPr>
          <w:u w:val="single"/>
        </w:rPr>
        <w:t>Safeguards</w:t>
      </w:r>
      <w:r>
        <w:t xml:space="preserve">.  </w:t>
      </w:r>
      <w:r w:rsidR="0055363C" w:rsidRPr="005C43A1">
        <w:t xml:space="preserve">Data collection will be conducted via a Web-based instrument managed by RTI. Data will be submitted to HHS according to approved Internet-based communication protocols and a written security plan. Access to the Web-based CTG-CSI system will be controlled by a password-protected login that allows varying degrees of access for HHS personnel, contract personnel, and project personnel associated with each CTG </w:t>
      </w:r>
      <w:r w:rsidR="00E3352F" w:rsidRPr="005C43A1">
        <w:t>awardee</w:t>
      </w:r>
      <w:r w:rsidR="0055363C" w:rsidRPr="005C43A1">
        <w:t xml:space="preserve">. CTG </w:t>
      </w:r>
      <w:r w:rsidR="00E3352F" w:rsidRPr="005C43A1">
        <w:t>awarde</w:t>
      </w:r>
      <w:r w:rsidR="00D21F8F">
        <w:t>e</w:t>
      </w:r>
      <w:r w:rsidR="0055363C" w:rsidRPr="005C43A1">
        <w:t xml:space="preserve"> personnel will have access only to the data for their own </w:t>
      </w:r>
      <w:r w:rsidR="00E3352F" w:rsidRPr="005C43A1">
        <w:t>awardee</w:t>
      </w:r>
      <w:r w:rsidR="0055363C" w:rsidRPr="005C43A1">
        <w:t xml:space="preserve">. The systems to be put in place will </w:t>
      </w:r>
      <w:r w:rsidR="00FC1732">
        <w:t>en</w:t>
      </w:r>
      <w:r w:rsidR="0055363C" w:rsidRPr="005C43A1">
        <w:t xml:space="preserve">sure that stored information is accessible to authorized users yet secure. The system contractor will oversee compliance with the written security plan developed by </w:t>
      </w:r>
      <w:r w:rsidR="00145D2A">
        <w:t>CDC</w:t>
      </w:r>
      <w:r w:rsidR="0055363C" w:rsidRPr="005C43A1">
        <w:t>.</w:t>
      </w:r>
    </w:p>
    <w:p w:rsidR="004F1E2D" w:rsidRDefault="004F1E2D" w:rsidP="0038190A">
      <w:pPr>
        <w:pStyle w:val="BodyText1"/>
        <w:numPr>
          <w:ilvl w:val="0"/>
          <w:numId w:val="15"/>
        </w:numPr>
      </w:pPr>
      <w:r w:rsidRPr="00D818D6">
        <w:rPr>
          <w:u w:val="single"/>
        </w:rPr>
        <w:t>Consent</w:t>
      </w:r>
      <w:r>
        <w:t xml:space="preserve">.  Because the information collection does not involve research with human subjects, IRB approval and individual consent requirements are not applicable. </w:t>
      </w:r>
    </w:p>
    <w:p w:rsidR="004F1E2D" w:rsidRDefault="004F1E2D" w:rsidP="0038190A">
      <w:pPr>
        <w:pStyle w:val="BodyText1"/>
        <w:numPr>
          <w:ilvl w:val="0"/>
          <w:numId w:val="15"/>
        </w:numPr>
      </w:pPr>
      <w:r w:rsidRPr="00D818D6">
        <w:rPr>
          <w:u w:val="single"/>
        </w:rPr>
        <w:t xml:space="preserve">Nature of </w:t>
      </w:r>
      <w:r w:rsidR="00086886" w:rsidRPr="00D818D6">
        <w:rPr>
          <w:u w:val="single"/>
        </w:rPr>
        <w:t>Response</w:t>
      </w:r>
      <w:r>
        <w:t xml:space="preserve">.  </w:t>
      </w:r>
      <w:r w:rsidR="00DF5387" w:rsidRPr="005C43A1">
        <w:t>No</w:t>
      </w:r>
      <w:r w:rsidR="00DF5387">
        <w:t xml:space="preserve"> information in identifiable form (</w:t>
      </w:r>
      <w:r w:rsidR="00DF5387" w:rsidRPr="005C43A1">
        <w:t>I</w:t>
      </w:r>
      <w:r w:rsidR="00DF5387">
        <w:t>I</w:t>
      </w:r>
      <w:r w:rsidR="00DF5387" w:rsidRPr="005C43A1">
        <w:t>F</w:t>
      </w:r>
      <w:r w:rsidR="00DF5387">
        <w:t xml:space="preserve">) </w:t>
      </w:r>
      <w:r w:rsidR="00DF5387" w:rsidRPr="005C43A1">
        <w:t>is being collected.</w:t>
      </w:r>
      <w:r w:rsidR="00DF5387">
        <w:t xml:space="preserve">  The proposed collection will have little or no effect on the respondent’s privacy.  </w:t>
      </w:r>
      <w:r>
        <w:t>Participation in the information collection is a condition of funding for selected CTG awardees.</w:t>
      </w:r>
    </w:p>
    <w:p w:rsidR="000256F5" w:rsidRPr="005C43A1" w:rsidRDefault="000256F5" w:rsidP="00E427A6">
      <w:pPr>
        <w:pStyle w:val="BodyText1"/>
      </w:pPr>
    </w:p>
    <w:p w:rsidR="00495ADF" w:rsidRPr="005C43A1" w:rsidRDefault="00495ADF" w:rsidP="00F66166">
      <w:pPr>
        <w:pStyle w:val="Heading2"/>
      </w:pPr>
      <w:bookmarkStart w:id="26" w:name="_Toc88033477"/>
      <w:bookmarkStart w:id="27" w:name="_Toc317196266"/>
      <w:r w:rsidRPr="005C43A1">
        <w:t>A.11</w:t>
      </w:r>
      <w:r w:rsidRPr="005C43A1">
        <w:tab/>
      </w:r>
      <w:bookmarkEnd w:id="26"/>
      <w:r w:rsidRPr="005C43A1">
        <w:t>Justification for Sensitive Questions</w:t>
      </w:r>
      <w:bookmarkEnd w:id="27"/>
    </w:p>
    <w:p w:rsidR="0055363C" w:rsidRPr="005C43A1" w:rsidRDefault="0055363C" w:rsidP="00E427A6">
      <w:pPr>
        <w:pStyle w:val="BodyText1"/>
      </w:pPr>
      <w:r w:rsidRPr="005C43A1">
        <w:t>We are collecting program-level cost data and not individual-level data. The CTG-CSI does not request sensitive or personally identifiable information.</w:t>
      </w:r>
    </w:p>
    <w:p w:rsidR="0055363C" w:rsidRPr="005C43A1" w:rsidRDefault="00495ADF" w:rsidP="002E5438">
      <w:pPr>
        <w:pStyle w:val="Heading2"/>
      </w:pPr>
      <w:bookmarkStart w:id="28" w:name="_Toc88033478"/>
      <w:bookmarkStart w:id="29" w:name="_Toc317196267"/>
      <w:r w:rsidRPr="005C43A1">
        <w:lastRenderedPageBreak/>
        <w:t>A.12</w:t>
      </w:r>
      <w:r w:rsidRPr="005C43A1">
        <w:tab/>
      </w:r>
      <w:bookmarkEnd w:id="28"/>
      <w:r w:rsidRPr="005C43A1">
        <w:t>Estimates of Annualized Burden Hours and Costs</w:t>
      </w:r>
      <w:bookmarkStart w:id="30" w:name="_Toc273528741"/>
      <w:bookmarkStart w:id="31" w:name="_Toc275433773"/>
      <w:bookmarkStart w:id="32" w:name="_Toc88033479"/>
      <w:r w:rsidR="002E5438" w:rsidRPr="005C43A1">
        <w:t xml:space="preserve"> </w:t>
      </w:r>
      <w:r w:rsidR="0055363C" w:rsidRPr="005C43A1">
        <w:t>to Respondents</w:t>
      </w:r>
      <w:bookmarkEnd w:id="29"/>
      <w:bookmarkEnd w:id="30"/>
      <w:bookmarkEnd w:id="31"/>
    </w:p>
    <w:p w:rsidR="0055363C" w:rsidRPr="005C43A1" w:rsidRDefault="0055363C" w:rsidP="002E5438">
      <w:pPr>
        <w:pStyle w:val="Heading3"/>
        <w:rPr>
          <w:lang w:val="en-US"/>
        </w:rPr>
      </w:pPr>
      <w:bookmarkStart w:id="33" w:name="_Toc275433774"/>
      <w:bookmarkStart w:id="34" w:name="_Toc317196268"/>
      <w:r w:rsidRPr="005C43A1">
        <w:rPr>
          <w:lang w:val="en-US"/>
        </w:rPr>
        <w:t>A.12.1</w:t>
      </w:r>
      <w:r w:rsidRPr="005C43A1">
        <w:rPr>
          <w:lang w:val="en-US"/>
        </w:rPr>
        <w:tab/>
        <w:t>Estimated Annualized Burden Hours</w:t>
      </w:r>
      <w:bookmarkEnd w:id="33"/>
      <w:bookmarkEnd w:id="34"/>
    </w:p>
    <w:p w:rsidR="000256F5" w:rsidRPr="005C43A1" w:rsidRDefault="0055363C" w:rsidP="00D85062">
      <w:pPr>
        <w:pStyle w:val="BodyText1"/>
      </w:pPr>
      <w:r w:rsidRPr="005C43A1">
        <w:t>The total number of respondents for the CTG cost collection</w:t>
      </w:r>
      <w:r w:rsidRPr="005C43A1">
        <w:rPr>
          <w:b/>
        </w:rPr>
        <w:t xml:space="preserve"> </w:t>
      </w:r>
      <w:r w:rsidRPr="005C43A1">
        <w:t>will be 30</w:t>
      </w:r>
      <w:r w:rsidRPr="005C43A1">
        <w:rPr>
          <w:b/>
        </w:rPr>
        <w:t xml:space="preserve"> </w:t>
      </w:r>
      <w:r w:rsidRPr="005C43A1">
        <w:t xml:space="preserve">respondents. </w:t>
      </w:r>
      <w:r w:rsidR="005A4570">
        <w:t xml:space="preserve">The 30 respondents will </w:t>
      </w:r>
      <w:r w:rsidR="00D85062">
        <w:t>represent a subset of</w:t>
      </w:r>
      <w:r w:rsidR="005A4570">
        <w:t xml:space="preserve"> 35 CTG implementation awardees.  </w:t>
      </w:r>
      <w:r w:rsidR="00D85062">
        <w:t xml:space="preserve">The 30 respondents will be selected by CDC based on the list of priority interventions selected for the cost study (currently under development).  Exact selection criteria will be established after awardees finalize their Community Implementation Plans (CTIPs).  </w:t>
      </w:r>
      <w:r w:rsidRPr="005C43A1">
        <w:t xml:space="preserve">Each of the 30 respondents will be asked to </w:t>
      </w:r>
      <w:r w:rsidR="00470E4A">
        <w:t>report</w:t>
      </w:r>
      <w:r w:rsidRPr="005C43A1">
        <w:t xml:space="preserve"> a set of data via the Web-based CTG-CSI</w:t>
      </w:r>
      <w:r w:rsidR="00470E4A">
        <w:t xml:space="preserve"> (Attachment 6a)</w:t>
      </w:r>
      <w:r w:rsidRPr="005C43A1">
        <w:t>. The data collection process will be conducted quarterly</w:t>
      </w:r>
      <w:r w:rsidR="00470E4A">
        <w:t xml:space="preserve"> and the estimated burden per response is 1</w:t>
      </w:r>
      <w:r w:rsidR="007F1833">
        <w:t>3</w:t>
      </w:r>
      <w:r w:rsidR="00470E4A">
        <w:t xml:space="preserve"> hours</w:t>
      </w:r>
      <w:r w:rsidRPr="005C43A1">
        <w:t>.</w:t>
      </w:r>
    </w:p>
    <w:p w:rsidR="000256F5" w:rsidRPr="005C43A1" w:rsidRDefault="0055363C" w:rsidP="00FC1732">
      <w:pPr>
        <w:pStyle w:val="BodyText1"/>
      </w:pPr>
      <w:r w:rsidRPr="005C43A1">
        <w:t xml:space="preserve">We anticipate that the person completing the Web-based CTG-CSI will be a program director or manager or another staff person, such as the financial manager, who is familiar with everyday operations, management, and administration of all activities conducted under the CTG grant. However, we expect that this person responsible for the cost data collection and reporting will require assistance </w:t>
      </w:r>
      <w:r w:rsidR="00FC1732">
        <w:t>from</w:t>
      </w:r>
      <w:r w:rsidR="00FC1732" w:rsidRPr="005C43A1">
        <w:t xml:space="preserve"> </w:t>
      </w:r>
      <w:r w:rsidRPr="005C43A1">
        <w:t>another program staff member (e.g., someone whose daily responsibilities include financial management of the program). Based on previous experience with a similar cost instrument for the CPPW program, we estimate that the awarde</w:t>
      </w:r>
      <w:r w:rsidR="00BF6D21">
        <w:t>es will require approximately 52</w:t>
      </w:r>
      <w:r w:rsidRPr="005C43A1">
        <w:t xml:space="preserve"> hours per year to attend training sessions, gather the required data quarterly</w:t>
      </w:r>
      <w:r w:rsidR="00FC1732">
        <w:t>,</w:t>
      </w:r>
      <w:r w:rsidRPr="005C43A1">
        <w:t xml:space="preserve"> and enter the information into the Web-based CTG-CSI</w:t>
      </w:r>
      <w:r w:rsidR="00C05817" w:rsidRPr="005C43A1">
        <w:t>.</w:t>
      </w:r>
      <w:r w:rsidRPr="005C43A1">
        <w:t xml:space="preserve"> Specifically, we estimate that each quarter the program director and the support staff will spend</w:t>
      </w:r>
      <w:r w:rsidR="00C05817" w:rsidRPr="005C43A1">
        <w:t xml:space="preserve"> </w:t>
      </w:r>
      <w:r w:rsidRPr="005C43A1">
        <w:t xml:space="preserve">1 hour each in training and </w:t>
      </w:r>
      <w:r w:rsidR="00250C26">
        <w:t>5</w:t>
      </w:r>
      <w:r w:rsidRPr="005C43A1">
        <w:t>.5 hours each obtaining required cost information and completing the CTG-CSI for a total of 1</w:t>
      </w:r>
      <w:r w:rsidR="00250C26">
        <w:t>3</w:t>
      </w:r>
      <w:r w:rsidRPr="005C43A1">
        <w:t xml:space="preserve"> hours per quarter or </w:t>
      </w:r>
      <w:r w:rsidR="00250C26">
        <w:t>52</w:t>
      </w:r>
      <w:r w:rsidRPr="005C43A1">
        <w:t xml:space="preserve"> hours per year. </w:t>
      </w:r>
      <w:r w:rsidR="002E5438" w:rsidRPr="005C43A1">
        <w:rPr>
          <w:b/>
          <w:i/>
        </w:rPr>
        <w:t>Exhibit</w:t>
      </w:r>
      <w:r w:rsidR="00470E4A">
        <w:rPr>
          <w:b/>
          <w:i/>
        </w:rPr>
        <w:t>A.12</w:t>
      </w:r>
      <w:r w:rsidR="00E14515">
        <w:rPr>
          <w:b/>
          <w:i/>
        </w:rPr>
        <w:t>-</w:t>
      </w:r>
      <w:r w:rsidRPr="005C43A1">
        <w:rPr>
          <w:b/>
          <w:i/>
        </w:rPr>
        <w:t>1</w:t>
      </w:r>
      <w:r w:rsidRPr="005C43A1">
        <w:t xml:space="preserve"> summarizes the annualized burden hours.</w:t>
      </w:r>
      <w:r w:rsidR="00C05817" w:rsidRPr="005C43A1">
        <w:t xml:space="preserve"> </w:t>
      </w:r>
      <w:r w:rsidR="00BF6D21">
        <w:t>These burden estimate</w:t>
      </w:r>
      <w:r w:rsidRPr="005C43A1">
        <w:t xml:space="preserve"> </w:t>
      </w:r>
      <w:r w:rsidR="00250C26">
        <w:t>is</w:t>
      </w:r>
      <w:r w:rsidRPr="005C43A1">
        <w:t xml:space="preserve"> based on results of pretesting </w:t>
      </w:r>
      <w:r w:rsidR="00C15D06">
        <w:t xml:space="preserve">with four awardees </w:t>
      </w:r>
      <w:r w:rsidRPr="005C43A1">
        <w:t xml:space="preserve">conducted in </w:t>
      </w:r>
      <w:r w:rsidR="00250C26">
        <w:t>January-February 2012</w:t>
      </w:r>
      <w:r w:rsidRPr="005C43A1">
        <w:t>.</w:t>
      </w:r>
    </w:p>
    <w:p w:rsidR="0055363C" w:rsidRPr="005C43A1" w:rsidRDefault="002E5438" w:rsidP="00E427A6">
      <w:pPr>
        <w:pStyle w:val="FigureTitle"/>
      </w:pPr>
      <w:bookmarkStart w:id="35" w:name="_Toc275433791"/>
      <w:bookmarkStart w:id="36" w:name="_Toc307224724"/>
      <w:r w:rsidRPr="005C43A1">
        <w:t xml:space="preserve">Exhibit </w:t>
      </w:r>
      <w:r w:rsidR="00470E4A">
        <w:t>A.12-</w:t>
      </w:r>
      <w:r w:rsidRPr="005C43A1">
        <w:t>1.</w:t>
      </w:r>
      <w:r w:rsidRPr="005C43A1">
        <w:tab/>
      </w:r>
      <w:r w:rsidR="0055363C" w:rsidRPr="005C43A1">
        <w:t>Estimated Annualized Burden Hours</w:t>
      </w:r>
      <w:bookmarkEnd w:id="35"/>
      <w:bookmarkEnd w:id="36"/>
    </w:p>
    <w:tbl>
      <w:tblPr>
        <w:tblW w:w="9360" w:type="dxa"/>
        <w:tblInd w:w="93" w:type="dxa"/>
        <w:tblLayout w:type="fixed"/>
        <w:tblCellMar>
          <w:left w:w="115" w:type="dxa"/>
          <w:right w:w="115" w:type="dxa"/>
        </w:tblCellMar>
        <w:tblLook w:val="04A0"/>
      </w:tblPr>
      <w:tblGrid>
        <w:gridCol w:w="2092"/>
        <w:gridCol w:w="1950"/>
        <w:gridCol w:w="1950"/>
        <w:gridCol w:w="1950"/>
        <w:gridCol w:w="1418"/>
      </w:tblGrid>
      <w:tr w:rsidR="0055363C" w:rsidRPr="005C43A1" w:rsidTr="002E5438">
        <w:trPr>
          <w:cantSplit/>
          <w:tblHeader/>
        </w:trPr>
        <w:tc>
          <w:tcPr>
            <w:tcW w:w="2092" w:type="dxa"/>
            <w:tcBorders>
              <w:top w:val="single" w:sz="12" w:space="0" w:color="auto"/>
              <w:left w:val="nil"/>
              <w:bottom w:val="single" w:sz="4" w:space="0" w:color="auto"/>
              <w:right w:val="nil"/>
            </w:tcBorders>
            <w:shd w:val="clear" w:color="auto" w:fill="auto"/>
            <w:vAlign w:val="bottom"/>
          </w:tcPr>
          <w:p w:rsidR="0055363C" w:rsidRPr="005C43A1" w:rsidRDefault="0055363C" w:rsidP="00FC1732">
            <w:pPr>
              <w:keepNext/>
              <w:spacing w:before="60" w:after="60"/>
              <w:jc w:val="center"/>
              <w:rPr>
                <w:b/>
                <w:sz w:val="22"/>
              </w:rPr>
            </w:pPr>
            <w:r w:rsidRPr="005C43A1">
              <w:rPr>
                <w:b/>
                <w:sz w:val="22"/>
              </w:rPr>
              <w:t>Types of Respondent</w:t>
            </w:r>
          </w:p>
        </w:tc>
        <w:tc>
          <w:tcPr>
            <w:tcW w:w="1950" w:type="dxa"/>
            <w:tcBorders>
              <w:top w:val="single" w:sz="12" w:space="0" w:color="auto"/>
              <w:left w:val="nil"/>
              <w:bottom w:val="single" w:sz="4" w:space="0" w:color="auto"/>
              <w:right w:val="nil"/>
            </w:tcBorders>
            <w:shd w:val="clear" w:color="auto" w:fill="auto"/>
            <w:vAlign w:val="bottom"/>
          </w:tcPr>
          <w:p w:rsidR="0055363C" w:rsidRPr="005C43A1" w:rsidRDefault="0055363C" w:rsidP="00E427A6">
            <w:pPr>
              <w:keepNext/>
              <w:spacing w:before="60" w:after="60"/>
              <w:jc w:val="center"/>
              <w:rPr>
                <w:b/>
                <w:sz w:val="22"/>
              </w:rPr>
            </w:pPr>
            <w:r w:rsidRPr="005C43A1">
              <w:rPr>
                <w:b/>
                <w:sz w:val="22"/>
              </w:rPr>
              <w:t>Number of Respondents</w:t>
            </w:r>
          </w:p>
        </w:tc>
        <w:tc>
          <w:tcPr>
            <w:tcW w:w="1950" w:type="dxa"/>
            <w:tcBorders>
              <w:top w:val="single" w:sz="12" w:space="0" w:color="auto"/>
              <w:left w:val="nil"/>
              <w:bottom w:val="single" w:sz="4" w:space="0" w:color="auto"/>
              <w:right w:val="nil"/>
            </w:tcBorders>
            <w:shd w:val="clear" w:color="auto" w:fill="auto"/>
            <w:vAlign w:val="bottom"/>
          </w:tcPr>
          <w:p w:rsidR="0055363C" w:rsidRPr="005C43A1" w:rsidRDefault="0055363C" w:rsidP="00E427A6">
            <w:pPr>
              <w:keepNext/>
              <w:spacing w:before="60" w:after="60"/>
              <w:jc w:val="center"/>
              <w:rPr>
                <w:b/>
                <w:sz w:val="22"/>
              </w:rPr>
            </w:pPr>
            <w:r w:rsidRPr="005C43A1">
              <w:rPr>
                <w:b/>
                <w:sz w:val="22"/>
              </w:rPr>
              <w:t>No. Responses per Respondent (quarters)</w:t>
            </w:r>
          </w:p>
        </w:tc>
        <w:tc>
          <w:tcPr>
            <w:tcW w:w="1950" w:type="dxa"/>
            <w:tcBorders>
              <w:top w:val="single" w:sz="12" w:space="0" w:color="auto"/>
              <w:left w:val="nil"/>
              <w:bottom w:val="single" w:sz="4" w:space="0" w:color="auto"/>
              <w:right w:val="nil"/>
            </w:tcBorders>
            <w:shd w:val="clear" w:color="auto" w:fill="auto"/>
            <w:vAlign w:val="bottom"/>
          </w:tcPr>
          <w:p w:rsidR="0055363C" w:rsidRPr="005C43A1" w:rsidRDefault="0055363C" w:rsidP="00E427A6">
            <w:pPr>
              <w:keepNext/>
              <w:spacing w:before="60" w:after="60"/>
              <w:jc w:val="center"/>
              <w:rPr>
                <w:b/>
                <w:sz w:val="22"/>
              </w:rPr>
            </w:pPr>
            <w:r w:rsidRPr="005C43A1">
              <w:rPr>
                <w:b/>
                <w:sz w:val="22"/>
              </w:rPr>
              <w:t>Average Burden per Response (hours)</w:t>
            </w:r>
          </w:p>
        </w:tc>
        <w:tc>
          <w:tcPr>
            <w:tcW w:w="1418" w:type="dxa"/>
            <w:tcBorders>
              <w:top w:val="single" w:sz="12" w:space="0" w:color="auto"/>
              <w:left w:val="nil"/>
              <w:bottom w:val="single" w:sz="4" w:space="0" w:color="auto"/>
              <w:right w:val="nil"/>
            </w:tcBorders>
            <w:shd w:val="clear" w:color="auto" w:fill="auto"/>
            <w:vAlign w:val="bottom"/>
          </w:tcPr>
          <w:p w:rsidR="0055363C" w:rsidRPr="005C43A1" w:rsidRDefault="0055363C" w:rsidP="00E427A6">
            <w:pPr>
              <w:keepNext/>
              <w:spacing w:before="60" w:after="60"/>
              <w:jc w:val="center"/>
              <w:rPr>
                <w:b/>
                <w:sz w:val="22"/>
              </w:rPr>
            </w:pPr>
            <w:r w:rsidRPr="005C43A1">
              <w:rPr>
                <w:b/>
                <w:sz w:val="22"/>
              </w:rPr>
              <w:t>Total Burden (hours)</w:t>
            </w:r>
          </w:p>
        </w:tc>
      </w:tr>
      <w:tr w:rsidR="0055363C" w:rsidRPr="005C43A1" w:rsidTr="002E5438">
        <w:trPr>
          <w:cantSplit/>
        </w:trPr>
        <w:tc>
          <w:tcPr>
            <w:tcW w:w="2092" w:type="dxa"/>
            <w:tcBorders>
              <w:top w:val="single" w:sz="4" w:space="0" w:color="auto"/>
              <w:left w:val="nil"/>
              <w:bottom w:val="single" w:sz="12" w:space="0" w:color="auto"/>
              <w:right w:val="nil"/>
            </w:tcBorders>
            <w:shd w:val="clear" w:color="auto" w:fill="auto"/>
            <w:noWrap/>
          </w:tcPr>
          <w:p w:rsidR="0055363C" w:rsidRPr="005C43A1" w:rsidRDefault="0055363C" w:rsidP="00E427A6">
            <w:pPr>
              <w:keepNext/>
              <w:spacing w:before="60" w:after="60"/>
              <w:rPr>
                <w:sz w:val="22"/>
              </w:rPr>
            </w:pPr>
            <w:r w:rsidRPr="005C43A1">
              <w:rPr>
                <w:sz w:val="22"/>
              </w:rPr>
              <w:t xml:space="preserve">CTG </w:t>
            </w:r>
            <w:r w:rsidR="00512700">
              <w:rPr>
                <w:sz w:val="22"/>
              </w:rPr>
              <w:t>a</w:t>
            </w:r>
            <w:r w:rsidR="00512700" w:rsidRPr="005C43A1">
              <w:rPr>
                <w:sz w:val="22"/>
              </w:rPr>
              <w:t>wardee</w:t>
            </w:r>
          </w:p>
        </w:tc>
        <w:tc>
          <w:tcPr>
            <w:tcW w:w="1950" w:type="dxa"/>
            <w:tcBorders>
              <w:top w:val="single" w:sz="4" w:space="0" w:color="auto"/>
              <w:left w:val="nil"/>
              <w:bottom w:val="single" w:sz="12" w:space="0" w:color="auto"/>
              <w:right w:val="nil"/>
            </w:tcBorders>
            <w:shd w:val="clear" w:color="auto" w:fill="auto"/>
            <w:noWrap/>
          </w:tcPr>
          <w:p w:rsidR="0055363C" w:rsidRPr="005C43A1" w:rsidRDefault="0055363C" w:rsidP="00E427A6">
            <w:pPr>
              <w:keepNext/>
              <w:spacing w:before="60" w:after="60"/>
              <w:jc w:val="center"/>
              <w:rPr>
                <w:sz w:val="22"/>
              </w:rPr>
            </w:pPr>
            <w:r w:rsidRPr="005C43A1">
              <w:rPr>
                <w:sz w:val="22"/>
              </w:rPr>
              <w:t>30</w:t>
            </w:r>
          </w:p>
        </w:tc>
        <w:tc>
          <w:tcPr>
            <w:tcW w:w="1950" w:type="dxa"/>
            <w:tcBorders>
              <w:top w:val="single" w:sz="4" w:space="0" w:color="auto"/>
              <w:left w:val="nil"/>
              <w:bottom w:val="single" w:sz="12" w:space="0" w:color="auto"/>
              <w:right w:val="nil"/>
            </w:tcBorders>
            <w:shd w:val="clear" w:color="auto" w:fill="auto"/>
            <w:noWrap/>
          </w:tcPr>
          <w:p w:rsidR="0055363C" w:rsidRPr="005C43A1" w:rsidRDefault="0055363C" w:rsidP="00E427A6">
            <w:pPr>
              <w:keepNext/>
              <w:spacing w:before="60" w:after="60"/>
              <w:jc w:val="center"/>
              <w:rPr>
                <w:sz w:val="22"/>
              </w:rPr>
            </w:pPr>
            <w:r w:rsidRPr="005C43A1">
              <w:rPr>
                <w:sz w:val="22"/>
              </w:rPr>
              <w:t>4</w:t>
            </w:r>
          </w:p>
        </w:tc>
        <w:tc>
          <w:tcPr>
            <w:tcW w:w="1950" w:type="dxa"/>
            <w:tcBorders>
              <w:top w:val="single" w:sz="4" w:space="0" w:color="auto"/>
              <w:left w:val="nil"/>
              <w:bottom w:val="single" w:sz="12" w:space="0" w:color="auto"/>
              <w:right w:val="nil"/>
            </w:tcBorders>
            <w:shd w:val="clear" w:color="auto" w:fill="auto"/>
            <w:noWrap/>
          </w:tcPr>
          <w:p w:rsidR="0055363C" w:rsidRPr="005C43A1" w:rsidRDefault="0055363C" w:rsidP="00E427A6">
            <w:pPr>
              <w:keepNext/>
              <w:spacing w:before="60" w:after="60"/>
              <w:jc w:val="center"/>
              <w:rPr>
                <w:sz w:val="22"/>
              </w:rPr>
            </w:pPr>
            <w:r w:rsidRPr="005C43A1">
              <w:rPr>
                <w:sz w:val="22"/>
              </w:rPr>
              <w:t>1</w:t>
            </w:r>
            <w:r w:rsidR="00250C26">
              <w:rPr>
                <w:sz w:val="22"/>
              </w:rPr>
              <w:t>3</w:t>
            </w:r>
          </w:p>
        </w:tc>
        <w:tc>
          <w:tcPr>
            <w:tcW w:w="1418" w:type="dxa"/>
            <w:tcBorders>
              <w:top w:val="single" w:sz="4" w:space="0" w:color="auto"/>
              <w:left w:val="nil"/>
              <w:bottom w:val="single" w:sz="12" w:space="0" w:color="auto"/>
              <w:right w:val="nil"/>
            </w:tcBorders>
            <w:shd w:val="clear" w:color="auto" w:fill="auto"/>
            <w:noWrap/>
          </w:tcPr>
          <w:p w:rsidR="0055363C" w:rsidRPr="005C43A1" w:rsidRDefault="0055363C" w:rsidP="00E427A6">
            <w:pPr>
              <w:keepNext/>
              <w:spacing w:before="60" w:after="60"/>
              <w:jc w:val="center"/>
              <w:rPr>
                <w:sz w:val="22"/>
              </w:rPr>
            </w:pPr>
            <w:r w:rsidRPr="005C43A1">
              <w:rPr>
                <w:sz w:val="22"/>
              </w:rPr>
              <w:t>1,</w:t>
            </w:r>
            <w:r w:rsidR="00250C26">
              <w:rPr>
                <w:sz w:val="22"/>
              </w:rPr>
              <w:t>560</w:t>
            </w:r>
          </w:p>
        </w:tc>
      </w:tr>
    </w:tbl>
    <w:p w:rsidR="0055363C" w:rsidRPr="005C43A1" w:rsidRDefault="0055363C" w:rsidP="0055363C">
      <w:pPr>
        <w:pStyle w:val="exhibitsource"/>
        <w:spacing w:after="0" w:line="480" w:lineRule="auto"/>
      </w:pPr>
    </w:p>
    <w:p w:rsidR="0055363C" w:rsidRPr="005C43A1" w:rsidRDefault="0055363C" w:rsidP="0055363C">
      <w:pPr>
        <w:pStyle w:val="Heading3"/>
        <w:spacing w:before="0" w:line="480" w:lineRule="auto"/>
        <w:rPr>
          <w:lang w:val="en-US"/>
        </w:rPr>
      </w:pPr>
      <w:bookmarkStart w:id="37" w:name="_Toc275433775"/>
      <w:bookmarkStart w:id="38" w:name="_Toc317196269"/>
      <w:r w:rsidRPr="005C43A1">
        <w:rPr>
          <w:lang w:val="en-US"/>
        </w:rPr>
        <w:lastRenderedPageBreak/>
        <w:t>A.12.</w:t>
      </w:r>
      <w:r w:rsidR="002E5438" w:rsidRPr="005C43A1">
        <w:rPr>
          <w:lang w:val="en-US"/>
        </w:rPr>
        <w:t>2</w:t>
      </w:r>
      <w:r w:rsidRPr="005C43A1">
        <w:rPr>
          <w:lang w:val="en-US"/>
        </w:rPr>
        <w:tab/>
        <w:t>Estimated Annualized Cost to Respondents</w:t>
      </w:r>
      <w:bookmarkEnd w:id="37"/>
      <w:bookmarkEnd w:id="38"/>
    </w:p>
    <w:p w:rsidR="000256F5" w:rsidRPr="00A664A2" w:rsidRDefault="0055363C" w:rsidP="00E427A6">
      <w:pPr>
        <w:pStyle w:val="BodyText1"/>
      </w:pPr>
      <w:r w:rsidRPr="00A664A2">
        <w:t xml:space="preserve">The estimated </w:t>
      </w:r>
      <w:r w:rsidR="00470E4A">
        <w:t xml:space="preserve">annualized </w:t>
      </w:r>
      <w:r w:rsidRPr="00A664A2">
        <w:t>cost to respondents is $</w:t>
      </w:r>
      <w:r w:rsidR="007F1833">
        <w:t>54,6</w:t>
      </w:r>
      <w:r w:rsidR="00531A7E" w:rsidRPr="00531A7E">
        <w:t>00,</w:t>
      </w:r>
      <w:r w:rsidRPr="00A664A2">
        <w:t xml:space="preserve"> which is included in their grant awards (</w:t>
      </w:r>
      <w:r w:rsidRPr="00A664A2">
        <w:rPr>
          <w:b/>
          <w:bCs/>
          <w:i/>
          <w:iCs/>
        </w:rPr>
        <w:t>Exhibit</w:t>
      </w:r>
      <w:r w:rsidR="002E5438" w:rsidRPr="00A664A2">
        <w:rPr>
          <w:b/>
          <w:bCs/>
          <w:i/>
          <w:iCs/>
        </w:rPr>
        <w:t> </w:t>
      </w:r>
      <w:r w:rsidR="00470E4A">
        <w:rPr>
          <w:b/>
          <w:bCs/>
          <w:i/>
          <w:iCs/>
        </w:rPr>
        <w:t>A.12-</w:t>
      </w:r>
      <w:r w:rsidRPr="00A664A2">
        <w:rPr>
          <w:b/>
          <w:bCs/>
          <w:i/>
          <w:iCs/>
        </w:rPr>
        <w:t>2</w:t>
      </w:r>
      <w:r w:rsidRPr="00A664A2">
        <w:t>). This annualized cost to respondents is based on the average wage of program</w:t>
      </w:r>
      <w:r w:rsidR="00531A7E">
        <w:t xml:space="preserve"> directors and finance staff persons from a sample of 11 </w:t>
      </w:r>
      <w:r w:rsidR="00A664A2">
        <w:t xml:space="preserve">CTG </w:t>
      </w:r>
      <w:r w:rsidRPr="00A664A2">
        <w:t>awardees</w:t>
      </w:r>
      <w:r w:rsidR="00A664A2">
        <w:t xml:space="preserve"> who were also funded for CPPW</w:t>
      </w:r>
      <w:r w:rsidRPr="00A664A2">
        <w:t>. This wage information was obtained from awardees</w:t>
      </w:r>
      <w:r w:rsidR="00C05817" w:rsidRPr="00A664A2">
        <w:t>’</w:t>
      </w:r>
      <w:r w:rsidR="00A664A2">
        <w:t xml:space="preserve"> cost data submitted under CPPW</w:t>
      </w:r>
      <w:r w:rsidRPr="00A664A2">
        <w:t xml:space="preserve"> . The </w:t>
      </w:r>
      <w:r w:rsidR="00A664A2" w:rsidRPr="00A664A2">
        <w:t xml:space="preserve">11 </w:t>
      </w:r>
      <w:r w:rsidRPr="00A664A2">
        <w:t>awardees represent a mix of small and large communities from various parts of the country.</w:t>
      </w:r>
    </w:p>
    <w:p w:rsidR="0055363C" w:rsidRPr="00A664A2" w:rsidRDefault="002E5438" w:rsidP="00E427A6">
      <w:pPr>
        <w:pStyle w:val="FigureTitle"/>
      </w:pPr>
      <w:bookmarkStart w:id="39" w:name="_Toc179173311"/>
      <w:bookmarkStart w:id="40" w:name="_Toc275433792"/>
      <w:bookmarkStart w:id="41" w:name="_Toc307224725"/>
      <w:r w:rsidRPr="00A664A2">
        <w:t xml:space="preserve">Exhibit </w:t>
      </w:r>
      <w:r w:rsidR="00470E4A">
        <w:t>A.12-</w:t>
      </w:r>
      <w:r w:rsidRPr="00A664A2">
        <w:t>2.</w:t>
      </w:r>
      <w:r w:rsidRPr="00A664A2">
        <w:tab/>
      </w:r>
      <w:r w:rsidR="0055363C" w:rsidRPr="00A664A2">
        <w:t>Estimated Annualized Cost to Respondents</w:t>
      </w:r>
      <w:bookmarkEnd w:id="39"/>
      <w:bookmarkEnd w:id="40"/>
      <w:bookmarkEnd w:id="41"/>
    </w:p>
    <w:tbl>
      <w:tblPr>
        <w:tblW w:w="9360" w:type="dxa"/>
        <w:tblInd w:w="93" w:type="dxa"/>
        <w:tblLayout w:type="fixed"/>
        <w:tblCellMar>
          <w:left w:w="115" w:type="dxa"/>
          <w:right w:w="115" w:type="dxa"/>
        </w:tblCellMar>
        <w:tblLook w:val="04A0"/>
      </w:tblPr>
      <w:tblGrid>
        <w:gridCol w:w="2092"/>
        <w:gridCol w:w="1950"/>
        <w:gridCol w:w="1950"/>
        <w:gridCol w:w="1950"/>
        <w:gridCol w:w="1418"/>
      </w:tblGrid>
      <w:tr w:rsidR="002E5438" w:rsidRPr="00A664A2" w:rsidTr="002E5438">
        <w:trPr>
          <w:cantSplit/>
          <w:tblHeader/>
        </w:trPr>
        <w:tc>
          <w:tcPr>
            <w:tcW w:w="2092" w:type="dxa"/>
            <w:tcBorders>
              <w:top w:val="single" w:sz="12" w:space="0" w:color="auto"/>
              <w:left w:val="nil"/>
              <w:bottom w:val="single" w:sz="4" w:space="0" w:color="auto"/>
              <w:right w:val="nil"/>
            </w:tcBorders>
            <w:shd w:val="clear" w:color="auto" w:fill="auto"/>
            <w:vAlign w:val="bottom"/>
          </w:tcPr>
          <w:p w:rsidR="002E5438" w:rsidRPr="00A664A2" w:rsidRDefault="002E5438" w:rsidP="00FC1732">
            <w:pPr>
              <w:keepNext/>
              <w:spacing w:before="80" w:after="80"/>
              <w:jc w:val="center"/>
              <w:rPr>
                <w:b/>
                <w:sz w:val="22"/>
              </w:rPr>
            </w:pPr>
            <w:r w:rsidRPr="00A664A2">
              <w:rPr>
                <w:b/>
                <w:sz w:val="22"/>
              </w:rPr>
              <w:t>Type of Respondent</w:t>
            </w:r>
          </w:p>
        </w:tc>
        <w:tc>
          <w:tcPr>
            <w:tcW w:w="1950" w:type="dxa"/>
            <w:tcBorders>
              <w:top w:val="single" w:sz="12" w:space="0" w:color="auto"/>
              <w:left w:val="nil"/>
              <w:bottom w:val="single" w:sz="4" w:space="0" w:color="auto"/>
              <w:right w:val="nil"/>
            </w:tcBorders>
            <w:shd w:val="clear" w:color="auto" w:fill="auto"/>
            <w:vAlign w:val="bottom"/>
          </w:tcPr>
          <w:p w:rsidR="002E5438" w:rsidRPr="00A664A2" w:rsidRDefault="00531A7E" w:rsidP="002E5438">
            <w:pPr>
              <w:keepNext/>
              <w:spacing w:before="80" w:after="80"/>
              <w:jc w:val="center"/>
              <w:rPr>
                <w:b/>
                <w:sz w:val="22"/>
              </w:rPr>
            </w:pPr>
            <w:r>
              <w:rPr>
                <w:b/>
                <w:sz w:val="22"/>
              </w:rPr>
              <w:t>Number of Respondents</w:t>
            </w:r>
          </w:p>
        </w:tc>
        <w:tc>
          <w:tcPr>
            <w:tcW w:w="1950" w:type="dxa"/>
            <w:tcBorders>
              <w:top w:val="single" w:sz="12" w:space="0" w:color="auto"/>
              <w:left w:val="nil"/>
              <w:bottom w:val="single" w:sz="4" w:space="0" w:color="auto"/>
              <w:right w:val="nil"/>
            </w:tcBorders>
            <w:shd w:val="clear" w:color="auto" w:fill="auto"/>
            <w:vAlign w:val="bottom"/>
          </w:tcPr>
          <w:p w:rsidR="002E5438" w:rsidRPr="00A664A2" w:rsidRDefault="00531A7E" w:rsidP="002E5438">
            <w:pPr>
              <w:keepNext/>
              <w:spacing w:before="80" w:after="80"/>
              <w:jc w:val="center"/>
              <w:rPr>
                <w:b/>
                <w:sz w:val="22"/>
              </w:rPr>
            </w:pPr>
            <w:r>
              <w:rPr>
                <w:b/>
                <w:sz w:val="22"/>
              </w:rPr>
              <w:t>Total Burden</w:t>
            </w:r>
            <w:r>
              <w:rPr>
                <w:b/>
                <w:sz w:val="22"/>
              </w:rPr>
              <w:br/>
              <w:t>(hours)</w:t>
            </w:r>
          </w:p>
        </w:tc>
        <w:tc>
          <w:tcPr>
            <w:tcW w:w="1950" w:type="dxa"/>
            <w:tcBorders>
              <w:top w:val="single" w:sz="12" w:space="0" w:color="auto"/>
              <w:left w:val="nil"/>
              <w:bottom w:val="single" w:sz="4" w:space="0" w:color="auto"/>
              <w:right w:val="nil"/>
            </w:tcBorders>
            <w:shd w:val="clear" w:color="auto" w:fill="auto"/>
            <w:vAlign w:val="bottom"/>
          </w:tcPr>
          <w:p w:rsidR="002E5438" w:rsidRPr="00A664A2" w:rsidRDefault="00531A7E" w:rsidP="002E5438">
            <w:pPr>
              <w:keepNext/>
              <w:spacing w:before="80" w:after="80"/>
              <w:jc w:val="center"/>
              <w:rPr>
                <w:b/>
                <w:sz w:val="22"/>
              </w:rPr>
            </w:pPr>
            <w:r>
              <w:rPr>
                <w:b/>
                <w:sz w:val="22"/>
              </w:rPr>
              <w:t>Average Hourly Wage</w:t>
            </w:r>
          </w:p>
        </w:tc>
        <w:tc>
          <w:tcPr>
            <w:tcW w:w="1418" w:type="dxa"/>
            <w:tcBorders>
              <w:top w:val="single" w:sz="12" w:space="0" w:color="auto"/>
              <w:left w:val="nil"/>
              <w:bottom w:val="single" w:sz="4" w:space="0" w:color="auto"/>
              <w:right w:val="nil"/>
            </w:tcBorders>
            <w:shd w:val="clear" w:color="auto" w:fill="auto"/>
            <w:vAlign w:val="bottom"/>
          </w:tcPr>
          <w:p w:rsidR="002E5438" w:rsidRPr="00A664A2" w:rsidRDefault="00531A7E" w:rsidP="002E5438">
            <w:pPr>
              <w:keepNext/>
              <w:spacing w:before="80" w:after="80"/>
              <w:jc w:val="center"/>
              <w:rPr>
                <w:b/>
                <w:sz w:val="22"/>
              </w:rPr>
            </w:pPr>
            <w:r>
              <w:rPr>
                <w:b/>
                <w:sz w:val="22"/>
              </w:rPr>
              <w:t>Total Respondent Cost ($)</w:t>
            </w:r>
          </w:p>
        </w:tc>
      </w:tr>
      <w:tr w:rsidR="002E5438" w:rsidRPr="005C43A1" w:rsidTr="002E5438">
        <w:trPr>
          <w:cantSplit/>
        </w:trPr>
        <w:tc>
          <w:tcPr>
            <w:tcW w:w="2092" w:type="dxa"/>
            <w:tcBorders>
              <w:top w:val="single" w:sz="4" w:space="0" w:color="auto"/>
              <w:left w:val="nil"/>
              <w:bottom w:val="single" w:sz="12" w:space="0" w:color="auto"/>
              <w:right w:val="nil"/>
            </w:tcBorders>
            <w:shd w:val="clear" w:color="auto" w:fill="auto"/>
            <w:noWrap/>
          </w:tcPr>
          <w:p w:rsidR="002E5438" w:rsidRPr="00A664A2" w:rsidRDefault="00531A7E" w:rsidP="002E5438">
            <w:pPr>
              <w:keepNext/>
              <w:spacing w:before="80" w:after="80"/>
              <w:rPr>
                <w:sz w:val="22"/>
              </w:rPr>
            </w:pPr>
            <w:r>
              <w:rPr>
                <w:sz w:val="22"/>
              </w:rPr>
              <w:t xml:space="preserve">CTG </w:t>
            </w:r>
            <w:r w:rsidR="00512700">
              <w:rPr>
                <w:sz w:val="22"/>
              </w:rPr>
              <w:t>awardees’</w:t>
            </w:r>
          </w:p>
        </w:tc>
        <w:tc>
          <w:tcPr>
            <w:tcW w:w="1950" w:type="dxa"/>
            <w:tcBorders>
              <w:top w:val="single" w:sz="4" w:space="0" w:color="auto"/>
              <w:left w:val="nil"/>
              <w:bottom w:val="single" w:sz="12" w:space="0" w:color="auto"/>
              <w:right w:val="nil"/>
            </w:tcBorders>
            <w:shd w:val="clear" w:color="auto" w:fill="auto"/>
            <w:noWrap/>
          </w:tcPr>
          <w:p w:rsidR="002E5438" w:rsidRPr="00A664A2" w:rsidRDefault="00531A7E" w:rsidP="002E5438">
            <w:pPr>
              <w:keepNext/>
              <w:spacing w:before="80" w:after="80"/>
              <w:jc w:val="center"/>
              <w:rPr>
                <w:sz w:val="22"/>
              </w:rPr>
            </w:pPr>
            <w:r>
              <w:rPr>
                <w:sz w:val="22"/>
                <w:szCs w:val="22"/>
              </w:rPr>
              <w:t>30</w:t>
            </w:r>
          </w:p>
        </w:tc>
        <w:tc>
          <w:tcPr>
            <w:tcW w:w="1950" w:type="dxa"/>
            <w:tcBorders>
              <w:top w:val="single" w:sz="4" w:space="0" w:color="auto"/>
              <w:left w:val="nil"/>
              <w:bottom w:val="single" w:sz="12" w:space="0" w:color="auto"/>
              <w:right w:val="nil"/>
            </w:tcBorders>
            <w:shd w:val="clear" w:color="auto" w:fill="auto"/>
            <w:noWrap/>
          </w:tcPr>
          <w:p w:rsidR="002E5438" w:rsidRPr="00A664A2" w:rsidRDefault="00531A7E" w:rsidP="002E5438">
            <w:pPr>
              <w:keepNext/>
              <w:spacing w:before="80" w:after="80"/>
              <w:jc w:val="center"/>
              <w:rPr>
                <w:sz w:val="22"/>
              </w:rPr>
            </w:pPr>
            <w:r>
              <w:rPr>
                <w:sz w:val="22"/>
                <w:szCs w:val="22"/>
              </w:rPr>
              <w:t>1,</w:t>
            </w:r>
            <w:r w:rsidR="007F1833">
              <w:rPr>
                <w:sz w:val="22"/>
                <w:szCs w:val="22"/>
              </w:rPr>
              <w:t>560</w:t>
            </w:r>
          </w:p>
        </w:tc>
        <w:tc>
          <w:tcPr>
            <w:tcW w:w="1950" w:type="dxa"/>
            <w:tcBorders>
              <w:top w:val="single" w:sz="4" w:space="0" w:color="auto"/>
              <w:left w:val="nil"/>
              <w:bottom w:val="single" w:sz="12" w:space="0" w:color="auto"/>
              <w:right w:val="nil"/>
            </w:tcBorders>
            <w:shd w:val="clear" w:color="auto" w:fill="auto"/>
            <w:noWrap/>
          </w:tcPr>
          <w:p w:rsidR="002E5438" w:rsidRPr="00A664A2" w:rsidRDefault="00531A7E" w:rsidP="002E5438">
            <w:pPr>
              <w:keepNext/>
              <w:spacing w:before="80" w:after="80"/>
              <w:jc w:val="center"/>
              <w:rPr>
                <w:sz w:val="22"/>
              </w:rPr>
            </w:pPr>
            <w:r w:rsidRPr="00531A7E">
              <w:rPr>
                <w:sz w:val="22"/>
                <w:szCs w:val="22"/>
              </w:rPr>
              <w:t>$35</w:t>
            </w:r>
          </w:p>
        </w:tc>
        <w:tc>
          <w:tcPr>
            <w:tcW w:w="1418" w:type="dxa"/>
            <w:tcBorders>
              <w:top w:val="single" w:sz="4" w:space="0" w:color="auto"/>
              <w:left w:val="nil"/>
              <w:bottom w:val="single" w:sz="12" w:space="0" w:color="auto"/>
              <w:right w:val="nil"/>
            </w:tcBorders>
            <w:shd w:val="clear" w:color="auto" w:fill="auto"/>
            <w:noWrap/>
          </w:tcPr>
          <w:p w:rsidR="002E5438" w:rsidRPr="005C43A1" w:rsidRDefault="00531A7E" w:rsidP="002E5438">
            <w:pPr>
              <w:keepNext/>
              <w:spacing w:before="80" w:after="80"/>
              <w:jc w:val="center"/>
              <w:rPr>
                <w:sz w:val="22"/>
              </w:rPr>
            </w:pPr>
            <w:r w:rsidRPr="00531A7E">
              <w:rPr>
                <w:sz w:val="22"/>
                <w:szCs w:val="22"/>
              </w:rPr>
              <w:t>$</w:t>
            </w:r>
            <w:r w:rsidR="007F1833">
              <w:rPr>
                <w:sz w:val="22"/>
                <w:szCs w:val="22"/>
              </w:rPr>
              <w:t>54,6</w:t>
            </w:r>
            <w:r w:rsidRPr="00531A7E">
              <w:rPr>
                <w:sz w:val="22"/>
                <w:szCs w:val="22"/>
              </w:rPr>
              <w:t>00</w:t>
            </w:r>
          </w:p>
        </w:tc>
      </w:tr>
    </w:tbl>
    <w:p w:rsidR="0055363C" w:rsidRPr="005C43A1" w:rsidRDefault="0055363C" w:rsidP="0055363C">
      <w:pPr>
        <w:pStyle w:val="exhibitsource"/>
        <w:spacing w:after="0" w:line="480" w:lineRule="auto"/>
      </w:pPr>
    </w:p>
    <w:p w:rsidR="00495ADF" w:rsidRPr="005C43A1" w:rsidRDefault="00495ADF" w:rsidP="00F66166">
      <w:pPr>
        <w:pStyle w:val="Heading2"/>
      </w:pPr>
      <w:bookmarkStart w:id="42" w:name="_Toc317196270"/>
      <w:r w:rsidRPr="005C43A1">
        <w:t>A.13</w:t>
      </w:r>
      <w:r w:rsidRPr="005C43A1">
        <w:tab/>
      </w:r>
      <w:bookmarkEnd w:id="32"/>
      <w:r w:rsidRPr="005C43A1">
        <w:t>Estimates of Other Total Annual Cost Burden to Respondents or Record</w:t>
      </w:r>
      <w:r w:rsidR="00512700">
        <w:t xml:space="preserve"> K</w:t>
      </w:r>
      <w:r w:rsidRPr="005C43A1">
        <w:t>eepers</w:t>
      </w:r>
      <w:bookmarkEnd w:id="42"/>
    </w:p>
    <w:p w:rsidR="0055363C" w:rsidRPr="005C43A1" w:rsidRDefault="0055363C" w:rsidP="00E427A6">
      <w:pPr>
        <w:pStyle w:val="BodyText1"/>
      </w:pPr>
      <w:r w:rsidRPr="005C43A1">
        <w:t>No costs other than those described in A.12 will be incurred by the respondents to complete this data collection.</w:t>
      </w:r>
    </w:p>
    <w:p w:rsidR="00495ADF" w:rsidRPr="005C43A1" w:rsidRDefault="00495ADF" w:rsidP="00D358C3">
      <w:pPr>
        <w:pStyle w:val="Heading2"/>
      </w:pPr>
      <w:bookmarkStart w:id="43" w:name="_Toc88033480"/>
      <w:bookmarkStart w:id="44" w:name="_Toc317196271"/>
      <w:r w:rsidRPr="005C43A1">
        <w:t>A.14</w:t>
      </w:r>
      <w:r w:rsidRPr="005C43A1">
        <w:tab/>
      </w:r>
      <w:bookmarkEnd w:id="43"/>
      <w:r w:rsidRPr="005C43A1">
        <w:t>Annualized Cost to the Federal Government</w:t>
      </w:r>
      <w:bookmarkEnd w:id="44"/>
    </w:p>
    <w:p w:rsidR="000256F5" w:rsidRPr="005C43A1" w:rsidRDefault="002E5438" w:rsidP="00FC1732">
      <w:pPr>
        <w:pStyle w:val="BodyText1"/>
      </w:pPr>
      <w:r w:rsidRPr="005C43A1">
        <w:rPr>
          <w:b/>
          <w:i/>
        </w:rPr>
        <w:t>Exhibit </w:t>
      </w:r>
      <w:r w:rsidR="00470E4A">
        <w:rPr>
          <w:b/>
          <w:i/>
        </w:rPr>
        <w:t>A.14-1</w:t>
      </w:r>
      <w:r w:rsidR="0055363C" w:rsidRPr="005C43A1">
        <w:t xml:space="preserve"> presents the two types of costs to the </w:t>
      </w:r>
      <w:r w:rsidR="00FC1732">
        <w:t>g</w:t>
      </w:r>
      <w:r w:rsidR="0055363C" w:rsidRPr="005C43A1">
        <w:t xml:space="preserve">overnment that will be incurred: (1) </w:t>
      </w:r>
      <w:r w:rsidR="00FC1732">
        <w:t>e</w:t>
      </w:r>
      <w:r w:rsidR="0055363C" w:rsidRPr="005C43A1">
        <w:t>xternal contracted data collection and analyses and (2</w:t>
      </w:r>
      <w:r w:rsidR="000256F5" w:rsidRPr="005C43A1">
        <w:t>) </w:t>
      </w:r>
      <w:r w:rsidR="00FC1732">
        <w:t>g</w:t>
      </w:r>
      <w:r w:rsidR="0055363C" w:rsidRPr="005C43A1">
        <w:t>overnment personnel.</w:t>
      </w:r>
    </w:p>
    <w:p w:rsidR="000256F5" w:rsidRPr="0035250A" w:rsidRDefault="0055363C" w:rsidP="002E5438">
      <w:pPr>
        <w:pStyle w:val="ListNumber"/>
        <w:numPr>
          <w:ilvl w:val="0"/>
          <w:numId w:val="11"/>
        </w:numPr>
        <w:tabs>
          <w:tab w:val="clear" w:pos="360"/>
          <w:tab w:val="num" w:pos="1080"/>
        </w:tabs>
        <w:ind w:left="1080"/>
      </w:pPr>
      <w:r w:rsidRPr="0035250A">
        <w:t xml:space="preserve">The project is being conducted under a contract that was awarded </w:t>
      </w:r>
      <w:r w:rsidR="00FC1732" w:rsidRPr="0035250A">
        <w:t xml:space="preserve">on </w:t>
      </w:r>
      <w:r w:rsidRPr="0035250A">
        <w:t>September 26, 2011.</w:t>
      </w:r>
      <w:r w:rsidR="00C05817" w:rsidRPr="0035250A">
        <w:t xml:space="preserve"> </w:t>
      </w:r>
      <w:r w:rsidRPr="0035250A">
        <w:t>The contract is for a total of 5 years.</w:t>
      </w:r>
      <w:r w:rsidR="00C05817" w:rsidRPr="0035250A">
        <w:t xml:space="preserve"> </w:t>
      </w:r>
      <w:r w:rsidRPr="0035250A">
        <w:t xml:space="preserve">The annualized cost for </w:t>
      </w:r>
      <w:r w:rsidR="0035250A" w:rsidRPr="0035250A">
        <w:t xml:space="preserve">the cost data collection task for </w:t>
      </w:r>
      <w:r w:rsidRPr="0035250A">
        <w:t>the</w:t>
      </w:r>
      <w:r w:rsidR="0035250A" w:rsidRPr="0035250A">
        <w:t xml:space="preserve"> d</w:t>
      </w:r>
      <w:r w:rsidRPr="0035250A">
        <w:t xml:space="preserve">ata </w:t>
      </w:r>
      <w:r w:rsidR="0035250A" w:rsidRPr="0035250A">
        <w:t>c</w:t>
      </w:r>
      <w:r w:rsidRPr="0035250A">
        <w:t>ontractor is estimated at $</w:t>
      </w:r>
      <w:r w:rsidR="0035250A" w:rsidRPr="0035250A">
        <w:t>136</w:t>
      </w:r>
      <w:r w:rsidRPr="0035250A">
        <w:t>,</w:t>
      </w:r>
      <w:r w:rsidR="0035250A" w:rsidRPr="0035250A">
        <w:t>625</w:t>
      </w:r>
      <w:r w:rsidRPr="0035250A">
        <w:t>.</w:t>
      </w:r>
    </w:p>
    <w:p w:rsidR="0035250A" w:rsidRDefault="0055363C" w:rsidP="00FC1732">
      <w:pPr>
        <w:pStyle w:val="ListNumber"/>
      </w:pPr>
      <w:r w:rsidRPr="0035250A">
        <w:t xml:space="preserve">The government costs include personnel costs for federal staff involved in project oversight and development of this </w:t>
      </w:r>
      <w:r w:rsidR="00FC1732" w:rsidRPr="0035250A">
        <w:t>ICR</w:t>
      </w:r>
      <w:r w:rsidRPr="0035250A">
        <w:t>; these efforts involve approximately 10% of a GS-13 public health analyst, 20% of a GS-13 scientist, and 5% of a GS-14 scientist.</w:t>
      </w:r>
      <w:r w:rsidR="00C05817" w:rsidRPr="0035250A">
        <w:t xml:space="preserve"> </w:t>
      </w:r>
      <w:r w:rsidRPr="0035250A">
        <w:t xml:space="preserve">The total cost to the </w:t>
      </w:r>
      <w:r w:rsidR="00FC1732" w:rsidRPr="0035250A">
        <w:t>f</w:t>
      </w:r>
      <w:r w:rsidRPr="0035250A">
        <w:t>ederal government is $</w:t>
      </w:r>
      <w:r w:rsidR="0035250A" w:rsidRPr="0035250A">
        <w:t>29,596</w:t>
      </w:r>
      <w:r w:rsidRPr="0035250A">
        <w:t>.</w:t>
      </w:r>
      <w:r w:rsidR="00FC1732" w:rsidRPr="0035250A">
        <w:t xml:space="preserve"> </w:t>
      </w:r>
    </w:p>
    <w:p w:rsidR="000256F5" w:rsidRDefault="0055363C" w:rsidP="0035250A">
      <w:pPr>
        <w:pStyle w:val="ListNumber"/>
        <w:numPr>
          <w:ilvl w:val="0"/>
          <w:numId w:val="0"/>
        </w:numPr>
        <w:ind w:left="1080"/>
      </w:pPr>
      <w:r w:rsidRPr="0035250A">
        <w:t>The total annualized cost to the federal government for the duration of this data collection is $</w:t>
      </w:r>
      <w:r w:rsidR="0035250A" w:rsidRPr="0035250A">
        <w:t>166,221</w:t>
      </w:r>
      <w:r w:rsidRPr="0035250A">
        <w:t>.</w:t>
      </w:r>
    </w:p>
    <w:p w:rsidR="00E14515" w:rsidRPr="0035250A" w:rsidRDefault="00E14515" w:rsidP="0035250A">
      <w:pPr>
        <w:pStyle w:val="ListNumber"/>
        <w:numPr>
          <w:ilvl w:val="0"/>
          <w:numId w:val="0"/>
        </w:numPr>
        <w:ind w:left="1080"/>
      </w:pPr>
    </w:p>
    <w:p w:rsidR="0055363C" w:rsidRPr="005C43A1" w:rsidRDefault="004455D6" w:rsidP="00E427A6">
      <w:pPr>
        <w:pStyle w:val="FigureTitle"/>
      </w:pPr>
      <w:bookmarkStart w:id="45" w:name="_Toc275433793"/>
      <w:bookmarkStart w:id="46" w:name="_Toc307224726"/>
      <w:r w:rsidRPr="005C43A1">
        <w:lastRenderedPageBreak/>
        <w:t xml:space="preserve">Exhibit </w:t>
      </w:r>
      <w:r w:rsidR="00470E4A">
        <w:t>A.14-1</w:t>
      </w:r>
      <w:r w:rsidRPr="005C43A1">
        <w:t>.</w:t>
      </w:r>
      <w:r w:rsidRPr="005C43A1">
        <w:tab/>
      </w:r>
      <w:r w:rsidR="0055363C" w:rsidRPr="005C43A1">
        <w:t>Estimated Annualized Federal Government Cost Distribution</w:t>
      </w:r>
      <w:bookmarkEnd w:id="45"/>
      <w:bookmarkEnd w:id="46"/>
    </w:p>
    <w:tbl>
      <w:tblPr>
        <w:tblW w:w="9360" w:type="dxa"/>
        <w:tblInd w:w="93" w:type="dxa"/>
        <w:tblLayout w:type="fixed"/>
        <w:tblCellMar>
          <w:left w:w="115" w:type="dxa"/>
          <w:right w:w="115" w:type="dxa"/>
        </w:tblCellMar>
        <w:tblLook w:val="04A0"/>
      </w:tblPr>
      <w:tblGrid>
        <w:gridCol w:w="6232"/>
        <w:gridCol w:w="3128"/>
      </w:tblGrid>
      <w:tr w:rsidR="0055363C" w:rsidRPr="0035250A" w:rsidTr="004455D6">
        <w:trPr>
          <w:cantSplit/>
        </w:trPr>
        <w:tc>
          <w:tcPr>
            <w:tcW w:w="6232" w:type="dxa"/>
            <w:tcBorders>
              <w:top w:val="single" w:sz="12" w:space="0" w:color="auto"/>
              <w:left w:val="nil"/>
              <w:bottom w:val="single" w:sz="8" w:space="0" w:color="auto"/>
              <w:right w:val="nil"/>
            </w:tcBorders>
            <w:shd w:val="clear" w:color="auto" w:fill="auto"/>
            <w:vAlign w:val="bottom"/>
          </w:tcPr>
          <w:p w:rsidR="0055363C" w:rsidRPr="0035250A" w:rsidRDefault="0055363C" w:rsidP="004455D6">
            <w:pPr>
              <w:keepNext/>
              <w:spacing w:before="80" w:after="80"/>
              <w:jc w:val="center"/>
              <w:rPr>
                <w:b/>
                <w:sz w:val="22"/>
              </w:rPr>
            </w:pPr>
            <w:r w:rsidRPr="0035250A">
              <w:rPr>
                <w:b/>
                <w:sz w:val="22"/>
              </w:rPr>
              <w:t>Type of Government Cost</w:t>
            </w:r>
          </w:p>
        </w:tc>
        <w:tc>
          <w:tcPr>
            <w:tcW w:w="3128" w:type="dxa"/>
            <w:tcBorders>
              <w:top w:val="single" w:sz="12" w:space="0" w:color="auto"/>
              <w:left w:val="nil"/>
              <w:bottom w:val="single" w:sz="8" w:space="0" w:color="auto"/>
              <w:right w:val="nil"/>
            </w:tcBorders>
            <w:shd w:val="clear" w:color="auto" w:fill="auto"/>
            <w:vAlign w:val="bottom"/>
          </w:tcPr>
          <w:p w:rsidR="0055363C" w:rsidRPr="0035250A" w:rsidRDefault="0055363C" w:rsidP="004455D6">
            <w:pPr>
              <w:keepNext/>
              <w:spacing w:before="80" w:after="80"/>
              <w:jc w:val="center"/>
              <w:rPr>
                <w:b/>
                <w:sz w:val="22"/>
              </w:rPr>
            </w:pPr>
            <w:r w:rsidRPr="0035250A">
              <w:rPr>
                <w:b/>
                <w:sz w:val="22"/>
              </w:rPr>
              <w:t>Annualized Cost</w:t>
            </w:r>
          </w:p>
        </w:tc>
      </w:tr>
      <w:tr w:rsidR="0055363C" w:rsidRPr="0035250A" w:rsidTr="004455D6">
        <w:trPr>
          <w:cantSplit/>
        </w:trPr>
        <w:tc>
          <w:tcPr>
            <w:tcW w:w="6232" w:type="dxa"/>
            <w:tcBorders>
              <w:top w:val="nil"/>
              <w:left w:val="nil"/>
              <w:right w:val="nil"/>
            </w:tcBorders>
            <w:shd w:val="clear" w:color="auto" w:fill="auto"/>
            <w:noWrap/>
          </w:tcPr>
          <w:p w:rsidR="0055363C" w:rsidRPr="0035250A" w:rsidRDefault="0055363C" w:rsidP="004455D6">
            <w:pPr>
              <w:keepNext/>
              <w:spacing w:before="80" w:after="80"/>
              <w:rPr>
                <w:sz w:val="22"/>
              </w:rPr>
            </w:pPr>
            <w:r w:rsidRPr="0035250A">
              <w:rPr>
                <w:sz w:val="22"/>
              </w:rPr>
              <w:t>Data Contractor</w:t>
            </w:r>
          </w:p>
        </w:tc>
        <w:tc>
          <w:tcPr>
            <w:tcW w:w="3128" w:type="dxa"/>
            <w:tcBorders>
              <w:top w:val="nil"/>
              <w:left w:val="nil"/>
              <w:right w:val="nil"/>
            </w:tcBorders>
            <w:shd w:val="clear" w:color="auto" w:fill="auto"/>
            <w:noWrap/>
          </w:tcPr>
          <w:p w:rsidR="0055363C" w:rsidRPr="0035250A" w:rsidRDefault="0055363C" w:rsidP="004455D6">
            <w:pPr>
              <w:keepNext/>
              <w:tabs>
                <w:tab w:val="decimal" w:pos="1865"/>
              </w:tabs>
              <w:spacing w:before="80" w:after="80"/>
              <w:rPr>
                <w:sz w:val="22"/>
              </w:rPr>
            </w:pPr>
            <w:r w:rsidRPr="0035250A">
              <w:rPr>
                <w:sz w:val="22"/>
              </w:rPr>
              <w:t>$</w:t>
            </w:r>
            <w:r w:rsidR="0035250A" w:rsidRPr="0035250A">
              <w:rPr>
                <w:sz w:val="22"/>
              </w:rPr>
              <w:t>136</w:t>
            </w:r>
            <w:r w:rsidRPr="0035250A">
              <w:rPr>
                <w:sz w:val="22"/>
              </w:rPr>
              <w:t>,</w:t>
            </w:r>
            <w:r w:rsidR="0035250A" w:rsidRPr="0035250A">
              <w:rPr>
                <w:sz w:val="22"/>
              </w:rPr>
              <w:t>625</w:t>
            </w:r>
          </w:p>
        </w:tc>
      </w:tr>
      <w:tr w:rsidR="004455D6" w:rsidRPr="0035250A" w:rsidTr="004455D6">
        <w:trPr>
          <w:cantSplit/>
        </w:trPr>
        <w:tc>
          <w:tcPr>
            <w:tcW w:w="6232" w:type="dxa"/>
            <w:tcBorders>
              <w:left w:val="nil"/>
              <w:right w:val="nil"/>
            </w:tcBorders>
            <w:shd w:val="clear" w:color="auto" w:fill="auto"/>
            <w:noWrap/>
          </w:tcPr>
          <w:p w:rsidR="004455D6" w:rsidRPr="0035250A" w:rsidRDefault="004455D6" w:rsidP="006C3B2D">
            <w:pPr>
              <w:keepNext/>
              <w:spacing w:before="80" w:after="80"/>
              <w:rPr>
                <w:sz w:val="22"/>
              </w:rPr>
            </w:pPr>
            <w:r w:rsidRPr="0035250A">
              <w:rPr>
                <w:sz w:val="22"/>
              </w:rPr>
              <w:t>Federal Staff</w:t>
            </w:r>
          </w:p>
        </w:tc>
        <w:tc>
          <w:tcPr>
            <w:tcW w:w="3128" w:type="dxa"/>
            <w:tcBorders>
              <w:left w:val="nil"/>
              <w:right w:val="nil"/>
            </w:tcBorders>
            <w:shd w:val="clear" w:color="auto" w:fill="auto"/>
            <w:noWrap/>
          </w:tcPr>
          <w:p w:rsidR="004455D6" w:rsidRPr="0035250A" w:rsidRDefault="004455D6" w:rsidP="004455D6">
            <w:pPr>
              <w:keepNext/>
              <w:tabs>
                <w:tab w:val="decimal" w:pos="1865"/>
              </w:tabs>
              <w:spacing w:before="80" w:after="80"/>
              <w:rPr>
                <w:sz w:val="22"/>
              </w:rPr>
            </w:pPr>
            <w:r w:rsidRPr="0035250A">
              <w:rPr>
                <w:sz w:val="22"/>
              </w:rPr>
              <w:t>$</w:t>
            </w:r>
            <w:r w:rsidR="0035250A" w:rsidRPr="0035250A">
              <w:rPr>
                <w:sz w:val="22"/>
              </w:rPr>
              <w:t>29,596</w:t>
            </w:r>
          </w:p>
        </w:tc>
      </w:tr>
      <w:tr w:rsidR="004455D6" w:rsidRPr="0035250A" w:rsidTr="004455D6">
        <w:trPr>
          <w:cantSplit/>
        </w:trPr>
        <w:tc>
          <w:tcPr>
            <w:tcW w:w="6232" w:type="dxa"/>
            <w:tcBorders>
              <w:left w:val="nil"/>
              <w:right w:val="nil"/>
            </w:tcBorders>
            <w:shd w:val="clear" w:color="auto" w:fill="auto"/>
            <w:noWrap/>
          </w:tcPr>
          <w:p w:rsidR="004455D6" w:rsidRPr="0035250A" w:rsidRDefault="004455D6" w:rsidP="004455D6">
            <w:pPr>
              <w:keepNext/>
              <w:spacing w:before="80" w:after="80"/>
              <w:ind w:left="187"/>
              <w:rPr>
                <w:sz w:val="22"/>
              </w:rPr>
            </w:pPr>
            <w:r w:rsidRPr="0035250A">
              <w:rPr>
                <w:sz w:val="22"/>
              </w:rPr>
              <w:t>GS-13 public health analyst at 10% FTE</w:t>
            </w:r>
          </w:p>
        </w:tc>
        <w:tc>
          <w:tcPr>
            <w:tcW w:w="3128" w:type="dxa"/>
            <w:tcBorders>
              <w:left w:val="nil"/>
              <w:right w:val="nil"/>
            </w:tcBorders>
            <w:shd w:val="clear" w:color="auto" w:fill="auto"/>
            <w:noWrap/>
          </w:tcPr>
          <w:p w:rsidR="004455D6" w:rsidRPr="0035250A" w:rsidRDefault="004455D6" w:rsidP="004455D6">
            <w:pPr>
              <w:keepNext/>
              <w:tabs>
                <w:tab w:val="decimal" w:pos="1865"/>
              </w:tabs>
              <w:spacing w:before="80" w:after="80"/>
              <w:rPr>
                <w:sz w:val="22"/>
              </w:rPr>
            </w:pPr>
            <w:r w:rsidRPr="0035250A">
              <w:rPr>
                <w:sz w:val="22"/>
              </w:rPr>
              <w:t>$</w:t>
            </w:r>
            <w:r w:rsidR="0035250A" w:rsidRPr="0035250A">
              <w:rPr>
                <w:sz w:val="22"/>
              </w:rPr>
              <w:t>8,242</w:t>
            </w:r>
          </w:p>
        </w:tc>
      </w:tr>
      <w:tr w:rsidR="004455D6" w:rsidRPr="0035250A" w:rsidTr="004455D6">
        <w:trPr>
          <w:cantSplit/>
        </w:trPr>
        <w:tc>
          <w:tcPr>
            <w:tcW w:w="6232" w:type="dxa"/>
            <w:tcBorders>
              <w:left w:val="nil"/>
              <w:right w:val="nil"/>
            </w:tcBorders>
            <w:shd w:val="clear" w:color="auto" w:fill="auto"/>
            <w:noWrap/>
          </w:tcPr>
          <w:p w:rsidR="004455D6" w:rsidRPr="0035250A" w:rsidRDefault="004455D6" w:rsidP="004455D6">
            <w:pPr>
              <w:keepNext/>
              <w:spacing w:before="80" w:after="80"/>
              <w:ind w:left="187"/>
              <w:rPr>
                <w:sz w:val="22"/>
              </w:rPr>
            </w:pPr>
            <w:r w:rsidRPr="0035250A">
              <w:rPr>
                <w:sz w:val="22"/>
              </w:rPr>
              <w:t>GS-13 scientist at 20% FTE</w:t>
            </w:r>
          </w:p>
        </w:tc>
        <w:tc>
          <w:tcPr>
            <w:tcW w:w="3128" w:type="dxa"/>
            <w:tcBorders>
              <w:left w:val="nil"/>
              <w:right w:val="nil"/>
            </w:tcBorders>
            <w:shd w:val="clear" w:color="auto" w:fill="auto"/>
            <w:noWrap/>
          </w:tcPr>
          <w:p w:rsidR="004455D6" w:rsidRPr="0035250A" w:rsidRDefault="004455D6" w:rsidP="004455D6">
            <w:pPr>
              <w:keepNext/>
              <w:tabs>
                <w:tab w:val="decimal" w:pos="1865"/>
              </w:tabs>
              <w:spacing w:before="80" w:after="80"/>
              <w:rPr>
                <w:sz w:val="22"/>
              </w:rPr>
            </w:pPr>
            <w:r w:rsidRPr="0035250A">
              <w:rPr>
                <w:sz w:val="22"/>
              </w:rPr>
              <w:t>$</w:t>
            </w:r>
            <w:r w:rsidR="0035250A" w:rsidRPr="0035250A">
              <w:rPr>
                <w:sz w:val="22"/>
              </w:rPr>
              <w:t>16,484</w:t>
            </w:r>
          </w:p>
        </w:tc>
      </w:tr>
      <w:tr w:rsidR="0055363C" w:rsidRPr="0035250A" w:rsidTr="004455D6">
        <w:trPr>
          <w:cantSplit/>
        </w:trPr>
        <w:tc>
          <w:tcPr>
            <w:tcW w:w="6232" w:type="dxa"/>
            <w:tcBorders>
              <w:left w:val="nil"/>
              <w:bottom w:val="single" w:sz="4" w:space="0" w:color="auto"/>
              <w:right w:val="nil"/>
            </w:tcBorders>
            <w:shd w:val="clear" w:color="auto" w:fill="auto"/>
            <w:noWrap/>
          </w:tcPr>
          <w:p w:rsidR="0055363C" w:rsidRPr="0035250A" w:rsidRDefault="0055363C" w:rsidP="004455D6">
            <w:pPr>
              <w:keepNext/>
              <w:spacing w:before="80" w:after="80"/>
              <w:ind w:left="187"/>
              <w:rPr>
                <w:sz w:val="22"/>
              </w:rPr>
            </w:pPr>
            <w:r w:rsidRPr="0035250A">
              <w:rPr>
                <w:sz w:val="22"/>
              </w:rPr>
              <w:t>GS-14 scientist at 5% FTE</w:t>
            </w:r>
          </w:p>
        </w:tc>
        <w:tc>
          <w:tcPr>
            <w:tcW w:w="3128" w:type="dxa"/>
            <w:tcBorders>
              <w:left w:val="nil"/>
              <w:bottom w:val="single" w:sz="4" w:space="0" w:color="auto"/>
              <w:right w:val="nil"/>
            </w:tcBorders>
            <w:shd w:val="clear" w:color="auto" w:fill="auto"/>
            <w:noWrap/>
          </w:tcPr>
          <w:p w:rsidR="0055363C" w:rsidRPr="0035250A" w:rsidRDefault="0055363C" w:rsidP="004455D6">
            <w:pPr>
              <w:keepNext/>
              <w:tabs>
                <w:tab w:val="decimal" w:pos="1865"/>
              </w:tabs>
              <w:spacing w:before="80" w:after="80"/>
              <w:rPr>
                <w:sz w:val="22"/>
              </w:rPr>
            </w:pPr>
            <w:r w:rsidRPr="0035250A">
              <w:rPr>
                <w:sz w:val="22"/>
              </w:rPr>
              <w:t>$</w:t>
            </w:r>
            <w:r w:rsidR="0035250A" w:rsidRPr="0035250A">
              <w:rPr>
                <w:sz w:val="22"/>
              </w:rPr>
              <w:t>4,780</w:t>
            </w:r>
          </w:p>
        </w:tc>
      </w:tr>
      <w:tr w:rsidR="0055363C" w:rsidRPr="005C43A1" w:rsidTr="004455D6">
        <w:trPr>
          <w:cantSplit/>
        </w:trPr>
        <w:tc>
          <w:tcPr>
            <w:tcW w:w="6232" w:type="dxa"/>
            <w:tcBorders>
              <w:top w:val="single" w:sz="4" w:space="0" w:color="auto"/>
              <w:left w:val="nil"/>
              <w:bottom w:val="single" w:sz="12" w:space="0" w:color="auto"/>
              <w:right w:val="nil"/>
            </w:tcBorders>
            <w:shd w:val="clear" w:color="auto" w:fill="auto"/>
          </w:tcPr>
          <w:p w:rsidR="0055363C" w:rsidRPr="0035250A" w:rsidRDefault="0055363C" w:rsidP="004455D6">
            <w:pPr>
              <w:keepNext/>
              <w:spacing w:before="80" w:after="80"/>
              <w:rPr>
                <w:sz w:val="22"/>
              </w:rPr>
            </w:pPr>
            <w:r w:rsidRPr="0035250A">
              <w:rPr>
                <w:sz w:val="22"/>
              </w:rPr>
              <w:t>Total</w:t>
            </w:r>
          </w:p>
        </w:tc>
        <w:tc>
          <w:tcPr>
            <w:tcW w:w="3128" w:type="dxa"/>
            <w:tcBorders>
              <w:top w:val="single" w:sz="4" w:space="0" w:color="auto"/>
              <w:left w:val="nil"/>
              <w:bottom w:val="single" w:sz="12" w:space="0" w:color="auto"/>
              <w:right w:val="nil"/>
            </w:tcBorders>
            <w:shd w:val="clear" w:color="auto" w:fill="auto"/>
            <w:noWrap/>
          </w:tcPr>
          <w:p w:rsidR="0055363C" w:rsidRPr="0035250A" w:rsidRDefault="0055363C" w:rsidP="004455D6">
            <w:pPr>
              <w:keepNext/>
              <w:tabs>
                <w:tab w:val="decimal" w:pos="1865"/>
              </w:tabs>
              <w:spacing w:before="80" w:after="80"/>
              <w:rPr>
                <w:sz w:val="22"/>
              </w:rPr>
            </w:pPr>
            <w:r w:rsidRPr="0035250A">
              <w:rPr>
                <w:sz w:val="22"/>
              </w:rPr>
              <w:t>$</w:t>
            </w:r>
            <w:r w:rsidR="0035250A" w:rsidRPr="0035250A">
              <w:rPr>
                <w:sz w:val="22"/>
              </w:rPr>
              <w:t>166,221</w:t>
            </w:r>
          </w:p>
        </w:tc>
      </w:tr>
    </w:tbl>
    <w:p w:rsidR="0055363C" w:rsidRPr="005C43A1" w:rsidRDefault="0055363C" w:rsidP="0055363C">
      <w:pPr>
        <w:pStyle w:val="exhibitsource"/>
        <w:spacing w:after="0" w:line="480" w:lineRule="auto"/>
      </w:pPr>
    </w:p>
    <w:p w:rsidR="00F72F56" w:rsidRPr="005C43A1" w:rsidRDefault="00F72F56" w:rsidP="00F72F56">
      <w:pPr>
        <w:pStyle w:val="Heading2"/>
      </w:pPr>
      <w:bookmarkStart w:id="47" w:name="_Toc88033481"/>
      <w:bookmarkStart w:id="48" w:name="_Toc317196272"/>
      <w:r w:rsidRPr="005C43A1">
        <w:t>A.15</w:t>
      </w:r>
      <w:r w:rsidRPr="005C43A1">
        <w:tab/>
      </w:r>
      <w:bookmarkEnd w:id="47"/>
      <w:r w:rsidRPr="005C43A1">
        <w:t>Explanation for Program Changes or Adjustments</w:t>
      </w:r>
      <w:bookmarkEnd w:id="48"/>
    </w:p>
    <w:p w:rsidR="0055363C" w:rsidRPr="005C43A1" w:rsidRDefault="00C15D06" w:rsidP="00E427A6">
      <w:pPr>
        <w:pStyle w:val="BodyText1"/>
      </w:pPr>
      <w:r>
        <w:t>This is a new data collection</w:t>
      </w:r>
      <w:r w:rsidR="0055363C" w:rsidRPr="005C43A1">
        <w:t>.</w:t>
      </w:r>
    </w:p>
    <w:p w:rsidR="00495ADF" w:rsidRPr="005C43A1" w:rsidRDefault="00495ADF" w:rsidP="00F72F56">
      <w:pPr>
        <w:pStyle w:val="Heading2"/>
      </w:pPr>
      <w:bookmarkStart w:id="49" w:name="_Toc88033482"/>
      <w:bookmarkStart w:id="50" w:name="_Toc317196273"/>
      <w:r w:rsidRPr="005C43A1">
        <w:t>A.16</w:t>
      </w:r>
      <w:r w:rsidRPr="005C43A1">
        <w:tab/>
      </w:r>
      <w:bookmarkEnd w:id="49"/>
      <w:r w:rsidRPr="005C43A1">
        <w:t>Plans for Tabulation and Publication and Project Time Schedule</w:t>
      </w:r>
      <w:bookmarkEnd w:id="50"/>
    </w:p>
    <w:p w:rsidR="0055363C" w:rsidRPr="005C43A1" w:rsidRDefault="0055363C" w:rsidP="00522AD4">
      <w:pPr>
        <w:pStyle w:val="Heading3"/>
        <w:rPr>
          <w:lang w:val="en-US"/>
        </w:rPr>
      </w:pPr>
      <w:bookmarkStart w:id="51" w:name="_Toc275433780"/>
      <w:bookmarkStart w:id="52" w:name="_Toc317196274"/>
      <w:bookmarkStart w:id="53" w:name="_Toc88033483"/>
      <w:r w:rsidRPr="005C43A1">
        <w:rPr>
          <w:lang w:val="en-US"/>
        </w:rPr>
        <w:t>A.16.1</w:t>
      </w:r>
      <w:r w:rsidRPr="005C43A1">
        <w:rPr>
          <w:lang w:val="en-US"/>
        </w:rPr>
        <w:tab/>
        <w:t>Publication Plan</w:t>
      </w:r>
      <w:bookmarkEnd w:id="51"/>
      <w:bookmarkEnd w:id="52"/>
    </w:p>
    <w:p w:rsidR="000256F5" w:rsidRPr="005C43A1" w:rsidRDefault="0055363C" w:rsidP="00E427A6">
      <w:pPr>
        <w:pStyle w:val="BodyText1"/>
      </w:pPr>
      <w:r w:rsidRPr="005C43A1">
        <w:t>Results of the study will be disseminated to various awardees and other stakeholders through reports, Web conferences, presentations at professional meetings, and publication of manuscripts in peer-reviewed journals. It is anticipated that the results of this project will be developed into several scientific and nonscientific reports.</w:t>
      </w:r>
    </w:p>
    <w:p w:rsidR="0055363C" w:rsidRPr="005C43A1" w:rsidRDefault="0055363C" w:rsidP="00522AD4">
      <w:pPr>
        <w:pStyle w:val="Heading3"/>
        <w:rPr>
          <w:lang w:val="en-US"/>
        </w:rPr>
      </w:pPr>
      <w:bookmarkStart w:id="54" w:name="_Toc275433781"/>
      <w:bookmarkStart w:id="55" w:name="_Toc317196275"/>
      <w:r w:rsidRPr="005C43A1">
        <w:rPr>
          <w:lang w:val="en-US"/>
        </w:rPr>
        <w:t>A.16.2</w:t>
      </w:r>
      <w:r w:rsidRPr="005C43A1">
        <w:rPr>
          <w:lang w:val="en-US"/>
        </w:rPr>
        <w:tab/>
        <w:t>Project Timeline</w:t>
      </w:r>
      <w:bookmarkEnd w:id="54"/>
      <w:bookmarkEnd w:id="55"/>
    </w:p>
    <w:p w:rsidR="000256F5" w:rsidRPr="005C43A1" w:rsidRDefault="0055363C" w:rsidP="00E427A6">
      <w:pPr>
        <w:pStyle w:val="BodyText1"/>
      </w:pPr>
      <w:r w:rsidRPr="005C43A1">
        <w:t xml:space="preserve">The expected time schedule for project activities is presented in </w:t>
      </w:r>
      <w:r w:rsidR="00522AD4" w:rsidRPr="005C43A1">
        <w:rPr>
          <w:b/>
          <w:bCs/>
          <w:i/>
          <w:iCs/>
        </w:rPr>
        <w:t>Exhibit </w:t>
      </w:r>
      <w:r w:rsidR="00DA0B64">
        <w:rPr>
          <w:b/>
          <w:bCs/>
          <w:i/>
          <w:iCs/>
        </w:rPr>
        <w:t>A.16-2</w:t>
      </w:r>
      <w:r w:rsidRPr="005C43A1">
        <w:t>.</w:t>
      </w:r>
    </w:p>
    <w:p w:rsidR="0055363C" w:rsidRPr="005C43A1" w:rsidRDefault="00522AD4" w:rsidP="00E427A6">
      <w:pPr>
        <w:pStyle w:val="FigureTitle"/>
      </w:pPr>
      <w:bookmarkStart w:id="56" w:name="_Toc275433795"/>
      <w:bookmarkStart w:id="57" w:name="_Toc307224728"/>
      <w:r w:rsidRPr="005C43A1">
        <w:lastRenderedPageBreak/>
        <w:t xml:space="preserve">Exhibit </w:t>
      </w:r>
      <w:r w:rsidR="00DA0B64">
        <w:t>A.16-2</w:t>
      </w:r>
      <w:r w:rsidRPr="005C43A1">
        <w:t>.</w:t>
      </w:r>
      <w:r w:rsidRPr="005C43A1">
        <w:tab/>
      </w:r>
      <w:r w:rsidR="0055363C" w:rsidRPr="005C43A1">
        <w:t>Estimated Time Schedule for Project Activities</w:t>
      </w:r>
      <w:bookmarkEnd w:id="56"/>
      <w:bookmarkEnd w:id="57"/>
    </w:p>
    <w:tbl>
      <w:tblPr>
        <w:tblW w:w="9360" w:type="dxa"/>
        <w:tblInd w:w="86" w:type="dxa"/>
        <w:tblBorders>
          <w:top w:val="single" w:sz="12" w:space="0" w:color="auto"/>
          <w:bottom w:val="single" w:sz="12" w:space="0" w:color="auto"/>
        </w:tblBorders>
        <w:tblLayout w:type="fixed"/>
        <w:tblCellMar>
          <w:left w:w="115" w:type="dxa"/>
          <w:right w:w="115" w:type="dxa"/>
        </w:tblCellMar>
        <w:tblLook w:val="01E0"/>
      </w:tblPr>
      <w:tblGrid>
        <w:gridCol w:w="4619"/>
        <w:gridCol w:w="4741"/>
      </w:tblGrid>
      <w:tr w:rsidR="0055363C" w:rsidRPr="005C43A1" w:rsidTr="00522AD4">
        <w:trPr>
          <w:cantSplit/>
        </w:trPr>
        <w:tc>
          <w:tcPr>
            <w:tcW w:w="4619" w:type="dxa"/>
            <w:tcBorders>
              <w:top w:val="single" w:sz="12" w:space="0" w:color="auto"/>
              <w:bottom w:val="single" w:sz="6" w:space="0" w:color="auto"/>
            </w:tcBorders>
            <w:vAlign w:val="bottom"/>
          </w:tcPr>
          <w:p w:rsidR="0055363C" w:rsidRPr="005C43A1" w:rsidRDefault="0055363C" w:rsidP="00522AD4">
            <w:pPr>
              <w:keepNext/>
              <w:spacing w:before="60" w:after="60"/>
              <w:rPr>
                <w:b/>
                <w:sz w:val="22"/>
              </w:rPr>
            </w:pPr>
            <w:r w:rsidRPr="005C43A1">
              <w:rPr>
                <w:b/>
                <w:sz w:val="22"/>
              </w:rPr>
              <w:t>Activity</w:t>
            </w:r>
          </w:p>
        </w:tc>
        <w:tc>
          <w:tcPr>
            <w:tcW w:w="4741" w:type="dxa"/>
            <w:tcBorders>
              <w:top w:val="single" w:sz="12" w:space="0" w:color="auto"/>
              <w:bottom w:val="single" w:sz="6" w:space="0" w:color="auto"/>
            </w:tcBorders>
            <w:vAlign w:val="bottom"/>
          </w:tcPr>
          <w:p w:rsidR="0055363C" w:rsidRPr="005C43A1" w:rsidRDefault="0055363C" w:rsidP="00522AD4">
            <w:pPr>
              <w:keepNext/>
              <w:spacing w:before="60" w:after="60"/>
              <w:rPr>
                <w:b/>
                <w:sz w:val="22"/>
              </w:rPr>
            </w:pPr>
            <w:r w:rsidRPr="005C43A1">
              <w:rPr>
                <w:b/>
                <w:sz w:val="22"/>
              </w:rPr>
              <w:t>Expected Timeline</w:t>
            </w:r>
          </w:p>
        </w:tc>
      </w:tr>
      <w:tr w:rsidR="0055363C" w:rsidRPr="005C43A1" w:rsidTr="003E32D9">
        <w:trPr>
          <w:cantSplit/>
        </w:trPr>
        <w:tc>
          <w:tcPr>
            <w:tcW w:w="4619" w:type="dxa"/>
            <w:tcBorders>
              <w:top w:val="single" w:sz="6" w:space="0" w:color="auto"/>
              <w:bottom w:val="nil"/>
            </w:tcBorders>
          </w:tcPr>
          <w:p w:rsidR="003E32D9" w:rsidRPr="005C43A1" w:rsidRDefault="0055363C" w:rsidP="00522AD4">
            <w:pPr>
              <w:keepNext/>
              <w:spacing w:before="60" w:after="60"/>
              <w:rPr>
                <w:sz w:val="22"/>
              </w:rPr>
            </w:pPr>
            <w:r w:rsidRPr="005C43A1">
              <w:rPr>
                <w:sz w:val="22"/>
              </w:rPr>
              <w:t>Development of final version of the Web-based CTG-CSI based on OMB comments</w:t>
            </w:r>
          </w:p>
        </w:tc>
        <w:tc>
          <w:tcPr>
            <w:tcW w:w="4741" w:type="dxa"/>
            <w:tcBorders>
              <w:top w:val="single" w:sz="6" w:space="0" w:color="auto"/>
              <w:bottom w:val="nil"/>
            </w:tcBorders>
          </w:tcPr>
          <w:p w:rsidR="0055363C" w:rsidRPr="005C43A1" w:rsidRDefault="0055363C" w:rsidP="00522AD4">
            <w:pPr>
              <w:keepNext/>
              <w:spacing w:before="60" w:after="60"/>
              <w:rPr>
                <w:sz w:val="22"/>
              </w:rPr>
            </w:pPr>
            <w:r w:rsidRPr="005C43A1">
              <w:rPr>
                <w:sz w:val="22"/>
              </w:rPr>
              <w:t>November</w:t>
            </w:r>
            <w:r w:rsidR="00C05817" w:rsidRPr="005C43A1">
              <w:rPr>
                <w:sz w:val="22"/>
              </w:rPr>
              <w:t xml:space="preserve"> </w:t>
            </w:r>
            <w:r w:rsidRPr="005C43A1">
              <w:rPr>
                <w:sz w:val="22"/>
              </w:rPr>
              <w:t>2011 -</w:t>
            </w:r>
            <w:r w:rsidR="00BA0F3D">
              <w:rPr>
                <w:sz w:val="22"/>
              </w:rPr>
              <w:t xml:space="preserve"> </w:t>
            </w:r>
            <w:r w:rsidRPr="005C43A1">
              <w:rPr>
                <w:sz w:val="22"/>
              </w:rPr>
              <w:t xml:space="preserve">June 2012 </w:t>
            </w:r>
          </w:p>
        </w:tc>
      </w:tr>
      <w:tr w:rsidR="003E32D9" w:rsidRPr="005C43A1" w:rsidTr="003E32D9">
        <w:trPr>
          <w:cantSplit/>
        </w:trPr>
        <w:tc>
          <w:tcPr>
            <w:tcW w:w="4619" w:type="dxa"/>
            <w:tcBorders>
              <w:top w:val="nil"/>
              <w:bottom w:val="nil"/>
            </w:tcBorders>
          </w:tcPr>
          <w:p w:rsidR="003E32D9" w:rsidRPr="005C43A1" w:rsidRDefault="003E32D9" w:rsidP="00522AD4">
            <w:pPr>
              <w:keepNext/>
              <w:spacing w:before="60" w:after="60"/>
              <w:rPr>
                <w:sz w:val="22"/>
              </w:rPr>
            </w:pPr>
            <w:r>
              <w:rPr>
                <w:sz w:val="22"/>
              </w:rPr>
              <w:t>Receive OMB Approval</w:t>
            </w:r>
          </w:p>
        </w:tc>
        <w:tc>
          <w:tcPr>
            <w:tcW w:w="4741" w:type="dxa"/>
            <w:tcBorders>
              <w:top w:val="nil"/>
              <w:bottom w:val="nil"/>
            </w:tcBorders>
          </w:tcPr>
          <w:p w:rsidR="003E32D9" w:rsidRPr="005C43A1" w:rsidRDefault="003E32D9" w:rsidP="00522AD4">
            <w:pPr>
              <w:keepNext/>
              <w:spacing w:before="60" w:after="60"/>
              <w:rPr>
                <w:sz w:val="22"/>
              </w:rPr>
            </w:pPr>
            <w:r>
              <w:rPr>
                <w:sz w:val="22"/>
              </w:rPr>
              <w:t>June 1, 2012</w:t>
            </w:r>
          </w:p>
        </w:tc>
      </w:tr>
      <w:tr w:rsidR="0055363C" w:rsidRPr="005C43A1" w:rsidTr="003E32D9">
        <w:trPr>
          <w:cantSplit/>
        </w:trPr>
        <w:tc>
          <w:tcPr>
            <w:tcW w:w="4619" w:type="dxa"/>
            <w:tcBorders>
              <w:top w:val="nil"/>
            </w:tcBorders>
          </w:tcPr>
          <w:p w:rsidR="0055363C" w:rsidRPr="005C43A1" w:rsidRDefault="0055363C" w:rsidP="00522AD4">
            <w:pPr>
              <w:keepNext/>
              <w:spacing w:before="60" w:after="60"/>
              <w:rPr>
                <w:sz w:val="22"/>
              </w:rPr>
            </w:pPr>
            <w:r w:rsidRPr="005C43A1">
              <w:rPr>
                <w:sz w:val="22"/>
              </w:rPr>
              <w:t>Technical assistance</w:t>
            </w:r>
          </w:p>
        </w:tc>
        <w:tc>
          <w:tcPr>
            <w:tcW w:w="4741" w:type="dxa"/>
            <w:tcBorders>
              <w:top w:val="nil"/>
            </w:tcBorders>
          </w:tcPr>
          <w:p w:rsidR="0055363C" w:rsidRPr="005C43A1" w:rsidRDefault="0055363C" w:rsidP="00522AD4">
            <w:pPr>
              <w:keepNext/>
              <w:spacing w:before="60" w:after="60"/>
              <w:rPr>
                <w:sz w:val="22"/>
              </w:rPr>
            </w:pPr>
            <w:r w:rsidRPr="005C43A1">
              <w:rPr>
                <w:sz w:val="22"/>
              </w:rPr>
              <w:t>Ongoing, concentrated during the first and subsequent quarterly data collections</w:t>
            </w:r>
          </w:p>
        </w:tc>
      </w:tr>
      <w:tr w:rsidR="0055363C" w:rsidRPr="005C43A1" w:rsidTr="00522AD4">
        <w:trPr>
          <w:cantSplit/>
        </w:trPr>
        <w:tc>
          <w:tcPr>
            <w:tcW w:w="4619" w:type="dxa"/>
          </w:tcPr>
          <w:p w:rsidR="0055363C" w:rsidRPr="005C43A1" w:rsidRDefault="0055363C" w:rsidP="00522AD4">
            <w:pPr>
              <w:keepNext/>
              <w:spacing w:before="60" w:after="60"/>
              <w:rPr>
                <w:sz w:val="22"/>
              </w:rPr>
            </w:pPr>
            <w:r w:rsidRPr="005C43A1">
              <w:rPr>
                <w:sz w:val="22"/>
              </w:rPr>
              <w:t>Quarterly data collections</w:t>
            </w:r>
          </w:p>
        </w:tc>
        <w:tc>
          <w:tcPr>
            <w:tcW w:w="4741" w:type="dxa"/>
          </w:tcPr>
          <w:p w:rsidR="0055363C" w:rsidRPr="005C43A1" w:rsidRDefault="0055363C" w:rsidP="00522AD4">
            <w:pPr>
              <w:keepNext/>
              <w:spacing w:before="60" w:after="60"/>
              <w:rPr>
                <w:sz w:val="22"/>
              </w:rPr>
            </w:pPr>
            <w:r w:rsidRPr="005C43A1">
              <w:rPr>
                <w:sz w:val="22"/>
              </w:rPr>
              <w:t>1st data collection: July 2012</w:t>
            </w:r>
          </w:p>
          <w:p w:rsidR="0055363C" w:rsidRPr="005C43A1" w:rsidRDefault="0055363C" w:rsidP="00522AD4">
            <w:pPr>
              <w:keepNext/>
              <w:spacing w:before="60" w:after="60"/>
              <w:rPr>
                <w:sz w:val="22"/>
              </w:rPr>
            </w:pPr>
            <w:r w:rsidRPr="005C43A1">
              <w:rPr>
                <w:sz w:val="22"/>
              </w:rPr>
              <w:t>2nd–17th data collections: within 60 days of quarter end (15 days after CTG quarterly reports due date)</w:t>
            </w:r>
          </w:p>
          <w:p w:rsidR="0055363C" w:rsidRPr="005C43A1" w:rsidRDefault="0055363C" w:rsidP="00522AD4">
            <w:pPr>
              <w:keepNext/>
              <w:spacing w:before="60" w:after="60"/>
              <w:rPr>
                <w:sz w:val="22"/>
              </w:rPr>
            </w:pPr>
            <w:r w:rsidRPr="005C43A1">
              <w:rPr>
                <w:sz w:val="22"/>
              </w:rPr>
              <w:t>18th (last) data collection: July 2016</w:t>
            </w:r>
          </w:p>
        </w:tc>
      </w:tr>
      <w:tr w:rsidR="0055363C" w:rsidRPr="005C43A1" w:rsidTr="00522AD4">
        <w:trPr>
          <w:cantSplit/>
        </w:trPr>
        <w:tc>
          <w:tcPr>
            <w:tcW w:w="4619" w:type="dxa"/>
          </w:tcPr>
          <w:p w:rsidR="0055363C" w:rsidRPr="005C43A1" w:rsidRDefault="0055363C" w:rsidP="00522AD4">
            <w:pPr>
              <w:keepNext/>
              <w:spacing w:before="60" w:after="60"/>
              <w:rPr>
                <w:sz w:val="22"/>
              </w:rPr>
            </w:pPr>
            <w:r w:rsidRPr="005C43A1">
              <w:rPr>
                <w:sz w:val="22"/>
              </w:rPr>
              <w:t xml:space="preserve">Interim quarterly cost analyses </w:t>
            </w:r>
          </w:p>
        </w:tc>
        <w:tc>
          <w:tcPr>
            <w:tcW w:w="4741" w:type="dxa"/>
          </w:tcPr>
          <w:p w:rsidR="0055363C" w:rsidRPr="005C43A1" w:rsidRDefault="0055363C" w:rsidP="00522AD4">
            <w:pPr>
              <w:keepNext/>
              <w:spacing w:before="60" w:after="60"/>
              <w:rPr>
                <w:sz w:val="22"/>
              </w:rPr>
            </w:pPr>
            <w:r w:rsidRPr="005C43A1">
              <w:rPr>
                <w:sz w:val="22"/>
              </w:rPr>
              <w:t>Within 1 month of quarterly data collection</w:t>
            </w:r>
          </w:p>
        </w:tc>
      </w:tr>
      <w:tr w:rsidR="0055363C" w:rsidRPr="005C43A1" w:rsidTr="00522AD4">
        <w:trPr>
          <w:cantSplit/>
        </w:trPr>
        <w:tc>
          <w:tcPr>
            <w:tcW w:w="4619" w:type="dxa"/>
          </w:tcPr>
          <w:p w:rsidR="0055363C" w:rsidRPr="005C43A1" w:rsidRDefault="0055363C" w:rsidP="00522AD4">
            <w:pPr>
              <w:spacing w:before="60" w:after="60"/>
              <w:rPr>
                <w:sz w:val="22"/>
              </w:rPr>
            </w:pPr>
            <w:r w:rsidRPr="005C43A1">
              <w:rPr>
                <w:sz w:val="22"/>
              </w:rPr>
              <w:t>Final cost data analysis, updates of</w:t>
            </w:r>
            <w:r w:rsidR="006A6E83">
              <w:rPr>
                <w:sz w:val="22"/>
              </w:rPr>
              <w:t xml:space="preserve"> the system dynamics</w:t>
            </w:r>
            <w:r w:rsidRPr="005C43A1">
              <w:rPr>
                <w:sz w:val="22"/>
              </w:rPr>
              <w:t xml:space="preserve"> model using cost data for cost</w:t>
            </w:r>
            <w:r w:rsidR="00450243">
              <w:rPr>
                <w:sz w:val="22"/>
              </w:rPr>
              <w:t>-</w:t>
            </w:r>
            <w:r w:rsidRPr="005C43A1">
              <w:rPr>
                <w:sz w:val="22"/>
              </w:rPr>
              <w:t>effectiveness and health and cost benefit analyses, report, and publications</w:t>
            </w:r>
          </w:p>
        </w:tc>
        <w:tc>
          <w:tcPr>
            <w:tcW w:w="4741" w:type="dxa"/>
          </w:tcPr>
          <w:p w:rsidR="0055363C" w:rsidRPr="005C43A1" w:rsidRDefault="0055363C" w:rsidP="00522AD4">
            <w:pPr>
              <w:spacing w:before="60" w:after="60"/>
              <w:rPr>
                <w:sz w:val="22"/>
              </w:rPr>
            </w:pPr>
            <w:r w:rsidRPr="005C43A1">
              <w:rPr>
                <w:sz w:val="22"/>
              </w:rPr>
              <w:t>Within 3 months of last data collection</w:t>
            </w:r>
          </w:p>
        </w:tc>
      </w:tr>
    </w:tbl>
    <w:p w:rsidR="00495ADF" w:rsidRPr="005C43A1" w:rsidRDefault="00495ADF" w:rsidP="006E2440">
      <w:pPr>
        <w:pStyle w:val="Heading2"/>
      </w:pPr>
      <w:bookmarkStart w:id="58" w:name="_Toc317196276"/>
      <w:r w:rsidRPr="005C43A1">
        <w:t>A.17</w:t>
      </w:r>
      <w:r w:rsidRPr="005C43A1">
        <w:tab/>
      </w:r>
      <w:bookmarkStart w:id="59" w:name="_Toc88033484"/>
      <w:bookmarkEnd w:id="53"/>
      <w:r w:rsidRPr="005C43A1">
        <w:t>Reason(s) Display of OMB Expiration Date Is Inappropriate</w:t>
      </w:r>
      <w:bookmarkEnd w:id="58"/>
    </w:p>
    <w:p w:rsidR="0055363C" w:rsidRPr="005C43A1" w:rsidRDefault="0055363C" w:rsidP="00E427A6">
      <w:pPr>
        <w:pStyle w:val="BodyText1"/>
      </w:pPr>
      <w:r w:rsidRPr="005C43A1">
        <w:t>No request for an exemption from displaying the expiration date for OMB approval is being sought.</w:t>
      </w:r>
    </w:p>
    <w:p w:rsidR="00495ADF" w:rsidRPr="005C43A1" w:rsidRDefault="00495ADF" w:rsidP="006E2440">
      <w:pPr>
        <w:pStyle w:val="Heading2"/>
      </w:pPr>
      <w:bookmarkStart w:id="60" w:name="_Toc317196277"/>
      <w:r w:rsidRPr="005C43A1">
        <w:t>A.18</w:t>
      </w:r>
      <w:r w:rsidRPr="005C43A1">
        <w:tab/>
      </w:r>
      <w:bookmarkEnd w:id="59"/>
      <w:r w:rsidRPr="005C43A1">
        <w:t>Exceptions to Certification for Paperwork Reduction Act Submissions</w:t>
      </w:r>
      <w:bookmarkEnd w:id="60"/>
    </w:p>
    <w:p w:rsidR="00495ADF" w:rsidRPr="005C43A1" w:rsidRDefault="00C15D06" w:rsidP="00522AD4">
      <w:pPr>
        <w:pStyle w:val="BodyText1"/>
      </w:pPr>
      <w:r w:rsidRPr="00450552">
        <w:rPr>
          <w:szCs w:val="24"/>
        </w:rPr>
        <w:t>There are no exceptions to the certification.</w:t>
      </w:r>
      <w:r w:rsidRPr="005C43A1" w:rsidDel="00C15D06">
        <w:t xml:space="preserve"> </w:t>
      </w:r>
    </w:p>
    <w:p w:rsidR="004920B6" w:rsidRPr="005C43A1" w:rsidRDefault="006E2440" w:rsidP="00F20A34">
      <w:pPr>
        <w:pStyle w:val="Heading1"/>
      </w:pPr>
      <w:bookmarkStart w:id="61" w:name="_Toc8007688"/>
      <w:bookmarkStart w:id="62" w:name="_Toc88033485"/>
      <w:r w:rsidRPr="005C43A1">
        <w:br w:type="page"/>
      </w:r>
      <w:bookmarkEnd w:id="61"/>
      <w:bookmarkEnd w:id="62"/>
      <w:r w:rsidR="00167B9C" w:rsidRPr="005C43A1">
        <w:rPr>
          <w:color w:val="000000"/>
        </w:rPr>
        <w:lastRenderedPageBreak/>
        <w:t xml:space="preserve"> </w:t>
      </w:r>
      <w:bookmarkStart w:id="63" w:name="_Toc88033509"/>
      <w:bookmarkStart w:id="64" w:name="_Toc317196278"/>
      <w:r w:rsidR="004920B6" w:rsidRPr="005C43A1">
        <w:t>References</w:t>
      </w:r>
      <w:bookmarkEnd w:id="63"/>
      <w:bookmarkEnd w:id="64"/>
    </w:p>
    <w:p w:rsidR="001F2D0D" w:rsidRDefault="001F2D0D" w:rsidP="001F2D0D">
      <w:pPr>
        <w:pStyle w:val="biblio"/>
      </w:pPr>
      <w:r>
        <w:t xml:space="preserve">Homer, J., Milstein, B., Wile, K., et al. (2010). Simulating and evaluating local interventions to improve cardiovascular health. </w:t>
      </w:r>
      <w:r w:rsidRPr="00A57FFA">
        <w:rPr>
          <w:i/>
        </w:rPr>
        <w:t>Preventing Chronic Disease</w:t>
      </w:r>
      <w:r>
        <w:t xml:space="preserve">, 7(1). Retrieved March 30, 2010, from </w:t>
      </w:r>
      <w:hyperlink r:id="rId13" w:history="1">
        <w:r w:rsidRPr="00A57FFA">
          <w:rPr>
            <w:rStyle w:val="Hyperlink"/>
          </w:rPr>
          <w:t>http://www.cdc.gov/pcd/issues/2010/jan/08_0231.htm</w:t>
        </w:r>
      </w:hyperlink>
      <w:r w:rsidRPr="00D21F8F">
        <w:t>.</w:t>
      </w:r>
    </w:p>
    <w:p w:rsidR="001F2D0D" w:rsidRDefault="001F2D0D" w:rsidP="001F2D0D">
      <w:pPr>
        <w:pStyle w:val="biblio"/>
      </w:pPr>
      <w:r>
        <w:t xml:space="preserve">Homer, J., Milstein, B., Wile, K., Pratibhu, P., Farris, R., &amp; Orenstein, D. (2008). Modeling the local dynamics of cardiovascular health: risk factors, context, and capacity. </w:t>
      </w:r>
      <w:r w:rsidRPr="00A57FFA">
        <w:rPr>
          <w:i/>
        </w:rPr>
        <w:t>Preventing Chronic Disease</w:t>
      </w:r>
      <w:r>
        <w:t>, 5(2). Retrieved March 30, 2010, from</w:t>
      </w:r>
      <w:r w:rsidR="00B90298">
        <w:t xml:space="preserve"> </w:t>
      </w:r>
      <w:hyperlink r:id="rId14" w:history="1">
        <w:r w:rsidRPr="00A57FFA">
          <w:rPr>
            <w:rStyle w:val="Hyperlink"/>
          </w:rPr>
          <w:t>http://www.cdc.gov/pcd/issues/2008/apr/07_0230.htm</w:t>
        </w:r>
      </w:hyperlink>
      <w:r>
        <w:t>.</w:t>
      </w:r>
    </w:p>
    <w:p w:rsidR="00522AD4" w:rsidRPr="005C43A1" w:rsidRDefault="00522AD4" w:rsidP="00D43BE8">
      <w:pPr>
        <w:pStyle w:val="biblio"/>
      </w:pPr>
      <w:r w:rsidRPr="005C43A1">
        <w:t>French</w:t>
      </w:r>
      <w:r w:rsidR="00D43BE8" w:rsidRPr="005C43A1">
        <w:t>,</w:t>
      </w:r>
      <w:r w:rsidRPr="005C43A1">
        <w:t xml:space="preserve"> M</w:t>
      </w:r>
      <w:r w:rsidR="00D43BE8" w:rsidRPr="005C43A1">
        <w:t>. </w:t>
      </w:r>
      <w:r w:rsidRPr="005C43A1">
        <w:t>T</w:t>
      </w:r>
      <w:r w:rsidR="00D43BE8" w:rsidRPr="005C43A1">
        <w:t>.</w:t>
      </w:r>
      <w:r w:rsidRPr="005C43A1">
        <w:t>, Roebuck</w:t>
      </w:r>
      <w:r w:rsidR="00D43BE8" w:rsidRPr="005C43A1">
        <w:t>,</w:t>
      </w:r>
      <w:r w:rsidRPr="005C43A1">
        <w:t xml:space="preserve"> M</w:t>
      </w:r>
      <w:r w:rsidR="00D43BE8" w:rsidRPr="005C43A1">
        <w:t>. </w:t>
      </w:r>
      <w:r w:rsidRPr="005C43A1">
        <w:t>C</w:t>
      </w:r>
      <w:r w:rsidR="00D43BE8" w:rsidRPr="005C43A1">
        <w:t>.</w:t>
      </w:r>
      <w:r w:rsidRPr="005C43A1">
        <w:t xml:space="preserve">, </w:t>
      </w:r>
      <w:r w:rsidR="00D43BE8" w:rsidRPr="005C43A1">
        <w:t xml:space="preserve">&amp; </w:t>
      </w:r>
      <w:r w:rsidRPr="005C43A1">
        <w:t>McLellan</w:t>
      </w:r>
      <w:r w:rsidR="00D43BE8" w:rsidRPr="005C43A1">
        <w:t>,</w:t>
      </w:r>
      <w:r w:rsidRPr="005C43A1">
        <w:t xml:space="preserve"> A</w:t>
      </w:r>
      <w:r w:rsidR="00D43BE8" w:rsidRPr="005C43A1">
        <w:t>. </w:t>
      </w:r>
      <w:r w:rsidRPr="005C43A1">
        <w:t xml:space="preserve">T. </w:t>
      </w:r>
      <w:r w:rsidR="00D43BE8" w:rsidRPr="005C43A1">
        <w:t xml:space="preserve">(2004). </w:t>
      </w:r>
      <w:r w:rsidRPr="005C43A1">
        <w:t xml:space="preserve">Cost estimation when time and resources are limited: the Brief DATCAP. </w:t>
      </w:r>
      <w:r w:rsidRPr="005C43A1">
        <w:rPr>
          <w:i/>
          <w:iCs/>
        </w:rPr>
        <w:t>Journal of Substance Abuse Treatment</w:t>
      </w:r>
      <w:r w:rsidR="00D43BE8" w:rsidRPr="005C43A1">
        <w:rPr>
          <w:i/>
          <w:iCs/>
        </w:rPr>
        <w:t>,</w:t>
      </w:r>
      <w:r w:rsidRPr="005C43A1">
        <w:t xml:space="preserve"> </w:t>
      </w:r>
      <w:r w:rsidR="00D43BE8" w:rsidRPr="005C43A1">
        <w:rPr>
          <w:i/>
        </w:rPr>
        <w:t>27</w:t>
      </w:r>
      <w:r w:rsidR="00D43BE8" w:rsidRPr="005C43A1">
        <w:t>(</w:t>
      </w:r>
      <w:r w:rsidRPr="005C43A1">
        <w:t>3)</w:t>
      </w:r>
      <w:r w:rsidR="00D43BE8" w:rsidRPr="005C43A1">
        <w:t xml:space="preserve">, </w:t>
      </w:r>
      <w:r w:rsidRPr="005C43A1">
        <w:t>187</w:t>
      </w:r>
      <w:r w:rsidR="00D43BE8" w:rsidRPr="005C43A1">
        <w:t>–1</w:t>
      </w:r>
      <w:r w:rsidRPr="005C43A1">
        <w:t>93.</w:t>
      </w:r>
    </w:p>
    <w:p w:rsidR="00522AD4" w:rsidRPr="005C43A1" w:rsidRDefault="00522AD4" w:rsidP="00D43BE8">
      <w:pPr>
        <w:pStyle w:val="biblio"/>
      </w:pPr>
      <w:r w:rsidRPr="005C43A1">
        <w:t>Zarkin</w:t>
      </w:r>
      <w:r w:rsidR="00D43BE8" w:rsidRPr="005C43A1">
        <w:t>,</w:t>
      </w:r>
      <w:r w:rsidRPr="005C43A1">
        <w:t xml:space="preserve"> G</w:t>
      </w:r>
      <w:r w:rsidR="00D43BE8" w:rsidRPr="005C43A1">
        <w:t>. </w:t>
      </w:r>
      <w:r w:rsidRPr="005C43A1">
        <w:t>A</w:t>
      </w:r>
      <w:r w:rsidR="00D43BE8" w:rsidRPr="005C43A1">
        <w:t>.</w:t>
      </w:r>
      <w:r w:rsidRPr="005C43A1">
        <w:t>, Lindrooth</w:t>
      </w:r>
      <w:r w:rsidR="00D43BE8" w:rsidRPr="005C43A1">
        <w:t>,</w:t>
      </w:r>
      <w:r w:rsidRPr="005C43A1">
        <w:t xml:space="preserve"> R</w:t>
      </w:r>
      <w:r w:rsidR="00D43BE8" w:rsidRPr="005C43A1">
        <w:t>. </w:t>
      </w:r>
      <w:r w:rsidRPr="005C43A1">
        <w:t>C</w:t>
      </w:r>
      <w:r w:rsidR="00D43BE8" w:rsidRPr="005C43A1">
        <w:t>.</w:t>
      </w:r>
      <w:r w:rsidRPr="005C43A1">
        <w:t>, Demiralp</w:t>
      </w:r>
      <w:r w:rsidR="00D43BE8" w:rsidRPr="005C43A1">
        <w:t>,</w:t>
      </w:r>
      <w:r w:rsidRPr="005C43A1">
        <w:t xml:space="preserve"> B</w:t>
      </w:r>
      <w:r w:rsidR="00D43BE8" w:rsidRPr="005C43A1">
        <w:t>.</w:t>
      </w:r>
      <w:r w:rsidRPr="005C43A1">
        <w:t xml:space="preserve">, </w:t>
      </w:r>
      <w:r w:rsidR="00D43BE8" w:rsidRPr="005C43A1">
        <w:t xml:space="preserve">&amp; </w:t>
      </w:r>
      <w:r w:rsidRPr="005C43A1">
        <w:t>Wechsberg</w:t>
      </w:r>
      <w:r w:rsidR="00D43BE8" w:rsidRPr="005C43A1">
        <w:t>,</w:t>
      </w:r>
      <w:r w:rsidRPr="005C43A1">
        <w:t xml:space="preserve"> W. </w:t>
      </w:r>
      <w:r w:rsidR="00D43BE8" w:rsidRPr="005C43A1">
        <w:t xml:space="preserve">(2001). </w:t>
      </w:r>
      <w:r w:rsidRPr="005C43A1">
        <w:t xml:space="preserve">The cost and cost-effectiveness of an enhanced intervention for people with substance abuse problems at risk for HIV. </w:t>
      </w:r>
      <w:r w:rsidR="00D43BE8" w:rsidRPr="005C43A1">
        <w:rPr>
          <w:i/>
          <w:iCs/>
        </w:rPr>
        <w:t>Health Services Research,</w:t>
      </w:r>
      <w:r w:rsidRPr="005C43A1">
        <w:rPr>
          <w:i/>
          <w:iCs/>
        </w:rPr>
        <w:t xml:space="preserve"> </w:t>
      </w:r>
      <w:r w:rsidRPr="005C43A1">
        <w:rPr>
          <w:i/>
        </w:rPr>
        <w:t>36</w:t>
      </w:r>
      <w:r w:rsidRPr="005C43A1">
        <w:t>(2)</w:t>
      </w:r>
      <w:r w:rsidR="00D43BE8" w:rsidRPr="005C43A1">
        <w:t xml:space="preserve">, </w:t>
      </w:r>
      <w:r w:rsidRPr="005C43A1">
        <w:t>335</w:t>
      </w:r>
      <w:r w:rsidR="00D43BE8" w:rsidRPr="005C43A1">
        <w:t>–3</w:t>
      </w:r>
      <w:r w:rsidRPr="005C43A1">
        <w:t>55.</w:t>
      </w:r>
    </w:p>
    <w:p w:rsidR="00522AD4" w:rsidRPr="005C43A1" w:rsidRDefault="00522AD4" w:rsidP="00D43BE8">
      <w:pPr>
        <w:pStyle w:val="biblio"/>
      </w:pPr>
      <w:r w:rsidRPr="005C43A1">
        <w:t>Salome</w:t>
      </w:r>
      <w:r w:rsidR="00D43BE8" w:rsidRPr="005C43A1">
        <w:t>,</w:t>
      </w:r>
      <w:r w:rsidRPr="005C43A1">
        <w:t xml:space="preserve"> H</w:t>
      </w:r>
      <w:r w:rsidR="00D43BE8" w:rsidRPr="005C43A1">
        <w:t>. </w:t>
      </w:r>
      <w:r w:rsidRPr="005C43A1">
        <w:t>J</w:t>
      </w:r>
      <w:r w:rsidR="00D43BE8" w:rsidRPr="005C43A1">
        <w:t>.</w:t>
      </w:r>
      <w:r w:rsidRPr="005C43A1">
        <w:t xml:space="preserve">, </w:t>
      </w:r>
      <w:r w:rsidR="00D43BE8" w:rsidRPr="005C43A1">
        <w:t xml:space="preserve">&amp; </w:t>
      </w:r>
      <w:r w:rsidRPr="005C43A1">
        <w:t>French</w:t>
      </w:r>
      <w:r w:rsidR="00D43BE8" w:rsidRPr="005C43A1">
        <w:t>,</w:t>
      </w:r>
      <w:r w:rsidRPr="005C43A1">
        <w:t xml:space="preserve"> M</w:t>
      </w:r>
      <w:r w:rsidR="00D43BE8" w:rsidRPr="005C43A1">
        <w:t>. </w:t>
      </w:r>
      <w:r w:rsidRPr="005C43A1">
        <w:t xml:space="preserve">T. </w:t>
      </w:r>
      <w:r w:rsidR="00D43BE8" w:rsidRPr="005C43A1">
        <w:t xml:space="preserve">(2001). </w:t>
      </w:r>
      <w:r w:rsidRPr="005C43A1">
        <w:t xml:space="preserve">Using cost and financing instruments for economic evaluation of substance abuse treatment services. </w:t>
      </w:r>
      <w:r w:rsidRPr="005C43A1">
        <w:rPr>
          <w:i/>
          <w:iCs/>
        </w:rPr>
        <w:t>Recent Dev</w:t>
      </w:r>
      <w:r w:rsidR="00822461" w:rsidRPr="005C43A1">
        <w:rPr>
          <w:i/>
          <w:iCs/>
        </w:rPr>
        <w:t>elopments in</w:t>
      </w:r>
      <w:r w:rsidRPr="005C43A1">
        <w:rPr>
          <w:i/>
          <w:iCs/>
        </w:rPr>
        <w:t xml:space="preserve"> Alcohol</w:t>
      </w:r>
      <w:r w:rsidR="00822461" w:rsidRPr="005C43A1">
        <w:rPr>
          <w:i/>
          <w:iCs/>
        </w:rPr>
        <w:t>ism</w:t>
      </w:r>
      <w:r w:rsidR="00D43BE8" w:rsidRPr="005C43A1">
        <w:t xml:space="preserve">, </w:t>
      </w:r>
      <w:r w:rsidRPr="005C43A1">
        <w:rPr>
          <w:i/>
        </w:rPr>
        <w:t>15</w:t>
      </w:r>
      <w:r w:rsidR="00D43BE8" w:rsidRPr="005C43A1">
        <w:t xml:space="preserve">, </w:t>
      </w:r>
      <w:r w:rsidRPr="005C43A1">
        <w:t>253</w:t>
      </w:r>
      <w:r w:rsidR="00D43BE8" w:rsidRPr="005C43A1">
        <w:t>–2</w:t>
      </w:r>
      <w:r w:rsidRPr="005C43A1">
        <w:t>69.</w:t>
      </w:r>
    </w:p>
    <w:p w:rsidR="00522AD4" w:rsidRPr="005C43A1" w:rsidRDefault="00522AD4" w:rsidP="00D43BE8">
      <w:pPr>
        <w:pStyle w:val="biblio"/>
      </w:pPr>
      <w:r w:rsidRPr="005C43A1">
        <w:t>Subramanian</w:t>
      </w:r>
      <w:r w:rsidR="00D43BE8" w:rsidRPr="005C43A1">
        <w:t>,</w:t>
      </w:r>
      <w:r w:rsidRPr="005C43A1">
        <w:t xml:space="preserve"> S</w:t>
      </w:r>
      <w:r w:rsidR="00D43BE8" w:rsidRPr="005C43A1">
        <w:t>.</w:t>
      </w:r>
      <w:r w:rsidRPr="005C43A1">
        <w:t>, Ekwueme</w:t>
      </w:r>
      <w:r w:rsidR="00D43BE8" w:rsidRPr="005C43A1">
        <w:t>,</w:t>
      </w:r>
      <w:r w:rsidRPr="005C43A1">
        <w:t xml:space="preserve"> D</w:t>
      </w:r>
      <w:r w:rsidR="00D43BE8" w:rsidRPr="005C43A1">
        <w:t>. </w:t>
      </w:r>
      <w:r w:rsidRPr="005C43A1">
        <w:t>U</w:t>
      </w:r>
      <w:r w:rsidR="00D43BE8" w:rsidRPr="005C43A1">
        <w:t>.</w:t>
      </w:r>
      <w:r w:rsidRPr="005C43A1">
        <w:t>, Gardner</w:t>
      </w:r>
      <w:r w:rsidR="00D43BE8" w:rsidRPr="005C43A1">
        <w:t>,</w:t>
      </w:r>
      <w:r w:rsidRPr="005C43A1">
        <w:t xml:space="preserve"> J</w:t>
      </w:r>
      <w:r w:rsidR="00D43BE8" w:rsidRPr="005C43A1">
        <w:t>. </w:t>
      </w:r>
      <w:r w:rsidRPr="005C43A1">
        <w:t>G</w:t>
      </w:r>
      <w:r w:rsidR="00D43BE8" w:rsidRPr="005C43A1">
        <w:t>.</w:t>
      </w:r>
      <w:r w:rsidRPr="005C43A1">
        <w:t xml:space="preserve">, </w:t>
      </w:r>
      <w:r w:rsidR="00D43BE8" w:rsidRPr="005C43A1">
        <w:t xml:space="preserve">&amp; </w:t>
      </w:r>
      <w:r w:rsidRPr="005C43A1">
        <w:t>Trogdon</w:t>
      </w:r>
      <w:r w:rsidR="00D43BE8" w:rsidRPr="005C43A1">
        <w:t>,</w:t>
      </w:r>
      <w:r w:rsidRPr="005C43A1">
        <w:t xml:space="preserve"> J. </w:t>
      </w:r>
      <w:r w:rsidR="00D43BE8" w:rsidRPr="005C43A1">
        <w:t xml:space="preserve">(2009, September). </w:t>
      </w:r>
      <w:r w:rsidRPr="005C43A1">
        <w:t xml:space="preserve">Developing and testing a cost-assessment tool for cancer screening programs. </w:t>
      </w:r>
      <w:r w:rsidR="00D43BE8" w:rsidRPr="005C43A1">
        <w:rPr>
          <w:rStyle w:val="journalname"/>
          <w:i/>
        </w:rPr>
        <w:t>American Journal of Preventive Medicine</w:t>
      </w:r>
      <w:r w:rsidR="00D43BE8" w:rsidRPr="005C43A1">
        <w:t>,</w:t>
      </w:r>
      <w:r w:rsidRPr="005C43A1">
        <w:t xml:space="preserve"> </w:t>
      </w:r>
      <w:r w:rsidRPr="005C43A1">
        <w:rPr>
          <w:i/>
        </w:rPr>
        <w:t>37</w:t>
      </w:r>
      <w:r w:rsidRPr="005C43A1">
        <w:t>(3)</w:t>
      </w:r>
      <w:r w:rsidR="00D43BE8" w:rsidRPr="005C43A1">
        <w:t xml:space="preserve">, </w:t>
      </w:r>
      <w:r w:rsidRPr="005C43A1">
        <w:t>242</w:t>
      </w:r>
      <w:r w:rsidR="00D43BE8" w:rsidRPr="005C43A1">
        <w:t>–24</w:t>
      </w:r>
      <w:r w:rsidRPr="005C43A1">
        <w:t>7.</w:t>
      </w:r>
    </w:p>
    <w:p w:rsidR="00522AD4" w:rsidRPr="005C43A1" w:rsidRDefault="00522AD4" w:rsidP="00D43BE8">
      <w:pPr>
        <w:pStyle w:val="biblio"/>
      </w:pPr>
      <w:r w:rsidRPr="005C43A1">
        <w:rPr>
          <w:color w:val="000000"/>
        </w:rPr>
        <w:t>Ekwueme</w:t>
      </w:r>
      <w:r w:rsidR="00D43BE8" w:rsidRPr="005C43A1">
        <w:rPr>
          <w:color w:val="000000"/>
        </w:rPr>
        <w:t>,</w:t>
      </w:r>
      <w:r w:rsidRPr="005C43A1">
        <w:rPr>
          <w:color w:val="000000"/>
        </w:rPr>
        <w:t xml:space="preserve"> D</w:t>
      </w:r>
      <w:r w:rsidR="00D43BE8" w:rsidRPr="005C43A1">
        <w:rPr>
          <w:color w:val="000000"/>
        </w:rPr>
        <w:t>. </w:t>
      </w:r>
      <w:r w:rsidRPr="005C43A1">
        <w:rPr>
          <w:color w:val="000000"/>
        </w:rPr>
        <w:t>U</w:t>
      </w:r>
      <w:r w:rsidR="00D43BE8" w:rsidRPr="005C43A1">
        <w:rPr>
          <w:color w:val="000000"/>
        </w:rPr>
        <w:t>.</w:t>
      </w:r>
      <w:r w:rsidRPr="005C43A1">
        <w:rPr>
          <w:color w:val="000000"/>
        </w:rPr>
        <w:t>, Gardner</w:t>
      </w:r>
      <w:r w:rsidR="00D43BE8" w:rsidRPr="005C43A1">
        <w:rPr>
          <w:color w:val="000000"/>
        </w:rPr>
        <w:t>,</w:t>
      </w:r>
      <w:r w:rsidRPr="005C43A1">
        <w:rPr>
          <w:color w:val="000000"/>
        </w:rPr>
        <w:t xml:space="preserve"> J</w:t>
      </w:r>
      <w:r w:rsidR="00D43BE8" w:rsidRPr="005C43A1">
        <w:rPr>
          <w:color w:val="000000"/>
        </w:rPr>
        <w:t>. </w:t>
      </w:r>
      <w:r w:rsidRPr="005C43A1">
        <w:rPr>
          <w:color w:val="000000"/>
        </w:rPr>
        <w:t>G</w:t>
      </w:r>
      <w:r w:rsidR="00D43BE8" w:rsidRPr="005C43A1">
        <w:rPr>
          <w:color w:val="000000"/>
        </w:rPr>
        <w:t>.</w:t>
      </w:r>
      <w:r w:rsidRPr="005C43A1">
        <w:rPr>
          <w:color w:val="000000"/>
        </w:rPr>
        <w:t>, Subramanian</w:t>
      </w:r>
      <w:r w:rsidR="00D43BE8" w:rsidRPr="005C43A1">
        <w:rPr>
          <w:color w:val="000000"/>
        </w:rPr>
        <w:t>,</w:t>
      </w:r>
      <w:r w:rsidRPr="005C43A1">
        <w:rPr>
          <w:color w:val="000000"/>
        </w:rPr>
        <w:t xml:space="preserve"> S</w:t>
      </w:r>
      <w:r w:rsidR="00D43BE8" w:rsidRPr="005C43A1">
        <w:rPr>
          <w:color w:val="000000"/>
        </w:rPr>
        <w:t>.</w:t>
      </w:r>
      <w:r w:rsidRPr="005C43A1">
        <w:rPr>
          <w:color w:val="000000"/>
        </w:rPr>
        <w:t>, Tangka</w:t>
      </w:r>
      <w:r w:rsidR="00D43BE8" w:rsidRPr="005C43A1">
        <w:rPr>
          <w:color w:val="000000"/>
        </w:rPr>
        <w:t>,</w:t>
      </w:r>
      <w:r w:rsidRPr="005C43A1">
        <w:rPr>
          <w:color w:val="000000"/>
        </w:rPr>
        <w:t xml:space="preserve"> F</w:t>
      </w:r>
      <w:r w:rsidR="00D43BE8" w:rsidRPr="005C43A1">
        <w:rPr>
          <w:color w:val="000000"/>
        </w:rPr>
        <w:t>. </w:t>
      </w:r>
      <w:r w:rsidRPr="005C43A1">
        <w:rPr>
          <w:color w:val="000000"/>
        </w:rPr>
        <w:t>K</w:t>
      </w:r>
      <w:r w:rsidR="00D43BE8" w:rsidRPr="005C43A1">
        <w:rPr>
          <w:color w:val="000000"/>
        </w:rPr>
        <w:t>.</w:t>
      </w:r>
      <w:r w:rsidRPr="005C43A1">
        <w:rPr>
          <w:color w:val="000000"/>
        </w:rPr>
        <w:t>, Bapat</w:t>
      </w:r>
      <w:r w:rsidR="00D43BE8" w:rsidRPr="005C43A1">
        <w:rPr>
          <w:color w:val="000000"/>
        </w:rPr>
        <w:t>,</w:t>
      </w:r>
      <w:r w:rsidRPr="005C43A1">
        <w:rPr>
          <w:color w:val="000000"/>
        </w:rPr>
        <w:t xml:space="preserve"> B</w:t>
      </w:r>
      <w:r w:rsidR="00D43BE8" w:rsidRPr="005C43A1">
        <w:rPr>
          <w:color w:val="000000"/>
        </w:rPr>
        <w:t>.</w:t>
      </w:r>
      <w:r w:rsidRPr="005C43A1">
        <w:rPr>
          <w:color w:val="000000"/>
        </w:rPr>
        <w:t xml:space="preserve">, </w:t>
      </w:r>
      <w:r w:rsidR="00D43BE8" w:rsidRPr="005C43A1">
        <w:rPr>
          <w:color w:val="000000"/>
        </w:rPr>
        <w:t xml:space="preserve">&amp; </w:t>
      </w:r>
      <w:r w:rsidRPr="005C43A1">
        <w:rPr>
          <w:color w:val="000000"/>
        </w:rPr>
        <w:t>Richardson</w:t>
      </w:r>
      <w:r w:rsidR="00D43BE8" w:rsidRPr="005C43A1">
        <w:rPr>
          <w:color w:val="000000"/>
        </w:rPr>
        <w:t>,</w:t>
      </w:r>
      <w:r w:rsidRPr="005C43A1">
        <w:rPr>
          <w:color w:val="000000"/>
        </w:rPr>
        <w:t xml:space="preserve"> L</w:t>
      </w:r>
      <w:r w:rsidR="00D43BE8" w:rsidRPr="005C43A1">
        <w:rPr>
          <w:color w:val="000000"/>
        </w:rPr>
        <w:t>. </w:t>
      </w:r>
      <w:r w:rsidRPr="005C43A1">
        <w:rPr>
          <w:color w:val="000000"/>
        </w:rPr>
        <w:t xml:space="preserve">C. </w:t>
      </w:r>
      <w:r w:rsidR="00D43BE8" w:rsidRPr="005C43A1">
        <w:rPr>
          <w:color w:val="000000"/>
        </w:rPr>
        <w:t xml:space="preserve">(2008). </w:t>
      </w:r>
      <w:r w:rsidRPr="005C43A1">
        <w:t>Cost analysis of the National Breast and Cervical Cancer Early Detection Program (NBCCEDP)—selected states, 2003</w:t>
      </w:r>
      <w:r w:rsidR="00D43BE8" w:rsidRPr="005C43A1">
        <w:t>–</w:t>
      </w:r>
      <w:r w:rsidRPr="005C43A1">
        <w:t xml:space="preserve">2004. </w:t>
      </w:r>
      <w:r w:rsidRPr="005C43A1">
        <w:rPr>
          <w:i/>
        </w:rPr>
        <w:t>Cancer</w:t>
      </w:r>
      <w:r w:rsidR="00D43BE8" w:rsidRPr="005C43A1">
        <w:t xml:space="preserve">, </w:t>
      </w:r>
      <w:r w:rsidRPr="005C43A1">
        <w:rPr>
          <w:i/>
        </w:rPr>
        <w:t>112</w:t>
      </w:r>
      <w:r w:rsidR="00D43BE8" w:rsidRPr="005C43A1">
        <w:t xml:space="preserve">, </w:t>
      </w:r>
      <w:r w:rsidRPr="005C43A1">
        <w:t>626</w:t>
      </w:r>
      <w:r w:rsidR="00D43BE8" w:rsidRPr="005C43A1">
        <w:t>–6</w:t>
      </w:r>
      <w:r w:rsidRPr="005C43A1">
        <w:t>35.</w:t>
      </w:r>
    </w:p>
    <w:p w:rsidR="00522AD4" w:rsidRPr="005C43A1" w:rsidRDefault="00522AD4" w:rsidP="00D43BE8">
      <w:pPr>
        <w:pStyle w:val="biblio"/>
      </w:pPr>
      <w:r w:rsidRPr="005C43A1">
        <w:t>Legood</w:t>
      </w:r>
      <w:r w:rsidR="00D43BE8" w:rsidRPr="005C43A1">
        <w:t>,</w:t>
      </w:r>
      <w:r w:rsidRPr="005C43A1">
        <w:t xml:space="preserve"> R</w:t>
      </w:r>
      <w:r w:rsidR="00D43BE8" w:rsidRPr="005C43A1">
        <w:t>.</w:t>
      </w:r>
      <w:r w:rsidRPr="005C43A1">
        <w:t>, Gray</w:t>
      </w:r>
      <w:r w:rsidR="00D43BE8" w:rsidRPr="005C43A1">
        <w:t>,</w:t>
      </w:r>
      <w:r w:rsidRPr="005C43A1">
        <w:t xml:space="preserve"> A</w:t>
      </w:r>
      <w:r w:rsidR="00D43BE8" w:rsidRPr="005C43A1">
        <w:t>. </w:t>
      </w:r>
      <w:r w:rsidRPr="005C43A1">
        <w:t>M</w:t>
      </w:r>
      <w:r w:rsidR="00D43BE8" w:rsidRPr="005C43A1">
        <w:t>.</w:t>
      </w:r>
      <w:r w:rsidRPr="005C43A1">
        <w:t>, Mahé</w:t>
      </w:r>
      <w:r w:rsidR="00D43BE8" w:rsidRPr="005C43A1">
        <w:t>,</w:t>
      </w:r>
      <w:r w:rsidRPr="005C43A1">
        <w:t xml:space="preserve"> C</w:t>
      </w:r>
      <w:r w:rsidR="00D43BE8" w:rsidRPr="005C43A1">
        <w:t>.</w:t>
      </w:r>
      <w:r w:rsidRPr="005C43A1">
        <w:t>, Wolstenholme</w:t>
      </w:r>
      <w:r w:rsidR="00D43BE8" w:rsidRPr="005C43A1">
        <w:t>,</w:t>
      </w:r>
      <w:r w:rsidRPr="005C43A1">
        <w:t xml:space="preserve"> J</w:t>
      </w:r>
      <w:r w:rsidR="00D43BE8" w:rsidRPr="005C43A1">
        <w:t>.</w:t>
      </w:r>
      <w:r w:rsidRPr="005C43A1">
        <w:t>, Jayant</w:t>
      </w:r>
      <w:r w:rsidR="00D43BE8" w:rsidRPr="005C43A1">
        <w:t>,</w:t>
      </w:r>
      <w:r w:rsidRPr="005C43A1">
        <w:t xml:space="preserve"> K</w:t>
      </w:r>
      <w:r w:rsidR="00D43BE8" w:rsidRPr="005C43A1">
        <w:t>.</w:t>
      </w:r>
      <w:r w:rsidRPr="005C43A1">
        <w:t>, Nene</w:t>
      </w:r>
      <w:r w:rsidR="00D43BE8" w:rsidRPr="005C43A1">
        <w:t>,</w:t>
      </w:r>
      <w:r w:rsidRPr="005C43A1">
        <w:t xml:space="preserve"> B</w:t>
      </w:r>
      <w:r w:rsidR="00D43BE8" w:rsidRPr="005C43A1">
        <w:t>. </w:t>
      </w:r>
      <w:r w:rsidRPr="005C43A1">
        <w:t>M</w:t>
      </w:r>
      <w:r w:rsidR="00D43BE8" w:rsidRPr="005C43A1">
        <w:t>.</w:t>
      </w:r>
      <w:r w:rsidRPr="005C43A1">
        <w:t>, Shastri</w:t>
      </w:r>
      <w:r w:rsidR="00D43BE8" w:rsidRPr="005C43A1">
        <w:t>,</w:t>
      </w:r>
      <w:r w:rsidRPr="005C43A1">
        <w:t xml:space="preserve"> S</w:t>
      </w:r>
      <w:r w:rsidR="00D43BE8" w:rsidRPr="005C43A1">
        <w:t>. </w:t>
      </w:r>
      <w:r w:rsidRPr="005C43A1">
        <w:t>S</w:t>
      </w:r>
      <w:r w:rsidR="00D43BE8" w:rsidRPr="005C43A1">
        <w:t>.</w:t>
      </w:r>
      <w:r w:rsidRPr="005C43A1">
        <w:t>, Malvi</w:t>
      </w:r>
      <w:r w:rsidR="00D43BE8" w:rsidRPr="005C43A1">
        <w:t>,</w:t>
      </w:r>
      <w:r w:rsidRPr="005C43A1">
        <w:t xml:space="preserve"> S</w:t>
      </w:r>
      <w:r w:rsidR="00D43BE8" w:rsidRPr="005C43A1">
        <w:t>. </w:t>
      </w:r>
      <w:r w:rsidRPr="005C43A1">
        <w:t>G</w:t>
      </w:r>
      <w:r w:rsidR="00D43BE8" w:rsidRPr="005C43A1">
        <w:t>.</w:t>
      </w:r>
      <w:r w:rsidRPr="005C43A1">
        <w:t>, Muwonge</w:t>
      </w:r>
      <w:r w:rsidR="00D43BE8" w:rsidRPr="005C43A1">
        <w:t>,</w:t>
      </w:r>
      <w:r w:rsidRPr="005C43A1">
        <w:t xml:space="preserve"> R</w:t>
      </w:r>
      <w:r w:rsidR="00D43BE8" w:rsidRPr="005C43A1">
        <w:t>.</w:t>
      </w:r>
      <w:r w:rsidRPr="005C43A1">
        <w:t>, Budukh</w:t>
      </w:r>
      <w:r w:rsidR="00D43BE8" w:rsidRPr="005C43A1">
        <w:t>,</w:t>
      </w:r>
      <w:r w:rsidRPr="005C43A1">
        <w:t xml:space="preserve"> A</w:t>
      </w:r>
      <w:r w:rsidR="00D43BE8" w:rsidRPr="005C43A1">
        <w:t>. </w:t>
      </w:r>
      <w:r w:rsidRPr="005C43A1">
        <w:t>M</w:t>
      </w:r>
      <w:r w:rsidR="00D43BE8" w:rsidRPr="005C43A1">
        <w:t>.</w:t>
      </w:r>
      <w:r w:rsidRPr="005C43A1">
        <w:t xml:space="preserve">, </w:t>
      </w:r>
      <w:r w:rsidR="00D43BE8" w:rsidRPr="005C43A1">
        <w:t xml:space="preserve">&amp; </w:t>
      </w:r>
      <w:r w:rsidRPr="005C43A1">
        <w:t>Sankaranarayanan</w:t>
      </w:r>
      <w:r w:rsidR="00D43BE8" w:rsidRPr="005C43A1">
        <w:t>,</w:t>
      </w:r>
      <w:r w:rsidRPr="005C43A1">
        <w:t xml:space="preserve"> R. </w:t>
      </w:r>
      <w:r w:rsidR="00D43BE8" w:rsidRPr="005C43A1">
        <w:t xml:space="preserve">(2005). </w:t>
      </w:r>
      <w:r w:rsidRPr="005C43A1">
        <w:t xml:space="preserve">Screening for cervical cancer in India: How much will it cost? A trial based analysis of the cost per case detected. </w:t>
      </w:r>
      <w:r w:rsidR="00D43BE8" w:rsidRPr="005C43A1">
        <w:rPr>
          <w:i/>
        </w:rPr>
        <w:t>International Journal of Cancer</w:t>
      </w:r>
      <w:r w:rsidRPr="005C43A1">
        <w:t xml:space="preserve">, </w:t>
      </w:r>
      <w:r w:rsidRPr="005C43A1">
        <w:rPr>
          <w:i/>
        </w:rPr>
        <w:t>117</w:t>
      </w:r>
      <w:r w:rsidRPr="005C43A1">
        <w:t>(6)</w:t>
      </w:r>
      <w:r w:rsidR="00D43BE8" w:rsidRPr="005C43A1">
        <w:t xml:space="preserve">, </w:t>
      </w:r>
      <w:r w:rsidRPr="005C43A1">
        <w:t>981</w:t>
      </w:r>
      <w:r w:rsidR="00D43BE8" w:rsidRPr="005C43A1">
        <w:t>–987</w:t>
      </w:r>
      <w:r w:rsidRPr="005C43A1">
        <w:t>.</w:t>
      </w:r>
    </w:p>
    <w:p w:rsidR="00522AD4" w:rsidRPr="005C43A1" w:rsidRDefault="00522AD4" w:rsidP="00D43BE8">
      <w:pPr>
        <w:pStyle w:val="biblio"/>
      </w:pPr>
      <w:r w:rsidRPr="005C43A1">
        <w:t>Goldie</w:t>
      </w:r>
      <w:r w:rsidR="00D43BE8" w:rsidRPr="005C43A1">
        <w:t>,</w:t>
      </w:r>
      <w:r w:rsidRPr="005C43A1">
        <w:t xml:space="preserve"> S</w:t>
      </w:r>
      <w:r w:rsidR="00D43BE8" w:rsidRPr="005C43A1">
        <w:t>. </w:t>
      </w:r>
      <w:r w:rsidRPr="005C43A1">
        <w:t>J</w:t>
      </w:r>
      <w:r w:rsidR="00D43BE8" w:rsidRPr="005C43A1">
        <w:t>.</w:t>
      </w:r>
      <w:r w:rsidRPr="005C43A1">
        <w:t>, Gaffikin</w:t>
      </w:r>
      <w:r w:rsidR="00D43BE8" w:rsidRPr="005C43A1">
        <w:t>,</w:t>
      </w:r>
      <w:r w:rsidRPr="005C43A1">
        <w:t xml:space="preserve"> L</w:t>
      </w:r>
      <w:r w:rsidR="00D43BE8" w:rsidRPr="005C43A1">
        <w:t>.</w:t>
      </w:r>
      <w:r w:rsidRPr="005C43A1">
        <w:t>, Goldhaber-Fiebert</w:t>
      </w:r>
      <w:r w:rsidR="00D43BE8" w:rsidRPr="005C43A1">
        <w:t>,</w:t>
      </w:r>
      <w:r w:rsidRPr="005C43A1">
        <w:t xml:space="preserve"> J</w:t>
      </w:r>
      <w:r w:rsidR="00D43BE8" w:rsidRPr="005C43A1">
        <w:t>. </w:t>
      </w:r>
      <w:r w:rsidRPr="005C43A1">
        <w:t>D</w:t>
      </w:r>
      <w:r w:rsidR="00D43BE8" w:rsidRPr="005C43A1">
        <w:t>.</w:t>
      </w:r>
      <w:r w:rsidRPr="005C43A1">
        <w:t>, Gordillo-Tobar</w:t>
      </w:r>
      <w:r w:rsidR="00D43BE8" w:rsidRPr="005C43A1">
        <w:t>,</w:t>
      </w:r>
      <w:r w:rsidRPr="005C43A1">
        <w:t xml:space="preserve"> A</w:t>
      </w:r>
      <w:r w:rsidR="00D43BE8" w:rsidRPr="005C43A1">
        <w:t>.</w:t>
      </w:r>
      <w:r w:rsidRPr="005C43A1">
        <w:t>, Levin</w:t>
      </w:r>
      <w:r w:rsidR="00D43BE8" w:rsidRPr="005C43A1">
        <w:t>,</w:t>
      </w:r>
      <w:r w:rsidRPr="005C43A1">
        <w:t xml:space="preserve"> C</w:t>
      </w:r>
      <w:r w:rsidR="00D43BE8" w:rsidRPr="005C43A1">
        <w:t>.</w:t>
      </w:r>
      <w:r w:rsidRPr="005C43A1">
        <w:t>, Mahé</w:t>
      </w:r>
      <w:r w:rsidR="00D43BE8" w:rsidRPr="005C43A1">
        <w:t>,</w:t>
      </w:r>
      <w:r w:rsidRPr="005C43A1">
        <w:t xml:space="preserve"> C</w:t>
      </w:r>
      <w:r w:rsidR="00D43BE8" w:rsidRPr="005C43A1">
        <w:t>.</w:t>
      </w:r>
      <w:r w:rsidRPr="005C43A1">
        <w:t>, Wright</w:t>
      </w:r>
      <w:r w:rsidR="00D43BE8" w:rsidRPr="005C43A1">
        <w:t>,</w:t>
      </w:r>
      <w:r w:rsidRPr="005C43A1">
        <w:t xml:space="preserve"> T</w:t>
      </w:r>
      <w:r w:rsidR="00D43BE8" w:rsidRPr="005C43A1">
        <w:t>. </w:t>
      </w:r>
      <w:r w:rsidRPr="005C43A1">
        <w:t>C</w:t>
      </w:r>
      <w:r w:rsidR="00D43BE8" w:rsidRPr="005C43A1">
        <w:t>.</w:t>
      </w:r>
      <w:r w:rsidR="00822461" w:rsidRPr="005C43A1">
        <w:t xml:space="preserve">, &amp; </w:t>
      </w:r>
      <w:r w:rsidRPr="005C43A1">
        <w:t xml:space="preserve">Alliance for Cervical Cancer Prevention Cost Working Group. </w:t>
      </w:r>
      <w:r w:rsidR="00822461" w:rsidRPr="005C43A1">
        <w:t xml:space="preserve">(2005). </w:t>
      </w:r>
      <w:r w:rsidRPr="005C43A1">
        <w:t xml:space="preserve">Cost-effectiveness of cervical-cancer screening in five developing countries. </w:t>
      </w:r>
      <w:r w:rsidRPr="005C43A1">
        <w:rPr>
          <w:i/>
          <w:iCs/>
        </w:rPr>
        <w:t>N</w:t>
      </w:r>
      <w:r w:rsidR="00822461" w:rsidRPr="005C43A1">
        <w:rPr>
          <w:i/>
          <w:iCs/>
        </w:rPr>
        <w:t>ew</w:t>
      </w:r>
      <w:r w:rsidRPr="005C43A1">
        <w:rPr>
          <w:i/>
          <w:iCs/>
        </w:rPr>
        <w:t xml:space="preserve"> Engl</w:t>
      </w:r>
      <w:r w:rsidR="00822461" w:rsidRPr="005C43A1">
        <w:rPr>
          <w:i/>
          <w:iCs/>
        </w:rPr>
        <w:t>and</w:t>
      </w:r>
      <w:r w:rsidRPr="005C43A1">
        <w:rPr>
          <w:i/>
          <w:iCs/>
        </w:rPr>
        <w:t xml:space="preserve"> J</w:t>
      </w:r>
      <w:r w:rsidR="00822461" w:rsidRPr="005C43A1">
        <w:rPr>
          <w:i/>
          <w:iCs/>
        </w:rPr>
        <w:t>ournal of</w:t>
      </w:r>
      <w:r w:rsidRPr="005C43A1">
        <w:rPr>
          <w:i/>
          <w:iCs/>
        </w:rPr>
        <w:t xml:space="preserve"> Med</w:t>
      </w:r>
      <w:r w:rsidR="00822461" w:rsidRPr="005C43A1">
        <w:rPr>
          <w:i/>
          <w:iCs/>
        </w:rPr>
        <w:t xml:space="preserve">icine, </w:t>
      </w:r>
      <w:r w:rsidRPr="005C43A1">
        <w:rPr>
          <w:i/>
        </w:rPr>
        <w:t>353</w:t>
      </w:r>
      <w:r w:rsidRPr="005C43A1">
        <w:t>(20)</w:t>
      </w:r>
      <w:r w:rsidR="00822461" w:rsidRPr="005C43A1">
        <w:t xml:space="preserve">, </w:t>
      </w:r>
      <w:r w:rsidRPr="005C43A1">
        <w:t>2158</w:t>
      </w:r>
      <w:r w:rsidR="00822461" w:rsidRPr="005C43A1">
        <w:t>–21</w:t>
      </w:r>
      <w:r w:rsidRPr="005C43A1">
        <w:t>68.</w:t>
      </w:r>
    </w:p>
    <w:p w:rsidR="00522AD4" w:rsidRPr="005C43A1" w:rsidRDefault="00522AD4" w:rsidP="00D43BE8">
      <w:pPr>
        <w:pStyle w:val="biblio"/>
      </w:pPr>
      <w:r w:rsidRPr="005C43A1">
        <w:t>Caffray</w:t>
      </w:r>
      <w:r w:rsidR="00822461" w:rsidRPr="005C43A1">
        <w:t>,</w:t>
      </w:r>
      <w:r w:rsidRPr="005C43A1">
        <w:t xml:space="preserve"> C</w:t>
      </w:r>
      <w:r w:rsidR="00822461" w:rsidRPr="005C43A1">
        <w:t>. </w:t>
      </w:r>
      <w:r w:rsidRPr="005C43A1">
        <w:t>H</w:t>
      </w:r>
      <w:r w:rsidR="00822461" w:rsidRPr="005C43A1">
        <w:t>.</w:t>
      </w:r>
      <w:r w:rsidRPr="005C43A1">
        <w:t xml:space="preserve">, </w:t>
      </w:r>
      <w:r w:rsidR="00822461" w:rsidRPr="005C43A1">
        <w:t xml:space="preserve">&amp; </w:t>
      </w:r>
      <w:r w:rsidRPr="005C43A1">
        <w:t>Chatterji</w:t>
      </w:r>
      <w:r w:rsidR="00822461" w:rsidRPr="005C43A1">
        <w:t xml:space="preserve">, P. (2009). </w:t>
      </w:r>
      <w:r w:rsidRPr="005C43A1">
        <w:t>Developing an Internet-based survey</w:t>
      </w:r>
      <w:r w:rsidR="00822461" w:rsidRPr="005C43A1">
        <w:t xml:space="preserve"> to collect program cost data. </w:t>
      </w:r>
      <w:r w:rsidRPr="005C43A1">
        <w:rPr>
          <w:i/>
        </w:rPr>
        <w:t>Evaluation and Program Planning</w:t>
      </w:r>
      <w:r w:rsidR="00822461" w:rsidRPr="005C43A1">
        <w:t xml:space="preserve">, </w:t>
      </w:r>
      <w:r w:rsidRPr="005C43A1">
        <w:rPr>
          <w:i/>
        </w:rPr>
        <w:t>32</w:t>
      </w:r>
      <w:r w:rsidR="00822461" w:rsidRPr="005C43A1">
        <w:t xml:space="preserve">(1), </w:t>
      </w:r>
      <w:r w:rsidRPr="005C43A1">
        <w:t>62</w:t>
      </w:r>
      <w:r w:rsidR="00822461" w:rsidRPr="005C43A1">
        <w:t>–</w:t>
      </w:r>
      <w:r w:rsidRPr="005C43A1">
        <w:t>73.</w:t>
      </w:r>
    </w:p>
    <w:p w:rsidR="00D43F13" w:rsidRPr="005C43A1" w:rsidRDefault="00522AD4" w:rsidP="00822461">
      <w:pPr>
        <w:pStyle w:val="biblio"/>
      </w:pPr>
      <w:r w:rsidRPr="005C43A1">
        <w:t>French</w:t>
      </w:r>
      <w:r w:rsidR="00822461" w:rsidRPr="005C43A1">
        <w:t>,</w:t>
      </w:r>
      <w:r w:rsidRPr="005C43A1">
        <w:t xml:space="preserve"> M</w:t>
      </w:r>
      <w:r w:rsidR="00822461" w:rsidRPr="005C43A1">
        <w:t>. </w:t>
      </w:r>
      <w:r w:rsidRPr="005C43A1">
        <w:t>T</w:t>
      </w:r>
      <w:r w:rsidR="00822461" w:rsidRPr="005C43A1">
        <w:t>.</w:t>
      </w:r>
      <w:r w:rsidRPr="005C43A1">
        <w:t>, Dunlap</w:t>
      </w:r>
      <w:r w:rsidR="00822461" w:rsidRPr="005C43A1">
        <w:t>,</w:t>
      </w:r>
      <w:r w:rsidRPr="005C43A1">
        <w:t xml:space="preserve"> L</w:t>
      </w:r>
      <w:r w:rsidR="00822461" w:rsidRPr="005C43A1">
        <w:t>. </w:t>
      </w:r>
      <w:r w:rsidRPr="005C43A1">
        <w:t>J</w:t>
      </w:r>
      <w:r w:rsidR="00822461" w:rsidRPr="005C43A1">
        <w:t>.</w:t>
      </w:r>
      <w:r w:rsidRPr="005C43A1">
        <w:t>, Zarkin</w:t>
      </w:r>
      <w:r w:rsidR="00822461" w:rsidRPr="005C43A1">
        <w:t>,</w:t>
      </w:r>
      <w:r w:rsidRPr="005C43A1">
        <w:t xml:space="preserve"> G</w:t>
      </w:r>
      <w:r w:rsidR="00822461" w:rsidRPr="005C43A1">
        <w:t>. </w:t>
      </w:r>
      <w:r w:rsidRPr="005C43A1">
        <w:t>A</w:t>
      </w:r>
      <w:r w:rsidR="00822461" w:rsidRPr="005C43A1">
        <w:t>.</w:t>
      </w:r>
      <w:r w:rsidRPr="005C43A1">
        <w:t>, McGeary</w:t>
      </w:r>
      <w:r w:rsidR="00822461" w:rsidRPr="005C43A1">
        <w:t>,</w:t>
      </w:r>
      <w:r w:rsidRPr="005C43A1">
        <w:t xml:space="preserve"> K</w:t>
      </w:r>
      <w:r w:rsidR="00822461" w:rsidRPr="005C43A1">
        <w:t>. </w:t>
      </w:r>
      <w:r w:rsidRPr="005C43A1">
        <w:t>A</w:t>
      </w:r>
      <w:r w:rsidR="00822461" w:rsidRPr="005C43A1">
        <w:t>.</w:t>
      </w:r>
      <w:r w:rsidRPr="005C43A1">
        <w:t xml:space="preserve">, </w:t>
      </w:r>
      <w:r w:rsidR="00822461" w:rsidRPr="005C43A1">
        <w:t xml:space="preserve">&amp; </w:t>
      </w:r>
      <w:r w:rsidRPr="005C43A1">
        <w:t>McLellan</w:t>
      </w:r>
      <w:r w:rsidR="00822461" w:rsidRPr="005C43A1">
        <w:t>,</w:t>
      </w:r>
      <w:r w:rsidRPr="005C43A1">
        <w:t xml:space="preserve"> A</w:t>
      </w:r>
      <w:r w:rsidR="00822461" w:rsidRPr="005C43A1">
        <w:t>. </w:t>
      </w:r>
      <w:r w:rsidRPr="005C43A1">
        <w:t xml:space="preserve">T. </w:t>
      </w:r>
      <w:r w:rsidR="00822461" w:rsidRPr="005C43A1">
        <w:t xml:space="preserve">(1997). </w:t>
      </w:r>
      <w:r w:rsidRPr="005C43A1">
        <w:t xml:space="preserve">A structured instrument for estimating the economic cost of drug abuse treatment. The Drug Abuse Treatment Cost Analysis Program (DATCAP). </w:t>
      </w:r>
      <w:r w:rsidRPr="005C43A1">
        <w:rPr>
          <w:i/>
          <w:iCs/>
        </w:rPr>
        <w:t>Journal of Substance Abuse Treatment</w:t>
      </w:r>
      <w:r w:rsidR="00822461" w:rsidRPr="005C43A1">
        <w:t xml:space="preserve">, </w:t>
      </w:r>
      <w:r w:rsidR="00822461" w:rsidRPr="005C43A1">
        <w:rPr>
          <w:i/>
        </w:rPr>
        <w:t>14</w:t>
      </w:r>
      <w:r w:rsidR="00822461" w:rsidRPr="005C43A1">
        <w:t>(5), 445–455.</w:t>
      </w:r>
    </w:p>
    <w:sectPr w:rsidR="00D43F13" w:rsidRPr="005C43A1" w:rsidSect="00E67EB8">
      <w:footerReference w:type="default" r:id="rId15"/>
      <w:footerReference w:type="first" r:id="rId16"/>
      <w:pgSz w:w="12240" w:h="15840" w:code="1"/>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7D52" w:rsidRDefault="00CD7D52">
      <w:r>
        <w:separator/>
      </w:r>
    </w:p>
  </w:endnote>
  <w:endnote w:type="continuationSeparator" w:id="0">
    <w:p w:rsidR="00CD7D52" w:rsidRDefault="00CD7D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474" w:rsidRDefault="009D2919" w:rsidP="00FA7085">
    <w:pPr>
      <w:pStyle w:val="Footer"/>
      <w:framePr w:wrap="around" w:vAnchor="text" w:hAnchor="margin" w:xAlign="center" w:y="1"/>
      <w:rPr>
        <w:rStyle w:val="PageNumber"/>
      </w:rPr>
    </w:pPr>
    <w:r>
      <w:rPr>
        <w:rStyle w:val="PageNumber"/>
      </w:rPr>
      <w:fldChar w:fldCharType="begin"/>
    </w:r>
    <w:r w:rsidR="008B7474">
      <w:rPr>
        <w:rStyle w:val="PageNumber"/>
      </w:rPr>
      <w:instrText xml:space="preserve">PAGE  </w:instrText>
    </w:r>
    <w:r>
      <w:rPr>
        <w:rStyle w:val="PageNumber"/>
      </w:rPr>
      <w:fldChar w:fldCharType="separate"/>
    </w:r>
    <w:r w:rsidR="008B7474">
      <w:rPr>
        <w:rStyle w:val="PageNumber"/>
        <w:noProof/>
      </w:rPr>
      <w:t>1</w:t>
    </w:r>
    <w:r>
      <w:rPr>
        <w:rStyle w:val="PageNumber"/>
      </w:rPr>
      <w:fldChar w:fldCharType="end"/>
    </w:r>
  </w:p>
  <w:p w:rsidR="008B7474" w:rsidRDefault="008B747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474" w:rsidRDefault="009D2919">
    <w:pPr>
      <w:pStyle w:val="Footer"/>
      <w:jc w:val="center"/>
    </w:pPr>
    <w:r>
      <w:rPr>
        <w:rStyle w:val="PageNumber"/>
      </w:rPr>
      <w:fldChar w:fldCharType="begin"/>
    </w:r>
    <w:r w:rsidR="008B7474">
      <w:rPr>
        <w:rStyle w:val="PageNumber"/>
      </w:rPr>
      <w:instrText xml:space="preserve"> PAGE </w:instrText>
    </w:r>
    <w:r>
      <w:rPr>
        <w:rStyle w:val="PageNumber"/>
      </w:rPr>
      <w:fldChar w:fldCharType="separate"/>
    </w:r>
    <w:r w:rsidR="009763E5">
      <w:rPr>
        <w:rStyle w:val="PageNumber"/>
        <w:noProof/>
      </w:rPr>
      <w:t>iv</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474" w:rsidRPr="00906F6F" w:rsidRDefault="009D2919" w:rsidP="00924407">
    <w:pPr>
      <w:pStyle w:val="Footer"/>
      <w:jc w:val="center"/>
    </w:pPr>
    <w:r>
      <w:rPr>
        <w:rStyle w:val="PageNumber"/>
      </w:rPr>
      <w:fldChar w:fldCharType="begin"/>
    </w:r>
    <w:r w:rsidR="008B7474">
      <w:rPr>
        <w:rStyle w:val="PageNumber"/>
      </w:rPr>
      <w:instrText xml:space="preserve"> PAGE </w:instrText>
    </w:r>
    <w:r>
      <w:rPr>
        <w:rStyle w:val="PageNumber"/>
      </w:rPr>
      <w:fldChar w:fldCharType="separate"/>
    </w:r>
    <w:r w:rsidR="009763E5">
      <w:rPr>
        <w:rStyle w:val="PageNumber"/>
        <w:noProof/>
      </w:rPr>
      <w:t>15</w:t>
    </w:r>
    <w:r>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474" w:rsidRDefault="009D2919" w:rsidP="00906F6F">
    <w:pPr>
      <w:pStyle w:val="Footer"/>
      <w:jc w:val="center"/>
    </w:pPr>
    <w:r>
      <w:rPr>
        <w:rStyle w:val="PageNumber"/>
      </w:rPr>
      <w:fldChar w:fldCharType="begin"/>
    </w:r>
    <w:r w:rsidR="008B7474">
      <w:rPr>
        <w:rStyle w:val="PageNumber"/>
      </w:rPr>
      <w:instrText xml:space="preserve"> PAGE </w:instrText>
    </w:r>
    <w:r>
      <w:rPr>
        <w:rStyle w:val="PageNumber"/>
      </w:rPr>
      <w:fldChar w:fldCharType="separate"/>
    </w:r>
    <w:r w:rsidR="009763E5">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7D52" w:rsidRDefault="00CD7D52">
      <w:r>
        <w:separator/>
      </w:r>
    </w:p>
  </w:footnote>
  <w:footnote w:type="continuationSeparator" w:id="0">
    <w:p w:rsidR="00CD7D52" w:rsidRDefault="00CD7D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474" w:rsidRDefault="008B7474" w:rsidP="00AA2200">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F9CEDB4C"/>
    <w:lvl w:ilvl="0">
      <w:start w:val="1"/>
      <w:numFmt w:val="decimal"/>
      <w:pStyle w:val="ListNumber"/>
      <w:lvlText w:val="%1."/>
      <w:lvlJc w:val="left"/>
      <w:pPr>
        <w:tabs>
          <w:tab w:val="num" w:pos="360"/>
        </w:tabs>
        <w:ind w:left="360" w:hanging="360"/>
      </w:pPr>
    </w:lvl>
  </w:abstractNum>
  <w:abstractNum w:abstractNumId="1">
    <w:nsid w:val="FFFFFF89"/>
    <w:multiLevelType w:val="singleLevel"/>
    <w:tmpl w:val="A69C45E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189C44D4"/>
    <w:multiLevelType w:val="hybridMultilevel"/>
    <w:tmpl w:val="6706BC2E"/>
    <w:lvl w:ilvl="0" w:tplc="FFFFFFFF">
      <w:start w:val="1"/>
      <w:numFmt w:val="bullet"/>
      <w:pStyle w:val="NumberBullets"/>
      <w:lvlText w:val="o"/>
      <w:lvlJc w:val="left"/>
      <w:pPr>
        <w:tabs>
          <w:tab w:val="num" w:pos="720"/>
        </w:tabs>
        <w:ind w:left="720" w:hanging="360"/>
      </w:pPr>
      <w:rPr>
        <w:rFonts w:ascii="Courier New" w:hAnsi="Courier New"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nsid w:val="454059B5"/>
    <w:multiLevelType w:val="hybridMultilevel"/>
    <w:tmpl w:val="69601A44"/>
    <w:lvl w:ilvl="0" w:tplc="2F0C6EF6">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7C7617D"/>
    <w:multiLevelType w:val="hybridMultilevel"/>
    <w:tmpl w:val="844CCD88"/>
    <w:lvl w:ilvl="0" w:tplc="E8883110">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5B635E"/>
    <w:multiLevelType w:val="hybridMultilevel"/>
    <w:tmpl w:val="C28AC4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B631D74"/>
    <w:multiLevelType w:val="hybridMultilevel"/>
    <w:tmpl w:val="B7B299A8"/>
    <w:lvl w:ilvl="0" w:tplc="5B32EBDC">
      <w:start w:val="1"/>
      <w:numFmt w:val="decimal"/>
      <w:pStyle w:val="biblio"/>
      <w:lvlText w:val="%1."/>
      <w:lvlJc w:val="left"/>
      <w:pPr>
        <w:tabs>
          <w:tab w:val="num" w:pos="720"/>
        </w:tabs>
        <w:ind w:left="720" w:hanging="360"/>
      </w:pPr>
    </w:lvl>
    <w:lvl w:ilvl="1" w:tplc="E690DC04">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ECC00FF"/>
    <w:multiLevelType w:val="hybridMultilevel"/>
    <w:tmpl w:val="C28AC4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
    <w:nsid w:val="63976DFB"/>
    <w:multiLevelType w:val="hybridMultilevel"/>
    <w:tmpl w:val="BFCEE4B6"/>
    <w:lvl w:ilvl="0" w:tplc="A1CC9B1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9D43D0F"/>
    <w:multiLevelType w:val="hybridMultilevel"/>
    <w:tmpl w:val="C526BB22"/>
    <w:lvl w:ilvl="0" w:tplc="93A4A2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7D007A"/>
    <w:multiLevelType w:val="hybridMultilevel"/>
    <w:tmpl w:val="F72AA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7"/>
  </w:num>
  <w:num w:numId="4">
    <w:abstractNumId w:val="11"/>
  </w:num>
  <w:num w:numId="5">
    <w:abstractNumId w:val="10"/>
  </w:num>
  <w:num w:numId="6">
    <w:abstractNumId w:val="4"/>
  </w:num>
  <w:num w:numId="7">
    <w:abstractNumId w:val="9"/>
  </w:num>
  <w:num w:numId="8">
    <w:abstractNumId w:val="5"/>
  </w:num>
  <w:num w:numId="9">
    <w:abstractNumId w:val="0"/>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1"/>
  </w:num>
  <w:num w:numId="14">
    <w:abstractNumId w:val="6"/>
  </w:num>
  <w:num w:numId="15">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131078" w:nlCheck="1" w:checkStyle="1"/>
  <w:activeWritingStyle w:appName="MSWord" w:lang="en-CA" w:vendorID="64" w:dllVersion="131078" w:nlCheck="1" w:checkStyle="1"/>
  <w:stylePaneFormatFilter w:val="0001"/>
  <w:stylePaneSortMethod w:val="0000"/>
  <w:defaultTabStop w:val="720"/>
  <w:noPunctuationKerning/>
  <w:characterSpacingControl w:val="doNotCompress"/>
  <w:footnotePr>
    <w:footnote w:id="-1"/>
    <w:footnote w:id="0"/>
  </w:footnotePr>
  <w:endnotePr>
    <w:endnote w:id="-1"/>
    <w:endnote w:id="0"/>
  </w:endnotePr>
  <w:compat/>
  <w:rsids>
    <w:rsidRoot w:val="0055363C"/>
    <w:rsid w:val="00010285"/>
    <w:rsid w:val="00016E5D"/>
    <w:rsid w:val="0001715E"/>
    <w:rsid w:val="00021B81"/>
    <w:rsid w:val="000256F5"/>
    <w:rsid w:val="0005128B"/>
    <w:rsid w:val="00053D33"/>
    <w:rsid w:val="0005426B"/>
    <w:rsid w:val="00055BD4"/>
    <w:rsid w:val="00056850"/>
    <w:rsid w:val="0006128E"/>
    <w:rsid w:val="00072C63"/>
    <w:rsid w:val="000757CB"/>
    <w:rsid w:val="00076442"/>
    <w:rsid w:val="00086886"/>
    <w:rsid w:val="000930DB"/>
    <w:rsid w:val="00095B10"/>
    <w:rsid w:val="000965F4"/>
    <w:rsid w:val="000A1BC4"/>
    <w:rsid w:val="000A3D71"/>
    <w:rsid w:val="000A609C"/>
    <w:rsid w:val="000B5B19"/>
    <w:rsid w:val="000C0BF4"/>
    <w:rsid w:val="000D09DC"/>
    <w:rsid w:val="000E395A"/>
    <w:rsid w:val="000E5FA9"/>
    <w:rsid w:val="000E6546"/>
    <w:rsid w:val="000F3D28"/>
    <w:rsid w:val="00112C2B"/>
    <w:rsid w:val="001132DF"/>
    <w:rsid w:val="0011387B"/>
    <w:rsid w:val="0011486A"/>
    <w:rsid w:val="00125995"/>
    <w:rsid w:val="001302E1"/>
    <w:rsid w:val="00145D2A"/>
    <w:rsid w:val="00151395"/>
    <w:rsid w:val="00152DFC"/>
    <w:rsid w:val="00153FF9"/>
    <w:rsid w:val="00155573"/>
    <w:rsid w:val="00162E9D"/>
    <w:rsid w:val="00167B9C"/>
    <w:rsid w:val="0017124A"/>
    <w:rsid w:val="00171303"/>
    <w:rsid w:val="00175EE3"/>
    <w:rsid w:val="00180162"/>
    <w:rsid w:val="00182ED7"/>
    <w:rsid w:val="001832DE"/>
    <w:rsid w:val="0018563E"/>
    <w:rsid w:val="00194A21"/>
    <w:rsid w:val="00196926"/>
    <w:rsid w:val="001A023A"/>
    <w:rsid w:val="001A1A89"/>
    <w:rsid w:val="001A7A77"/>
    <w:rsid w:val="001B2F93"/>
    <w:rsid w:val="001B509F"/>
    <w:rsid w:val="001B5506"/>
    <w:rsid w:val="001B6122"/>
    <w:rsid w:val="001B78C1"/>
    <w:rsid w:val="001C44EE"/>
    <w:rsid w:val="001C4E6E"/>
    <w:rsid w:val="001D09F4"/>
    <w:rsid w:val="001D33C9"/>
    <w:rsid w:val="001D3F03"/>
    <w:rsid w:val="001D3F98"/>
    <w:rsid w:val="001D5EC8"/>
    <w:rsid w:val="001E2C0E"/>
    <w:rsid w:val="001E63EF"/>
    <w:rsid w:val="001E736B"/>
    <w:rsid w:val="001F2D0D"/>
    <w:rsid w:val="001F56B2"/>
    <w:rsid w:val="00207E8F"/>
    <w:rsid w:val="00213567"/>
    <w:rsid w:val="002179E0"/>
    <w:rsid w:val="00221D72"/>
    <w:rsid w:val="00223327"/>
    <w:rsid w:val="00223CDD"/>
    <w:rsid w:val="00230F66"/>
    <w:rsid w:val="0023369B"/>
    <w:rsid w:val="00236BC0"/>
    <w:rsid w:val="00237321"/>
    <w:rsid w:val="00242D2C"/>
    <w:rsid w:val="00246CCD"/>
    <w:rsid w:val="00250C26"/>
    <w:rsid w:val="0025209F"/>
    <w:rsid w:val="002677ED"/>
    <w:rsid w:val="00274C42"/>
    <w:rsid w:val="002772A2"/>
    <w:rsid w:val="0029307A"/>
    <w:rsid w:val="002A1235"/>
    <w:rsid w:val="002A38E7"/>
    <w:rsid w:val="002B60A7"/>
    <w:rsid w:val="002C1356"/>
    <w:rsid w:val="002C3412"/>
    <w:rsid w:val="002C60A4"/>
    <w:rsid w:val="002C78C3"/>
    <w:rsid w:val="002E39B8"/>
    <w:rsid w:val="002E5438"/>
    <w:rsid w:val="002F13DB"/>
    <w:rsid w:val="002F3B3B"/>
    <w:rsid w:val="002F48EC"/>
    <w:rsid w:val="002F6523"/>
    <w:rsid w:val="002F799A"/>
    <w:rsid w:val="00302FC2"/>
    <w:rsid w:val="00305805"/>
    <w:rsid w:val="00325ED0"/>
    <w:rsid w:val="003270D3"/>
    <w:rsid w:val="00327FF0"/>
    <w:rsid w:val="00331E3B"/>
    <w:rsid w:val="00334B7A"/>
    <w:rsid w:val="003378A5"/>
    <w:rsid w:val="00343192"/>
    <w:rsid w:val="0034650B"/>
    <w:rsid w:val="00347889"/>
    <w:rsid w:val="003506F4"/>
    <w:rsid w:val="0035250A"/>
    <w:rsid w:val="00353D07"/>
    <w:rsid w:val="003540A9"/>
    <w:rsid w:val="00354255"/>
    <w:rsid w:val="00354793"/>
    <w:rsid w:val="00357746"/>
    <w:rsid w:val="00357AF0"/>
    <w:rsid w:val="00367C65"/>
    <w:rsid w:val="0037320E"/>
    <w:rsid w:val="003817CE"/>
    <w:rsid w:val="0038190A"/>
    <w:rsid w:val="003B3264"/>
    <w:rsid w:val="003B4C9B"/>
    <w:rsid w:val="003C176A"/>
    <w:rsid w:val="003D5F0F"/>
    <w:rsid w:val="003D6EC3"/>
    <w:rsid w:val="003E0A59"/>
    <w:rsid w:val="003E32D9"/>
    <w:rsid w:val="003E4DEB"/>
    <w:rsid w:val="003E5576"/>
    <w:rsid w:val="003F02AD"/>
    <w:rsid w:val="003F4EB1"/>
    <w:rsid w:val="00400488"/>
    <w:rsid w:val="00402BAD"/>
    <w:rsid w:val="004059D1"/>
    <w:rsid w:val="0041691A"/>
    <w:rsid w:val="00423334"/>
    <w:rsid w:val="00427554"/>
    <w:rsid w:val="004316FE"/>
    <w:rsid w:val="00434BC5"/>
    <w:rsid w:val="00434DFE"/>
    <w:rsid w:val="004455D6"/>
    <w:rsid w:val="00450243"/>
    <w:rsid w:val="00450552"/>
    <w:rsid w:val="00451757"/>
    <w:rsid w:val="00453377"/>
    <w:rsid w:val="0045406A"/>
    <w:rsid w:val="00463777"/>
    <w:rsid w:val="00463AEE"/>
    <w:rsid w:val="00463DD1"/>
    <w:rsid w:val="00464A68"/>
    <w:rsid w:val="00466CA9"/>
    <w:rsid w:val="00470E4A"/>
    <w:rsid w:val="0047358D"/>
    <w:rsid w:val="00475CDB"/>
    <w:rsid w:val="00475E78"/>
    <w:rsid w:val="0047674A"/>
    <w:rsid w:val="004920B6"/>
    <w:rsid w:val="00492F67"/>
    <w:rsid w:val="0049317F"/>
    <w:rsid w:val="00495ADF"/>
    <w:rsid w:val="004A100D"/>
    <w:rsid w:val="004A2778"/>
    <w:rsid w:val="004B3E35"/>
    <w:rsid w:val="004C0743"/>
    <w:rsid w:val="004C0E0E"/>
    <w:rsid w:val="004C2423"/>
    <w:rsid w:val="004C439D"/>
    <w:rsid w:val="004C56A3"/>
    <w:rsid w:val="004D0161"/>
    <w:rsid w:val="004D3C37"/>
    <w:rsid w:val="004E0E8D"/>
    <w:rsid w:val="004E330F"/>
    <w:rsid w:val="004E35A9"/>
    <w:rsid w:val="004E62E6"/>
    <w:rsid w:val="004F167F"/>
    <w:rsid w:val="004F1E2D"/>
    <w:rsid w:val="0050115D"/>
    <w:rsid w:val="00504DCF"/>
    <w:rsid w:val="00511375"/>
    <w:rsid w:val="00512700"/>
    <w:rsid w:val="00512F04"/>
    <w:rsid w:val="00513E02"/>
    <w:rsid w:val="0051577F"/>
    <w:rsid w:val="00516D68"/>
    <w:rsid w:val="00517264"/>
    <w:rsid w:val="005217EF"/>
    <w:rsid w:val="00522AD4"/>
    <w:rsid w:val="00531587"/>
    <w:rsid w:val="00531A7E"/>
    <w:rsid w:val="00534DAB"/>
    <w:rsid w:val="005375D0"/>
    <w:rsid w:val="00541CA2"/>
    <w:rsid w:val="005453DD"/>
    <w:rsid w:val="00546209"/>
    <w:rsid w:val="0055076B"/>
    <w:rsid w:val="00551F4D"/>
    <w:rsid w:val="0055363C"/>
    <w:rsid w:val="00557329"/>
    <w:rsid w:val="0055752E"/>
    <w:rsid w:val="005749DD"/>
    <w:rsid w:val="0057707D"/>
    <w:rsid w:val="0058360B"/>
    <w:rsid w:val="005909A3"/>
    <w:rsid w:val="00590C43"/>
    <w:rsid w:val="005A4570"/>
    <w:rsid w:val="005A7F97"/>
    <w:rsid w:val="005B21C5"/>
    <w:rsid w:val="005B4154"/>
    <w:rsid w:val="005B481C"/>
    <w:rsid w:val="005C255F"/>
    <w:rsid w:val="005C43A1"/>
    <w:rsid w:val="005D2B72"/>
    <w:rsid w:val="005E1462"/>
    <w:rsid w:val="005E217C"/>
    <w:rsid w:val="005E62F2"/>
    <w:rsid w:val="005F3E92"/>
    <w:rsid w:val="006040A6"/>
    <w:rsid w:val="006048A8"/>
    <w:rsid w:val="00604E34"/>
    <w:rsid w:val="00605B8B"/>
    <w:rsid w:val="00613A18"/>
    <w:rsid w:val="00622A6F"/>
    <w:rsid w:val="006269EB"/>
    <w:rsid w:val="00626DBA"/>
    <w:rsid w:val="00632AAE"/>
    <w:rsid w:val="00635CB0"/>
    <w:rsid w:val="00656709"/>
    <w:rsid w:val="00657935"/>
    <w:rsid w:val="0065799B"/>
    <w:rsid w:val="00662BD9"/>
    <w:rsid w:val="00663D09"/>
    <w:rsid w:val="006713F3"/>
    <w:rsid w:val="006763FF"/>
    <w:rsid w:val="006969D6"/>
    <w:rsid w:val="006A10BF"/>
    <w:rsid w:val="006A2387"/>
    <w:rsid w:val="006A604F"/>
    <w:rsid w:val="006A6E83"/>
    <w:rsid w:val="006B14CF"/>
    <w:rsid w:val="006B3CB0"/>
    <w:rsid w:val="006B4955"/>
    <w:rsid w:val="006C3B2D"/>
    <w:rsid w:val="006D3678"/>
    <w:rsid w:val="006D4600"/>
    <w:rsid w:val="006E2440"/>
    <w:rsid w:val="006E5049"/>
    <w:rsid w:val="006E7579"/>
    <w:rsid w:val="006E7CDA"/>
    <w:rsid w:val="00706653"/>
    <w:rsid w:val="00707527"/>
    <w:rsid w:val="00707F96"/>
    <w:rsid w:val="00712259"/>
    <w:rsid w:val="0071443E"/>
    <w:rsid w:val="00717571"/>
    <w:rsid w:val="00720E5F"/>
    <w:rsid w:val="00722078"/>
    <w:rsid w:val="00726255"/>
    <w:rsid w:val="00731BA5"/>
    <w:rsid w:val="0073414D"/>
    <w:rsid w:val="00736695"/>
    <w:rsid w:val="00737857"/>
    <w:rsid w:val="00740566"/>
    <w:rsid w:val="00747F72"/>
    <w:rsid w:val="0075331E"/>
    <w:rsid w:val="00755297"/>
    <w:rsid w:val="0076448A"/>
    <w:rsid w:val="00764529"/>
    <w:rsid w:val="00764A50"/>
    <w:rsid w:val="00773689"/>
    <w:rsid w:val="00781B1B"/>
    <w:rsid w:val="00782650"/>
    <w:rsid w:val="007838EC"/>
    <w:rsid w:val="00786C85"/>
    <w:rsid w:val="00787D03"/>
    <w:rsid w:val="007B0F12"/>
    <w:rsid w:val="007B18BA"/>
    <w:rsid w:val="007B5258"/>
    <w:rsid w:val="007B5B2B"/>
    <w:rsid w:val="007C3C05"/>
    <w:rsid w:val="007C47F1"/>
    <w:rsid w:val="007C4A4E"/>
    <w:rsid w:val="007C5DCF"/>
    <w:rsid w:val="007C7074"/>
    <w:rsid w:val="007D3125"/>
    <w:rsid w:val="007E0952"/>
    <w:rsid w:val="007E15BB"/>
    <w:rsid w:val="007E16F1"/>
    <w:rsid w:val="007E4A5C"/>
    <w:rsid w:val="007E6753"/>
    <w:rsid w:val="007F1833"/>
    <w:rsid w:val="007F293F"/>
    <w:rsid w:val="007F50C9"/>
    <w:rsid w:val="007F576C"/>
    <w:rsid w:val="007F7D99"/>
    <w:rsid w:val="00804E98"/>
    <w:rsid w:val="00807E0E"/>
    <w:rsid w:val="00810192"/>
    <w:rsid w:val="0081656F"/>
    <w:rsid w:val="00822461"/>
    <w:rsid w:val="008241F7"/>
    <w:rsid w:val="00832BA3"/>
    <w:rsid w:val="008357CC"/>
    <w:rsid w:val="008423C2"/>
    <w:rsid w:val="00847929"/>
    <w:rsid w:val="00847FE9"/>
    <w:rsid w:val="00856CF5"/>
    <w:rsid w:val="0086043F"/>
    <w:rsid w:val="008633DF"/>
    <w:rsid w:val="00870307"/>
    <w:rsid w:val="0087417D"/>
    <w:rsid w:val="00874CA7"/>
    <w:rsid w:val="008807B7"/>
    <w:rsid w:val="008808FA"/>
    <w:rsid w:val="008815DF"/>
    <w:rsid w:val="00885212"/>
    <w:rsid w:val="008A0231"/>
    <w:rsid w:val="008A0A0F"/>
    <w:rsid w:val="008A3CF6"/>
    <w:rsid w:val="008A4C91"/>
    <w:rsid w:val="008B3BC8"/>
    <w:rsid w:val="008B61A1"/>
    <w:rsid w:val="008B7474"/>
    <w:rsid w:val="008B79CD"/>
    <w:rsid w:val="008C3DC5"/>
    <w:rsid w:val="008C3F44"/>
    <w:rsid w:val="008C3FC1"/>
    <w:rsid w:val="008C5C06"/>
    <w:rsid w:val="008D0635"/>
    <w:rsid w:val="008D1165"/>
    <w:rsid w:val="008D43BE"/>
    <w:rsid w:val="008E0EF2"/>
    <w:rsid w:val="008E56C9"/>
    <w:rsid w:val="008E7D6E"/>
    <w:rsid w:val="008F3D28"/>
    <w:rsid w:val="008F5037"/>
    <w:rsid w:val="008F55FE"/>
    <w:rsid w:val="00900586"/>
    <w:rsid w:val="00906F6F"/>
    <w:rsid w:val="009164CC"/>
    <w:rsid w:val="0092164B"/>
    <w:rsid w:val="00924407"/>
    <w:rsid w:val="00926D45"/>
    <w:rsid w:val="00932612"/>
    <w:rsid w:val="00932B36"/>
    <w:rsid w:val="00937302"/>
    <w:rsid w:val="009405BF"/>
    <w:rsid w:val="00944BB4"/>
    <w:rsid w:val="00946D72"/>
    <w:rsid w:val="00947647"/>
    <w:rsid w:val="00947A84"/>
    <w:rsid w:val="009521AD"/>
    <w:rsid w:val="009564D8"/>
    <w:rsid w:val="00965597"/>
    <w:rsid w:val="009752B7"/>
    <w:rsid w:val="00975B68"/>
    <w:rsid w:val="009763E5"/>
    <w:rsid w:val="00981374"/>
    <w:rsid w:val="009875AE"/>
    <w:rsid w:val="00995FB5"/>
    <w:rsid w:val="00997B58"/>
    <w:rsid w:val="009A0B54"/>
    <w:rsid w:val="009A230F"/>
    <w:rsid w:val="009A41A4"/>
    <w:rsid w:val="009A5D09"/>
    <w:rsid w:val="009A703B"/>
    <w:rsid w:val="009A73C6"/>
    <w:rsid w:val="009A7DB5"/>
    <w:rsid w:val="009B66BB"/>
    <w:rsid w:val="009C6EA2"/>
    <w:rsid w:val="009D0E6A"/>
    <w:rsid w:val="009D2919"/>
    <w:rsid w:val="009D3619"/>
    <w:rsid w:val="009E0FB3"/>
    <w:rsid w:val="009E4DC5"/>
    <w:rsid w:val="009F1792"/>
    <w:rsid w:val="009F2884"/>
    <w:rsid w:val="009F448A"/>
    <w:rsid w:val="009F6C56"/>
    <w:rsid w:val="00A00226"/>
    <w:rsid w:val="00A00CAE"/>
    <w:rsid w:val="00A04F8B"/>
    <w:rsid w:val="00A14087"/>
    <w:rsid w:val="00A15F7A"/>
    <w:rsid w:val="00A16980"/>
    <w:rsid w:val="00A234D4"/>
    <w:rsid w:val="00A24170"/>
    <w:rsid w:val="00A32B08"/>
    <w:rsid w:val="00A40208"/>
    <w:rsid w:val="00A45B43"/>
    <w:rsid w:val="00A46188"/>
    <w:rsid w:val="00A531F7"/>
    <w:rsid w:val="00A53954"/>
    <w:rsid w:val="00A5417B"/>
    <w:rsid w:val="00A55658"/>
    <w:rsid w:val="00A57FFA"/>
    <w:rsid w:val="00A65419"/>
    <w:rsid w:val="00A664A2"/>
    <w:rsid w:val="00A74D35"/>
    <w:rsid w:val="00A762B2"/>
    <w:rsid w:val="00A829A3"/>
    <w:rsid w:val="00A861AA"/>
    <w:rsid w:val="00A86AB6"/>
    <w:rsid w:val="00A86EDF"/>
    <w:rsid w:val="00A9194B"/>
    <w:rsid w:val="00A935D1"/>
    <w:rsid w:val="00A95E62"/>
    <w:rsid w:val="00AA2200"/>
    <w:rsid w:val="00AA2527"/>
    <w:rsid w:val="00AA295A"/>
    <w:rsid w:val="00AA573E"/>
    <w:rsid w:val="00AA6DB6"/>
    <w:rsid w:val="00AB26EE"/>
    <w:rsid w:val="00AB6D73"/>
    <w:rsid w:val="00AC6ACE"/>
    <w:rsid w:val="00AE5483"/>
    <w:rsid w:val="00AE6202"/>
    <w:rsid w:val="00AF376C"/>
    <w:rsid w:val="00AF6FCD"/>
    <w:rsid w:val="00B14DA8"/>
    <w:rsid w:val="00B20569"/>
    <w:rsid w:val="00B231F5"/>
    <w:rsid w:val="00B234E3"/>
    <w:rsid w:val="00B26EC9"/>
    <w:rsid w:val="00B30A9A"/>
    <w:rsid w:val="00B37A70"/>
    <w:rsid w:val="00B432D0"/>
    <w:rsid w:val="00B4410E"/>
    <w:rsid w:val="00B53E72"/>
    <w:rsid w:val="00B668C1"/>
    <w:rsid w:val="00B67F30"/>
    <w:rsid w:val="00B76002"/>
    <w:rsid w:val="00B77A91"/>
    <w:rsid w:val="00B80442"/>
    <w:rsid w:val="00B854D4"/>
    <w:rsid w:val="00B90298"/>
    <w:rsid w:val="00B96B3F"/>
    <w:rsid w:val="00B97D46"/>
    <w:rsid w:val="00BA0F3D"/>
    <w:rsid w:val="00BA52EC"/>
    <w:rsid w:val="00BB6DE5"/>
    <w:rsid w:val="00BB7CFA"/>
    <w:rsid w:val="00BC27F0"/>
    <w:rsid w:val="00BC378F"/>
    <w:rsid w:val="00BD60B3"/>
    <w:rsid w:val="00BE2D02"/>
    <w:rsid w:val="00BE4187"/>
    <w:rsid w:val="00BE4639"/>
    <w:rsid w:val="00BF2DDE"/>
    <w:rsid w:val="00BF6D21"/>
    <w:rsid w:val="00C03D72"/>
    <w:rsid w:val="00C04D8A"/>
    <w:rsid w:val="00C056FE"/>
    <w:rsid w:val="00C05817"/>
    <w:rsid w:val="00C10BB4"/>
    <w:rsid w:val="00C149ED"/>
    <w:rsid w:val="00C156AA"/>
    <w:rsid w:val="00C15D06"/>
    <w:rsid w:val="00C162E9"/>
    <w:rsid w:val="00C207AD"/>
    <w:rsid w:val="00C32C39"/>
    <w:rsid w:val="00C40D2F"/>
    <w:rsid w:val="00C526D2"/>
    <w:rsid w:val="00C54030"/>
    <w:rsid w:val="00C56316"/>
    <w:rsid w:val="00C56583"/>
    <w:rsid w:val="00C57DB3"/>
    <w:rsid w:val="00C57DF3"/>
    <w:rsid w:val="00C606F0"/>
    <w:rsid w:val="00C60F05"/>
    <w:rsid w:val="00C619F0"/>
    <w:rsid w:val="00C62587"/>
    <w:rsid w:val="00C62900"/>
    <w:rsid w:val="00C65FD6"/>
    <w:rsid w:val="00C70324"/>
    <w:rsid w:val="00C74528"/>
    <w:rsid w:val="00C764DD"/>
    <w:rsid w:val="00C81A36"/>
    <w:rsid w:val="00C844D6"/>
    <w:rsid w:val="00C93F07"/>
    <w:rsid w:val="00CA1153"/>
    <w:rsid w:val="00CA4F62"/>
    <w:rsid w:val="00CA6A7F"/>
    <w:rsid w:val="00CB0350"/>
    <w:rsid w:val="00CB6FA9"/>
    <w:rsid w:val="00CC2139"/>
    <w:rsid w:val="00CD0CA0"/>
    <w:rsid w:val="00CD3575"/>
    <w:rsid w:val="00CD5B39"/>
    <w:rsid w:val="00CD6A6D"/>
    <w:rsid w:val="00CD7D52"/>
    <w:rsid w:val="00CF22F5"/>
    <w:rsid w:val="00D011CD"/>
    <w:rsid w:val="00D03C09"/>
    <w:rsid w:val="00D06003"/>
    <w:rsid w:val="00D21F8F"/>
    <w:rsid w:val="00D244ED"/>
    <w:rsid w:val="00D34D18"/>
    <w:rsid w:val="00D358C3"/>
    <w:rsid w:val="00D428B5"/>
    <w:rsid w:val="00D43BE8"/>
    <w:rsid w:val="00D43F13"/>
    <w:rsid w:val="00D4534A"/>
    <w:rsid w:val="00D46A91"/>
    <w:rsid w:val="00D46D1A"/>
    <w:rsid w:val="00D47208"/>
    <w:rsid w:val="00D557BC"/>
    <w:rsid w:val="00D55B6C"/>
    <w:rsid w:val="00D571BA"/>
    <w:rsid w:val="00D65B44"/>
    <w:rsid w:val="00D6798C"/>
    <w:rsid w:val="00D70C31"/>
    <w:rsid w:val="00D70D55"/>
    <w:rsid w:val="00D7688C"/>
    <w:rsid w:val="00D818D6"/>
    <w:rsid w:val="00D820DC"/>
    <w:rsid w:val="00D85062"/>
    <w:rsid w:val="00D901E3"/>
    <w:rsid w:val="00D924E3"/>
    <w:rsid w:val="00D946CC"/>
    <w:rsid w:val="00D96218"/>
    <w:rsid w:val="00DA0B64"/>
    <w:rsid w:val="00DA0C0D"/>
    <w:rsid w:val="00DA5075"/>
    <w:rsid w:val="00DB0A7E"/>
    <w:rsid w:val="00DB5E1A"/>
    <w:rsid w:val="00DC1DAE"/>
    <w:rsid w:val="00DC304E"/>
    <w:rsid w:val="00DC69D5"/>
    <w:rsid w:val="00DD248A"/>
    <w:rsid w:val="00DD549C"/>
    <w:rsid w:val="00DE2328"/>
    <w:rsid w:val="00DE445B"/>
    <w:rsid w:val="00DE5245"/>
    <w:rsid w:val="00DF5387"/>
    <w:rsid w:val="00DF5C44"/>
    <w:rsid w:val="00DF693C"/>
    <w:rsid w:val="00E0131B"/>
    <w:rsid w:val="00E07659"/>
    <w:rsid w:val="00E1300D"/>
    <w:rsid w:val="00E14515"/>
    <w:rsid w:val="00E17FD0"/>
    <w:rsid w:val="00E20C84"/>
    <w:rsid w:val="00E3352F"/>
    <w:rsid w:val="00E427A6"/>
    <w:rsid w:val="00E5341B"/>
    <w:rsid w:val="00E62A23"/>
    <w:rsid w:val="00E6431E"/>
    <w:rsid w:val="00E65D46"/>
    <w:rsid w:val="00E666E3"/>
    <w:rsid w:val="00E66F29"/>
    <w:rsid w:val="00E67EB8"/>
    <w:rsid w:val="00E717B2"/>
    <w:rsid w:val="00E719CF"/>
    <w:rsid w:val="00E81C80"/>
    <w:rsid w:val="00E8217C"/>
    <w:rsid w:val="00E82257"/>
    <w:rsid w:val="00E90293"/>
    <w:rsid w:val="00E93544"/>
    <w:rsid w:val="00E96025"/>
    <w:rsid w:val="00E97BAB"/>
    <w:rsid w:val="00EA6BB6"/>
    <w:rsid w:val="00EB4CBA"/>
    <w:rsid w:val="00EC13CD"/>
    <w:rsid w:val="00EC2E8F"/>
    <w:rsid w:val="00EC4C91"/>
    <w:rsid w:val="00ED03BE"/>
    <w:rsid w:val="00ED16CD"/>
    <w:rsid w:val="00ED69DB"/>
    <w:rsid w:val="00EE0B1B"/>
    <w:rsid w:val="00EE3E63"/>
    <w:rsid w:val="00EE42E3"/>
    <w:rsid w:val="00EE7763"/>
    <w:rsid w:val="00EF2984"/>
    <w:rsid w:val="00EF3F85"/>
    <w:rsid w:val="00F02995"/>
    <w:rsid w:val="00F177AE"/>
    <w:rsid w:val="00F17889"/>
    <w:rsid w:val="00F17979"/>
    <w:rsid w:val="00F20A34"/>
    <w:rsid w:val="00F22932"/>
    <w:rsid w:val="00F26C05"/>
    <w:rsid w:val="00F30967"/>
    <w:rsid w:val="00F34137"/>
    <w:rsid w:val="00F35E39"/>
    <w:rsid w:val="00F41479"/>
    <w:rsid w:val="00F430D3"/>
    <w:rsid w:val="00F47939"/>
    <w:rsid w:val="00F512D4"/>
    <w:rsid w:val="00F54E65"/>
    <w:rsid w:val="00F553C3"/>
    <w:rsid w:val="00F563BE"/>
    <w:rsid w:val="00F66166"/>
    <w:rsid w:val="00F6655A"/>
    <w:rsid w:val="00F72F56"/>
    <w:rsid w:val="00F82D5A"/>
    <w:rsid w:val="00F84D13"/>
    <w:rsid w:val="00F86544"/>
    <w:rsid w:val="00F87497"/>
    <w:rsid w:val="00F97687"/>
    <w:rsid w:val="00FA525B"/>
    <w:rsid w:val="00FA7085"/>
    <w:rsid w:val="00FB2E0C"/>
    <w:rsid w:val="00FB6086"/>
    <w:rsid w:val="00FC1732"/>
    <w:rsid w:val="00FC28BA"/>
    <w:rsid w:val="00FD4747"/>
    <w:rsid w:val="00FD7883"/>
    <w:rsid w:val="00FE3C52"/>
    <w:rsid w:val="00FE75FE"/>
    <w:rsid w:val="00FF423C"/>
    <w:rsid w:val="00FF44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56F5"/>
    <w:rPr>
      <w:sz w:val="24"/>
      <w:szCs w:val="24"/>
    </w:rPr>
  </w:style>
  <w:style w:type="paragraph" w:styleId="Heading1">
    <w:name w:val="heading 1"/>
    <w:aliases w:val="l1"/>
    <w:basedOn w:val="Normal"/>
    <w:next w:val="Normal"/>
    <w:link w:val="Heading1Char"/>
    <w:qFormat/>
    <w:rsid w:val="00BC378F"/>
    <w:pPr>
      <w:keepNext/>
      <w:spacing w:before="120" w:after="120"/>
      <w:outlineLvl w:val="0"/>
    </w:pPr>
    <w:rPr>
      <w:rFonts w:ascii="Times New Roman Bold" w:hAnsi="Times New Roman Bold"/>
      <w:b/>
      <w:bCs/>
      <w:caps/>
    </w:rPr>
  </w:style>
  <w:style w:type="paragraph" w:styleId="Heading2">
    <w:name w:val="heading 2"/>
    <w:aliases w:val="l2"/>
    <w:basedOn w:val="Normal"/>
    <w:next w:val="Normal"/>
    <w:link w:val="Heading2Char"/>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link w:val="Heading3Char"/>
    <w:uiPriority w:val="9"/>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qFormat/>
    <w:rsid w:val="000256F5"/>
    <w:pPr>
      <w:keepNext/>
      <w:spacing w:before="240" w:after="120"/>
      <w:ind w:left="-86"/>
      <w:outlineLvl w:val="3"/>
    </w:pPr>
    <w:rPr>
      <w:bCs/>
      <w:i/>
      <w:szCs w:val="22"/>
    </w:rPr>
  </w:style>
  <w:style w:type="paragraph" w:styleId="Heading5">
    <w:name w:val="heading 5"/>
    <w:basedOn w:val="Normal"/>
    <w:next w:val="Normal"/>
    <w:semiHidden/>
    <w:unhideWhenUsed/>
    <w:qFormat/>
    <w:rsid w:val="00BC378F"/>
    <w:pPr>
      <w:keepNext/>
      <w:widowControl w:val="0"/>
      <w:outlineLvl w:val="4"/>
    </w:pPr>
    <w:rPr>
      <w:rFonts w:ascii="Arial" w:hAnsi="Arial" w:cs="Arial"/>
      <w:b/>
      <w:bCs/>
      <w:sz w:val="20"/>
      <w:szCs w:val="20"/>
      <w:u w:val="single"/>
    </w:rPr>
  </w:style>
  <w:style w:type="paragraph" w:styleId="Heading6">
    <w:name w:val="heading 6"/>
    <w:basedOn w:val="Normal"/>
    <w:next w:val="Normal"/>
    <w:semiHidden/>
    <w:unhideWhenUsed/>
    <w:qFormat/>
    <w:rsid w:val="00BC378F"/>
    <w:pPr>
      <w:keepNext/>
      <w:jc w:val="center"/>
      <w:outlineLvl w:val="5"/>
    </w:pPr>
    <w:rPr>
      <w:rFonts w:ascii="Arial" w:hAnsi="Arial" w:cs="Arial"/>
      <w:b/>
      <w:bCs/>
    </w:rPr>
  </w:style>
  <w:style w:type="paragraph" w:styleId="Heading7">
    <w:name w:val="heading 7"/>
    <w:basedOn w:val="Normal"/>
    <w:next w:val="Normal"/>
    <w:semiHidden/>
    <w:unhideWhenUsed/>
    <w:qFormat/>
    <w:rsid w:val="00BC378F"/>
    <w:pPr>
      <w:keepNext/>
      <w:jc w:val="center"/>
      <w:outlineLvl w:val="6"/>
    </w:pPr>
    <w:rPr>
      <w:rFonts w:ascii="Arial" w:hAnsi="Arial" w:cs="Arial"/>
      <w:b/>
      <w:bCs/>
      <w:sz w:val="16"/>
      <w:szCs w:val="16"/>
    </w:rPr>
  </w:style>
  <w:style w:type="paragraph" w:styleId="Heading8">
    <w:name w:val="heading 8"/>
    <w:basedOn w:val="Normal"/>
    <w:next w:val="Normal"/>
    <w:semiHidden/>
    <w:unhideWhenUsed/>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semiHidden/>
    <w:unhideWhenUsed/>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736695"/>
    <w:pPr>
      <w:spacing w:after="120" w:line="240" w:lineRule="exact"/>
      <w:ind w:left="1080" w:hanging="360"/>
    </w:pPr>
    <w:rPr>
      <w:color w:val="000000"/>
    </w:rPr>
  </w:style>
  <w:style w:type="paragraph" w:customStyle="1" w:styleId="exhibitsource">
    <w:name w:val="exhibit source"/>
    <w:basedOn w:val="Normal"/>
    <w:rsid w:val="00F66166"/>
    <w:pPr>
      <w:spacing w:after="120"/>
    </w:pPr>
    <w:rPr>
      <w:sz w:val="20"/>
      <w:szCs w:val="22"/>
    </w:rPr>
  </w:style>
  <w:style w:type="numbering" w:customStyle="1" w:styleId="NoList1">
    <w:name w:val="No List1"/>
    <w:next w:val="NoList"/>
    <w:semiHidden/>
    <w:rsid w:val="00BC378F"/>
  </w:style>
  <w:style w:type="table" w:styleId="TableGrid">
    <w:name w:val="Table Grid"/>
    <w:basedOn w:val="TableNormal"/>
    <w:rsid w:val="006E24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aliases w:val="l2 Char"/>
    <w:basedOn w:val="DefaultParagraphFont"/>
    <w:link w:val="Heading2"/>
    <w:rsid w:val="0055363C"/>
    <w:rPr>
      <w:rFonts w:cs="Arial"/>
      <w:b/>
      <w:bCs/>
      <w:iCs/>
      <w:sz w:val="24"/>
      <w:szCs w:val="28"/>
    </w:rPr>
  </w:style>
  <w:style w:type="paragraph" w:customStyle="1" w:styleId="bullets-blank">
    <w:name w:val="bullets-blank"/>
    <w:basedOn w:val="Normal"/>
    <w:rsid w:val="0055363C"/>
    <w:pPr>
      <w:spacing w:after="120"/>
      <w:ind w:left="1080" w:hanging="360"/>
    </w:pPr>
  </w:style>
  <w:style w:type="paragraph" w:styleId="ListParagraph">
    <w:name w:val="List Paragraph"/>
    <w:basedOn w:val="Normal"/>
    <w:uiPriority w:val="99"/>
    <w:qFormat/>
    <w:rsid w:val="002E5438"/>
    <w:pPr>
      <w:spacing w:after="240"/>
      <w:ind w:left="1080" w:hanging="360"/>
    </w:pPr>
    <w:rPr>
      <w:szCs w:val="20"/>
    </w:rPr>
  </w:style>
  <w:style w:type="character" w:customStyle="1" w:styleId="bodytextChar">
    <w:name w:val="body text Char"/>
    <w:basedOn w:val="DefaultParagraphFont"/>
    <w:link w:val="BodyText1"/>
    <w:rsid w:val="0055363C"/>
    <w:rPr>
      <w:sz w:val="24"/>
    </w:rPr>
  </w:style>
  <w:style w:type="paragraph" w:customStyle="1" w:styleId="paragraph">
    <w:name w:val="paragraph"/>
    <w:basedOn w:val="Normal"/>
    <w:rsid w:val="00BC378F"/>
    <w:pPr>
      <w:spacing w:before="200" w:line="320" w:lineRule="exact"/>
      <w:ind w:left="1440"/>
    </w:pPr>
  </w:style>
  <w:style w:type="paragraph" w:styleId="CommentText">
    <w:name w:val="annotation text"/>
    <w:basedOn w:val="Normal"/>
    <w:link w:val="CommentTextChar"/>
    <w:uiPriority w:val="99"/>
    <w:rsid w:val="0055363C"/>
    <w:rPr>
      <w:sz w:val="20"/>
      <w:szCs w:val="20"/>
    </w:rPr>
  </w:style>
  <w:style w:type="paragraph" w:styleId="FootnoteText">
    <w:name w:val="footnote text"/>
    <w:aliases w:val="ft,fo"/>
    <w:basedOn w:val="Normal"/>
    <w:semiHidden/>
    <w:rsid w:val="00BC378F"/>
    <w:pPr>
      <w:widowControl w:val="0"/>
    </w:pPr>
    <w:rPr>
      <w:rFonts w:ascii="Courier New" w:hAnsi="Courier New" w:cs="Courier New"/>
    </w:rPr>
  </w:style>
  <w:style w:type="character" w:styleId="FootnoteReference">
    <w:name w:val="footnote reference"/>
    <w:aliases w:val="fr"/>
    <w:basedOn w:val="DefaultParagraphFont"/>
    <w:semiHidden/>
    <w:rsid w:val="00BC378F"/>
    <w:rPr>
      <w:rFonts w:ascii="Courier New" w:hAnsi="Courier New" w:cs="Courier New"/>
      <w:sz w:val="24"/>
      <w:szCs w:val="24"/>
    </w:rPr>
  </w:style>
  <w:style w:type="character" w:customStyle="1" w:styleId="CommentTextChar">
    <w:name w:val="Comment Text Char"/>
    <w:basedOn w:val="DefaultParagraphFont"/>
    <w:link w:val="CommentText"/>
    <w:uiPriority w:val="99"/>
    <w:rsid w:val="0055363C"/>
  </w:style>
  <w:style w:type="character" w:styleId="CommentReference">
    <w:name w:val="annotation reference"/>
    <w:basedOn w:val="DefaultParagraphFont"/>
    <w:unhideWhenUsed/>
    <w:rsid w:val="0055363C"/>
    <w:rPr>
      <w:sz w:val="16"/>
      <w:szCs w:val="16"/>
    </w:rPr>
  </w:style>
  <w:style w:type="paragraph" w:styleId="ListNumber">
    <w:name w:val="List Number"/>
    <w:basedOn w:val="Normal"/>
    <w:rsid w:val="000256F5"/>
    <w:pPr>
      <w:numPr>
        <w:numId w:val="9"/>
      </w:numPr>
      <w:tabs>
        <w:tab w:val="clear" w:pos="360"/>
        <w:tab w:val="num" w:pos="1080"/>
      </w:tabs>
      <w:spacing w:after="120"/>
      <w:ind w:left="1080"/>
    </w:pPr>
  </w:style>
  <w:style w:type="paragraph" w:customStyle="1" w:styleId="heading10">
    <w:name w:val="heading1"/>
    <w:basedOn w:val="Normal"/>
    <w:next w:val="Normal"/>
    <w:semiHidden/>
    <w:unhideWhenUsed/>
    <w:rsid w:val="00BC378F"/>
    <w:pPr>
      <w:spacing w:before="120" w:after="120"/>
    </w:pPr>
    <w:rPr>
      <w:b/>
      <w:bCs/>
      <w:sz w:val="22"/>
      <w:szCs w:val="22"/>
    </w:rPr>
  </w:style>
  <w:style w:type="character" w:customStyle="1" w:styleId="Heading3Char">
    <w:name w:val="Heading 3 Char"/>
    <w:basedOn w:val="DefaultParagraphFont"/>
    <w:link w:val="Heading3"/>
    <w:uiPriority w:val="9"/>
    <w:rsid w:val="0055363C"/>
    <w:rPr>
      <w:rFonts w:cs="Arial"/>
      <w:b/>
      <w:bCs/>
      <w:i/>
      <w:iCs/>
      <w:sz w:val="24"/>
      <w:szCs w:val="22"/>
      <w:lang w:val="en-CA"/>
    </w:rPr>
  </w:style>
  <w:style w:type="paragraph" w:customStyle="1" w:styleId="heading20">
    <w:name w:val="heading2"/>
    <w:basedOn w:val="Heading3"/>
    <w:next w:val="Normal"/>
    <w:semiHidden/>
    <w:rsid w:val="00BC378F"/>
    <w:pPr>
      <w:spacing w:before="120"/>
    </w:pPr>
    <w:rPr>
      <w:rFonts w:cs="Times New Roman"/>
    </w:rPr>
  </w:style>
  <w:style w:type="paragraph" w:customStyle="1" w:styleId="tabfigsource">
    <w:name w:val="tab/fig source"/>
    <w:basedOn w:val="Normal"/>
    <w:rsid w:val="0055363C"/>
    <w:pPr>
      <w:keepLines/>
      <w:spacing w:before="120" w:after="240"/>
      <w:ind w:left="187" w:hanging="187"/>
    </w:pPr>
    <w:rPr>
      <w:sz w:val="20"/>
    </w:rPr>
  </w:style>
  <w:style w:type="paragraph" w:styleId="BalloonText">
    <w:name w:val="Balloon Text"/>
    <w:basedOn w:val="Normal"/>
    <w:semiHidden/>
    <w:rsid w:val="00BC378F"/>
    <w:pPr>
      <w:numPr>
        <w:numId w:val="2"/>
      </w:numPr>
      <w:tabs>
        <w:tab w:val="clear" w:pos="720"/>
        <w:tab w:val="num" w:pos="360"/>
      </w:tabs>
      <w:ind w:left="0" w:firstLine="0"/>
    </w:pPr>
    <w:rPr>
      <w:rFonts w:ascii="Tahoma" w:hAnsi="Tahoma" w:cs="Tahoma"/>
      <w:sz w:val="16"/>
      <w:szCs w:val="16"/>
    </w:rPr>
  </w:style>
  <w:style w:type="character" w:customStyle="1" w:styleId="Heading1Char">
    <w:name w:val="Heading 1 Char"/>
    <w:aliases w:val="l1 Char"/>
    <w:basedOn w:val="DefaultParagraphFont"/>
    <w:link w:val="Heading1"/>
    <w:rsid w:val="0055363C"/>
    <w:rPr>
      <w:rFonts w:ascii="Times New Roman Bold" w:hAnsi="Times New Roman Bold"/>
      <w:b/>
      <w:bCs/>
      <w:caps/>
      <w:sz w:val="24"/>
      <w:szCs w:val="24"/>
    </w:rPr>
  </w:style>
  <w:style w:type="paragraph" w:customStyle="1" w:styleId="Heading3NoTOC">
    <w:name w:val="Heading 3 NoTOC"/>
    <w:basedOn w:val="Heading3"/>
    <w:qFormat/>
    <w:rsid w:val="002E5438"/>
  </w:style>
  <w:style w:type="character" w:customStyle="1" w:styleId="journalname">
    <w:name w:val="journalname"/>
    <w:basedOn w:val="DefaultParagraphFont"/>
    <w:rsid w:val="00522AD4"/>
  </w:style>
  <w:style w:type="paragraph" w:styleId="Header">
    <w:name w:val="header"/>
    <w:basedOn w:val="Normal"/>
    <w:rsid w:val="00BC378F"/>
    <w:pPr>
      <w:tabs>
        <w:tab w:val="center" w:pos="4320"/>
        <w:tab w:val="right" w:pos="8640"/>
      </w:tabs>
    </w:pPr>
    <w:rPr>
      <w:sz w:val="20"/>
      <w:szCs w:val="20"/>
    </w:rPr>
  </w:style>
  <w:style w:type="paragraph" w:styleId="Footer">
    <w:name w:val="footer"/>
    <w:basedOn w:val="Normal"/>
    <w:rsid w:val="00BC378F"/>
    <w:pPr>
      <w:tabs>
        <w:tab w:val="center" w:pos="4320"/>
        <w:tab w:val="right" w:pos="8640"/>
      </w:tabs>
    </w:pPr>
    <w:rPr>
      <w:sz w:val="20"/>
      <w:szCs w:val="20"/>
    </w:rPr>
  </w:style>
  <w:style w:type="character" w:styleId="PageNumber">
    <w:name w:val="page number"/>
    <w:basedOn w:val="DefaultParagraphFont"/>
    <w:rsid w:val="00BC378F"/>
    <w:rPr>
      <w:rFonts w:ascii="Times New Roman" w:hAnsi="Times New Roman"/>
      <w:sz w:val="24"/>
    </w:rPr>
  </w:style>
  <w:style w:type="paragraph" w:styleId="ListBullet">
    <w:name w:val="List Bullet"/>
    <w:basedOn w:val="Normal"/>
    <w:rsid w:val="00522AD4"/>
    <w:pPr>
      <w:numPr>
        <w:numId w:val="13"/>
      </w:numPr>
      <w:tabs>
        <w:tab w:val="clear" w:pos="360"/>
        <w:tab w:val="num" w:pos="1080"/>
      </w:tabs>
      <w:spacing w:after="120"/>
      <w:ind w:left="1080"/>
    </w:pPr>
  </w:style>
  <w:style w:type="paragraph" w:styleId="EndnoteText">
    <w:name w:val="endnote text"/>
    <w:basedOn w:val="Normal"/>
    <w:semiHidden/>
    <w:rsid w:val="00BC378F"/>
    <w:rPr>
      <w:sz w:val="20"/>
      <w:szCs w:val="20"/>
    </w:rPr>
  </w:style>
  <w:style w:type="character" w:styleId="EndnoteReference">
    <w:name w:val="endnote reference"/>
    <w:basedOn w:val="DefaultParagraphFont"/>
    <w:semiHidden/>
    <w:rsid w:val="00BC378F"/>
    <w:rPr>
      <w:vertAlign w:val="superscript"/>
    </w:rPr>
  </w:style>
  <w:style w:type="paragraph" w:styleId="Title">
    <w:name w:val="Title"/>
    <w:basedOn w:val="Normal"/>
    <w:qFormat/>
    <w:rsid w:val="00BC378F"/>
    <w:pPr>
      <w:ind w:left="-270"/>
      <w:jc w:val="center"/>
    </w:pPr>
    <w:rPr>
      <w:b/>
      <w:bCs/>
    </w:rPr>
  </w:style>
  <w:style w:type="paragraph" w:customStyle="1" w:styleId="Level1">
    <w:name w:val="Level 1"/>
    <w:basedOn w:val="Normal"/>
    <w:rsid w:val="00BC378F"/>
    <w:pPr>
      <w:widowControl w:val="0"/>
      <w:autoSpaceDE w:val="0"/>
      <w:autoSpaceDN w:val="0"/>
      <w:adjustRightInd w:val="0"/>
      <w:ind w:left="720" w:hanging="720"/>
    </w:pPr>
  </w:style>
  <w:style w:type="character" w:styleId="Hyperlink">
    <w:name w:val="Hyperlink"/>
    <w:basedOn w:val="DefaultParagraphFont"/>
    <w:uiPriority w:val="99"/>
    <w:rsid w:val="00BC378F"/>
    <w:rPr>
      <w:color w:val="0000FF"/>
      <w:u w:val="single"/>
    </w:rPr>
  </w:style>
  <w:style w:type="paragraph" w:styleId="E-mailSignature">
    <w:name w:val="E-mail Signature"/>
    <w:basedOn w:val="Normal"/>
    <w:rsid w:val="00BC378F"/>
  </w:style>
  <w:style w:type="paragraph" w:customStyle="1" w:styleId="footnotetex">
    <w:name w:val="footnote tex"/>
    <w:rsid w:val="00BC378F"/>
    <w:pPr>
      <w:autoSpaceDE w:val="0"/>
      <w:autoSpaceDN w:val="0"/>
      <w:adjustRightInd w:val="0"/>
    </w:pPr>
  </w:style>
  <w:style w:type="paragraph" w:styleId="NormalWeb">
    <w:name w:val="Normal (Web)"/>
    <w:basedOn w:val="Normal"/>
    <w:rsid w:val="00BC378F"/>
    <w:pPr>
      <w:spacing w:before="100" w:beforeAutospacing="1" w:after="100" w:afterAutospacing="1"/>
    </w:pPr>
    <w:rPr>
      <w:rFonts w:ascii="Arial" w:hAnsi="Arial" w:cs="Arial"/>
      <w:color w:val="000000"/>
    </w:rPr>
  </w:style>
  <w:style w:type="character" w:styleId="Strong">
    <w:name w:val="Strong"/>
    <w:basedOn w:val="DefaultParagraphFont"/>
    <w:qFormat/>
    <w:rsid w:val="00BC378F"/>
    <w:rPr>
      <w:b/>
      <w:bCs/>
    </w:rPr>
  </w:style>
  <w:style w:type="character" w:styleId="Emphasis">
    <w:name w:val="Emphasis"/>
    <w:basedOn w:val="DefaultParagraphFont"/>
    <w:qFormat/>
    <w:rsid w:val="00BC378F"/>
    <w:rPr>
      <w:i/>
      <w:iCs/>
    </w:rPr>
  </w:style>
  <w:style w:type="paragraph" w:styleId="HTMLPreformatted">
    <w:name w:val="HTML Preformatted"/>
    <w:basedOn w:val="Normal"/>
    <w:semiHidden/>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BC378F"/>
    <w:pPr>
      <w:tabs>
        <w:tab w:val="right" w:leader="dot" w:pos="9350"/>
      </w:tabs>
      <w:spacing w:before="240" w:after="120"/>
      <w:ind w:left="720" w:hanging="360"/>
    </w:pPr>
    <w:rPr>
      <w:noProof/>
    </w:rPr>
  </w:style>
  <w:style w:type="paragraph" w:customStyle="1" w:styleId="BodyText1">
    <w:name w:val="Body Text1"/>
    <w:basedOn w:val="Normal"/>
    <w:link w:val="bodytextChar"/>
    <w:rsid w:val="00736695"/>
    <w:pPr>
      <w:spacing w:after="120" w:line="360" w:lineRule="auto"/>
      <w:ind w:firstLine="720"/>
    </w:pPr>
    <w:rPr>
      <w:szCs w:val="20"/>
    </w:rPr>
  </w:style>
  <w:style w:type="paragraph" w:styleId="TOC2">
    <w:name w:val="toc 2"/>
    <w:basedOn w:val="Normal"/>
    <w:next w:val="Normal"/>
    <w:autoRedefine/>
    <w:uiPriority w:val="39"/>
    <w:rsid w:val="00BC378F"/>
    <w:pPr>
      <w:tabs>
        <w:tab w:val="right" w:leader="dot" w:pos="9350"/>
      </w:tabs>
      <w:spacing w:before="120" w:after="120"/>
      <w:ind w:left="1350" w:hanging="630"/>
    </w:pPr>
    <w:rPr>
      <w:noProof/>
    </w:rPr>
  </w:style>
  <w:style w:type="paragraph" w:customStyle="1" w:styleId="Cov-Date">
    <w:name w:val="Cov-Date"/>
    <w:basedOn w:val="Normal"/>
    <w:semiHidden/>
    <w:rsid w:val="00495ADF"/>
    <w:pPr>
      <w:jc w:val="right"/>
    </w:pPr>
    <w:rPr>
      <w:rFonts w:ascii="Arial" w:hAnsi="Arial"/>
      <w:b/>
      <w:sz w:val="28"/>
      <w:szCs w:val="20"/>
    </w:rPr>
  </w:style>
  <w:style w:type="paragraph" w:customStyle="1" w:styleId="Cov-Title">
    <w:name w:val="Cov-Title"/>
    <w:basedOn w:val="Normal"/>
    <w:semiHidden/>
    <w:rsid w:val="00495ADF"/>
    <w:pPr>
      <w:jc w:val="right"/>
    </w:pPr>
    <w:rPr>
      <w:rFonts w:ascii="Arial Black" w:hAnsi="Arial Black"/>
      <w:sz w:val="48"/>
      <w:szCs w:val="20"/>
    </w:rPr>
  </w:style>
  <w:style w:type="paragraph" w:customStyle="1" w:styleId="Cov-Author">
    <w:name w:val="Cov-Author"/>
    <w:basedOn w:val="Normal"/>
    <w:semiHidden/>
    <w:rsid w:val="00495ADF"/>
    <w:pPr>
      <w:jc w:val="right"/>
    </w:pPr>
    <w:rPr>
      <w:rFonts w:ascii="Arial Black" w:hAnsi="Arial Black"/>
      <w:szCs w:val="20"/>
    </w:rPr>
  </w:style>
  <w:style w:type="paragraph" w:customStyle="1" w:styleId="Cov-Address">
    <w:name w:val="Cov-Address"/>
    <w:basedOn w:val="Normal"/>
    <w:semiHidden/>
    <w:rsid w:val="00495ADF"/>
    <w:pPr>
      <w:jc w:val="right"/>
    </w:pPr>
    <w:rPr>
      <w:rFonts w:ascii="Arial" w:hAnsi="Arial"/>
      <w:szCs w:val="20"/>
    </w:rPr>
  </w:style>
  <w:style w:type="paragraph" w:styleId="DocumentMap">
    <w:name w:val="Document Map"/>
    <w:basedOn w:val="Normal"/>
    <w:semiHidden/>
    <w:rsid w:val="00495ADF"/>
    <w:pPr>
      <w:shd w:val="clear" w:color="auto" w:fill="000080"/>
    </w:pPr>
    <w:rPr>
      <w:rFonts w:ascii="Tahoma" w:hAnsi="Tahoma" w:cs="Tahoma"/>
    </w:rPr>
  </w:style>
  <w:style w:type="paragraph" w:styleId="TOC4">
    <w:name w:val="toc 4"/>
    <w:basedOn w:val="Normal"/>
    <w:next w:val="Normal"/>
    <w:rsid w:val="00495ADF"/>
    <w:pPr>
      <w:tabs>
        <w:tab w:val="right" w:leader="dot" w:pos="9360"/>
      </w:tabs>
      <w:spacing w:before="60"/>
      <w:ind w:left="3240" w:hanging="720"/>
    </w:pPr>
    <w:rPr>
      <w:szCs w:val="20"/>
    </w:rPr>
  </w:style>
  <w:style w:type="paragraph" w:styleId="TOC3">
    <w:name w:val="toc 3"/>
    <w:basedOn w:val="Normal"/>
    <w:next w:val="Normal"/>
    <w:uiPriority w:val="39"/>
    <w:rsid w:val="006E2440"/>
    <w:pPr>
      <w:tabs>
        <w:tab w:val="right" w:leader="dot" w:pos="9360"/>
      </w:tabs>
      <w:spacing w:before="80" w:after="40"/>
      <w:ind w:left="2340" w:right="720" w:hanging="900"/>
    </w:pPr>
    <w:rPr>
      <w:noProof/>
      <w:szCs w:val="20"/>
    </w:rPr>
  </w:style>
  <w:style w:type="paragraph" w:customStyle="1" w:styleId="Question">
    <w:name w:val="Question"/>
    <w:basedOn w:val="Normal"/>
    <w:semiHidden/>
    <w:rsid w:val="00495ADF"/>
    <w:pPr>
      <w:keepNext/>
      <w:keepLines/>
      <w:spacing w:before="160" w:after="60"/>
      <w:ind w:left="900" w:hanging="547"/>
    </w:pPr>
    <w:rPr>
      <w:rFonts w:ascii="Optima" w:hAnsi="Optima"/>
      <w:sz w:val="22"/>
      <w:szCs w:val="20"/>
    </w:rPr>
  </w:style>
  <w:style w:type="character" w:customStyle="1" w:styleId="Heading7Char">
    <w:name w:val="Heading 7 Char"/>
    <w:basedOn w:val="DefaultParagraphFont"/>
    <w:semiHidden/>
    <w:unhideWhenUsed/>
    <w:rsid w:val="00495ADF"/>
    <w:rPr>
      <w:b/>
      <w:noProof w:val="0"/>
      <w:snapToGrid w:val="0"/>
      <w:sz w:val="24"/>
      <w:u w:val="single"/>
      <w:lang w:val="en-US" w:eastAsia="en-US" w:bidi="ar-SA"/>
    </w:rPr>
  </w:style>
  <w:style w:type="paragraph" w:styleId="TOC5">
    <w:name w:val="toc 5"/>
    <w:basedOn w:val="Normal"/>
    <w:next w:val="Normal"/>
    <w:uiPriority w:val="39"/>
    <w:rsid w:val="00495ADF"/>
    <w:pPr>
      <w:tabs>
        <w:tab w:val="right" w:leader="dot" w:pos="9360"/>
      </w:tabs>
      <w:spacing w:before="40" w:after="40"/>
      <w:ind w:left="1080" w:right="720" w:hanging="1080"/>
    </w:pPr>
    <w:rPr>
      <w:noProof/>
      <w:szCs w:val="20"/>
    </w:rPr>
  </w:style>
  <w:style w:type="paragraph" w:styleId="Index2">
    <w:name w:val="index 2"/>
    <w:basedOn w:val="Normal"/>
    <w:next w:val="Normal"/>
    <w:semiHidden/>
    <w:rsid w:val="00495ADF"/>
    <w:pPr>
      <w:ind w:left="360"/>
    </w:pPr>
    <w:rPr>
      <w:szCs w:val="20"/>
    </w:rPr>
  </w:style>
  <w:style w:type="paragraph" w:styleId="Index1">
    <w:name w:val="index 1"/>
    <w:basedOn w:val="Normal"/>
    <w:next w:val="Normal"/>
    <w:semiHidden/>
    <w:rsid w:val="00495ADF"/>
    <w:rPr>
      <w:szCs w:val="20"/>
    </w:rPr>
  </w:style>
  <w:style w:type="character" w:styleId="LineNumber">
    <w:name w:val="line number"/>
    <w:basedOn w:val="DefaultParagraphFont"/>
    <w:semiHidden/>
    <w:rsid w:val="00495ADF"/>
  </w:style>
  <w:style w:type="paragraph" w:customStyle="1" w:styleId="equation">
    <w:name w:val="equation"/>
    <w:rsid w:val="00495ADF"/>
    <w:pPr>
      <w:tabs>
        <w:tab w:val="center" w:pos="4680"/>
        <w:tab w:val="right" w:pos="9360"/>
      </w:tabs>
      <w:spacing w:after="240" w:line="480" w:lineRule="atLeast"/>
      <w:ind w:firstLine="720"/>
    </w:pPr>
    <w:rPr>
      <w:sz w:val="24"/>
    </w:rPr>
  </w:style>
  <w:style w:type="paragraph" w:customStyle="1" w:styleId="figurewobox">
    <w:name w:val="figure w/o box"/>
    <w:basedOn w:val="Normal"/>
    <w:rsid w:val="00495ADF"/>
    <w:pPr>
      <w:keepNext/>
      <w:spacing w:before="240"/>
      <w:jc w:val="center"/>
    </w:pPr>
    <w:rPr>
      <w:szCs w:val="20"/>
    </w:rPr>
  </w:style>
  <w:style w:type="paragraph" w:customStyle="1" w:styleId="TOC0">
    <w:name w:val="TOC 0"/>
    <w:basedOn w:val="Normal"/>
    <w:rsid w:val="00F72F56"/>
    <w:pPr>
      <w:spacing w:after="240"/>
      <w:jc w:val="center"/>
    </w:pPr>
    <w:rPr>
      <w:b/>
      <w:caps/>
      <w:sz w:val="28"/>
      <w:szCs w:val="20"/>
    </w:rPr>
  </w:style>
  <w:style w:type="paragraph" w:customStyle="1" w:styleId="toc-tabfig">
    <w:name w:val="toc-tab/fig"/>
    <w:basedOn w:val="Normal"/>
    <w:semiHidden/>
    <w:rsid w:val="00495ADF"/>
    <w:pPr>
      <w:tabs>
        <w:tab w:val="right" w:leader="dot" w:pos="9360"/>
      </w:tabs>
      <w:spacing w:before="240" w:after="80"/>
      <w:ind w:left="900" w:hanging="540"/>
    </w:pPr>
    <w:rPr>
      <w:szCs w:val="20"/>
    </w:rPr>
  </w:style>
  <w:style w:type="paragraph" w:customStyle="1" w:styleId="TOCHeader">
    <w:name w:val="TOC Header"/>
    <w:basedOn w:val="Normal"/>
    <w:rsid w:val="00495ADF"/>
    <w:pPr>
      <w:tabs>
        <w:tab w:val="right" w:pos="9360"/>
      </w:tabs>
      <w:spacing w:after="240"/>
    </w:pPr>
    <w:rPr>
      <w:szCs w:val="20"/>
      <w:u w:val="words"/>
    </w:rPr>
  </w:style>
  <w:style w:type="paragraph" w:customStyle="1" w:styleId="bullets-2ndlevel">
    <w:name w:val="bullets-2nd level"/>
    <w:basedOn w:val="Normal"/>
    <w:rsid w:val="00736695"/>
    <w:pPr>
      <w:spacing w:after="120" w:line="240" w:lineRule="exact"/>
      <w:ind w:left="1440" w:hanging="360"/>
    </w:pPr>
    <w:rPr>
      <w:szCs w:val="20"/>
    </w:rPr>
  </w:style>
  <w:style w:type="paragraph" w:customStyle="1" w:styleId="biblio">
    <w:name w:val="biblio"/>
    <w:basedOn w:val="Normal"/>
    <w:rsid w:val="00D43BE8"/>
    <w:pPr>
      <w:keepLines/>
      <w:numPr>
        <w:numId w:val="14"/>
      </w:numPr>
      <w:tabs>
        <w:tab w:val="clear" w:pos="720"/>
      </w:tabs>
      <w:spacing w:after="240"/>
      <w:ind w:hanging="720"/>
    </w:pPr>
  </w:style>
  <w:style w:type="paragraph" w:customStyle="1" w:styleId="NumberBullets">
    <w:name w:val="Number Bullets"/>
    <w:basedOn w:val="Normal"/>
    <w:semiHidden/>
    <w:rsid w:val="00495ADF"/>
    <w:pPr>
      <w:numPr>
        <w:numId w:val="1"/>
      </w:numPr>
      <w:tabs>
        <w:tab w:val="left" w:pos="720"/>
      </w:tabs>
    </w:pPr>
    <w:rPr>
      <w:szCs w:val="20"/>
    </w:rPr>
  </w:style>
  <w:style w:type="paragraph" w:styleId="List3">
    <w:name w:val="List 3"/>
    <w:basedOn w:val="Normal"/>
    <w:semiHidden/>
    <w:rsid w:val="00495ADF"/>
    <w:pPr>
      <w:ind w:left="1915" w:hanging="360"/>
    </w:pPr>
    <w:rPr>
      <w:rFonts w:ascii="Arial" w:hAnsi="Arial"/>
      <w:spacing w:val="-5"/>
      <w:sz w:val="20"/>
      <w:szCs w:val="20"/>
    </w:rPr>
  </w:style>
  <w:style w:type="paragraph" w:customStyle="1" w:styleId="FigureTitle">
    <w:name w:val="Figure Title"/>
    <w:basedOn w:val="Normal"/>
    <w:rsid w:val="00E427A6"/>
    <w:pPr>
      <w:keepNext/>
      <w:keepLines/>
      <w:spacing w:line="480" w:lineRule="auto"/>
    </w:pPr>
    <w:rPr>
      <w:b/>
      <w:szCs w:val="20"/>
    </w:rPr>
  </w:style>
  <w:style w:type="paragraph" w:styleId="CommentSubject">
    <w:name w:val="annotation subject"/>
    <w:basedOn w:val="CommentText"/>
    <w:next w:val="CommentText"/>
    <w:link w:val="CommentSubjectChar"/>
    <w:rsid w:val="00A04F8B"/>
    <w:rPr>
      <w:b/>
      <w:bCs/>
    </w:rPr>
  </w:style>
  <w:style w:type="character" w:customStyle="1" w:styleId="CommentSubjectChar">
    <w:name w:val="Comment Subject Char"/>
    <w:basedOn w:val="CommentTextChar"/>
    <w:link w:val="CommentSubject"/>
    <w:rsid w:val="00A04F8B"/>
    <w:rPr>
      <w:b/>
      <w:bCs/>
    </w:rPr>
  </w:style>
  <w:style w:type="paragraph" w:customStyle="1" w:styleId="Default">
    <w:name w:val="Default"/>
    <w:rsid w:val="00D06003"/>
    <w:pPr>
      <w:autoSpaceDE w:val="0"/>
      <w:autoSpaceDN w:val="0"/>
      <w:adjustRightInd w:val="0"/>
    </w:pPr>
    <w:rPr>
      <w:color w:val="000000"/>
      <w:sz w:val="24"/>
      <w:szCs w:val="24"/>
    </w:rPr>
  </w:style>
  <w:style w:type="character" w:styleId="FollowedHyperlink">
    <w:name w:val="FollowedHyperlink"/>
    <w:basedOn w:val="DefaultParagraphFont"/>
    <w:rsid w:val="00EE0B1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56F5"/>
    <w:rPr>
      <w:sz w:val="24"/>
      <w:szCs w:val="24"/>
    </w:rPr>
  </w:style>
  <w:style w:type="paragraph" w:styleId="Heading1">
    <w:name w:val="heading 1"/>
    <w:aliases w:val="l1"/>
    <w:basedOn w:val="Normal"/>
    <w:next w:val="Normal"/>
    <w:link w:val="Heading1Char"/>
    <w:qFormat/>
    <w:rsid w:val="00BC378F"/>
    <w:pPr>
      <w:keepNext/>
      <w:spacing w:before="120" w:after="120"/>
      <w:outlineLvl w:val="0"/>
    </w:pPr>
    <w:rPr>
      <w:rFonts w:ascii="Times New Roman Bold" w:hAnsi="Times New Roman Bold"/>
      <w:b/>
      <w:bCs/>
      <w:caps/>
    </w:rPr>
  </w:style>
  <w:style w:type="paragraph" w:styleId="Heading2">
    <w:name w:val="heading 2"/>
    <w:aliases w:val="l2"/>
    <w:basedOn w:val="Normal"/>
    <w:next w:val="Normal"/>
    <w:link w:val="Heading2Char"/>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link w:val="Heading3Char"/>
    <w:uiPriority w:val="9"/>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qFormat/>
    <w:rsid w:val="000256F5"/>
    <w:pPr>
      <w:keepNext/>
      <w:spacing w:before="240" w:after="120"/>
      <w:ind w:left="-86"/>
      <w:outlineLvl w:val="3"/>
    </w:pPr>
    <w:rPr>
      <w:bCs/>
      <w:i/>
      <w:szCs w:val="22"/>
    </w:rPr>
  </w:style>
  <w:style w:type="paragraph" w:styleId="Heading5">
    <w:name w:val="heading 5"/>
    <w:basedOn w:val="Normal"/>
    <w:next w:val="Normal"/>
    <w:semiHidden/>
    <w:unhideWhenUsed/>
    <w:qFormat/>
    <w:rsid w:val="00BC378F"/>
    <w:pPr>
      <w:keepNext/>
      <w:widowControl w:val="0"/>
      <w:outlineLvl w:val="4"/>
    </w:pPr>
    <w:rPr>
      <w:rFonts w:ascii="Arial" w:hAnsi="Arial" w:cs="Arial"/>
      <w:b/>
      <w:bCs/>
      <w:sz w:val="20"/>
      <w:szCs w:val="20"/>
      <w:u w:val="single"/>
    </w:rPr>
  </w:style>
  <w:style w:type="paragraph" w:styleId="Heading6">
    <w:name w:val="heading 6"/>
    <w:basedOn w:val="Normal"/>
    <w:next w:val="Normal"/>
    <w:semiHidden/>
    <w:unhideWhenUsed/>
    <w:qFormat/>
    <w:rsid w:val="00BC378F"/>
    <w:pPr>
      <w:keepNext/>
      <w:jc w:val="center"/>
      <w:outlineLvl w:val="5"/>
    </w:pPr>
    <w:rPr>
      <w:rFonts w:ascii="Arial" w:hAnsi="Arial" w:cs="Arial"/>
      <w:b/>
      <w:bCs/>
    </w:rPr>
  </w:style>
  <w:style w:type="paragraph" w:styleId="Heading7">
    <w:name w:val="heading 7"/>
    <w:basedOn w:val="Normal"/>
    <w:next w:val="Normal"/>
    <w:semiHidden/>
    <w:unhideWhenUsed/>
    <w:qFormat/>
    <w:rsid w:val="00BC378F"/>
    <w:pPr>
      <w:keepNext/>
      <w:jc w:val="center"/>
      <w:outlineLvl w:val="6"/>
    </w:pPr>
    <w:rPr>
      <w:rFonts w:ascii="Arial" w:hAnsi="Arial" w:cs="Arial"/>
      <w:b/>
      <w:bCs/>
      <w:sz w:val="16"/>
      <w:szCs w:val="16"/>
    </w:rPr>
  </w:style>
  <w:style w:type="paragraph" w:styleId="Heading8">
    <w:name w:val="heading 8"/>
    <w:basedOn w:val="Normal"/>
    <w:next w:val="Normal"/>
    <w:semiHidden/>
    <w:unhideWhenUsed/>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semiHidden/>
    <w:unhideWhenUsed/>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736695"/>
    <w:pPr>
      <w:spacing w:after="120" w:line="240" w:lineRule="exact"/>
      <w:ind w:left="1080" w:hanging="360"/>
    </w:pPr>
    <w:rPr>
      <w:color w:val="000000"/>
    </w:rPr>
  </w:style>
  <w:style w:type="paragraph" w:customStyle="1" w:styleId="exhibitsource">
    <w:name w:val="exhibit source"/>
    <w:basedOn w:val="Normal"/>
    <w:rsid w:val="00F66166"/>
    <w:pPr>
      <w:spacing w:after="120"/>
    </w:pPr>
    <w:rPr>
      <w:sz w:val="20"/>
      <w:szCs w:val="22"/>
    </w:rPr>
  </w:style>
  <w:style w:type="numbering" w:customStyle="1" w:styleId="NoList1">
    <w:name w:val="No List1"/>
    <w:next w:val="NoList"/>
    <w:semiHidden/>
    <w:rsid w:val="00BC378F"/>
  </w:style>
  <w:style w:type="table" w:styleId="TableGrid">
    <w:name w:val="Table Grid"/>
    <w:basedOn w:val="TableNormal"/>
    <w:rsid w:val="006E24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aliases w:val="l2 Char"/>
    <w:basedOn w:val="DefaultParagraphFont"/>
    <w:link w:val="Heading2"/>
    <w:rsid w:val="0055363C"/>
    <w:rPr>
      <w:rFonts w:cs="Arial"/>
      <w:b/>
      <w:bCs/>
      <w:iCs/>
      <w:sz w:val="24"/>
      <w:szCs w:val="28"/>
    </w:rPr>
  </w:style>
  <w:style w:type="paragraph" w:customStyle="1" w:styleId="bullets-blank">
    <w:name w:val="bullets-blank"/>
    <w:basedOn w:val="Normal"/>
    <w:rsid w:val="0055363C"/>
    <w:pPr>
      <w:spacing w:after="120"/>
      <w:ind w:left="1080" w:hanging="360"/>
    </w:pPr>
  </w:style>
  <w:style w:type="paragraph" w:styleId="ListParagraph">
    <w:name w:val="List Paragraph"/>
    <w:basedOn w:val="Normal"/>
    <w:uiPriority w:val="99"/>
    <w:qFormat/>
    <w:rsid w:val="002E5438"/>
    <w:pPr>
      <w:spacing w:after="240"/>
      <w:ind w:left="1080" w:hanging="360"/>
    </w:pPr>
    <w:rPr>
      <w:szCs w:val="20"/>
    </w:rPr>
  </w:style>
  <w:style w:type="character" w:customStyle="1" w:styleId="bodytextChar">
    <w:name w:val="body text Char"/>
    <w:basedOn w:val="DefaultParagraphFont"/>
    <w:link w:val="BodyText1"/>
    <w:rsid w:val="0055363C"/>
    <w:rPr>
      <w:sz w:val="24"/>
    </w:rPr>
  </w:style>
  <w:style w:type="paragraph" w:customStyle="1" w:styleId="paragraph">
    <w:name w:val="paragraph"/>
    <w:basedOn w:val="Normal"/>
    <w:rsid w:val="00BC378F"/>
    <w:pPr>
      <w:spacing w:before="200" w:line="320" w:lineRule="exact"/>
      <w:ind w:left="1440"/>
    </w:pPr>
  </w:style>
  <w:style w:type="paragraph" w:styleId="CommentText">
    <w:name w:val="annotation text"/>
    <w:basedOn w:val="Normal"/>
    <w:link w:val="CommentTextChar"/>
    <w:uiPriority w:val="99"/>
    <w:rsid w:val="0055363C"/>
    <w:rPr>
      <w:sz w:val="20"/>
      <w:szCs w:val="20"/>
    </w:rPr>
  </w:style>
  <w:style w:type="paragraph" w:styleId="FootnoteText">
    <w:name w:val="footnote text"/>
    <w:aliases w:val="ft,fo"/>
    <w:basedOn w:val="Normal"/>
    <w:semiHidden/>
    <w:rsid w:val="00BC378F"/>
    <w:pPr>
      <w:widowControl w:val="0"/>
    </w:pPr>
    <w:rPr>
      <w:rFonts w:ascii="Courier New" w:hAnsi="Courier New" w:cs="Courier New"/>
    </w:rPr>
  </w:style>
  <w:style w:type="character" w:styleId="FootnoteReference">
    <w:name w:val="footnote reference"/>
    <w:aliases w:val="fr"/>
    <w:basedOn w:val="DefaultParagraphFont"/>
    <w:semiHidden/>
    <w:rsid w:val="00BC378F"/>
    <w:rPr>
      <w:rFonts w:ascii="Courier New" w:hAnsi="Courier New" w:cs="Courier New"/>
      <w:sz w:val="24"/>
      <w:szCs w:val="24"/>
    </w:rPr>
  </w:style>
  <w:style w:type="character" w:customStyle="1" w:styleId="CommentTextChar">
    <w:name w:val="Comment Text Char"/>
    <w:basedOn w:val="DefaultParagraphFont"/>
    <w:link w:val="CommentText"/>
    <w:uiPriority w:val="99"/>
    <w:rsid w:val="0055363C"/>
  </w:style>
  <w:style w:type="character" w:styleId="CommentReference">
    <w:name w:val="annotation reference"/>
    <w:basedOn w:val="DefaultParagraphFont"/>
    <w:unhideWhenUsed/>
    <w:rsid w:val="0055363C"/>
    <w:rPr>
      <w:sz w:val="16"/>
      <w:szCs w:val="16"/>
    </w:rPr>
  </w:style>
  <w:style w:type="paragraph" w:styleId="ListNumber">
    <w:name w:val="List Number"/>
    <w:basedOn w:val="Normal"/>
    <w:rsid w:val="000256F5"/>
    <w:pPr>
      <w:numPr>
        <w:numId w:val="9"/>
      </w:numPr>
      <w:tabs>
        <w:tab w:val="clear" w:pos="360"/>
        <w:tab w:val="num" w:pos="1080"/>
      </w:tabs>
      <w:spacing w:after="120"/>
      <w:ind w:left="1080"/>
    </w:pPr>
  </w:style>
  <w:style w:type="paragraph" w:customStyle="1" w:styleId="heading10">
    <w:name w:val="heading1"/>
    <w:basedOn w:val="Normal"/>
    <w:next w:val="Normal"/>
    <w:semiHidden/>
    <w:unhideWhenUsed/>
    <w:rsid w:val="00BC378F"/>
    <w:pPr>
      <w:spacing w:before="120" w:after="120"/>
    </w:pPr>
    <w:rPr>
      <w:b/>
      <w:bCs/>
      <w:sz w:val="22"/>
      <w:szCs w:val="22"/>
    </w:rPr>
  </w:style>
  <w:style w:type="character" w:customStyle="1" w:styleId="Heading3Char">
    <w:name w:val="Heading 3 Char"/>
    <w:basedOn w:val="DefaultParagraphFont"/>
    <w:link w:val="Heading3"/>
    <w:uiPriority w:val="9"/>
    <w:rsid w:val="0055363C"/>
    <w:rPr>
      <w:rFonts w:cs="Arial"/>
      <w:b/>
      <w:bCs/>
      <w:i/>
      <w:iCs/>
      <w:sz w:val="24"/>
      <w:szCs w:val="22"/>
      <w:lang w:val="en-CA"/>
    </w:rPr>
  </w:style>
  <w:style w:type="paragraph" w:customStyle="1" w:styleId="heading20">
    <w:name w:val="heading2"/>
    <w:basedOn w:val="Heading3"/>
    <w:next w:val="Normal"/>
    <w:semiHidden/>
    <w:rsid w:val="00BC378F"/>
    <w:pPr>
      <w:spacing w:before="120"/>
    </w:pPr>
    <w:rPr>
      <w:rFonts w:cs="Times New Roman"/>
    </w:rPr>
  </w:style>
  <w:style w:type="paragraph" w:customStyle="1" w:styleId="tabfigsource">
    <w:name w:val="tab/fig source"/>
    <w:basedOn w:val="Normal"/>
    <w:rsid w:val="0055363C"/>
    <w:pPr>
      <w:keepLines/>
      <w:spacing w:before="120" w:after="240"/>
      <w:ind w:left="187" w:hanging="187"/>
    </w:pPr>
    <w:rPr>
      <w:sz w:val="20"/>
    </w:rPr>
  </w:style>
  <w:style w:type="paragraph" w:styleId="BalloonText">
    <w:name w:val="Balloon Text"/>
    <w:basedOn w:val="Normal"/>
    <w:semiHidden/>
    <w:rsid w:val="00BC378F"/>
    <w:pPr>
      <w:numPr>
        <w:numId w:val="2"/>
      </w:numPr>
      <w:tabs>
        <w:tab w:val="clear" w:pos="720"/>
        <w:tab w:val="num" w:pos="360"/>
      </w:tabs>
      <w:ind w:left="0" w:firstLine="0"/>
    </w:pPr>
    <w:rPr>
      <w:rFonts w:ascii="Tahoma" w:hAnsi="Tahoma" w:cs="Tahoma"/>
      <w:sz w:val="16"/>
      <w:szCs w:val="16"/>
    </w:rPr>
  </w:style>
  <w:style w:type="character" w:customStyle="1" w:styleId="Heading1Char">
    <w:name w:val="Heading 1 Char"/>
    <w:aliases w:val="l1 Char"/>
    <w:basedOn w:val="DefaultParagraphFont"/>
    <w:link w:val="Heading1"/>
    <w:rsid w:val="0055363C"/>
    <w:rPr>
      <w:rFonts w:ascii="Times New Roman Bold" w:hAnsi="Times New Roman Bold"/>
      <w:b/>
      <w:bCs/>
      <w:caps/>
      <w:sz w:val="24"/>
      <w:szCs w:val="24"/>
    </w:rPr>
  </w:style>
  <w:style w:type="paragraph" w:customStyle="1" w:styleId="Heading3NoTOC">
    <w:name w:val="Heading 3 NoTOC"/>
    <w:basedOn w:val="Heading3"/>
    <w:qFormat/>
    <w:rsid w:val="002E5438"/>
  </w:style>
  <w:style w:type="character" w:customStyle="1" w:styleId="journalname">
    <w:name w:val="journalname"/>
    <w:basedOn w:val="DefaultParagraphFont"/>
    <w:rsid w:val="00522AD4"/>
  </w:style>
  <w:style w:type="paragraph" w:styleId="Header">
    <w:name w:val="header"/>
    <w:basedOn w:val="Normal"/>
    <w:rsid w:val="00BC378F"/>
    <w:pPr>
      <w:tabs>
        <w:tab w:val="center" w:pos="4320"/>
        <w:tab w:val="right" w:pos="8640"/>
      </w:tabs>
    </w:pPr>
    <w:rPr>
      <w:sz w:val="20"/>
      <w:szCs w:val="20"/>
    </w:rPr>
  </w:style>
  <w:style w:type="paragraph" w:styleId="Footer">
    <w:name w:val="footer"/>
    <w:basedOn w:val="Normal"/>
    <w:rsid w:val="00BC378F"/>
    <w:pPr>
      <w:tabs>
        <w:tab w:val="center" w:pos="4320"/>
        <w:tab w:val="right" w:pos="8640"/>
      </w:tabs>
    </w:pPr>
    <w:rPr>
      <w:sz w:val="20"/>
      <w:szCs w:val="20"/>
    </w:rPr>
  </w:style>
  <w:style w:type="character" w:styleId="PageNumber">
    <w:name w:val="page number"/>
    <w:basedOn w:val="DefaultParagraphFont"/>
    <w:rsid w:val="00BC378F"/>
    <w:rPr>
      <w:rFonts w:ascii="Times New Roman" w:hAnsi="Times New Roman"/>
      <w:sz w:val="24"/>
    </w:rPr>
  </w:style>
  <w:style w:type="paragraph" w:styleId="ListBullet">
    <w:name w:val="List Bullet"/>
    <w:basedOn w:val="Normal"/>
    <w:rsid w:val="00522AD4"/>
    <w:pPr>
      <w:numPr>
        <w:numId w:val="13"/>
      </w:numPr>
      <w:tabs>
        <w:tab w:val="clear" w:pos="360"/>
        <w:tab w:val="num" w:pos="1080"/>
      </w:tabs>
      <w:spacing w:after="120"/>
      <w:ind w:left="1080"/>
    </w:pPr>
  </w:style>
  <w:style w:type="paragraph" w:styleId="EndnoteText">
    <w:name w:val="endnote text"/>
    <w:basedOn w:val="Normal"/>
    <w:semiHidden/>
    <w:rsid w:val="00BC378F"/>
    <w:rPr>
      <w:sz w:val="20"/>
      <w:szCs w:val="20"/>
    </w:rPr>
  </w:style>
  <w:style w:type="character" w:styleId="EndnoteReference">
    <w:name w:val="endnote reference"/>
    <w:basedOn w:val="DefaultParagraphFont"/>
    <w:semiHidden/>
    <w:rsid w:val="00BC378F"/>
    <w:rPr>
      <w:vertAlign w:val="superscript"/>
    </w:rPr>
  </w:style>
  <w:style w:type="paragraph" w:styleId="Title">
    <w:name w:val="Title"/>
    <w:basedOn w:val="Normal"/>
    <w:qFormat/>
    <w:rsid w:val="00BC378F"/>
    <w:pPr>
      <w:ind w:left="-270"/>
      <w:jc w:val="center"/>
    </w:pPr>
    <w:rPr>
      <w:b/>
      <w:bCs/>
    </w:rPr>
  </w:style>
  <w:style w:type="paragraph" w:customStyle="1" w:styleId="Level1">
    <w:name w:val="Level 1"/>
    <w:basedOn w:val="Normal"/>
    <w:rsid w:val="00BC378F"/>
    <w:pPr>
      <w:widowControl w:val="0"/>
      <w:autoSpaceDE w:val="0"/>
      <w:autoSpaceDN w:val="0"/>
      <w:adjustRightInd w:val="0"/>
      <w:ind w:left="720" w:hanging="720"/>
    </w:pPr>
  </w:style>
  <w:style w:type="character" w:styleId="Hyperlink">
    <w:name w:val="Hyperlink"/>
    <w:basedOn w:val="DefaultParagraphFont"/>
    <w:uiPriority w:val="99"/>
    <w:rsid w:val="00BC378F"/>
    <w:rPr>
      <w:color w:val="0000FF"/>
      <w:u w:val="single"/>
    </w:rPr>
  </w:style>
  <w:style w:type="paragraph" w:styleId="E-mailSignature">
    <w:name w:val="E-mail Signature"/>
    <w:basedOn w:val="Normal"/>
    <w:rsid w:val="00BC378F"/>
  </w:style>
  <w:style w:type="paragraph" w:customStyle="1" w:styleId="footnotetex">
    <w:name w:val="footnote tex"/>
    <w:rsid w:val="00BC378F"/>
    <w:pPr>
      <w:autoSpaceDE w:val="0"/>
      <w:autoSpaceDN w:val="0"/>
      <w:adjustRightInd w:val="0"/>
    </w:pPr>
  </w:style>
  <w:style w:type="paragraph" w:styleId="NormalWeb">
    <w:name w:val="Normal (Web)"/>
    <w:basedOn w:val="Normal"/>
    <w:rsid w:val="00BC378F"/>
    <w:pPr>
      <w:spacing w:before="100" w:beforeAutospacing="1" w:after="100" w:afterAutospacing="1"/>
    </w:pPr>
    <w:rPr>
      <w:rFonts w:ascii="Arial" w:hAnsi="Arial" w:cs="Arial"/>
      <w:color w:val="000000"/>
    </w:rPr>
  </w:style>
  <w:style w:type="character" w:styleId="Strong">
    <w:name w:val="Strong"/>
    <w:basedOn w:val="DefaultParagraphFont"/>
    <w:qFormat/>
    <w:rsid w:val="00BC378F"/>
    <w:rPr>
      <w:b/>
      <w:bCs/>
    </w:rPr>
  </w:style>
  <w:style w:type="character" w:styleId="Emphasis">
    <w:name w:val="Emphasis"/>
    <w:basedOn w:val="DefaultParagraphFont"/>
    <w:qFormat/>
    <w:rsid w:val="00BC378F"/>
    <w:rPr>
      <w:i/>
      <w:iCs/>
    </w:rPr>
  </w:style>
  <w:style w:type="paragraph" w:styleId="HTMLPreformatted">
    <w:name w:val="HTML Preformatted"/>
    <w:basedOn w:val="Normal"/>
    <w:semiHidden/>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BC378F"/>
    <w:pPr>
      <w:tabs>
        <w:tab w:val="right" w:leader="dot" w:pos="9350"/>
      </w:tabs>
      <w:spacing w:before="240" w:after="120"/>
      <w:ind w:left="720" w:hanging="360"/>
    </w:pPr>
    <w:rPr>
      <w:noProof/>
    </w:rPr>
  </w:style>
  <w:style w:type="paragraph" w:customStyle="1" w:styleId="BodyText1">
    <w:name w:val="Body Text1"/>
    <w:basedOn w:val="Normal"/>
    <w:link w:val="bodytextChar"/>
    <w:rsid w:val="00736695"/>
    <w:pPr>
      <w:spacing w:after="120" w:line="360" w:lineRule="auto"/>
      <w:ind w:firstLine="720"/>
    </w:pPr>
    <w:rPr>
      <w:szCs w:val="20"/>
    </w:rPr>
  </w:style>
  <w:style w:type="paragraph" w:styleId="TOC2">
    <w:name w:val="toc 2"/>
    <w:basedOn w:val="Normal"/>
    <w:next w:val="Normal"/>
    <w:autoRedefine/>
    <w:uiPriority w:val="39"/>
    <w:rsid w:val="00BC378F"/>
    <w:pPr>
      <w:tabs>
        <w:tab w:val="right" w:leader="dot" w:pos="9350"/>
      </w:tabs>
      <w:spacing w:before="120" w:after="120"/>
      <w:ind w:left="1350" w:hanging="630"/>
    </w:pPr>
    <w:rPr>
      <w:noProof/>
    </w:rPr>
  </w:style>
  <w:style w:type="paragraph" w:customStyle="1" w:styleId="Cov-Date">
    <w:name w:val="Cov-Date"/>
    <w:basedOn w:val="Normal"/>
    <w:semiHidden/>
    <w:rsid w:val="00495ADF"/>
    <w:pPr>
      <w:jc w:val="right"/>
    </w:pPr>
    <w:rPr>
      <w:rFonts w:ascii="Arial" w:hAnsi="Arial"/>
      <w:b/>
      <w:sz w:val="28"/>
      <w:szCs w:val="20"/>
    </w:rPr>
  </w:style>
  <w:style w:type="paragraph" w:customStyle="1" w:styleId="Cov-Title">
    <w:name w:val="Cov-Title"/>
    <w:basedOn w:val="Normal"/>
    <w:semiHidden/>
    <w:rsid w:val="00495ADF"/>
    <w:pPr>
      <w:jc w:val="right"/>
    </w:pPr>
    <w:rPr>
      <w:rFonts w:ascii="Arial Black" w:hAnsi="Arial Black"/>
      <w:sz w:val="48"/>
      <w:szCs w:val="20"/>
    </w:rPr>
  </w:style>
  <w:style w:type="paragraph" w:customStyle="1" w:styleId="Cov-Author">
    <w:name w:val="Cov-Author"/>
    <w:basedOn w:val="Normal"/>
    <w:semiHidden/>
    <w:rsid w:val="00495ADF"/>
    <w:pPr>
      <w:jc w:val="right"/>
    </w:pPr>
    <w:rPr>
      <w:rFonts w:ascii="Arial Black" w:hAnsi="Arial Black"/>
      <w:szCs w:val="20"/>
    </w:rPr>
  </w:style>
  <w:style w:type="paragraph" w:customStyle="1" w:styleId="Cov-Address">
    <w:name w:val="Cov-Address"/>
    <w:basedOn w:val="Normal"/>
    <w:semiHidden/>
    <w:rsid w:val="00495ADF"/>
    <w:pPr>
      <w:jc w:val="right"/>
    </w:pPr>
    <w:rPr>
      <w:rFonts w:ascii="Arial" w:hAnsi="Arial"/>
      <w:szCs w:val="20"/>
    </w:rPr>
  </w:style>
  <w:style w:type="paragraph" w:styleId="DocumentMap">
    <w:name w:val="Document Map"/>
    <w:basedOn w:val="Normal"/>
    <w:semiHidden/>
    <w:rsid w:val="00495ADF"/>
    <w:pPr>
      <w:shd w:val="clear" w:color="auto" w:fill="000080"/>
    </w:pPr>
    <w:rPr>
      <w:rFonts w:ascii="Tahoma" w:hAnsi="Tahoma" w:cs="Tahoma"/>
    </w:rPr>
  </w:style>
  <w:style w:type="paragraph" w:styleId="TOC4">
    <w:name w:val="toc 4"/>
    <w:basedOn w:val="Normal"/>
    <w:next w:val="Normal"/>
    <w:rsid w:val="00495ADF"/>
    <w:pPr>
      <w:tabs>
        <w:tab w:val="right" w:leader="dot" w:pos="9360"/>
      </w:tabs>
      <w:spacing w:before="60"/>
      <w:ind w:left="3240" w:hanging="720"/>
    </w:pPr>
    <w:rPr>
      <w:szCs w:val="20"/>
    </w:rPr>
  </w:style>
  <w:style w:type="paragraph" w:styleId="TOC3">
    <w:name w:val="toc 3"/>
    <w:basedOn w:val="Normal"/>
    <w:next w:val="Normal"/>
    <w:uiPriority w:val="39"/>
    <w:rsid w:val="006E2440"/>
    <w:pPr>
      <w:tabs>
        <w:tab w:val="right" w:leader="dot" w:pos="9360"/>
      </w:tabs>
      <w:spacing w:before="80" w:after="40"/>
      <w:ind w:left="2340" w:right="720" w:hanging="900"/>
    </w:pPr>
    <w:rPr>
      <w:noProof/>
      <w:szCs w:val="20"/>
    </w:rPr>
  </w:style>
  <w:style w:type="paragraph" w:customStyle="1" w:styleId="Question">
    <w:name w:val="Question"/>
    <w:basedOn w:val="Normal"/>
    <w:semiHidden/>
    <w:rsid w:val="00495ADF"/>
    <w:pPr>
      <w:keepNext/>
      <w:keepLines/>
      <w:spacing w:before="160" w:after="60"/>
      <w:ind w:left="900" w:hanging="547"/>
    </w:pPr>
    <w:rPr>
      <w:rFonts w:ascii="Optima" w:hAnsi="Optima"/>
      <w:sz w:val="22"/>
      <w:szCs w:val="20"/>
    </w:rPr>
  </w:style>
  <w:style w:type="character" w:customStyle="1" w:styleId="Heading7Char">
    <w:name w:val="Heading 7 Char"/>
    <w:basedOn w:val="DefaultParagraphFont"/>
    <w:semiHidden/>
    <w:unhideWhenUsed/>
    <w:rsid w:val="00495ADF"/>
    <w:rPr>
      <w:b/>
      <w:noProof w:val="0"/>
      <w:snapToGrid w:val="0"/>
      <w:sz w:val="24"/>
      <w:u w:val="single"/>
      <w:lang w:val="en-US" w:eastAsia="en-US" w:bidi="ar-SA"/>
    </w:rPr>
  </w:style>
  <w:style w:type="paragraph" w:styleId="TOC5">
    <w:name w:val="toc 5"/>
    <w:basedOn w:val="Normal"/>
    <w:next w:val="Normal"/>
    <w:uiPriority w:val="39"/>
    <w:rsid w:val="00495ADF"/>
    <w:pPr>
      <w:tabs>
        <w:tab w:val="right" w:leader="dot" w:pos="9360"/>
      </w:tabs>
      <w:spacing w:before="40" w:after="40"/>
      <w:ind w:left="1080" w:right="720" w:hanging="1080"/>
    </w:pPr>
    <w:rPr>
      <w:noProof/>
      <w:szCs w:val="20"/>
    </w:rPr>
  </w:style>
  <w:style w:type="paragraph" w:styleId="Index2">
    <w:name w:val="index 2"/>
    <w:basedOn w:val="Normal"/>
    <w:next w:val="Normal"/>
    <w:semiHidden/>
    <w:rsid w:val="00495ADF"/>
    <w:pPr>
      <w:ind w:left="360"/>
    </w:pPr>
    <w:rPr>
      <w:szCs w:val="20"/>
    </w:rPr>
  </w:style>
  <w:style w:type="paragraph" w:styleId="Index1">
    <w:name w:val="index 1"/>
    <w:basedOn w:val="Normal"/>
    <w:next w:val="Normal"/>
    <w:semiHidden/>
    <w:rsid w:val="00495ADF"/>
    <w:rPr>
      <w:szCs w:val="20"/>
    </w:rPr>
  </w:style>
  <w:style w:type="character" w:styleId="LineNumber">
    <w:name w:val="line number"/>
    <w:basedOn w:val="DefaultParagraphFont"/>
    <w:semiHidden/>
    <w:rsid w:val="00495ADF"/>
  </w:style>
  <w:style w:type="paragraph" w:customStyle="1" w:styleId="equation">
    <w:name w:val="equation"/>
    <w:rsid w:val="00495ADF"/>
    <w:pPr>
      <w:tabs>
        <w:tab w:val="center" w:pos="4680"/>
        <w:tab w:val="right" w:pos="9360"/>
      </w:tabs>
      <w:spacing w:after="240" w:line="480" w:lineRule="atLeast"/>
      <w:ind w:firstLine="720"/>
    </w:pPr>
    <w:rPr>
      <w:sz w:val="24"/>
    </w:rPr>
  </w:style>
  <w:style w:type="paragraph" w:customStyle="1" w:styleId="figurewobox">
    <w:name w:val="figure w/o box"/>
    <w:basedOn w:val="Normal"/>
    <w:rsid w:val="00495ADF"/>
    <w:pPr>
      <w:keepNext/>
      <w:spacing w:before="240"/>
      <w:jc w:val="center"/>
    </w:pPr>
    <w:rPr>
      <w:szCs w:val="20"/>
    </w:rPr>
  </w:style>
  <w:style w:type="paragraph" w:customStyle="1" w:styleId="TOC0">
    <w:name w:val="TOC 0"/>
    <w:basedOn w:val="Normal"/>
    <w:rsid w:val="00F72F56"/>
    <w:pPr>
      <w:spacing w:after="240"/>
      <w:jc w:val="center"/>
    </w:pPr>
    <w:rPr>
      <w:b/>
      <w:caps/>
      <w:sz w:val="28"/>
      <w:szCs w:val="20"/>
    </w:rPr>
  </w:style>
  <w:style w:type="paragraph" w:customStyle="1" w:styleId="toc-tabfig">
    <w:name w:val="toc-tab/fig"/>
    <w:basedOn w:val="Normal"/>
    <w:semiHidden/>
    <w:rsid w:val="00495ADF"/>
    <w:pPr>
      <w:tabs>
        <w:tab w:val="right" w:leader="dot" w:pos="9360"/>
      </w:tabs>
      <w:spacing w:before="240" w:after="80"/>
      <w:ind w:left="900" w:hanging="540"/>
    </w:pPr>
    <w:rPr>
      <w:szCs w:val="20"/>
    </w:rPr>
  </w:style>
  <w:style w:type="paragraph" w:customStyle="1" w:styleId="TOCHeader">
    <w:name w:val="TOC Header"/>
    <w:basedOn w:val="Normal"/>
    <w:rsid w:val="00495ADF"/>
    <w:pPr>
      <w:tabs>
        <w:tab w:val="right" w:pos="9360"/>
      </w:tabs>
      <w:spacing w:after="240"/>
    </w:pPr>
    <w:rPr>
      <w:szCs w:val="20"/>
      <w:u w:val="words"/>
    </w:rPr>
  </w:style>
  <w:style w:type="paragraph" w:customStyle="1" w:styleId="bullets-2ndlevel">
    <w:name w:val="bullets-2nd level"/>
    <w:basedOn w:val="Normal"/>
    <w:rsid w:val="00736695"/>
    <w:pPr>
      <w:spacing w:after="120" w:line="240" w:lineRule="exact"/>
      <w:ind w:left="1440" w:hanging="360"/>
    </w:pPr>
    <w:rPr>
      <w:szCs w:val="20"/>
    </w:rPr>
  </w:style>
  <w:style w:type="paragraph" w:customStyle="1" w:styleId="biblio">
    <w:name w:val="biblio"/>
    <w:basedOn w:val="Normal"/>
    <w:rsid w:val="00D43BE8"/>
    <w:pPr>
      <w:keepLines/>
      <w:numPr>
        <w:numId w:val="14"/>
      </w:numPr>
      <w:tabs>
        <w:tab w:val="clear" w:pos="720"/>
      </w:tabs>
      <w:spacing w:after="240"/>
      <w:ind w:hanging="720"/>
    </w:pPr>
  </w:style>
  <w:style w:type="paragraph" w:customStyle="1" w:styleId="NumberBullets">
    <w:name w:val="Number Bullets"/>
    <w:basedOn w:val="Normal"/>
    <w:semiHidden/>
    <w:rsid w:val="00495ADF"/>
    <w:pPr>
      <w:numPr>
        <w:numId w:val="1"/>
      </w:numPr>
      <w:tabs>
        <w:tab w:val="left" w:pos="720"/>
      </w:tabs>
    </w:pPr>
    <w:rPr>
      <w:szCs w:val="20"/>
    </w:rPr>
  </w:style>
  <w:style w:type="paragraph" w:styleId="List3">
    <w:name w:val="List 3"/>
    <w:basedOn w:val="Normal"/>
    <w:semiHidden/>
    <w:rsid w:val="00495ADF"/>
    <w:pPr>
      <w:ind w:left="1915" w:hanging="360"/>
    </w:pPr>
    <w:rPr>
      <w:rFonts w:ascii="Arial" w:hAnsi="Arial"/>
      <w:spacing w:val="-5"/>
      <w:sz w:val="20"/>
      <w:szCs w:val="20"/>
    </w:rPr>
  </w:style>
  <w:style w:type="paragraph" w:customStyle="1" w:styleId="FigureTitle">
    <w:name w:val="Figure Title"/>
    <w:basedOn w:val="Normal"/>
    <w:rsid w:val="00E427A6"/>
    <w:pPr>
      <w:keepNext/>
      <w:keepLines/>
      <w:spacing w:line="480" w:lineRule="auto"/>
    </w:pPr>
    <w:rPr>
      <w:b/>
      <w:szCs w:val="20"/>
    </w:rPr>
  </w:style>
  <w:style w:type="paragraph" w:styleId="CommentSubject">
    <w:name w:val="annotation subject"/>
    <w:basedOn w:val="CommentText"/>
    <w:next w:val="CommentText"/>
    <w:link w:val="CommentSubjectChar"/>
    <w:rsid w:val="00A04F8B"/>
    <w:rPr>
      <w:b/>
      <w:bCs/>
    </w:rPr>
  </w:style>
  <w:style w:type="character" w:customStyle="1" w:styleId="CommentSubjectChar">
    <w:name w:val="Comment Subject Char"/>
    <w:basedOn w:val="CommentTextChar"/>
    <w:link w:val="CommentSubject"/>
    <w:rsid w:val="00A04F8B"/>
    <w:rPr>
      <w:b/>
      <w:bCs/>
    </w:rPr>
  </w:style>
  <w:style w:type="paragraph" w:customStyle="1" w:styleId="Default">
    <w:name w:val="Default"/>
    <w:rsid w:val="00D06003"/>
    <w:pPr>
      <w:autoSpaceDE w:val="0"/>
      <w:autoSpaceDN w:val="0"/>
      <w:adjustRightInd w:val="0"/>
    </w:pPr>
    <w:rPr>
      <w:color w:val="000000"/>
      <w:sz w:val="24"/>
      <w:szCs w:val="24"/>
    </w:rPr>
  </w:style>
  <w:style w:type="character" w:styleId="FollowedHyperlink">
    <w:name w:val="FollowedHyperlink"/>
    <w:basedOn w:val="DefaultParagraphFont"/>
    <w:rsid w:val="00EE0B1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94473117">
      <w:bodyDiv w:val="1"/>
      <w:marLeft w:val="0"/>
      <w:marRight w:val="0"/>
      <w:marTop w:val="0"/>
      <w:marBottom w:val="0"/>
      <w:divBdr>
        <w:top w:val="none" w:sz="0" w:space="0" w:color="auto"/>
        <w:left w:val="none" w:sz="0" w:space="0" w:color="auto"/>
        <w:bottom w:val="none" w:sz="0" w:space="0" w:color="auto"/>
        <w:right w:val="none" w:sz="0" w:space="0" w:color="auto"/>
      </w:divBdr>
    </w:div>
    <w:div w:id="501747395">
      <w:bodyDiv w:val="1"/>
      <w:marLeft w:val="0"/>
      <w:marRight w:val="0"/>
      <w:marTop w:val="0"/>
      <w:marBottom w:val="0"/>
      <w:divBdr>
        <w:top w:val="none" w:sz="0" w:space="0" w:color="auto"/>
        <w:left w:val="none" w:sz="0" w:space="0" w:color="auto"/>
        <w:bottom w:val="none" w:sz="0" w:space="0" w:color="auto"/>
        <w:right w:val="none" w:sz="0" w:space="0" w:color="auto"/>
      </w:divBdr>
    </w:div>
    <w:div w:id="813721442">
      <w:bodyDiv w:val="1"/>
      <w:marLeft w:val="0"/>
      <w:marRight w:val="0"/>
      <w:marTop w:val="0"/>
      <w:marBottom w:val="0"/>
      <w:divBdr>
        <w:top w:val="none" w:sz="0" w:space="0" w:color="auto"/>
        <w:left w:val="none" w:sz="0" w:space="0" w:color="auto"/>
        <w:bottom w:val="none" w:sz="0" w:space="0" w:color="auto"/>
        <w:right w:val="none" w:sz="0" w:space="0" w:color="auto"/>
      </w:divBdr>
    </w:div>
    <w:div w:id="1409768386">
      <w:bodyDiv w:val="1"/>
      <w:marLeft w:val="0"/>
      <w:marRight w:val="0"/>
      <w:marTop w:val="0"/>
      <w:marBottom w:val="0"/>
      <w:divBdr>
        <w:top w:val="none" w:sz="0" w:space="0" w:color="auto"/>
        <w:left w:val="none" w:sz="0" w:space="0" w:color="auto"/>
        <w:bottom w:val="none" w:sz="0" w:space="0" w:color="auto"/>
        <w:right w:val="none" w:sz="0" w:space="0" w:color="auto"/>
      </w:divBdr>
      <w:divsChild>
        <w:div w:id="323512159">
          <w:marLeft w:val="0"/>
          <w:marRight w:val="0"/>
          <w:marTop w:val="0"/>
          <w:marBottom w:val="0"/>
          <w:divBdr>
            <w:top w:val="none" w:sz="0" w:space="0" w:color="auto"/>
            <w:left w:val="none" w:sz="0" w:space="0" w:color="auto"/>
            <w:bottom w:val="none" w:sz="0" w:space="0" w:color="auto"/>
            <w:right w:val="none" w:sz="0" w:space="0" w:color="auto"/>
          </w:divBdr>
          <w:divsChild>
            <w:div w:id="685787642">
              <w:marLeft w:val="0"/>
              <w:marRight w:val="0"/>
              <w:marTop w:val="0"/>
              <w:marBottom w:val="0"/>
              <w:divBdr>
                <w:top w:val="none" w:sz="0" w:space="0" w:color="auto"/>
                <w:left w:val="none" w:sz="0" w:space="0" w:color="auto"/>
                <w:bottom w:val="none" w:sz="0" w:space="0" w:color="auto"/>
                <w:right w:val="none" w:sz="0" w:space="0" w:color="auto"/>
              </w:divBdr>
            </w:div>
            <w:div w:id="792867251">
              <w:marLeft w:val="0"/>
              <w:marRight w:val="0"/>
              <w:marTop w:val="0"/>
              <w:marBottom w:val="0"/>
              <w:divBdr>
                <w:top w:val="none" w:sz="0" w:space="0" w:color="auto"/>
                <w:left w:val="none" w:sz="0" w:space="0" w:color="auto"/>
                <w:bottom w:val="none" w:sz="0" w:space="0" w:color="auto"/>
                <w:right w:val="none" w:sz="0" w:space="0" w:color="auto"/>
              </w:divBdr>
            </w:div>
            <w:div w:id="1109544775">
              <w:marLeft w:val="0"/>
              <w:marRight w:val="0"/>
              <w:marTop w:val="0"/>
              <w:marBottom w:val="0"/>
              <w:divBdr>
                <w:top w:val="none" w:sz="0" w:space="0" w:color="auto"/>
                <w:left w:val="none" w:sz="0" w:space="0" w:color="auto"/>
                <w:bottom w:val="none" w:sz="0" w:space="0" w:color="auto"/>
                <w:right w:val="none" w:sz="0" w:space="0" w:color="auto"/>
              </w:divBdr>
            </w:div>
            <w:div w:id="1285499805">
              <w:marLeft w:val="0"/>
              <w:marRight w:val="0"/>
              <w:marTop w:val="0"/>
              <w:marBottom w:val="0"/>
              <w:divBdr>
                <w:top w:val="none" w:sz="0" w:space="0" w:color="auto"/>
                <w:left w:val="none" w:sz="0" w:space="0" w:color="auto"/>
                <w:bottom w:val="none" w:sz="0" w:space="0" w:color="auto"/>
                <w:right w:val="none" w:sz="0" w:space="0" w:color="auto"/>
              </w:divBdr>
            </w:div>
            <w:div w:id="1682782198">
              <w:marLeft w:val="0"/>
              <w:marRight w:val="0"/>
              <w:marTop w:val="0"/>
              <w:marBottom w:val="0"/>
              <w:divBdr>
                <w:top w:val="none" w:sz="0" w:space="0" w:color="auto"/>
                <w:left w:val="none" w:sz="0" w:space="0" w:color="auto"/>
                <w:bottom w:val="none" w:sz="0" w:space="0" w:color="auto"/>
                <w:right w:val="none" w:sz="0" w:space="0" w:color="auto"/>
              </w:divBdr>
            </w:div>
            <w:div w:id="17317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98243">
      <w:bodyDiv w:val="1"/>
      <w:marLeft w:val="0"/>
      <w:marRight w:val="0"/>
      <w:marTop w:val="0"/>
      <w:marBottom w:val="0"/>
      <w:divBdr>
        <w:top w:val="none" w:sz="0" w:space="0" w:color="auto"/>
        <w:left w:val="none" w:sz="0" w:space="0" w:color="auto"/>
        <w:bottom w:val="none" w:sz="0" w:space="0" w:color="auto"/>
        <w:right w:val="none" w:sz="0" w:space="0" w:color="auto"/>
      </w:divBdr>
    </w:div>
    <w:div w:id="1907644811">
      <w:bodyDiv w:val="1"/>
      <w:marLeft w:val="0"/>
      <w:marRight w:val="0"/>
      <w:marTop w:val="0"/>
      <w:marBottom w:val="0"/>
      <w:divBdr>
        <w:top w:val="none" w:sz="0" w:space="0" w:color="auto"/>
        <w:left w:val="none" w:sz="0" w:space="0" w:color="auto"/>
        <w:bottom w:val="none" w:sz="0" w:space="0" w:color="auto"/>
        <w:right w:val="none" w:sz="0" w:space="0" w:color="auto"/>
      </w:divBdr>
    </w:div>
    <w:div w:id="1997370952">
      <w:bodyDiv w:val="1"/>
      <w:marLeft w:val="0"/>
      <w:marRight w:val="0"/>
      <w:marTop w:val="0"/>
      <w:marBottom w:val="0"/>
      <w:divBdr>
        <w:top w:val="none" w:sz="0" w:space="0" w:color="auto"/>
        <w:left w:val="none" w:sz="0" w:space="0" w:color="auto"/>
        <w:bottom w:val="none" w:sz="0" w:space="0" w:color="auto"/>
        <w:right w:val="none" w:sz="0" w:space="0" w:color="auto"/>
      </w:divBdr>
    </w:div>
    <w:div w:id="205357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dc.gov/pcd/issues/2010/jan/08_0231.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tty.Mabry@nih.hhs.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tgcost.rti.org"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dc.gov/pcd/issues/2008/apr/07_023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8DFD9-9E9A-44A6-831C-9CB4DDBA2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5433</Words>
  <Characters>30972</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36333</CharactersWithSpaces>
  <SharedDoc>false</SharedDoc>
  <HLinks>
    <vt:vector size="240" baseType="variant">
      <vt:variant>
        <vt:i4>1638453</vt:i4>
      </vt:variant>
      <vt:variant>
        <vt:i4>238</vt:i4>
      </vt:variant>
      <vt:variant>
        <vt:i4>0</vt:i4>
      </vt:variant>
      <vt:variant>
        <vt:i4>5</vt:i4>
      </vt:variant>
      <vt:variant>
        <vt:lpwstr/>
      </vt:variant>
      <vt:variant>
        <vt:lpwstr>_Toc88277988</vt:lpwstr>
      </vt:variant>
      <vt:variant>
        <vt:i4>1441845</vt:i4>
      </vt:variant>
      <vt:variant>
        <vt:i4>232</vt:i4>
      </vt:variant>
      <vt:variant>
        <vt:i4>0</vt:i4>
      </vt:variant>
      <vt:variant>
        <vt:i4>5</vt:i4>
      </vt:variant>
      <vt:variant>
        <vt:lpwstr/>
      </vt:variant>
      <vt:variant>
        <vt:lpwstr>_Toc88277987</vt:lpwstr>
      </vt:variant>
      <vt:variant>
        <vt:i4>1507381</vt:i4>
      </vt:variant>
      <vt:variant>
        <vt:i4>226</vt:i4>
      </vt:variant>
      <vt:variant>
        <vt:i4>0</vt:i4>
      </vt:variant>
      <vt:variant>
        <vt:i4>5</vt:i4>
      </vt:variant>
      <vt:variant>
        <vt:lpwstr/>
      </vt:variant>
      <vt:variant>
        <vt:lpwstr>_Toc88277986</vt:lpwstr>
      </vt:variant>
      <vt:variant>
        <vt:i4>1310773</vt:i4>
      </vt:variant>
      <vt:variant>
        <vt:i4>220</vt:i4>
      </vt:variant>
      <vt:variant>
        <vt:i4>0</vt:i4>
      </vt:variant>
      <vt:variant>
        <vt:i4>5</vt:i4>
      </vt:variant>
      <vt:variant>
        <vt:lpwstr/>
      </vt:variant>
      <vt:variant>
        <vt:lpwstr>_Toc88277985</vt:lpwstr>
      </vt:variant>
      <vt:variant>
        <vt:i4>1376309</vt:i4>
      </vt:variant>
      <vt:variant>
        <vt:i4>214</vt:i4>
      </vt:variant>
      <vt:variant>
        <vt:i4>0</vt:i4>
      </vt:variant>
      <vt:variant>
        <vt:i4>5</vt:i4>
      </vt:variant>
      <vt:variant>
        <vt:lpwstr/>
      </vt:variant>
      <vt:variant>
        <vt:lpwstr>_Toc88277984</vt:lpwstr>
      </vt:variant>
      <vt:variant>
        <vt:i4>1179701</vt:i4>
      </vt:variant>
      <vt:variant>
        <vt:i4>208</vt:i4>
      </vt:variant>
      <vt:variant>
        <vt:i4>0</vt:i4>
      </vt:variant>
      <vt:variant>
        <vt:i4>5</vt:i4>
      </vt:variant>
      <vt:variant>
        <vt:lpwstr/>
      </vt:variant>
      <vt:variant>
        <vt:lpwstr>_Toc88277983</vt:lpwstr>
      </vt:variant>
      <vt:variant>
        <vt:i4>1245237</vt:i4>
      </vt:variant>
      <vt:variant>
        <vt:i4>202</vt:i4>
      </vt:variant>
      <vt:variant>
        <vt:i4>0</vt:i4>
      </vt:variant>
      <vt:variant>
        <vt:i4>5</vt:i4>
      </vt:variant>
      <vt:variant>
        <vt:lpwstr/>
      </vt:variant>
      <vt:variant>
        <vt:lpwstr>_Toc88277982</vt:lpwstr>
      </vt:variant>
      <vt:variant>
        <vt:i4>1048629</vt:i4>
      </vt:variant>
      <vt:variant>
        <vt:i4>196</vt:i4>
      </vt:variant>
      <vt:variant>
        <vt:i4>0</vt:i4>
      </vt:variant>
      <vt:variant>
        <vt:i4>5</vt:i4>
      </vt:variant>
      <vt:variant>
        <vt:lpwstr/>
      </vt:variant>
      <vt:variant>
        <vt:lpwstr>_Toc88277981</vt:lpwstr>
      </vt:variant>
      <vt:variant>
        <vt:i4>1114165</vt:i4>
      </vt:variant>
      <vt:variant>
        <vt:i4>190</vt:i4>
      </vt:variant>
      <vt:variant>
        <vt:i4>0</vt:i4>
      </vt:variant>
      <vt:variant>
        <vt:i4>5</vt:i4>
      </vt:variant>
      <vt:variant>
        <vt:lpwstr/>
      </vt:variant>
      <vt:variant>
        <vt:lpwstr>_Toc88277980</vt:lpwstr>
      </vt:variant>
      <vt:variant>
        <vt:i4>1572922</vt:i4>
      </vt:variant>
      <vt:variant>
        <vt:i4>184</vt:i4>
      </vt:variant>
      <vt:variant>
        <vt:i4>0</vt:i4>
      </vt:variant>
      <vt:variant>
        <vt:i4>5</vt:i4>
      </vt:variant>
      <vt:variant>
        <vt:lpwstr/>
      </vt:variant>
      <vt:variant>
        <vt:lpwstr>_Toc88277979</vt:lpwstr>
      </vt:variant>
      <vt:variant>
        <vt:i4>1638458</vt:i4>
      </vt:variant>
      <vt:variant>
        <vt:i4>178</vt:i4>
      </vt:variant>
      <vt:variant>
        <vt:i4>0</vt:i4>
      </vt:variant>
      <vt:variant>
        <vt:i4>5</vt:i4>
      </vt:variant>
      <vt:variant>
        <vt:lpwstr/>
      </vt:variant>
      <vt:variant>
        <vt:lpwstr>_Toc88277978</vt:lpwstr>
      </vt:variant>
      <vt:variant>
        <vt:i4>1441850</vt:i4>
      </vt:variant>
      <vt:variant>
        <vt:i4>172</vt:i4>
      </vt:variant>
      <vt:variant>
        <vt:i4>0</vt:i4>
      </vt:variant>
      <vt:variant>
        <vt:i4>5</vt:i4>
      </vt:variant>
      <vt:variant>
        <vt:lpwstr/>
      </vt:variant>
      <vt:variant>
        <vt:lpwstr>_Toc88277977</vt:lpwstr>
      </vt:variant>
      <vt:variant>
        <vt:i4>1507386</vt:i4>
      </vt:variant>
      <vt:variant>
        <vt:i4>166</vt:i4>
      </vt:variant>
      <vt:variant>
        <vt:i4>0</vt:i4>
      </vt:variant>
      <vt:variant>
        <vt:i4>5</vt:i4>
      </vt:variant>
      <vt:variant>
        <vt:lpwstr/>
      </vt:variant>
      <vt:variant>
        <vt:lpwstr>_Toc88277976</vt:lpwstr>
      </vt:variant>
      <vt:variant>
        <vt:i4>1310778</vt:i4>
      </vt:variant>
      <vt:variant>
        <vt:i4>160</vt:i4>
      </vt:variant>
      <vt:variant>
        <vt:i4>0</vt:i4>
      </vt:variant>
      <vt:variant>
        <vt:i4>5</vt:i4>
      </vt:variant>
      <vt:variant>
        <vt:lpwstr/>
      </vt:variant>
      <vt:variant>
        <vt:lpwstr>_Toc88277975</vt:lpwstr>
      </vt:variant>
      <vt:variant>
        <vt:i4>1376314</vt:i4>
      </vt:variant>
      <vt:variant>
        <vt:i4>154</vt:i4>
      </vt:variant>
      <vt:variant>
        <vt:i4>0</vt:i4>
      </vt:variant>
      <vt:variant>
        <vt:i4>5</vt:i4>
      </vt:variant>
      <vt:variant>
        <vt:lpwstr/>
      </vt:variant>
      <vt:variant>
        <vt:lpwstr>_Toc88277974</vt:lpwstr>
      </vt:variant>
      <vt:variant>
        <vt:i4>1179706</vt:i4>
      </vt:variant>
      <vt:variant>
        <vt:i4>148</vt:i4>
      </vt:variant>
      <vt:variant>
        <vt:i4>0</vt:i4>
      </vt:variant>
      <vt:variant>
        <vt:i4>5</vt:i4>
      </vt:variant>
      <vt:variant>
        <vt:lpwstr/>
      </vt:variant>
      <vt:variant>
        <vt:lpwstr>_Toc88277973</vt:lpwstr>
      </vt:variant>
      <vt:variant>
        <vt:i4>1245242</vt:i4>
      </vt:variant>
      <vt:variant>
        <vt:i4>142</vt:i4>
      </vt:variant>
      <vt:variant>
        <vt:i4>0</vt:i4>
      </vt:variant>
      <vt:variant>
        <vt:i4>5</vt:i4>
      </vt:variant>
      <vt:variant>
        <vt:lpwstr/>
      </vt:variant>
      <vt:variant>
        <vt:lpwstr>_Toc88277972</vt:lpwstr>
      </vt:variant>
      <vt:variant>
        <vt:i4>1048634</vt:i4>
      </vt:variant>
      <vt:variant>
        <vt:i4>136</vt:i4>
      </vt:variant>
      <vt:variant>
        <vt:i4>0</vt:i4>
      </vt:variant>
      <vt:variant>
        <vt:i4>5</vt:i4>
      </vt:variant>
      <vt:variant>
        <vt:lpwstr/>
      </vt:variant>
      <vt:variant>
        <vt:lpwstr>_Toc88277971</vt:lpwstr>
      </vt:variant>
      <vt:variant>
        <vt:i4>1114170</vt:i4>
      </vt:variant>
      <vt:variant>
        <vt:i4>130</vt:i4>
      </vt:variant>
      <vt:variant>
        <vt:i4>0</vt:i4>
      </vt:variant>
      <vt:variant>
        <vt:i4>5</vt:i4>
      </vt:variant>
      <vt:variant>
        <vt:lpwstr/>
      </vt:variant>
      <vt:variant>
        <vt:lpwstr>_Toc88277970</vt:lpwstr>
      </vt:variant>
      <vt:variant>
        <vt:i4>1572923</vt:i4>
      </vt:variant>
      <vt:variant>
        <vt:i4>124</vt:i4>
      </vt:variant>
      <vt:variant>
        <vt:i4>0</vt:i4>
      </vt:variant>
      <vt:variant>
        <vt:i4>5</vt:i4>
      </vt:variant>
      <vt:variant>
        <vt:lpwstr/>
      </vt:variant>
      <vt:variant>
        <vt:lpwstr>_Toc88277969</vt:lpwstr>
      </vt:variant>
      <vt:variant>
        <vt:i4>1638459</vt:i4>
      </vt:variant>
      <vt:variant>
        <vt:i4>118</vt:i4>
      </vt:variant>
      <vt:variant>
        <vt:i4>0</vt:i4>
      </vt:variant>
      <vt:variant>
        <vt:i4>5</vt:i4>
      </vt:variant>
      <vt:variant>
        <vt:lpwstr/>
      </vt:variant>
      <vt:variant>
        <vt:lpwstr>_Toc88277968</vt:lpwstr>
      </vt:variant>
      <vt:variant>
        <vt:i4>1441851</vt:i4>
      </vt:variant>
      <vt:variant>
        <vt:i4>112</vt:i4>
      </vt:variant>
      <vt:variant>
        <vt:i4>0</vt:i4>
      </vt:variant>
      <vt:variant>
        <vt:i4>5</vt:i4>
      </vt:variant>
      <vt:variant>
        <vt:lpwstr/>
      </vt:variant>
      <vt:variant>
        <vt:lpwstr>_Toc88277967</vt:lpwstr>
      </vt:variant>
      <vt:variant>
        <vt:i4>1507387</vt:i4>
      </vt:variant>
      <vt:variant>
        <vt:i4>106</vt:i4>
      </vt:variant>
      <vt:variant>
        <vt:i4>0</vt:i4>
      </vt:variant>
      <vt:variant>
        <vt:i4>5</vt:i4>
      </vt:variant>
      <vt:variant>
        <vt:lpwstr/>
      </vt:variant>
      <vt:variant>
        <vt:lpwstr>_Toc88277966</vt:lpwstr>
      </vt:variant>
      <vt:variant>
        <vt:i4>1310779</vt:i4>
      </vt:variant>
      <vt:variant>
        <vt:i4>100</vt:i4>
      </vt:variant>
      <vt:variant>
        <vt:i4>0</vt:i4>
      </vt:variant>
      <vt:variant>
        <vt:i4>5</vt:i4>
      </vt:variant>
      <vt:variant>
        <vt:lpwstr/>
      </vt:variant>
      <vt:variant>
        <vt:lpwstr>_Toc88277965</vt:lpwstr>
      </vt:variant>
      <vt:variant>
        <vt:i4>1376315</vt:i4>
      </vt:variant>
      <vt:variant>
        <vt:i4>94</vt:i4>
      </vt:variant>
      <vt:variant>
        <vt:i4>0</vt:i4>
      </vt:variant>
      <vt:variant>
        <vt:i4>5</vt:i4>
      </vt:variant>
      <vt:variant>
        <vt:lpwstr/>
      </vt:variant>
      <vt:variant>
        <vt:lpwstr>_Toc88277964</vt:lpwstr>
      </vt:variant>
      <vt:variant>
        <vt:i4>1179707</vt:i4>
      </vt:variant>
      <vt:variant>
        <vt:i4>88</vt:i4>
      </vt:variant>
      <vt:variant>
        <vt:i4>0</vt:i4>
      </vt:variant>
      <vt:variant>
        <vt:i4>5</vt:i4>
      </vt:variant>
      <vt:variant>
        <vt:lpwstr/>
      </vt:variant>
      <vt:variant>
        <vt:lpwstr>_Toc88277963</vt:lpwstr>
      </vt:variant>
      <vt:variant>
        <vt:i4>1245243</vt:i4>
      </vt:variant>
      <vt:variant>
        <vt:i4>82</vt:i4>
      </vt:variant>
      <vt:variant>
        <vt:i4>0</vt:i4>
      </vt:variant>
      <vt:variant>
        <vt:i4>5</vt:i4>
      </vt:variant>
      <vt:variant>
        <vt:lpwstr/>
      </vt:variant>
      <vt:variant>
        <vt:lpwstr>_Toc88277962</vt:lpwstr>
      </vt:variant>
      <vt:variant>
        <vt:i4>1048635</vt:i4>
      </vt:variant>
      <vt:variant>
        <vt:i4>76</vt:i4>
      </vt:variant>
      <vt:variant>
        <vt:i4>0</vt:i4>
      </vt:variant>
      <vt:variant>
        <vt:i4>5</vt:i4>
      </vt:variant>
      <vt:variant>
        <vt:lpwstr/>
      </vt:variant>
      <vt:variant>
        <vt:lpwstr>_Toc88277961</vt:lpwstr>
      </vt:variant>
      <vt:variant>
        <vt:i4>1114171</vt:i4>
      </vt:variant>
      <vt:variant>
        <vt:i4>70</vt:i4>
      </vt:variant>
      <vt:variant>
        <vt:i4>0</vt:i4>
      </vt:variant>
      <vt:variant>
        <vt:i4>5</vt:i4>
      </vt:variant>
      <vt:variant>
        <vt:lpwstr/>
      </vt:variant>
      <vt:variant>
        <vt:lpwstr>_Toc88277960</vt:lpwstr>
      </vt:variant>
      <vt:variant>
        <vt:i4>1572920</vt:i4>
      </vt:variant>
      <vt:variant>
        <vt:i4>64</vt:i4>
      </vt:variant>
      <vt:variant>
        <vt:i4>0</vt:i4>
      </vt:variant>
      <vt:variant>
        <vt:i4>5</vt:i4>
      </vt:variant>
      <vt:variant>
        <vt:lpwstr/>
      </vt:variant>
      <vt:variant>
        <vt:lpwstr>_Toc88277959</vt:lpwstr>
      </vt:variant>
      <vt:variant>
        <vt:i4>1638456</vt:i4>
      </vt:variant>
      <vt:variant>
        <vt:i4>58</vt:i4>
      </vt:variant>
      <vt:variant>
        <vt:i4>0</vt:i4>
      </vt:variant>
      <vt:variant>
        <vt:i4>5</vt:i4>
      </vt:variant>
      <vt:variant>
        <vt:lpwstr/>
      </vt:variant>
      <vt:variant>
        <vt:lpwstr>_Toc88277958</vt:lpwstr>
      </vt:variant>
      <vt:variant>
        <vt:i4>1441848</vt:i4>
      </vt:variant>
      <vt:variant>
        <vt:i4>52</vt:i4>
      </vt:variant>
      <vt:variant>
        <vt:i4>0</vt:i4>
      </vt:variant>
      <vt:variant>
        <vt:i4>5</vt:i4>
      </vt:variant>
      <vt:variant>
        <vt:lpwstr/>
      </vt:variant>
      <vt:variant>
        <vt:lpwstr>_Toc88277957</vt:lpwstr>
      </vt:variant>
      <vt:variant>
        <vt:i4>1507384</vt:i4>
      </vt:variant>
      <vt:variant>
        <vt:i4>46</vt:i4>
      </vt:variant>
      <vt:variant>
        <vt:i4>0</vt:i4>
      </vt:variant>
      <vt:variant>
        <vt:i4>5</vt:i4>
      </vt:variant>
      <vt:variant>
        <vt:lpwstr/>
      </vt:variant>
      <vt:variant>
        <vt:lpwstr>_Toc88277956</vt:lpwstr>
      </vt:variant>
      <vt:variant>
        <vt:i4>1310776</vt:i4>
      </vt:variant>
      <vt:variant>
        <vt:i4>40</vt:i4>
      </vt:variant>
      <vt:variant>
        <vt:i4>0</vt:i4>
      </vt:variant>
      <vt:variant>
        <vt:i4>5</vt:i4>
      </vt:variant>
      <vt:variant>
        <vt:lpwstr/>
      </vt:variant>
      <vt:variant>
        <vt:lpwstr>_Toc88277955</vt:lpwstr>
      </vt:variant>
      <vt:variant>
        <vt:i4>1376312</vt:i4>
      </vt:variant>
      <vt:variant>
        <vt:i4>34</vt:i4>
      </vt:variant>
      <vt:variant>
        <vt:i4>0</vt:i4>
      </vt:variant>
      <vt:variant>
        <vt:i4>5</vt:i4>
      </vt:variant>
      <vt:variant>
        <vt:lpwstr/>
      </vt:variant>
      <vt:variant>
        <vt:lpwstr>_Toc88277954</vt:lpwstr>
      </vt:variant>
      <vt:variant>
        <vt:i4>1179704</vt:i4>
      </vt:variant>
      <vt:variant>
        <vt:i4>28</vt:i4>
      </vt:variant>
      <vt:variant>
        <vt:i4>0</vt:i4>
      </vt:variant>
      <vt:variant>
        <vt:i4>5</vt:i4>
      </vt:variant>
      <vt:variant>
        <vt:lpwstr/>
      </vt:variant>
      <vt:variant>
        <vt:lpwstr>_Toc88277953</vt:lpwstr>
      </vt:variant>
      <vt:variant>
        <vt:i4>1245240</vt:i4>
      </vt:variant>
      <vt:variant>
        <vt:i4>22</vt:i4>
      </vt:variant>
      <vt:variant>
        <vt:i4>0</vt:i4>
      </vt:variant>
      <vt:variant>
        <vt:i4>5</vt:i4>
      </vt:variant>
      <vt:variant>
        <vt:lpwstr/>
      </vt:variant>
      <vt:variant>
        <vt:lpwstr>_Toc88277952</vt:lpwstr>
      </vt:variant>
      <vt:variant>
        <vt:i4>1048632</vt:i4>
      </vt:variant>
      <vt:variant>
        <vt:i4>16</vt:i4>
      </vt:variant>
      <vt:variant>
        <vt:i4>0</vt:i4>
      </vt:variant>
      <vt:variant>
        <vt:i4>5</vt:i4>
      </vt:variant>
      <vt:variant>
        <vt:lpwstr/>
      </vt:variant>
      <vt:variant>
        <vt:lpwstr>_Toc88277951</vt:lpwstr>
      </vt:variant>
      <vt:variant>
        <vt:i4>1114168</vt:i4>
      </vt:variant>
      <vt:variant>
        <vt:i4>10</vt:i4>
      </vt:variant>
      <vt:variant>
        <vt:i4>0</vt:i4>
      </vt:variant>
      <vt:variant>
        <vt:i4>5</vt:i4>
      </vt:variant>
      <vt:variant>
        <vt:lpwstr/>
      </vt:variant>
      <vt:variant>
        <vt:lpwstr>_Toc88277950</vt:lpwstr>
      </vt:variant>
      <vt:variant>
        <vt:i4>1572921</vt:i4>
      </vt:variant>
      <vt:variant>
        <vt:i4>4</vt:i4>
      </vt:variant>
      <vt:variant>
        <vt:i4>0</vt:i4>
      </vt:variant>
      <vt:variant>
        <vt:i4>5</vt:i4>
      </vt:variant>
      <vt:variant>
        <vt:lpwstr/>
      </vt:variant>
      <vt:variant>
        <vt:lpwstr>_Toc88277949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RTI_DP</dc:creator>
  <cp:lastModifiedBy>ctac</cp:lastModifiedBy>
  <cp:revision>2</cp:revision>
  <cp:lastPrinted>2004-11-15T15:02:00Z</cp:lastPrinted>
  <dcterms:created xsi:type="dcterms:W3CDTF">2012-05-01T23:01:00Z</dcterms:created>
  <dcterms:modified xsi:type="dcterms:W3CDTF">2012-05-01T23:01:00Z</dcterms:modified>
</cp:coreProperties>
</file>