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92" w:rsidRPr="001309AF" w:rsidRDefault="00450E92" w:rsidP="00450E92">
      <w:pPr>
        <w:jc w:val="center"/>
        <w:rPr>
          <w:rFonts w:ascii="Times New Roman" w:hAnsi="Times New Roman" w:cs="Times New Roman"/>
          <w:b/>
          <w:sz w:val="28"/>
          <w:szCs w:val="28"/>
        </w:rPr>
      </w:pPr>
      <w:r w:rsidRPr="001309AF">
        <w:rPr>
          <w:rFonts w:ascii="Times New Roman" w:hAnsi="Times New Roman" w:cs="Times New Roman"/>
          <w:b/>
          <w:sz w:val="28"/>
          <w:szCs w:val="28"/>
        </w:rPr>
        <w:t>Supporting Statement</w:t>
      </w:r>
    </w:p>
    <w:p w:rsidR="00450E92" w:rsidRPr="001309AF" w:rsidRDefault="00450E92" w:rsidP="00450E92">
      <w:pPr>
        <w:jc w:val="center"/>
        <w:rPr>
          <w:rFonts w:ascii="Times New Roman" w:hAnsi="Times New Roman" w:cs="Times New Roman"/>
          <w:b/>
          <w:sz w:val="28"/>
          <w:szCs w:val="28"/>
        </w:rPr>
      </w:pPr>
      <w:r w:rsidRPr="001309AF">
        <w:rPr>
          <w:rFonts w:ascii="Times New Roman" w:hAnsi="Times New Roman" w:cs="Times New Roman"/>
          <w:b/>
          <w:sz w:val="28"/>
          <w:szCs w:val="28"/>
        </w:rPr>
        <w:t>Health Resources and Services Administration/</w:t>
      </w:r>
      <w:r w:rsidR="004F60CD">
        <w:rPr>
          <w:rFonts w:ascii="Times New Roman" w:hAnsi="Times New Roman" w:cs="Times New Roman"/>
          <w:b/>
          <w:sz w:val="28"/>
          <w:szCs w:val="28"/>
        </w:rPr>
        <w:t>Office of Health Equity</w:t>
      </w:r>
    </w:p>
    <w:p w:rsidR="00450E92" w:rsidRPr="001309AF" w:rsidRDefault="004F60CD" w:rsidP="00450E92">
      <w:pPr>
        <w:jc w:val="center"/>
        <w:rPr>
          <w:rFonts w:ascii="Times New Roman" w:hAnsi="Times New Roman" w:cs="Times New Roman"/>
          <w:b/>
          <w:sz w:val="28"/>
          <w:szCs w:val="28"/>
        </w:rPr>
      </w:pPr>
      <w:r w:rsidRPr="004F60CD">
        <w:rPr>
          <w:rFonts w:ascii="Times New Roman" w:hAnsi="Times New Roman" w:cs="Times New Roman"/>
          <w:b/>
          <w:sz w:val="28"/>
          <w:szCs w:val="28"/>
        </w:rPr>
        <w:t>Cultural and Linguistic Competency and Health Literacy Data Collection Checklist</w:t>
      </w:r>
    </w:p>
    <w:p w:rsidR="00450E92" w:rsidRPr="00847A9E" w:rsidRDefault="00450E92" w:rsidP="00450E92">
      <w:pPr>
        <w:jc w:val="center"/>
        <w:rPr>
          <w:rFonts w:ascii="Times New Roman" w:hAnsi="Times New Roman" w:cs="Times New Roman"/>
        </w:rPr>
      </w:pPr>
    </w:p>
    <w:p w:rsidR="00450E92" w:rsidRPr="00847A9E" w:rsidRDefault="00450E92">
      <w:pPr>
        <w:rPr>
          <w:rFonts w:ascii="Times New Roman" w:hAnsi="Times New Roman" w:cs="Times New Roman"/>
        </w:rPr>
      </w:pPr>
    </w:p>
    <w:p w:rsidR="00450E92" w:rsidRPr="0089734C" w:rsidRDefault="00450E92" w:rsidP="00F851E8">
      <w:pPr>
        <w:pStyle w:val="ListParagraph"/>
        <w:numPr>
          <w:ilvl w:val="0"/>
          <w:numId w:val="10"/>
        </w:numPr>
        <w:rPr>
          <w:rFonts w:ascii="Times New Roman" w:hAnsi="Times New Roman" w:cs="Times New Roman"/>
          <w:b/>
        </w:rPr>
      </w:pPr>
      <w:r w:rsidRPr="0089734C">
        <w:rPr>
          <w:rFonts w:ascii="Times New Roman" w:hAnsi="Times New Roman" w:cs="Times New Roman"/>
          <w:b/>
        </w:rPr>
        <w:t>JUSTIFICATION</w:t>
      </w:r>
    </w:p>
    <w:p w:rsidR="00450E92" w:rsidRPr="00847A9E" w:rsidRDefault="00450E92" w:rsidP="00450E92">
      <w:pPr>
        <w:pStyle w:val="ListParagraph"/>
        <w:ind w:left="1080"/>
        <w:rPr>
          <w:rFonts w:ascii="Times New Roman" w:hAnsi="Times New Roman" w:cs="Times New Roman"/>
        </w:rPr>
      </w:pPr>
    </w:p>
    <w:p w:rsidR="00450E92" w:rsidRPr="0089734C" w:rsidRDefault="00450E92" w:rsidP="00E93BDC">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Circumstances Making the Collection of Information Necessary</w:t>
      </w:r>
    </w:p>
    <w:p w:rsidR="00450E92" w:rsidRPr="00847A9E" w:rsidRDefault="00450E92" w:rsidP="00450E92">
      <w:pPr>
        <w:rPr>
          <w:rFonts w:ascii="Times New Roman" w:hAnsi="Times New Roman" w:cs="Times New Roman"/>
          <w:u w:val="single"/>
        </w:rPr>
      </w:pPr>
    </w:p>
    <w:p w:rsidR="00FA7204" w:rsidRDefault="00450E92" w:rsidP="00450E92">
      <w:pPr>
        <w:rPr>
          <w:rFonts w:ascii="Times New Roman" w:eastAsia="Times New Roman" w:hAnsi="Times New Roman" w:cs="Times New Roman"/>
        </w:rPr>
      </w:pPr>
      <w:r w:rsidRPr="00847A9E">
        <w:rPr>
          <w:rFonts w:ascii="Times New Roman" w:hAnsi="Times New Roman" w:cs="Times New Roman"/>
        </w:rPr>
        <w:t xml:space="preserve">This is a request for Office of Management and Budget (OMB) approval to </w:t>
      </w:r>
      <w:r w:rsidR="009510B5">
        <w:rPr>
          <w:rFonts w:ascii="Times New Roman" w:hAnsi="Times New Roman" w:cs="Times New Roman"/>
        </w:rPr>
        <w:t>encourage HRSA bureaus and offices to incorporate</w:t>
      </w:r>
      <w:r w:rsidR="00E71B43" w:rsidRPr="00847A9E">
        <w:rPr>
          <w:rFonts w:ascii="Times New Roman" w:hAnsi="Times New Roman" w:cs="Times New Roman"/>
        </w:rPr>
        <w:t xml:space="preserve"> the </w:t>
      </w:r>
      <w:r w:rsidR="009510B5">
        <w:t>Cultural and</w:t>
      </w:r>
      <w:r w:rsidR="009510B5" w:rsidRPr="00B85EF9">
        <w:t xml:space="preserve"> Linguistic Competency and Health Literacy Data Collection Checklist</w:t>
      </w:r>
      <w:r w:rsidR="00415A60">
        <w:t xml:space="preserve"> </w:t>
      </w:r>
      <w:r w:rsidR="009510B5" w:rsidRPr="009510B5">
        <w:rPr>
          <w:rFonts w:ascii="Times New Roman" w:eastAsia="Times New Roman" w:hAnsi="Times New Roman" w:cs="Times New Roman"/>
        </w:rPr>
        <w:t>into their funding opportunity announcements, as a stand-alone or integrated measure.</w:t>
      </w:r>
      <w:r w:rsidR="00E66667">
        <w:rPr>
          <w:rFonts w:ascii="Times New Roman" w:eastAsia="Times New Roman" w:hAnsi="Times New Roman" w:cs="Times New Roman"/>
        </w:rPr>
        <w:t xml:space="preserve">  This request has been initiated by the Office of Health Equity (OHE), within the Office of Special Health Affairs </w:t>
      </w:r>
      <w:r w:rsidR="003418FB">
        <w:rPr>
          <w:rFonts w:ascii="Times New Roman" w:eastAsia="Times New Roman" w:hAnsi="Times New Roman" w:cs="Times New Roman"/>
        </w:rPr>
        <w:t xml:space="preserve">(OSHA) within HRSA. This checklist is needed to assure that HRSA grantees, serving a highly culturally, racially and ethnically diverse patient and student population deliver prevention, treatment and educational services that yield the </w:t>
      </w:r>
      <w:r w:rsidR="00FA7204">
        <w:rPr>
          <w:rFonts w:ascii="Times New Roman" w:eastAsia="Times New Roman" w:hAnsi="Times New Roman" w:cs="Times New Roman"/>
        </w:rPr>
        <w:t>highes</w:t>
      </w:r>
      <w:r w:rsidR="003418FB">
        <w:rPr>
          <w:rFonts w:ascii="Times New Roman" w:eastAsia="Times New Roman" w:hAnsi="Times New Roman" w:cs="Times New Roman"/>
        </w:rPr>
        <w:t>t</w:t>
      </w:r>
      <w:r w:rsidR="00FA7204">
        <w:rPr>
          <w:rFonts w:ascii="Times New Roman" w:eastAsia="Times New Roman" w:hAnsi="Times New Roman" w:cs="Times New Roman"/>
        </w:rPr>
        <w:t xml:space="preserve"> attainable </w:t>
      </w:r>
      <w:r w:rsidR="003418FB">
        <w:rPr>
          <w:rFonts w:ascii="Times New Roman" w:eastAsia="Times New Roman" w:hAnsi="Times New Roman" w:cs="Times New Roman"/>
        </w:rPr>
        <w:t xml:space="preserve">outcomes for these populations in keeping with the Department of Health and Human Services </w:t>
      </w:r>
      <w:hyperlink r:id="rId8" w:history="1">
        <w:r w:rsidR="00FA7204" w:rsidRPr="00FA7204">
          <w:rPr>
            <w:rStyle w:val="Hyperlink"/>
            <w:rFonts w:ascii="Times New Roman" w:eastAsia="Times New Roman" w:hAnsi="Times New Roman" w:cs="Times New Roman"/>
          </w:rPr>
          <w:t>National Standards for Culturally and Linguistically Appropriate Services</w:t>
        </w:r>
      </w:hyperlink>
      <w:r w:rsidR="00FA7204">
        <w:rPr>
          <w:rFonts w:ascii="Times New Roman" w:eastAsia="Times New Roman" w:hAnsi="Times New Roman" w:cs="Times New Roman"/>
        </w:rPr>
        <w:t>.</w:t>
      </w:r>
      <w:r w:rsidR="00FA7204" w:rsidRPr="00FA7204">
        <w:t xml:space="preserve"> </w:t>
      </w:r>
      <w:r w:rsidR="00756B2B">
        <w:t>(</w:t>
      </w:r>
      <w:r w:rsidR="00FA7204" w:rsidRPr="00FA7204">
        <w:rPr>
          <w:rFonts w:ascii="Times New Roman" w:eastAsia="Times New Roman" w:hAnsi="Times New Roman" w:cs="Times New Roman"/>
        </w:rPr>
        <w:t>http://minorityhealth.hhs.gov/templates/browse.aspx?lvl=2&amp;lvlID=15</w:t>
      </w:r>
      <w:r w:rsidR="00756B2B">
        <w:rPr>
          <w:rFonts w:ascii="Times New Roman" w:eastAsia="Times New Roman" w:hAnsi="Times New Roman" w:cs="Times New Roman"/>
        </w:rPr>
        <w:t>)</w:t>
      </w:r>
      <w:r w:rsidR="00FB4E4C">
        <w:rPr>
          <w:rFonts w:ascii="Times New Roman" w:eastAsia="Times New Roman" w:hAnsi="Times New Roman" w:cs="Times New Roman"/>
        </w:rPr>
        <w:t>.</w:t>
      </w:r>
      <w:r w:rsidR="00FA7204">
        <w:rPr>
          <w:rFonts w:ascii="Times New Roman" w:eastAsia="Times New Roman" w:hAnsi="Times New Roman" w:cs="Times New Roman"/>
        </w:rPr>
        <w:t xml:space="preserve"> </w:t>
      </w:r>
      <w:r w:rsidR="00FB4E4C" w:rsidRPr="00A6272A">
        <w:rPr>
          <w:rFonts w:ascii="Times New Roman" w:hAnsi="Times New Roman" w:cs="Times New Roman"/>
        </w:rPr>
        <w:t xml:space="preserve">Respondents will complete the subject checklist annually to satisfy the legislative requirement in section 4302 of the Patient Protection and Affordable Care Act, which requires annual reporting to Congress by HRSA.   </w:t>
      </w:r>
    </w:p>
    <w:p w:rsidR="00FA7204" w:rsidRDefault="00FA7204" w:rsidP="00450E92">
      <w:pPr>
        <w:rPr>
          <w:rFonts w:ascii="Times New Roman" w:eastAsia="Times New Roman" w:hAnsi="Times New Roman" w:cs="Times New Roman"/>
        </w:rPr>
      </w:pPr>
    </w:p>
    <w:p w:rsidR="009510B5" w:rsidRDefault="003418FB" w:rsidP="00450E92">
      <w:pPr>
        <w:rPr>
          <w:rFonts w:ascii="Times New Roman" w:eastAsia="Times New Roman" w:hAnsi="Times New Roman" w:cs="Times New Roman"/>
        </w:rPr>
      </w:pPr>
      <w:r>
        <w:rPr>
          <w:rFonts w:ascii="Times New Roman" w:eastAsia="Times New Roman" w:hAnsi="Times New Roman" w:cs="Times New Roman"/>
        </w:rPr>
        <w:t xml:space="preserve"> </w:t>
      </w:r>
    </w:p>
    <w:p w:rsidR="00A6272A" w:rsidRDefault="00A6272A" w:rsidP="00450E92">
      <w:pPr>
        <w:rPr>
          <w:rFonts w:ascii="Times New Roman" w:eastAsia="Times New Roman" w:hAnsi="Times New Roman" w:cs="Times New Roman"/>
        </w:rPr>
      </w:pPr>
    </w:p>
    <w:p w:rsidR="00E71B43" w:rsidRPr="0089734C" w:rsidRDefault="00E71B43" w:rsidP="00E71B43">
      <w:pPr>
        <w:pStyle w:val="ListParagraph"/>
        <w:numPr>
          <w:ilvl w:val="0"/>
          <w:numId w:val="7"/>
        </w:numPr>
        <w:rPr>
          <w:rFonts w:ascii="Times New Roman" w:hAnsi="Times New Roman" w:cs="Times New Roman"/>
          <w:b/>
        </w:rPr>
      </w:pPr>
      <w:r w:rsidRPr="0089734C">
        <w:rPr>
          <w:rFonts w:ascii="Times New Roman" w:hAnsi="Times New Roman" w:cs="Times New Roman"/>
          <w:b/>
        </w:rPr>
        <w:t xml:space="preserve"> </w:t>
      </w:r>
      <w:r w:rsidRPr="0089734C">
        <w:rPr>
          <w:rFonts w:ascii="Times New Roman" w:hAnsi="Times New Roman" w:cs="Times New Roman"/>
          <w:b/>
          <w:u w:val="single"/>
        </w:rPr>
        <w:t>Purpose and Use of Information</w:t>
      </w:r>
    </w:p>
    <w:p w:rsidR="00E71B43" w:rsidRPr="00847A9E" w:rsidRDefault="00E71B43" w:rsidP="00E71B43">
      <w:pPr>
        <w:rPr>
          <w:rFonts w:ascii="Times New Roman" w:hAnsi="Times New Roman" w:cs="Times New Roman"/>
        </w:rPr>
      </w:pPr>
    </w:p>
    <w:p w:rsidR="00E71B43" w:rsidRDefault="00801AE4" w:rsidP="004F60CD">
      <w:pPr>
        <w:rPr>
          <w:rFonts w:ascii="Times New Roman" w:hAnsi="Times New Roman" w:cs="Times New Roman"/>
        </w:rPr>
      </w:pPr>
      <w:r>
        <w:rPr>
          <w:rFonts w:ascii="Times New Roman" w:hAnsi="Times New Roman" w:cs="Times New Roman"/>
        </w:rPr>
        <w:t>The</w:t>
      </w:r>
      <w:r w:rsidR="009510B5">
        <w:rPr>
          <w:rFonts w:ascii="Times New Roman" w:hAnsi="Times New Roman" w:cs="Times New Roman"/>
        </w:rPr>
        <w:t xml:space="preserve"> purpose of this checklist is</w:t>
      </w:r>
      <w:r w:rsidR="00955320">
        <w:rPr>
          <w:rFonts w:ascii="Times New Roman" w:hAnsi="Times New Roman" w:cs="Times New Roman"/>
        </w:rPr>
        <w:t xml:space="preserve"> </w:t>
      </w:r>
      <w:r w:rsidR="0000416C" w:rsidRPr="0000416C">
        <w:rPr>
          <w:rFonts w:ascii="Times New Roman" w:eastAsia="Times New Roman" w:hAnsi="Times New Roman" w:cs="Times New Roman"/>
        </w:rPr>
        <w:t>to increase the number of HRSA-funded programs that have integrated cultural and linguistic competence and health literacy into their policies, guidelines, contracts and training.</w:t>
      </w:r>
      <w:r w:rsidR="00756B2B">
        <w:rPr>
          <w:rFonts w:ascii="Times New Roman" w:eastAsia="Times New Roman" w:hAnsi="Times New Roman" w:cs="Times New Roman"/>
        </w:rPr>
        <w:t xml:space="preserve"> There is substantial evidence that effective communication between healthcare providers and their patients significantly improve</w:t>
      </w:r>
      <w:r w:rsidR="00FB4E4C">
        <w:rPr>
          <w:rFonts w:ascii="Times New Roman" w:eastAsia="Times New Roman" w:hAnsi="Times New Roman" w:cs="Times New Roman"/>
        </w:rPr>
        <w:t>s</w:t>
      </w:r>
      <w:r w:rsidR="00756B2B">
        <w:rPr>
          <w:rFonts w:ascii="Times New Roman" w:eastAsia="Times New Roman" w:hAnsi="Times New Roman" w:cs="Times New Roman"/>
        </w:rPr>
        <w:t xml:space="preserve"> health outcomes.  The three elements that comprise effective communication include cultural competency, linguistic appropriateness and health literacy.</w:t>
      </w:r>
      <w:r w:rsidR="00756B2B" w:rsidRPr="0000416C">
        <w:rPr>
          <w:rFonts w:ascii="Times New Roman" w:eastAsia="Times New Roman" w:hAnsi="Times New Roman" w:cs="Times New Roman"/>
        </w:rPr>
        <w:t xml:space="preserve"> In</w:t>
      </w:r>
      <w:r w:rsidR="0000416C" w:rsidRPr="0000416C">
        <w:rPr>
          <w:rFonts w:ascii="Times New Roman" w:eastAsia="Times New Roman" w:hAnsi="Times New Roman" w:cs="Times New Roman"/>
        </w:rPr>
        <w:t xml:space="preserve"> addition, variations of the proposed tool have proven useful for grantees’ self-assessment. </w:t>
      </w:r>
    </w:p>
    <w:p w:rsidR="00955320" w:rsidRPr="00847A9E" w:rsidRDefault="00955320" w:rsidP="00E71B43">
      <w:pPr>
        <w:rPr>
          <w:rFonts w:ascii="Times New Roman" w:hAnsi="Times New Roman" w:cs="Times New Roman"/>
        </w:rPr>
      </w:pPr>
    </w:p>
    <w:p w:rsidR="00E71B43" w:rsidRPr="00847A9E" w:rsidRDefault="00E71B43" w:rsidP="00E71B43">
      <w:pPr>
        <w:rPr>
          <w:rFonts w:ascii="Times New Roman" w:hAnsi="Times New Roman" w:cs="Times New Roman"/>
        </w:rPr>
      </w:pPr>
      <w:r w:rsidRPr="00847A9E">
        <w:rPr>
          <w:rFonts w:ascii="Times New Roman" w:hAnsi="Times New Roman" w:cs="Times New Roman"/>
        </w:rPr>
        <w:t>HRSA will use the information gath</w:t>
      </w:r>
      <w:r w:rsidR="0000416C">
        <w:rPr>
          <w:rFonts w:ascii="Times New Roman" w:hAnsi="Times New Roman" w:cs="Times New Roman"/>
        </w:rPr>
        <w:t>ered by the checklist to offer</w:t>
      </w:r>
      <w:r w:rsidR="0000416C" w:rsidRPr="0000416C">
        <w:rPr>
          <w:rFonts w:ascii="Times New Roman" w:eastAsia="Times New Roman" w:hAnsi="Times New Roman" w:cs="Times New Roman"/>
        </w:rPr>
        <w:t xml:space="preserve"> insights into technical assistance challenges and opportunities.</w:t>
      </w:r>
      <w:r w:rsidR="00756B2B">
        <w:rPr>
          <w:rFonts w:ascii="Times New Roman" w:eastAsia="Times New Roman" w:hAnsi="Times New Roman" w:cs="Times New Roman"/>
        </w:rPr>
        <w:t xml:space="preserve"> More specifically, this checklist will identify potential deficiencies </w:t>
      </w:r>
      <w:r w:rsidR="004F2A88">
        <w:rPr>
          <w:rFonts w:ascii="Times New Roman" w:eastAsia="Times New Roman" w:hAnsi="Times New Roman" w:cs="Times New Roman"/>
        </w:rPr>
        <w:t xml:space="preserve">and gaps </w:t>
      </w:r>
      <w:r w:rsidR="00756B2B">
        <w:rPr>
          <w:rFonts w:ascii="Times New Roman" w:eastAsia="Times New Roman" w:hAnsi="Times New Roman" w:cs="Times New Roman"/>
        </w:rPr>
        <w:t xml:space="preserve">affecting </w:t>
      </w:r>
      <w:r w:rsidR="004F2A88">
        <w:rPr>
          <w:rFonts w:ascii="Times New Roman" w:eastAsia="Times New Roman" w:hAnsi="Times New Roman" w:cs="Times New Roman"/>
        </w:rPr>
        <w:t>a grantee’s</w:t>
      </w:r>
      <w:r w:rsidR="00756B2B">
        <w:rPr>
          <w:rFonts w:ascii="Times New Roman" w:eastAsia="Times New Roman" w:hAnsi="Times New Roman" w:cs="Times New Roman"/>
        </w:rPr>
        <w:t xml:space="preserve"> delivery of quality, cultural</w:t>
      </w:r>
      <w:r w:rsidR="004F2A88">
        <w:rPr>
          <w:rFonts w:ascii="Times New Roman" w:eastAsia="Times New Roman" w:hAnsi="Times New Roman" w:cs="Times New Roman"/>
        </w:rPr>
        <w:t>ly and linguistically appropriate and health literate services. Such information is essential for program managers and Government Project Officers to collaborate in identifying ameliorative action ultimately resulting in improved services.</w:t>
      </w:r>
    </w:p>
    <w:p w:rsidR="006C5974" w:rsidRPr="00847A9E" w:rsidRDefault="006C5974" w:rsidP="00450E92">
      <w:pPr>
        <w:rPr>
          <w:rFonts w:ascii="Times New Roman" w:hAnsi="Times New Roman" w:cs="Times New Roman"/>
          <w:u w:val="single"/>
        </w:rPr>
      </w:pPr>
    </w:p>
    <w:p w:rsidR="006C5974" w:rsidRPr="0089734C" w:rsidRDefault="006C5974" w:rsidP="006C5974">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Use of Improved Information Technology and Burden Reduction</w:t>
      </w:r>
    </w:p>
    <w:p w:rsidR="00415A60" w:rsidRDefault="00415A60" w:rsidP="00415A60">
      <w:pPr>
        <w:pStyle w:val="ListParagraph"/>
        <w:ind w:left="360"/>
        <w:rPr>
          <w:rFonts w:ascii="Times New Roman" w:hAnsi="Times New Roman" w:cs="Times New Roman"/>
        </w:rPr>
      </w:pPr>
    </w:p>
    <w:p w:rsidR="00415A60" w:rsidRPr="00415A60" w:rsidRDefault="00415A60" w:rsidP="00C71514">
      <w:pPr>
        <w:rPr>
          <w:rFonts w:ascii="Times New Roman" w:hAnsi="Times New Roman" w:cs="Times New Roman"/>
        </w:rPr>
      </w:pPr>
      <w:r w:rsidRPr="00415A60">
        <w:rPr>
          <w:rFonts w:ascii="Times New Roman" w:hAnsi="Times New Roman" w:cs="Times New Roman"/>
        </w:rPr>
        <w:lastRenderedPageBreak/>
        <w:t xml:space="preserve">Every effort was taken to design the tool to collect the least, but appropriate, amount of data needed to reconcile number of FTE positions.  From discussions with </w:t>
      </w:r>
      <w:r>
        <w:rPr>
          <w:rFonts w:ascii="Times New Roman" w:hAnsi="Times New Roman" w:cs="Times New Roman"/>
        </w:rPr>
        <w:t xml:space="preserve">project officer </w:t>
      </w:r>
      <w:r w:rsidR="00CF7B87">
        <w:rPr>
          <w:rFonts w:ascii="Times New Roman" w:hAnsi="Times New Roman" w:cs="Times New Roman"/>
        </w:rPr>
        <w:t>in HRSA Bureaus and Offices,</w:t>
      </w:r>
      <w:r w:rsidRPr="00415A60">
        <w:rPr>
          <w:rFonts w:ascii="Times New Roman" w:hAnsi="Times New Roman" w:cs="Times New Roman"/>
        </w:rPr>
        <w:t xml:space="preserve"> the data requested are not perceived to be burdensome and are readily available to the awardees.</w:t>
      </w:r>
    </w:p>
    <w:p w:rsidR="006C5974" w:rsidRPr="00847A9E" w:rsidRDefault="006C5974" w:rsidP="006C5974">
      <w:pPr>
        <w:rPr>
          <w:rFonts w:ascii="Times New Roman" w:hAnsi="Times New Roman" w:cs="Times New Roman"/>
          <w:u w:val="single"/>
        </w:rPr>
      </w:pPr>
    </w:p>
    <w:p w:rsidR="006B4D90" w:rsidRPr="0089734C" w:rsidRDefault="006B4D90" w:rsidP="00483331">
      <w:pPr>
        <w:pStyle w:val="ListParagraph"/>
        <w:numPr>
          <w:ilvl w:val="0"/>
          <w:numId w:val="7"/>
        </w:numPr>
        <w:rPr>
          <w:rFonts w:ascii="Times New Roman" w:hAnsi="Times New Roman" w:cs="Times New Roman"/>
          <w:b/>
          <w:u w:val="single"/>
        </w:rPr>
      </w:pPr>
      <w:r w:rsidRPr="0089734C">
        <w:rPr>
          <w:rFonts w:ascii="Times New Roman" w:hAnsi="Times New Roman" w:cs="Times New Roman"/>
          <w:b/>
          <w:u w:val="single"/>
        </w:rPr>
        <w:t>Efforts to Identify Duplication and Use of Similar Information</w:t>
      </w:r>
    </w:p>
    <w:p w:rsidR="006B4D90" w:rsidRDefault="006B4D90">
      <w:pPr>
        <w:rPr>
          <w:rFonts w:ascii="Times New Roman" w:hAnsi="Times New Roman" w:cs="Times New Roman"/>
        </w:rPr>
      </w:pPr>
    </w:p>
    <w:p w:rsidR="00CF7B87" w:rsidRPr="00847A9E" w:rsidRDefault="00CF7B87">
      <w:pPr>
        <w:rPr>
          <w:rFonts w:ascii="Times New Roman" w:hAnsi="Times New Roman" w:cs="Times New Roman"/>
        </w:rPr>
      </w:pPr>
      <w:r w:rsidRPr="00CE5E12">
        <w:rPr>
          <w:rFonts w:ascii="Times New Roman" w:hAnsi="Times New Roman" w:cs="Times New Roman"/>
        </w:rPr>
        <w:t xml:space="preserve">The information gathered to </w:t>
      </w:r>
      <w:r>
        <w:rPr>
          <w:rFonts w:ascii="Times New Roman" w:hAnsi="Times New Roman" w:cs="Times New Roman"/>
        </w:rPr>
        <w:t xml:space="preserve">determine the extent of grantees adherence to effective healthcare communication practices between providers and patients </w:t>
      </w:r>
      <w:r w:rsidRPr="00CE5E12">
        <w:rPr>
          <w:rFonts w:ascii="Times New Roman" w:hAnsi="Times New Roman" w:cs="Times New Roman"/>
        </w:rPr>
        <w:t>is not collected by other HHS agencies or data collection systems.</w:t>
      </w:r>
      <w:r w:rsidRPr="00847A9E">
        <w:rPr>
          <w:rFonts w:ascii="Times New Roman" w:hAnsi="Times New Roman" w:cs="Times New Roman"/>
        </w:rPr>
        <w:t xml:space="preserve">   </w:t>
      </w:r>
    </w:p>
    <w:p w:rsidR="008254DC" w:rsidRPr="00847A9E" w:rsidRDefault="008254DC">
      <w:pPr>
        <w:rPr>
          <w:rFonts w:ascii="Times New Roman" w:hAnsi="Times New Roman" w:cs="Times New Roman"/>
        </w:rPr>
      </w:pPr>
    </w:p>
    <w:p w:rsidR="008254DC" w:rsidRPr="0089734C" w:rsidRDefault="008254D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Impact on Small Business or Other Small Entities</w:t>
      </w:r>
    </w:p>
    <w:p w:rsidR="008254DC" w:rsidRPr="00847A9E" w:rsidRDefault="008254DC">
      <w:pPr>
        <w:rPr>
          <w:rFonts w:ascii="Times New Roman" w:hAnsi="Times New Roman" w:cs="Times New Roman"/>
        </w:rPr>
      </w:pPr>
    </w:p>
    <w:p w:rsidR="00CF7B87" w:rsidRPr="00847A9E" w:rsidRDefault="00AA47F0" w:rsidP="00CF7B87">
      <w:pPr>
        <w:rPr>
          <w:rFonts w:ascii="Times New Roman" w:hAnsi="Times New Roman" w:cs="Times New Roman"/>
        </w:rPr>
      </w:pPr>
      <w:r>
        <w:rPr>
          <w:rFonts w:ascii="Times New Roman" w:hAnsi="Times New Roman" w:cs="Times New Roman"/>
        </w:rPr>
        <w:t xml:space="preserve">HRSA-supported grantees </w:t>
      </w:r>
      <w:r w:rsidR="00CF7B87">
        <w:rPr>
          <w:rFonts w:ascii="Times New Roman" w:hAnsi="Times New Roman" w:cs="Times New Roman"/>
        </w:rPr>
        <w:t>may be small entities such as federally</w:t>
      </w:r>
      <w:r w:rsidR="007F26C4">
        <w:rPr>
          <w:rFonts w:ascii="Times New Roman" w:hAnsi="Times New Roman" w:cs="Times New Roman"/>
        </w:rPr>
        <w:t xml:space="preserve"> qualified health centers (FQHC), community health centers, HIV/AIDs clinics, or rural health clinics. </w:t>
      </w:r>
      <w:r w:rsidR="00CF7B87" w:rsidRPr="00847A9E">
        <w:rPr>
          <w:rFonts w:ascii="Times New Roman" w:hAnsi="Times New Roman" w:cs="Times New Roman"/>
        </w:rPr>
        <w:t>In order to minimize the burden to the</w:t>
      </w:r>
      <w:r w:rsidR="007F26C4">
        <w:rPr>
          <w:rFonts w:ascii="Times New Roman" w:hAnsi="Times New Roman" w:cs="Times New Roman"/>
        </w:rPr>
        <w:t>se grantees</w:t>
      </w:r>
      <w:r w:rsidR="00CF7B87">
        <w:rPr>
          <w:rFonts w:ascii="Times New Roman" w:hAnsi="Times New Roman" w:cs="Times New Roman"/>
        </w:rPr>
        <w:t>,</w:t>
      </w:r>
      <w:r w:rsidR="00CF7B87" w:rsidRPr="00847A9E">
        <w:rPr>
          <w:rFonts w:ascii="Times New Roman" w:hAnsi="Times New Roman" w:cs="Times New Roman"/>
        </w:rPr>
        <w:t xml:space="preserve"> the tool only requests information </w:t>
      </w:r>
      <w:r w:rsidR="007F26C4">
        <w:rPr>
          <w:rFonts w:ascii="Times New Roman" w:hAnsi="Times New Roman" w:cs="Times New Roman"/>
        </w:rPr>
        <w:t xml:space="preserve">that is easy to obtain and report. </w:t>
      </w:r>
      <w:r w:rsidR="00CF7B87" w:rsidRPr="00847A9E">
        <w:rPr>
          <w:rFonts w:ascii="Times New Roman" w:hAnsi="Times New Roman" w:cs="Times New Roman"/>
        </w:rPr>
        <w:t xml:space="preserve"> The tool is short and concise.   </w:t>
      </w:r>
    </w:p>
    <w:p w:rsidR="00006E7C" w:rsidRPr="00847A9E" w:rsidRDefault="00006E7C">
      <w:pPr>
        <w:rPr>
          <w:rFonts w:ascii="Times New Roman" w:hAnsi="Times New Roman" w:cs="Times New Roman"/>
        </w:rPr>
      </w:pPr>
    </w:p>
    <w:p w:rsidR="00006E7C" w:rsidRPr="00847A9E" w:rsidRDefault="00006E7C">
      <w:pPr>
        <w:rPr>
          <w:rFonts w:ascii="Times New Roman" w:hAnsi="Times New Roman" w:cs="Times New Roman"/>
        </w:rPr>
      </w:pPr>
    </w:p>
    <w:p w:rsidR="001B0A20" w:rsidRPr="0089734C" w:rsidRDefault="00006E7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 xml:space="preserve">Consequences </w:t>
      </w:r>
      <w:r w:rsidR="002B60D1">
        <w:rPr>
          <w:rFonts w:ascii="Times New Roman" w:hAnsi="Times New Roman" w:cs="Times New Roman"/>
          <w:b/>
          <w:u w:val="single"/>
        </w:rPr>
        <w:t>If Information Collected Less Frequently</w:t>
      </w:r>
    </w:p>
    <w:p w:rsidR="00006E7C" w:rsidRPr="00847A9E" w:rsidRDefault="00006E7C">
      <w:pPr>
        <w:rPr>
          <w:rFonts w:ascii="Times New Roman" w:hAnsi="Times New Roman" w:cs="Times New Roman"/>
        </w:rPr>
      </w:pPr>
    </w:p>
    <w:p w:rsidR="007F26C4" w:rsidRPr="00847A9E" w:rsidRDefault="007F26C4" w:rsidP="007F26C4">
      <w:pPr>
        <w:rPr>
          <w:rFonts w:ascii="Times New Roman" w:hAnsi="Times New Roman" w:cs="Times New Roman"/>
        </w:rPr>
      </w:pPr>
      <w:r w:rsidRPr="00847A9E">
        <w:rPr>
          <w:rFonts w:ascii="Times New Roman" w:hAnsi="Times New Roman" w:cs="Times New Roman"/>
        </w:rPr>
        <w:t>There are legal consequences to collecting the information less frequ</w:t>
      </w:r>
      <w:r>
        <w:rPr>
          <w:rFonts w:ascii="Times New Roman" w:hAnsi="Times New Roman" w:cs="Times New Roman"/>
        </w:rPr>
        <w:t xml:space="preserve">ently.  </w:t>
      </w:r>
      <w:r w:rsidRPr="00A6272A">
        <w:rPr>
          <w:rFonts w:ascii="Times New Roman" w:hAnsi="Times New Roman" w:cs="Times New Roman"/>
        </w:rPr>
        <w:t xml:space="preserve">Respondents will complete the </w:t>
      </w:r>
      <w:r w:rsidR="008A5E3B" w:rsidRPr="00A6272A">
        <w:rPr>
          <w:rFonts w:ascii="Times New Roman" w:hAnsi="Times New Roman" w:cs="Times New Roman"/>
        </w:rPr>
        <w:t>subject checklist</w:t>
      </w:r>
      <w:r w:rsidRPr="00A6272A">
        <w:rPr>
          <w:rFonts w:ascii="Times New Roman" w:hAnsi="Times New Roman" w:cs="Times New Roman"/>
        </w:rPr>
        <w:t xml:space="preserve"> annually to satisfy the legislative requirement in </w:t>
      </w:r>
      <w:r w:rsidR="00A6272A" w:rsidRPr="00A6272A">
        <w:rPr>
          <w:rFonts w:ascii="Times New Roman" w:hAnsi="Times New Roman" w:cs="Times New Roman"/>
        </w:rPr>
        <w:t>section 4302</w:t>
      </w:r>
      <w:r w:rsidRPr="00A6272A">
        <w:rPr>
          <w:rFonts w:ascii="Times New Roman" w:hAnsi="Times New Roman" w:cs="Times New Roman"/>
        </w:rPr>
        <w:t xml:space="preserve"> of the </w:t>
      </w:r>
      <w:r w:rsidR="008A5E3B" w:rsidRPr="00A6272A">
        <w:rPr>
          <w:rFonts w:ascii="Times New Roman" w:hAnsi="Times New Roman" w:cs="Times New Roman"/>
        </w:rPr>
        <w:t>Patient Pro</w:t>
      </w:r>
      <w:r w:rsidR="00A6272A" w:rsidRPr="00A6272A">
        <w:rPr>
          <w:rFonts w:ascii="Times New Roman" w:hAnsi="Times New Roman" w:cs="Times New Roman"/>
        </w:rPr>
        <w:t xml:space="preserve">tection and Affordable Care Act, </w:t>
      </w:r>
      <w:r w:rsidRPr="00A6272A">
        <w:rPr>
          <w:rFonts w:ascii="Times New Roman" w:hAnsi="Times New Roman" w:cs="Times New Roman"/>
        </w:rPr>
        <w:t xml:space="preserve">which requires annual </w:t>
      </w:r>
      <w:r w:rsidR="008A5E3B" w:rsidRPr="00A6272A">
        <w:rPr>
          <w:rFonts w:ascii="Times New Roman" w:hAnsi="Times New Roman" w:cs="Times New Roman"/>
        </w:rPr>
        <w:t xml:space="preserve">reporting to Congress by HRSA. </w:t>
      </w:r>
      <w:r w:rsidRPr="00A6272A">
        <w:rPr>
          <w:rFonts w:ascii="Times New Roman" w:hAnsi="Times New Roman" w:cs="Times New Roman"/>
        </w:rPr>
        <w:t xml:space="preserve">  If collection of the data is not conducted or is conducted less frequently then annually HRSA will not be in compliance with the law.</w:t>
      </w:r>
    </w:p>
    <w:p w:rsidR="00006E7C" w:rsidRPr="00847A9E" w:rsidRDefault="00006E7C">
      <w:pPr>
        <w:rPr>
          <w:rFonts w:ascii="Times New Roman" w:hAnsi="Times New Roman" w:cs="Times New Roman"/>
        </w:rPr>
      </w:pPr>
    </w:p>
    <w:p w:rsidR="004B20EA" w:rsidRPr="0089734C" w:rsidRDefault="00006E7C"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Special Circumstances Relating to the Guidelines of 5 CFR 1320.5</w:t>
      </w:r>
    </w:p>
    <w:p w:rsidR="004B20EA" w:rsidRPr="00847A9E" w:rsidRDefault="004B20EA">
      <w:pPr>
        <w:rPr>
          <w:rFonts w:ascii="Times New Roman" w:hAnsi="Times New Roman" w:cs="Times New Roman"/>
        </w:rPr>
      </w:pPr>
    </w:p>
    <w:p w:rsidR="008A5E3B" w:rsidRPr="00847A9E" w:rsidRDefault="004B20EA" w:rsidP="008A5E3B">
      <w:pPr>
        <w:rPr>
          <w:rFonts w:ascii="Times New Roman" w:hAnsi="Times New Roman" w:cs="Times New Roman"/>
        </w:rPr>
      </w:pPr>
      <w:r w:rsidRPr="00F94ECA">
        <w:rPr>
          <w:rFonts w:ascii="Times New Roman" w:hAnsi="Times New Roman" w:cs="Times New Roman"/>
        </w:rPr>
        <w:t xml:space="preserve">All guidelines relating to 5 CFR 1320.5 are met.  </w:t>
      </w:r>
      <w:r w:rsidR="008A5E3B" w:rsidRPr="00F94ECA">
        <w:rPr>
          <w:rFonts w:ascii="Times New Roman" w:hAnsi="Times New Roman" w:cs="Times New Roman"/>
        </w:rPr>
        <w:t xml:space="preserve">The request for reporting of activities relation to effective </w:t>
      </w:r>
      <w:r w:rsidR="000449FE" w:rsidRPr="00F94ECA">
        <w:rPr>
          <w:rFonts w:ascii="Times New Roman" w:hAnsi="Times New Roman" w:cs="Times New Roman"/>
        </w:rPr>
        <w:t>healthcare communication between providers and patients</w:t>
      </w:r>
      <w:r w:rsidR="008A5E3B" w:rsidRPr="00F94ECA">
        <w:rPr>
          <w:rFonts w:ascii="Times New Roman" w:hAnsi="Times New Roman" w:cs="Times New Roman"/>
        </w:rPr>
        <w:t xml:space="preserve"> fully complies with the regulation.</w:t>
      </w:r>
    </w:p>
    <w:p w:rsidR="00120323" w:rsidRDefault="00120323">
      <w:pPr>
        <w:rPr>
          <w:rFonts w:ascii="Times New Roman" w:hAnsi="Times New Roman" w:cs="Times New Roman"/>
        </w:rPr>
      </w:pPr>
    </w:p>
    <w:p w:rsidR="001E1317" w:rsidRPr="0089734C" w:rsidRDefault="00483331" w:rsidP="00483331">
      <w:pPr>
        <w:pStyle w:val="ListParagraph"/>
        <w:numPr>
          <w:ilvl w:val="0"/>
          <w:numId w:val="8"/>
        </w:numPr>
        <w:rPr>
          <w:rFonts w:ascii="Times New Roman" w:hAnsi="Times New Roman" w:cs="Times New Roman"/>
          <w:b/>
          <w:u w:val="single"/>
        </w:rPr>
      </w:pPr>
      <w:r w:rsidRPr="0089734C">
        <w:rPr>
          <w:rFonts w:ascii="Times New Roman" w:hAnsi="Times New Roman" w:cs="Times New Roman"/>
          <w:b/>
        </w:rPr>
        <w:t xml:space="preserve"> </w:t>
      </w:r>
      <w:r w:rsidR="00120323" w:rsidRPr="0089734C">
        <w:rPr>
          <w:rFonts w:ascii="Times New Roman" w:hAnsi="Times New Roman" w:cs="Times New Roman"/>
          <w:b/>
          <w:u w:val="single"/>
        </w:rPr>
        <w:t>Comments in Response to the Federal Register Notice/Outside Consultation</w:t>
      </w:r>
    </w:p>
    <w:p w:rsidR="001E1317" w:rsidRPr="00847A9E" w:rsidRDefault="001E1317">
      <w:pPr>
        <w:rPr>
          <w:rFonts w:ascii="Times New Roman" w:hAnsi="Times New Roman" w:cs="Times New Roman"/>
        </w:rPr>
      </w:pPr>
    </w:p>
    <w:p w:rsidR="001E1317" w:rsidRPr="00A90B30" w:rsidRDefault="0089734C" w:rsidP="0089734C">
      <w:pPr>
        <w:rPr>
          <w:rFonts w:ascii="Times New Roman" w:hAnsi="Times New Roman" w:cs="Times New Roman"/>
        </w:rPr>
      </w:pPr>
      <w:r>
        <w:rPr>
          <w:rFonts w:ascii="Times New Roman" w:hAnsi="Times New Roman" w:cs="Times New Roman"/>
        </w:rPr>
        <w:t>8A.</w:t>
      </w:r>
      <w:r w:rsidR="00483331" w:rsidRPr="00A90B30">
        <w:rPr>
          <w:rFonts w:ascii="Times New Roman" w:hAnsi="Times New Roman" w:cs="Times New Roman"/>
        </w:rPr>
        <w:t>The notice required in 5</w:t>
      </w:r>
      <w:r w:rsidR="008D29D5">
        <w:rPr>
          <w:rFonts w:ascii="Times New Roman" w:hAnsi="Times New Roman" w:cs="Times New Roman"/>
        </w:rPr>
        <w:t xml:space="preserve"> </w:t>
      </w:r>
      <w:r w:rsidR="00483331" w:rsidRPr="00A90B30">
        <w:rPr>
          <w:rFonts w:ascii="Times New Roman" w:hAnsi="Times New Roman" w:cs="Times New Roman"/>
        </w:rPr>
        <w:t xml:space="preserve">CFR 1320.5 </w:t>
      </w:r>
      <w:r w:rsidR="001E1317" w:rsidRPr="00A90B30">
        <w:rPr>
          <w:rFonts w:ascii="Times New Roman" w:hAnsi="Times New Roman" w:cs="Times New Roman"/>
        </w:rPr>
        <w:t xml:space="preserve">was published in the </w:t>
      </w:r>
      <w:r w:rsidR="001E1317" w:rsidRPr="00A90B30">
        <w:rPr>
          <w:rFonts w:ascii="Times New Roman" w:hAnsi="Times New Roman" w:cs="Times New Roman"/>
          <w:i/>
        </w:rPr>
        <w:t>Federal Register</w:t>
      </w:r>
      <w:r w:rsidR="00483331" w:rsidRPr="00A90B30">
        <w:rPr>
          <w:rFonts w:ascii="Times New Roman" w:hAnsi="Times New Roman" w:cs="Times New Roman"/>
        </w:rPr>
        <w:t xml:space="preserve"> on </w:t>
      </w:r>
      <w:r w:rsidR="0000416C">
        <w:rPr>
          <w:rFonts w:ascii="Times New Roman" w:hAnsi="Times New Roman" w:cs="Times New Roman"/>
        </w:rPr>
        <w:t>September 26</w:t>
      </w:r>
      <w:r w:rsidR="00483331" w:rsidRPr="00A90B30">
        <w:rPr>
          <w:rFonts w:ascii="Times New Roman" w:hAnsi="Times New Roman" w:cs="Times New Roman"/>
        </w:rPr>
        <w:t>,</w:t>
      </w:r>
      <w:r w:rsidR="00847A9E" w:rsidRPr="00A90B30">
        <w:rPr>
          <w:rFonts w:ascii="Times New Roman" w:hAnsi="Times New Roman" w:cs="Times New Roman"/>
        </w:rPr>
        <w:t xml:space="preserve"> </w:t>
      </w:r>
      <w:r w:rsidR="000512A5">
        <w:rPr>
          <w:rFonts w:ascii="Times New Roman" w:hAnsi="Times New Roman" w:cs="Times New Roman"/>
        </w:rPr>
        <w:t>2011, vol.76 No. 186; page 59410</w:t>
      </w:r>
      <w:r w:rsidR="00483331" w:rsidRPr="00A90B30">
        <w:rPr>
          <w:rFonts w:ascii="Times New Roman" w:hAnsi="Times New Roman" w:cs="Times New Roman"/>
        </w:rPr>
        <w:t xml:space="preserve"> </w:t>
      </w:r>
      <w:r>
        <w:rPr>
          <w:rFonts w:ascii="Times New Roman" w:hAnsi="Times New Roman" w:cs="Times New Roman"/>
        </w:rPr>
        <w:t>(</w:t>
      </w:r>
      <w:r w:rsidR="00483331" w:rsidRPr="00A90B30">
        <w:rPr>
          <w:rFonts w:ascii="Times New Roman" w:hAnsi="Times New Roman" w:cs="Times New Roman"/>
        </w:rPr>
        <w:t>attachment 3</w:t>
      </w:r>
      <w:r w:rsidR="001E1317" w:rsidRPr="00A90B30">
        <w:rPr>
          <w:rFonts w:ascii="Times New Roman" w:hAnsi="Times New Roman" w:cs="Times New Roman"/>
        </w:rPr>
        <w:t>).</w:t>
      </w:r>
      <w:r w:rsidR="00483331" w:rsidRPr="00A90B30">
        <w:rPr>
          <w:rFonts w:ascii="Times New Roman" w:hAnsi="Times New Roman" w:cs="Times New Roman"/>
        </w:rPr>
        <w:t xml:space="preserve">  There w</w:t>
      </w:r>
      <w:r w:rsidR="000449FE">
        <w:rPr>
          <w:rFonts w:ascii="Times New Roman" w:hAnsi="Times New Roman" w:cs="Times New Roman"/>
        </w:rPr>
        <w:t>as</w:t>
      </w:r>
      <w:r w:rsidR="00483331" w:rsidRPr="00A90B30">
        <w:rPr>
          <w:rFonts w:ascii="Times New Roman" w:hAnsi="Times New Roman" w:cs="Times New Roman"/>
        </w:rPr>
        <w:t xml:space="preserve"> </w:t>
      </w:r>
      <w:r w:rsidR="000449FE">
        <w:rPr>
          <w:rFonts w:ascii="Times New Roman" w:hAnsi="Times New Roman" w:cs="Times New Roman"/>
        </w:rPr>
        <w:t>one</w:t>
      </w:r>
      <w:r w:rsidR="00483331" w:rsidRPr="00A90B30">
        <w:rPr>
          <w:rFonts w:ascii="Times New Roman" w:hAnsi="Times New Roman" w:cs="Times New Roman"/>
        </w:rPr>
        <w:t xml:space="preserve"> comment from the publ</w:t>
      </w:r>
      <w:r w:rsidR="00B53FAC">
        <w:rPr>
          <w:rFonts w:ascii="Times New Roman" w:hAnsi="Times New Roman" w:cs="Times New Roman"/>
        </w:rPr>
        <w:t>ic</w:t>
      </w:r>
      <w:r w:rsidR="00483331" w:rsidRPr="00A90B30">
        <w:rPr>
          <w:rFonts w:ascii="Times New Roman" w:hAnsi="Times New Roman" w:cs="Times New Roman"/>
        </w:rPr>
        <w:t>.</w:t>
      </w:r>
    </w:p>
    <w:p w:rsidR="00483331" w:rsidRPr="00847A9E" w:rsidRDefault="00483331" w:rsidP="00483331">
      <w:pPr>
        <w:pStyle w:val="ListParagraph"/>
        <w:rPr>
          <w:rFonts w:ascii="Times New Roman" w:hAnsi="Times New Roman" w:cs="Times New Roman"/>
        </w:rPr>
      </w:pPr>
    </w:p>
    <w:p w:rsidR="000449FE" w:rsidRPr="00B53FAC" w:rsidRDefault="000449FE" w:rsidP="000449FE">
      <w:pPr>
        <w:rPr>
          <w:rFonts w:ascii="Times New Roman" w:hAnsi="Times New Roman" w:cs="Times New Roman"/>
        </w:rPr>
      </w:pPr>
      <w:r w:rsidRPr="00B53FAC">
        <w:rPr>
          <w:rFonts w:ascii="Times New Roman" w:hAnsi="Times New Roman" w:cs="Times New Roman"/>
        </w:rPr>
        <w:t xml:space="preserve">There were approximate five experienced high-ranking HRSA project officers consulted on the availability of the data requested, frequency of the collection, burden and the clarity of the instructions for reporting information. </w:t>
      </w:r>
      <w:r w:rsidR="002E54AC" w:rsidRPr="00B53FAC">
        <w:rPr>
          <w:rFonts w:ascii="Times New Roman" w:hAnsi="Times New Roman" w:cs="Times New Roman"/>
        </w:rPr>
        <w:t>None of these staff (who are intimately familiar with the operations of grantees under their aegis), indicated, when queried, any perceived burden on the part of HRSA grantees whatsoever.</w:t>
      </w:r>
    </w:p>
    <w:p w:rsidR="00F16D73" w:rsidRPr="00243170" w:rsidRDefault="00F16D73" w:rsidP="00243170">
      <w:pPr>
        <w:rPr>
          <w:rFonts w:ascii="Times New Roman" w:hAnsi="Times New Roman" w:cs="Times New Roman"/>
          <w:b/>
          <w:u w:val="single"/>
        </w:rPr>
      </w:pPr>
    </w:p>
    <w:p w:rsidR="00DA1365" w:rsidRPr="0089734C" w:rsidRDefault="00DA1365" w:rsidP="0068419A">
      <w:pPr>
        <w:pStyle w:val="ListParagraph"/>
        <w:numPr>
          <w:ilvl w:val="0"/>
          <w:numId w:val="8"/>
        </w:numPr>
        <w:rPr>
          <w:rFonts w:ascii="Times New Roman" w:hAnsi="Times New Roman" w:cs="Times New Roman"/>
          <w:b/>
          <w:u w:val="single"/>
        </w:rPr>
      </w:pPr>
      <w:r w:rsidRPr="0089734C">
        <w:rPr>
          <w:rFonts w:ascii="Times New Roman" w:hAnsi="Times New Roman" w:cs="Times New Roman"/>
          <w:b/>
          <w:u w:val="single"/>
        </w:rPr>
        <w:t>Explanation of any Payment/Gift to Respondents</w:t>
      </w:r>
    </w:p>
    <w:p w:rsidR="00DA1365" w:rsidRPr="00847A9E" w:rsidRDefault="00DA1365">
      <w:pPr>
        <w:rPr>
          <w:rFonts w:ascii="Times New Roman" w:hAnsi="Times New Roman" w:cs="Times New Roman"/>
        </w:rPr>
      </w:pPr>
    </w:p>
    <w:p w:rsidR="00DA1365" w:rsidRPr="00847A9E" w:rsidRDefault="00DA1365">
      <w:pPr>
        <w:rPr>
          <w:rFonts w:ascii="Times New Roman" w:hAnsi="Times New Roman" w:cs="Times New Roman"/>
        </w:rPr>
      </w:pPr>
      <w:r w:rsidRPr="00847A9E">
        <w:rPr>
          <w:rFonts w:ascii="Times New Roman" w:hAnsi="Times New Roman" w:cs="Times New Roman"/>
        </w:rPr>
        <w:t>No remuneration was given to the respondents.</w:t>
      </w:r>
    </w:p>
    <w:p w:rsidR="00DA1365" w:rsidRPr="00847A9E" w:rsidRDefault="00DA1365">
      <w:pPr>
        <w:rPr>
          <w:rFonts w:ascii="Times New Roman" w:hAnsi="Times New Roman" w:cs="Times New Roman"/>
        </w:rPr>
      </w:pPr>
    </w:p>
    <w:p w:rsidR="00400C99" w:rsidRPr="0089734C" w:rsidRDefault="0068419A" w:rsidP="00BD0DD1">
      <w:pPr>
        <w:pStyle w:val="ListParagraph"/>
        <w:numPr>
          <w:ilvl w:val="0"/>
          <w:numId w:val="8"/>
        </w:numPr>
        <w:rPr>
          <w:rFonts w:ascii="Times New Roman" w:hAnsi="Times New Roman" w:cs="Times New Roman"/>
          <w:b/>
          <w:u w:val="single"/>
        </w:rPr>
      </w:pPr>
      <w:r w:rsidRPr="00847A9E">
        <w:rPr>
          <w:rFonts w:ascii="Times New Roman" w:hAnsi="Times New Roman" w:cs="Times New Roman"/>
        </w:rPr>
        <w:t xml:space="preserve"> </w:t>
      </w:r>
      <w:r w:rsidR="00DA1365" w:rsidRPr="00847A9E">
        <w:rPr>
          <w:rFonts w:ascii="Times New Roman" w:hAnsi="Times New Roman" w:cs="Times New Roman"/>
        </w:rPr>
        <w:t xml:space="preserve"> </w:t>
      </w:r>
      <w:r w:rsidR="00DA1365" w:rsidRPr="0089734C">
        <w:rPr>
          <w:rFonts w:ascii="Times New Roman" w:hAnsi="Times New Roman" w:cs="Times New Roman"/>
          <w:b/>
          <w:u w:val="single"/>
        </w:rPr>
        <w:t>Assurance of Confidentiality Provided to Respondents</w:t>
      </w:r>
    </w:p>
    <w:p w:rsidR="00400C99" w:rsidRPr="00847A9E" w:rsidRDefault="00400C99">
      <w:pPr>
        <w:rPr>
          <w:rFonts w:ascii="Times New Roman" w:hAnsi="Times New Roman" w:cs="Times New Roman"/>
        </w:rPr>
      </w:pPr>
    </w:p>
    <w:p w:rsidR="005B52C0" w:rsidRDefault="004A429D">
      <w:pPr>
        <w:rPr>
          <w:rFonts w:ascii="Times New Roman" w:hAnsi="Times New Roman" w:cs="Times New Roman"/>
        </w:rPr>
      </w:pPr>
      <w:r w:rsidRPr="00F94ECA">
        <w:rPr>
          <w:rFonts w:ascii="Times New Roman" w:hAnsi="Times New Roman" w:cs="Times New Roman"/>
        </w:rPr>
        <w:t>The information collected will be kept secure and protected</w:t>
      </w:r>
      <w:r w:rsidR="005B6D96" w:rsidRPr="00F94ECA">
        <w:rPr>
          <w:rFonts w:ascii="Times New Roman" w:hAnsi="Times New Roman" w:cs="Times New Roman"/>
        </w:rPr>
        <w:t xml:space="preserve">. </w:t>
      </w:r>
      <w:r w:rsidR="00AE2F92" w:rsidRPr="00F94ECA">
        <w:rPr>
          <w:rFonts w:ascii="Times New Roman" w:hAnsi="Times New Roman" w:cs="Times New Roman"/>
        </w:rPr>
        <w:t xml:space="preserve"> I</w:t>
      </w:r>
      <w:r w:rsidR="00400C99" w:rsidRPr="00F94ECA">
        <w:rPr>
          <w:rFonts w:ascii="Times New Roman" w:hAnsi="Times New Roman" w:cs="Times New Roman"/>
        </w:rPr>
        <w:t xml:space="preserve">nformation </w:t>
      </w:r>
      <w:r w:rsidR="00AE2F92" w:rsidRPr="00F94ECA">
        <w:rPr>
          <w:rFonts w:ascii="Times New Roman" w:hAnsi="Times New Roman" w:cs="Times New Roman"/>
        </w:rPr>
        <w:t xml:space="preserve">containing personal identifiers </w:t>
      </w:r>
      <w:r w:rsidR="00400C99" w:rsidRPr="00F94ECA">
        <w:rPr>
          <w:rFonts w:ascii="Times New Roman" w:hAnsi="Times New Roman" w:cs="Times New Roman"/>
        </w:rPr>
        <w:t>will not be request</w:t>
      </w:r>
      <w:r w:rsidR="00D60E6F" w:rsidRPr="00F94ECA">
        <w:rPr>
          <w:rFonts w:ascii="Times New Roman" w:hAnsi="Times New Roman" w:cs="Times New Roman"/>
        </w:rPr>
        <w:t>ed</w:t>
      </w:r>
      <w:r w:rsidR="00400C99" w:rsidRPr="00F94ECA">
        <w:rPr>
          <w:rFonts w:ascii="Times New Roman" w:hAnsi="Times New Roman" w:cs="Times New Roman"/>
        </w:rPr>
        <w:t>.</w:t>
      </w:r>
      <w:r w:rsidR="00400C99" w:rsidRPr="00847A9E">
        <w:rPr>
          <w:rFonts w:ascii="Times New Roman" w:hAnsi="Times New Roman" w:cs="Times New Roman"/>
        </w:rPr>
        <w:t xml:space="preserve">  </w:t>
      </w:r>
    </w:p>
    <w:p w:rsidR="004A429D" w:rsidRPr="00847A9E" w:rsidRDefault="004A429D">
      <w:pPr>
        <w:rPr>
          <w:rFonts w:ascii="Times New Roman" w:hAnsi="Times New Roman" w:cs="Times New Roman"/>
        </w:rPr>
      </w:pPr>
    </w:p>
    <w:p w:rsidR="00FB4B22" w:rsidRDefault="00847A9E" w:rsidP="00BD0DD1">
      <w:pPr>
        <w:pStyle w:val="ListParagraph"/>
        <w:numPr>
          <w:ilvl w:val="0"/>
          <w:numId w:val="8"/>
        </w:numPr>
        <w:tabs>
          <w:tab w:val="left" w:pos="450"/>
        </w:tabs>
        <w:rPr>
          <w:rFonts w:ascii="Times New Roman" w:hAnsi="Times New Roman" w:cs="Times New Roman"/>
          <w:b/>
          <w:u w:val="single"/>
        </w:rPr>
      </w:pPr>
      <w:r w:rsidRPr="00847A9E">
        <w:rPr>
          <w:rFonts w:ascii="Times New Roman" w:hAnsi="Times New Roman" w:cs="Times New Roman"/>
        </w:rPr>
        <w:t xml:space="preserve">  </w:t>
      </w:r>
      <w:r w:rsidR="00FB4B22" w:rsidRPr="0089734C">
        <w:rPr>
          <w:rFonts w:ascii="Times New Roman" w:hAnsi="Times New Roman" w:cs="Times New Roman"/>
          <w:b/>
          <w:u w:val="single"/>
        </w:rPr>
        <w:t>Justification for Sensitive Questions</w:t>
      </w:r>
    </w:p>
    <w:p w:rsidR="002E54AC" w:rsidRDefault="002E54AC" w:rsidP="002E54AC">
      <w:pPr>
        <w:tabs>
          <w:tab w:val="left" w:pos="450"/>
        </w:tabs>
        <w:rPr>
          <w:rFonts w:ascii="Times New Roman" w:hAnsi="Times New Roman" w:cs="Times New Roman"/>
          <w:b/>
          <w:u w:val="single"/>
        </w:rPr>
      </w:pPr>
    </w:p>
    <w:p w:rsidR="002E54AC" w:rsidRPr="002E54AC" w:rsidRDefault="002E54AC" w:rsidP="002E54AC">
      <w:pPr>
        <w:tabs>
          <w:tab w:val="left" w:pos="450"/>
        </w:tabs>
        <w:rPr>
          <w:rFonts w:ascii="Times New Roman" w:hAnsi="Times New Roman" w:cs="Times New Roman"/>
        </w:rPr>
      </w:pPr>
      <w:r w:rsidRPr="002E54AC">
        <w:rPr>
          <w:rFonts w:ascii="Times New Roman" w:hAnsi="Times New Roman" w:cs="Times New Roman"/>
        </w:rPr>
        <w:t>Not Applicable</w:t>
      </w:r>
      <w:r w:rsidR="009D2C9C">
        <w:rPr>
          <w:rFonts w:ascii="Times New Roman" w:hAnsi="Times New Roman" w:cs="Times New Roman"/>
        </w:rPr>
        <w:t>.</w:t>
      </w:r>
    </w:p>
    <w:p w:rsidR="00DB26F8" w:rsidRDefault="00DB26F8" w:rsidP="00FB4B22">
      <w:pPr>
        <w:rPr>
          <w:rFonts w:ascii="Times New Roman" w:hAnsi="Times New Roman" w:cs="Times New Roman"/>
        </w:rPr>
      </w:pPr>
    </w:p>
    <w:p w:rsidR="003A79C9" w:rsidRPr="004F60CD" w:rsidRDefault="00BD0DD1" w:rsidP="00BD0DD1">
      <w:pPr>
        <w:pStyle w:val="ListParagraph"/>
        <w:numPr>
          <w:ilvl w:val="0"/>
          <w:numId w:val="8"/>
        </w:numPr>
        <w:rPr>
          <w:rFonts w:ascii="Times New Roman" w:hAnsi="Times New Roman" w:cs="Times New Roman"/>
          <w:b/>
          <w:u w:val="single"/>
        </w:rPr>
      </w:pPr>
      <w:r>
        <w:rPr>
          <w:rFonts w:ascii="Times New Roman" w:hAnsi="Times New Roman" w:cs="Times New Roman"/>
        </w:rPr>
        <w:t xml:space="preserve">  </w:t>
      </w:r>
      <w:r w:rsidR="006D753F" w:rsidRPr="004F60CD">
        <w:rPr>
          <w:rFonts w:ascii="Times New Roman" w:hAnsi="Times New Roman" w:cs="Times New Roman"/>
          <w:b/>
          <w:u w:val="single"/>
        </w:rPr>
        <w:t>Explanation of how the hour burden estimates were derived.</w:t>
      </w:r>
    </w:p>
    <w:p w:rsidR="004E793D" w:rsidRPr="00D35122" w:rsidRDefault="004E793D" w:rsidP="004E793D">
      <w:pPr>
        <w:rPr>
          <w:rFonts w:ascii="Times New Roman" w:hAnsi="Times New Roman" w:cs="Times New Roman"/>
        </w:rPr>
      </w:pPr>
    </w:p>
    <w:p w:rsidR="004E793D" w:rsidRPr="004E793D" w:rsidRDefault="004E793D" w:rsidP="004E793D">
      <w:pPr>
        <w:rPr>
          <w:rFonts w:ascii="Times New Roman" w:hAnsi="Times New Roman" w:cs="Times New Roman"/>
          <w:highlight w:val="yellow"/>
        </w:rPr>
      </w:pPr>
      <w:r w:rsidRPr="00D35122">
        <w:rPr>
          <w:rFonts w:ascii="Times New Roman" w:hAnsi="Times New Roman" w:cs="Times New Roman"/>
        </w:rPr>
        <w:t>The hour burden estimates were derived by survey of award recipients</w:t>
      </w:r>
      <w:r>
        <w:rPr>
          <w:rFonts w:ascii="Times New Roman" w:hAnsi="Times New Roman" w:cs="Times New Roman"/>
        </w:rPr>
        <w:t xml:space="preserve">.  </w:t>
      </w:r>
      <w:r w:rsidR="00FB4E4C">
        <w:rPr>
          <w:rFonts w:ascii="Times New Roman" w:hAnsi="Times New Roman" w:cs="Times New Roman"/>
        </w:rPr>
        <w:t xml:space="preserve">A select number of </w:t>
      </w:r>
      <w:r w:rsidR="004F2A88">
        <w:rPr>
          <w:rFonts w:ascii="Times New Roman" w:hAnsi="Times New Roman" w:cs="Times New Roman"/>
        </w:rPr>
        <w:t>r</w:t>
      </w:r>
      <w:r>
        <w:rPr>
          <w:rFonts w:ascii="Times New Roman" w:hAnsi="Times New Roman" w:cs="Times New Roman"/>
        </w:rPr>
        <w:t xml:space="preserve">espondents were shown a draft of the </w:t>
      </w:r>
      <w:r w:rsidR="000512A5">
        <w:rPr>
          <w:rFonts w:ascii="Times New Roman" w:hAnsi="Times New Roman" w:cs="Times New Roman"/>
        </w:rPr>
        <w:t>Checklist</w:t>
      </w:r>
      <w:r>
        <w:rPr>
          <w:rFonts w:ascii="Times New Roman" w:hAnsi="Times New Roman" w:cs="Times New Roman"/>
        </w:rPr>
        <w:t xml:space="preserve"> and instructions.  They were </w:t>
      </w:r>
      <w:r w:rsidRPr="00D35122">
        <w:rPr>
          <w:rFonts w:ascii="Times New Roman" w:hAnsi="Times New Roman" w:cs="Times New Roman"/>
        </w:rPr>
        <w:t>asked</w:t>
      </w:r>
      <w:r>
        <w:rPr>
          <w:rFonts w:ascii="Times New Roman" w:hAnsi="Times New Roman" w:cs="Times New Roman"/>
        </w:rPr>
        <w:t xml:space="preserve"> to estimate the amount</w:t>
      </w:r>
      <w:r w:rsidR="00D35122">
        <w:rPr>
          <w:rFonts w:ascii="Times New Roman" w:hAnsi="Times New Roman" w:cs="Times New Roman"/>
        </w:rPr>
        <w:t xml:space="preserve"> of</w:t>
      </w:r>
      <w:r>
        <w:rPr>
          <w:rFonts w:ascii="Times New Roman" w:hAnsi="Times New Roman" w:cs="Times New Roman"/>
        </w:rPr>
        <w:t xml:space="preserve"> time it would take to complete the tool annually</w:t>
      </w:r>
      <w:r w:rsidR="00825098">
        <w:rPr>
          <w:rFonts w:ascii="Times New Roman" w:hAnsi="Times New Roman" w:cs="Times New Roman"/>
        </w:rPr>
        <w:t xml:space="preserve"> within their institution</w:t>
      </w:r>
      <w:r>
        <w:rPr>
          <w:rFonts w:ascii="Times New Roman" w:hAnsi="Times New Roman" w:cs="Times New Roman"/>
        </w:rPr>
        <w:t xml:space="preserve">.  </w:t>
      </w:r>
      <w:r w:rsidR="00825098" w:rsidRPr="00A6272A">
        <w:rPr>
          <w:rFonts w:ascii="Times New Roman" w:hAnsi="Times New Roman" w:cs="Times New Roman"/>
        </w:rPr>
        <w:t>Respondents agreed that an administrative assistant would typically perform the task.</w:t>
      </w:r>
      <w:r w:rsidR="00825098">
        <w:rPr>
          <w:rFonts w:ascii="Times New Roman" w:hAnsi="Times New Roman" w:cs="Times New Roman"/>
        </w:rPr>
        <w:t xml:space="preserve">  </w:t>
      </w:r>
      <w:r>
        <w:rPr>
          <w:rFonts w:ascii="Times New Roman" w:hAnsi="Times New Roman" w:cs="Times New Roman"/>
        </w:rPr>
        <w:t xml:space="preserve">The sum of the estimates was divided by the number of responses to arrive at </w:t>
      </w:r>
      <w:r w:rsidR="000512A5">
        <w:rPr>
          <w:rFonts w:ascii="Times New Roman" w:hAnsi="Times New Roman" w:cs="Times New Roman"/>
        </w:rPr>
        <w:t>1 hour</w:t>
      </w:r>
      <w:r w:rsidRPr="00F16D73">
        <w:rPr>
          <w:rFonts w:ascii="Times New Roman" w:hAnsi="Times New Roman" w:cs="Times New Roman"/>
        </w:rPr>
        <w:t>.</w:t>
      </w:r>
    </w:p>
    <w:p w:rsidR="003A79C9" w:rsidRPr="00847A9E" w:rsidRDefault="003A79C9">
      <w:pPr>
        <w:rPr>
          <w:rFonts w:ascii="Times New Roman" w:hAnsi="Times New Roman" w:cs="Times New Roman"/>
        </w:rPr>
      </w:pPr>
    </w:p>
    <w:p w:rsidR="00A6272A" w:rsidRDefault="00A6272A" w:rsidP="00BD0DD1">
      <w:pPr>
        <w:ind w:firstLine="360"/>
        <w:rPr>
          <w:rFonts w:ascii="Times New Roman" w:hAnsi="Times New Roman" w:cs="Times New Roman"/>
          <w:b/>
        </w:rPr>
      </w:pPr>
    </w:p>
    <w:p w:rsidR="003A79C9" w:rsidRDefault="003A79C9" w:rsidP="00BD0DD1">
      <w:pPr>
        <w:ind w:firstLine="360"/>
        <w:rPr>
          <w:rFonts w:ascii="Times New Roman" w:hAnsi="Times New Roman" w:cs="Times New Roman"/>
          <w:u w:val="single"/>
        </w:rPr>
      </w:pPr>
      <w:r w:rsidRPr="0089734C">
        <w:rPr>
          <w:rFonts w:ascii="Times New Roman" w:hAnsi="Times New Roman" w:cs="Times New Roman"/>
          <w:b/>
        </w:rPr>
        <w:t>12 A.</w:t>
      </w:r>
      <w:r w:rsidR="006D753F" w:rsidRPr="0089734C">
        <w:rPr>
          <w:rFonts w:ascii="Times New Roman" w:hAnsi="Times New Roman" w:cs="Times New Roman"/>
          <w:b/>
        </w:rPr>
        <w:t xml:space="preserve">  </w:t>
      </w:r>
      <w:r w:rsidR="006D753F" w:rsidRPr="0089734C">
        <w:rPr>
          <w:rFonts w:ascii="Times New Roman" w:hAnsi="Times New Roman" w:cs="Times New Roman"/>
          <w:b/>
          <w:u w:val="single"/>
        </w:rPr>
        <w:t>Estimated Annualized Burden Hours</w:t>
      </w:r>
    </w:p>
    <w:p w:rsidR="006D753F" w:rsidRDefault="006D753F" w:rsidP="00BD0DD1">
      <w:pPr>
        <w:ind w:firstLine="360"/>
        <w:rPr>
          <w:rFonts w:ascii="Times New Roman" w:hAnsi="Times New Roman" w:cs="Times New Roman"/>
        </w:rPr>
      </w:pPr>
    </w:p>
    <w:tbl>
      <w:tblPr>
        <w:tblW w:w="88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160"/>
        <w:gridCol w:w="1530"/>
        <w:gridCol w:w="1440"/>
        <w:gridCol w:w="1260"/>
        <w:gridCol w:w="1260"/>
        <w:gridCol w:w="1170"/>
      </w:tblGrid>
      <w:tr w:rsidR="00A93B7A" w:rsidRPr="00A93B7A" w:rsidTr="005B0103">
        <w:trPr>
          <w:trHeight w:val="1232"/>
        </w:trPr>
        <w:tc>
          <w:tcPr>
            <w:tcW w:w="21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Instrument Name</w:t>
            </w:r>
          </w:p>
        </w:tc>
        <w:tc>
          <w:tcPr>
            <w:tcW w:w="153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Number of Respondents</w:t>
            </w:r>
          </w:p>
        </w:tc>
        <w:tc>
          <w:tcPr>
            <w:tcW w:w="144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Number of Responses per Respondent</w:t>
            </w:r>
          </w:p>
        </w:tc>
        <w:tc>
          <w:tcPr>
            <w:tcW w:w="12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 xml:space="preserve">Total </w:t>
            </w:r>
          </w:p>
          <w:p w:rsidR="00A93B7A" w:rsidRPr="00A93B7A" w:rsidRDefault="009D2C9C" w:rsidP="005B0103">
            <w:pPr>
              <w:jc w:val="center"/>
              <w:rPr>
                <w:rFonts w:ascii="Times New Roman" w:hAnsi="Times New Roman" w:cs="Times New Roman"/>
                <w:b/>
              </w:rPr>
            </w:pPr>
            <w:r>
              <w:rPr>
                <w:rFonts w:ascii="Times New Roman" w:hAnsi="Times New Roman" w:cs="Times New Roman"/>
                <w:b/>
              </w:rPr>
              <w:t>R</w:t>
            </w:r>
            <w:r w:rsidR="00632FAB" w:rsidRPr="00632FAB">
              <w:rPr>
                <w:rFonts w:ascii="Times New Roman" w:hAnsi="Times New Roman" w:cs="Times New Roman"/>
                <w:b/>
              </w:rPr>
              <w:t>esponses</w:t>
            </w:r>
          </w:p>
        </w:tc>
        <w:tc>
          <w:tcPr>
            <w:tcW w:w="1260" w:type="dxa"/>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Hours per Response</w:t>
            </w:r>
          </w:p>
        </w:tc>
        <w:tc>
          <w:tcPr>
            <w:tcW w:w="1170" w:type="dxa"/>
            <w:shd w:val="clear" w:color="auto" w:fill="auto"/>
          </w:tcPr>
          <w:p w:rsidR="00A93B7A" w:rsidRPr="00A93B7A" w:rsidRDefault="00632FAB" w:rsidP="005B0103">
            <w:pPr>
              <w:jc w:val="center"/>
              <w:rPr>
                <w:rFonts w:ascii="Times New Roman" w:hAnsi="Times New Roman" w:cs="Times New Roman"/>
                <w:b/>
              </w:rPr>
            </w:pPr>
            <w:r w:rsidRPr="00632FAB">
              <w:rPr>
                <w:rFonts w:ascii="Times New Roman" w:hAnsi="Times New Roman" w:cs="Times New Roman"/>
                <w:b/>
              </w:rPr>
              <w:t>Total Burden Hours</w:t>
            </w:r>
          </w:p>
        </w:tc>
      </w:tr>
      <w:tr w:rsidR="00A93B7A" w:rsidRPr="00A93B7A" w:rsidTr="005B0103">
        <w:trPr>
          <w:trHeight w:val="245"/>
        </w:trPr>
        <w:tc>
          <w:tcPr>
            <w:tcW w:w="2160" w:type="dxa"/>
          </w:tcPr>
          <w:p w:rsidR="00A93B7A" w:rsidRPr="00A93B7A" w:rsidRDefault="000512A5" w:rsidP="005B0103">
            <w:pPr>
              <w:rPr>
                <w:rFonts w:ascii="Times New Roman" w:hAnsi="Times New Roman" w:cs="Times New Roman"/>
              </w:rPr>
            </w:pPr>
            <w:r>
              <w:rPr>
                <w:rFonts w:ascii="Times New Roman" w:hAnsi="Times New Roman" w:cs="Times New Roman"/>
              </w:rPr>
              <w:t>Data Collection Checklist</w:t>
            </w:r>
          </w:p>
        </w:tc>
        <w:tc>
          <w:tcPr>
            <w:tcW w:w="1530" w:type="dxa"/>
            <w:shd w:val="clear" w:color="auto" w:fill="auto"/>
          </w:tcPr>
          <w:p w:rsidR="00A93B7A" w:rsidRPr="00A93B7A" w:rsidRDefault="000512A5" w:rsidP="005B0103">
            <w:pPr>
              <w:rPr>
                <w:rFonts w:ascii="Times New Roman" w:hAnsi="Times New Roman" w:cs="Times New Roman"/>
              </w:rPr>
            </w:pPr>
            <w:r>
              <w:rPr>
                <w:rFonts w:ascii="Times New Roman" w:hAnsi="Times New Roman" w:cs="Times New Roman"/>
              </w:rPr>
              <w:t>900</w:t>
            </w:r>
          </w:p>
        </w:tc>
        <w:tc>
          <w:tcPr>
            <w:tcW w:w="1440" w:type="dxa"/>
            <w:shd w:val="clear" w:color="auto" w:fill="auto"/>
          </w:tcPr>
          <w:p w:rsidR="00A93B7A" w:rsidRPr="00A93B7A" w:rsidRDefault="00632FAB" w:rsidP="005B0103">
            <w:pPr>
              <w:rPr>
                <w:rFonts w:ascii="Times New Roman" w:hAnsi="Times New Roman" w:cs="Times New Roman"/>
              </w:rPr>
            </w:pPr>
            <w:r w:rsidRPr="00632FAB">
              <w:rPr>
                <w:rFonts w:ascii="Times New Roman" w:hAnsi="Times New Roman" w:cs="Times New Roman"/>
              </w:rPr>
              <w:t>1</w:t>
            </w:r>
          </w:p>
        </w:tc>
        <w:tc>
          <w:tcPr>
            <w:tcW w:w="1260" w:type="dxa"/>
          </w:tcPr>
          <w:p w:rsidR="00A93B7A" w:rsidRPr="00A93B7A" w:rsidRDefault="000512A5" w:rsidP="005B0103">
            <w:pPr>
              <w:rPr>
                <w:rFonts w:ascii="Times New Roman" w:hAnsi="Times New Roman" w:cs="Times New Roman"/>
              </w:rPr>
            </w:pPr>
            <w:r>
              <w:rPr>
                <w:rFonts w:ascii="Times New Roman" w:hAnsi="Times New Roman" w:cs="Times New Roman"/>
              </w:rPr>
              <w:t>900</w:t>
            </w:r>
          </w:p>
        </w:tc>
        <w:tc>
          <w:tcPr>
            <w:tcW w:w="1260" w:type="dxa"/>
          </w:tcPr>
          <w:p w:rsidR="00A93B7A" w:rsidRPr="00A93B7A" w:rsidRDefault="000512A5" w:rsidP="005B0103">
            <w:pPr>
              <w:rPr>
                <w:rFonts w:ascii="Times New Roman" w:hAnsi="Times New Roman" w:cs="Times New Roman"/>
              </w:rPr>
            </w:pPr>
            <w:r>
              <w:rPr>
                <w:rFonts w:ascii="Times New Roman" w:hAnsi="Times New Roman" w:cs="Times New Roman"/>
              </w:rPr>
              <w:t>1</w:t>
            </w:r>
          </w:p>
        </w:tc>
        <w:tc>
          <w:tcPr>
            <w:tcW w:w="1170" w:type="dxa"/>
            <w:shd w:val="clear" w:color="auto" w:fill="auto"/>
          </w:tcPr>
          <w:p w:rsidR="00A93B7A" w:rsidRPr="00A93B7A" w:rsidRDefault="000512A5" w:rsidP="005B0103">
            <w:pPr>
              <w:rPr>
                <w:rFonts w:ascii="Times New Roman" w:hAnsi="Times New Roman" w:cs="Times New Roman"/>
              </w:rPr>
            </w:pPr>
            <w:r>
              <w:rPr>
                <w:rFonts w:ascii="Times New Roman" w:hAnsi="Times New Roman" w:cs="Times New Roman"/>
              </w:rPr>
              <w:t>900</w:t>
            </w:r>
          </w:p>
        </w:tc>
      </w:tr>
      <w:tr w:rsidR="00A93B7A" w:rsidRPr="00A93B7A" w:rsidTr="005B0103">
        <w:trPr>
          <w:trHeight w:val="245"/>
        </w:trPr>
        <w:tc>
          <w:tcPr>
            <w:tcW w:w="2160" w:type="dxa"/>
          </w:tcPr>
          <w:p w:rsidR="00A93B7A" w:rsidRPr="00A93B7A" w:rsidRDefault="00632FAB" w:rsidP="005B0103">
            <w:pPr>
              <w:rPr>
                <w:rFonts w:ascii="Times New Roman" w:hAnsi="Times New Roman" w:cs="Times New Roman"/>
              </w:rPr>
            </w:pPr>
            <w:r w:rsidRPr="00632FAB">
              <w:rPr>
                <w:rFonts w:ascii="Times New Roman" w:hAnsi="Times New Roman" w:cs="Times New Roman"/>
              </w:rPr>
              <w:t>Total</w:t>
            </w:r>
          </w:p>
        </w:tc>
        <w:tc>
          <w:tcPr>
            <w:tcW w:w="1530" w:type="dxa"/>
            <w:shd w:val="clear" w:color="auto" w:fill="auto"/>
          </w:tcPr>
          <w:p w:rsidR="00A93B7A" w:rsidRPr="00A93B7A" w:rsidRDefault="000512A5" w:rsidP="005B0103">
            <w:pPr>
              <w:rPr>
                <w:rFonts w:ascii="Times New Roman" w:hAnsi="Times New Roman" w:cs="Times New Roman"/>
              </w:rPr>
            </w:pPr>
            <w:r>
              <w:rPr>
                <w:rFonts w:ascii="Times New Roman" w:hAnsi="Times New Roman" w:cs="Times New Roman"/>
              </w:rPr>
              <w:t>900</w:t>
            </w:r>
          </w:p>
        </w:tc>
        <w:tc>
          <w:tcPr>
            <w:tcW w:w="1440" w:type="dxa"/>
            <w:shd w:val="clear" w:color="auto" w:fill="auto"/>
          </w:tcPr>
          <w:p w:rsidR="00A93B7A" w:rsidRPr="00A93B7A" w:rsidRDefault="000512A5" w:rsidP="005B0103">
            <w:pPr>
              <w:rPr>
                <w:rFonts w:ascii="Times New Roman" w:hAnsi="Times New Roman" w:cs="Times New Roman"/>
              </w:rPr>
            </w:pPr>
            <w:r>
              <w:rPr>
                <w:rFonts w:ascii="Times New Roman" w:hAnsi="Times New Roman" w:cs="Times New Roman"/>
              </w:rPr>
              <w:t>1</w:t>
            </w:r>
          </w:p>
        </w:tc>
        <w:tc>
          <w:tcPr>
            <w:tcW w:w="1260" w:type="dxa"/>
          </w:tcPr>
          <w:p w:rsidR="00A93B7A" w:rsidRPr="00A93B7A" w:rsidRDefault="000512A5" w:rsidP="005B0103">
            <w:pPr>
              <w:rPr>
                <w:rFonts w:ascii="Times New Roman" w:hAnsi="Times New Roman" w:cs="Times New Roman"/>
              </w:rPr>
            </w:pPr>
            <w:r>
              <w:rPr>
                <w:rFonts w:ascii="Times New Roman" w:hAnsi="Times New Roman" w:cs="Times New Roman"/>
              </w:rPr>
              <w:t>900</w:t>
            </w:r>
          </w:p>
        </w:tc>
        <w:tc>
          <w:tcPr>
            <w:tcW w:w="1260" w:type="dxa"/>
          </w:tcPr>
          <w:p w:rsidR="00A93B7A" w:rsidRPr="00A93B7A" w:rsidRDefault="000512A5" w:rsidP="005B0103">
            <w:pPr>
              <w:rPr>
                <w:rFonts w:ascii="Times New Roman" w:hAnsi="Times New Roman" w:cs="Times New Roman"/>
              </w:rPr>
            </w:pPr>
            <w:r>
              <w:rPr>
                <w:rFonts w:ascii="Times New Roman" w:hAnsi="Times New Roman" w:cs="Times New Roman"/>
              </w:rPr>
              <w:t>1</w:t>
            </w:r>
          </w:p>
        </w:tc>
        <w:tc>
          <w:tcPr>
            <w:tcW w:w="1170" w:type="dxa"/>
            <w:shd w:val="clear" w:color="auto" w:fill="auto"/>
          </w:tcPr>
          <w:p w:rsidR="00A93B7A" w:rsidRPr="00A93B7A" w:rsidRDefault="000512A5" w:rsidP="005B0103">
            <w:pPr>
              <w:rPr>
                <w:rFonts w:ascii="Times New Roman" w:hAnsi="Times New Roman" w:cs="Times New Roman"/>
              </w:rPr>
            </w:pPr>
            <w:r>
              <w:rPr>
                <w:rFonts w:ascii="Times New Roman" w:hAnsi="Times New Roman" w:cs="Times New Roman"/>
              </w:rPr>
              <w:t>900</w:t>
            </w:r>
          </w:p>
        </w:tc>
      </w:tr>
    </w:tbl>
    <w:p w:rsidR="00A93B7A" w:rsidRDefault="00A93B7A" w:rsidP="00BD0DD1">
      <w:pPr>
        <w:ind w:firstLine="360"/>
        <w:rPr>
          <w:rFonts w:ascii="Times New Roman" w:hAnsi="Times New Roman" w:cs="Times New Roman"/>
        </w:rPr>
      </w:pPr>
    </w:p>
    <w:p w:rsidR="00006E7C" w:rsidRPr="0089734C" w:rsidRDefault="00BD0DD1" w:rsidP="00BD0DD1">
      <w:pPr>
        <w:rPr>
          <w:rFonts w:ascii="Times New Roman" w:hAnsi="Times New Roman" w:cs="Times New Roman"/>
          <w:b/>
        </w:rPr>
      </w:pPr>
      <w:r>
        <w:rPr>
          <w:rFonts w:ascii="Times New Roman" w:hAnsi="Times New Roman" w:cs="Times New Roman"/>
        </w:rPr>
        <w:t xml:space="preserve">      </w:t>
      </w:r>
      <w:r w:rsidR="00BA721E" w:rsidRPr="0089734C">
        <w:rPr>
          <w:rFonts w:ascii="Times New Roman" w:hAnsi="Times New Roman" w:cs="Times New Roman"/>
          <w:b/>
        </w:rPr>
        <w:t>12. B</w:t>
      </w:r>
      <w:r w:rsidR="00A6272A">
        <w:rPr>
          <w:rFonts w:ascii="Times New Roman" w:hAnsi="Times New Roman" w:cs="Times New Roman"/>
          <w:b/>
        </w:rPr>
        <w:t>.</w:t>
      </w:r>
      <w:r w:rsidR="006D753F" w:rsidRPr="0089734C">
        <w:rPr>
          <w:rFonts w:ascii="Times New Roman" w:hAnsi="Times New Roman" w:cs="Times New Roman"/>
          <w:b/>
        </w:rPr>
        <w:t xml:space="preserve">   </w:t>
      </w:r>
      <w:r w:rsidR="006D753F" w:rsidRPr="0089734C">
        <w:rPr>
          <w:rFonts w:ascii="Times New Roman" w:hAnsi="Times New Roman" w:cs="Times New Roman"/>
          <w:b/>
          <w:u w:val="single"/>
        </w:rPr>
        <w:t>Estimated Annualized Burden Costs</w:t>
      </w:r>
    </w:p>
    <w:p w:rsidR="006D753F" w:rsidRPr="00847A9E" w:rsidRDefault="006D753F" w:rsidP="00BD0DD1">
      <w:pPr>
        <w:rPr>
          <w:rFonts w:ascii="Times New Roman" w:hAnsi="Times New Roman" w:cs="Times New Roman"/>
        </w:rPr>
      </w:pPr>
    </w:p>
    <w:tbl>
      <w:tblPr>
        <w:tblStyle w:val="TableGrid"/>
        <w:tblW w:w="9360" w:type="dxa"/>
        <w:tblInd w:w="-252" w:type="dxa"/>
        <w:tblLook w:val="00BF"/>
      </w:tblPr>
      <w:tblGrid>
        <w:gridCol w:w="3150"/>
        <w:gridCol w:w="1890"/>
        <w:gridCol w:w="2250"/>
        <w:gridCol w:w="2070"/>
      </w:tblGrid>
      <w:tr w:rsidR="00BA721E" w:rsidRPr="00847A9E" w:rsidTr="0000710C">
        <w:tc>
          <w:tcPr>
            <w:tcW w:w="3150" w:type="dxa"/>
          </w:tcPr>
          <w:p w:rsidR="00BA721E" w:rsidRPr="00A6272A" w:rsidRDefault="00BA721E" w:rsidP="006D753F">
            <w:pPr>
              <w:jc w:val="center"/>
              <w:rPr>
                <w:rFonts w:ascii="Times New Roman" w:hAnsi="Times New Roman" w:cs="Times New Roman"/>
                <w:b/>
              </w:rPr>
            </w:pPr>
            <w:r w:rsidRPr="00A6272A">
              <w:rPr>
                <w:rFonts w:ascii="Times New Roman" w:hAnsi="Times New Roman" w:cs="Times New Roman"/>
                <w:b/>
              </w:rPr>
              <w:t>Type of Respondent</w:t>
            </w:r>
          </w:p>
        </w:tc>
        <w:tc>
          <w:tcPr>
            <w:tcW w:w="1890" w:type="dxa"/>
          </w:tcPr>
          <w:p w:rsidR="00BA721E" w:rsidRPr="00A6272A" w:rsidRDefault="00BA721E" w:rsidP="006D753F">
            <w:pPr>
              <w:jc w:val="center"/>
              <w:rPr>
                <w:rFonts w:ascii="Times New Roman" w:hAnsi="Times New Roman" w:cs="Times New Roman"/>
                <w:b/>
              </w:rPr>
            </w:pPr>
            <w:r w:rsidRPr="00A6272A">
              <w:rPr>
                <w:rFonts w:ascii="Times New Roman" w:hAnsi="Times New Roman" w:cs="Times New Roman"/>
                <w:b/>
              </w:rPr>
              <w:t>Total Burden Hours</w:t>
            </w:r>
          </w:p>
        </w:tc>
        <w:tc>
          <w:tcPr>
            <w:tcW w:w="2250" w:type="dxa"/>
          </w:tcPr>
          <w:p w:rsidR="00BA721E" w:rsidRPr="00A6272A" w:rsidRDefault="00BA721E" w:rsidP="006D753F">
            <w:pPr>
              <w:jc w:val="center"/>
              <w:rPr>
                <w:rFonts w:ascii="Times New Roman" w:hAnsi="Times New Roman" w:cs="Times New Roman"/>
                <w:b/>
              </w:rPr>
            </w:pPr>
            <w:r w:rsidRPr="00A6272A">
              <w:rPr>
                <w:rFonts w:ascii="Times New Roman" w:hAnsi="Times New Roman" w:cs="Times New Roman"/>
                <w:b/>
              </w:rPr>
              <w:t>Hourly Wage Rate</w:t>
            </w:r>
          </w:p>
        </w:tc>
        <w:tc>
          <w:tcPr>
            <w:tcW w:w="2070" w:type="dxa"/>
          </w:tcPr>
          <w:p w:rsidR="00BA721E" w:rsidRPr="00A6272A" w:rsidRDefault="00BA721E" w:rsidP="006D753F">
            <w:pPr>
              <w:jc w:val="center"/>
              <w:rPr>
                <w:rFonts w:ascii="Times New Roman" w:hAnsi="Times New Roman" w:cs="Times New Roman"/>
                <w:b/>
              </w:rPr>
            </w:pPr>
            <w:r w:rsidRPr="00A6272A">
              <w:rPr>
                <w:rFonts w:ascii="Times New Roman" w:hAnsi="Times New Roman" w:cs="Times New Roman"/>
                <w:b/>
              </w:rPr>
              <w:t>Total Respondent Costs</w:t>
            </w:r>
          </w:p>
        </w:tc>
      </w:tr>
      <w:tr w:rsidR="0000710C" w:rsidRPr="00847A9E" w:rsidTr="0000710C">
        <w:trPr>
          <w:trHeight w:val="413"/>
        </w:trPr>
        <w:tc>
          <w:tcPr>
            <w:tcW w:w="3150" w:type="dxa"/>
          </w:tcPr>
          <w:p w:rsidR="0000710C" w:rsidRPr="00A6272A" w:rsidRDefault="0000710C" w:rsidP="00627357">
            <w:pPr>
              <w:rPr>
                <w:rFonts w:ascii="Times New Roman" w:hAnsi="Times New Roman" w:cs="Times New Roman"/>
              </w:rPr>
            </w:pPr>
            <w:r w:rsidRPr="00A6272A">
              <w:rPr>
                <w:rFonts w:ascii="Times New Roman" w:hAnsi="Times New Roman" w:cs="Times New Roman"/>
              </w:rPr>
              <w:t>Grants Representative/</w:t>
            </w:r>
          </w:p>
          <w:p w:rsidR="0000710C" w:rsidRPr="00A6272A" w:rsidRDefault="0000710C" w:rsidP="00627357">
            <w:pPr>
              <w:rPr>
                <w:rFonts w:ascii="Times New Roman" w:hAnsi="Times New Roman" w:cs="Times New Roman"/>
              </w:rPr>
            </w:pPr>
            <w:r w:rsidRPr="00A6272A">
              <w:rPr>
                <w:rFonts w:ascii="Times New Roman" w:hAnsi="Times New Roman" w:cs="Times New Roman"/>
              </w:rPr>
              <w:t>Administrative Representative</w:t>
            </w:r>
          </w:p>
        </w:tc>
        <w:tc>
          <w:tcPr>
            <w:tcW w:w="1890" w:type="dxa"/>
          </w:tcPr>
          <w:p w:rsidR="0000710C" w:rsidRPr="00A6272A" w:rsidRDefault="00A6272A">
            <w:pPr>
              <w:rPr>
                <w:rFonts w:ascii="Times New Roman" w:hAnsi="Times New Roman" w:cs="Times New Roman"/>
              </w:rPr>
            </w:pPr>
            <w:r w:rsidRPr="00A6272A">
              <w:rPr>
                <w:rFonts w:ascii="Times New Roman" w:hAnsi="Times New Roman" w:cs="Times New Roman"/>
              </w:rPr>
              <w:t>900</w:t>
            </w:r>
          </w:p>
        </w:tc>
        <w:tc>
          <w:tcPr>
            <w:tcW w:w="2250" w:type="dxa"/>
          </w:tcPr>
          <w:p w:rsidR="0000710C" w:rsidRPr="00A6272A" w:rsidRDefault="0000710C" w:rsidP="0000710C">
            <w:pPr>
              <w:jc w:val="center"/>
              <w:rPr>
                <w:rFonts w:ascii="Times New Roman" w:hAnsi="Times New Roman" w:cs="Times New Roman"/>
              </w:rPr>
            </w:pPr>
            <w:r w:rsidRPr="00A6272A">
              <w:rPr>
                <w:rFonts w:ascii="Times New Roman" w:hAnsi="Times New Roman" w:cs="Times New Roman"/>
              </w:rPr>
              <w:t>$18.00</w:t>
            </w:r>
            <w:r w:rsidR="004E793D" w:rsidRPr="00A6272A">
              <w:rPr>
                <w:rFonts w:ascii="Times New Roman" w:hAnsi="Times New Roman" w:cs="Times New Roman"/>
              </w:rPr>
              <w:t>/hr</w:t>
            </w:r>
          </w:p>
        </w:tc>
        <w:tc>
          <w:tcPr>
            <w:tcW w:w="2070" w:type="dxa"/>
          </w:tcPr>
          <w:p w:rsidR="0000710C" w:rsidRPr="00A6272A" w:rsidRDefault="00610270" w:rsidP="00A6272A">
            <w:pPr>
              <w:rPr>
                <w:rFonts w:ascii="Times New Roman" w:hAnsi="Times New Roman" w:cs="Times New Roman"/>
              </w:rPr>
            </w:pPr>
            <w:r w:rsidRPr="00A6272A">
              <w:rPr>
                <w:rFonts w:ascii="Times New Roman" w:hAnsi="Times New Roman" w:cs="Times New Roman"/>
              </w:rPr>
              <w:t>$</w:t>
            </w:r>
            <w:r w:rsidR="00A6272A" w:rsidRPr="00A6272A">
              <w:rPr>
                <w:rFonts w:ascii="Times New Roman" w:hAnsi="Times New Roman" w:cs="Times New Roman"/>
              </w:rPr>
              <w:t>16200</w:t>
            </w:r>
          </w:p>
        </w:tc>
      </w:tr>
      <w:tr w:rsidR="0000710C" w:rsidRPr="00847A9E" w:rsidTr="0000710C">
        <w:trPr>
          <w:trHeight w:val="412"/>
        </w:trPr>
        <w:tc>
          <w:tcPr>
            <w:tcW w:w="3150" w:type="dxa"/>
          </w:tcPr>
          <w:p w:rsidR="0000710C" w:rsidRPr="00A6272A" w:rsidRDefault="0000710C" w:rsidP="0000710C">
            <w:pPr>
              <w:rPr>
                <w:rFonts w:ascii="Times New Roman" w:hAnsi="Times New Roman" w:cs="Times New Roman"/>
                <w:b/>
              </w:rPr>
            </w:pPr>
            <w:r w:rsidRPr="00A6272A">
              <w:rPr>
                <w:rFonts w:ascii="Times New Roman" w:hAnsi="Times New Roman" w:cs="Times New Roman"/>
                <w:b/>
              </w:rPr>
              <w:t>Total</w:t>
            </w:r>
          </w:p>
        </w:tc>
        <w:tc>
          <w:tcPr>
            <w:tcW w:w="1890" w:type="dxa"/>
          </w:tcPr>
          <w:p w:rsidR="0000710C" w:rsidRPr="00A6272A" w:rsidRDefault="00A6272A">
            <w:pPr>
              <w:rPr>
                <w:rFonts w:ascii="Times New Roman" w:hAnsi="Times New Roman" w:cs="Times New Roman"/>
              </w:rPr>
            </w:pPr>
            <w:r w:rsidRPr="00A6272A">
              <w:rPr>
                <w:rFonts w:ascii="Times New Roman" w:hAnsi="Times New Roman" w:cs="Times New Roman"/>
              </w:rPr>
              <w:t>900</w:t>
            </w:r>
          </w:p>
        </w:tc>
        <w:tc>
          <w:tcPr>
            <w:tcW w:w="2250" w:type="dxa"/>
          </w:tcPr>
          <w:p w:rsidR="0000710C" w:rsidRPr="00A6272A" w:rsidRDefault="0000710C">
            <w:pPr>
              <w:rPr>
                <w:rFonts w:ascii="Times New Roman" w:hAnsi="Times New Roman" w:cs="Times New Roman"/>
              </w:rPr>
            </w:pPr>
          </w:p>
        </w:tc>
        <w:tc>
          <w:tcPr>
            <w:tcW w:w="2070" w:type="dxa"/>
          </w:tcPr>
          <w:p w:rsidR="0000710C" w:rsidRPr="00A6272A" w:rsidRDefault="00610270" w:rsidP="00A6272A">
            <w:pPr>
              <w:rPr>
                <w:rFonts w:ascii="Times New Roman" w:hAnsi="Times New Roman" w:cs="Times New Roman"/>
              </w:rPr>
            </w:pPr>
            <w:r w:rsidRPr="00A6272A">
              <w:rPr>
                <w:rFonts w:ascii="Times New Roman" w:hAnsi="Times New Roman" w:cs="Times New Roman"/>
              </w:rPr>
              <w:t>$</w:t>
            </w:r>
            <w:r w:rsidR="00A6272A" w:rsidRPr="00A6272A">
              <w:rPr>
                <w:rFonts w:ascii="Times New Roman" w:hAnsi="Times New Roman" w:cs="Times New Roman"/>
              </w:rPr>
              <w:t>16200</w:t>
            </w:r>
          </w:p>
        </w:tc>
      </w:tr>
    </w:tbl>
    <w:p w:rsidR="001B0A20" w:rsidRPr="00847A9E" w:rsidRDefault="001B0A20">
      <w:pPr>
        <w:rPr>
          <w:rFonts w:ascii="Times New Roman" w:hAnsi="Times New Roman" w:cs="Times New Roman"/>
        </w:rPr>
      </w:pPr>
    </w:p>
    <w:p w:rsidR="00627357" w:rsidRPr="0089734C" w:rsidRDefault="00627357" w:rsidP="00627357">
      <w:pPr>
        <w:pStyle w:val="ListParagraph"/>
        <w:numPr>
          <w:ilvl w:val="0"/>
          <w:numId w:val="8"/>
        </w:numPr>
        <w:rPr>
          <w:rFonts w:ascii="Times New Roman" w:hAnsi="Times New Roman" w:cs="Times New Roman"/>
          <w:b/>
          <w:u w:val="single"/>
        </w:rPr>
      </w:pPr>
      <w:r w:rsidRPr="0089734C">
        <w:rPr>
          <w:rFonts w:ascii="Times New Roman" w:hAnsi="Times New Roman" w:cs="Times New Roman"/>
          <w:b/>
        </w:rPr>
        <w:t xml:space="preserve">  </w:t>
      </w:r>
      <w:r w:rsidRPr="0089734C">
        <w:rPr>
          <w:rFonts w:ascii="Times New Roman" w:hAnsi="Times New Roman" w:cs="Times New Roman"/>
          <w:b/>
          <w:u w:val="single"/>
        </w:rPr>
        <w:t xml:space="preserve">Estimates of Other Total Annual Cost Burden to Respondents or Record </w:t>
      </w:r>
    </w:p>
    <w:p w:rsidR="008041E2" w:rsidRPr="0089734C" w:rsidRDefault="00627357" w:rsidP="00627357">
      <w:pPr>
        <w:pStyle w:val="ListParagraph"/>
        <w:ind w:left="360"/>
        <w:rPr>
          <w:rFonts w:ascii="Times New Roman" w:hAnsi="Times New Roman" w:cs="Times New Roman"/>
          <w:b/>
          <w:u w:val="single"/>
        </w:rPr>
      </w:pPr>
      <w:r w:rsidRPr="0089734C">
        <w:rPr>
          <w:rFonts w:ascii="Times New Roman" w:hAnsi="Times New Roman" w:cs="Times New Roman"/>
          <w:b/>
        </w:rPr>
        <w:t xml:space="preserve">  </w:t>
      </w:r>
      <w:r w:rsidRPr="0089734C">
        <w:rPr>
          <w:rFonts w:ascii="Times New Roman" w:hAnsi="Times New Roman" w:cs="Times New Roman"/>
          <w:b/>
          <w:u w:val="single"/>
        </w:rPr>
        <w:t>Keepers/Capital Costs</w:t>
      </w:r>
    </w:p>
    <w:p w:rsidR="004302D9" w:rsidRDefault="004302D9" w:rsidP="004302D9">
      <w:pPr>
        <w:rPr>
          <w:rFonts w:ascii="Times New Roman" w:hAnsi="Times New Roman" w:cs="Times New Roman"/>
        </w:rPr>
      </w:pPr>
    </w:p>
    <w:p w:rsidR="004302D9" w:rsidRDefault="004302D9" w:rsidP="004302D9">
      <w:pPr>
        <w:rPr>
          <w:rFonts w:ascii="Times New Roman" w:hAnsi="Times New Roman" w:cs="Times New Roman"/>
        </w:rPr>
      </w:pPr>
      <w:r w:rsidRPr="00F94ECA">
        <w:rPr>
          <w:rFonts w:ascii="Times New Roman" w:hAnsi="Times New Roman" w:cs="Times New Roman"/>
        </w:rPr>
        <w:t>There are no costs outside of the customary and usual business practices.  HRSA grantees are required to collect and maintain data on program</w:t>
      </w:r>
      <w:r w:rsidR="00163460" w:rsidRPr="00F94ECA">
        <w:rPr>
          <w:rFonts w:ascii="Times New Roman" w:hAnsi="Times New Roman" w:cs="Times New Roman"/>
        </w:rPr>
        <w:t xml:space="preserve">s to </w:t>
      </w:r>
      <w:r w:rsidRPr="00F94ECA">
        <w:rPr>
          <w:rFonts w:ascii="Times New Roman" w:hAnsi="Times New Roman" w:cs="Times New Roman"/>
        </w:rPr>
        <w:t xml:space="preserve">maintain </w:t>
      </w:r>
      <w:r w:rsidR="00F915AC" w:rsidRPr="00F94ECA">
        <w:rPr>
          <w:rFonts w:ascii="Times New Roman" w:hAnsi="Times New Roman" w:cs="Times New Roman"/>
        </w:rPr>
        <w:t>funding status</w:t>
      </w:r>
      <w:r w:rsidRPr="00F94ECA">
        <w:rPr>
          <w:rFonts w:ascii="Times New Roman" w:hAnsi="Times New Roman" w:cs="Times New Roman"/>
        </w:rPr>
        <w:t>.</w:t>
      </w:r>
      <w:r>
        <w:rPr>
          <w:rFonts w:ascii="Times New Roman" w:hAnsi="Times New Roman" w:cs="Times New Roman"/>
        </w:rPr>
        <w:t xml:space="preserve"> </w:t>
      </w:r>
    </w:p>
    <w:p w:rsidR="00A6272A" w:rsidRDefault="00A6272A" w:rsidP="00DB26F8">
      <w:pPr>
        <w:rPr>
          <w:rFonts w:ascii="Times New Roman" w:hAnsi="Times New Roman" w:cs="Times New Roman"/>
          <w:b/>
        </w:rPr>
      </w:pPr>
    </w:p>
    <w:p w:rsidR="00D45EE6" w:rsidRPr="0089734C" w:rsidRDefault="00D45EE6" w:rsidP="00DB26F8">
      <w:pPr>
        <w:rPr>
          <w:rFonts w:ascii="Times New Roman" w:hAnsi="Times New Roman" w:cs="Times New Roman"/>
          <w:b/>
          <w:u w:val="single"/>
        </w:rPr>
      </w:pPr>
      <w:r w:rsidRPr="0089734C">
        <w:rPr>
          <w:rFonts w:ascii="Times New Roman" w:hAnsi="Times New Roman" w:cs="Times New Roman"/>
          <w:b/>
        </w:rPr>
        <w:t>14.</w:t>
      </w:r>
      <w:r w:rsidR="00847A9E" w:rsidRPr="0089734C">
        <w:rPr>
          <w:rFonts w:ascii="Times New Roman" w:hAnsi="Times New Roman" w:cs="Times New Roman"/>
          <w:b/>
        </w:rPr>
        <w:t xml:space="preserve">   </w:t>
      </w:r>
      <w:r w:rsidRPr="0089734C">
        <w:rPr>
          <w:rFonts w:ascii="Times New Roman" w:hAnsi="Times New Roman" w:cs="Times New Roman"/>
          <w:b/>
          <w:u w:val="single"/>
        </w:rPr>
        <w:t>Estimates of Annualized Cost to the Government</w:t>
      </w:r>
    </w:p>
    <w:p w:rsidR="00DB26F8" w:rsidRDefault="00DB26F8" w:rsidP="00D45EE6">
      <w:pPr>
        <w:rPr>
          <w:rFonts w:ascii="Times New Roman" w:hAnsi="Times New Roman" w:cs="Times New Roman"/>
        </w:rPr>
      </w:pPr>
    </w:p>
    <w:p w:rsidR="008041E2" w:rsidRPr="00847A9E" w:rsidRDefault="00D45EE6" w:rsidP="00D45EE6">
      <w:pPr>
        <w:rPr>
          <w:rFonts w:ascii="Times New Roman" w:hAnsi="Times New Roman" w:cs="Times New Roman"/>
        </w:rPr>
      </w:pPr>
      <w:r w:rsidRPr="002143C3">
        <w:rPr>
          <w:rFonts w:ascii="Times New Roman" w:hAnsi="Times New Roman" w:cs="Times New Roman"/>
        </w:rPr>
        <w:t xml:space="preserve">An estimated </w:t>
      </w:r>
      <w:r w:rsidR="00AE27C6">
        <w:rPr>
          <w:rFonts w:ascii="Times New Roman" w:hAnsi="Times New Roman" w:cs="Times New Roman"/>
        </w:rPr>
        <w:t>0</w:t>
      </w:r>
      <w:r w:rsidRPr="002143C3">
        <w:rPr>
          <w:rFonts w:ascii="Times New Roman" w:hAnsi="Times New Roman" w:cs="Times New Roman"/>
        </w:rPr>
        <w:t>.1 FTE at the GS 11 level is needed to serve as the coordinator for data evaluation and to provide technical assistance to grantees regarding the data collection process and subsequent</w:t>
      </w:r>
      <w:r w:rsidR="002143C3" w:rsidRPr="002143C3">
        <w:rPr>
          <w:rFonts w:ascii="Times New Roman" w:hAnsi="Times New Roman" w:cs="Times New Roman"/>
        </w:rPr>
        <w:t xml:space="preserve"> evaluation at an estimated cost of $8,903.30 annually.</w:t>
      </w:r>
    </w:p>
    <w:p w:rsidR="008041E2" w:rsidRPr="00847A9E" w:rsidRDefault="008041E2">
      <w:pPr>
        <w:rPr>
          <w:rFonts w:ascii="Times New Roman" w:hAnsi="Times New Roman" w:cs="Times New Roman"/>
        </w:rPr>
      </w:pPr>
    </w:p>
    <w:p w:rsidR="008041E2" w:rsidRPr="0089734C" w:rsidRDefault="00D30219" w:rsidP="00D30219">
      <w:pPr>
        <w:rPr>
          <w:rFonts w:ascii="Times New Roman" w:hAnsi="Times New Roman" w:cs="Times New Roman"/>
          <w:b/>
          <w:u w:val="single"/>
        </w:rPr>
      </w:pPr>
      <w:r w:rsidRPr="0089734C">
        <w:rPr>
          <w:rFonts w:ascii="Times New Roman" w:hAnsi="Times New Roman" w:cs="Times New Roman"/>
          <w:b/>
        </w:rPr>
        <w:t xml:space="preserve">15.   </w:t>
      </w:r>
      <w:r w:rsidRPr="0089734C">
        <w:rPr>
          <w:rFonts w:ascii="Times New Roman" w:hAnsi="Times New Roman" w:cs="Times New Roman"/>
          <w:b/>
          <w:u w:val="single"/>
        </w:rPr>
        <w:t>Explanation for Program Changes or Adjustments</w:t>
      </w:r>
    </w:p>
    <w:p w:rsidR="008041E2" w:rsidRDefault="008041E2">
      <w:pPr>
        <w:rPr>
          <w:rFonts w:ascii="Times New Roman" w:hAnsi="Times New Roman" w:cs="Times New Roman"/>
        </w:rPr>
      </w:pPr>
    </w:p>
    <w:p w:rsidR="002D368D" w:rsidRDefault="00630F6B">
      <w:pPr>
        <w:rPr>
          <w:rFonts w:ascii="Times New Roman" w:hAnsi="Times New Roman" w:cs="Times New Roman"/>
        </w:rPr>
      </w:pPr>
      <w:r w:rsidRPr="00F94ECA">
        <w:rPr>
          <w:rFonts w:ascii="Times New Roman" w:hAnsi="Times New Roman" w:cs="Times New Roman"/>
        </w:rPr>
        <w:t xml:space="preserve">This is a new collection.  </w:t>
      </w:r>
      <w:r w:rsidR="009F4D42" w:rsidRPr="00F94ECA">
        <w:rPr>
          <w:rFonts w:ascii="Times New Roman" w:hAnsi="Times New Roman" w:cs="Times New Roman"/>
        </w:rPr>
        <w:t xml:space="preserve">There </w:t>
      </w:r>
      <w:r w:rsidR="002D368D" w:rsidRPr="00F94ECA">
        <w:rPr>
          <w:rFonts w:ascii="Times New Roman" w:hAnsi="Times New Roman" w:cs="Times New Roman"/>
        </w:rPr>
        <w:t xml:space="preserve">are no changes </w:t>
      </w:r>
      <w:r w:rsidR="009F4D42" w:rsidRPr="00F94ECA">
        <w:rPr>
          <w:rFonts w:ascii="Times New Roman" w:hAnsi="Times New Roman" w:cs="Times New Roman"/>
        </w:rPr>
        <w:t>or adjustments requested of the program required to report the</w:t>
      </w:r>
      <w:r w:rsidR="00F915AC" w:rsidRPr="00F94ECA">
        <w:rPr>
          <w:rFonts w:ascii="Times New Roman" w:hAnsi="Times New Roman" w:cs="Times New Roman"/>
        </w:rPr>
        <w:t>se</w:t>
      </w:r>
      <w:r w:rsidR="009F4D42" w:rsidRPr="00F94ECA">
        <w:rPr>
          <w:rFonts w:ascii="Times New Roman" w:hAnsi="Times New Roman" w:cs="Times New Roman"/>
        </w:rPr>
        <w:t xml:space="preserve"> data.</w:t>
      </w:r>
    </w:p>
    <w:p w:rsidR="002D368D" w:rsidRPr="00847A9E" w:rsidRDefault="002D368D">
      <w:pPr>
        <w:rPr>
          <w:rFonts w:ascii="Times New Roman" w:hAnsi="Times New Roman" w:cs="Times New Roman"/>
        </w:rPr>
      </w:pPr>
    </w:p>
    <w:p w:rsidR="00D45EE6" w:rsidRPr="0089734C" w:rsidRDefault="00D45EE6" w:rsidP="00DB26F8">
      <w:pPr>
        <w:rPr>
          <w:rFonts w:ascii="Times New Roman" w:hAnsi="Times New Roman" w:cs="Times New Roman"/>
          <w:b/>
          <w:u w:val="single"/>
        </w:rPr>
      </w:pPr>
      <w:r w:rsidRPr="0089734C">
        <w:rPr>
          <w:rFonts w:ascii="Times New Roman" w:hAnsi="Times New Roman" w:cs="Times New Roman"/>
          <w:b/>
        </w:rPr>
        <w:t xml:space="preserve">16. </w:t>
      </w:r>
      <w:r w:rsidR="00847A9E" w:rsidRPr="0089734C">
        <w:rPr>
          <w:rFonts w:ascii="Times New Roman" w:hAnsi="Times New Roman" w:cs="Times New Roman"/>
          <w:b/>
        </w:rPr>
        <w:t xml:space="preserve">  </w:t>
      </w:r>
      <w:r w:rsidR="00847A9E" w:rsidRPr="0089734C">
        <w:rPr>
          <w:rFonts w:ascii="Times New Roman" w:hAnsi="Times New Roman" w:cs="Times New Roman"/>
          <w:b/>
          <w:u w:val="single"/>
        </w:rPr>
        <w:t>P</w:t>
      </w:r>
      <w:r w:rsidRPr="0089734C">
        <w:rPr>
          <w:rFonts w:ascii="Times New Roman" w:hAnsi="Times New Roman" w:cs="Times New Roman"/>
          <w:b/>
          <w:u w:val="single"/>
        </w:rPr>
        <w:t>lans for Tabulation and Publication and Project Time Schedule</w:t>
      </w:r>
    </w:p>
    <w:p w:rsidR="00DB26F8" w:rsidRDefault="00DB26F8" w:rsidP="00D45EE6">
      <w:pPr>
        <w:rPr>
          <w:rFonts w:ascii="Times New Roman" w:hAnsi="Times New Roman" w:cs="Times New Roman"/>
        </w:rPr>
      </w:pPr>
    </w:p>
    <w:p w:rsidR="002143C3" w:rsidRDefault="006311DD" w:rsidP="00DB26F8">
      <w:pPr>
        <w:rPr>
          <w:rFonts w:ascii="Times New Roman" w:hAnsi="Times New Roman" w:cs="Times New Roman"/>
        </w:rPr>
      </w:pPr>
      <w:r w:rsidRPr="00A6272A">
        <w:rPr>
          <w:rFonts w:ascii="Times New Roman" w:hAnsi="Times New Roman" w:cs="Times New Roman"/>
        </w:rPr>
        <w:t xml:space="preserve">Authorizing legislation </w:t>
      </w:r>
      <w:r w:rsidR="00D45EE6" w:rsidRPr="00A6272A">
        <w:rPr>
          <w:rFonts w:ascii="Times New Roman" w:hAnsi="Times New Roman" w:cs="Times New Roman"/>
        </w:rPr>
        <w:t xml:space="preserve">for </w:t>
      </w:r>
      <w:r w:rsidRPr="00A6272A">
        <w:rPr>
          <w:rFonts w:ascii="Times New Roman" w:hAnsi="Times New Roman" w:cs="Times New Roman"/>
        </w:rPr>
        <w:t>HAS-funded programs provides for a</w:t>
      </w:r>
      <w:r w:rsidR="00D45EE6" w:rsidRPr="00A6272A">
        <w:rPr>
          <w:rFonts w:ascii="Times New Roman" w:hAnsi="Times New Roman" w:cs="Times New Roman"/>
        </w:rPr>
        <w:t xml:space="preserve"> </w:t>
      </w:r>
      <w:r w:rsidRPr="00A6272A">
        <w:rPr>
          <w:rFonts w:ascii="Times New Roman" w:hAnsi="Times New Roman" w:cs="Times New Roman"/>
        </w:rPr>
        <w:t>reporting of grantee data. These data will be used in HRSA’s annual reports to Congress.</w:t>
      </w:r>
      <w:r w:rsidR="009F4D42" w:rsidRPr="00A6272A">
        <w:rPr>
          <w:rFonts w:ascii="Times New Roman" w:hAnsi="Times New Roman" w:cs="Times New Roman"/>
        </w:rPr>
        <w:t xml:space="preserve">  </w:t>
      </w:r>
      <w:r w:rsidR="00D30219" w:rsidRPr="00A6272A">
        <w:rPr>
          <w:rFonts w:ascii="Times New Roman" w:hAnsi="Times New Roman" w:cs="Times New Roman"/>
        </w:rPr>
        <w:t xml:space="preserve">Tabulation will be conducted </w:t>
      </w:r>
      <w:r w:rsidR="009F4D42" w:rsidRPr="00A6272A">
        <w:rPr>
          <w:rFonts w:ascii="Times New Roman" w:hAnsi="Times New Roman" w:cs="Times New Roman"/>
        </w:rPr>
        <w:t>as needed to complete an</w:t>
      </w:r>
      <w:r w:rsidR="00D30219" w:rsidRPr="00A6272A">
        <w:rPr>
          <w:rFonts w:ascii="Times New Roman" w:hAnsi="Times New Roman" w:cs="Times New Roman"/>
        </w:rPr>
        <w:t xml:space="preserve"> int</w:t>
      </w:r>
      <w:r w:rsidR="009F4D42" w:rsidRPr="00A6272A">
        <w:rPr>
          <w:rFonts w:ascii="Times New Roman" w:hAnsi="Times New Roman" w:cs="Times New Roman"/>
        </w:rPr>
        <w:t>ernal review sufficient to satisfy an OMB audit</w:t>
      </w:r>
      <w:r w:rsidR="00D30219" w:rsidRPr="00A6272A">
        <w:rPr>
          <w:rFonts w:ascii="Times New Roman" w:hAnsi="Times New Roman" w:cs="Times New Roman"/>
        </w:rPr>
        <w:t>.</w:t>
      </w:r>
      <w:r w:rsidR="009F4D42">
        <w:rPr>
          <w:rFonts w:ascii="Times New Roman" w:hAnsi="Times New Roman" w:cs="Times New Roman"/>
        </w:rPr>
        <w:t xml:space="preserve"> </w:t>
      </w:r>
    </w:p>
    <w:p w:rsidR="00D30219" w:rsidRPr="00D30219" w:rsidRDefault="009F4D42" w:rsidP="00DB26F8">
      <w:pPr>
        <w:rPr>
          <w:rFonts w:ascii="Times New Roman" w:hAnsi="Times New Roman" w:cs="Times New Roman"/>
        </w:rPr>
      </w:pPr>
      <w:r>
        <w:rPr>
          <w:rFonts w:ascii="Times New Roman" w:hAnsi="Times New Roman" w:cs="Times New Roman"/>
        </w:rPr>
        <w:t xml:space="preserve"> </w:t>
      </w:r>
    </w:p>
    <w:p w:rsidR="0080358A" w:rsidRPr="00847A9E" w:rsidRDefault="0080358A" w:rsidP="00DB26F8">
      <w:pPr>
        <w:rPr>
          <w:rFonts w:ascii="Times New Roman" w:hAnsi="Times New Roman" w:cs="Times New Roman"/>
          <w:u w:val="single"/>
        </w:rPr>
      </w:pPr>
      <w:r w:rsidRPr="0089734C">
        <w:rPr>
          <w:rFonts w:ascii="Times New Roman" w:hAnsi="Times New Roman" w:cs="Times New Roman"/>
          <w:b/>
        </w:rPr>
        <w:t>17.</w:t>
      </w:r>
      <w:r w:rsidRPr="00847A9E">
        <w:rPr>
          <w:rFonts w:ascii="Times New Roman" w:hAnsi="Times New Roman" w:cs="Times New Roman"/>
        </w:rPr>
        <w:t xml:space="preserve"> </w:t>
      </w:r>
      <w:r w:rsidR="00847A9E" w:rsidRPr="00847A9E">
        <w:rPr>
          <w:rFonts w:ascii="Times New Roman" w:hAnsi="Times New Roman" w:cs="Times New Roman"/>
        </w:rPr>
        <w:t xml:space="preserve"> </w:t>
      </w:r>
      <w:r w:rsidRPr="0089734C">
        <w:rPr>
          <w:rFonts w:ascii="Times New Roman" w:hAnsi="Times New Roman" w:cs="Times New Roman"/>
          <w:b/>
          <w:u w:val="single"/>
        </w:rPr>
        <w:t xml:space="preserve">Reason Display of OMB Expiration Date is </w:t>
      </w:r>
      <w:r w:rsidR="00131ED0" w:rsidRPr="0089734C">
        <w:rPr>
          <w:rFonts w:ascii="Times New Roman" w:hAnsi="Times New Roman" w:cs="Times New Roman"/>
          <w:b/>
          <w:u w:val="single"/>
        </w:rPr>
        <w:t>Inappropriate</w:t>
      </w:r>
    </w:p>
    <w:p w:rsidR="0080358A" w:rsidRPr="00847A9E" w:rsidRDefault="0080358A">
      <w:pPr>
        <w:rPr>
          <w:rFonts w:ascii="Times New Roman" w:hAnsi="Times New Roman" w:cs="Times New Roman"/>
          <w:u w:val="single"/>
        </w:rPr>
      </w:pPr>
    </w:p>
    <w:p w:rsidR="0080358A" w:rsidRPr="00847A9E" w:rsidRDefault="0080358A">
      <w:pPr>
        <w:rPr>
          <w:rFonts w:ascii="Times New Roman" w:hAnsi="Times New Roman" w:cs="Times New Roman"/>
        </w:rPr>
      </w:pPr>
      <w:r w:rsidRPr="00847A9E">
        <w:rPr>
          <w:rFonts w:ascii="Times New Roman" w:hAnsi="Times New Roman" w:cs="Times New Roman"/>
        </w:rPr>
        <w:t>Not applicable</w:t>
      </w:r>
      <w:r w:rsidR="00847A9E">
        <w:rPr>
          <w:rFonts w:ascii="Times New Roman" w:hAnsi="Times New Roman" w:cs="Times New Roman"/>
        </w:rPr>
        <w:t>.</w:t>
      </w:r>
    </w:p>
    <w:p w:rsidR="00DB26F8" w:rsidRDefault="00DB26F8" w:rsidP="00DB26F8">
      <w:pPr>
        <w:rPr>
          <w:rFonts w:ascii="Times New Roman" w:hAnsi="Times New Roman" w:cs="Times New Roman"/>
        </w:rPr>
      </w:pPr>
    </w:p>
    <w:p w:rsidR="0080358A" w:rsidRPr="00847A9E" w:rsidRDefault="0080358A" w:rsidP="00DB26F8">
      <w:pPr>
        <w:rPr>
          <w:rFonts w:ascii="Times New Roman" w:hAnsi="Times New Roman" w:cs="Times New Roman"/>
          <w:u w:val="single"/>
        </w:rPr>
      </w:pPr>
      <w:r w:rsidRPr="0089734C">
        <w:rPr>
          <w:rFonts w:ascii="Times New Roman" w:hAnsi="Times New Roman" w:cs="Times New Roman"/>
          <w:b/>
        </w:rPr>
        <w:t>18.</w:t>
      </w:r>
      <w:r w:rsidR="00847A9E" w:rsidRPr="00847A9E">
        <w:rPr>
          <w:rFonts w:ascii="Times New Roman" w:hAnsi="Times New Roman" w:cs="Times New Roman"/>
        </w:rPr>
        <w:t xml:space="preserve">  </w:t>
      </w:r>
      <w:r w:rsidRPr="0089734C">
        <w:rPr>
          <w:rFonts w:ascii="Times New Roman" w:hAnsi="Times New Roman" w:cs="Times New Roman"/>
          <w:b/>
          <w:u w:val="single"/>
        </w:rPr>
        <w:t>Exceptions to Certification for Paperwork Reduction Act Submissions</w:t>
      </w:r>
    </w:p>
    <w:p w:rsidR="0080358A" w:rsidRPr="00847A9E" w:rsidRDefault="0080358A">
      <w:pPr>
        <w:rPr>
          <w:rFonts w:ascii="Times New Roman" w:hAnsi="Times New Roman" w:cs="Times New Roman"/>
        </w:rPr>
      </w:pPr>
    </w:p>
    <w:p w:rsidR="008041E2" w:rsidRPr="00847A9E" w:rsidRDefault="0080358A">
      <w:pPr>
        <w:rPr>
          <w:rFonts w:ascii="Times New Roman" w:hAnsi="Times New Roman" w:cs="Times New Roman"/>
        </w:rPr>
      </w:pPr>
      <w:r w:rsidRPr="00847A9E">
        <w:rPr>
          <w:rFonts w:ascii="Times New Roman" w:hAnsi="Times New Roman" w:cs="Times New Roman"/>
        </w:rPr>
        <w:t>There are no exceptions to the certification</w:t>
      </w:r>
      <w:r w:rsidR="00847A9E">
        <w:rPr>
          <w:rFonts w:ascii="Times New Roman" w:hAnsi="Times New Roman" w:cs="Times New Roman"/>
        </w:rPr>
        <w:t>.</w:t>
      </w:r>
    </w:p>
    <w:p w:rsidR="008254DC" w:rsidRPr="00847A9E" w:rsidRDefault="008254DC">
      <w:pPr>
        <w:rPr>
          <w:rFonts w:ascii="Times New Roman" w:hAnsi="Times New Roman" w:cs="Times New Roman"/>
        </w:rPr>
      </w:pPr>
    </w:p>
    <w:p w:rsidR="008254DC" w:rsidRPr="00847A9E" w:rsidRDefault="008254DC">
      <w:pPr>
        <w:rPr>
          <w:rFonts w:ascii="Times New Roman" w:hAnsi="Times New Roman" w:cs="Times New Roman"/>
        </w:rPr>
      </w:pPr>
    </w:p>
    <w:p w:rsidR="006B4D90" w:rsidRPr="00847A9E" w:rsidRDefault="006B4D90">
      <w:pPr>
        <w:rPr>
          <w:rFonts w:ascii="Times New Roman" w:hAnsi="Times New Roman" w:cs="Times New Roman"/>
        </w:rPr>
      </w:pPr>
    </w:p>
    <w:sectPr w:rsidR="006B4D90" w:rsidRPr="00847A9E" w:rsidSect="00F16D73">
      <w:footerReference w:type="default" r:id="rId9"/>
      <w:pgSz w:w="12240" w:h="15840"/>
      <w:pgMar w:top="1440" w:right="1440"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459" w:rsidRDefault="00A04459" w:rsidP="00B356B0">
      <w:r>
        <w:separator/>
      </w:r>
    </w:p>
  </w:endnote>
  <w:endnote w:type="continuationSeparator" w:id="0">
    <w:p w:rsidR="00A04459" w:rsidRDefault="00A04459" w:rsidP="00B35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7235"/>
      <w:docPartObj>
        <w:docPartGallery w:val="Page Numbers (Bottom of Page)"/>
        <w:docPartUnique/>
      </w:docPartObj>
    </w:sdtPr>
    <w:sdtContent>
      <w:p w:rsidR="002F24D6" w:rsidRDefault="000C535D">
        <w:pPr>
          <w:pStyle w:val="Footer"/>
          <w:jc w:val="center"/>
        </w:pPr>
        <w:fldSimple w:instr=" PAGE   \* MERGEFORMAT ">
          <w:r w:rsidR="00A04459">
            <w:rPr>
              <w:noProof/>
            </w:rPr>
            <w:t>1</w:t>
          </w:r>
        </w:fldSimple>
      </w:p>
    </w:sdtContent>
  </w:sdt>
  <w:p w:rsidR="002F24D6" w:rsidRDefault="002F2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459" w:rsidRDefault="00A04459" w:rsidP="00B356B0">
      <w:r>
        <w:separator/>
      </w:r>
    </w:p>
  </w:footnote>
  <w:footnote w:type="continuationSeparator" w:id="0">
    <w:p w:rsidR="00A04459" w:rsidRDefault="00A04459" w:rsidP="00B35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5D"/>
    <w:multiLevelType w:val="hybridMultilevel"/>
    <w:tmpl w:val="F020B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DA51D5"/>
    <w:multiLevelType w:val="hybridMultilevel"/>
    <w:tmpl w:val="9B2090AA"/>
    <w:lvl w:ilvl="0" w:tplc="D0B08318">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B84C0B"/>
    <w:multiLevelType w:val="hybridMultilevel"/>
    <w:tmpl w:val="A5CC0A66"/>
    <w:lvl w:ilvl="0" w:tplc="B4A0F7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179EC"/>
    <w:multiLevelType w:val="hybridMultilevel"/>
    <w:tmpl w:val="C2A6FA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03712"/>
    <w:multiLevelType w:val="hybridMultilevel"/>
    <w:tmpl w:val="1A2436A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B51295"/>
    <w:multiLevelType w:val="hybridMultilevel"/>
    <w:tmpl w:val="B8B6A4A4"/>
    <w:lvl w:ilvl="0" w:tplc="933A88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031A1"/>
    <w:multiLevelType w:val="hybridMultilevel"/>
    <w:tmpl w:val="4314D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36C81"/>
    <w:multiLevelType w:val="hybridMultilevel"/>
    <w:tmpl w:val="06A667E4"/>
    <w:lvl w:ilvl="0" w:tplc="35A692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BB58F9"/>
    <w:multiLevelType w:val="hybridMultilevel"/>
    <w:tmpl w:val="9D100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30512"/>
    <w:multiLevelType w:val="hybridMultilevel"/>
    <w:tmpl w:val="1324C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6"/>
  </w:num>
  <w:num w:numId="6">
    <w:abstractNumId w:val="3"/>
  </w:num>
  <w:num w:numId="7">
    <w:abstractNumId w:val="7"/>
  </w:num>
  <w:num w:numId="8">
    <w:abstractNumId w:val="4"/>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717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B4D90"/>
    <w:rsid w:val="0000416C"/>
    <w:rsid w:val="00006E7C"/>
    <w:rsid w:val="0000710C"/>
    <w:rsid w:val="00014ADF"/>
    <w:rsid w:val="00017150"/>
    <w:rsid w:val="000449FE"/>
    <w:rsid w:val="000512A5"/>
    <w:rsid w:val="00057A29"/>
    <w:rsid w:val="00062320"/>
    <w:rsid w:val="00066E2E"/>
    <w:rsid w:val="0009025D"/>
    <w:rsid w:val="000A06E1"/>
    <w:rsid w:val="000C535D"/>
    <w:rsid w:val="00120323"/>
    <w:rsid w:val="00124B76"/>
    <w:rsid w:val="001309AF"/>
    <w:rsid w:val="00131ED0"/>
    <w:rsid w:val="00163460"/>
    <w:rsid w:val="00184A52"/>
    <w:rsid w:val="001B0A20"/>
    <w:rsid w:val="001B273F"/>
    <w:rsid w:val="001E1317"/>
    <w:rsid w:val="002143C3"/>
    <w:rsid w:val="00243170"/>
    <w:rsid w:val="00272C99"/>
    <w:rsid w:val="002A4580"/>
    <w:rsid w:val="002A62EB"/>
    <w:rsid w:val="002B60D1"/>
    <w:rsid w:val="002D368D"/>
    <w:rsid w:val="002E3395"/>
    <w:rsid w:val="002E54AC"/>
    <w:rsid w:val="002F24D6"/>
    <w:rsid w:val="003277FA"/>
    <w:rsid w:val="003418FB"/>
    <w:rsid w:val="003510CF"/>
    <w:rsid w:val="003635D4"/>
    <w:rsid w:val="00381EED"/>
    <w:rsid w:val="003A79C9"/>
    <w:rsid w:val="003E3DDA"/>
    <w:rsid w:val="003E4AFE"/>
    <w:rsid w:val="00400C99"/>
    <w:rsid w:val="004104CA"/>
    <w:rsid w:val="00415A60"/>
    <w:rsid w:val="00417C77"/>
    <w:rsid w:val="004302D9"/>
    <w:rsid w:val="00450E92"/>
    <w:rsid w:val="0046316A"/>
    <w:rsid w:val="004812EA"/>
    <w:rsid w:val="00483331"/>
    <w:rsid w:val="004A429D"/>
    <w:rsid w:val="004B20EA"/>
    <w:rsid w:val="004B504A"/>
    <w:rsid w:val="004C00F5"/>
    <w:rsid w:val="004C5840"/>
    <w:rsid w:val="004C5B3E"/>
    <w:rsid w:val="004E3E79"/>
    <w:rsid w:val="004E793D"/>
    <w:rsid w:val="004F2A88"/>
    <w:rsid w:val="004F60CD"/>
    <w:rsid w:val="00542262"/>
    <w:rsid w:val="00570928"/>
    <w:rsid w:val="005B0103"/>
    <w:rsid w:val="005B52C0"/>
    <w:rsid w:val="005B6D96"/>
    <w:rsid w:val="00610270"/>
    <w:rsid w:val="00616095"/>
    <w:rsid w:val="00627357"/>
    <w:rsid w:val="00630F6B"/>
    <w:rsid w:val="006311DD"/>
    <w:rsid w:val="00632FAB"/>
    <w:rsid w:val="00674D49"/>
    <w:rsid w:val="0068419A"/>
    <w:rsid w:val="00684C27"/>
    <w:rsid w:val="00684ECB"/>
    <w:rsid w:val="006B4D90"/>
    <w:rsid w:val="006B68E5"/>
    <w:rsid w:val="006C5974"/>
    <w:rsid w:val="006C64D8"/>
    <w:rsid w:val="006C7B26"/>
    <w:rsid w:val="006D753F"/>
    <w:rsid w:val="007342DB"/>
    <w:rsid w:val="00756B2B"/>
    <w:rsid w:val="00764DCE"/>
    <w:rsid w:val="007B249C"/>
    <w:rsid w:val="007B683D"/>
    <w:rsid w:val="007E18D2"/>
    <w:rsid w:val="007E4DBE"/>
    <w:rsid w:val="007F26C4"/>
    <w:rsid w:val="00801AE4"/>
    <w:rsid w:val="0080358A"/>
    <w:rsid w:val="008041E2"/>
    <w:rsid w:val="00824BE5"/>
    <w:rsid w:val="00825098"/>
    <w:rsid w:val="008254DC"/>
    <w:rsid w:val="00827066"/>
    <w:rsid w:val="00835033"/>
    <w:rsid w:val="00847A9E"/>
    <w:rsid w:val="0086515B"/>
    <w:rsid w:val="0088153E"/>
    <w:rsid w:val="0089037C"/>
    <w:rsid w:val="00890FC7"/>
    <w:rsid w:val="0089734C"/>
    <w:rsid w:val="008A5E3B"/>
    <w:rsid w:val="008D29D5"/>
    <w:rsid w:val="008D795C"/>
    <w:rsid w:val="008F1F7E"/>
    <w:rsid w:val="0092773B"/>
    <w:rsid w:val="0094193C"/>
    <w:rsid w:val="009510B5"/>
    <w:rsid w:val="00954596"/>
    <w:rsid w:val="00955320"/>
    <w:rsid w:val="00966AF7"/>
    <w:rsid w:val="00991993"/>
    <w:rsid w:val="009C7D1F"/>
    <w:rsid w:val="009D2C9C"/>
    <w:rsid w:val="009E62BB"/>
    <w:rsid w:val="009F2FD6"/>
    <w:rsid w:val="009F4D42"/>
    <w:rsid w:val="00A04459"/>
    <w:rsid w:val="00A37C8C"/>
    <w:rsid w:val="00A52CCA"/>
    <w:rsid w:val="00A60A3F"/>
    <w:rsid w:val="00A6272A"/>
    <w:rsid w:val="00A6389E"/>
    <w:rsid w:val="00A90B30"/>
    <w:rsid w:val="00A93B7A"/>
    <w:rsid w:val="00AA1523"/>
    <w:rsid w:val="00AA47F0"/>
    <w:rsid w:val="00AB3AF4"/>
    <w:rsid w:val="00AB6557"/>
    <w:rsid w:val="00AC69EE"/>
    <w:rsid w:val="00AE27C6"/>
    <w:rsid w:val="00AE2F92"/>
    <w:rsid w:val="00B007B3"/>
    <w:rsid w:val="00B01120"/>
    <w:rsid w:val="00B1150E"/>
    <w:rsid w:val="00B15092"/>
    <w:rsid w:val="00B34107"/>
    <w:rsid w:val="00B356B0"/>
    <w:rsid w:val="00B37954"/>
    <w:rsid w:val="00B5158D"/>
    <w:rsid w:val="00B53FAC"/>
    <w:rsid w:val="00B840EF"/>
    <w:rsid w:val="00B94A58"/>
    <w:rsid w:val="00BA721E"/>
    <w:rsid w:val="00BB327A"/>
    <w:rsid w:val="00BB5541"/>
    <w:rsid w:val="00BD0DD1"/>
    <w:rsid w:val="00BE405E"/>
    <w:rsid w:val="00BE4D95"/>
    <w:rsid w:val="00C614D7"/>
    <w:rsid w:val="00C71514"/>
    <w:rsid w:val="00C84189"/>
    <w:rsid w:val="00C8784B"/>
    <w:rsid w:val="00C9668F"/>
    <w:rsid w:val="00CB6237"/>
    <w:rsid w:val="00CD4025"/>
    <w:rsid w:val="00CE0D58"/>
    <w:rsid w:val="00CE4467"/>
    <w:rsid w:val="00CE5E12"/>
    <w:rsid w:val="00CF7B87"/>
    <w:rsid w:val="00D30219"/>
    <w:rsid w:val="00D35122"/>
    <w:rsid w:val="00D45EE6"/>
    <w:rsid w:val="00D60E6F"/>
    <w:rsid w:val="00D802C6"/>
    <w:rsid w:val="00DA1365"/>
    <w:rsid w:val="00DB26F8"/>
    <w:rsid w:val="00DC1160"/>
    <w:rsid w:val="00E05851"/>
    <w:rsid w:val="00E33B0D"/>
    <w:rsid w:val="00E5190A"/>
    <w:rsid w:val="00E66667"/>
    <w:rsid w:val="00E71B43"/>
    <w:rsid w:val="00E8596B"/>
    <w:rsid w:val="00E93BDC"/>
    <w:rsid w:val="00EA1760"/>
    <w:rsid w:val="00EB010F"/>
    <w:rsid w:val="00F02959"/>
    <w:rsid w:val="00F105CE"/>
    <w:rsid w:val="00F11594"/>
    <w:rsid w:val="00F16D73"/>
    <w:rsid w:val="00F55C6A"/>
    <w:rsid w:val="00F851E8"/>
    <w:rsid w:val="00F915AC"/>
    <w:rsid w:val="00F94ECA"/>
    <w:rsid w:val="00FA7204"/>
    <w:rsid w:val="00FA79CB"/>
    <w:rsid w:val="00FB40B1"/>
    <w:rsid w:val="00FB4B22"/>
    <w:rsid w:val="00FB4E4C"/>
    <w:rsid w:val="00FC760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17"/>
    <w:pPr>
      <w:ind w:left="720"/>
      <w:contextualSpacing/>
    </w:pPr>
  </w:style>
  <w:style w:type="table" w:styleId="TableGrid">
    <w:name w:val="Table Grid"/>
    <w:basedOn w:val="TableNormal"/>
    <w:uiPriority w:val="59"/>
    <w:rsid w:val="008F1F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56B0"/>
    <w:pPr>
      <w:tabs>
        <w:tab w:val="center" w:pos="4680"/>
        <w:tab w:val="right" w:pos="9360"/>
      </w:tabs>
    </w:pPr>
  </w:style>
  <w:style w:type="character" w:customStyle="1" w:styleId="HeaderChar">
    <w:name w:val="Header Char"/>
    <w:basedOn w:val="DefaultParagraphFont"/>
    <w:link w:val="Header"/>
    <w:uiPriority w:val="99"/>
    <w:semiHidden/>
    <w:rsid w:val="00B356B0"/>
  </w:style>
  <w:style w:type="paragraph" w:styleId="Footer">
    <w:name w:val="footer"/>
    <w:basedOn w:val="Normal"/>
    <w:link w:val="FooterChar"/>
    <w:uiPriority w:val="99"/>
    <w:unhideWhenUsed/>
    <w:rsid w:val="00B356B0"/>
    <w:pPr>
      <w:tabs>
        <w:tab w:val="center" w:pos="4680"/>
        <w:tab w:val="right" w:pos="9360"/>
      </w:tabs>
    </w:pPr>
  </w:style>
  <w:style w:type="character" w:customStyle="1" w:styleId="FooterChar">
    <w:name w:val="Footer Char"/>
    <w:basedOn w:val="DefaultParagraphFont"/>
    <w:link w:val="Footer"/>
    <w:uiPriority w:val="99"/>
    <w:rsid w:val="00B356B0"/>
  </w:style>
  <w:style w:type="character" w:styleId="Hyperlink">
    <w:name w:val="Hyperlink"/>
    <w:basedOn w:val="DefaultParagraphFont"/>
    <w:uiPriority w:val="99"/>
    <w:unhideWhenUsed/>
    <w:rsid w:val="00A90B30"/>
    <w:rPr>
      <w:color w:val="0000FF" w:themeColor="hyperlink"/>
      <w:u w:val="single"/>
    </w:rPr>
  </w:style>
  <w:style w:type="character" w:styleId="Emphasis">
    <w:name w:val="Emphasis"/>
    <w:basedOn w:val="DefaultParagraphFont"/>
    <w:uiPriority w:val="20"/>
    <w:qFormat/>
    <w:rsid w:val="00A90B30"/>
    <w:rPr>
      <w:b/>
      <w:bCs/>
      <w:i w:val="0"/>
      <w:iCs w:val="0"/>
    </w:rPr>
  </w:style>
  <w:style w:type="paragraph" w:styleId="HTMLPreformatted">
    <w:name w:val="HTML Preformatted"/>
    <w:basedOn w:val="Normal"/>
    <w:link w:val="HTMLPreformattedChar"/>
    <w:uiPriority w:val="99"/>
    <w:semiHidden/>
    <w:unhideWhenUsed/>
    <w:rsid w:val="0048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812EA"/>
    <w:rPr>
      <w:rFonts w:ascii="Courier New" w:hAnsi="Courier New" w:cs="Courier New"/>
      <w:sz w:val="20"/>
      <w:szCs w:val="20"/>
    </w:rPr>
  </w:style>
  <w:style w:type="paragraph" w:styleId="BalloonText">
    <w:name w:val="Balloon Text"/>
    <w:basedOn w:val="Normal"/>
    <w:link w:val="BalloonTextChar"/>
    <w:uiPriority w:val="99"/>
    <w:semiHidden/>
    <w:unhideWhenUsed/>
    <w:rsid w:val="007B683D"/>
    <w:rPr>
      <w:rFonts w:ascii="Tahoma" w:hAnsi="Tahoma" w:cs="Tahoma"/>
      <w:sz w:val="16"/>
      <w:szCs w:val="16"/>
    </w:rPr>
  </w:style>
  <w:style w:type="character" w:customStyle="1" w:styleId="BalloonTextChar">
    <w:name w:val="Balloon Text Char"/>
    <w:basedOn w:val="DefaultParagraphFont"/>
    <w:link w:val="BalloonText"/>
    <w:uiPriority w:val="99"/>
    <w:semiHidden/>
    <w:rsid w:val="007B683D"/>
    <w:rPr>
      <w:rFonts w:ascii="Tahoma" w:hAnsi="Tahoma" w:cs="Tahoma"/>
      <w:sz w:val="16"/>
      <w:szCs w:val="16"/>
    </w:rPr>
  </w:style>
  <w:style w:type="character" w:styleId="CommentReference">
    <w:name w:val="annotation reference"/>
    <w:basedOn w:val="DefaultParagraphFont"/>
    <w:uiPriority w:val="99"/>
    <w:semiHidden/>
    <w:unhideWhenUsed/>
    <w:rsid w:val="007B683D"/>
    <w:rPr>
      <w:sz w:val="16"/>
      <w:szCs w:val="16"/>
    </w:rPr>
  </w:style>
  <w:style w:type="paragraph" w:styleId="CommentText">
    <w:name w:val="annotation text"/>
    <w:basedOn w:val="Normal"/>
    <w:link w:val="CommentTextChar"/>
    <w:uiPriority w:val="99"/>
    <w:semiHidden/>
    <w:unhideWhenUsed/>
    <w:rsid w:val="007B683D"/>
    <w:rPr>
      <w:sz w:val="20"/>
      <w:szCs w:val="20"/>
    </w:rPr>
  </w:style>
  <w:style w:type="character" w:customStyle="1" w:styleId="CommentTextChar">
    <w:name w:val="Comment Text Char"/>
    <w:basedOn w:val="DefaultParagraphFont"/>
    <w:link w:val="CommentText"/>
    <w:uiPriority w:val="99"/>
    <w:semiHidden/>
    <w:rsid w:val="007B683D"/>
    <w:rPr>
      <w:sz w:val="20"/>
      <w:szCs w:val="20"/>
    </w:rPr>
  </w:style>
  <w:style w:type="paragraph" w:styleId="CommentSubject">
    <w:name w:val="annotation subject"/>
    <w:basedOn w:val="CommentText"/>
    <w:next w:val="CommentText"/>
    <w:link w:val="CommentSubjectChar"/>
    <w:uiPriority w:val="99"/>
    <w:semiHidden/>
    <w:unhideWhenUsed/>
    <w:rsid w:val="007B683D"/>
    <w:rPr>
      <w:b/>
      <w:bCs/>
    </w:rPr>
  </w:style>
  <w:style w:type="character" w:customStyle="1" w:styleId="CommentSubjectChar">
    <w:name w:val="Comment Subject Char"/>
    <w:basedOn w:val="CommentTextChar"/>
    <w:link w:val="CommentSubject"/>
    <w:uiPriority w:val="99"/>
    <w:semiHidden/>
    <w:rsid w:val="007B68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38639">
      <w:bodyDiv w:val="1"/>
      <w:marLeft w:val="0"/>
      <w:marRight w:val="0"/>
      <w:marTop w:val="0"/>
      <w:marBottom w:val="0"/>
      <w:divBdr>
        <w:top w:val="none" w:sz="0" w:space="0" w:color="auto"/>
        <w:left w:val="none" w:sz="0" w:space="0" w:color="auto"/>
        <w:bottom w:val="none" w:sz="0" w:space="0" w:color="auto"/>
        <w:right w:val="none" w:sz="0" w:space="0" w:color="auto"/>
      </w:divBdr>
    </w:div>
    <w:div w:id="279998761">
      <w:bodyDiv w:val="1"/>
      <w:marLeft w:val="0"/>
      <w:marRight w:val="0"/>
      <w:marTop w:val="0"/>
      <w:marBottom w:val="0"/>
      <w:divBdr>
        <w:top w:val="none" w:sz="0" w:space="0" w:color="auto"/>
        <w:left w:val="none" w:sz="0" w:space="0" w:color="auto"/>
        <w:bottom w:val="none" w:sz="0" w:space="0" w:color="auto"/>
        <w:right w:val="none" w:sz="0" w:space="0" w:color="auto"/>
      </w:divBdr>
    </w:div>
    <w:div w:id="305166537">
      <w:bodyDiv w:val="1"/>
      <w:marLeft w:val="0"/>
      <w:marRight w:val="0"/>
      <w:marTop w:val="0"/>
      <w:marBottom w:val="0"/>
      <w:divBdr>
        <w:top w:val="none" w:sz="0" w:space="0" w:color="auto"/>
        <w:left w:val="none" w:sz="0" w:space="0" w:color="auto"/>
        <w:bottom w:val="none" w:sz="0" w:space="0" w:color="auto"/>
        <w:right w:val="none" w:sz="0" w:space="0" w:color="auto"/>
      </w:divBdr>
    </w:div>
    <w:div w:id="787969573">
      <w:bodyDiv w:val="1"/>
      <w:marLeft w:val="0"/>
      <w:marRight w:val="0"/>
      <w:marTop w:val="0"/>
      <w:marBottom w:val="0"/>
      <w:divBdr>
        <w:top w:val="none" w:sz="0" w:space="0" w:color="auto"/>
        <w:left w:val="none" w:sz="0" w:space="0" w:color="auto"/>
        <w:bottom w:val="none" w:sz="0" w:space="0" w:color="auto"/>
        <w:right w:val="none" w:sz="0" w:space="0" w:color="auto"/>
      </w:divBdr>
    </w:div>
    <w:div w:id="796797970">
      <w:bodyDiv w:val="1"/>
      <w:marLeft w:val="0"/>
      <w:marRight w:val="0"/>
      <w:marTop w:val="0"/>
      <w:marBottom w:val="0"/>
      <w:divBdr>
        <w:top w:val="none" w:sz="0" w:space="0" w:color="auto"/>
        <w:left w:val="none" w:sz="0" w:space="0" w:color="auto"/>
        <w:bottom w:val="none" w:sz="0" w:space="0" w:color="auto"/>
        <w:right w:val="none" w:sz="0" w:space="0" w:color="auto"/>
      </w:divBdr>
    </w:div>
    <w:div w:id="843471183">
      <w:bodyDiv w:val="1"/>
      <w:marLeft w:val="0"/>
      <w:marRight w:val="0"/>
      <w:marTop w:val="0"/>
      <w:marBottom w:val="0"/>
      <w:divBdr>
        <w:top w:val="none" w:sz="0" w:space="0" w:color="auto"/>
        <w:left w:val="none" w:sz="0" w:space="0" w:color="auto"/>
        <w:bottom w:val="none" w:sz="0" w:space="0" w:color="auto"/>
        <w:right w:val="none" w:sz="0" w:space="0" w:color="auto"/>
      </w:divBdr>
    </w:div>
    <w:div w:id="893201813">
      <w:bodyDiv w:val="1"/>
      <w:marLeft w:val="0"/>
      <w:marRight w:val="0"/>
      <w:marTop w:val="0"/>
      <w:marBottom w:val="0"/>
      <w:divBdr>
        <w:top w:val="none" w:sz="0" w:space="0" w:color="auto"/>
        <w:left w:val="none" w:sz="0" w:space="0" w:color="auto"/>
        <w:bottom w:val="none" w:sz="0" w:space="0" w:color="auto"/>
        <w:right w:val="none" w:sz="0" w:space="0" w:color="auto"/>
      </w:divBdr>
    </w:div>
    <w:div w:id="1252473970">
      <w:bodyDiv w:val="1"/>
      <w:marLeft w:val="0"/>
      <w:marRight w:val="0"/>
      <w:marTop w:val="0"/>
      <w:marBottom w:val="0"/>
      <w:divBdr>
        <w:top w:val="none" w:sz="0" w:space="0" w:color="auto"/>
        <w:left w:val="none" w:sz="0" w:space="0" w:color="auto"/>
        <w:bottom w:val="none" w:sz="0" w:space="0" w:color="auto"/>
        <w:right w:val="none" w:sz="0" w:space="0" w:color="auto"/>
      </w:divBdr>
    </w:div>
    <w:div w:id="1442914903">
      <w:bodyDiv w:val="1"/>
      <w:marLeft w:val="0"/>
      <w:marRight w:val="0"/>
      <w:marTop w:val="0"/>
      <w:marBottom w:val="0"/>
      <w:divBdr>
        <w:top w:val="none" w:sz="0" w:space="0" w:color="auto"/>
        <w:left w:val="none" w:sz="0" w:space="0" w:color="auto"/>
        <w:bottom w:val="none" w:sz="0" w:space="0" w:color="auto"/>
        <w:right w:val="none" w:sz="0" w:space="0" w:color="auto"/>
      </w:divBdr>
    </w:div>
    <w:div w:id="1584680988">
      <w:bodyDiv w:val="1"/>
      <w:marLeft w:val="0"/>
      <w:marRight w:val="0"/>
      <w:marTop w:val="0"/>
      <w:marBottom w:val="0"/>
      <w:divBdr>
        <w:top w:val="none" w:sz="0" w:space="0" w:color="auto"/>
        <w:left w:val="none" w:sz="0" w:space="0" w:color="auto"/>
        <w:bottom w:val="none" w:sz="0" w:space="0" w:color="auto"/>
        <w:right w:val="none" w:sz="0" w:space="0" w:color="auto"/>
      </w:divBdr>
    </w:div>
    <w:div w:id="1787657078">
      <w:bodyDiv w:val="1"/>
      <w:marLeft w:val="0"/>
      <w:marRight w:val="0"/>
      <w:marTop w:val="0"/>
      <w:marBottom w:val="0"/>
      <w:divBdr>
        <w:top w:val="none" w:sz="0" w:space="0" w:color="auto"/>
        <w:left w:val="none" w:sz="0" w:space="0" w:color="auto"/>
        <w:bottom w:val="none" w:sz="0" w:space="0" w:color="auto"/>
        <w:right w:val="none" w:sz="0" w:space="0" w:color="auto"/>
      </w:divBdr>
    </w:div>
    <w:div w:id="20417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minorityhealth.hhs.gov/templates/browse.aspx?lvl=2&amp;lvlID=15"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DE50-249F-4E0B-B4B0-AA036A66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Medical Services</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Songhai Barclift</dc:creator>
  <cp:keywords/>
  <cp:lastModifiedBy> </cp:lastModifiedBy>
  <cp:revision>2</cp:revision>
  <cp:lastPrinted>2011-12-19T19:37:00Z</cp:lastPrinted>
  <dcterms:created xsi:type="dcterms:W3CDTF">2011-12-28T16:24:00Z</dcterms:created>
  <dcterms:modified xsi:type="dcterms:W3CDTF">2011-12-28T16:24:00Z</dcterms:modified>
</cp:coreProperties>
</file>