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985" w:rsidRPr="00FF7985" w:rsidRDefault="00FF7985" w:rsidP="00FF7985">
      <w:pPr>
        <w:jc w:val="center"/>
        <w:rPr>
          <w:rFonts w:ascii="Times New Roman" w:hAnsi="Times New Roman"/>
          <w:b/>
          <w:bCs/>
          <w:sz w:val="24"/>
          <w:szCs w:val="24"/>
        </w:rPr>
      </w:pPr>
      <w:r w:rsidRPr="00FF7985">
        <w:rPr>
          <w:rFonts w:ascii="Times New Roman" w:hAnsi="Times New Roman"/>
          <w:b/>
          <w:bCs/>
          <w:sz w:val="24"/>
          <w:szCs w:val="24"/>
        </w:rPr>
        <w:t>Supporting Statement for</w:t>
      </w:r>
    </w:p>
    <w:p w:rsidR="00FF7985" w:rsidRPr="00FF7985" w:rsidRDefault="00FF7985" w:rsidP="00FF7985">
      <w:pPr>
        <w:widowControl/>
        <w:tabs>
          <w:tab w:val="left" w:pos="360"/>
        </w:tabs>
        <w:jc w:val="center"/>
        <w:rPr>
          <w:rFonts w:ascii="Times New Roman" w:hAnsi="Times New Roman"/>
          <w:b/>
          <w:bCs/>
          <w:sz w:val="24"/>
          <w:szCs w:val="24"/>
        </w:rPr>
      </w:pPr>
      <w:r>
        <w:rPr>
          <w:rFonts w:ascii="Times New Roman" w:hAnsi="Times New Roman"/>
          <w:b/>
          <w:bCs/>
          <w:sz w:val="24"/>
          <w:szCs w:val="24"/>
        </w:rPr>
        <w:t>Quarterly Savings and Loan Holding Company Report</w:t>
      </w:r>
    </w:p>
    <w:p w:rsidR="00FF7985" w:rsidRPr="00FF7985" w:rsidRDefault="00FF7985" w:rsidP="00FF7985">
      <w:pPr>
        <w:widowControl/>
        <w:tabs>
          <w:tab w:val="left" w:pos="360"/>
        </w:tabs>
        <w:jc w:val="center"/>
        <w:rPr>
          <w:rFonts w:ascii="Times New Roman" w:hAnsi="Times New Roman"/>
          <w:b/>
          <w:bCs/>
          <w:sz w:val="24"/>
          <w:szCs w:val="24"/>
        </w:rPr>
      </w:pPr>
      <w:r w:rsidRPr="00FF7985">
        <w:rPr>
          <w:rFonts w:ascii="Times New Roman" w:hAnsi="Times New Roman"/>
          <w:b/>
          <w:bCs/>
          <w:sz w:val="24"/>
          <w:szCs w:val="24"/>
        </w:rPr>
        <w:t xml:space="preserve">(FR </w:t>
      </w:r>
      <w:r>
        <w:rPr>
          <w:rFonts w:ascii="Times New Roman" w:hAnsi="Times New Roman"/>
          <w:b/>
          <w:bCs/>
          <w:sz w:val="24"/>
          <w:szCs w:val="24"/>
        </w:rPr>
        <w:t>2320</w:t>
      </w:r>
      <w:r w:rsidRPr="00FF7985">
        <w:rPr>
          <w:rFonts w:ascii="Times New Roman" w:hAnsi="Times New Roman"/>
          <w:b/>
          <w:bCs/>
          <w:sz w:val="24"/>
          <w:szCs w:val="24"/>
        </w:rPr>
        <w:t>; OMB No. 7100-</w:t>
      </w:r>
      <w:r w:rsidR="00063A97" w:rsidRPr="00063A97">
        <w:rPr>
          <w:rFonts w:ascii="Times New Roman" w:hAnsi="Times New Roman"/>
          <w:b/>
          <w:bCs/>
          <w:sz w:val="24"/>
          <w:szCs w:val="24"/>
        </w:rPr>
        <w:t>to be assigned</w:t>
      </w:r>
      <w:r>
        <w:rPr>
          <w:rFonts w:ascii="Times New Roman" w:hAnsi="Times New Roman"/>
          <w:b/>
          <w:bCs/>
          <w:sz w:val="24"/>
          <w:szCs w:val="24"/>
        </w:rPr>
        <w:t>)</w:t>
      </w:r>
    </w:p>
    <w:p w:rsidR="00CC2280" w:rsidRPr="0047151A" w:rsidRDefault="00CC2280" w:rsidP="00FF7985">
      <w:pPr>
        <w:widowControl/>
        <w:tabs>
          <w:tab w:val="center" w:pos="4680"/>
        </w:tabs>
        <w:jc w:val="center"/>
        <w:rPr>
          <w:rFonts w:ascii="Times New Roman" w:hAnsi="Times New Roman" w:cs="Times New Roman"/>
          <w:sz w:val="24"/>
          <w:szCs w:val="24"/>
        </w:rPr>
      </w:pPr>
    </w:p>
    <w:p w:rsidR="00CC2280" w:rsidRPr="0047151A" w:rsidRDefault="00CC2280" w:rsidP="00E7624E">
      <w:pPr>
        <w:tabs>
          <w:tab w:val="left" w:pos="360"/>
        </w:tabs>
        <w:rPr>
          <w:rFonts w:ascii="Times New Roman" w:hAnsi="Times New Roman" w:cs="Times New Roman"/>
          <w:b/>
          <w:bCs/>
          <w:color w:val="000000"/>
          <w:sz w:val="24"/>
          <w:szCs w:val="24"/>
        </w:rPr>
      </w:pPr>
      <w:r w:rsidRPr="0047151A">
        <w:rPr>
          <w:rFonts w:ascii="Times New Roman" w:hAnsi="Times New Roman" w:cs="Times New Roman"/>
          <w:b/>
          <w:bCs/>
          <w:color w:val="000000"/>
          <w:sz w:val="24"/>
          <w:szCs w:val="24"/>
        </w:rPr>
        <w:t>Summary</w:t>
      </w:r>
    </w:p>
    <w:p w:rsidR="00CC2280" w:rsidRPr="0047151A" w:rsidRDefault="00CC2280" w:rsidP="00E7624E">
      <w:pPr>
        <w:tabs>
          <w:tab w:val="left" w:pos="360"/>
        </w:tabs>
        <w:rPr>
          <w:rFonts w:ascii="Times New Roman" w:hAnsi="Times New Roman" w:cs="Times New Roman"/>
          <w:color w:val="000000"/>
          <w:sz w:val="24"/>
          <w:szCs w:val="24"/>
        </w:rPr>
      </w:pPr>
    </w:p>
    <w:p w:rsidR="005E18C8" w:rsidRDefault="00CC2280" w:rsidP="005E18C8">
      <w:pPr>
        <w:rPr>
          <w:rFonts w:ascii="Times New Roman" w:hAnsi="Times New Roman" w:cs="Times New Roman"/>
          <w:sz w:val="24"/>
          <w:szCs w:val="24"/>
        </w:rPr>
      </w:pPr>
      <w:r w:rsidRPr="0047151A">
        <w:rPr>
          <w:rFonts w:ascii="Times New Roman" w:hAnsi="Times New Roman" w:cs="Times New Roman"/>
          <w:color w:val="000000"/>
          <w:sz w:val="24"/>
          <w:szCs w:val="24"/>
        </w:rPr>
        <w:tab/>
      </w:r>
      <w:r w:rsidR="00FF7985" w:rsidRPr="00FF7985">
        <w:rPr>
          <w:rFonts w:ascii="Times New Roman" w:hAnsi="Times New Roman"/>
          <w:sz w:val="24"/>
          <w:szCs w:val="24"/>
        </w:rPr>
        <w:t>The Board of Governors of the Federal Reserve System, under delegated authority from the Office of Management and Budget (OMB)</w:t>
      </w:r>
      <w:r w:rsidR="00FF7985">
        <w:rPr>
          <w:rFonts w:ascii="Times New Roman" w:hAnsi="Times New Roman"/>
          <w:sz w:val="24"/>
          <w:szCs w:val="24"/>
        </w:rPr>
        <w:t xml:space="preserve">, </w:t>
      </w:r>
      <w:r w:rsidRPr="0047151A">
        <w:rPr>
          <w:rFonts w:ascii="Times New Roman" w:hAnsi="Times New Roman" w:cs="Times New Roman"/>
          <w:sz w:val="24"/>
          <w:szCs w:val="24"/>
        </w:rPr>
        <w:t xml:space="preserve">proposes to implement the </w:t>
      </w:r>
      <w:r w:rsidR="008D6D36">
        <w:rPr>
          <w:rFonts w:ascii="Times New Roman" w:hAnsi="Times New Roman" w:cs="Times New Roman"/>
          <w:sz w:val="24"/>
          <w:szCs w:val="24"/>
        </w:rPr>
        <w:t xml:space="preserve">mandatory </w:t>
      </w:r>
      <w:r w:rsidR="007E0C03">
        <w:rPr>
          <w:rFonts w:ascii="Times New Roman" w:hAnsi="Times New Roman" w:cs="Times New Roman"/>
          <w:sz w:val="24"/>
          <w:szCs w:val="24"/>
        </w:rPr>
        <w:t xml:space="preserve">Quarterly Savings and Loan Holding Company Report </w:t>
      </w:r>
      <w:r w:rsidRPr="0047151A">
        <w:rPr>
          <w:rFonts w:ascii="Times New Roman" w:hAnsi="Times New Roman" w:cs="Times New Roman"/>
          <w:color w:val="000000"/>
          <w:sz w:val="24"/>
          <w:szCs w:val="24"/>
        </w:rPr>
        <w:t xml:space="preserve">(FR </w:t>
      </w:r>
      <w:r w:rsidR="008D6D36">
        <w:rPr>
          <w:rFonts w:ascii="Times New Roman" w:hAnsi="Times New Roman" w:cs="Times New Roman"/>
          <w:color w:val="000000"/>
          <w:sz w:val="24"/>
          <w:szCs w:val="24"/>
        </w:rPr>
        <w:t>2320</w:t>
      </w:r>
      <w:r w:rsidRPr="0047151A">
        <w:rPr>
          <w:rFonts w:ascii="Times New Roman" w:hAnsi="Times New Roman" w:cs="Times New Roman"/>
          <w:color w:val="000000"/>
          <w:sz w:val="24"/>
          <w:szCs w:val="24"/>
        </w:rPr>
        <w:t>)</w:t>
      </w:r>
      <w:r w:rsidRPr="0047151A">
        <w:rPr>
          <w:rFonts w:ascii="Times New Roman" w:hAnsi="Times New Roman" w:cs="Times New Roman"/>
          <w:sz w:val="24"/>
          <w:szCs w:val="24"/>
        </w:rPr>
        <w:t xml:space="preserve">.  </w:t>
      </w:r>
      <w:r w:rsidR="00816A61">
        <w:rPr>
          <w:rFonts w:ascii="Times New Roman" w:hAnsi="Times New Roman" w:cs="Times New Roman"/>
          <w:sz w:val="24"/>
          <w:szCs w:val="24"/>
        </w:rPr>
        <w:t>T</w:t>
      </w:r>
      <w:r w:rsidR="005703E3" w:rsidRPr="00317B85">
        <w:rPr>
          <w:rFonts w:ascii="Times New Roman" w:hAnsi="Times New Roman" w:cs="Times New Roman"/>
          <w:sz w:val="24"/>
          <w:szCs w:val="24"/>
        </w:rPr>
        <w:t xml:space="preserve">he </w:t>
      </w:r>
      <w:r w:rsidR="008D6D36">
        <w:rPr>
          <w:rFonts w:ascii="Times New Roman" w:hAnsi="Times New Roman" w:cs="Times New Roman"/>
          <w:sz w:val="24"/>
          <w:szCs w:val="24"/>
        </w:rPr>
        <w:t>FR</w:t>
      </w:r>
      <w:r w:rsidR="001766ED">
        <w:rPr>
          <w:rFonts w:ascii="Times New Roman" w:hAnsi="Times New Roman" w:cs="Times New Roman"/>
          <w:sz w:val="24"/>
          <w:szCs w:val="24"/>
        </w:rPr>
        <w:t> </w:t>
      </w:r>
      <w:r w:rsidR="008D6D36">
        <w:rPr>
          <w:rFonts w:ascii="Times New Roman" w:hAnsi="Times New Roman" w:cs="Times New Roman"/>
          <w:sz w:val="24"/>
          <w:szCs w:val="24"/>
        </w:rPr>
        <w:t>2320 would</w:t>
      </w:r>
      <w:r w:rsidR="005703E3">
        <w:rPr>
          <w:rFonts w:ascii="Times New Roman" w:hAnsi="Times New Roman" w:cs="Times New Roman"/>
          <w:sz w:val="24"/>
          <w:szCs w:val="24"/>
        </w:rPr>
        <w:t xml:space="preserve"> </w:t>
      </w:r>
      <w:r w:rsidR="00DA164F" w:rsidRPr="00DA164F">
        <w:rPr>
          <w:rFonts w:ascii="Times New Roman" w:hAnsi="Times New Roman" w:cs="Times New Roman"/>
          <w:sz w:val="24"/>
          <w:szCs w:val="24"/>
        </w:rPr>
        <w:t xml:space="preserve">collect </w:t>
      </w:r>
      <w:r w:rsidR="008D6D36">
        <w:rPr>
          <w:rFonts w:ascii="Times New Roman" w:hAnsi="Times New Roman" w:cs="Times New Roman"/>
          <w:sz w:val="24"/>
          <w:szCs w:val="24"/>
        </w:rPr>
        <w:t xml:space="preserve">parent only and consolidated </w:t>
      </w:r>
      <w:r w:rsidR="00DA164F" w:rsidRPr="00DA164F">
        <w:rPr>
          <w:rFonts w:ascii="Times New Roman" w:hAnsi="Times New Roman" w:cs="Times New Roman"/>
          <w:sz w:val="24"/>
          <w:szCs w:val="24"/>
        </w:rPr>
        <w:t xml:space="preserve">financial </w:t>
      </w:r>
      <w:r w:rsidR="008D6D36">
        <w:rPr>
          <w:rFonts w:ascii="Times New Roman" w:hAnsi="Times New Roman" w:cs="Times New Roman"/>
          <w:sz w:val="24"/>
          <w:szCs w:val="24"/>
        </w:rPr>
        <w:t xml:space="preserve">data and organizational structure </w:t>
      </w:r>
      <w:r w:rsidR="00DA164F" w:rsidRPr="00DA164F">
        <w:rPr>
          <w:rFonts w:ascii="Times New Roman" w:hAnsi="Times New Roman" w:cs="Times New Roman"/>
          <w:sz w:val="24"/>
          <w:szCs w:val="24"/>
        </w:rPr>
        <w:t xml:space="preserve">data </w:t>
      </w:r>
      <w:r w:rsidR="00D60B02">
        <w:rPr>
          <w:rFonts w:ascii="Times New Roman" w:hAnsi="Times New Roman" w:cs="Times New Roman"/>
          <w:sz w:val="24"/>
          <w:szCs w:val="24"/>
        </w:rPr>
        <w:t xml:space="preserve">from </w:t>
      </w:r>
      <w:r w:rsidR="00DB29BF">
        <w:rPr>
          <w:rFonts w:ascii="Times New Roman" w:hAnsi="Times New Roman" w:cs="Times New Roman"/>
          <w:sz w:val="24"/>
          <w:szCs w:val="24"/>
        </w:rPr>
        <w:t>s</w:t>
      </w:r>
      <w:r w:rsidR="008D6D36">
        <w:rPr>
          <w:rFonts w:ascii="Times New Roman" w:hAnsi="Times New Roman" w:cs="Times New Roman"/>
          <w:sz w:val="24"/>
          <w:szCs w:val="24"/>
        </w:rPr>
        <w:t xml:space="preserve">avings and </w:t>
      </w:r>
      <w:r w:rsidR="00DB29BF">
        <w:rPr>
          <w:rFonts w:ascii="Times New Roman" w:hAnsi="Times New Roman" w:cs="Times New Roman"/>
          <w:sz w:val="24"/>
          <w:szCs w:val="24"/>
        </w:rPr>
        <w:t>l</w:t>
      </w:r>
      <w:r w:rsidR="008D6D36">
        <w:rPr>
          <w:rFonts w:ascii="Times New Roman" w:hAnsi="Times New Roman" w:cs="Times New Roman"/>
          <w:sz w:val="24"/>
          <w:szCs w:val="24"/>
        </w:rPr>
        <w:t xml:space="preserve">oan </w:t>
      </w:r>
      <w:r w:rsidR="00DB29BF">
        <w:rPr>
          <w:rFonts w:ascii="Times New Roman" w:hAnsi="Times New Roman" w:cs="Times New Roman"/>
          <w:sz w:val="24"/>
          <w:szCs w:val="24"/>
        </w:rPr>
        <w:t>h</w:t>
      </w:r>
      <w:r w:rsidR="008D6D36">
        <w:rPr>
          <w:rFonts w:ascii="Times New Roman" w:hAnsi="Times New Roman" w:cs="Times New Roman"/>
          <w:sz w:val="24"/>
          <w:szCs w:val="24"/>
        </w:rPr>
        <w:t xml:space="preserve">olding </w:t>
      </w:r>
      <w:r w:rsidR="00DB29BF">
        <w:rPr>
          <w:rFonts w:ascii="Times New Roman" w:hAnsi="Times New Roman" w:cs="Times New Roman"/>
          <w:sz w:val="24"/>
          <w:szCs w:val="24"/>
        </w:rPr>
        <w:t>c</w:t>
      </w:r>
      <w:r w:rsidR="008D6D36">
        <w:rPr>
          <w:rFonts w:ascii="Times New Roman" w:hAnsi="Times New Roman" w:cs="Times New Roman"/>
          <w:sz w:val="24"/>
          <w:szCs w:val="24"/>
        </w:rPr>
        <w:t>ompanie</w:t>
      </w:r>
      <w:r w:rsidR="00D60B02">
        <w:rPr>
          <w:rFonts w:ascii="Times New Roman" w:hAnsi="Times New Roman" w:cs="Times New Roman"/>
          <w:sz w:val="24"/>
          <w:szCs w:val="24"/>
        </w:rPr>
        <w:t>s</w:t>
      </w:r>
      <w:r w:rsidR="008D6D36">
        <w:rPr>
          <w:rFonts w:ascii="Times New Roman" w:hAnsi="Times New Roman" w:cs="Times New Roman"/>
          <w:sz w:val="24"/>
          <w:szCs w:val="24"/>
        </w:rPr>
        <w:t xml:space="preserve"> (SLHCs)</w:t>
      </w:r>
      <w:r w:rsidR="009D30A3" w:rsidRPr="009D30A3">
        <w:rPr>
          <w:rFonts w:ascii="Times New Roman" w:hAnsi="Times New Roman" w:cs="Times New Roman"/>
          <w:sz w:val="24"/>
          <w:szCs w:val="24"/>
        </w:rPr>
        <w:t xml:space="preserve"> </w:t>
      </w:r>
      <w:r w:rsidR="009D30A3">
        <w:rPr>
          <w:rFonts w:ascii="Times New Roman" w:hAnsi="Times New Roman" w:cs="Times New Roman"/>
          <w:sz w:val="24"/>
          <w:szCs w:val="24"/>
        </w:rPr>
        <w:t>exempt from initially filing Federal Reserve regulatory reports</w:t>
      </w:r>
      <w:r w:rsidR="005703E3" w:rsidRPr="00DA164F">
        <w:rPr>
          <w:rFonts w:ascii="Times New Roman" w:hAnsi="Times New Roman" w:cs="Times New Roman"/>
          <w:sz w:val="24"/>
          <w:szCs w:val="24"/>
        </w:rPr>
        <w:t>.</w:t>
      </w:r>
      <w:r w:rsidR="0008380E" w:rsidRPr="00DA164F">
        <w:rPr>
          <w:rStyle w:val="FootnoteReference"/>
          <w:rFonts w:ascii="Times New Roman" w:hAnsi="Times New Roman" w:cs="Times New Roman"/>
          <w:sz w:val="24"/>
          <w:szCs w:val="24"/>
          <w:vertAlign w:val="superscript"/>
        </w:rPr>
        <w:footnoteReference w:id="1"/>
      </w:r>
      <w:r w:rsidR="009D30A3">
        <w:rPr>
          <w:rFonts w:ascii="Times New Roman" w:hAnsi="Times New Roman" w:cs="Times New Roman"/>
          <w:sz w:val="24"/>
          <w:szCs w:val="24"/>
        </w:rPr>
        <w:t xml:space="preserve">  </w:t>
      </w:r>
      <w:r w:rsidR="009C6CA8">
        <w:rPr>
          <w:rFonts w:ascii="Times New Roman" w:hAnsi="Times New Roman" w:cs="Times New Roman"/>
          <w:sz w:val="24"/>
          <w:szCs w:val="24"/>
        </w:rPr>
        <w:t xml:space="preserve">These data would be the same as data previously collected on Schedule HC </w:t>
      </w:r>
      <w:r w:rsidR="00CB30A5">
        <w:rPr>
          <w:rFonts w:ascii="Times New Roman" w:hAnsi="Times New Roman" w:cs="Times New Roman"/>
          <w:sz w:val="24"/>
          <w:szCs w:val="24"/>
        </w:rPr>
        <w:t xml:space="preserve">(Thrift Holding Company) </w:t>
      </w:r>
      <w:r w:rsidR="009C6CA8">
        <w:rPr>
          <w:rFonts w:ascii="Times New Roman" w:hAnsi="Times New Roman" w:cs="Times New Roman"/>
          <w:sz w:val="24"/>
          <w:szCs w:val="24"/>
        </w:rPr>
        <w:t xml:space="preserve">of the Thrift Financial Report (TFR; OMB No. 1557-0255).  </w:t>
      </w:r>
    </w:p>
    <w:p w:rsidR="009C6CA8" w:rsidRDefault="009C6CA8" w:rsidP="005E18C8">
      <w:pPr>
        <w:rPr>
          <w:rFonts w:ascii="Times New Roman" w:hAnsi="Times New Roman" w:cs="Times New Roman"/>
          <w:sz w:val="24"/>
          <w:szCs w:val="24"/>
        </w:rPr>
      </w:pPr>
    </w:p>
    <w:p w:rsidR="00FC1E38" w:rsidRDefault="00100455" w:rsidP="00C515B1">
      <w:pPr>
        <w:ind w:firstLine="720"/>
        <w:rPr>
          <w:rFonts w:ascii="Times New Roman" w:hAnsi="Times New Roman" w:cs="Times New Roman"/>
          <w:sz w:val="24"/>
          <w:szCs w:val="24"/>
        </w:rPr>
      </w:pPr>
      <w:r w:rsidRPr="00ED4B4F">
        <w:rPr>
          <w:rFonts w:ascii="Times New Roman" w:hAnsi="Times New Roman" w:cs="Times New Roman"/>
          <w:color w:val="000000"/>
          <w:sz w:val="24"/>
          <w:szCs w:val="24"/>
        </w:rPr>
        <w:t>The Dodd-Frank Wall Street Reform and Consumer Protection Act (</w:t>
      </w:r>
      <w:r>
        <w:rPr>
          <w:rFonts w:ascii="Times New Roman" w:hAnsi="Times New Roman" w:cs="Times New Roman"/>
          <w:color w:val="000000"/>
          <w:sz w:val="24"/>
          <w:szCs w:val="24"/>
        </w:rPr>
        <w:t xml:space="preserve">the </w:t>
      </w:r>
      <w:r w:rsidRPr="00ED4B4F">
        <w:rPr>
          <w:rFonts w:ascii="Times New Roman" w:hAnsi="Times New Roman" w:cs="Times New Roman"/>
          <w:color w:val="000000"/>
          <w:sz w:val="24"/>
          <w:szCs w:val="24"/>
        </w:rPr>
        <w:t xml:space="preserve">Dodd-Frank Act) was enacted into law on July 21, 2010.  </w:t>
      </w:r>
      <w:r>
        <w:rPr>
          <w:rFonts w:ascii="Times New Roman" w:hAnsi="Times New Roman"/>
          <w:color w:val="000000"/>
          <w:sz w:val="24"/>
          <w:szCs w:val="24"/>
        </w:rPr>
        <w:t>Title III of t</w:t>
      </w:r>
      <w:r w:rsidRPr="00E30479">
        <w:rPr>
          <w:rFonts w:ascii="Times New Roman" w:hAnsi="Times New Roman"/>
          <w:color w:val="000000"/>
          <w:sz w:val="24"/>
          <w:szCs w:val="24"/>
        </w:rPr>
        <w:t xml:space="preserve">he Dodd-Frank </w:t>
      </w:r>
      <w:r>
        <w:rPr>
          <w:rFonts w:ascii="Times New Roman" w:hAnsi="Times New Roman"/>
          <w:color w:val="000000"/>
          <w:sz w:val="24"/>
          <w:szCs w:val="24"/>
        </w:rPr>
        <w:t xml:space="preserve">Act </w:t>
      </w:r>
      <w:r w:rsidR="000B39EA" w:rsidRPr="00E30479">
        <w:rPr>
          <w:rFonts w:ascii="Times New Roman" w:hAnsi="Times New Roman"/>
          <w:color w:val="000000"/>
          <w:sz w:val="24"/>
          <w:szCs w:val="24"/>
        </w:rPr>
        <w:t>transfer</w:t>
      </w:r>
      <w:r w:rsidR="000B39EA">
        <w:rPr>
          <w:rFonts w:ascii="Times New Roman" w:hAnsi="Times New Roman"/>
          <w:color w:val="000000"/>
          <w:sz w:val="24"/>
          <w:szCs w:val="24"/>
        </w:rPr>
        <w:t>red</w:t>
      </w:r>
      <w:r w:rsidRPr="00E30479">
        <w:rPr>
          <w:rFonts w:ascii="Times New Roman" w:hAnsi="Times New Roman"/>
          <w:color w:val="000000"/>
          <w:sz w:val="24"/>
          <w:szCs w:val="24"/>
        </w:rPr>
        <w:t xml:space="preserve"> all former O</w:t>
      </w:r>
      <w:r>
        <w:rPr>
          <w:rFonts w:ascii="Times New Roman" w:hAnsi="Times New Roman"/>
          <w:color w:val="000000"/>
          <w:sz w:val="24"/>
          <w:szCs w:val="24"/>
        </w:rPr>
        <w:t xml:space="preserve">ffice of </w:t>
      </w:r>
      <w:r w:rsidRPr="00E30479">
        <w:rPr>
          <w:rFonts w:ascii="Times New Roman" w:hAnsi="Times New Roman"/>
          <w:color w:val="000000"/>
          <w:sz w:val="24"/>
          <w:szCs w:val="24"/>
        </w:rPr>
        <w:t>T</w:t>
      </w:r>
      <w:r>
        <w:rPr>
          <w:rFonts w:ascii="Times New Roman" w:hAnsi="Times New Roman"/>
          <w:color w:val="000000"/>
          <w:sz w:val="24"/>
          <w:szCs w:val="24"/>
        </w:rPr>
        <w:t xml:space="preserve">hrift </w:t>
      </w:r>
      <w:r w:rsidRPr="00E30479">
        <w:rPr>
          <w:rFonts w:ascii="Times New Roman" w:hAnsi="Times New Roman"/>
          <w:color w:val="000000"/>
          <w:sz w:val="24"/>
          <w:szCs w:val="24"/>
        </w:rPr>
        <w:t>S</w:t>
      </w:r>
      <w:r>
        <w:rPr>
          <w:rFonts w:ascii="Times New Roman" w:hAnsi="Times New Roman"/>
          <w:color w:val="000000"/>
          <w:sz w:val="24"/>
          <w:szCs w:val="24"/>
        </w:rPr>
        <w:t>upervision (OTS)</w:t>
      </w:r>
      <w:r w:rsidRPr="00E30479">
        <w:rPr>
          <w:rFonts w:ascii="Times New Roman" w:hAnsi="Times New Roman"/>
          <w:color w:val="000000"/>
          <w:sz w:val="24"/>
          <w:szCs w:val="24"/>
        </w:rPr>
        <w:t xml:space="preserve"> authorities (including rulemaking) related </w:t>
      </w:r>
      <w:r>
        <w:rPr>
          <w:rFonts w:ascii="Times New Roman" w:hAnsi="Times New Roman"/>
          <w:color w:val="000000"/>
          <w:sz w:val="24"/>
          <w:szCs w:val="24"/>
        </w:rPr>
        <w:t xml:space="preserve">to SLHCs to the Federal Reserve </w:t>
      </w:r>
      <w:r w:rsidR="00190078">
        <w:rPr>
          <w:rFonts w:ascii="Times New Roman" w:hAnsi="Times New Roman"/>
          <w:color w:val="000000"/>
          <w:sz w:val="24"/>
          <w:szCs w:val="24"/>
        </w:rPr>
        <w:t xml:space="preserve">effective </w:t>
      </w:r>
      <w:r>
        <w:rPr>
          <w:rFonts w:ascii="Times New Roman" w:hAnsi="Times New Roman"/>
          <w:color w:val="000000"/>
          <w:sz w:val="24"/>
          <w:szCs w:val="24"/>
        </w:rPr>
        <w:t xml:space="preserve">July 21, 2011.  </w:t>
      </w:r>
      <w:r w:rsidRPr="00B370BE">
        <w:rPr>
          <w:rFonts w:ascii="Times New Roman" w:hAnsi="Times New Roman"/>
          <w:color w:val="000000"/>
          <w:szCs w:val="24"/>
        </w:rPr>
        <w:t xml:space="preserve"> </w:t>
      </w:r>
      <w:r w:rsidR="00F252D9">
        <w:rPr>
          <w:rFonts w:ascii="Times New Roman" w:hAnsi="Times New Roman"/>
          <w:color w:val="000000"/>
          <w:sz w:val="24"/>
          <w:szCs w:val="24"/>
        </w:rPr>
        <w:t xml:space="preserve">Consequently, the </w:t>
      </w:r>
      <w:r>
        <w:rPr>
          <w:rFonts w:ascii="Times New Roman" w:hAnsi="Times New Roman"/>
          <w:color w:val="000000"/>
          <w:sz w:val="24"/>
          <w:szCs w:val="24"/>
        </w:rPr>
        <w:t xml:space="preserve">Federal Reserve </w:t>
      </w:r>
      <w:r w:rsidR="00F252D9">
        <w:rPr>
          <w:rFonts w:ascii="Times New Roman" w:hAnsi="Times New Roman"/>
          <w:color w:val="000000"/>
          <w:sz w:val="24"/>
          <w:szCs w:val="24"/>
        </w:rPr>
        <w:t xml:space="preserve">became </w:t>
      </w:r>
      <w:r>
        <w:rPr>
          <w:rFonts w:ascii="Times New Roman" w:hAnsi="Times New Roman"/>
          <w:color w:val="000000"/>
          <w:sz w:val="24"/>
          <w:szCs w:val="24"/>
        </w:rPr>
        <w:t xml:space="preserve">responsible for the consolidated supervision of SLHCs beginning July 21, 2011.  </w:t>
      </w:r>
      <w:r w:rsidR="008D6D36">
        <w:rPr>
          <w:rFonts w:ascii="Times New Roman" w:hAnsi="Times New Roman" w:cs="Times New Roman"/>
          <w:sz w:val="24"/>
          <w:szCs w:val="24"/>
        </w:rPr>
        <w:t>The Federal Reserve would use the</w:t>
      </w:r>
      <w:r w:rsidR="0060230C">
        <w:rPr>
          <w:rFonts w:ascii="Times New Roman" w:hAnsi="Times New Roman" w:cs="Times New Roman"/>
          <w:sz w:val="24"/>
          <w:szCs w:val="24"/>
        </w:rPr>
        <w:t xml:space="preserve"> FR 2320</w:t>
      </w:r>
      <w:r w:rsidR="008D6D36">
        <w:rPr>
          <w:rFonts w:ascii="Times New Roman" w:hAnsi="Times New Roman" w:cs="Times New Roman"/>
          <w:sz w:val="24"/>
          <w:szCs w:val="24"/>
        </w:rPr>
        <w:t xml:space="preserve"> data </w:t>
      </w:r>
      <w:r>
        <w:rPr>
          <w:rFonts w:ascii="Times New Roman" w:hAnsi="Times New Roman" w:cs="Times New Roman"/>
          <w:sz w:val="24"/>
          <w:szCs w:val="24"/>
        </w:rPr>
        <w:t>to analyze the overall financial condition of exempt SLHCs to ensure safe and sound operations.</w:t>
      </w:r>
      <w:r w:rsidR="00C515B1">
        <w:rPr>
          <w:rFonts w:ascii="Times New Roman" w:hAnsi="Times New Roman" w:cs="Times New Roman"/>
          <w:sz w:val="24"/>
          <w:szCs w:val="24"/>
        </w:rPr>
        <w:t xml:space="preserve">  </w:t>
      </w:r>
      <w:r w:rsidR="000C5CEE" w:rsidRPr="00DA164F">
        <w:rPr>
          <w:rFonts w:ascii="Times New Roman" w:hAnsi="Times New Roman" w:cs="Times New Roman"/>
          <w:sz w:val="24"/>
          <w:szCs w:val="24"/>
        </w:rPr>
        <w:t xml:space="preserve">The </w:t>
      </w:r>
      <w:r w:rsidR="008D6D36">
        <w:rPr>
          <w:rFonts w:ascii="Times New Roman" w:hAnsi="Times New Roman" w:cs="Times New Roman"/>
          <w:sz w:val="24"/>
          <w:szCs w:val="24"/>
        </w:rPr>
        <w:t>FR 2320</w:t>
      </w:r>
      <w:r w:rsidR="000C5CEE" w:rsidRPr="0047151A">
        <w:rPr>
          <w:rFonts w:ascii="Times New Roman" w:hAnsi="Times New Roman" w:cs="Times New Roman"/>
          <w:sz w:val="24"/>
          <w:szCs w:val="24"/>
        </w:rPr>
        <w:t xml:space="preserve"> would be effective </w:t>
      </w:r>
      <w:r w:rsidR="00816A61">
        <w:rPr>
          <w:rFonts w:ascii="Times New Roman" w:hAnsi="Times New Roman" w:cs="Times New Roman"/>
          <w:sz w:val="24"/>
          <w:szCs w:val="24"/>
        </w:rPr>
        <w:t xml:space="preserve">as of the </w:t>
      </w:r>
      <w:r w:rsidR="000C5CEE" w:rsidRPr="0047151A">
        <w:rPr>
          <w:rFonts w:ascii="Times New Roman" w:hAnsi="Times New Roman" w:cs="Times New Roman"/>
          <w:sz w:val="24"/>
          <w:szCs w:val="24"/>
        </w:rPr>
        <w:t>March 31, 2012</w:t>
      </w:r>
      <w:r w:rsidR="002A188E">
        <w:rPr>
          <w:rFonts w:ascii="Times New Roman" w:hAnsi="Times New Roman" w:cs="Times New Roman"/>
          <w:sz w:val="24"/>
          <w:szCs w:val="24"/>
        </w:rPr>
        <w:t>,</w:t>
      </w:r>
      <w:r w:rsidR="00816A61">
        <w:rPr>
          <w:rFonts w:ascii="Times New Roman" w:hAnsi="Times New Roman" w:cs="Times New Roman"/>
          <w:sz w:val="24"/>
          <w:szCs w:val="24"/>
        </w:rPr>
        <w:t xml:space="preserve"> report date</w:t>
      </w:r>
      <w:r w:rsidR="000C5CEE" w:rsidRPr="0047151A">
        <w:rPr>
          <w:rFonts w:ascii="Times New Roman" w:hAnsi="Times New Roman" w:cs="Times New Roman"/>
          <w:sz w:val="24"/>
          <w:szCs w:val="24"/>
        </w:rPr>
        <w:t xml:space="preserve">.  </w:t>
      </w:r>
      <w:r w:rsidR="00A76C67" w:rsidRPr="0047151A">
        <w:rPr>
          <w:rFonts w:ascii="Times New Roman" w:hAnsi="Times New Roman" w:cs="Times New Roman"/>
          <w:sz w:val="24"/>
          <w:szCs w:val="24"/>
        </w:rPr>
        <w:t xml:space="preserve">The annual </w:t>
      </w:r>
      <w:r w:rsidR="00C515B1">
        <w:rPr>
          <w:rFonts w:ascii="Times New Roman" w:hAnsi="Times New Roman" w:cs="Times New Roman"/>
          <w:sz w:val="24"/>
          <w:szCs w:val="24"/>
        </w:rPr>
        <w:t xml:space="preserve">paperwork </w:t>
      </w:r>
      <w:r w:rsidR="00A76C67" w:rsidRPr="0047151A">
        <w:rPr>
          <w:rFonts w:ascii="Times New Roman" w:hAnsi="Times New Roman" w:cs="Times New Roman"/>
          <w:sz w:val="24"/>
          <w:szCs w:val="24"/>
        </w:rPr>
        <w:t xml:space="preserve">burden is estimated to be </w:t>
      </w:r>
      <w:r w:rsidR="00AE1E2A">
        <w:rPr>
          <w:rFonts w:ascii="Times New Roman" w:hAnsi="Times New Roman" w:cs="Times New Roman"/>
          <w:sz w:val="24"/>
          <w:szCs w:val="24"/>
        </w:rPr>
        <w:t>400</w:t>
      </w:r>
      <w:r w:rsidR="00AE1E2A" w:rsidRPr="0047151A">
        <w:rPr>
          <w:rFonts w:ascii="Times New Roman" w:hAnsi="Times New Roman" w:cs="Times New Roman"/>
          <w:sz w:val="24"/>
          <w:szCs w:val="24"/>
        </w:rPr>
        <w:t xml:space="preserve"> </w:t>
      </w:r>
      <w:r w:rsidR="00A76C67" w:rsidRPr="0047151A">
        <w:rPr>
          <w:rFonts w:ascii="Times New Roman" w:hAnsi="Times New Roman" w:cs="Times New Roman"/>
          <w:sz w:val="24"/>
          <w:szCs w:val="24"/>
        </w:rPr>
        <w:t>hours.</w:t>
      </w:r>
      <w:r w:rsidR="005703E3">
        <w:rPr>
          <w:rFonts w:ascii="Times New Roman" w:hAnsi="Times New Roman" w:cs="Times New Roman"/>
          <w:sz w:val="24"/>
          <w:szCs w:val="24"/>
        </w:rPr>
        <w:t xml:space="preserve"> </w:t>
      </w:r>
    </w:p>
    <w:p w:rsidR="00C515B1" w:rsidRDefault="00C515B1"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b/>
          <w:sz w:val="24"/>
          <w:szCs w:val="24"/>
        </w:rPr>
      </w:pPr>
    </w:p>
    <w:p w:rsidR="00FC1E38" w:rsidRPr="00AE1A89" w:rsidRDefault="00FC1E38"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sz w:val="24"/>
          <w:szCs w:val="24"/>
        </w:rPr>
      </w:pPr>
      <w:r w:rsidRPr="00AE1A89">
        <w:rPr>
          <w:rFonts w:ascii="Times New Roman" w:hAnsi="Times New Roman" w:cs="Times New Roman"/>
          <w:b/>
          <w:sz w:val="24"/>
          <w:szCs w:val="24"/>
        </w:rPr>
        <w:t>Background and Justification</w:t>
      </w:r>
    </w:p>
    <w:p w:rsidR="00204EB8" w:rsidRPr="00AE1A89" w:rsidRDefault="00204EB8" w:rsidP="000C6E50">
      <w:pPr>
        <w:widowControl/>
        <w:ind w:firstLine="720"/>
        <w:rPr>
          <w:rFonts w:ascii="Times New Roman" w:hAnsi="Times New Roman" w:cs="Times New Roman"/>
          <w:sz w:val="24"/>
          <w:szCs w:val="24"/>
        </w:rPr>
      </w:pPr>
    </w:p>
    <w:p w:rsidR="00487DAF" w:rsidRDefault="00ED4B4F" w:rsidP="000C6E50">
      <w:pPr>
        <w:widowControl/>
        <w:ind w:firstLine="720"/>
        <w:rPr>
          <w:rFonts w:ascii="Times New Roman" w:hAnsi="Times New Roman" w:cs="Times New Roman"/>
          <w:sz w:val="24"/>
          <w:szCs w:val="24"/>
        </w:rPr>
      </w:pPr>
      <w:r w:rsidRPr="00AE1A89">
        <w:rPr>
          <w:rFonts w:ascii="Times New Roman" w:hAnsi="Times New Roman" w:cs="Times New Roman"/>
          <w:sz w:val="24"/>
          <w:szCs w:val="24"/>
        </w:rPr>
        <w:t>On July 7, 2011, the</w:t>
      </w:r>
      <w:r w:rsidR="00D308F2" w:rsidRPr="00AE1A89">
        <w:rPr>
          <w:rFonts w:ascii="Times New Roman" w:hAnsi="Times New Roman" w:cs="Times New Roman"/>
          <w:sz w:val="24"/>
          <w:szCs w:val="24"/>
        </w:rPr>
        <w:t xml:space="preserve"> </w:t>
      </w:r>
      <w:r w:rsidR="0060230C" w:rsidRPr="00AE1A89">
        <w:rPr>
          <w:rFonts w:ascii="Times New Roman" w:hAnsi="Times New Roman" w:cs="Times New Roman"/>
          <w:sz w:val="24"/>
          <w:szCs w:val="24"/>
        </w:rPr>
        <w:t xml:space="preserve">banking </w:t>
      </w:r>
      <w:r w:rsidRPr="00AE1A89">
        <w:rPr>
          <w:rFonts w:ascii="Times New Roman" w:hAnsi="Times New Roman" w:cs="Times New Roman"/>
          <w:sz w:val="24"/>
          <w:szCs w:val="24"/>
        </w:rPr>
        <w:t>agencies</w:t>
      </w:r>
      <w:r w:rsidR="00AC222E" w:rsidRPr="00AE1A89">
        <w:rPr>
          <w:rStyle w:val="FootnoteReference"/>
          <w:rFonts w:ascii="Times New Roman" w:hAnsi="Times New Roman" w:cs="Times New Roman"/>
          <w:sz w:val="24"/>
          <w:szCs w:val="24"/>
          <w:vertAlign w:val="superscript"/>
        </w:rPr>
        <w:footnoteReference w:id="2"/>
      </w:r>
      <w:r w:rsidRPr="00AE1A89">
        <w:rPr>
          <w:rFonts w:ascii="Times New Roman" w:hAnsi="Times New Roman" w:cs="Times New Roman"/>
          <w:sz w:val="24"/>
          <w:szCs w:val="24"/>
        </w:rPr>
        <w:t xml:space="preserve"> announced their plan to </w:t>
      </w:r>
      <w:r w:rsidR="00D308F2" w:rsidRPr="00AE1A89">
        <w:rPr>
          <w:rFonts w:ascii="Times New Roman" w:hAnsi="Times New Roman" w:cs="Times New Roman"/>
          <w:sz w:val="24"/>
          <w:szCs w:val="24"/>
        </w:rPr>
        <w:t>pr</w:t>
      </w:r>
      <w:r w:rsidR="0063548D" w:rsidRPr="00AE1A89">
        <w:rPr>
          <w:rFonts w:ascii="Times New Roman" w:hAnsi="Times New Roman" w:cs="Times New Roman"/>
          <w:sz w:val="24"/>
          <w:szCs w:val="24"/>
        </w:rPr>
        <w:t>oceed</w:t>
      </w:r>
      <w:r w:rsidRPr="00AE1A89">
        <w:rPr>
          <w:rFonts w:ascii="Times New Roman" w:hAnsi="Times New Roman" w:cs="Times New Roman"/>
          <w:sz w:val="24"/>
          <w:szCs w:val="24"/>
        </w:rPr>
        <w:t xml:space="preserve"> with </w:t>
      </w:r>
      <w:r w:rsidR="00953BB4" w:rsidRPr="00AE1A89">
        <w:rPr>
          <w:rFonts w:ascii="Times New Roman" w:hAnsi="Times New Roman" w:cs="Times New Roman"/>
          <w:sz w:val="24"/>
          <w:szCs w:val="24"/>
        </w:rPr>
        <w:t>eliminating</w:t>
      </w:r>
      <w:r w:rsidR="00953BB4">
        <w:rPr>
          <w:rFonts w:ascii="Times New Roman" w:hAnsi="Times New Roman" w:cs="Times New Roman"/>
          <w:sz w:val="24"/>
          <w:szCs w:val="24"/>
        </w:rPr>
        <w:t xml:space="preserve"> </w:t>
      </w:r>
      <w:r w:rsidR="00953BB4" w:rsidRPr="00385E94">
        <w:rPr>
          <w:rFonts w:ascii="Times New Roman" w:hAnsi="Times New Roman" w:cs="Times New Roman"/>
          <w:sz w:val="24"/>
          <w:szCs w:val="24"/>
        </w:rPr>
        <w:t>the</w:t>
      </w:r>
      <w:r w:rsidRPr="00385E94">
        <w:rPr>
          <w:rFonts w:ascii="Times New Roman" w:hAnsi="Times New Roman" w:cs="Times New Roman"/>
          <w:sz w:val="24"/>
          <w:szCs w:val="24"/>
        </w:rPr>
        <w:t xml:space="preserve"> TFR</w:t>
      </w:r>
      <w:r w:rsidR="001C0965">
        <w:rPr>
          <w:rFonts w:ascii="Times New Roman" w:hAnsi="Times New Roman" w:cs="Times New Roman"/>
          <w:sz w:val="24"/>
          <w:szCs w:val="24"/>
        </w:rPr>
        <w:t xml:space="preserve"> </w:t>
      </w:r>
      <w:r w:rsidR="004054E1">
        <w:rPr>
          <w:rFonts w:ascii="Times New Roman" w:hAnsi="Times New Roman" w:cs="Times New Roman"/>
          <w:sz w:val="24"/>
          <w:szCs w:val="24"/>
        </w:rPr>
        <w:t xml:space="preserve">and require savings associations </w:t>
      </w:r>
      <w:r w:rsidRPr="00385E94">
        <w:rPr>
          <w:rFonts w:ascii="Times New Roman" w:hAnsi="Times New Roman" w:cs="Times New Roman"/>
          <w:sz w:val="24"/>
          <w:szCs w:val="24"/>
        </w:rPr>
        <w:t xml:space="preserve">to </w:t>
      </w:r>
      <w:r w:rsidR="004054E1">
        <w:rPr>
          <w:rFonts w:ascii="Times New Roman" w:hAnsi="Times New Roman" w:cs="Times New Roman"/>
          <w:sz w:val="24"/>
          <w:szCs w:val="24"/>
        </w:rPr>
        <w:t xml:space="preserve">start submitting </w:t>
      </w:r>
      <w:r w:rsidRPr="00385E94">
        <w:rPr>
          <w:rFonts w:ascii="Times New Roman" w:hAnsi="Times New Roman" w:cs="Times New Roman"/>
          <w:sz w:val="24"/>
          <w:szCs w:val="24"/>
        </w:rPr>
        <w:t xml:space="preserve">the </w:t>
      </w:r>
      <w:r w:rsidR="00AE0795" w:rsidRPr="00AE0795">
        <w:rPr>
          <w:rFonts w:ascii="Times New Roman" w:hAnsi="Times New Roman"/>
          <w:sz w:val="24"/>
          <w:szCs w:val="24"/>
        </w:rPr>
        <w:t xml:space="preserve">Federal </w:t>
      </w:r>
      <w:r w:rsidR="00204EB8" w:rsidRPr="00204EB8">
        <w:rPr>
          <w:rFonts w:ascii="Times New Roman" w:hAnsi="Times New Roman"/>
          <w:sz w:val="24"/>
          <w:szCs w:val="24"/>
        </w:rPr>
        <w:t>Financial Institutions Examination Council (FFIEC) Consolidated Reports of Condition and Income (Call Reports) (FFIEC 031 &amp; 041; OMB No. 7100-0036)</w:t>
      </w:r>
      <w:r w:rsidR="00204EB8">
        <w:rPr>
          <w:rFonts w:ascii="Times New Roman" w:hAnsi="Times New Roman"/>
        </w:rPr>
        <w:t xml:space="preserve"> </w:t>
      </w:r>
      <w:r w:rsidR="00953BB4" w:rsidRPr="00385E94">
        <w:rPr>
          <w:rFonts w:ascii="Times New Roman" w:hAnsi="Times New Roman" w:cs="Times New Roman"/>
          <w:sz w:val="24"/>
          <w:szCs w:val="24"/>
        </w:rPr>
        <w:t>effective</w:t>
      </w:r>
      <w:r w:rsidR="004054E1">
        <w:rPr>
          <w:rFonts w:ascii="Times New Roman" w:hAnsi="Times New Roman" w:cs="Times New Roman"/>
          <w:sz w:val="24"/>
          <w:szCs w:val="24"/>
        </w:rPr>
        <w:t xml:space="preserve"> for</w:t>
      </w:r>
      <w:r w:rsidRPr="00385E94">
        <w:rPr>
          <w:rFonts w:ascii="Times New Roman" w:hAnsi="Times New Roman" w:cs="Times New Roman"/>
          <w:sz w:val="24"/>
          <w:szCs w:val="24"/>
        </w:rPr>
        <w:t xml:space="preserve"> the March 31, 2012, report date</w:t>
      </w:r>
      <w:r w:rsidR="008D336D">
        <w:rPr>
          <w:rFonts w:ascii="Times New Roman" w:hAnsi="Times New Roman" w:cs="Times New Roman"/>
          <w:sz w:val="24"/>
          <w:szCs w:val="24"/>
        </w:rPr>
        <w:t>.</w:t>
      </w:r>
      <w:r w:rsidR="005E18C8" w:rsidRPr="005E18C8">
        <w:rPr>
          <w:rStyle w:val="FootnoteReference"/>
          <w:rFonts w:ascii="Times New Roman" w:hAnsi="Times New Roman" w:cs="Times New Roman"/>
          <w:sz w:val="24"/>
          <w:szCs w:val="24"/>
          <w:vertAlign w:val="superscript"/>
        </w:rPr>
        <w:footnoteReference w:id="3"/>
      </w:r>
      <w:r w:rsidR="00771C6E" w:rsidRPr="00385E94">
        <w:rPr>
          <w:rFonts w:ascii="Times New Roman" w:hAnsi="Times New Roman" w:cs="Times New Roman"/>
          <w:sz w:val="24"/>
          <w:szCs w:val="24"/>
        </w:rPr>
        <w:t xml:space="preserve">  </w:t>
      </w:r>
      <w:r w:rsidR="004054E1">
        <w:rPr>
          <w:rFonts w:ascii="Times New Roman" w:hAnsi="Times New Roman" w:cs="Times New Roman"/>
          <w:sz w:val="24"/>
          <w:szCs w:val="24"/>
        </w:rPr>
        <w:t>The TFR include</w:t>
      </w:r>
      <w:r w:rsidR="00BF1CD7">
        <w:rPr>
          <w:rFonts w:ascii="Times New Roman" w:hAnsi="Times New Roman" w:cs="Times New Roman"/>
          <w:sz w:val="24"/>
          <w:szCs w:val="24"/>
        </w:rPr>
        <w:t>d</w:t>
      </w:r>
      <w:r w:rsidR="008D336D">
        <w:rPr>
          <w:rFonts w:ascii="Times New Roman" w:hAnsi="Times New Roman" w:cs="Times New Roman"/>
          <w:sz w:val="24"/>
          <w:szCs w:val="24"/>
        </w:rPr>
        <w:t xml:space="preserve"> Schedule HC that</w:t>
      </w:r>
      <w:r w:rsidR="004054E1">
        <w:rPr>
          <w:rFonts w:ascii="Times New Roman" w:hAnsi="Times New Roman" w:cs="Times New Roman"/>
          <w:sz w:val="24"/>
          <w:szCs w:val="24"/>
        </w:rPr>
        <w:t xml:space="preserve"> </w:t>
      </w:r>
      <w:r w:rsidR="00BF1CD7">
        <w:rPr>
          <w:rFonts w:ascii="Times New Roman" w:hAnsi="Times New Roman" w:cs="Times New Roman"/>
          <w:sz w:val="24"/>
          <w:szCs w:val="24"/>
        </w:rPr>
        <w:t xml:space="preserve">collected </w:t>
      </w:r>
      <w:r w:rsidR="004054E1">
        <w:rPr>
          <w:rFonts w:ascii="Times New Roman" w:hAnsi="Times New Roman" w:cs="Times New Roman"/>
          <w:sz w:val="24"/>
          <w:szCs w:val="24"/>
        </w:rPr>
        <w:t xml:space="preserve">consolidated and parent company only </w:t>
      </w:r>
      <w:r w:rsidR="0088090B">
        <w:rPr>
          <w:rFonts w:ascii="Times New Roman" w:hAnsi="Times New Roman" w:cs="Times New Roman"/>
          <w:sz w:val="24"/>
          <w:szCs w:val="24"/>
        </w:rPr>
        <w:t xml:space="preserve">information about </w:t>
      </w:r>
      <w:r w:rsidR="00790AB5">
        <w:rPr>
          <w:rFonts w:ascii="Times New Roman" w:hAnsi="Times New Roman" w:cs="Times New Roman"/>
          <w:sz w:val="24"/>
          <w:szCs w:val="24"/>
        </w:rPr>
        <w:t>an</w:t>
      </w:r>
      <w:r w:rsidR="002A188E">
        <w:rPr>
          <w:rFonts w:ascii="Times New Roman" w:hAnsi="Times New Roman" w:cs="Times New Roman"/>
          <w:sz w:val="24"/>
          <w:szCs w:val="24"/>
        </w:rPr>
        <w:t xml:space="preserve"> </w:t>
      </w:r>
      <w:r w:rsidR="0088090B">
        <w:rPr>
          <w:rFonts w:ascii="Times New Roman" w:hAnsi="Times New Roman" w:cs="Times New Roman"/>
          <w:sz w:val="24"/>
          <w:szCs w:val="24"/>
        </w:rPr>
        <w:t xml:space="preserve">SLHC that </w:t>
      </w:r>
      <w:r w:rsidR="00BF1CD7">
        <w:rPr>
          <w:rFonts w:ascii="Times New Roman" w:hAnsi="Times New Roman" w:cs="Times New Roman"/>
          <w:sz w:val="24"/>
          <w:szCs w:val="24"/>
        </w:rPr>
        <w:t>was</w:t>
      </w:r>
      <w:r w:rsidR="0088090B">
        <w:rPr>
          <w:rFonts w:ascii="Times New Roman" w:hAnsi="Times New Roman" w:cs="Times New Roman"/>
          <w:sz w:val="24"/>
          <w:szCs w:val="24"/>
        </w:rPr>
        <w:t xml:space="preserve"> filed on behalf of </w:t>
      </w:r>
      <w:r w:rsidR="00790AB5">
        <w:rPr>
          <w:rFonts w:ascii="Times New Roman" w:hAnsi="Times New Roman" w:cs="Times New Roman"/>
          <w:sz w:val="24"/>
          <w:szCs w:val="24"/>
        </w:rPr>
        <w:t xml:space="preserve">an </w:t>
      </w:r>
      <w:r w:rsidR="0088090B">
        <w:rPr>
          <w:rFonts w:ascii="Times New Roman" w:hAnsi="Times New Roman" w:cs="Times New Roman"/>
          <w:sz w:val="24"/>
          <w:szCs w:val="24"/>
        </w:rPr>
        <w:t xml:space="preserve">SLHC by </w:t>
      </w:r>
      <w:r w:rsidR="002A188E">
        <w:rPr>
          <w:rFonts w:ascii="Times New Roman" w:hAnsi="Times New Roman" w:cs="Times New Roman"/>
          <w:sz w:val="24"/>
          <w:szCs w:val="24"/>
        </w:rPr>
        <w:t>its</w:t>
      </w:r>
      <w:r w:rsidR="00790AB5">
        <w:rPr>
          <w:rFonts w:ascii="Times New Roman" w:hAnsi="Times New Roman" w:cs="Times New Roman"/>
          <w:sz w:val="24"/>
          <w:szCs w:val="24"/>
        </w:rPr>
        <w:t xml:space="preserve"> subsidiary </w:t>
      </w:r>
      <w:r w:rsidR="0088090B">
        <w:rPr>
          <w:rFonts w:ascii="Times New Roman" w:hAnsi="Times New Roman" w:cs="Times New Roman"/>
          <w:sz w:val="24"/>
          <w:szCs w:val="24"/>
        </w:rPr>
        <w:t xml:space="preserve">savings association.  </w:t>
      </w:r>
    </w:p>
    <w:p w:rsidR="00021D5D" w:rsidRDefault="00021D5D" w:rsidP="00AC409C">
      <w:pPr>
        <w:pStyle w:val="NormalWeb"/>
        <w:spacing w:after="0"/>
        <w:rPr>
          <w:rFonts w:ascii="Times New Roman" w:hAnsi="Times New Roman" w:cs="Times New Roman"/>
          <w:color w:val="000000"/>
        </w:rPr>
      </w:pPr>
    </w:p>
    <w:p w:rsidR="00D1407C" w:rsidRDefault="00DC7BDD">
      <w:pPr>
        <w:pStyle w:val="NormalWeb"/>
        <w:spacing w:after="0"/>
        <w:ind w:firstLine="720"/>
        <w:rPr>
          <w:rFonts w:ascii="Times New Roman" w:hAnsi="Times New Roman" w:cs="Times New Roman"/>
        </w:rPr>
      </w:pPr>
      <w:r>
        <w:rPr>
          <w:rFonts w:ascii="Times New Roman" w:hAnsi="Times New Roman" w:cs="Times New Roman"/>
          <w:color w:val="000000"/>
        </w:rPr>
        <w:lastRenderedPageBreak/>
        <w:t>After considering public comments received on a notice of intent</w:t>
      </w:r>
      <w:r w:rsidR="008D336D">
        <w:rPr>
          <w:rFonts w:ascii="Times New Roman" w:hAnsi="Times New Roman" w:cs="Times New Roman"/>
          <w:color w:val="000000"/>
        </w:rPr>
        <w:t xml:space="preserve"> (NOI)</w:t>
      </w:r>
      <w:r w:rsidR="00676DAD" w:rsidRPr="00676DAD">
        <w:rPr>
          <w:rStyle w:val="FootnoteReference"/>
          <w:rFonts w:ascii="Times New Roman" w:hAnsi="Times New Roman" w:cs="Times New Roman"/>
          <w:color w:val="000000"/>
          <w:vertAlign w:val="superscript"/>
        </w:rPr>
        <w:footnoteReference w:id="4"/>
      </w:r>
      <w:r>
        <w:rPr>
          <w:rFonts w:ascii="Times New Roman" w:hAnsi="Times New Roman" w:cs="Times New Roman"/>
          <w:color w:val="000000"/>
        </w:rPr>
        <w:t xml:space="preserve">, the Federal Reserve published an initial </w:t>
      </w:r>
      <w:r w:rsidRPr="0060230C">
        <w:rPr>
          <w:rFonts w:ascii="Times New Roman" w:hAnsi="Times New Roman" w:cs="Times New Roman"/>
          <w:i/>
          <w:color w:val="000000"/>
        </w:rPr>
        <w:t>Federal Register</w:t>
      </w:r>
      <w:r>
        <w:rPr>
          <w:rFonts w:ascii="Times New Roman" w:hAnsi="Times New Roman" w:cs="Times New Roman"/>
          <w:color w:val="000000"/>
        </w:rPr>
        <w:t xml:space="preserve"> notice on August  </w:t>
      </w:r>
      <w:r w:rsidR="00B36D48">
        <w:rPr>
          <w:rFonts w:ascii="Times New Roman" w:hAnsi="Times New Roman" w:cs="Times New Roman"/>
          <w:color w:val="000000"/>
        </w:rPr>
        <w:t xml:space="preserve">25, </w:t>
      </w:r>
      <w:r>
        <w:rPr>
          <w:rFonts w:ascii="Times New Roman" w:hAnsi="Times New Roman" w:cs="Times New Roman"/>
          <w:color w:val="000000"/>
        </w:rPr>
        <w:t xml:space="preserve">2011, seeking public comment on a proposal that would require most SLHCs to submit the same reports as </w:t>
      </w:r>
      <w:r w:rsidR="00DB29BF">
        <w:rPr>
          <w:rFonts w:ascii="Times New Roman" w:hAnsi="Times New Roman" w:cs="Times New Roman"/>
          <w:color w:val="000000"/>
        </w:rPr>
        <w:t>bank holding companies (</w:t>
      </w:r>
      <w:r>
        <w:rPr>
          <w:rFonts w:ascii="Times New Roman" w:hAnsi="Times New Roman" w:cs="Times New Roman"/>
          <w:color w:val="000000"/>
        </w:rPr>
        <w:t>BHCs</w:t>
      </w:r>
      <w:r w:rsidR="00DB29BF">
        <w:rPr>
          <w:rFonts w:ascii="Times New Roman" w:hAnsi="Times New Roman" w:cs="Times New Roman"/>
          <w:color w:val="000000"/>
        </w:rPr>
        <w:t>)</w:t>
      </w:r>
      <w:r>
        <w:rPr>
          <w:rFonts w:ascii="Times New Roman" w:hAnsi="Times New Roman" w:cs="Times New Roman"/>
          <w:color w:val="000000"/>
        </w:rPr>
        <w:t xml:space="preserve"> beginning with the March 31, 2012, reporting period.</w:t>
      </w:r>
      <w:r w:rsidR="00142AC6">
        <w:rPr>
          <w:rFonts w:ascii="Times New Roman" w:hAnsi="Times New Roman" w:cs="Times New Roman"/>
          <w:color w:val="000000"/>
        </w:rPr>
        <w:t xml:space="preserve">  Upon review of comments received on the initial </w:t>
      </w:r>
      <w:r w:rsidR="000707BE" w:rsidRPr="000707BE">
        <w:rPr>
          <w:rFonts w:ascii="Times New Roman" w:hAnsi="Times New Roman" w:cs="Times New Roman"/>
          <w:i/>
          <w:color w:val="000000"/>
        </w:rPr>
        <w:t>Federal Register</w:t>
      </w:r>
      <w:r w:rsidR="00142AC6">
        <w:rPr>
          <w:rFonts w:ascii="Times New Roman" w:hAnsi="Times New Roman" w:cs="Times New Roman"/>
          <w:color w:val="000000"/>
        </w:rPr>
        <w:t xml:space="preserve"> notice, the Federal Reserve issued a final notice on December 23, 2011</w:t>
      </w:r>
      <w:r w:rsidR="00BF1CD7">
        <w:rPr>
          <w:rFonts w:ascii="Times New Roman" w:hAnsi="Times New Roman" w:cs="Times New Roman"/>
          <w:color w:val="000000"/>
        </w:rPr>
        <w:t>,</w:t>
      </w:r>
      <w:r w:rsidR="00142AC6">
        <w:rPr>
          <w:rFonts w:ascii="Times New Roman" w:hAnsi="Times New Roman" w:cs="Times New Roman"/>
          <w:color w:val="000000"/>
        </w:rPr>
        <w:t xml:space="preserve"> which</w:t>
      </w:r>
      <w:r>
        <w:rPr>
          <w:rFonts w:ascii="Times New Roman" w:hAnsi="Times New Roman" w:cs="Times New Roman"/>
          <w:color w:val="000000"/>
        </w:rPr>
        <w:t xml:space="preserve">, in part, </w:t>
      </w:r>
      <w:r>
        <w:rPr>
          <w:rFonts w:ascii="Times New Roman" w:hAnsi="Times New Roman" w:cs="Times New Roman"/>
        </w:rPr>
        <w:t>exempt</w:t>
      </w:r>
      <w:r w:rsidR="00142AC6">
        <w:rPr>
          <w:rFonts w:ascii="Times New Roman" w:hAnsi="Times New Roman" w:cs="Times New Roman"/>
        </w:rPr>
        <w:t>s</w:t>
      </w:r>
      <w:r>
        <w:rPr>
          <w:rFonts w:ascii="Times New Roman" w:hAnsi="Times New Roman" w:cs="Times New Roman"/>
        </w:rPr>
        <w:t xml:space="preserve"> a limited number of SLHCs from initial regulatory reporting using the </w:t>
      </w:r>
      <w:r w:rsidR="00BF1CD7">
        <w:rPr>
          <w:rFonts w:ascii="Times New Roman" w:hAnsi="Times New Roman" w:cs="Times New Roman"/>
        </w:rPr>
        <w:t xml:space="preserve">existing </w:t>
      </w:r>
      <w:r>
        <w:rPr>
          <w:rFonts w:ascii="Times New Roman" w:hAnsi="Times New Roman" w:cs="Times New Roman"/>
        </w:rPr>
        <w:t xml:space="preserve">Federal Reserve regulatory reports and </w:t>
      </w:r>
      <w:r w:rsidR="009A5143">
        <w:rPr>
          <w:rFonts w:ascii="Times New Roman" w:hAnsi="Times New Roman" w:cs="Times New Roman"/>
        </w:rPr>
        <w:t>provide</w:t>
      </w:r>
      <w:r w:rsidR="00142AC6">
        <w:rPr>
          <w:rFonts w:ascii="Times New Roman" w:hAnsi="Times New Roman" w:cs="Times New Roman"/>
        </w:rPr>
        <w:t>s</w:t>
      </w:r>
      <w:r w:rsidR="009A5143">
        <w:rPr>
          <w:rFonts w:ascii="Times New Roman" w:hAnsi="Times New Roman" w:cs="Times New Roman"/>
        </w:rPr>
        <w:t xml:space="preserve"> </w:t>
      </w:r>
      <w:r w:rsidRPr="00B370BE">
        <w:rPr>
          <w:rFonts w:ascii="Times New Roman" w:hAnsi="Times New Roman" w:cs="Times New Roman"/>
        </w:rPr>
        <w:t xml:space="preserve">a </w:t>
      </w:r>
      <w:r>
        <w:rPr>
          <w:rFonts w:ascii="Times New Roman" w:hAnsi="Times New Roman" w:cs="Times New Roman"/>
        </w:rPr>
        <w:t>two</w:t>
      </w:r>
      <w:r w:rsidR="003278E1">
        <w:rPr>
          <w:rFonts w:ascii="Times New Roman" w:hAnsi="Times New Roman" w:cs="Times New Roman"/>
        </w:rPr>
        <w:t>-</w:t>
      </w:r>
      <w:r>
        <w:rPr>
          <w:rFonts w:ascii="Times New Roman" w:hAnsi="Times New Roman" w:cs="Times New Roman"/>
        </w:rPr>
        <w:t xml:space="preserve">year </w:t>
      </w:r>
      <w:r w:rsidRPr="00B370BE">
        <w:rPr>
          <w:rFonts w:ascii="Times New Roman" w:hAnsi="Times New Roman" w:cs="Times New Roman"/>
        </w:rPr>
        <w:t xml:space="preserve">phase-in </w:t>
      </w:r>
      <w:r>
        <w:rPr>
          <w:rFonts w:ascii="Times New Roman" w:hAnsi="Times New Roman" w:cs="Times New Roman"/>
        </w:rPr>
        <w:t xml:space="preserve">for regulatory reporting for all other SLHCs beginning </w:t>
      </w:r>
      <w:r w:rsidR="00BF1CD7">
        <w:rPr>
          <w:rFonts w:ascii="Times New Roman" w:hAnsi="Times New Roman" w:cs="Times New Roman"/>
        </w:rPr>
        <w:t xml:space="preserve">in </w:t>
      </w:r>
      <w:r>
        <w:rPr>
          <w:rFonts w:ascii="Times New Roman" w:hAnsi="Times New Roman" w:cs="Times New Roman"/>
        </w:rPr>
        <w:t>first quarter 2012.</w:t>
      </w:r>
      <w:r>
        <w:rPr>
          <w:rFonts w:ascii="Times New Roman" w:hAnsi="Times New Roman" w:cs="Times New Roman"/>
          <w:color w:val="000000"/>
        </w:rPr>
        <w:t xml:space="preserve">  </w:t>
      </w:r>
      <w:r w:rsidR="0060230C">
        <w:rPr>
          <w:rFonts w:ascii="Times New Roman" w:hAnsi="Times New Roman" w:cs="Times New Roman"/>
        </w:rPr>
        <w:t xml:space="preserve"> </w:t>
      </w:r>
    </w:p>
    <w:p w:rsidR="00D1407C" w:rsidRDefault="00D1407C">
      <w:pPr>
        <w:pStyle w:val="NormalWeb"/>
        <w:spacing w:after="0"/>
        <w:ind w:firstLine="720"/>
        <w:rPr>
          <w:rFonts w:ascii="Times New Roman" w:hAnsi="Times New Roman" w:cs="Times New Roman"/>
        </w:rPr>
      </w:pPr>
    </w:p>
    <w:p w:rsidR="00D1407C" w:rsidRDefault="00463E86">
      <w:pPr>
        <w:pStyle w:val="NormalWeb"/>
        <w:spacing w:after="0"/>
        <w:rPr>
          <w:rFonts w:ascii="Times New Roman" w:hAnsi="Times New Roman"/>
        </w:rPr>
      </w:pPr>
      <w:r w:rsidRPr="0047151A">
        <w:rPr>
          <w:rFonts w:ascii="Times New Roman" w:hAnsi="Times New Roman" w:cs="Times New Roman"/>
        </w:rPr>
        <w:tab/>
      </w:r>
      <w:r w:rsidR="002C062D">
        <w:rPr>
          <w:rFonts w:ascii="Times New Roman" w:hAnsi="Times New Roman"/>
        </w:rPr>
        <w:t xml:space="preserve"> Since</w:t>
      </w:r>
      <w:r w:rsidR="006E63B4">
        <w:rPr>
          <w:rFonts w:ascii="Times New Roman" w:hAnsi="Times New Roman"/>
        </w:rPr>
        <w:t xml:space="preserve"> t</w:t>
      </w:r>
      <w:r w:rsidR="006E63B4" w:rsidRPr="00A33182">
        <w:rPr>
          <w:rFonts w:ascii="Times New Roman" w:hAnsi="Times New Roman"/>
        </w:rPr>
        <w:t xml:space="preserve">he agencies </w:t>
      </w:r>
      <w:r w:rsidR="00A216DE">
        <w:rPr>
          <w:rFonts w:ascii="Times New Roman" w:hAnsi="Times New Roman"/>
        </w:rPr>
        <w:t>eliminat</w:t>
      </w:r>
      <w:r w:rsidR="00BF1CD7">
        <w:rPr>
          <w:rFonts w:ascii="Times New Roman" w:hAnsi="Times New Roman"/>
        </w:rPr>
        <w:t>ed</w:t>
      </w:r>
      <w:r w:rsidR="00A216DE">
        <w:rPr>
          <w:rFonts w:ascii="Times New Roman" w:hAnsi="Times New Roman"/>
        </w:rPr>
        <w:t xml:space="preserve"> </w:t>
      </w:r>
      <w:r w:rsidR="006E63B4">
        <w:rPr>
          <w:rFonts w:ascii="Times New Roman" w:hAnsi="Times New Roman"/>
        </w:rPr>
        <w:t xml:space="preserve">the TFR </w:t>
      </w:r>
      <w:r w:rsidR="00A216DE">
        <w:rPr>
          <w:rFonts w:ascii="Times New Roman" w:hAnsi="Times New Roman"/>
        </w:rPr>
        <w:t>after the December 31, 2011</w:t>
      </w:r>
      <w:r w:rsidR="009C6CA8">
        <w:rPr>
          <w:rFonts w:ascii="Times New Roman" w:hAnsi="Times New Roman"/>
        </w:rPr>
        <w:t>,</w:t>
      </w:r>
      <w:r w:rsidR="00A216DE">
        <w:rPr>
          <w:rFonts w:ascii="Times New Roman" w:hAnsi="Times New Roman"/>
        </w:rPr>
        <w:t xml:space="preserve"> report date</w:t>
      </w:r>
      <w:r w:rsidR="00953BB4">
        <w:rPr>
          <w:rFonts w:ascii="Times New Roman" w:hAnsi="Times New Roman"/>
        </w:rPr>
        <w:t xml:space="preserve">, </w:t>
      </w:r>
      <w:r w:rsidR="0037697B">
        <w:rPr>
          <w:rFonts w:ascii="Times New Roman" w:hAnsi="Times New Roman"/>
        </w:rPr>
        <w:t xml:space="preserve">the Federal Reserve </w:t>
      </w:r>
      <w:r w:rsidR="006E63B4">
        <w:rPr>
          <w:rFonts w:ascii="Times New Roman" w:hAnsi="Times New Roman" w:cs="Times New Roman"/>
        </w:rPr>
        <w:t xml:space="preserve">proposes to </w:t>
      </w:r>
      <w:r w:rsidR="00BF1CD7">
        <w:rPr>
          <w:rFonts w:ascii="Times New Roman" w:hAnsi="Times New Roman" w:cs="Times New Roman"/>
        </w:rPr>
        <w:t xml:space="preserve">implement </w:t>
      </w:r>
      <w:r w:rsidR="0060230C">
        <w:rPr>
          <w:rFonts w:ascii="Times New Roman" w:hAnsi="Times New Roman" w:cs="Times New Roman"/>
        </w:rPr>
        <w:t>the FR 2320</w:t>
      </w:r>
      <w:r w:rsidR="006E63B4">
        <w:rPr>
          <w:rFonts w:ascii="Times New Roman" w:hAnsi="Times New Roman" w:cs="Times New Roman"/>
        </w:rPr>
        <w:t xml:space="preserve"> </w:t>
      </w:r>
      <w:r w:rsidR="00385E94">
        <w:rPr>
          <w:rFonts w:ascii="Times New Roman" w:hAnsi="Times New Roman" w:cs="Times New Roman"/>
        </w:rPr>
        <w:t xml:space="preserve">effective </w:t>
      </w:r>
      <w:r w:rsidR="00A216DE">
        <w:rPr>
          <w:rFonts w:ascii="Times New Roman" w:hAnsi="Times New Roman" w:cs="Times New Roman"/>
        </w:rPr>
        <w:t xml:space="preserve">for the </w:t>
      </w:r>
      <w:r w:rsidR="00385E94">
        <w:rPr>
          <w:rFonts w:ascii="Times New Roman" w:hAnsi="Times New Roman" w:cs="Times New Roman"/>
        </w:rPr>
        <w:t xml:space="preserve">March 31, 2012, </w:t>
      </w:r>
      <w:r w:rsidR="00A216DE">
        <w:rPr>
          <w:rFonts w:ascii="Times New Roman" w:hAnsi="Times New Roman" w:cs="Times New Roman"/>
        </w:rPr>
        <w:t>report date</w:t>
      </w:r>
      <w:r w:rsidR="00DC7BDD">
        <w:rPr>
          <w:rFonts w:ascii="Times New Roman" w:hAnsi="Times New Roman" w:cs="Times New Roman"/>
        </w:rPr>
        <w:t xml:space="preserve">.  </w:t>
      </w:r>
      <w:r w:rsidR="00BF1CD7">
        <w:rPr>
          <w:rFonts w:ascii="Times New Roman" w:hAnsi="Times New Roman" w:cs="Times New Roman"/>
        </w:rPr>
        <w:t>The FR 2320 would collect the same information previously reported on Schedule HC of the TFR from</w:t>
      </w:r>
      <w:r w:rsidR="00BF1CD7" w:rsidRPr="0047151A">
        <w:rPr>
          <w:rFonts w:ascii="Times New Roman" w:hAnsi="Times New Roman" w:cs="Times New Roman"/>
        </w:rPr>
        <w:t xml:space="preserve"> exempt SLHCs</w:t>
      </w:r>
      <w:r w:rsidR="00BF1CD7">
        <w:rPr>
          <w:rFonts w:ascii="Times New Roman" w:hAnsi="Times New Roman" w:cs="Times New Roman"/>
        </w:rPr>
        <w:t xml:space="preserve">.  </w:t>
      </w:r>
      <w:r w:rsidR="009C6CA8">
        <w:rPr>
          <w:rFonts w:ascii="Times New Roman" w:hAnsi="Times New Roman" w:cs="Times New Roman"/>
        </w:rPr>
        <w:t xml:space="preserve">These data are needed on a continuing basis from exempt SLHCs since they would not be </w:t>
      </w:r>
      <w:r w:rsidR="00DB29BF">
        <w:rPr>
          <w:rFonts w:ascii="Times New Roman" w:hAnsi="Times New Roman" w:cs="Times New Roman"/>
        </w:rPr>
        <w:t xml:space="preserve">initially </w:t>
      </w:r>
      <w:r w:rsidR="009C6CA8">
        <w:rPr>
          <w:rFonts w:ascii="Times New Roman" w:hAnsi="Times New Roman" w:cs="Times New Roman"/>
        </w:rPr>
        <w:t xml:space="preserve">required to </w:t>
      </w:r>
      <w:r w:rsidR="00BF1CD7">
        <w:rPr>
          <w:rFonts w:ascii="Times New Roman" w:hAnsi="Times New Roman" w:cs="Times New Roman"/>
        </w:rPr>
        <w:t xml:space="preserve">submit data using the existing </w:t>
      </w:r>
      <w:r w:rsidR="009C6CA8">
        <w:rPr>
          <w:rFonts w:ascii="Times New Roman" w:hAnsi="Times New Roman" w:cs="Times New Roman"/>
        </w:rPr>
        <w:t xml:space="preserve">Federal Reserve regulatory reports.  </w:t>
      </w:r>
      <w:r w:rsidR="009A5143">
        <w:rPr>
          <w:rFonts w:ascii="Times New Roman" w:hAnsi="Times New Roman" w:cs="Times New Roman"/>
        </w:rPr>
        <w:t xml:space="preserve">  </w:t>
      </w:r>
    </w:p>
    <w:p w:rsidR="00DB29BF" w:rsidRDefault="00DB29BF">
      <w:pPr>
        <w:pStyle w:val="NormalWeb"/>
        <w:spacing w:after="0"/>
        <w:ind w:firstLine="720"/>
        <w:rPr>
          <w:rFonts w:ascii="Times New Roman" w:hAnsi="Times New Roman"/>
        </w:rPr>
      </w:pPr>
    </w:p>
    <w:p w:rsidR="00D1407C" w:rsidRDefault="002C13B2">
      <w:pPr>
        <w:pStyle w:val="NormalWeb"/>
        <w:spacing w:after="0"/>
        <w:ind w:firstLine="720"/>
        <w:rPr>
          <w:rFonts w:ascii="Times New Roman" w:hAnsi="Times New Roman" w:cs="Times New Roman"/>
        </w:rPr>
      </w:pPr>
      <w:r>
        <w:rPr>
          <w:rFonts w:ascii="Times New Roman" w:hAnsi="Times New Roman"/>
        </w:rPr>
        <w:t xml:space="preserve">These </w:t>
      </w:r>
      <w:r w:rsidR="00816A61" w:rsidRPr="00816A61">
        <w:rPr>
          <w:rFonts w:ascii="Times New Roman" w:hAnsi="Times New Roman"/>
          <w:color w:val="000000"/>
        </w:rPr>
        <w:t xml:space="preserve">data </w:t>
      </w:r>
      <w:r>
        <w:rPr>
          <w:rFonts w:ascii="Times New Roman" w:hAnsi="Times New Roman"/>
          <w:color w:val="000000"/>
        </w:rPr>
        <w:t>would</w:t>
      </w:r>
      <w:r w:rsidR="00816A61" w:rsidRPr="00816A61">
        <w:rPr>
          <w:rFonts w:ascii="Times New Roman" w:hAnsi="Times New Roman"/>
          <w:color w:val="000000"/>
        </w:rPr>
        <w:t xml:space="preserve"> assist the </w:t>
      </w:r>
      <w:r>
        <w:rPr>
          <w:rFonts w:ascii="Times New Roman" w:hAnsi="Times New Roman"/>
          <w:color w:val="000000"/>
        </w:rPr>
        <w:t>Federal Reserve</w:t>
      </w:r>
      <w:r w:rsidR="00816A61" w:rsidRPr="00816A61">
        <w:rPr>
          <w:rFonts w:ascii="Times New Roman" w:hAnsi="Times New Roman"/>
          <w:color w:val="000000"/>
        </w:rPr>
        <w:t xml:space="preserve"> in the evaluation of a diversified holding company</w:t>
      </w:r>
      <w:r w:rsidR="00241767">
        <w:rPr>
          <w:rFonts w:ascii="Times New Roman" w:hAnsi="Times New Roman"/>
          <w:color w:val="000000"/>
        </w:rPr>
        <w:t xml:space="preserve"> and</w:t>
      </w:r>
      <w:r w:rsidR="00816A61" w:rsidRPr="00816A61">
        <w:rPr>
          <w:rFonts w:ascii="Times New Roman" w:hAnsi="Times New Roman"/>
          <w:color w:val="000000"/>
        </w:rPr>
        <w:t xml:space="preserve"> in determining whether an institution is in compliance with applicable laws and regulations.  </w:t>
      </w:r>
      <w:r w:rsidR="003278E1">
        <w:rPr>
          <w:rFonts w:ascii="Times New Roman" w:hAnsi="Times New Roman"/>
          <w:color w:val="000000"/>
        </w:rPr>
        <w:t xml:space="preserve">Data collected </w:t>
      </w:r>
      <w:r w:rsidR="00BF1CD7">
        <w:rPr>
          <w:rFonts w:ascii="Times New Roman" w:hAnsi="Times New Roman"/>
          <w:color w:val="000000"/>
        </w:rPr>
        <w:t xml:space="preserve">on </w:t>
      </w:r>
      <w:r w:rsidR="003278E1">
        <w:rPr>
          <w:rFonts w:ascii="Times New Roman" w:hAnsi="Times New Roman"/>
          <w:color w:val="000000"/>
        </w:rPr>
        <w:t>t</w:t>
      </w:r>
      <w:r>
        <w:rPr>
          <w:rFonts w:ascii="Times New Roman" w:hAnsi="Times New Roman"/>
          <w:color w:val="000000"/>
        </w:rPr>
        <w:t xml:space="preserve">he proposed FR 2320 would </w:t>
      </w:r>
      <w:r w:rsidR="00C23E3B">
        <w:rPr>
          <w:rFonts w:ascii="Times New Roman" w:hAnsi="Times New Roman"/>
          <w:color w:val="000000"/>
        </w:rPr>
        <w:t>contribute to the analyses of</w:t>
      </w:r>
      <w:r>
        <w:rPr>
          <w:rFonts w:ascii="Times New Roman" w:hAnsi="Times New Roman"/>
          <w:color w:val="000000"/>
        </w:rPr>
        <w:t xml:space="preserve"> the overall financial condition of exempt SLHCs to ensure safe and sound operations.  </w:t>
      </w:r>
    </w:p>
    <w:p w:rsidR="00527FC7" w:rsidRPr="0047151A" w:rsidRDefault="00527FC7" w:rsidP="00AC409C">
      <w:pPr>
        <w:pStyle w:val="NormalWeb"/>
        <w:spacing w:after="0"/>
        <w:rPr>
          <w:rFonts w:ascii="Times New Roman" w:hAnsi="Times New Roman" w:cs="Times New Roman"/>
          <w:color w:val="000000"/>
        </w:rPr>
      </w:pPr>
    </w:p>
    <w:p w:rsidR="00021D5D" w:rsidRPr="0047151A" w:rsidRDefault="00021D5D" w:rsidP="00021D5D">
      <w:pPr>
        <w:rPr>
          <w:rFonts w:ascii="Times New Roman" w:hAnsi="Times New Roman" w:cs="Times New Roman"/>
          <w:sz w:val="24"/>
          <w:szCs w:val="24"/>
        </w:rPr>
      </w:pPr>
      <w:r w:rsidRPr="0047151A">
        <w:rPr>
          <w:rFonts w:ascii="Times New Roman" w:hAnsi="Times New Roman" w:cs="Times New Roman"/>
          <w:b/>
          <w:bCs/>
          <w:sz w:val="24"/>
          <w:szCs w:val="24"/>
        </w:rPr>
        <w:t>Description of Information Collection</w:t>
      </w:r>
    </w:p>
    <w:p w:rsidR="006A6B67" w:rsidRPr="0047151A" w:rsidRDefault="00C744F3" w:rsidP="006A6B67">
      <w:pPr>
        <w:pStyle w:val="Heading1"/>
        <w:rPr>
          <w:rFonts w:ascii="Times New Roman" w:hAnsi="Times New Roman" w:cs="Times New Roman"/>
          <w:bCs/>
        </w:rPr>
      </w:pPr>
      <w:r w:rsidRPr="0047151A">
        <w:rPr>
          <w:rFonts w:ascii="Times New Roman" w:hAnsi="Times New Roman" w:cs="Times New Roman"/>
          <w:bCs/>
        </w:rPr>
        <w:tab/>
      </w:r>
    </w:p>
    <w:p w:rsidR="0047151A" w:rsidRDefault="006A6B67" w:rsidP="00527FC7">
      <w:pPr>
        <w:widowControl/>
        <w:rPr>
          <w:rFonts w:ascii="Verdana" w:hAnsi="Verdana"/>
          <w:color w:val="000000"/>
          <w:sz w:val="18"/>
          <w:szCs w:val="18"/>
        </w:rPr>
      </w:pPr>
      <w:r w:rsidRPr="0047151A">
        <w:rPr>
          <w:rFonts w:ascii="Times New Roman" w:hAnsi="Times New Roman" w:cs="Times New Roman"/>
          <w:bCs/>
          <w:sz w:val="24"/>
          <w:szCs w:val="24"/>
        </w:rPr>
        <w:tab/>
      </w:r>
      <w:r w:rsidR="00F756BD">
        <w:rPr>
          <w:rFonts w:ascii="Times New Roman" w:hAnsi="Times New Roman" w:cs="Times New Roman"/>
          <w:bCs/>
          <w:sz w:val="24"/>
          <w:szCs w:val="24"/>
        </w:rPr>
        <w:t xml:space="preserve">The </w:t>
      </w:r>
      <w:r w:rsidR="005703E3">
        <w:rPr>
          <w:rFonts w:ascii="Times New Roman" w:hAnsi="Times New Roman" w:cs="Times New Roman"/>
          <w:bCs/>
          <w:sz w:val="24"/>
          <w:szCs w:val="24"/>
        </w:rPr>
        <w:t>TFR</w:t>
      </w:r>
      <w:r w:rsidR="00F756BD">
        <w:rPr>
          <w:rFonts w:ascii="Times New Roman" w:hAnsi="Times New Roman" w:cs="Times New Roman"/>
          <w:sz w:val="24"/>
          <w:szCs w:val="24"/>
        </w:rPr>
        <w:t xml:space="preserve"> contain</w:t>
      </w:r>
      <w:r w:rsidR="00BF1CD7">
        <w:rPr>
          <w:rFonts w:ascii="Times New Roman" w:hAnsi="Times New Roman" w:cs="Times New Roman"/>
          <w:sz w:val="24"/>
          <w:szCs w:val="24"/>
        </w:rPr>
        <w:t>ed</w:t>
      </w:r>
      <w:r w:rsidR="00F756BD">
        <w:rPr>
          <w:rFonts w:ascii="Times New Roman" w:hAnsi="Times New Roman" w:cs="Times New Roman"/>
          <w:sz w:val="24"/>
          <w:szCs w:val="24"/>
        </w:rPr>
        <w:t xml:space="preserve"> </w:t>
      </w:r>
      <w:r w:rsidR="001766ED">
        <w:rPr>
          <w:rFonts w:ascii="Times New Roman" w:hAnsi="Times New Roman" w:cs="Times New Roman"/>
          <w:sz w:val="24"/>
          <w:szCs w:val="24"/>
        </w:rPr>
        <w:t xml:space="preserve">17 </w:t>
      </w:r>
      <w:r w:rsidR="00F756BD">
        <w:rPr>
          <w:rFonts w:ascii="Times New Roman" w:hAnsi="Times New Roman" w:cs="Times New Roman"/>
          <w:sz w:val="24"/>
          <w:szCs w:val="24"/>
        </w:rPr>
        <w:t xml:space="preserve">schedules including </w:t>
      </w:r>
      <w:r w:rsidR="00F756BD" w:rsidRPr="0047151A">
        <w:rPr>
          <w:rFonts w:ascii="Times New Roman" w:hAnsi="Times New Roman" w:cs="Times New Roman"/>
          <w:color w:val="000000"/>
          <w:sz w:val="24"/>
          <w:szCs w:val="24"/>
        </w:rPr>
        <w:t>Schedule HC</w:t>
      </w:r>
      <w:r w:rsidR="00F756BD">
        <w:rPr>
          <w:rFonts w:ascii="Times New Roman" w:hAnsi="Times New Roman" w:cs="Times New Roman"/>
          <w:color w:val="000000"/>
          <w:sz w:val="24"/>
          <w:szCs w:val="24"/>
        </w:rPr>
        <w:t xml:space="preserve">. </w:t>
      </w:r>
      <w:r w:rsidR="00F756BD" w:rsidRPr="0047151A">
        <w:rPr>
          <w:rFonts w:ascii="Times New Roman" w:hAnsi="Times New Roman" w:cs="Times New Roman"/>
          <w:color w:val="000000"/>
          <w:sz w:val="24"/>
          <w:szCs w:val="24"/>
        </w:rPr>
        <w:t xml:space="preserve"> </w:t>
      </w:r>
      <w:r w:rsidR="00CB30A5">
        <w:rPr>
          <w:rFonts w:ascii="Times New Roman" w:hAnsi="Times New Roman" w:cs="Times New Roman"/>
          <w:bCs/>
          <w:sz w:val="24"/>
          <w:szCs w:val="24"/>
        </w:rPr>
        <w:t>Schedule HC was completed on a quarterly basis by a s</w:t>
      </w:r>
      <w:r w:rsidR="0047151A">
        <w:rPr>
          <w:rFonts w:ascii="Times New Roman" w:hAnsi="Times New Roman" w:cs="Times New Roman"/>
          <w:bCs/>
          <w:sz w:val="24"/>
          <w:szCs w:val="24"/>
        </w:rPr>
        <w:t xml:space="preserve">aving </w:t>
      </w:r>
      <w:r w:rsidR="00F756BD">
        <w:rPr>
          <w:rFonts w:ascii="Times New Roman" w:hAnsi="Times New Roman" w:cs="Times New Roman"/>
          <w:bCs/>
          <w:sz w:val="24"/>
          <w:szCs w:val="24"/>
        </w:rPr>
        <w:t>association</w:t>
      </w:r>
      <w:r w:rsidR="0047151A">
        <w:rPr>
          <w:rFonts w:ascii="Times New Roman" w:hAnsi="Times New Roman" w:cs="Times New Roman"/>
          <w:bCs/>
          <w:sz w:val="24"/>
          <w:szCs w:val="24"/>
        </w:rPr>
        <w:t xml:space="preserve"> </w:t>
      </w:r>
      <w:r w:rsidR="00F756BD">
        <w:rPr>
          <w:rFonts w:ascii="Times New Roman" w:hAnsi="Times New Roman" w:cs="Times New Roman"/>
          <w:bCs/>
          <w:sz w:val="24"/>
          <w:szCs w:val="24"/>
        </w:rPr>
        <w:t xml:space="preserve">owned by a </w:t>
      </w:r>
      <w:r w:rsidR="0047151A">
        <w:rPr>
          <w:rFonts w:ascii="Times New Roman" w:hAnsi="Times New Roman" w:cs="Times New Roman"/>
          <w:bCs/>
          <w:sz w:val="24"/>
          <w:szCs w:val="24"/>
        </w:rPr>
        <w:t xml:space="preserve">SLHC </w:t>
      </w:r>
      <w:r w:rsidR="00CB30A5">
        <w:rPr>
          <w:rFonts w:ascii="Times New Roman" w:hAnsi="Times New Roman" w:cs="Times New Roman"/>
          <w:bCs/>
          <w:sz w:val="24"/>
          <w:szCs w:val="24"/>
        </w:rPr>
        <w:t>(</w:t>
      </w:r>
      <w:r w:rsidR="00F756BD">
        <w:rPr>
          <w:rFonts w:ascii="Times New Roman" w:hAnsi="Times New Roman" w:cs="Times New Roman"/>
          <w:bCs/>
          <w:sz w:val="24"/>
          <w:szCs w:val="24"/>
        </w:rPr>
        <w:t>on behalf of the SLHC</w:t>
      </w:r>
      <w:r w:rsidR="00CB30A5">
        <w:rPr>
          <w:rFonts w:ascii="Times New Roman" w:hAnsi="Times New Roman" w:cs="Times New Roman"/>
          <w:bCs/>
          <w:sz w:val="24"/>
          <w:szCs w:val="24"/>
        </w:rPr>
        <w:t>).</w:t>
      </w:r>
      <w:r w:rsidR="00F756BD">
        <w:rPr>
          <w:rFonts w:ascii="Times New Roman" w:hAnsi="Times New Roman" w:cs="Times New Roman"/>
          <w:bCs/>
          <w:sz w:val="24"/>
          <w:szCs w:val="24"/>
        </w:rPr>
        <w:t xml:space="preserve">.  </w:t>
      </w:r>
      <w:r w:rsidR="004543FA">
        <w:rPr>
          <w:rFonts w:ascii="Times New Roman" w:hAnsi="Times New Roman" w:cs="Times New Roman"/>
          <w:bCs/>
          <w:sz w:val="24"/>
          <w:szCs w:val="24"/>
        </w:rPr>
        <w:t xml:space="preserve">Schedule HC </w:t>
      </w:r>
      <w:r w:rsidR="00790AB5">
        <w:rPr>
          <w:rFonts w:ascii="Times New Roman" w:hAnsi="Times New Roman" w:cs="Times New Roman"/>
          <w:bCs/>
          <w:sz w:val="24"/>
          <w:szCs w:val="24"/>
        </w:rPr>
        <w:t>collect</w:t>
      </w:r>
      <w:r w:rsidR="00CB30A5">
        <w:rPr>
          <w:rFonts w:ascii="Times New Roman" w:hAnsi="Times New Roman" w:cs="Times New Roman"/>
          <w:bCs/>
          <w:sz w:val="24"/>
          <w:szCs w:val="24"/>
        </w:rPr>
        <w:t>ed</w:t>
      </w:r>
      <w:r w:rsidR="00790AB5">
        <w:rPr>
          <w:rFonts w:ascii="Times New Roman" w:hAnsi="Times New Roman" w:cs="Times New Roman"/>
          <w:bCs/>
          <w:sz w:val="24"/>
          <w:szCs w:val="24"/>
        </w:rPr>
        <w:t xml:space="preserve"> </w:t>
      </w:r>
      <w:r w:rsidR="004543FA">
        <w:rPr>
          <w:rFonts w:ascii="Times New Roman" w:hAnsi="Times New Roman" w:cs="Times New Roman"/>
          <w:bCs/>
          <w:sz w:val="24"/>
          <w:szCs w:val="24"/>
        </w:rPr>
        <w:t xml:space="preserve">select balance sheet and income statement data and supplemental </w:t>
      </w:r>
      <w:r w:rsidR="00CB71B8">
        <w:rPr>
          <w:rFonts w:ascii="Times New Roman" w:hAnsi="Times New Roman" w:cs="Times New Roman"/>
          <w:bCs/>
          <w:sz w:val="24"/>
          <w:szCs w:val="24"/>
        </w:rPr>
        <w:t>change</w:t>
      </w:r>
      <w:r w:rsidR="00790AB5">
        <w:rPr>
          <w:rFonts w:ascii="Times New Roman" w:hAnsi="Times New Roman" w:cs="Times New Roman"/>
          <w:bCs/>
          <w:sz w:val="24"/>
          <w:szCs w:val="24"/>
        </w:rPr>
        <w:t>s</w:t>
      </w:r>
      <w:r w:rsidR="00CB71B8">
        <w:rPr>
          <w:rFonts w:ascii="Times New Roman" w:hAnsi="Times New Roman" w:cs="Times New Roman"/>
          <w:bCs/>
          <w:sz w:val="24"/>
          <w:szCs w:val="24"/>
        </w:rPr>
        <w:t xml:space="preserve"> in </w:t>
      </w:r>
      <w:r w:rsidR="004543FA">
        <w:rPr>
          <w:rFonts w:ascii="Times New Roman" w:hAnsi="Times New Roman" w:cs="Times New Roman"/>
          <w:bCs/>
          <w:sz w:val="24"/>
          <w:szCs w:val="24"/>
        </w:rPr>
        <w:t xml:space="preserve">structure information.  </w:t>
      </w:r>
      <w:r w:rsidR="00E95566">
        <w:rPr>
          <w:rFonts w:ascii="Times New Roman" w:hAnsi="Times New Roman" w:cs="Times New Roman"/>
          <w:bCs/>
          <w:sz w:val="24"/>
          <w:szCs w:val="24"/>
        </w:rPr>
        <w:t>Many of the supplemental change</w:t>
      </w:r>
      <w:r w:rsidR="00790AB5">
        <w:rPr>
          <w:rFonts w:ascii="Times New Roman" w:hAnsi="Times New Roman" w:cs="Times New Roman"/>
          <w:bCs/>
          <w:sz w:val="24"/>
          <w:szCs w:val="24"/>
        </w:rPr>
        <w:t>s</w:t>
      </w:r>
      <w:r w:rsidR="00E95566">
        <w:rPr>
          <w:rFonts w:ascii="Times New Roman" w:hAnsi="Times New Roman" w:cs="Times New Roman"/>
          <w:bCs/>
          <w:sz w:val="24"/>
          <w:szCs w:val="24"/>
        </w:rPr>
        <w:t xml:space="preserve"> in structure information </w:t>
      </w:r>
      <w:r w:rsidR="00CB30A5">
        <w:rPr>
          <w:rFonts w:ascii="Times New Roman" w:hAnsi="Times New Roman" w:cs="Times New Roman"/>
          <w:bCs/>
          <w:sz w:val="24"/>
          <w:szCs w:val="24"/>
        </w:rPr>
        <w:t xml:space="preserve">were </w:t>
      </w:r>
      <w:r w:rsidR="00E95566">
        <w:rPr>
          <w:rFonts w:ascii="Times New Roman" w:hAnsi="Times New Roman" w:cs="Times New Roman"/>
          <w:bCs/>
          <w:sz w:val="24"/>
          <w:szCs w:val="24"/>
        </w:rPr>
        <w:t xml:space="preserve">held confidential.  </w:t>
      </w:r>
      <w:r w:rsidR="004543FA">
        <w:rPr>
          <w:rFonts w:ascii="Times New Roman" w:hAnsi="Times New Roman" w:cs="Times New Roman"/>
          <w:bCs/>
          <w:sz w:val="24"/>
          <w:szCs w:val="24"/>
        </w:rPr>
        <w:t xml:space="preserve">The financial portion of Schedule HC </w:t>
      </w:r>
      <w:r w:rsidR="00CB30A5">
        <w:rPr>
          <w:rFonts w:ascii="Times New Roman" w:hAnsi="Times New Roman" w:cs="Times New Roman"/>
          <w:bCs/>
          <w:sz w:val="24"/>
          <w:szCs w:val="24"/>
        </w:rPr>
        <w:t>wa</w:t>
      </w:r>
      <w:r w:rsidR="004543FA">
        <w:rPr>
          <w:rFonts w:ascii="Times New Roman" w:hAnsi="Times New Roman" w:cs="Times New Roman"/>
          <w:bCs/>
          <w:sz w:val="24"/>
          <w:szCs w:val="24"/>
        </w:rPr>
        <w:t>s reported both on a consolidated and parent only basis.</w:t>
      </w:r>
      <w:r w:rsidR="00CB71B8">
        <w:rPr>
          <w:rFonts w:ascii="Times New Roman" w:hAnsi="Times New Roman" w:cs="Times New Roman"/>
          <w:bCs/>
          <w:sz w:val="24"/>
          <w:szCs w:val="24"/>
        </w:rPr>
        <w:t xml:space="preserve">  </w:t>
      </w:r>
      <w:r w:rsidR="00692D2F" w:rsidRPr="00692D2F">
        <w:rPr>
          <w:rFonts w:ascii="Times New Roman" w:hAnsi="Times New Roman" w:cs="Times New Roman"/>
          <w:sz w:val="24"/>
          <w:szCs w:val="24"/>
        </w:rPr>
        <w:t xml:space="preserve">Schedule HC </w:t>
      </w:r>
      <w:r w:rsidR="00CB30A5">
        <w:rPr>
          <w:rFonts w:ascii="Times New Roman" w:hAnsi="Times New Roman" w:cs="Times New Roman"/>
          <w:sz w:val="24"/>
          <w:szCs w:val="24"/>
        </w:rPr>
        <w:t xml:space="preserve">was </w:t>
      </w:r>
      <w:r w:rsidR="006D266D">
        <w:rPr>
          <w:rFonts w:ascii="Times New Roman" w:hAnsi="Times New Roman" w:cs="Times New Roman"/>
          <w:sz w:val="24"/>
          <w:szCs w:val="24"/>
        </w:rPr>
        <w:t xml:space="preserve">generally </w:t>
      </w:r>
      <w:r w:rsidR="00692D2F" w:rsidRPr="00692D2F">
        <w:rPr>
          <w:rFonts w:ascii="Times New Roman" w:hAnsi="Times New Roman" w:cs="Times New Roman"/>
          <w:sz w:val="24"/>
          <w:szCs w:val="24"/>
        </w:rPr>
        <w:t xml:space="preserve">filed by </w:t>
      </w:r>
      <w:r w:rsidR="006D266D">
        <w:rPr>
          <w:rFonts w:ascii="Times New Roman" w:hAnsi="Times New Roman" w:cs="Times New Roman"/>
          <w:sz w:val="24"/>
          <w:szCs w:val="24"/>
        </w:rPr>
        <w:t xml:space="preserve">the </w:t>
      </w:r>
      <w:r w:rsidR="00692D2F" w:rsidRPr="00692D2F">
        <w:rPr>
          <w:rFonts w:ascii="Times New Roman" w:hAnsi="Times New Roman" w:cs="Times New Roman"/>
          <w:sz w:val="24"/>
          <w:szCs w:val="24"/>
        </w:rPr>
        <w:t>top</w:t>
      </w:r>
      <w:r w:rsidR="006D266D">
        <w:rPr>
          <w:rFonts w:ascii="Times New Roman" w:hAnsi="Times New Roman" w:cs="Times New Roman"/>
          <w:sz w:val="24"/>
          <w:szCs w:val="24"/>
        </w:rPr>
        <w:t>-</w:t>
      </w:r>
      <w:r w:rsidR="001766ED">
        <w:rPr>
          <w:rFonts w:ascii="Times New Roman" w:hAnsi="Times New Roman" w:cs="Times New Roman"/>
          <w:sz w:val="24"/>
          <w:szCs w:val="24"/>
        </w:rPr>
        <w:t>tier</w:t>
      </w:r>
      <w:r w:rsidR="001766ED" w:rsidRPr="00692D2F">
        <w:rPr>
          <w:rFonts w:ascii="Times New Roman" w:hAnsi="Times New Roman" w:cs="Times New Roman"/>
          <w:sz w:val="24"/>
          <w:szCs w:val="24"/>
        </w:rPr>
        <w:t xml:space="preserve"> SLHC</w:t>
      </w:r>
      <w:r w:rsidR="001A0D42" w:rsidRPr="006D266D">
        <w:rPr>
          <w:rFonts w:ascii="Times New Roman" w:hAnsi="Times New Roman" w:cs="Times New Roman"/>
          <w:sz w:val="24"/>
          <w:szCs w:val="24"/>
        </w:rPr>
        <w:t>.</w:t>
      </w:r>
      <w:r w:rsidR="006D266D">
        <w:rPr>
          <w:rFonts w:ascii="Times New Roman" w:hAnsi="Times New Roman" w:cs="Times New Roman"/>
          <w:sz w:val="24"/>
          <w:szCs w:val="24"/>
        </w:rPr>
        <w:t xml:space="preserve">  However, in situations where the top-</w:t>
      </w:r>
      <w:r w:rsidR="006D266D" w:rsidRPr="009A34A6">
        <w:rPr>
          <w:rFonts w:ascii="Times New Roman" w:hAnsi="Times New Roman" w:cs="Times New Roman"/>
          <w:sz w:val="24"/>
          <w:szCs w:val="24"/>
        </w:rPr>
        <w:t xml:space="preserve">tier SLHC </w:t>
      </w:r>
      <w:r w:rsidR="00CB30A5">
        <w:rPr>
          <w:rFonts w:ascii="Times New Roman" w:hAnsi="Times New Roman" w:cs="Times New Roman"/>
          <w:sz w:val="24"/>
          <w:szCs w:val="24"/>
        </w:rPr>
        <w:t>was</w:t>
      </w:r>
      <w:r w:rsidR="00CB30A5" w:rsidRPr="009A34A6">
        <w:rPr>
          <w:rFonts w:ascii="Times New Roman" w:hAnsi="Times New Roman" w:cs="Times New Roman"/>
          <w:sz w:val="24"/>
          <w:szCs w:val="24"/>
        </w:rPr>
        <w:t xml:space="preserve"> </w:t>
      </w:r>
      <w:r w:rsidR="006D266D" w:rsidRPr="009A34A6">
        <w:rPr>
          <w:rFonts w:ascii="Times New Roman" w:hAnsi="Times New Roman" w:cs="Times New Roman"/>
          <w:sz w:val="24"/>
          <w:szCs w:val="24"/>
        </w:rPr>
        <w:t xml:space="preserve">not the direct owner of the thrift or </w:t>
      </w:r>
      <w:r w:rsidR="00CB30A5">
        <w:rPr>
          <w:rFonts w:ascii="Times New Roman" w:hAnsi="Times New Roman" w:cs="Times New Roman"/>
          <w:sz w:val="24"/>
          <w:szCs w:val="24"/>
        </w:rPr>
        <w:t>did</w:t>
      </w:r>
      <w:r w:rsidR="00CB30A5" w:rsidRPr="009A34A6">
        <w:rPr>
          <w:rFonts w:ascii="Times New Roman" w:hAnsi="Times New Roman" w:cs="Times New Roman"/>
          <w:sz w:val="24"/>
          <w:szCs w:val="24"/>
        </w:rPr>
        <w:t xml:space="preserve"> </w:t>
      </w:r>
      <w:r w:rsidR="008F68AF" w:rsidRPr="009A34A6">
        <w:rPr>
          <w:rFonts w:ascii="Times New Roman" w:hAnsi="Times New Roman" w:cs="Times New Roman"/>
          <w:sz w:val="24"/>
          <w:szCs w:val="24"/>
        </w:rPr>
        <w:t xml:space="preserve">not </w:t>
      </w:r>
      <w:r w:rsidR="006D266D" w:rsidRPr="009A34A6">
        <w:rPr>
          <w:rFonts w:ascii="Times New Roman" w:hAnsi="Times New Roman" w:cs="Times New Roman"/>
          <w:sz w:val="24"/>
          <w:szCs w:val="24"/>
        </w:rPr>
        <w:t xml:space="preserve">control the thrift, a lower tier SLHC </w:t>
      </w:r>
      <w:r w:rsidR="00CB30A5">
        <w:rPr>
          <w:rFonts w:ascii="Times New Roman" w:hAnsi="Times New Roman" w:cs="Times New Roman"/>
          <w:sz w:val="24"/>
          <w:szCs w:val="24"/>
        </w:rPr>
        <w:t>would</w:t>
      </w:r>
      <w:r w:rsidR="00CB30A5" w:rsidRPr="009A34A6">
        <w:rPr>
          <w:rFonts w:ascii="Times New Roman" w:hAnsi="Times New Roman" w:cs="Times New Roman"/>
          <w:sz w:val="24"/>
          <w:szCs w:val="24"/>
        </w:rPr>
        <w:t xml:space="preserve"> </w:t>
      </w:r>
      <w:r w:rsidR="008F68AF" w:rsidRPr="009A34A6">
        <w:rPr>
          <w:rFonts w:ascii="Times New Roman" w:hAnsi="Times New Roman" w:cs="Times New Roman"/>
          <w:sz w:val="24"/>
          <w:szCs w:val="24"/>
        </w:rPr>
        <w:t xml:space="preserve">be required to </w:t>
      </w:r>
      <w:r w:rsidR="006D266D" w:rsidRPr="009A34A6">
        <w:rPr>
          <w:rFonts w:ascii="Times New Roman" w:hAnsi="Times New Roman" w:cs="Times New Roman"/>
          <w:sz w:val="24"/>
          <w:szCs w:val="24"/>
        </w:rPr>
        <w:t>file instead</w:t>
      </w:r>
      <w:r w:rsidR="008F68AF" w:rsidRPr="009A34A6">
        <w:rPr>
          <w:rFonts w:ascii="Times New Roman" w:hAnsi="Times New Roman" w:cs="Times New Roman"/>
          <w:sz w:val="24"/>
          <w:szCs w:val="24"/>
        </w:rPr>
        <w:t xml:space="preserve"> of the top-tier SLHC</w:t>
      </w:r>
      <w:r w:rsidR="006D266D" w:rsidRPr="009A34A6">
        <w:rPr>
          <w:rFonts w:ascii="Times New Roman" w:hAnsi="Times New Roman" w:cs="Times New Roman"/>
          <w:sz w:val="24"/>
          <w:szCs w:val="24"/>
        </w:rPr>
        <w:t>.</w:t>
      </w:r>
      <w:r w:rsidR="006D266D">
        <w:rPr>
          <w:rFonts w:ascii="Times New Roman" w:hAnsi="Times New Roman" w:cs="Times New Roman"/>
          <w:sz w:val="24"/>
          <w:szCs w:val="24"/>
        </w:rPr>
        <w:t xml:space="preserve">  </w:t>
      </w:r>
      <w:r w:rsidR="008F68AF" w:rsidRPr="008F68AF">
        <w:rPr>
          <w:rFonts w:ascii="Times New Roman" w:hAnsi="Times New Roman" w:cs="Times New Roman"/>
          <w:sz w:val="24"/>
          <w:szCs w:val="24"/>
        </w:rPr>
        <w:t xml:space="preserve"> </w:t>
      </w:r>
      <w:r w:rsidR="008F68AF">
        <w:rPr>
          <w:rFonts w:ascii="Times New Roman" w:hAnsi="Times New Roman" w:cs="Times New Roman"/>
          <w:sz w:val="24"/>
          <w:szCs w:val="24"/>
        </w:rPr>
        <w:t xml:space="preserve">In addition, </w:t>
      </w:r>
      <w:r w:rsidR="00CB30A5">
        <w:rPr>
          <w:rFonts w:ascii="Times New Roman" w:hAnsi="Times New Roman" w:cs="Times New Roman"/>
          <w:sz w:val="24"/>
          <w:szCs w:val="24"/>
        </w:rPr>
        <w:t xml:space="preserve">a </w:t>
      </w:r>
      <w:r w:rsidR="008F68AF">
        <w:rPr>
          <w:rFonts w:ascii="Times New Roman" w:hAnsi="Times New Roman" w:cs="Times New Roman"/>
          <w:sz w:val="24"/>
          <w:szCs w:val="24"/>
        </w:rPr>
        <w:t>lower tier SLHC</w:t>
      </w:r>
      <w:r w:rsidR="00CB30A5">
        <w:rPr>
          <w:rFonts w:ascii="Times New Roman" w:hAnsi="Times New Roman" w:cs="Times New Roman"/>
          <w:sz w:val="24"/>
          <w:szCs w:val="24"/>
        </w:rPr>
        <w:t xml:space="preserve"> could have</w:t>
      </w:r>
      <w:r w:rsidR="008F68AF">
        <w:rPr>
          <w:rFonts w:ascii="Times New Roman" w:hAnsi="Times New Roman" w:cs="Times New Roman"/>
          <w:sz w:val="24"/>
          <w:szCs w:val="24"/>
        </w:rPr>
        <w:t xml:space="preserve"> voluntarily file</w:t>
      </w:r>
      <w:r w:rsidR="00CB30A5">
        <w:rPr>
          <w:rFonts w:ascii="Times New Roman" w:hAnsi="Times New Roman" w:cs="Times New Roman"/>
          <w:sz w:val="24"/>
          <w:szCs w:val="24"/>
        </w:rPr>
        <w:t>d</w:t>
      </w:r>
      <w:r w:rsidR="008F68AF">
        <w:rPr>
          <w:rFonts w:ascii="Times New Roman" w:hAnsi="Times New Roman" w:cs="Times New Roman"/>
          <w:sz w:val="24"/>
          <w:szCs w:val="24"/>
        </w:rPr>
        <w:t xml:space="preserve"> Schedule HC or </w:t>
      </w:r>
      <w:r w:rsidR="00CB30A5">
        <w:rPr>
          <w:rFonts w:ascii="Times New Roman" w:hAnsi="Times New Roman" w:cs="Times New Roman"/>
          <w:sz w:val="24"/>
          <w:szCs w:val="24"/>
        </w:rPr>
        <w:t xml:space="preserve">could have </w:t>
      </w:r>
      <w:r w:rsidR="008F68AF">
        <w:rPr>
          <w:rFonts w:ascii="Times New Roman" w:hAnsi="Times New Roman" w:cs="Times New Roman"/>
          <w:sz w:val="24"/>
          <w:szCs w:val="24"/>
        </w:rPr>
        <w:t>be</w:t>
      </w:r>
      <w:r w:rsidR="00CB30A5">
        <w:rPr>
          <w:rFonts w:ascii="Times New Roman" w:hAnsi="Times New Roman" w:cs="Times New Roman"/>
          <w:sz w:val="24"/>
          <w:szCs w:val="24"/>
        </w:rPr>
        <w:t>en</w:t>
      </w:r>
      <w:r w:rsidR="008F68AF">
        <w:rPr>
          <w:rFonts w:ascii="Times New Roman" w:hAnsi="Times New Roman" w:cs="Times New Roman"/>
          <w:sz w:val="24"/>
          <w:szCs w:val="24"/>
        </w:rPr>
        <w:t xml:space="preserve"> required to </w:t>
      </w:r>
      <w:r w:rsidR="006D266D">
        <w:rPr>
          <w:rFonts w:ascii="Times New Roman" w:hAnsi="Times New Roman" w:cs="Times New Roman"/>
          <w:sz w:val="24"/>
          <w:szCs w:val="24"/>
        </w:rPr>
        <w:t xml:space="preserve">file in addition to the top-tier </w:t>
      </w:r>
      <w:r w:rsidR="00CB30A5">
        <w:rPr>
          <w:rFonts w:ascii="Times New Roman" w:hAnsi="Times New Roman" w:cs="Times New Roman"/>
          <w:sz w:val="24"/>
          <w:szCs w:val="24"/>
        </w:rPr>
        <w:t xml:space="preserve">SLHC </w:t>
      </w:r>
      <w:r w:rsidR="006D266D">
        <w:rPr>
          <w:rFonts w:ascii="Times New Roman" w:hAnsi="Times New Roman" w:cs="Times New Roman"/>
          <w:sz w:val="24"/>
          <w:szCs w:val="24"/>
        </w:rPr>
        <w:t xml:space="preserve">for safety and soundness purposes.  </w:t>
      </w:r>
      <w:r w:rsidR="00E95566">
        <w:rPr>
          <w:rFonts w:ascii="Times New Roman" w:hAnsi="Times New Roman" w:cs="Times New Roman"/>
          <w:bCs/>
          <w:sz w:val="24"/>
          <w:szCs w:val="24"/>
        </w:rPr>
        <w:t xml:space="preserve">  </w:t>
      </w:r>
    </w:p>
    <w:p w:rsidR="000113FC" w:rsidRPr="0047151A" w:rsidRDefault="0047151A" w:rsidP="00621656">
      <w:pPr>
        <w:rPr>
          <w:rFonts w:ascii="Times New Roman" w:hAnsi="Times New Roman" w:cs="Times New Roman"/>
          <w:bCs/>
          <w:sz w:val="24"/>
          <w:szCs w:val="24"/>
        </w:rPr>
      </w:pPr>
      <w:r>
        <w:rPr>
          <w:rFonts w:ascii="Times New Roman" w:hAnsi="Times New Roman" w:cs="Times New Roman"/>
          <w:bCs/>
          <w:sz w:val="24"/>
          <w:szCs w:val="24"/>
        </w:rPr>
        <w:tab/>
      </w:r>
    </w:p>
    <w:p w:rsidR="00020F41" w:rsidRDefault="0037697B" w:rsidP="00512AF1">
      <w:pPr>
        <w:widowControl/>
        <w:ind w:firstLine="720"/>
        <w:rPr>
          <w:rFonts w:ascii="Times New Roman" w:hAnsi="Times New Roman" w:cs="Times New Roman"/>
          <w:sz w:val="24"/>
          <w:szCs w:val="24"/>
        </w:rPr>
      </w:pPr>
      <w:r>
        <w:rPr>
          <w:rFonts w:ascii="Times New Roman" w:hAnsi="Times New Roman" w:cs="Times New Roman"/>
          <w:bCs/>
          <w:sz w:val="24"/>
          <w:szCs w:val="24"/>
        </w:rPr>
        <w:t xml:space="preserve">The Federal Reserve </w:t>
      </w:r>
      <w:r w:rsidR="006A6B67" w:rsidRPr="0047151A">
        <w:rPr>
          <w:rFonts w:ascii="Times New Roman" w:hAnsi="Times New Roman" w:cs="Times New Roman"/>
          <w:bCs/>
          <w:sz w:val="24"/>
          <w:szCs w:val="24"/>
        </w:rPr>
        <w:t>propose</w:t>
      </w:r>
      <w:r w:rsidR="00CB30A5">
        <w:rPr>
          <w:rFonts w:ascii="Times New Roman" w:hAnsi="Times New Roman" w:cs="Times New Roman"/>
          <w:bCs/>
          <w:sz w:val="24"/>
          <w:szCs w:val="24"/>
        </w:rPr>
        <w:t xml:space="preserve">d </w:t>
      </w:r>
      <w:r w:rsidR="006A6B67" w:rsidRPr="0047151A">
        <w:rPr>
          <w:rFonts w:ascii="Times New Roman" w:hAnsi="Times New Roman" w:cs="Times New Roman"/>
          <w:bCs/>
          <w:sz w:val="24"/>
          <w:szCs w:val="24"/>
        </w:rPr>
        <w:t>implement</w:t>
      </w:r>
      <w:r w:rsidR="00CB30A5">
        <w:rPr>
          <w:rFonts w:ascii="Times New Roman" w:hAnsi="Times New Roman" w:cs="Times New Roman"/>
          <w:bCs/>
          <w:sz w:val="24"/>
          <w:szCs w:val="24"/>
        </w:rPr>
        <w:t>ing</w:t>
      </w:r>
      <w:r w:rsidR="006A6B67" w:rsidRPr="0047151A">
        <w:rPr>
          <w:rFonts w:ascii="Times New Roman" w:hAnsi="Times New Roman" w:cs="Times New Roman"/>
          <w:bCs/>
          <w:sz w:val="24"/>
          <w:szCs w:val="24"/>
        </w:rPr>
        <w:t xml:space="preserve"> </w:t>
      </w:r>
      <w:r w:rsidR="002C13B2">
        <w:rPr>
          <w:rFonts w:ascii="Times New Roman" w:hAnsi="Times New Roman" w:cs="Times New Roman"/>
          <w:bCs/>
          <w:sz w:val="24"/>
          <w:szCs w:val="24"/>
        </w:rPr>
        <w:t>the FR 2320</w:t>
      </w:r>
      <w:r w:rsidR="00621656" w:rsidRPr="0047151A">
        <w:rPr>
          <w:rFonts w:ascii="Times New Roman" w:hAnsi="Times New Roman" w:cs="Times New Roman"/>
          <w:color w:val="000000"/>
          <w:sz w:val="24"/>
          <w:szCs w:val="24"/>
        </w:rPr>
        <w:t xml:space="preserve"> </w:t>
      </w:r>
      <w:r w:rsidR="00CB30A5">
        <w:rPr>
          <w:rFonts w:ascii="Times New Roman" w:hAnsi="Times New Roman" w:cs="Times New Roman"/>
          <w:color w:val="000000"/>
          <w:sz w:val="24"/>
          <w:szCs w:val="24"/>
        </w:rPr>
        <w:t xml:space="preserve">to </w:t>
      </w:r>
      <w:r w:rsidR="003278E1">
        <w:rPr>
          <w:rFonts w:ascii="Times New Roman" w:hAnsi="Times New Roman" w:cs="Times New Roman"/>
          <w:color w:val="000000"/>
          <w:sz w:val="24"/>
          <w:szCs w:val="24"/>
        </w:rPr>
        <w:t>collect</w:t>
      </w:r>
      <w:r w:rsidR="00621656" w:rsidRPr="0047151A">
        <w:rPr>
          <w:rFonts w:ascii="Times New Roman" w:hAnsi="Times New Roman" w:cs="Times New Roman"/>
          <w:color w:val="000000"/>
          <w:sz w:val="24"/>
          <w:szCs w:val="24"/>
        </w:rPr>
        <w:t xml:space="preserve"> the same </w:t>
      </w:r>
      <w:r w:rsidR="00CB30A5">
        <w:rPr>
          <w:rFonts w:ascii="Times New Roman" w:hAnsi="Times New Roman" w:cs="Times New Roman"/>
          <w:color w:val="000000"/>
          <w:sz w:val="24"/>
          <w:szCs w:val="24"/>
        </w:rPr>
        <w:t>data</w:t>
      </w:r>
      <w:r w:rsidR="00CB30A5" w:rsidRPr="0047151A">
        <w:rPr>
          <w:rFonts w:ascii="Times New Roman" w:hAnsi="Times New Roman" w:cs="Times New Roman"/>
          <w:color w:val="000000"/>
          <w:sz w:val="24"/>
          <w:szCs w:val="24"/>
        </w:rPr>
        <w:t xml:space="preserve"> </w:t>
      </w:r>
      <w:r w:rsidR="00621656" w:rsidRPr="0047151A">
        <w:rPr>
          <w:rFonts w:ascii="Times New Roman" w:hAnsi="Times New Roman" w:cs="Times New Roman"/>
          <w:color w:val="000000"/>
          <w:sz w:val="24"/>
          <w:szCs w:val="24"/>
        </w:rPr>
        <w:t xml:space="preserve">items </w:t>
      </w:r>
      <w:r w:rsidR="00CB30A5">
        <w:rPr>
          <w:rFonts w:ascii="Times New Roman" w:hAnsi="Times New Roman" w:cs="Times New Roman"/>
          <w:color w:val="000000"/>
          <w:sz w:val="24"/>
          <w:szCs w:val="24"/>
        </w:rPr>
        <w:t>previously</w:t>
      </w:r>
      <w:r w:rsidR="00CB30A5" w:rsidRPr="0047151A">
        <w:rPr>
          <w:rFonts w:ascii="Times New Roman" w:hAnsi="Times New Roman" w:cs="Times New Roman"/>
          <w:color w:val="000000"/>
          <w:sz w:val="24"/>
          <w:szCs w:val="24"/>
        </w:rPr>
        <w:t xml:space="preserve"> </w:t>
      </w:r>
      <w:r w:rsidR="003278E1">
        <w:rPr>
          <w:rFonts w:ascii="Times New Roman" w:hAnsi="Times New Roman" w:cs="Times New Roman"/>
          <w:color w:val="000000"/>
          <w:sz w:val="24"/>
          <w:szCs w:val="24"/>
        </w:rPr>
        <w:t>reported</w:t>
      </w:r>
      <w:r w:rsidR="003278E1" w:rsidRPr="0047151A">
        <w:rPr>
          <w:rFonts w:ascii="Times New Roman" w:hAnsi="Times New Roman" w:cs="Times New Roman"/>
          <w:color w:val="000000"/>
          <w:sz w:val="24"/>
          <w:szCs w:val="24"/>
        </w:rPr>
        <w:t xml:space="preserve"> </w:t>
      </w:r>
      <w:r w:rsidR="00621656" w:rsidRPr="0047151A">
        <w:rPr>
          <w:rFonts w:ascii="Times New Roman" w:hAnsi="Times New Roman" w:cs="Times New Roman"/>
          <w:color w:val="000000"/>
          <w:sz w:val="24"/>
          <w:szCs w:val="24"/>
        </w:rPr>
        <w:t>on Schedule HC</w:t>
      </w:r>
      <w:r w:rsidR="00E95566">
        <w:rPr>
          <w:rFonts w:ascii="Times New Roman" w:hAnsi="Times New Roman" w:cs="Times New Roman"/>
          <w:color w:val="000000"/>
          <w:sz w:val="24"/>
          <w:szCs w:val="24"/>
        </w:rPr>
        <w:t>.</w:t>
      </w:r>
      <w:r w:rsidR="00621656" w:rsidRPr="0047151A">
        <w:rPr>
          <w:rFonts w:ascii="Times New Roman" w:hAnsi="Times New Roman" w:cs="Times New Roman"/>
          <w:color w:val="000000"/>
          <w:sz w:val="24"/>
          <w:szCs w:val="24"/>
        </w:rPr>
        <w:t xml:space="preserve">  </w:t>
      </w:r>
      <w:r w:rsidR="00BE4786" w:rsidRPr="0047151A">
        <w:rPr>
          <w:rFonts w:ascii="Times New Roman" w:hAnsi="Times New Roman" w:cs="Times New Roman"/>
          <w:color w:val="000000"/>
          <w:sz w:val="24"/>
          <w:szCs w:val="24"/>
        </w:rPr>
        <w:t>B</w:t>
      </w:r>
      <w:r w:rsidR="006A6B67" w:rsidRPr="0047151A">
        <w:rPr>
          <w:rFonts w:ascii="Times New Roman" w:hAnsi="Times New Roman" w:cs="Times New Roman"/>
          <w:color w:val="000000"/>
          <w:sz w:val="24"/>
          <w:szCs w:val="24"/>
        </w:rPr>
        <w:t xml:space="preserve">eginning March 31, 2012, the </w:t>
      </w:r>
      <w:r w:rsidR="00BE4786" w:rsidRPr="0047151A">
        <w:rPr>
          <w:rFonts w:ascii="Times New Roman" w:hAnsi="Times New Roman" w:cs="Times New Roman"/>
          <w:color w:val="000000"/>
          <w:sz w:val="24"/>
          <w:szCs w:val="24"/>
        </w:rPr>
        <w:t xml:space="preserve">proposed </w:t>
      </w:r>
      <w:r w:rsidR="00DB29BF">
        <w:rPr>
          <w:rFonts w:ascii="Times New Roman" w:hAnsi="Times New Roman" w:cs="Times New Roman"/>
          <w:color w:val="000000"/>
          <w:sz w:val="24"/>
          <w:szCs w:val="24"/>
        </w:rPr>
        <w:t>FR 2320</w:t>
      </w:r>
      <w:r w:rsidR="00E95566">
        <w:rPr>
          <w:rFonts w:ascii="Times New Roman" w:hAnsi="Times New Roman" w:cs="Times New Roman"/>
          <w:color w:val="000000"/>
          <w:sz w:val="24"/>
          <w:szCs w:val="24"/>
        </w:rPr>
        <w:t xml:space="preserve"> </w:t>
      </w:r>
      <w:r w:rsidR="006A6B67" w:rsidRPr="0047151A">
        <w:rPr>
          <w:rFonts w:ascii="Times New Roman" w:hAnsi="Times New Roman" w:cs="Times New Roman"/>
          <w:color w:val="000000"/>
          <w:sz w:val="24"/>
          <w:szCs w:val="24"/>
        </w:rPr>
        <w:t>w</w:t>
      </w:r>
      <w:r w:rsidR="00BE4786" w:rsidRPr="0047151A">
        <w:rPr>
          <w:rFonts w:ascii="Times New Roman" w:hAnsi="Times New Roman" w:cs="Times New Roman"/>
          <w:color w:val="000000"/>
          <w:sz w:val="24"/>
          <w:szCs w:val="24"/>
        </w:rPr>
        <w:t>ould</w:t>
      </w:r>
      <w:r w:rsidR="006A6B67" w:rsidRPr="0047151A">
        <w:rPr>
          <w:rFonts w:ascii="Times New Roman" w:hAnsi="Times New Roman" w:cs="Times New Roman"/>
          <w:color w:val="000000"/>
          <w:sz w:val="24"/>
          <w:szCs w:val="24"/>
        </w:rPr>
        <w:t xml:space="preserve"> be </w:t>
      </w:r>
      <w:r w:rsidR="0005237D">
        <w:rPr>
          <w:rFonts w:ascii="Times New Roman" w:hAnsi="Times New Roman" w:cs="Times New Roman"/>
          <w:color w:val="000000"/>
          <w:sz w:val="24"/>
          <w:szCs w:val="24"/>
        </w:rPr>
        <w:t>submitted</w:t>
      </w:r>
      <w:r w:rsidR="0005237D" w:rsidRPr="0047151A">
        <w:rPr>
          <w:rFonts w:ascii="Times New Roman" w:hAnsi="Times New Roman" w:cs="Times New Roman"/>
          <w:color w:val="000000"/>
          <w:sz w:val="24"/>
          <w:szCs w:val="24"/>
        </w:rPr>
        <w:t xml:space="preserve"> </w:t>
      </w:r>
      <w:r w:rsidR="0005237D">
        <w:rPr>
          <w:rFonts w:ascii="Times New Roman" w:hAnsi="Times New Roman" w:cs="Times New Roman"/>
          <w:color w:val="000000"/>
          <w:sz w:val="24"/>
          <w:szCs w:val="24"/>
        </w:rPr>
        <w:t>quarterly</w:t>
      </w:r>
      <w:r w:rsidR="0005237D" w:rsidRPr="0047151A">
        <w:rPr>
          <w:rFonts w:ascii="Times New Roman" w:hAnsi="Times New Roman" w:cs="Times New Roman"/>
          <w:color w:val="000000"/>
          <w:sz w:val="24"/>
          <w:szCs w:val="24"/>
        </w:rPr>
        <w:t xml:space="preserve"> </w:t>
      </w:r>
      <w:r w:rsidR="00977D17" w:rsidRPr="0047151A">
        <w:rPr>
          <w:rFonts w:ascii="Times New Roman" w:hAnsi="Times New Roman" w:cs="Times New Roman"/>
          <w:color w:val="000000"/>
          <w:sz w:val="24"/>
          <w:szCs w:val="24"/>
        </w:rPr>
        <w:t xml:space="preserve">to the Federal Reserve </w:t>
      </w:r>
      <w:r w:rsidR="006A6B67" w:rsidRPr="0047151A">
        <w:rPr>
          <w:rFonts w:ascii="Times New Roman" w:hAnsi="Times New Roman" w:cs="Times New Roman"/>
          <w:color w:val="000000"/>
          <w:sz w:val="24"/>
          <w:szCs w:val="24"/>
        </w:rPr>
        <w:t xml:space="preserve">by </w:t>
      </w:r>
      <w:r w:rsidR="00E95566">
        <w:rPr>
          <w:rFonts w:ascii="Times New Roman" w:hAnsi="Times New Roman" w:cs="Times New Roman"/>
          <w:color w:val="000000"/>
          <w:sz w:val="24"/>
          <w:szCs w:val="24"/>
        </w:rPr>
        <w:t xml:space="preserve">exempt </w:t>
      </w:r>
      <w:r w:rsidR="006A6B67" w:rsidRPr="0047151A">
        <w:rPr>
          <w:rFonts w:ascii="Times New Roman" w:hAnsi="Times New Roman" w:cs="Times New Roman"/>
          <w:color w:val="000000"/>
          <w:sz w:val="24"/>
          <w:szCs w:val="24"/>
        </w:rPr>
        <w:t>SLHCs</w:t>
      </w:r>
      <w:r w:rsidR="00BE28B4">
        <w:rPr>
          <w:rFonts w:ascii="Times New Roman" w:hAnsi="Times New Roman" w:cs="Times New Roman"/>
          <w:color w:val="000000"/>
          <w:sz w:val="24"/>
          <w:szCs w:val="24"/>
        </w:rPr>
        <w:t xml:space="preserve"> as of </w:t>
      </w:r>
      <w:r w:rsidR="0031295C">
        <w:rPr>
          <w:rFonts w:ascii="Times New Roman" w:hAnsi="Times New Roman" w:cs="Times New Roman"/>
          <w:color w:val="000000"/>
          <w:sz w:val="24"/>
          <w:szCs w:val="24"/>
        </w:rPr>
        <w:t xml:space="preserve">the end of </w:t>
      </w:r>
      <w:r w:rsidR="00BE28B4">
        <w:rPr>
          <w:rFonts w:ascii="Times New Roman" w:hAnsi="Times New Roman" w:cs="Times New Roman"/>
          <w:color w:val="000000"/>
          <w:sz w:val="24"/>
          <w:szCs w:val="24"/>
        </w:rPr>
        <w:t>March, June, September and December.</w:t>
      </w:r>
      <w:r w:rsidR="00020F41" w:rsidRPr="00020F41">
        <w:rPr>
          <w:rFonts w:ascii="Times New Roman" w:hAnsi="Times New Roman" w:cs="Times New Roman"/>
          <w:sz w:val="24"/>
          <w:szCs w:val="24"/>
        </w:rPr>
        <w:t xml:space="preserve"> </w:t>
      </w:r>
    </w:p>
    <w:p w:rsidR="00372768" w:rsidRDefault="00372768" w:rsidP="00512AF1">
      <w:pPr>
        <w:widowControl/>
        <w:ind w:firstLine="720"/>
        <w:rPr>
          <w:rFonts w:ascii="Times New Roman" w:hAnsi="Times New Roman" w:cs="Times New Roman"/>
          <w:sz w:val="24"/>
          <w:szCs w:val="24"/>
        </w:rPr>
      </w:pPr>
    </w:p>
    <w:p w:rsidR="00FC1E38" w:rsidRPr="0047151A" w:rsidRDefault="00FC1E38"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sz w:val="24"/>
          <w:szCs w:val="24"/>
        </w:rPr>
      </w:pPr>
      <w:r w:rsidRPr="0047151A">
        <w:rPr>
          <w:rFonts w:ascii="Times New Roman" w:hAnsi="Times New Roman" w:cs="Times New Roman"/>
          <w:b/>
          <w:sz w:val="24"/>
          <w:szCs w:val="24"/>
        </w:rPr>
        <w:t xml:space="preserve">Time Schedule for Information Collection and Publication </w:t>
      </w:r>
    </w:p>
    <w:p w:rsidR="00FC1E38" w:rsidRPr="0047151A" w:rsidRDefault="00FC1E38"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sz w:val="24"/>
          <w:szCs w:val="24"/>
        </w:rPr>
      </w:pPr>
      <w:r w:rsidRPr="0047151A">
        <w:rPr>
          <w:rFonts w:ascii="Times New Roman" w:hAnsi="Times New Roman" w:cs="Times New Roman"/>
          <w:sz w:val="24"/>
          <w:szCs w:val="24"/>
        </w:rPr>
        <w:tab/>
      </w:r>
    </w:p>
    <w:p w:rsidR="002C13B2" w:rsidRPr="0047151A" w:rsidRDefault="00FC1E38" w:rsidP="002C13B2">
      <w:pPr>
        <w:pStyle w:val="Heading1"/>
        <w:rPr>
          <w:rFonts w:ascii="Times New Roman" w:hAnsi="Times New Roman" w:cs="Times New Roman"/>
        </w:rPr>
      </w:pPr>
      <w:r w:rsidRPr="0047151A">
        <w:rPr>
          <w:rFonts w:ascii="Times New Roman" w:hAnsi="Times New Roman" w:cs="Times New Roman"/>
        </w:rPr>
        <w:tab/>
        <w:t xml:space="preserve">The </w:t>
      </w:r>
      <w:r w:rsidR="00BE4786" w:rsidRPr="0047151A">
        <w:rPr>
          <w:rFonts w:ascii="Times New Roman" w:hAnsi="Times New Roman" w:cs="Times New Roman"/>
        </w:rPr>
        <w:t xml:space="preserve">proposed </w:t>
      </w:r>
      <w:r w:rsidR="0031295C">
        <w:rPr>
          <w:rFonts w:ascii="Times New Roman" w:hAnsi="Times New Roman" w:cs="Times New Roman"/>
        </w:rPr>
        <w:t>new report</w:t>
      </w:r>
      <w:r w:rsidR="00BE4786" w:rsidRPr="0047151A">
        <w:rPr>
          <w:rFonts w:ascii="Times New Roman" w:hAnsi="Times New Roman" w:cs="Times New Roman"/>
        </w:rPr>
        <w:t xml:space="preserve"> would be submitted quarterly</w:t>
      </w:r>
      <w:r w:rsidR="00C23012" w:rsidRPr="0047151A">
        <w:rPr>
          <w:rFonts w:ascii="Times New Roman" w:hAnsi="Times New Roman" w:cs="Times New Roman"/>
        </w:rPr>
        <w:t xml:space="preserve"> as of the end of March, June, September, and December.  </w:t>
      </w:r>
      <w:r w:rsidR="009D30A3">
        <w:rPr>
          <w:rFonts w:ascii="Times New Roman" w:hAnsi="Times New Roman" w:cs="Times New Roman"/>
        </w:rPr>
        <w:t>If a</w:t>
      </w:r>
      <w:r w:rsidR="00CB30A5">
        <w:rPr>
          <w:rFonts w:ascii="Times New Roman" w:hAnsi="Times New Roman" w:cs="Times New Roman"/>
        </w:rPr>
        <w:t>n</w:t>
      </w:r>
      <w:r w:rsidR="009D30A3">
        <w:rPr>
          <w:rFonts w:ascii="Times New Roman" w:hAnsi="Times New Roman" w:cs="Times New Roman"/>
        </w:rPr>
        <w:t xml:space="preserve"> SLHC has a quarter-end other than a calendar quarter-end, data from the fiscal quarter ending within the calendar quarter </w:t>
      </w:r>
      <w:r w:rsidR="001A0D42">
        <w:rPr>
          <w:rFonts w:ascii="Times New Roman" w:hAnsi="Times New Roman" w:cs="Times New Roman"/>
        </w:rPr>
        <w:t>may</w:t>
      </w:r>
      <w:r w:rsidR="009D30A3">
        <w:rPr>
          <w:rFonts w:ascii="Times New Roman" w:hAnsi="Times New Roman" w:cs="Times New Roman"/>
        </w:rPr>
        <w:t xml:space="preserve"> be used to complete the FR 2320.  For example, if the SLHC’s fiscal year end is October, its fiscal quarter-ends are January, April, </w:t>
      </w:r>
      <w:r w:rsidR="009D30A3">
        <w:rPr>
          <w:rFonts w:ascii="Times New Roman" w:hAnsi="Times New Roman" w:cs="Times New Roman"/>
        </w:rPr>
        <w:lastRenderedPageBreak/>
        <w:t xml:space="preserve">July, and October.  Therefore, the fiscal quarter ending January 31 would be reported for the March 31 calendar quarter for the FR 2320.  </w:t>
      </w:r>
      <w:r w:rsidR="00C23012" w:rsidRPr="0047151A">
        <w:rPr>
          <w:rFonts w:ascii="Times New Roman" w:hAnsi="Times New Roman" w:cs="Times New Roman"/>
        </w:rPr>
        <w:t>The filing deadline would be 45 calendar days after the March 31, June 30, September 30, and December 31 as-of date</w:t>
      </w:r>
      <w:r w:rsidR="00CB30A5">
        <w:rPr>
          <w:rFonts w:ascii="Times New Roman" w:hAnsi="Times New Roman" w:cs="Times New Roman"/>
        </w:rPr>
        <w:t>s</w:t>
      </w:r>
      <w:r w:rsidR="00241767">
        <w:rPr>
          <w:rFonts w:ascii="Times New Roman" w:hAnsi="Times New Roman" w:cs="Times New Roman"/>
        </w:rPr>
        <w:t>, which is consistent with the TFR requirement</w:t>
      </w:r>
      <w:r w:rsidR="00C23012" w:rsidRPr="0047151A">
        <w:rPr>
          <w:rFonts w:ascii="Times New Roman" w:hAnsi="Times New Roman" w:cs="Times New Roman"/>
        </w:rPr>
        <w:t xml:space="preserve">.  </w:t>
      </w:r>
      <w:r w:rsidR="002C13B2" w:rsidRPr="0047151A">
        <w:rPr>
          <w:rFonts w:ascii="Times New Roman" w:hAnsi="Times New Roman" w:cs="Times New Roman"/>
        </w:rPr>
        <w:t xml:space="preserve">Respondents would be </w:t>
      </w:r>
      <w:r w:rsidR="002C13B2">
        <w:rPr>
          <w:rFonts w:ascii="Times New Roman" w:hAnsi="Times New Roman" w:cs="Times New Roman"/>
        </w:rPr>
        <w:t xml:space="preserve">required to </w:t>
      </w:r>
      <w:r w:rsidR="0062261D">
        <w:rPr>
          <w:rFonts w:ascii="Times New Roman" w:hAnsi="Times New Roman" w:cs="Times New Roman"/>
        </w:rPr>
        <w:t>submit all</w:t>
      </w:r>
      <w:r w:rsidR="009D30A3">
        <w:rPr>
          <w:rFonts w:ascii="Times New Roman" w:hAnsi="Times New Roman" w:cs="Times New Roman"/>
        </w:rPr>
        <w:t xml:space="preserve"> financial and non-financial</w:t>
      </w:r>
      <w:r w:rsidR="00CB30A5">
        <w:rPr>
          <w:rFonts w:ascii="Times New Roman" w:hAnsi="Times New Roman" w:cs="Times New Roman"/>
        </w:rPr>
        <w:t xml:space="preserve"> data items </w:t>
      </w:r>
      <w:r w:rsidR="002C13B2" w:rsidRPr="0047151A">
        <w:rPr>
          <w:rFonts w:ascii="Times New Roman" w:hAnsi="Times New Roman" w:cs="Times New Roman"/>
        </w:rPr>
        <w:t>electronically</w:t>
      </w:r>
      <w:r w:rsidR="009D30A3">
        <w:rPr>
          <w:rFonts w:ascii="Times New Roman" w:hAnsi="Times New Roman" w:cs="Times New Roman"/>
        </w:rPr>
        <w:t xml:space="preserve"> </w:t>
      </w:r>
      <w:r w:rsidR="002C13B2" w:rsidRPr="0047151A">
        <w:rPr>
          <w:rFonts w:ascii="Times New Roman" w:hAnsi="Times New Roman" w:cs="Times New Roman"/>
          <w:color w:val="000000"/>
        </w:rPr>
        <w:t xml:space="preserve">using </w:t>
      </w:r>
      <w:r w:rsidR="002C13B2" w:rsidRPr="0047151A">
        <w:rPr>
          <w:rFonts w:ascii="Times New Roman" w:hAnsi="Times New Roman" w:cs="Times New Roman"/>
        </w:rPr>
        <w:t xml:space="preserve">the Federal Reserve’s Internet Electronic Submission (IESUB) application.  </w:t>
      </w:r>
      <w:r w:rsidR="003019FB">
        <w:rPr>
          <w:rFonts w:ascii="Times New Roman" w:hAnsi="Times New Roman" w:cs="Times New Roman"/>
        </w:rPr>
        <w:t xml:space="preserve">The Federal Reserve </w:t>
      </w:r>
      <w:r w:rsidR="002C13B2" w:rsidRPr="0047151A">
        <w:rPr>
          <w:rFonts w:ascii="Times New Roman" w:hAnsi="Times New Roman" w:cs="Times New Roman"/>
        </w:rPr>
        <w:t xml:space="preserve">believes this to be the most </w:t>
      </w:r>
      <w:r w:rsidR="002C13B2">
        <w:rPr>
          <w:rFonts w:ascii="Times New Roman" w:hAnsi="Times New Roman" w:cs="Times New Roman"/>
        </w:rPr>
        <w:t>e</w:t>
      </w:r>
      <w:r w:rsidR="002C13B2" w:rsidRPr="0047151A">
        <w:rPr>
          <w:rFonts w:ascii="Times New Roman" w:hAnsi="Times New Roman" w:cs="Times New Roman"/>
        </w:rPr>
        <w:t>fficient and le</w:t>
      </w:r>
      <w:r w:rsidR="00346639">
        <w:rPr>
          <w:rFonts w:ascii="Times New Roman" w:hAnsi="Times New Roman" w:cs="Times New Roman"/>
        </w:rPr>
        <w:t>ast</w:t>
      </w:r>
      <w:r w:rsidR="002C13B2" w:rsidRPr="0047151A">
        <w:rPr>
          <w:rFonts w:ascii="Times New Roman" w:hAnsi="Times New Roman" w:cs="Times New Roman"/>
        </w:rPr>
        <w:t xml:space="preserve"> burdensome method of submission for the SLHCs since the TFR </w:t>
      </w:r>
      <w:r w:rsidR="00346639">
        <w:rPr>
          <w:rFonts w:ascii="Times New Roman" w:hAnsi="Times New Roman" w:cs="Times New Roman"/>
        </w:rPr>
        <w:t>was also</w:t>
      </w:r>
      <w:r w:rsidR="00C515B1">
        <w:rPr>
          <w:rFonts w:ascii="Times New Roman" w:hAnsi="Times New Roman" w:cs="Times New Roman"/>
        </w:rPr>
        <w:t xml:space="preserve"> submitted electronically.  </w:t>
      </w:r>
      <w:r w:rsidR="002C13B2">
        <w:rPr>
          <w:rFonts w:ascii="Times New Roman" w:hAnsi="Times New Roman" w:cs="Times New Roman"/>
        </w:rPr>
        <w:t xml:space="preserve">Similar to the </w:t>
      </w:r>
      <w:r w:rsidR="00346639">
        <w:rPr>
          <w:rFonts w:ascii="Times New Roman" w:hAnsi="Times New Roman" w:cs="Times New Roman"/>
        </w:rPr>
        <w:t xml:space="preserve">former </w:t>
      </w:r>
      <w:r w:rsidR="002C13B2">
        <w:rPr>
          <w:rFonts w:ascii="Times New Roman" w:hAnsi="Times New Roman" w:cs="Times New Roman"/>
        </w:rPr>
        <w:t>OTS E</w:t>
      </w:r>
      <w:r w:rsidR="00346639">
        <w:rPr>
          <w:rFonts w:ascii="Times New Roman" w:hAnsi="Times New Roman" w:cs="Times New Roman"/>
        </w:rPr>
        <w:t xml:space="preserve">lectronic </w:t>
      </w:r>
      <w:r w:rsidR="002C13B2">
        <w:rPr>
          <w:rFonts w:ascii="Times New Roman" w:hAnsi="Times New Roman" w:cs="Times New Roman"/>
        </w:rPr>
        <w:t>F</w:t>
      </w:r>
      <w:r w:rsidR="00346639">
        <w:rPr>
          <w:rFonts w:ascii="Times New Roman" w:hAnsi="Times New Roman" w:cs="Times New Roman"/>
        </w:rPr>
        <w:t xml:space="preserve">iling </w:t>
      </w:r>
      <w:r w:rsidR="002C13B2">
        <w:rPr>
          <w:rFonts w:ascii="Times New Roman" w:hAnsi="Times New Roman" w:cs="Times New Roman"/>
        </w:rPr>
        <w:t>S</w:t>
      </w:r>
      <w:r w:rsidR="00346639">
        <w:rPr>
          <w:rFonts w:ascii="Times New Roman" w:hAnsi="Times New Roman" w:cs="Times New Roman"/>
        </w:rPr>
        <w:t>ystem</w:t>
      </w:r>
      <w:r w:rsidR="002C13B2">
        <w:rPr>
          <w:rFonts w:ascii="Times New Roman" w:hAnsi="Times New Roman" w:cs="Times New Roman"/>
        </w:rPr>
        <w:t>, the IESUB application would validate the report</w:t>
      </w:r>
      <w:r w:rsidR="00346639">
        <w:rPr>
          <w:rFonts w:ascii="Times New Roman" w:hAnsi="Times New Roman" w:cs="Times New Roman"/>
        </w:rPr>
        <w:t>ed</w:t>
      </w:r>
      <w:r w:rsidR="002C13B2">
        <w:rPr>
          <w:rFonts w:ascii="Times New Roman" w:hAnsi="Times New Roman" w:cs="Times New Roman"/>
        </w:rPr>
        <w:t xml:space="preserve"> data </w:t>
      </w:r>
      <w:r w:rsidR="002C13B2" w:rsidRPr="0047151A">
        <w:rPr>
          <w:rFonts w:ascii="Times New Roman" w:hAnsi="Times New Roman" w:cs="Times New Roman"/>
        </w:rPr>
        <w:t>for mathematical and logical consistency</w:t>
      </w:r>
      <w:r w:rsidR="00F9127E">
        <w:rPr>
          <w:rFonts w:ascii="Times New Roman" w:hAnsi="Times New Roman" w:cs="Times New Roman"/>
        </w:rPr>
        <w:t>, calculate derived items,</w:t>
      </w:r>
      <w:r w:rsidR="002C13B2" w:rsidRPr="0047151A">
        <w:rPr>
          <w:rFonts w:ascii="Times New Roman" w:hAnsi="Times New Roman" w:cs="Times New Roman"/>
        </w:rPr>
        <w:t xml:space="preserve"> and provide the reporting institution with a confirmation receipt of </w:t>
      </w:r>
      <w:r w:rsidR="003278E1">
        <w:rPr>
          <w:rFonts w:ascii="Times New Roman" w:hAnsi="Times New Roman" w:cs="Times New Roman"/>
        </w:rPr>
        <w:t>its</w:t>
      </w:r>
      <w:r w:rsidR="003278E1" w:rsidRPr="0047151A">
        <w:rPr>
          <w:rFonts w:ascii="Times New Roman" w:hAnsi="Times New Roman" w:cs="Times New Roman"/>
        </w:rPr>
        <w:t xml:space="preserve"> </w:t>
      </w:r>
      <w:r w:rsidR="002C13B2" w:rsidRPr="0047151A">
        <w:rPr>
          <w:rFonts w:ascii="Times New Roman" w:hAnsi="Times New Roman" w:cs="Times New Roman"/>
        </w:rPr>
        <w:t xml:space="preserve">submission. </w:t>
      </w:r>
      <w:r w:rsidR="002C13B2">
        <w:rPr>
          <w:rFonts w:ascii="Times New Roman" w:hAnsi="Times New Roman" w:cs="Times New Roman"/>
        </w:rPr>
        <w:t xml:space="preserve"> </w:t>
      </w:r>
      <w:r w:rsidR="00346639">
        <w:rPr>
          <w:rFonts w:ascii="Times New Roman" w:hAnsi="Times New Roman" w:cs="Times New Roman"/>
        </w:rPr>
        <w:t>R</w:t>
      </w:r>
      <w:r w:rsidR="002C13B2" w:rsidRPr="0047151A">
        <w:rPr>
          <w:rFonts w:ascii="Times New Roman" w:hAnsi="Times New Roman" w:cs="Times New Roman"/>
        </w:rPr>
        <w:t>espondent</w:t>
      </w:r>
      <w:r w:rsidR="00346639">
        <w:rPr>
          <w:rFonts w:ascii="Times New Roman" w:hAnsi="Times New Roman" w:cs="Times New Roman"/>
        </w:rPr>
        <w:t>s</w:t>
      </w:r>
      <w:r w:rsidR="002C13B2" w:rsidRPr="0047151A">
        <w:rPr>
          <w:rFonts w:ascii="Times New Roman" w:hAnsi="Times New Roman" w:cs="Times New Roman"/>
        </w:rPr>
        <w:t xml:space="preserve"> interested in more </w:t>
      </w:r>
      <w:r w:rsidR="00346639">
        <w:rPr>
          <w:rFonts w:ascii="Times New Roman" w:hAnsi="Times New Roman" w:cs="Times New Roman"/>
        </w:rPr>
        <w:t xml:space="preserve">information </w:t>
      </w:r>
      <w:r w:rsidR="002C13B2" w:rsidRPr="0047151A">
        <w:rPr>
          <w:rFonts w:ascii="Times New Roman" w:hAnsi="Times New Roman" w:cs="Times New Roman"/>
        </w:rPr>
        <w:t xml:space="preserve">about IESUB </w:t>
      </w:r>
      <w:r w:rsidR="002C13B2">
        <w:rPr>
          <w:rFonts w:ascii="Times New Roman" w:hAnsi="Times New Roman" w:cs="Times New Roman"/>
        </w:rPr>
        <w:t>w</w:t>
      </w:r>
      <w:r w:rsidR="002C13B2" w:rsidRPr="0047151A">
        <w:rPr>
          <w:rFonts w:ascii="Times New Roman" w:hAnsi="Times New Roman" w:cs="Times New Roman"/>
        </w:rPr>
        <w:t xml:space="preserve">ould </w:t>
      </w:r>
      <w:r w:rsidR="002C13B2">
        <w:rPr>
          <w:rFonts w:ascii="Times New Roman" w:hAnsi="Times New Roman" w:cs="Times New Roman"/>
        </w:rPr>
        <w:t xml:space="preserve">be directed to </w:t>
      </w:r>
      <w:r w:rsidR="002C13B2" w:rsidRPr="0047151A">
        <w:rPr>
          <w:rFonts w:ascii="Times New Roman" w:hAnsi="Times New Roman" w:cs="Times New Roman"/>
        </w:rPr>
        <w:t xml:space="preserve">the Federal Reserve Bank Services – Reporting Central website </w:t>
      </w:r>
      <w:r w:rsidR="00346639">
        <w:rPr>
          <w:rFonts w:ascii="Times New Roman" w:hAnsi="Times New Roman" w:cs="Times New Roman"/>
        </w:rPr>
        <w:t xml:space="preserve">at </w:t>
      </w:r>
      <w:hyperlink r:id="rId8" w:history="1">
        <w:r w:rsidR="00346639" w:rsidRPr="002F5206">
          <w:rPr>
            <w:rStyle w:val="Hyperlink"/>
            <w:rFonts w:ascii="Times New Roman" w:hAnsi="Times New Roman" w:cs="Times New Roman"/>
          </w:rPr>
          <w:t>http://www.frbservices.org/centralbank/reportingcentral/index.html</w:t>
        </w:r>
      </w:hyperlink>
      <w:r w:rsidR="00346639">
        <w:rPr>
          <w:rFonts w:ascii="Times New Roman" w:hAnsi="Times New Roman" w:cs="Times New Roman"/>
        </w:rPr>
        <w:t xml:space="preserve"> and to their </w:t>
      </w:r>
      <w:r w:rsidR="00346639" w:rsidRPr="0047151A">
        <w:rPr>
          <w:rFonts w:ascii="Times New Roman" w:hAnsi="Times New Roman" w:cs="Times New Roman"/>
        </w:rPr>
        <w:t xml:space="preserve">Federal Reserve Bank </w:t>
      </w:r>
      <w:r w:rsidR="00346639">
        <w:rPr>
          <w:rFonts w:ascii="Times New Roman" w:hAnsi="Times New Roman" w:cs="Times New Roman"/>
        </w:rPr>
        <w:t>contact.</w:t>
      </w:r>
      <w:r w:rsidR="002C13B2" w:rsidRPr="0047151A">
        <w:rPr>
          <w:rFonts w:ascii="Times New Roman" w:hAnsi="Times New Roman" w:cs="Times New Roman"/>
        </w:rPr>
        <w:t xml:space="preserve"> </w:t>
      </w:r>
    </w:p>
    <w:p w:rsidR="00A82586" w:rsidRPr="0047151A" w:rsidRDefault="002C13B2" w:rsidP="00A82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trike/>
          <w:sz w:val="24"/>
          <w:szCs w:val="24"/>
        </w:rPr>
      </w:pPr>
      <w:r>
        <w:rPr>
          <w:rFonts w:ascii="Times New Roman" w:hAnsi="Times New Roman" w:cs="Times New Roman"/>
          <w:sz w:val="24"/>
          <w:szCs w:val="24"/>
        </w:rPr>
        <w:tab/>
      </w:r>
      <w:r w:rsidR="00FC1E38" w:rsidRPr="007257CA">
        <w:rPr>
          <w:rFonts w:ascii="Times New Roman" w:hAnsi="Times New Roman" w:cs="Times New Roman"/>
          <w:color w:val="000000"/>
          <w:sz w:val="24"/>
          <w:szCs w:val="24"/>
        </w:rPr>
        <w:t xml:space="preserve"> </w:t>
      </w:r>
    </w:p>
    <w:p w:rsidR="00FC1E38" w:rsidRPr="0047151A" w:rsidRDefault="00FC1E38" w:rsidP="00FC1E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47151A">
        <w:rPr>
          <w:rFonts w:ascii="Times New Roman" w:hAnsi="Times New Roman" w:cs="Times New Roman"/>
          <w:b/>
          <w:sz w:val="24"/>
          <w:szCs w:val="24"/>
        </w:rPr>
        <w:t>Legal Status</w:t>
      </w:r>
    </w:p>
    <w:p w:rsidR="005703E3" w:rsidRDefault="005703E3"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6E75F3" w:rsidRPr="006E75F3" w:rsidRDefault="006E75F3" w:rsidP="00461E5C">
      <w:pPr>
        <w:widowControl/>
        <w:ind w:firstLine="720"/>
        <w:rPr>
          <w:rFonts w:ascii="Times New Roman" w:hAnsi="Times New Roman" w:cs="Times New Roman"/>
          <w:sz w:val="24"/>
          <w:szCs w:val="24"/>
        </w:rPr>
      </w:pPr>
      <w:r w:rsidRPr="006E75F3">
        <w:rPr>
          <w:rFonts w:ascii="Times New Roman" w:hAnsi="Times New Roman"/>
          <w:color w:val="000000"/>
          <w:sz w:val="24"/>
          <w:szCs w:val="24"/>
        </w:rPr>
        <w:t xml:space="preserve">The Board's Legal Division has determined that section </w:t>
      </w:r>
      <w:r>
        <w:rPr>
          <w:rFonts w:ascii="Times New Roman" w:hAnsi="Times New Roman"/>
          <w:color w:val="000000"/>
          <w:sz w:val="24"/>
          <w:szCs w:val="24"/>
        </w:rPr>
        <w:t>312</w:t>
      </w:r>
      <w:r w:rsidRPr="006E75F3">
        <w:rPr>
          <w:rFonts w:ascii="Times New Roman" w:hAnsi="Times New Roman"/>
          <w:color w:val="000000"/>
          <w:sz w:val="24"/>
          <w:szCs w:val="24"/>
        </w:rPr>
        <w:t xml:space="preserve"> of the </w:t>
      </w:r>
      <w:r>
        <w:rPr>
          <w:rFonts w:ascii="Times New Roman" w:hAnsi="Times New Roman"/>
          <w:color w:val="000000"/>
          <w:sz w:val="24"/>
          <w:szCs w:val="24"/>
        </w:rPr>
        <w:t xml:space="preserve">Dodd-Frank Act and section 10 of the Home Owners’ Loan Act (HOLA), as amended by section 369 of the Dodd-Frank Act </w:t>
      </w:r>
      <w:r w:rsidRPr="006E75F3">
        <w:rPr>
          <w:rFonts w:ascii="Times New Roman" w:hAnsi="Times New Roman"/>
          <w:color w:val="000000"/>
          <w:sz w:val="24"/>
          <w:szCs w:val="24"/>
        </w:rPr>
        <w:t xml:space="preserve">authorize the </w:t>
      </w:r>
      <w:r w:rsidR="001766ED">
        <w:rPr>
          <w:rFonts w:ascii="Times New Roman" w:hAnsi="Times New Roman"/>
          <w:color w:val="000000"/>
          <w:sz w:val="24"/>
          <w:szCs w:val="24"/>
        </w:rPr>
        <w:t xml:space="preserve">Federal Reserve </w:t>
      </w:r>
      <w:r w:rsidRPr="006E75F3">
        <w:rPr>
          <w:rFonts w:ascii="Times New Roman" w:hAnsi="Times New Roman"/>
          <w:color w:val="000000"/>
          <w:sz w:val="24"/>
          <w:szCs w:val="24"/>
        </w:rPr>
        <w:t xml:space="preserve">to </w:t>
      </w:r>
      <w:r>
        <w:rPr>
          <w:rFonts w:ascii="Times New Roman" w:hAnsi="Times New Roman"/>
          <w:color w:val="000000"/>
          <w:sz w:val="24"/>
          <w:szCs w:val="24"/>
        </w:rPr>
        <w:t>collect information on</w:t>
      </w:r>
      <w:r w:rsidRPr="006E75F3">
        <w:rPr>
          <w:rFonts w:ascii="Times New Roman" w:hAnsi="Times New Roman"/>
          <w:color w:val="000000"/>
          <w:sz w:val="24"/>
          <w:szCs w:val="24"/>
        </w:rPr>
        <w:t xml:space="preserve"> the FR </w:t>
      </w:r>
      <w:r>
        <w:rPr>
          <w:rFonts w:ascii="Times New Roman" w:hAnsi="Times New Roman"/>
          <w:color w:val="000000"/>
          <w:sz w:val="24"/>
          <w:szCs w:val="24"/>
        </w:rPr>
        <w:t>2320</w:t>
      </w:r>
      <w:r w:rsidRPr="006E75F3">
        <w:rPr>
          <w:rFonts w:ascii="Times New Roman" w:hAnsi="Times New Roman"/>
          <w:color w:val="000000"/>
          <w:sz w:val="24"/>
          <w:szCs w:val="24"/>
        </w:rPr>
        <w:t>.</w:t>
      </w:r>
      <w:r>
        <w:rPr>
          <w:rFonts w:ascii="Times New Roman" w:hAnsi="Times New Roman"/>
          <w:color w:val="000000"/>
          <w:sz w:val="24"/>
          <w:szCs w:val="24"/>
        </w:rPr>
        <w:t xml:space="preserve">  Section 312(b)(1) of the Dodd-Frank Act transfers to the </w:t>
      </w:r>
      <w:r w:rsidR="003019FB">
        <w:rPr>
          <w:rFonts w:ascii="Times New Roman" w:hAnsi="Times New Roman"/>
          <w:color w:val="000000"/>
          <w:sz w:val="24"/>
          <w:szCs w:val="24"/>
        </w:rPr>
        <w:t>Federal Reserve</w:t>
      </w:r>
      <w:r>
        <w:rPr>
          <w:rFonts w:ascii="Times New Roman" w:hAnsi="Times New Roman"/>
          <w:color w:val="000000"/>
          <w:sz w:val="24"/>
          <w:szCs w:val="24"/>
        </w:rPr>
        <w:t xml:space="preserve"> “all functions of the Office of Thrift Supervision and the Director of the Office of Thrift Supervision</w:t>
      </w:r>
      <w:r w:rsidR="00461E5C">
        <w:rPr>
          <w:rFonts w:ascii="Times New Roman" w:hAnsi="Times New Roman"/>
          <w:color w:val="000000"/>
          <w:sz w:val="24"/>
          <w:szCs w:val="24"/>
        </w:rPr>
        <w:t xml:space="preserve"> (OTS)</w:t>
      </w:r>
      <w:r>
        <w:rPr>
          <w:rFonts w:ascii="Times New Roman" w:hAnsi="Times New Roman"/>
          <w:color w:val="000000"/>
          <w:sz w:val="24"/>
          <w:szCs w:val="24"/>
        </w:rPr>
        <w:t xml:space="preserve">…relating to….the supervision of (I) any savings and loan holding company; and (II) any subsidiary (other than a depository institution) of a savings and loan holding company.” Pub. L. No. 111-203, </w:t>
      </w:r>
      <w:r>
        <w:rPr>
          <w:rFonts w:ascii="Times New Roman" w:hAnsi="Times New Roman" w:cs="Times New Roman"/>
          <w:color w:val="000000"/>
          <w:sz w:val="24"/>
          <w:szCs w:val="24"/>
        </w:rPr>
        <w:t>§</w:t>
      </w:r>
      <w:r>
        <w:rPr>
          <w:rFonts w:ascii="Times New Roman" w:hAnsi="Times New Roman"/>
          <w:color w:val="000000"/>
          <w:sz w:val="24"/>
          <w:szCs w:val="24"/>
        </w:rPr>
        <w:t xml:space="preserve"> 312(b)(1).  Section 10 of HOLA requires SLHCs to file “such reports as may be required by the Board” and that such reports “shall contain such information concerning the operations of such savings and loan holding company and its subsidiaries as the</w:t>
      </w:r>
      <w:r w:rsidR="007D4CCB">
        <w:rPr>
          <w:rFonts w:ascii="Times New Roman" w:hAnsi="Times New Roman"/>
          <w:color w:val="000000"/>
          <w:sz w:val="24"/>
          <w:szCs w:val="24"/>
        </w:rPr>
        <w:t xml:space="preserve"> </w:t>
      </w:r>
      <w:r>
        <w:rPr>
          <w:rFonts w:ascii="Times New Roman" w:hAnsi="Times New Roman"/>
          <w:color w:val="000000"/>
          <w:sz w:val="24"/>
          <w:szCs w:val="24"/>
        </w:rPr>
        <w:t xml:space="preserve">Board may require” 12 U.S.C. </w:t>
      </w:r>
      <w:r>
        <w:rPr>
          <w:rFonts w:ascii="Times New Roman" w:hAnsi="Times New Roman" w:cs="Times New Roman"/>
          <w:color w:val="000000"/>
          <w:sz w:val="24"/>
          <w:szCs w:val="24"/>
        </w:rPr>
        <w:t>§</w:t>
      </w:r>
      <w:r>
        <w:rPr>
          <w:rFonts w:ascii="Times New Roman" w:hAnsi="Times New Roman"/>
          <w:color w:val="000000"/>
          <w:sz w:val="24"/>
          <w:szCs w:val="24"/>
        </w:rPr>
        <w:t xml:space="preserve">1467a(b)(2), as amended by Pub. L. No. 111-201, </w:t>
      </w:r>
      <w:r>
        <w:rPr>
          <w:rFonts w:ascii="Times New Roman" w:hAnsi="Times New Roman" w:cs="Times New Roman"/>
          <w:color w:val="000000"/>
          <w:sz w:val="24"/>
          <w:szCs w:val="24"/>
        </w:rPr>
        <w:t>§</w:t>
      </w:r>
      <w:r>
        <w:rPr>
          <w:rFonts w:ascii="Times New Roman" w:hAnsi="Times New Roman"/>
          <w:color w:val="000000"/>
          <w:sz w:val="24"/>
          <w:szCs w:val="24"/>
        </w:rPr>
        <w:t xml:space="preserve"> 369(8).</w:t>
      </w:r>
    </w:p>
    <w:p w:rsidR="006E75F3" w:rsidRDefault="009D30A3" w:rsidP="009D30A3">
      <w:pPr>
        <w:pStyle w:val="BodyText"/>
        <w:tabs>
          <w:tab w:val="left" w:pos="-1440"/>
        </w:tabs>
        <w:spacing w:after="0"/>
        <w:rPr>
          <w:rFonts w:ascii="Times New Roman" w:hAnsi="Times New Roman" w:cs="Times New Roman"/>
          <w:sz w:val="24"/>
          <w:szCs w:val="24"/>
        </w:rPr>
      </w:pPr>
      <w:r>
        <w:rPr>
          <w:rFonts w:ascii="Times New Roman" w:hAnsi="Times New Roman" w:cs="Times New Roman"/>
          <w:sz w:val="24"/>
          <w:szCs w:val="24"/>
        </w:rPr>
        <w:tab/>
      </w:r>
    </w:p>
    <w:p w:rsidR="00E82C47" w:rsidRDefault="00461E5C" w:rsidP="00461E5C">
      <w:pPr>
        <w:rPr>
          <w:rFonts w:ascii="Times New Roman" w:hAnsi="Times New Roman" w:cs="Times New Roman"/>
          <w:sz w:val="24"/>
          <w:szCs w:val="24"/>
        </w:rPr>
      </w:pPr>
      <w:r>
        <w:rPr>
          <w:rFonts w:ascii="Times New Roman" w:hAnsi="Times New Roman" w:cs="Times New Roman"/>
          <w:sz w:val="24"/>
          <w:szCs w:val="24"/>
        </w:rPr>
        <w:tab/>
      </w:r>
      <w:r w:rsidR="00632517">
        <w:rPr>
          <w:rFonts w:ascii="Times New Roman" w:hAnsi="Times New Roman" w:cs="Times New Roman"/>
          <w:sz w:val="24"/>
          <w:szCs w:val="24"/>
        </w:rPr>
        <w:t xml:space="preserve">The Board’s Legal Division </w:t>
      </w:r>
      <w:r w:rsidRPr="00461E5C">
        <w:rPr>
          <w:rFonts w:ascii="Times New Roman" w:hAnsi="Times New Roman" w:cs="Times New Roman"/>
          <w:sz w:val="24"/>
          <w:szCs w:val="24"/>
        </w:rPr>
        <w:t xml:space="preserve">has </w:t>
      </w:r>
      <w:r w:rsidR="00346639">
        <w:rPr>
          <w:rFonts w:ascii="Times New Roman" w:hAnsi="Times New Roman" w:cs="Times New Roman"/>
          <w:sz w:val="24"/>
          <w:szCs w:val="24"/>
        </w:rPr>
        <w:t xml:space="preserve">also </w:t>
      </w:r>
      <w:r w:rsidRPr="00461E5C">
        <w:rPr>
          <w:rFonts w:ascii="Times New Roman" w:hAnsi="Times New Roman" w:cs="Times New Roman"/>
          <w:sz w:val="24"/>
          <w:szCs w:val="24"/>
        </w:rPr>
        <w:t xml:space="preserve">determined that a few of the </w:t>
      </w:r>
      <w:r w:rsidR="00346639">
        <w:rPr>
          <w:rFonts w:ascii="Times New Roman" w:hAnsi="Times New Roman" w:cs="Times New Roman"/>
          <w:sz w:val="24"/>
          <w:szCs w:val="24"/>
        </w:rPr>
        <w:t xml:space="preserve">data </w:t>
      </w:r>
      <w:r w:rsidRPr="00461E5C">
        <w:rPr>
          <w:rFonts w:ascii="Times New Roman" w:hAnsi="Times New Roman" w:cs="Times New Roman"/>
          <w:sz w:val="24"/>
          <w:szCs w:val="24"/>
        </w:rPr>
        <w:t>items</w:t>
      </w:r>
      <w:r>
        <w:rPr>
          <w:rFonts w:ascii="Times New Roman" w:hAnsi="Times New Roman" w:cs="Times New Roman"/>
          <w:sz w:val="24"/>
          <w:szCs w:val="24"/>
        </w:rPr>
        <w:t xml:space="preserve"> that </w:t>
      </w:r>
      <w:r w:rsidRPr="00461E5C">
        <w:rPr>
          <w:rFonts w:ascii="Times New Roman" w:hAnsi="Times New Roman" w:cs="Times New Roman"/>
          <w:sz w:val="24"/>
          <w:szCs w:val="24"/>
        </w:rPr>
        <w:t xml:space="preserve">OTS had deemed confidential—specifically, the FR 2320 counterparts to items C572, C573, and C574 on Schedule HC—may be protected from disclosure under exemption 4 of the Freedom of Information Act (FOIA).  Commercial or financial information may be protected from disclosure under exemption 4 if disclosure of such information is likely to cause substantial competitive harm to the provider of the information.  </w:t>
      </w:r>
      <w:r w:rsidRPr="00461E5C">
        <w:rPr>
          <w:rFonts w:ascii="Times New Roman" w:hAnsi="Times New Roman" w:cs="Times New Roman"/>
          <w:i/>
          <w:sz w:val="24"/>
          <w:szCs w:val="24"/>
        </w:rPr>
        <w:t xml:space="preserve">See </w:t>
      </w:r>
      <w:r w:rsidRPr="00461E5C">
        <w:rPr>
          <w:rFonts w:ascii="Times New Roman" w:hAnsi="Times New Roman" w:cs="Times New Roman"/>
          <w:sz w:val="24"/>
          <w:szCs w:val="24"/>
        </w:rPr>
        <w:t xml:space="preserve">5 U.S.C. § 552(b)(4); </w:t>
      </w:r>
      <w:r w:rsidRPr="00461E5C">
        <w:rPr>
          <w:rFonts w:ascii="Times New Roman" w:hAnsi="Times New Roman" w:cs="Times New Roman"/>
          <w:sz w:val="24"/>
          <w:szCs w:val="24"/>
          <w:u w:val="single"/>
        </w:rPr>
        <w:t>National Parks &amp; Conservation Ass’n v. Morton</w:t>
      </w:r>
      <w:r w:rsidRPr="00461E5C">
        <w:rPr>
          <w:rFonts w:ascii="Times New Roman" w:hAnsi="Times New Roman" w:cs="Times New Roman"/>
          <w:sz w:val="24"/>
          <w:szCs w:val="24"/>
        </w:rPr>
        <w:t xml:space="preserve">, 498 F.2d 765 (D.C. Cir. 1974).  The </w:t>
      </w:r>
      <w:r>
        <w:rPr>
          <w:rFonts w:ascii="Times New Roman" w:hAnsi="Times New Roman" w:cs="Times New Roman"/>
          <w:sz w:val="24"/>
          <w:szCs w:val="24"/>
        </w:rPr>
        <w:t xml:space="preserve">data </w:t>
      </w:r>
      <w:r w:rsidRPr="00461E5C">
        <w:rPr>
          <w:rFonts w:ascii="Times New Roman" w:hAnsi="Times New Roman" w:cs="Times New Roman"/>
          <w:sz w:val="24"/>
          <w:szCs w:val="24"/>
        </w:rPr>
        <w:t xml:space="preserve">items listed above pertain to new or changed pledges, or capital stock of any subsidiary savings association that secures short-term or long-term debt or other borrowings of the SLHC; changes to any class of securities of the SLHC or any of its subsidiaries that would negatively impact investors; and defaults of the SLHC or any of its subsidiaries during the quarter.  Disclosure of this type of information is likely to cause substantial competitive harm to the SLHC providing the information and thus this information may be protected from disclosure under FOIA </w:t>
      </w:r>
    </w:p>
    <w:p w:rsidR="00461E5C" w:rsidRPr="00461E5C" w:rsidRDefault="00461E5C" w:rsidP="00461E5C">
      <w:pPr>
        <w:rPr>
          <w:rFonts w:ascii="Times New Roman" w:hAnsi="Times New Roman" w:cs="Times New Roman"/>
          <w:sz w:val="24"/>
          <w:szCs w:val="24"/>
        </w:rPr>
      </w:pPr>
      <w:r w:rsidRPr="00461E5C">
        <w:rPr>
          <w:rFonts w:ascii="Times New Roman" w:hAnsi="Times New Roman" w:cs="Times New Roman"/>
          <w:sz w:val="24"/>
          <w:szCs w:val="24"/>
        </w:rPr>
        <w:t>exemption 4.</w:t>
      </w:r>
    </w:p>
    <w:p w:rsidR="00461E5C" w:rsidRPr="00461E5C" w:rsidRDefault="00461E5C" w:rsidP="00461E5C">
      <w:pPr>
        <w:tabs>
          <w:tab w:val="left" w:pos="-1440"/>
          <w:tab w:val="left" w:pos="-720"/>
          <w:tab w:val="left" w:pos="1440"/>
          <w:tab w:val="left" w:pos="4608"/>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p>
    <w:p w:rsidR="00C515B1" w:rsidRPr="00C515B1" w:rsidRDefault="00461E5C" w:rsidP="00C515B1">
      <w:pPr>
        <w:rPr>
          <w:rFonts w:ascii="Times New Roman" w:hAnsi="Times New Roman" w:cs="Times New Roman"/>
          <w:bCs/>
          <w:sz w:val="24"/>
          <w:szCs w:val="24"/>
        </w:rPr>
      </w:pPr>
      <w:r>
        <w:rPr>
          <w:rFonts w:ascii="Times New Roman" w:hAnsi="Times New Roman" w:cs="Times New Roman"/>
          <w:sz w:val="24"/>
          <w:szCs w:val="24"/>
        </w:rPr>
        <w:tab/>
      </w:r>
      <w:r w:rsidRPr="00461E5C">
        <w:rPr>
          <w:rFonts w:ascii="Times New Roman" w:hAnsi="Times New Roman" w:cs="Times New Roman"/>
          <w:sz w:val="24"/>
          <w:szCs w:val="24"/>
        </w:rPr>
        <w:t xml:space="preserve">With regard to the remaining </w:t>
      </w:r>
      <w:r w:rsidR="00A57939">
        <w:rPr>
          <w:rFonts w:ascii="Times New Roman" w:hAnsi="Times New Roman" w:cs="Times New Roman"/>
          <w:sz w:val="24"/>
          <w:szCs w:val="24"/>
        </w:rPr>
        <w:t xml:space="preserve">data </w:t>
      </w:r>
      <w:r w:rsidRPr="00461E5C">
        <w:rPr>
          <w:rFonts w:ascii="Times New Roman" w:hAnsi="Times New Roman" w:cs="Times New Roman"/>
          <w:sz w:val="24"/>
          <w:szCs w:val="24"/>
        </w:rPr>
        <w:t xml:space="preserve">items OTS </w:t>
      </w:r>
      <w:r>
        <w:rPr>
          <w:rFonts w:ascii="Times New Roman" w:hAnsi="Times New Roman" w:cs="Times New Roman"/>
          <w:sz w:val="24"/>
          <w:szCs w:val="24"/>
        </w:rPr>
        <w:t xml:space="preserve">had </w:t>
      </w:r>
      <w:r w:rsidRPr="00461E5C">
        <w:rPr>
          <w:rFonts w:ascii="Times New Roman" w:hAnsi="Times New Roman" w:cs="Times New Roman"/>
          <w:sz w:val="24"/>
          <w:szCs w:val="24"/>
        </w:rPr>
        <w:t>deemed confidential on Schedule HC</w:t>
      </w:r>
      <w:r w:rsidR="00C515B1">
        <w:rPr>
          <w:rFonts w:ascii="Times New Roman" w:hAnsi="Times New Roman" w:cs="Times New Roman"/>
          <w:sz w:val="24"/>
          <w:szCs w:val="24"/>
        </w:rPr>
        <w:t xml:space="preserve">, the Board’s Legal Division has opined that </w:t>
      </w:r>
      <w:r w:rsidR="00C515B1" w:rsidRPr="00C515B1">
        <w:rPr>
          <w:rFonts w:ascii="Times New Roman" w:hAnsi="Times New Roman" w:cs="Times New Roman"/>
          <w:sz w:val="24"/>
          <w:szCs w:val="24"/>
        </w:rPr>
        <w:t xml:space="preserve">data items no longer held as confidential will not cause competitive harm to any institution, publicly or privately held and notes there are several </w:t>
      </w:r>
      <w:r w:rsidR="00C515B1" w:rsidRPr="00C515B1">
        <w:rPr>
          <w:rFonts w:ascii="Times New Roman" w:hAnsi="Times New Roman" w:cs="Times New Roman"/>
          <w:sz w:val="24"/>
          <w:szCs w:val="24"/>
        </w:rPr>
        <w:lastRenderedPageBreak/>
        <w:t>BHCs that are privately held where similar information is made publicly available.  However</w:t>
      </w:r>
      <w:r w:rsidR="00C515B1">
        <w:rPr>
          <w:rFonts w:ascii="Times New Roman" w:hAnsi="Times New Roman" w:cs="Times New Roman"/>
          <w:sz w:val="24"/>
          <w:szCs w:val="24"/>
        </w:rPr>
        <w:t xml:space="preserve">, </w:t>
      </w:r>
      <w:r w:rsidR="00C515B1" w:rsidRPr="00C515B1">
        <w:rPr>
          <w:rFonts w:ascii="Times New Roman" w:hAnsi="Times New Roman" w:cs="Times New Roman"/>
          <w:sz w:val="24"/>
          <w:szCs w:val="24"/>
        </w:rPr>
        <w:t xml:space="preserve">institutions may request, in writing, confidential treatment for any </w:t>
      </w:r>
      <w:r w:rsidR="00346639">
        <w:rPr>
          <w:rFonts w:ascii="Times New Roman" w:hAnsi="Times New Roman" w:cs="Times New Roman"/>
          <w:sz w:val="24"/>
          <w:szCs w:val="24"/>
        </w:rPr>
        <w:t xml:space="preserve">FR 2320 </w:t>
      </w:r>
      <w:r w:rsidR="00C515B1" w:rsidRPr="00C515B1">
        <w:rPr>
          <w:rFonts w:ascii="Times New Roman" w:hAnsi="Times New Roman" w:cs="Times New Roman"/>
          <w:sz w:val="24"/>
          <w:szCs w:val="24"/>
        </w:rPr>
        <w:t xml:space="preserve">data item or for all </w:t>
      </w:r>
      <w:r w:rsidR="00346639">
        <w:rPr>
          <w:rFonts w:ascii="Times New Roman" w:hAnsi="Times New Roman" w:cs="Times New Roman"/>
          <w:sz w:val="24"/>
          <w:szCs w:val="24"/>
        </w:rPr>
        <w:t xml:space="preserve">FR 2320 </w:t>
      </w:r>
      <w:r w:rsidR="00C515B1" w:rsidRPr="00C515B1">
        <w:rPr>
          <w:rFonts w:ascii="Times New Roman" w:hAnsi="Times New Roman" w:cs="Times New Roman"/>
          <w:sz w:val="24"/>
          <w:szCs w:val="24"/>
        </w:rPr>
        <w:t>data items, and confidential treatment will be afforded if the institution is able to establish that disclosure would cause substantial competitive harm.</w:t>
      </w:r>
    </w:p>
    <w:p w:rsidR="006E75F3" w:rsidRPr="00461E5C" w:rsidRDefault="006E75F3" w:rsidP="00C515B1">
      <w:pPr>
        <w:rPr>
          <w:rFonts w:ascii="Times New Roman" w:hAnsi="Times New Roman" w:cs="Times New Roman"/>
          <w:b/>
          <w:sz w:val="24"/>
          <w:szCs w:val="24"/>
        </w:rPr>
      </w:pPr>
    </w:p>
    <w:p w:rsidR="00C23012" w:rsidRPr="00461E5C" w:rsidRDefault="00C23012" w:rsidP="00461E5C">
      <w:pPr>
        <w:pStyle w:val="BodyText"/>
        <w:tabs>
          <w:tab w:val="left" w:pos="-1440"/>
        </w:tabs>
        <w:spacing w:after="0"/>
        <w:rPr>
          <w:rFonts w:ascii="Times New Roman" w:hAnsi="Times New Roman" w:cs="Times New Roman"/>
          <w:b/>
          <w:sz w:val="24"/>
          <w:szCs w:val="24"/>
        </w:rPr>
      </w:pPr>
      <w:r w:rsidRPr="00461E5C">
        <w:rPr>
          <w:rFonts w:ascii="Times New Roman" w:hAnsi="Times New Roman" w:cs="Times New Roman"/>
          <w:b/>
          <w:sz w:val="24"/>
          <w:szCs w:val="24"/>
        </w:rPr>
        <w:t>Consultation Outside the Agency</w:t>
      </w:r>
    </w:p>
    <w:p w:rsidR="00C23012" w:rsidRPr="00461E5C" w:rsidRDefault="00C23012" w:rsidP="00C23012">
      <w:pPr>
        <w:keepNext/>
        <w:keepLines/>
        <w:widowControl/>
        <w:rPr>
          <w:rFonts w:ascii="Times New Roman" w:hAnsi="Times New Roman" w:cs="Times New Roman"/>
          <w:b/>
          <w:sz w:val="24"/>
          <w:szCs w:val="24"/>
        </w:rPr>
      </w:pPr>
    </w:p>
    <w:p w:rsidR="00D1407C" w:rsidRDefault="00096160" w:rsidP="0093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sz w:val="24"/>
          <w:szCs w:val="24"/>
        </w:rPr>
      </w:pPr>
      <w:r>
        <w:rPr>
          <w:rFonts w:ascii="Times New Roman" w:hAnsi="Times New Roman" w:cs="Times New Roman"/>
          <w:sz w:val="24"/>
          <w:szCs w:val="24"/>
        </w:rPr>
        <w:t>The Federal Reserve consulted with</w:t>
      </w:r>
      <w:r w:rsidR="001766ED">
        <w:rPr>
          <w:rFonts w:ascii="Times New Roman" w:hAnsi="Times New Roman" w:cs="Times New Roman"/>
          <w:sz w:val="24"/>
          <w:szCs w:val="24"/>
        </w:rPr>
        <w:t xml:space="preserve"> </w:t>
      </w:r>
      <w:r w:rsidR="001766ED" w:rsidRPr="0093176E">
        <w:rPr>
          <w:rFonts w:ascii="Times New Roman" w:hAnsi="Times New Roman" w:cs="Times New Roman"/>
          <w:sz w:val="24"/>
          <w:szCs w:val="24"/>
        </w:rPr>
        <w:t>Office of the Comptroller of the Currency</w:t>
      </w:r>
      <w:r w:rsidR="001766ED">
        <w:rPr>
          <w:rFonts w:cs="Courier New"/>
          <w:b/>
        </w:rPr>
        <w:t xml:space="preserve"> </w:t>
      </w:r>
      <w:r>
        <w:rPr>
          <w:rFonts w:ascii="Times New Roman" w:hAnsi="Times New Roman" w:cs="Times New Roman"/>
          <w:sz w:val="24"/>
          <w:szCs w:val="24"/>
        </w:rPr>
        <w:t xml:space="preserve">staff (formerly of the OTS) about the creation of this </w:t>
      </w:r>
      <w:r w:rsidR="003563DD">
        <w:rPr>
          <w:rFonts w:ascii="Times New Roman" w:hAnsi="Times New Roman" w:cs="Times New Roman"/>
          <w:sz w:val="24"/>
          <w:szCs w:val="24"/>
        </w:rPr>
        <w:t>information collection</w:t>
      </w:r>
      <w:r w:rsidR="00C515B1">
        <w:rPr>
          <w:rFonts w:ascii="Times New Roman" w:hAnsi="Times New Roman" w:cs="Times New Roman"/>
          <w:sz w:val="24"/>
          <w:szCs w:val="24"/>
        </w:rPr>
        <w:t xml:space="preserve">.  </w:t>
      </w:r>
      <w:r w:rsidR="0005237D" w:rsidRPr="00B370BE">
        <w:rPr>
          <w:rFonts w:ascii="Times New Roman" w:hAnsi="Times New Roman" w:cs="Times New Roman"/>
          <w:sz w:val="24"/>
          <w:szCs w:val="24"/>
        </w:rPr>
        <w:t xml:space="preserve">On February 8, 2011, the Federal Reserve published a </w:t>
      </w:r>
      <w:r w:rsidR="0005237D">
        <w:rPr>
          <w:rFonts w:ascii="Times New Roman" w:hAnsi="Times New Roman" w:cs="Times New Roman"/>
          <w:sz w:val="24"/>
          <w:szCs w:val="24"/>
        </w:rPr>
        <w:t xml:space="preserve">NOI </w:t>
      </w:r>
      <w:r w:rsidR="008D336D" w:rsidRPr="00B370BE">
        <w:rPr>
          <w:rFonts w:ascii="Times New Roman" w:hAnsi="Times New Roman" w:cs="Times New Roman"/>
          <w:sz w:val="24"/>
          <w:szCs w:val="24"/>
        </w:rPr>
        <w:t xml:space="preserve">in the </w:t>
      </w:r>
      <w:r w:rsidR="008D336D" w:rsidRPr="006D2889">
        <w:rPr>
          <w:rFonts w:ascii="Times New Roman" w:hAnsi="Times New Roman" w:cs="Times New Roman"/>
          <w:i/>
          <w:sz w:val="24"/>
          <w:szCs w:val="24"/>
        </w:rPr>
        <w:t>Federal Register</w:t>
      </w:r>
      <w:r w:rsidR="008D336D" w:rsidRPr="00B370BE">
        <w:rPr>
          <w:rFonts w:ascii="Times New Roman" w:hAnsi="Times New Roman" w:cs="Times New Roman"/>
          <w:sz w:val="24"/>
          <w:szCs w:val="24"/>
        </w:rPr>
        <w:t xml:space="preserve"> </w:t>
      </w:r>
      <w:r w:rsidR="0005237D">
        <w:rPr>
          <w:rFonts w:ascii="Times New Roman" w:hAnsi="Times New Roman" w:cs="Times New Roman"/>
          <w:sz w:val="24"/>
          <w:szCs w:val="24"/>
        </w:rPr>
        <w:t xml:space="preserve">to </w:t>
      </w:r>
      <w:r w:rsidR="0005237D" w:rsidRPr="00B370BE">
        <w:rPr>
          <w:rFonts w:ascii="Times New Roman" w:hAnsi="Times New Roman" w:cs="Times New Roman"/>
          <w:sz w:val="24"/>
          <w:szCs w:val="24"/>
        </w:rPr>
        <w:t xml:space="preserve">require SLHCs to </w:t>
      </w:r>
      <w:r w:rsidR="0005237D">
        <w:rPr>
          <w:rFonts w:ascii="Times New Roman" w:hAnsi="Times New Roman" w:cs="Times New Roman"/>
          <w:sz w:val="24"/>
          <w:szCs w:val="24"/>
        </w:rPr>
        <w:t xml:space="preserve">submit the same reports as BHCs, beginning with the March 31, 2012, reporting period.  </w:t>
      </w:r>
      <w:r w:rsidR="0005237D" w:rsidRPr="00B370BE">
        <w:rPr>
          <w:rFonts w:ascii="Times New Roman" w:hAnsi="Times New Roman" w:cs="Times New Roman"/>
          <w:sz w:val="24"/>
          <w:szCs w:val="24"/>
        </w:rPr>
        <w:t xml:space="preserve">The comment period </w:t>
      </w:r>
      <w:r w:rsidR="0005237D">
        <w:rPr>
          <w:rFonts w:ascii="Times New Roman" w:hAnsi="Times New Roman" w:cs="Times New Roman"/>
          <w:sz w:val="24"/>
          <w:szCs w:val="24"/>
        </w:rPr>
        <w:t xml:space="preserve">for the NOI </w:t>
      </w:r>
      <w:r w:rsidR="0005237D" w:rsidRPr="00B370BE">
        <w:rPr>
          <w:rFonts w:ascii="Times New Roman" w:hAnsi="Times New Roman" w:cs="Times New Roman"/>
          <w:sz w:val="24"/>
          <w:szCs w:val="24"/>
        </w:rPr>
        <w:t xml:space="preserve">ended </w:t>
      </w:r>
      <w:r w:rsidR="0005237D">
        <w:rPr>
          <w:rFonts w:ascii="Times New Roman" w:hAnsi="Times New Roman" w:cs="Times New Roman"/>
          <w:sz w:val="24"/>
          <w:szCs w:val="24"/>
        </w:rPr>
        <w:t xml:space="preserve">on </w:t>
      </w:r>
      <w:r w:rsidR="0005237D" w:rsidRPr="00B370BE">
        <w:rPr>
          <w:rFonts w:ascii="Times New Roman" w:hAnsi="Times New Roman" w:cs="Times New Roman"/>
          <w:sz w:val="24"/>
          <w:szCs w:val="24"/>
        </w:rPr>
        <w:t>April 11, 2011</w:t>
      </w:r>
      <w:r w:rsidR="0005237D">
        <w:rPr>
          <w:rFonts w:ascii="Times New Roman" w:hAnsi="Times New Roman" w:cs="Times New Roman"/>
          <w:sz w:val="24"/>
          <w:szCs w:val="24"/>
        </w:rPr>
        <w:t>, and t</w:t>
      </w:r>
      <w:r w:rsidR="0005237D" w:rsidRPr="00B370BE">
        <w:rPr>
          <w:rFonts w:ascii="Times New Roman" w:hAnsi="Times New Roman" w:cs="Times New Roman"/>
          <w:sz w:val="24"/>
          <w:szCs w:val="24"/>
        </w:rPr>
        <w:t xml:space="preserve">he Federal Reserve received </w:t>
      </w:r>
      <w:r w:rsidR="0093176E">
        <w:rPr>
          <w:rFonts w:ascii="Times New Roman" w:hAnsi="Times New Roman" w:cs="Times New Roman"/>
          <w:sz w:val="24"/>
          <w:szCs w:val="24"/>
        </w:rPr>
        <w:t>10</w:t>
      </w:r>
      <w:r w:rsidR="0093176E" w:rsidRPr="00B370BE">
        <w:rPr>
          <w:rFonts w:ascii="Times New Roman" w:hAnsi="Times New Roman" w:cs="Times New Roman"/>
          <w:sz w:val="24"/>
          <w:szCs w:val="24"/>
        </w:rPr>
        <w:t xml:space="preserve"> </w:t>
      </w:r>
      <w:r w:rsidR="0005237D" w:rsidRPr="00B370BE">
        <w:rPr>
          <w:rFonts w:ascii="Times New Roman" w:hAnsi="Times New Roman" w:cs="Times New Roman"/>
          <w:sz w:val="24"/>
          <w:szCs w:val="24"/>
        </w:rPr>
        <w:t>comment letters from five trade associations, two insurance companies, one law firm</w:t>
      </w:r>
      <w:r w:rsidR="0005237D">
        <w:rPr>
          <w:rFonts w:ascii="Times New Roman" w:hAnsi="Times New Roman" w:cs="Times New Roman"/>
          <w:sz w:val="24"/>
          <w:szCs w:val="24"/>
        </w:rPr>
        <w:t>,</w:t>
      </w:r>
      <w:r w:rsidR="0005237D" w:rsidRPr="00B370BE">
        <w:rPr>
          <w:rFonts w:ascii="Times New Roman" w:hAnsi="Times New Roman" w:cs="Times New Roman"/>
          <w:sz w:val="24"/>
          <w:szCs w:val="24"/>
        </w:rPr>
        <w:t xml:space="preserve"> one commercial company</w:t>
      </w:r>
      <w:r w:rsidR="00346639">
        <w:rPr>
          <w:rFonts w:ascii="Times New Roman" w:hAnsi="Times New Roman" w:cs="Times New Roman"/>
          <w:sz w:val="24"/>
          <w:szCs w:val="24"/>
        </w:rPr>
        <w:t>,</w:t>
      </w:r>
      <w:r w:rsidR="0005237D" w:rsidRPr="00B370BE">
        <w:rPr>
          <w:rFonts w:ascii="Times New Roman" w:hAnsi="Times New Roman" w:cs="Times New Roman"/>
          <w:sz w:val="24"/>
          <w:szCs w:val="24"/>
        </w:rPr>
        <w:t xml:space="preserve"> and one utility SLHC.</w:t>
      </w:r>
      <w:r w:rsidR="0005237D">
        <w:rPr>
          <w:rFonts w:ascii="Times New Roman" w:hAnsi="Times New Roman" w:cs="Times New Roman"/>
          <w:sz w:val="24"/>
          <w:szCs w:val="24"/>
        </w:rPr>
        <w:t xml:space="preserve">  The Federal Reserve considered these comments in developing this proposal.</w:t>
      </w:r>
    </w:p>
    <w:p w:rsidR="0093176E" w:rsidRDefault="0093176E" w:rsidP="00931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sz w:val="24"/>
          <w:szCs w:val="24"/>
        </w:rPr>
      </w:pPr>
    </w:p>
    <w:p w:rsidR="00096ACA" w:rsidRDefault="00063A97">
      <w:pPr>
        <w:widowControl/>
        <w:tabs>
          <w:tab w:val="left" w:pos="450"/>
        </w:tabs>
        <w:ind w:firstLine="720"/>
        <w:rPr>
          <w:rFonts w:ascii="Times New Roman" w:hAnsi="Times New Roman"/>
          <w:i/>
          <w:sz w:val="24"/>
          <w:szCs w:val="24"/>
        </w:rPr>
      </w:pPr>
      <w:r w:rsidRPr="00063A97">
        <w:rPr>
          <w:rFonts w:ascii="Times New Roman" w:hAnsi="Times New Roman"/>
          <w:sz w:val="24"/>
          <w:szCs w:val="24"/>
        </w:rPr>
        <w:t xml:space="preserve">On November 10, 2011, the Federal Reserve published a notice in the </w:t>
      </w:r>
      <w:r w:rsidRPr="00063A97">
        <w:rPr>
          <w:rFonts w:ascii="Times New Roman" w:hAnsi="Times New Roman"/>
          <w:i/>
          <w:sz w:val="24"/>
          <w:szCs w:val="24"/>
        </w:rPr>
        <w:t>Federal Register</w:t>
      </w:r>
    </w:p>
    <w:p w:rsidR="009201AB" w:rsidRPr="009201AB" w:rsidRDefault="00063A97" w:rsidP="009201AB">
      <w:pPr>
        <w:widowControl/>
        <w:tabs>
          <w:tab w:val="left" w:pos="-720"/>
          <w:tab w:val="left" w:pos="0"/>
          <w:tab w:val="left" w:pos="720"/>
          <w:tab w:val="left" w:pos="1440"/>
          <w:tab w:val="left" w:pos="2160"/>
          <w:tab w:val="left" w:pos="2880"/>
          <w:tab w:val="left" w:pos="3600"/>
          <w:tab w:val="left" w:pos="4320"/>
        </w:tabs>
        <w:rPr>
          <w:rFonts w:ascii="Times New Roman" w:hAnsi="Times New Roman"/>
          <w:sz w:val="24"/>
          <w:szCs w:val="24"/>
        </w:rPr>
      </w:pPr>
      <w:r w:rsidRPr="00063A97">
        <w:rPr>
          <w:rFonts w:ascii="Times New Roman" w:hAnsi="Times New Roman"/>
          <w:sz w:val="24"/>
          <w:szCs w:val="24"/>
        </w:rPr>
        <w:t xml:space="preserve">(76 FR 70146) requesting public comment for 60 days on the </w:t>
      </w:r>
      <w:r w:rsidR="0093176E" w:rsidRPr="0047151A">
        <w:rPr>
          <w:rFonts w:ascii="Times New Roman" w:hAnsi="Times New Roman" w:cs="Times New Roman"/>
          <w:sz w:val="24"/>
          <w:szCs w:val="24"/>
        </w:rPr>
        <w:t>pro</w:t>
      </w:r>
      <w:r w:rsidR="0093176E">
        <w:rPr>
          <w:rFonts w:ascii="Times New Roman" w:hAnsi="Times New Roman" w:cs="Times New Roman"/>
          <w:sz w:val="24"/>
          <w:szCs w:val="24"/>
        </w:rPr>
        <w:t>posal</w:t>
      </w:r>
      <w:r w:rsidR="0093176E" w:rsidRPr="0047151A">
        <w:rPr>
          <w:rFonts w:ascii="Times New Roman" w:hAnsi="Times New Roman" w:cs="Times New Roman"/>
          <w:sz w:val="24"/>
          <w:szCs w:val="24"/>
        </w:rPr>
        <w:t xml:space="preserve"> to implement the </w:t>
      </w:r>
      <w:r w:rsidR="0093176E">
        <w:rPr>
          <w:rFonts w:ascii="Times New Roman" w:hAnsi="Times New Roman" w:cs="Times New Roman"/>
          <w:sz w:val="24"/>
          <w:szCs w:val="24"/>
        </w:rPr>
        <w:t>mandatory Quarterly Savings and Loan Holding Company Report</w:t>
      </w:r>
      <w:r w:rsidR="00C515B1">
        <w:rPr>
          <w:rFonts w:ascii="Times New Roman" w:hAnsi="Times New Roman" w:cs="Times New Roman"/>
          <w:sz w:val="24"/>
          <w:szCs w:val="24"/>
        </w:rPr>
        <w:t xml:space="preserve">.  </w:t>
      </w:r>
      <w:r w:rsidRPr="00063A97">
        <w:rPr>
          <w:rFonts w:ascii="Times New Roman" w:hAnsi="Times New Roman"/>
          <w:sz w:val="24"/>
          <w:szCs w:val="24"/>
        </w:rPr>
        <w:t>The comment period for this notice expire</w:t>
      </w:r>
      <w:r w:rsidR="008021BE">
        <w:rPr>
          <w:rFonts w:ascii="Times New Roman" w:hAnsi="Times New Roman"/>
          <w:sz w:val="24"/>
          <w:szCs w:val="24"/>
        </w:rPr>
        <w:t>d</w:t>
      </w:r>
      <w:r w:rsidRPr="00063A97">
        <w:rPr>
          <w:rFonts w:ascii="Times New Roman" w:hAnsi="Times New Roman"/>
          <w:sz w:val="24"/>
          <w:szCs w:val="24"/>
        </w:rPr>
        <w:t xml:space="preserve"> on January 9, 2012</w:t>
      </w:r>
      <w:r w:rsidR="008021BE">
        <w:rPr>
          <w:rFonts w:ascii="Times New Roman" w:hAnsi="Times New Roman"/>
          <w:sz w:val="24"/>
          <w:szCs w:val="24"/>
        </w:rPr>
        <w:t xml:space="preserve">.  </w:t>
      </w:r>
      <w:r w:rsidR="00977BE1" w:rsidRPr="00977BE1">
        <w:rPr>
          <w:rFonts w:ascii="Times New Roman" w:hAnsi="Times New Roman" w:cs="Times New Roman"/>
          <w:sz w:val="24"/>
          <w:szCs w:val="24"/>
        </w:rPr>
        <w:t xml:space="preserve">The </w:t>
      </w:r>
      <w:r w:rsidR="00977BE1">
        <w:rPr>
          <w:rFonts w:ascii="Times New Roman" w:hAnsi="Times New Roman" w:cs="Times New Roman"/>
          <w:sz w:val="24"/>
          <w:szCs w:val="24"/>
        </w:rPr>
        <w:t>Federal Reserve</w:t>
      </w:r>
      <w:r w:rsidR="00977BE1" w:rsidRPr="00977BE1">
        <w:rPr>
          <w:rFonts w:ascii="Times New Roman" w:hAnsi="Times New Roman" w:cs="Times New Roman"/>
          <w:sz w:val="24"/>
          <w:szCs w:val="24"/>
        </w:rPr>
        <w:t xml:space="preserve"> received three comment letters on the proposed implementation of the FR 2320</w:t>
      </w:r>
      <w:r w:rsidR="00346639">
        <w:rPr>
          <w:rFonts w:ascii="Times New Roman" w:hAnsi="Times New Roman" w:cs="Times New Roman"/>
          <w:sz w:val="24"/>
          <w:szCs w:val="24"/>
        </w:rPr>
        <w:t xml:space="preserve"> from</w:t>
      </w:r>
      <w:r w:rsidR="00977BE1" w:rsidRPr="00977BE1">
        <w:rPr>
          <w:rFonts w:ascii="Times New Roman" w:hAnsi="Times New Roman" w:cs="Times New Roman"/>
          <w:sz w:val="24"/>
          <w:szCs w:val="24"/>
        </w:rPr>
        <w:t xml:space="preserve"> </w:t>
      </w:r>
      <w:r w:rsidR="00977BE1">
        <w:rPr>
          <w:rFonts w:ascii="Times New Roman" w:hAnsi="Times New Roman" w:cs="Times New Roman"/>
          <w:sz w:val="24"/>
          <w:szCs w:val="24"/>
        </w:rPr>
        <w:t xml:space="preserve"> </w:t>
      </w:r>
      <w:r w:rsidR="00977BE1" w:rsidRPr="00977BE1">
        <w:rPr>
          <w:rFonts w:ascii="Times New Roman" w:hAnsi="Times New Roman" w:cs="Times New Roman"/>
          <w:sz w:val="24"/>
          <w:szCs w:val="24"/>
        </w:rPr>
        <w:t xml:space="preserve">two law firms and one </w:t>
      </w:r>
      <w:r w:rsidR="00977BE1" w:rsidRPr="00977BE1">
        <w:rPr>
          <w:rFonts w:ascii="Times New Roman" w:hAnsi="Times New Roman" w:cs="Times New Roman"/>
          <w:bCs/>
          <w:sz w:val="24"/>
          <w:szCs w:val="24"/>
        </w:rPr>
        <w:t>financial services company.</w:t>
      </w:r>
      <w:r w:rsidR="00C515B1">
        <w:rPr>
          <w:rFonts w:ascii="Times New Roman" w:hAnsi="Times New Roman" w:cs="Times New Roman"/>
          <w:sz w:val="24"/>
          <w:szCs w:val="24"/>
        </w:rPr>
        <w:t xml:space="preserve">  However, no comments specifically addressed the Paperwork Reduction Act burden estimates.  </w:t>
      </w:r>
      <w:r w:rsidR="009201AB" w:rsidRPr="009201AB">
        <w:rPr>
          <w:rFonts w:ascii="Times New Roman" w:hAnsi="Times New Roman"/>
          <w:sz w:val="24"/>
          <w:szCs w:val="24"/>
        </w:rPr>
        <w:t xml:space="preserve">On </w:t>
      </w:r>
      <w:r w:rsidR="009201AB">
        <w:rPr>
          <w:rFonts w:ascii="Times New Roman" w:hAnsi="Times New Roman"/>
          <w:sz w:val="24"/>
          <w:szCs w:val="24"/>
        </w:rPr>
        <w:t>February 13, 2012</w:t>
      </w:r>
      <w:r w:rsidR="009201AB" w:rsidRPr="009201AB">
        <w:rPr>
          <w:rFonts w:ascii="Times New Roman" w:hAnsi="Times New Roman"/>
          <w:sz w:val="24"/>
          <w:szCs w:val="24"/>
        </w:rPr>
        <w:t xml:space="preserve">, the Federal Reserve published a final notice in the </w:t>
      </w:r>
      <w:r w:rsidR="009201AB" w:rsidRPr="009201AB">
        <w:rPr>
          <w:rFonts w:ascii="Times New Roman" w:hAnsi="Times New Roman"/>
          <w:i/>
          <w:sz w:val="24"/>
          <w:szCs w:val="24"/>
        </w:rPr>
        <w:t>Federal Register</w:t>
      </w:r>
      <w:r w:rsidR="009201AB" w:rsidRPr="009201AB">
        <w:rPr>
          <w:rFonts w:ascii="Times New Roman" w:hAnsi="Times New Roman"/>
          <w:sz w:val="24"/>
          <w:szCs w:val="24"/>
        </w:rPr>
        <w:t xml:space="preserve"> (</w:t>
      </w:r>
      <w:r w:rsidR="009201AB">
        <w:rPr>
          <w:rFonts w:ascii="Times New Roman" w:hAnsi="Times New Roman"/>
          <w:sz w:val="24"/>
          <w:szCs w:val="24"/>
        </w:rPr>
        <w:t xml:space="preserve">77 </w:t>
      </w:r>
      <w:r w:rsidR="009201AB" w:rsidRPr="009201AB">
        <w:rPr>
          <w:rFonts w:ascii="Times New Roman" w:hAnsi="Times New Roman"/>
          <w:sz w:val="24"/>
          <w:szCs w:val="24"/>
        </w:rPr>
        <w:t>FR </w:t>
      </w:r>
      <w:r w:rsidR="009201AB">
        <w:rPr>
          <w:rFonts w:ascii="Times New Roman" w:hAnsi="Times New Roman"/>
          <w:sz w:val="24"/>
          <w:szCs w:val="24"/>
        </w:rPr>
        <w:t>7578</w:t>
      </w:r>
      <w:r w:rsidR="009201AB" w:rsidRPr="009201AB">
        <w:rPr>
          <w:rFonts w:ascii="Times New Roman" w:hAnsi="Times New Roman"/>
          <w:sz w:val="24"/>
          <w:szCs w:val="24"/>
        </w:rPr>
        <w:t>) including a more detailed discussion of the comments received.</w:t>
      </w:r>
    </w:p>
    <w:p w:rsidR="00977BE1" w:rsidRPr="009201AB" w:rsidRDefault="00977BE1" w:rsidP="00977BE1">
      <w:pPr>
        <w:ind w:firstLine="720"/>
        <w:rPr>
          <w:rFonts w:ascii="Times New Roman" w:hAnsi="Times New Roman" w:cs="Times New Roman"/>
          <w:bCs/>
          <w:sz w:val="24"/>
          <w:szCs w:val="24"/>
        </w:rPr>
      </w:pPr>
    </w:p>
    <w:p w:rsidR="00C23012" w:rsidRPr="0047151A" w:rsidRDefault="00C23012" w:rsidP="00C23012">
      <w:pPr>
        <w:keepNext/>
        <w:keepLines/>
        <w:widowControl/>
        <w:rPr>
          <w:rFonts w:ascii="Times New Roman" w:hAnsi="Times New Roman" w:cs="Times New Roman"/>
          <w:sz w:val="24"/>
          <w:szCs w:val="24"/>
        </w:rPr>
      </w:pPr>
      <w:r w:rsidRPr="0047151A">
        <w:rPr>
          <w:rFonts w:ascii="Times New Roman" w:hAnsi="Times New Roman" w:cs="Times New Roman"/>
          <w:b/>
          <w:sz w:val="24"/>
          <w:szCs w:val="24"/>
        </w:rPr>
        <w:t>Sensitive Questions</w:t>
      </w:r>
    </w:p>
    <w:p w:rsidR="00C23012" w:rsidRPr="0047151A" w:rsidRDefault="00C23012" w:rsidP="00C23012">
      <w:pPr>
        <w:keepNext/>
        <w:keepLines/>
        <w:widowControl/>
        <w:rPr>
          <w:rFonts w:ascii="Times New Roman" w:hAnsi="Times New Roman" w:cs="Times New Roman"/>
          <w:sz w:val="24"/>
          <w:szCs w:val="24"/>
        </w:rPr>
      </w:pPr>
    </w:p>
    <w:p w:rsidR="00FC1E38" w:rsidRDefault="009E1B63" w:rsidP="00C23012">
      <w:pPr>
        <w:widowControl/>
        <w:rPr>
          <w:rFonts w:ascii="Times New Roman" w:hAnsi="Times New Roman" w:cs="Times New Roman"/>
          <w:sz w:val="24"/>
          <w:szCs w:val="24"/>
        </w:rPr>
      </w:pPr>
      <w:r w:rsidRPr="0047151A">
        <w:rPr>
          <w:rFonts w:ascii="Times New Roman" w:hAnsi="Times New Roman" w:cs="Times New Roman"/>
          <w:sz w:val="24"/>
          <w:szCs w:val="24"/>
        </w:rPr>
        <w:tab/>
      </w:r>
      <w:r w:rsidR="00C23012" w:rsidRPr="0047151A">
        <w:rPr>
          <w:rFonts w:ascii="Times New Roman" w:hAnsi="Times New Roman" w:cs="Times New Roman"/>
          <w:sz w:val="24"/>
          <w:szCs w:val="24"/>
        </w:rPr>
        <w:t>This collection of information contains no questions of a sensitive nature, as defined by OMB guidelines.</w:t>
      </w:r>
    </w:p>
    <w:p w:rsidR="00A642FE" w:rsidRDefault="00A642FE" w:rsidP="00C23012">
      <w:pPr>
        <w:widowControl/>
        <w:rPr>
          <w:rFonts w:ascii="Times New Roman" w:hAnsi="Times New Roman" w:cs="Times New Roman"/>
          <w:color w:val="000000"/>
          <w:sz w:val="24"/>
          <w:szCs w:val="24"/>
        </w:rPr>
      </w:pPr>
    </w:p>
    <w:p w:rsidR="00FC1E38" w:rsidRPr="0047151A" w:rsidRDefault="00FC1E38"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sz w:val="24"/>
          <w:szCs w:val="24"/>
        </w:rPr>
      </w:pPr>
      <w:r w:rsidRPr="0047151A">
        <w:rPr>
          <w:rFonts w:ascii="Times New Roman" w:hAnsi="Times New Roman" w:cs="Times New Roman"/>
          <w:b/>
          <w:sz w:val="24"/>
          <w:szCs w:val="24"/>
        </w:rPr>
        <w:t>Estimate of Respondent Burden</w:t>
      </w:r>
    </w:p>
    <w:p w:rsidR="00FC1E38" w:rsidRPr="0047151A" w:rsidRDefault="00FC1E38"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rsidR="00A57939" w:rsidRDefault="009E1B63" w:rsidP="00A57939">
      <w:pPr>
        <w:widowControl/>
        <w:ind w:firstLine="720"/>
        <w:rPr>
          <w:rFonts w:ascii="Times New Roman" w:hAnsi="Times New Roman" w:cs="Times New Roman"/>
          <w:sz w:val="24"/>
          <w:szCs w:val="24"/>
        </w:rPr>
      </w:pPr>
      <w:r w:rsidRPr="0047151A">
        <w:rPr>
          <w:rFonts w:ascii="Times New Roman" w:hAnsi="Times New Roman" w:cs="Times New Roman"/>
          <w:sz w:val="24"/>
          <w:szCs w:val="24"/>
        </w:rPr>
        <w:t xml:space="preserve">The annual burden for the </w:t>
      </w:r>
      <w:r w:rsidR="002C13B2">
        <w:rPr>
          <w:rFonts w:ascii="Times New Roman" w:hAnsi="Times New Roman" w:cs="Times New Roman"/>
          <w:sz w:val="24"/>
          <w:szCs w:val="24"/>
        </w:rPr>
        <w:t>FR 2320</w:t>
      </w:r>
      <w:r w:rsidRPr="0047151A">
        <w:rPr>
          <w:rFonts w:ascii="Times New Roman" w:hAnsi="Times New Roman" w:cs="Times New Roman"/>
          <w:sz w:val="24"/>
          <w:szCs w:val="24"/>
        </w:rPr>
        <w:t xml:space="preserve"> is estimated to be </w:t>
      </w:r>
      <w:r w:rsidR="002A188E">
        <w:rPr>
          <w:rFonts w:ascii="Times New Roman" w:hAnsi="Times New Roman" w:cs="Times New Roman"/>
          <w:sz w:val="24"/>
          <w:szCs w:val="24"/>
        </w:rPr>
        <w:t>400</w:t>
      </w:r>
      <w:r w:rsidRPr="0047151A">
        <w:rPr>
          <w:rFonts w:ascii="Times New Roman" w:hAnsi="Times New Roman" w:cs="Times New Roman"/>
          <w:sz w:val="24"/>
          <w:szCs w:val="24"/>
        </w:rPr>
        <w:t xml:space="preserve"> hours as shown in the following table.  The </w:t>
      </w:r>
      <w:r w:rsidR="00DB29BF">
        <w:rPr>
          <w:rFonts w:ascii="Times New Roman" w:hAnsi="Times New Roman" w:cs="Times New Roman"/>
          <w:sz w:val="24"/>
          <w:szCs w:val="24"/>
        </w:rPr>
        <w:t xml:space="preserve">estimated </w:t>
      </w:r>
      <w:r w:rsidRPr="0047151A">
        <w:rPr>
          <w:rFonts w:ascii="Times New Roman" w:hAnsi="Times New Roman" w:cs="Times New Roman"/>
          <w:sz w:val="24"/>
          <w:szCs w:val="24"/>
        </w:rPr>
        <w:t xml:space="preserve">number of respondents </w:t>
      </w:r>
      <w:r w:rsidR="002A188E">
        <w:rPr>
          <w:rFonts w:ascii="Times New Roman" w:hAnsi="Times New Roman" w:cs="Times New Roman"/>
          <w:sz w:val="24"/>
          <w:szCs w:val="24"/>
        </w:rPr>
        <w:t>includes</w:t>
      </w:r>
      <w:r w:rsidR="004561D6">
        <w:rPr>
          <w:rFonts w:ascii="Times New Roman" w:hAnsi="Times New Roman" w:cs="Times New Roman"/>
          <w:sz w:val="24"/>
          <w:szCs w:val="24"/>
        </w:rPr>
        <w:t xml:space="preserve"> </w:t>
      </w:r>
      <w:r w:rsidR="004561D6" w:rsidRPr="0060731F">
        <w:rPr>
          <w:rFonts w:ascii="Times New Roman" w:hAnsi="Times New Roman" w:cs="Times New Roman"/>
          <w:sz w:val="24"/>
          <w:szCs w:val="24"/>
        </w:rPr>
        <w:t>(1) grandfathered SLHC</w:t>
      </w:r>
      <w:r w:rsidR="004561D6">
        <w:rPr>
          <w:rFonts w:ascii="Times New Roman" w:hAnsi="Times New Roman" w:cs="Times New Roman"/>
          <w:sz w:val="24"/>
          <w:szCs w:val="24"/>
        </w:rPr>
        <w:t>s</w:t>
      </w:r>
      <w:r w:rsidR="004561D6" w:rsidRPr="0060731F">
        <w:rPr>
          <w:rFonts w:ascii="Times New Roman" w:hAnsi="Times New Roman" w:cs="Times New Roman"/>
          <w:sz w:val="24"/>
          <w:szCs w:val="24"/>
        </w:rPr>
        <w:t xml:space="preserve"> whose (a) as calculated annually as of June 30th, using the four previous quarters (which includes the quarter-ended June 30th reporting period), savings association subsidiaries’ consolidated assets make up less than 5 percent of the total consolidated assets of the grandfathered SLHC on an enterprise-wide basis for any of these four quarters; </w:t>
      </w:r>
      <w:r w:rsidR="004561D6" w:rsidRPr="0060731F">
        <w:rPr>
          <w:rFonts w:ascii="Times New Roman" w:hAnsi="Times New Roman" w:cs="Times New Roman"/>
          <w:i/>
          <w:iCs/>
          <w:sz w:val="24"/>
          <w:szCs w:val="24"/>
        </w:rPr>
        <w:t xml:space="preserve">and </w:t>
      </w:r>
      <w:r w:rsidR="004561D6" w:rsidRPr="0060731F">
        <w:rPr>
          <w:rFonts w:ascii="Times New Roman" w:hAnsi="Times New Roman" w:cs="Times New Roman"/>
          <w:sz w:val="24"/>
          <w:szCs w:val="24"/>
        </w:rPr>
        <w:t xml:space="preserve">(b) as calculated annually as of June 30th, using the assets reported as of June 30th, where more than 50 percent of the assets of the grandfathered unitary SLHC are derived from activities that are not otherwise permissible under HOLA on an enterprise-wide basis OR (2) (a) as calculated annually as of June 30th, using the assets reported as of June 30th, where more than 50 percent of the assets of the SLHC are derived from the business of insurance on an enterprise-wide basis; </w:t>
      </w:r>
      <w:r w:rsidR="004561D6" w:rsidRPr="0060731F">
        <w:rPr>
          <w:rFonts w:ascii="Times New Roman" w:hAnsi="Times New Roman" w:cs="Times New Roman"/>
          <w:i/>
          <w:iCs/>
          <w:sz w:val="24"/>
          <w:szCs w:val="24"/>
        </w:rPr>
        <w:t xml:space="preserve">and </w:t>
      </w:r>
      <w:r w:rsidR="004561D6" w:rsidRPr="0060731F">
        <w:rPr>
          <w:rFonts w:ascii="Times New Roman" w:hAnsi="Times New Roman" w:cs="Times New Roman"/>
          <w:sz w:val="24"/>
          <w:szCs w:val="24"/>
        </w:rPr>
        <w:t xml:space="preserve">(b) the SLHC does not submit reports to the SEC pursuant to Section 13 or 15(d) of the Securities Exchange Act of 1934. </w:t>
      </w:r>
      <w:r w:rsidR="004561D6">
        <w:rPr>
          <w:rFonts w:ascii="Times New Roman" w:hAnsi="Times New Roman" w:cs="Times New Roman"/>
          <w:sz w:val="24"/>
          <w:szCs w:val="24"/>
        </w:rPr>
        <w:t xml:space="preserve"> </w:t>
      </w:r>
      <w:r w:rsidR="00520C0A" w:rsidRPr="0047151A">
        <w:rPr>
          <w:rFonts w:ascii="Times New Roman" w:hAnsi="Times New Roman" w:cs="Times New Roman"/>
          <w:sz w:val="24"/>
          <w:szCs w:val="24"/>
        </w:rPr>
        <w:t xml:space="preserve"> </w:t>
      </w:r>
      <w:r w:rsidR="008845DE" w:rsidRPr="008845DE">
        <w:rPr>
          <w:rFonts w:ascii="Times New Roman" w:hAnsi="Times New Roman" w:cs="Times New Roman"/>
          <w:sz w:val="24"/>
          <w:szCs w:val="24"/>
        </w:rPr>
        <w:t xml:space="preserve">The estimated hours per response is based on the hourly estimate </w:t>
      </w:r>
      <w:r w:rsidR="005F0AC2">
        <w:rPr>
          <w:rFonts w:ascii="Times New Roman" w:hAnsi="Times New Roman" w:cs="Times New Roman"/>
          <w:sz w:val="24"/>
          <w:szCs w:val="24"/>
        </w:rPr>
        <w:t>previously</w:t>
      </w:r>
      <w:r w:rsidR="005F0AC2" w:rsidRPr="008845DE">
        <w:rPr>
          <w:rFonts w:ascii="Times New Roman" w:hAnsi="Times New Roman" w:cs="Times New Roman"/>
          <w:sz w:val="24"/>
          <w:szCs w:val="24"/>
        </w:rPr>
        <w:t xml:space="preserve"> </w:t>
      </w:r>
      <w:r w:rsidR="008845DE" w:rsidRPr="008845DE">
        <w:rPr>
          <w:rFonts w:ascii="Times New Roman" w:hAnsi="Times New Roman" w:cs="Times New Roman"/>
          <w:sz w:val="24"/>
          <w:szCs w:val="24"/>
        </w:rPr>
        <w:t xml:space="preserve">associated with Schedule HC.  </w:t>
      </w:r>
      <w:r w:rsidR="00E21BAF">
        <w:rPr>
          <w:rFonts w:ascii="Times New Roman" w:hAnsi="Times New Roman" w:cs="Times New Roman"/>
          <w:sz w:val="24"/>
          <w:szCs w:val="24"/>
        </w:rPr>
        <w:t>The Federal Reserve</w:t>
      </w:r>
      <w:r w:rsidR="008845DE" w:rsidRPr="008845DE">
        <w:rPr>
          <w:rFonts w:ascii="Times New Roman" w:hAnsi="Times New Roman" w:cs="Times New Roman"/>
          <w:sz w:val="24"/>
          <w:szCs w:val="24"/>
        </w:rPr>
        <w:t xml:space="preserve"> believes this estimate is reasonable given that no </w:t>
      </w:r>
      <w:r w:rsidR="008845DE" w:rsidRPr="008845DE">
        <w:rPr>
          <w:rFonts w:ascii="Times New Roman" w:hAnsi="Times New Roman" w:cs="Times New Roman"/>
          <w:sz w:val="24"/>
          <w:szCs w:val="24"/>
        </w:rPr>
        <w:lastRenderedPageBreak/>
        <w:t xml:space="preserve">changes are proposed to the data items </w:t>
      </w:r>
      <w:r w:rsidR="008845DE">
        <w:rPr>
          <w:rFonts w:ascii="Times New Roman" w:hAnsi="Times New Roman" w:cs="Times New Roman"/>
          <w:sz w:val="24"/>
          <w:szCs w:val="24"/>
        </w:rPr>
        <w:t xml:space="preserve">to be </w:t>
      </w:r>
      <w:r w:rsidR="008845DE" w:rsidRPr="008845DE">
        <w:rPr>
          <w:rFonts w:ascii="Times New Roman" w:hAnsi="Times New Roman" w:cs="Times New Roman"/>
          <w:sz w:val="24"/>
          <w:szCs w:val="24"/>
        </w:rPr>
        <w:t>collected.</w:t>
      </w:r>
      <w:r w:rsidR="001A6BD7">
        <w:rPr>
          <w:rFonts w:ascii="Times New Roman" w:hAnsi="Times New Roman" w:cs="Times New Roman"/>
          <w:sz w:val="24"/>
          <w:szCs w:val="24"/>
        </w:rPr>
        <w:t xml:space="preserve">  </w:t>
      </w:r>
      <w:r w:rsidR="00A57939" w:rsidRPr="0047151A">
        <w:rPr>
          <w:rFonts w:ascii="Times New Roman" w:hAnsi="Times New Roman" w:cs="Times New Roman"/>
          <w:sz w:val="24"/>
          <w:szCs w:val="24"/>
        </w:rPr>
        <w:t xml:space="preserve">The </w:t>
      </w:r>
      <w:r w:rsidR="00A57939">
        <w:rPr>
          <w:rFonts w:ascii="Times New Roman" w:hAnsi="Times New Roman" w:cs="Times New Roman"/>
          <w:sz w:val="24"/>
          <w:szCs w:val="24"/>
        </w:rPr>
        <w:t>FR 2230</w:t>
      </w:r>
      <w:r w:rsidR="00A57939" w:rsidRPr="0047151A">
        <w:rPr>
          <w:rFonts w:ascii="Times New Roman" w:hAnsi="Times New Roman" w:cs="Times New Roman"/>
          <w:sz w:val="24"/>
          <w:szCs w:val="24"/>
        </w:rPr>
        <w:t xml:space="preserve"> reporting </w:t>
      </w:r>
      <w:r w:rsidR="00A57939">
        <w:rPr>
          <w:rFonts w:ascii="Times New Roman" w:hAnsi="Times New Roman" w:cs="Times New Roman"/>
          <w:sz w:val="24"/>
          <w:szCs w:val="24"/>
        </w:rPr>
        <w:t xml:space="preserve">requirements represent less than 1 </w:t>
      </w:r>
      <w:r w:rsidR="00A57939" w:rsidRPr="0047151A">
        <w:rPr>
          <w:rFonts w:ascii="Times New Roman" w:hAnsi="Times New Roman" w:cs="Times New Roman"/>
          <w:sz w:val="24"/>
          <w:szCs w:val="24"/>
        </w:rPr>
        <w:t>percent of the total Federal Reserve System</w:t>
      </w:r>
      <w:r w:rsidR="00A57939">
        <w:rPr>
          <w:rFonts w:ascii="Times New Roman" w:hAnsi="Times New Roman" w:cs="Times New Roman"/>
          <w:sz w:val="24"/>
          <w:szCs w:val="24"/>
        </w:rPr>
        <w:t xml:space="preserve"> paperwork</w:t>
      </w:r>
      <w:r w:rsidR="00A57939" w:rsidRPr="0047151A">
        <w:rPr>
          <w:rFonts w:ascii="Times New Roman" w:hAnsi="Times New Roman" w:cs="Times New Roman"/>
          <w:sz w:val="24"/>
          <w:szCs w:val="24"/>
        </w:rPr>
        <w:t xml:space="preserve"> burden.</w:t>
      </w:r>
    </w:p>
    <w:p w:rsidR="009201AB" w:rsidRDefault="009201AB" w:rsidP="00FC36B3">
      <w:pPr>
        <w:widowControl/>
        <w:ind w:firstLine="720"/>
        <w:rPr>
          <w:rFonts w:ascii="Times New Roman" w:hAnsi="Times New Roman" w:cs="Times New Roman"/>
          <w:sz w:val="24"/>
          <w:szCs w:val="24"/>
        </w:rPr>
      </w:pPr>
    </w:p>
    <w:p w:rsidR="00FC1E38" w:rsidRPr="0047151A" w:rsidRDefault="00FC1E38" w:rsidP="00FC36B3">
      <w:pPr>
        <w:widowControl/>
        <w:autoSpaceDE/>
        <w:autoSpaceDN/>
        <w:adjustRightInd/>
        <w:rPr>
          <w:rFonts w:ascii="Times New Roman" w:hAnsi="Times New Roman" w:cs="Times New Roman"/>
          <w:color w:val="000000"/>
          <w:sz w:val="24"/>
          <w:szCs w:val="24"/>
        </w:rPr>
      </w:pPr>
    </w:p>
    <w:tbl>
      <w:tblPr>
        <w:tblW w:w="9444" w:type="dxa"/>
        <w:tblInd w:w="18" w:type="dxa"/>
        <w:tblBorders>
          <w:top w:val="single" w:sz="4" w:space="0" w:color="auto"/>
          <w:bottom w:val="single" w:sz="4" w:space="0" w:color="auto"/>
        </w:tblBorders>
        <w:tblLayout w:type="fixed"/>
        <w:tblLook w:val="0000"/>
      </w:tblPr>
      <w:tblGrid>
        <w:gridCol w:w="2430"/>
        <w:gridCol w:w="1821"/>
        <w:gridCol w:w="1731"/>
        <w:gridCol w:w="1731"/>
        <w:gridCol w:w="1731"/>
      </w:tblGrid>
      <w:tr w:rsidR="00FC1E38" w:rsidRPr="0047151A" w:rsidTr="00512AF1">
        <w:tc>
          <w:tcPr>
            <w:tcW w:w="2430" w:type="dxa"/>
          </w:tcPr>
          <w:p w:rsidR="00FC1E38" w:rsidRPr="0047151A" w:rsidRDefault="00FC1E38" w:rsidP="00FC1E38">
            <w:pPr>
              <w:widowControl/>
              <w:tabs>
                <w:tab w:val="left" w:pos="720"/>
              </w:tabs>
              <w:snapToGrid w:val="0"/>
              <w:rPr>
                <w:rFonts w:ascii="Times New Roman" w:hAnsi="Times New Roman" w:cs="Times New Roman"/>
                <w:sz w:val="24"/>
                <w:szCs w:val="24"/>
              </w:rPr>
            </w:pPr>
          </w:p>
        </w:tc>
        <w:tc>
          <w:tcPr>
            <w:tcW w:w="1821" w:type="dxa"/>
            <w:vAlign w:val="center"/>
          </w:tcPr>
          <w:p w:rsidR="00FC1E38" w:rsidRPr="0047151A" w:rsidRDefault="00FC1E38" w:rsidP="00FC1E38">
            <w:pPr>
              <w:widowControl/>
              <w:tabs>
                <w:tab w:val="left" w:pos="720"/>
              </w:tabs>
              <w:snapToGrid w:val="0"/>
              <w:jc w:val="center"/>
              <w:rPr>
                <w:rFonts w:ascii="Times New Roman" w:hAnsi="Times New Roman" w:cs="Times New Roman"/>
                <w:i/>
                <w:sz w:val="24"/>
                <w:szCs w:val="24"/>
              </w:rPr>
            </w:pPr>
            <w:r w:rsidRPr="0047151A">
              <w:rPr>
                <w:rFonts w:ascii="Times New Roman" w:hAnsi="Times New Roman" w:cs="Times New Roman"/>
                <w:i/>
                <w:sz w:val="24"/>
                <w:szCs w:val="24"/>
              </w:rPr>
              <w:t>Number of respondents</w:t>
            </w:r>
            <w:r w:rsidR="005F0AC2">
              <w:rPr>
                <w:rStyle w:val="FootnoteReference"/>
                <w:rFonts w:ascii="Times New Roman" w:hAnsi="Times New Roman" w:cs="Times New Roman"/>
                <w:i/>
                <w:sz w:val="24"/>
                <w:szCs w:val="24"/>
              </w:rPr>
              <w:footnoteReference w:id="5"/>
            </w:r>
          </w:p>
        </w:tc>
        <w:tc>
          <w:tcPr>
            <w:tcW w:w="1731" w:type="dxa"/>
            <w:vAlign w:val="center"/>
          </w:tcPr>
          <w:p w:rsidR="00FC1E38" w:rsidRPr="0047151A" w:rsidRDefault="00FC1E38" w:rsidP="00FC1E38">
            <w:pPr>
              <w:widowControl/>
              <w:tabs>
                <w:tab w:val="left" w:pos="720"/>
              </w:tabs>
              <w:snapToGrid w:val="0"/>
              <w:jc w:val="center"/>
              <w:rPr>
                <w:rFonts w:ascii="Times New Roman" w:hAnsi="Times New Roman" w:cs="Times New Roman"/>
                <w:i/>
                <w:sz w:val="24"/>
                <w:szCs w:val="24"/>
              </w:rPr>
            </w:pPr>
            <w:r w:rsidRPr="0047151A">
              <w:rPr>
                <w:rFonts w:ascii="Times New Roman" w:hAnsi="Times New Roman" w:cs="Times New Roman"/>
                <w:i/>
                <w:sz w:val="24"/>
                <w:szCs w:val="24"/>
              </w:rPr>
              <w:t>Estimated annual frequency</w:t>
            </w:r>
          </w:p>
        </w:tc>
        <w:tc>
          <w:tcPr>
            <w:tcW w:w="1731" w:type="dxa"/>
            <w:vAlign w:val="center"/>
          </w:tcPr>
          <w:p w:rsidR="00FC1E38" w:rsidRPr="0047151A" w:rsidRDefault="00FC1E38" w:rsidP="00FC1E38">
            <w:pPr>
              <w:widowControl/>
              <w:tabs>
                <w:tab w:val="left" w:pos="720"/>
              </w:tabs>
              <w:snapToGrid w:val="0"/>
              <w:jc w:val="center"/>
              <w:rPr>
                <w:rFonts w:ascii="Times New Roman" w:hAnsi="Times New Roman" w:cs="Times New Roman"/>
                <w:i/>
                <w:sz w:val="24"/>
                <w:szCs w:val="24"/>
              </w:rPr>
            </w:pPr>
            <w:r w:rsidRPr="0047151A">
              <w:rPr>
                <w:rFonts w:ascii="Times New Roman" w:hAnsi="Times New Roman" w:cs="Times New Roman"/>
                <w:i/>
                <w:sz w:val="24"/>
                <w:szCs w:val="24"/>
              </w:rPr>
              <w:t>Estimated average hours per response</w:t>
            </w:r>
          </w:p>
        </w:tc>
        <w:tc>
          <w:tcPr>
            <w:tcW w:w="1731" w:type="dxa"/>
            <w:vAlign w:val="center"/>
          </w:tcPr>
          <w:p w:rsidR="00FC1E38" w:rsidRPr="0047151A" w:rsidRDefault="00FC1E38" w:rsidP="00FC1E38">
            <w:pPr>
              <w:widowControl/>
              <w:tabs>
                <w:tab w:val="left" w:pos="720"/>
              </w:tabs>
              <w:snapToGrid w:val="0"/>
              <w:jc w:val="center"/>
              <w:rPr>
                <w:rFonts w:ascii="Times New Roman" w:hAnsi="Times New Roman" w:cs="Times New Roman"/>
                <w:i/>
                <w:sz w:val="24"/>
                <w:szCs w:val="24"/>
              </w:rPr>
            </w:pPr>
            <w:r w:rsidRPr="0047151A">
              <w:rPr>
                <w:rFonts w:ascii="Times New Roman" w:hAnsi="Times New Roman" w:cs="Times New Roman"/>
                <w:i/>
                <w:sz w:val="24"/>
                <w:szCs w:val="24"/>
              </w:rPr>
              <w:t>Estimated annual</w:t>
            </w:r>
          </w:p>
          <w:p w:rsidR="00FC1E38" w:rsidRPr="0047151A" w:rsidRDefault="00FC1E38" w:rsidP="00FC1E38">
            <w:pPr>
              <w:widowControl/>
              <w:tabs>
                <w:tab w:val="left" w:pos="720"/>
              </w:tabs>
              <w:snapToGrid w:val="0"/>
              <w:jc w:val="center"/>
              <w:rPr>
                <w:rFonts w:ascii="Times New Roman" w:hAnsi="Times New Roman" w:cs="Times New Roman"/>
                <w:i/>
                <w:sz w:val="24"/>
                <w:szCs w:val="24"/>
              </w:rPr>
            </w:pPr>
            <w:r w:rsidRPr="0047151A">
              <w:rPr>
                <w:rFonts w:ascii="Times New Roman" w:hAnsi="Times New Roman" w:cs="Times New Roman"/>
                <w:i/>
                <w:sz w:val="24"/>
                <w:szCs w:val="24"/>
              </w:rPr>
              <w:t>burden hours</w:t>
            </w:r>
          </w:p>
        </w:tc>
      </w:tr>
      <w:tr w:rsidR="00A642FE" w:rsidRPr="0047151A" w:rsidTr="00512AF1">
        <w:tc>
          <w:tcPr>
            <w:tcW w:w="2430" w:type="dxa"/>
          </w:tcPr>
          <w:p w:rsidR="00A642FE" w:rsidRPr="0047151A" w:rsidRDefault="00A642FE" w:rsidP="00FC1E38">
            <w:pPr>
              <w:widowControl/>
              <w:tabs>
                <w:tab w:val="left" w:pos="720"/>
              </w:tabs>
              <w:snapToGrid w:val="0"/>
              <w:rPr>
                <w:rFonts w:ascii="Times New Roman" w:hAnsi="Times New Roman" w:cs="Times New Roman"/>
                <w:sz w:val="24"/>
                <w:szCs w:val="24"/>
              </w:rPr>
            </w:pPr>
          </w:p>
        </w:tc>
        <w:tc>
          <w:tcPr>
            <w:tcW w:w="1821" w:type="dxa"/>
            <w:vAlign w:val="center"/>
          </w:tcPr>
          <w:p w:rsidR="00A642FE" w:rsidRPr="0047151A" w:rsidRDefault="00A642FE" w:rsidP="00FC1E38">
            <w:pPr>
              <w:widowControl/>
              <w:tabs>
                <w:tab w:val="left" w:pos="720"/>
              </w:tabs>
              <w:snapToGrid w:val="0"/>
              <w:jc w:val="center"/>
              <w:rPr>
                <w:rFonts w:ascii="Times New Roman" w:hAnsi="Times New Roman" w:cs="Times New Roman"/>
                <w:i/>
                <w:sz w:val="24"/>
                <w:szCs w:val="24"/>
              </w:rPr>
            </w:pPr>
          </w:p>
        </w:tc>
        <w:tc>
          <w:tcPr>
            <w:tcW w:w="1731" w:type="dxa"/>
            <w:vAlign w:val="center"/>
          </w:tcPr>
          <w:p w:rsidR="00A642FE" w:rsidRPr="0047151A" w:rsidRDefault="00A642FE" w:rsidP="00FC1E38">
            <w:pPr>
              <w:widowControl/>
              <w:tabs>
                <w:tab w:val="left" w:pos="720"/>
              </w:tabs>
              <w:snapToGrid w:val="0"/>
              <w:jc w:val="center"/>
              <w:rPr>
                <w:rFonts w:ascii="Times New Roman" w:hAnsi="Times New Roman" w:cs="Times New Roman"/>
                <w:i/>
                <w:sz w:val="24"/>
                <w:szCs w:val="24"/>
              </w:rPr>
            </w:pPr>
          </w:p>
        </w:tc>
        <w:tc>
          <w:tcPr>
            <w:tcW w:w="1731" w:type="dxa"/>
            <w:vAlign w:val="center"/>
          </w:tcPr>
          <w:p w:rsidR="00A642FE" w:rsidRPr="0047151A" w:rsidRDefault="00A642FE" w:rsidP="00FC1E38">
            <w:pPr>
              <w:widowControl/>
              <w:tabs>
                <w:tab w:val="left" w:pos="720"/>
              </w:tabs>
              <w:snapToGrid w:val="0"/>
              <w:jc w:val="center"/>
              <w:rPr>
                <w:rFonts w:ascii="Times New Roman" w:hAnsi="Times New Roman" w:cs="Times New Roman"/>
                <w:i/>
                <w:sz w:val="24"/>
                <w:szCs w:val="24"/>
              </w:rPr>
            </w:pPr>
          </w:p>
        </w:tc>
        <w:tc>
          <w:tcPr>
            <w:tcW w:w="1731" w:type="dxa"/>
            <w:vAlign w:val="center"/>
          </w:tcPr>
          <w:p w:rsidR="00A642FE" w:rsidRPr="0047151A" w:rsidRDefault="00A642FE" w:rsidP="00FC1E38">
            <w:pPr>
              <w:widowControl/>
              <w:tabs>
                <w:tab w:val="left" w:pos="720"/>
              </w:tabs>
              <w:snapToGrid w:val="0"/>
              <w:jc w:val="center"/>
              <w:rPr>
                <w:rFonts w:ascii="Times New Roman" w:hAnsi="Times New Roman" w:cs="Times New Roman"/>
                <w:i/>
                <w:sz w:val="24"/>
                <w:szCs w:val="24"/>
              </w:rPr>
            </w:pPr>
          </w:p>
        </w:tc>
      </w:tr>
      <w:tr w:rsidR="00FC1E38" w:rsidRPr="0047151A" w:rsidTr="00512AF1">
        <w:trPr>
          <w:trHeight w:val="288"/>
        </w:trPr>
        <w:tc>
          <w:tcPr>
            <w:tcW w:w="2430" w:type="dxa"/>
            <w:vAlign w:val="bottom"/>
          </w:tcPr>
          <w:p w:rsidR="00FC1E38" w:rsidRPr="0047151A" w:rsidRDefault="009E1B63" w:rsidP="002C13B2">
            <w:pPr>
              <w:widowControl/>
              <w:tabs>
                <w:tab w:val="left" w:pos="720"/>
              </w:tabs>
              <w:snapToGrid w:val="0"/>
              <w:rPr>
                <w:rFonts w:ascii="Times New Roman" w:hAnsi="Times New Roman" w:cs="Times New Roman"/>
                <w:sz w:val="24"/>
                <w:szCs w:val="24"/>
              </w:rPr>
            </w:pPr>
            <w:r w:rsidRPr="0047151A">
              <w:rPr>
                <w:rFonts w:ascii="Times New Roman" w:hAnsi="Times New Roman" w:cs="Times New Roman"/>
                <w:sz w:val="24"/>
                <w:szCs w:val="24"/>
              </w:rPr>
              <w:t xml:space="preserve">FR </w:t>
            </w:r>
            <w:r w:rsidR="002C13B2">
              <w:rPr>
                <w:rFonts w:ascii="Times New Roman" w:hAnsi="Times New Roman" w:cs="Times New Roman"/>
                <w:sz w:val="24"/>
                <w:szCs w:val="24"/>
              </w:rPr>
              <w:t>2320</w:t>
            </w:r>
          </w:p>
        </w:tc>
        <w:tc>
          <w:tcPr>
            <w:tcW w:w="1821" w:type="dxa"/>
            <w:vAlign w:val="bottom"/>
          </w:tcPr>
          <w:p w:rsidR="00FC1E38" w:rsidRPr="0047151A" w:rsidRDefault="002B6495" w:rsidP="002B6495">
            <w:pPr>
              <w:widowControl/>
              <w:tabs>
                <w:tab w:val="left" w:pos="720"/>
              </w:tabs>
              <w:snapToGrid w:val="0"/>
              <w:jc w:val="center"/>
              <w:rPr>
                <w:rFonts w:ascii="Times New Roman" w:hAnsi="Times New Roman" w:cs="Times New Roman"/>
                <w:sz w:val="24"/>
                <w:szCs w:val="24"/>
              </w:rPr>
            </w:pPr>
            <w:r>
              <w:rPr>
                <w:rFonts w:ascii="Times New Roman" w:hAnsi="Times New Roman" w:cs="Times New Roman"/>
                <w:sz w:val="24"/>
                <w:szCs w:val="24"/>
              </w:rPr>
              <w:t>40</w:t>
            </w:r>
          </w:p>
        </w:tc>
        <w:tc>
          <w:tcPr>
            <w:tcW w:w="1731" w:type="dxa"/>
            <w:vAlign w:val="bottom"/>
          </w:tcPr>
          <w:p w:rsidR="00FC1E38" w:rsidRPr="0047151A" w:rsidRDefault="00A642FE" w:rsidP="00A642FE">
            <w:pPr>
              <w:widowControl/>
              <w:tabs>
                <w:tab w:val="left" w:pos="720"/>
              </w:tabs>
              <w:snapToGrid w:val="0"/>
              <w:jc w:val="center"/>
              <w:rPr>
                <w:rFonts w:ascii="Times New Roman" w:hAnsi="Times New Roman" w:cs="Times New Roman"/>
                <w:color w:val="000000"/>
                <w:sz w:val="24"/>
                <w:szCs w:val="24"/>
              </w:rPr>
            </w:pPr>
            <w:r w:rsidRPr="0047151A">
              <w:rPr>
                <w:rFonts w:ascii="Times New Roman" w:hAnsi="Times New Roman" w:cs="Times New Roman"/>
                <w:color w:val="000000"/>
                <w:sz w:val="24"/>
                <w:szCs w:val="24"/>
              </w:rPr>
              <w:t>4</w:t>
            </w:r>
          </w:p>
        </w:tc>
        <w:tc>
          <w:tcPr>
            <w:tcW w:w="1731" w:type="dxa"/>
            <w:vAlign w:val="bottom"/>
          </w:tcPr>
          <w:p w:rsidR="00FC1E38" w:rsidRPr="0047151A" w:rsidRDefault="007E4BC1" w:rsidP="00A642FE">
            <w:pPr>
              <w:widowControl/>
              <w:tabs>
                <w:tab w:val="left" w:pos="720"/>
              </w:tabs>
              <w:snapToGrid w:val="0"/>
              <w:jc w:val="center"/>
              <w:rPr>
                <w:rFonts w:ascii="Times New Roman" w:hAnsi="Times New Roman" w:cs="Times New Roman"/>
                <w:sz w:val="24"/>
                <w:szCs w:val="24"/>
              </w:rPr>
            </w:pPr>
            <w:r>
              <w:rPr>
                <w:rFonts w:ascii="Times New Roman" w:hAnsi="Times New Roman" w:cs="Times New Roman"/>
                <w:sz w:val="24"/>
                <w:szCs w:val="24"/>
              </w:rPr>
              <w:t>2.5</w:t>
            </w:r>
          </w:p>
        </w:tc>
        <w:tc>
          <w:tcPr>
            <w:tcW w:w="1731" w:type="dxa"/>
            <w:vAlign w:val="bottom"/>
          </w:tcPr>
          <w:p w:rsidR="00FC1E38" w:rsidRPr="0047151A" w:rsidRDefault="001C0965" w:rsidP="001C0965">
            <w:pPr>
              <w:widowControl/>
              <w:tabs>
                <w:tab w:val="left" w:pos="720"/>
              </w:tabs>
              <w:snapToGrid w:val="0"/>
              <w:rPr>
                <w:rFonts w:ascii="Times New Roman" w:hAnsi="Times New Roman" w:cs="Times New Roman"/>
                <w:sz w:val="24"/>
                <w:szCs w:val="24"/>
              </w:rPr>
            </w:pPr>
            <w:r>
              <w:rPr>
                <w:rFonts w:ascii="Times New Roman" w:hAnsi="Times New Roman" w:cs="Times New Roman"/>
                <w:sz w:val="24"/>
                <w:szCs w:val="24"/>
              </w:rPr>
              <w:t xml:space="preserve">        </w:t>
            </w:r>
            <w:r w:rsidR="007E4BC1">
              <w:rPr>
                <w:rFonts w:ascii="Times New Roman" w:hAnsi="Times New Roman" w:cs="Times New Roman"/>
                <w:sz w:val="24"/>
                <w:szCs w:val="24"/>
              </w:rPr>
              <w:t>400</w:t>
            </w:r>
          </w:p>
        </w:tc>
      </w:tr>
      <w:tr w:rsidR="00FC1E38" w:rsidRPr="0047151A" w:rsidTr="00512AF1">
        <w:trPr>
          <w:trHeight w:val="288"/>
        </w:trPr>
        <w:tc>
          <w:tcPr>
            <w:tcW w:w="2430" w:type="dxa"/>
            <w:vAlign w:val="bottom"/>
          </w:tcPr>
          <w:p w:rsidR="00FC1E38" w:rsidRPr="0047151A" w:rsidRDefault="00FC1E38" w:rsidP="00FC1E38">
            <w:pPr>
              <w:widowControl/>
              <w:tabs>
                <w:tab w:val="left" w:pos="720"/>
              </w:tabs>
              <w:snapToGrid w:val="0"/>
              <w:jc w:val="right"/>
              <w:rPr>
                <w:rFonts w:ascii="Times New Roman" w:hAnsi="Times New Roman" w:cs="Times New Roman"/>
                <w:i/>
                <w:sz w:val="24"/>
                <w:szCs w:val="24"/>
              </w:rPr>
            </w:pPr>
          </w:p>
        </w:tc>
        <w:tc>
          <w:tcPr>
            <w:tcW w:w="1821" w:type="dxa"/>
            <w:vAlign w:val="bottom"/>
          </w:tcPr>
          <w:p w:rsidR="00FC1E38" w:rsidRPr="0047151A" w:rsidRDefault="00FC1E38" w:rsidP="00FC1E38">
            <w:pPr>
              <w:widowControl/>
              <w:tabs>
                <w:tab w:val="left" w:pos="720"/>
              </w:tabs>
              <w:snapToGrid w:val="0"/>
              <w:jc w:val="right"/>
              <w:rPr>
                <w:rFonts w:ascii="Times New Roman" w:hAnsi="Times New Roman" w:cs="Times New Roman"/>
                <w:i/>
                <w:sz w:val="24"/>
                <w:szCs w:val="24"/>
              </w:rPr>
            </w:pPr>
          </w:p>
        </w:tc>
        <w:tc>
          <w:tcPr>
            <w:tcW w:w="1731" w:type="dxa"/>
            <w:vAlign w:val="bottom"/>
          </w:tcPr>
          <w:p w:rsidR="00FC1E38" w:rsidRPr="0047151A" w:rsidRDefault="00FC1E38" w:rsidP="00FC1E38">
            <w:pPr>
              <w:widowControl/>
              <w:tabs>
                <w:tab w:val="left" w:pos="720"/>
              </w:tabs>
              <w:snapToGrid w:val="0"/>
              <w:jc w:val="center"/>
              <w:rPr>
                <w:rFonts w:ascii="Times New Roman" w:hAnsi="Times New Roman" w:cs="Times New Roman"/>
                <w:sz w:val="24"/>
                <w:szCs w:val="24"/>
              </w:rPr>
            </w:pPr>
          </w:p>
        </w:tc>
        <w:tc>
          <w:tcPr>
            <w:tcW w:w="1731" w:type="dxa"/>
            <w:vAlign w:val="bottom"/>
          </w:tcPr>
          <w:p w:rsidR="00FC1E38" w:rsidRPr="0047151A" w:rsidRDefault="00FC1E38" w:rsidP="00FC1E38">
            <w:pPr>
              <w:widowControl/>
              <w:tabs>
                <w:tab w:val="left" w:pos="720"/>
              </w:tabs>
              <w:snapToGrid w:val="0"/>
              <w:jc w:val="center"/>
              <w:rPr>
                <w:rFonts w:ascii="Times New Roman" w:hAnsi="Times New Roman" w:cs="Times New Roman"/>
                <w:sz w:val="24"/>
                <w:szCs w:val="24"/>
              </w:rPr>
            </w:pPr>
          </w:p>
        </w:tc>
        <w:tc>
          <w:tcPr>
            <w:tcW w:w="1731" w:type="dxa"/>
            <w:vAlign w:val="bottom"/>
          </w:tcPr>
          <w:p w:rsidR="00FC1E38" w:rsidRPr="0047151A" w:rsidRDefault="00FC1E38" w:rsidP="00FC1E38">
            <w:pPr>
              <w:widowControl/>
              <w:tabs>
                <w:tab w:val="left" w:pos="720"/>
              </w:tabs>
              <w:snapToGrid w:val="0"/>
              <w:jc w:val="right"/>
              <w:rPr>
                <w:rFonts w:ascii="Times New Roman" w:hAnsi="Times New Roman" w:cs="Times New Roman"/>
                <w:sz w:val="24"/>
                <w:szCs w:val="24"/>
              </w:rPr>
            </w:pPr>
          </w:p>
        </w:tc>
      </w:tr>
    </w:tbl>
    <w:p w:rsidR="00FC1E38" w:rsidRPr="0047151A" w:rsidRDefault="00FC1E38" w:rsidP="00FC1E38">
      <w:pPr>
        <w:tabs>
          <w:tab w:val="left" w:pos="-1080"/>
          <w:tab w:val="left" w:pos="-90"/>
          <w:tab w:val="left" w:pos="1440"/>
          <w:tab w:val="left" w:pos="1980"/>
          <w:tab w:val="left" w:pos="3960"/>
          <w:tab w:val="left" w:pos="5760"/>
          <w:tab w:val="left" w:pos="7921"/>
        </w:tabs>
        <w:snapToGrid w:val="0"/>
        <w:jc w:val="both"/>
        <w:rPr>
          <w:rFonts w:ascii="Times New Roman" w:hAnsi="Times New Roman" w:cs="Times New Roman"/>
          <w:sz w:val="24"/>
          <w:szCs w:val="24"/>
        </w:rPr>
      </w:pPr>
    </w:p>
    <w:p w:rsidR="00FC1E38" w:rsidRDefault="00A642FE" w:rsidP="002B6495">
      <w:pPr>
        <w:tabs>
          <w:tab w:val="left" w:pos="-1080"/>
          <w:tab w:val="left" w:pos="-90"/>
          <w:tab w:val="left" w:pos="1440"/>
          <w:tab w:val="left" w:pos="1980"/>
          <w:tab w:val="left" w:pos="3960"/>
          <w:tab w:val="left" w:pos="5760"/>
          <w:tab w:val="left" w:pos="7921"/>
        </w:tabs>
        <w:snapToGrid w:val="0"/>
        <w:jc w:val="both"/>
        <w:rPr>
          <w:rFonts w:ascii="Times New Roman" w:hAnsi="Times New Roman" w:cs="Times New Roman"/>
          <w:color w:val="000000"/>
          <w:sz w:val="24"/>
          <w:szCs w:val="24"/>
        </w:rPr>
      </w:pPr>
      <w:r w:rsidRPr="0047151A">
        <w:rPr>
          <w:rFonts w:ascii="Times New Roman" w:hAnsi="Times New Roman" w:cs="Times New Roman"/>
          <w:color w:val="000000"/>
          <w:sz w:val="24"/>
          <w:szCs w:val="24"/>
        </w:rPr>
        <w:t xml:space="preserve">The current annual cost to the public </w:t>
      </w:r>
      <w:r w:rsidR="005F0AC2">
        <w:rPr>
          <w:rFonts w:ascii="Times New Roman" w:hAnsi="Times New Roman" w:cs="Times New Roman"/>
          <w:color w:val="000000"/>
          <w:sz w:val="24"/>
          <w:szCs w:val="24"/>
        </w:rPr>
        <w:t>for this information collection</w:t>
      </w:r>
      <w:r w:rsidRPr="0047151A">
        <w:rPr>
          <w:rFonts w:ascii="Times New Roman" w:hAnsi="Times New Roman" w:cs="Times New Roman"/>
          <w:color w:val="000000"/>
          <w:sz w:val="24"/>
          <w:szCs w:val="24"/>
        </w:rPr>
        <w:t xml:space="preserve"> is estimated to be $</w:t>
      </w:r>
      <w:r w:rsidR="00E0783E">
        <w:rPr>
          <w:rFonts w:ascii="Times New Roman" w:hAnsi="Times New Roman" w:cs="Times New Roman"/>
          <w:color w:val="000000"/>
          <w:sz w:val="24"/>
          <w:szCs w:val="24"/>
        </w:rPr>
        <w:t>17,360</w:t>
      </w:r>
      <w:r w:rsidR="00FC1E38" w:rsidRPr="0047151A">
        <w:rPr>
          <w:rFonts w:ascii="Times New Roman" w:hAnsi="Times New Roman" w:cs="Times New Roman"/>
          <w:color w:val="000000"/>
          <w:sz w:val="24"/>
          <w:szCs w:val="24"/>
        </w:rPr>
        <w:t>.</w:t>
      </w:r>
      <w:r w:rsidR="002B6495" w:rsidRPr="002B6495">
        <w:rPr>
          <w:rStyle w:val="FootnoteReference"/>
          <w:rFonts w:ascii="Times New Roman" w:hAnsi="Times New Roman" w:cs="Times New Roman"/>
          <w:color w:val="000000"/>
          <w:sz w:val="24"/>
          <w:szCs w:val="24"/>
          <w:vertAlign w:val="superscript"/>
        </w:rPr>
        <w:footnoteReference w:id="6"/>
      </w:r>
    </w:p>
    <w:p w:rsidR="002B6495" w:rsidRPr="0047151A" w:rsidRDefault="002B6495" w:rsidP="002B6495">
      <w:pPr>
        <w:tabs>
          <w:tab w:val="left" w:pos="-1080"/>
          <w:tab w:val="left" w:pos="-90"/>
          <w:tab w:val="left" w:pos="1440"/>
          <w:tab w:val="left" w:pos="1980"/>
          <w:tab w:val="left" w:pos="3960"/>
          <w:tab w:val="left" w:pos="5760"/>
          <w:tab w:val="left" w:pos="7921"/>
        </w:tabs>
        <w:snapToGrid w:val="0"/>
        <w:jc w:val="both"/>
        <w:rPr>
          <w:rFonts w:ascii="Times New Roman" w:hAnsi="Times New Roman" w:cs="Times New Roman"/>
          <w:b/>
          <w:sz w:val="24"/>
          <w:szCs w:val="24"/>
        </w:rPr>
      </w:pPr>
    </w:p>
    <w:p w:rsidR="00FC1E38" w:rsidRPr="0047151A" w:rsidRDefault="00FC1E38" w:rsidP="00FC1E38">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cs="Times New Roman"/>
          <w:b/>
          <w:sz w:val="24"/>
          <w:szCs w:val="24"/>
        </w:rPr>
      </w:pPr>
      <w:r w:rsidRPr="0047151A">
        <w:rPr>
          <w:rFonts w:ascii="Times New Roman" w:hAnsi="Times New Roman" w:cs="Times New Roman"/>
          <w:b/>
          <w:sz w:val="24"/>
          <w:szCs w:val="24"/>
        </w:rPr>
        <w:t>Estimate of Cost to the Federal Reserve System</w:t>
      </w:r>
    </w:p>
    <w:p w:rsidR="00FC1E38" w:rsidRPr="0047151A" w:rsidRDefault="00FC1E38" w:rsidP="00FC1E38">
      <w:pPr>
        <w:pStyle w:val="MemoHeade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rFonts w:ascii="Times New Roman" w:hAnsi="Times New Roman" w:cs="Times New Roman"/>
          <w:smallCaps w:val="0"/>
          <w:snapToGrid w:val="0"/>
        </w:rPr>
      </w:pPr>
    </w:p>
    <w:p w:rsidR="00FC1E38" w:rsidRPr="0047151A" w:rsidRDefault="00520C0A" w:rsidP="00FC1E38">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cs="Times New Roman"/>
          <w:sz w:val="24"/>
          <w:szCs w:val="24"/>
        </w:rPr>
      </w:pPr>
      <w:r w:rsidRPr="0047151A">
        <w:rPr>
          <w:rFonts w:ascii="Times New Roman" w:hAnsi="Times New Roman" w:cs="Times New Roman"/>
          <w:sz w:val="24"/>
          <w:szCs w:val="24"/>
        </w:rPr>
        <w:t>The</w:t>
      </w:r>
      <w:r w:rsidR="00C515B1">
        <w:rPr>
          <w:rFonts w:ascii="Times New Roman" w:hAnsi="Times New Roman" w:cs="Times New Roman"/>
          <w:sz w:val="24"/>
          <w:szCs w:val="24"/>
        </w:rPr>
        <w:t xml:space="preserve"> annual</w:t>
      </w:r>
      <w:r w:rsidRPr="0047151A">
        <w:rPr>
          <w:rFonts w:ascii="Times New Roman" w:hAnsi="Times New Roman" w:cs="Times New Roman"/>
          <w:sz w:val="24"/>
          <w:szCs w:val="24"/>
        </w:rPr>
        <w:t xml:space="preserve"> </w:t>
      </w:r>
      <w:r w:rsidR="00FC1E38" w:rsidRPr="0047151A">
        <w:rPr>
          <w:rFonts w:ascii="Times New Roman" w:hAnsi="Times New Roman" w:cs="Times New Roman"/>
          <w:sz w:val="24"/>
          <w:szCs w:val="24"/>
        </w:rPr>
        <w:t xml:space="preserve">cost to the Federal Reserve System </w:t>
      </w:r>
      <w:r w:rsidRPr="0047151A">
        <w:rPr>
          <w:rFonts w:ascii="Times New Roman" w:hAnsi="Times New Roman" w:cs="Times New Roman"/>
          <w:sz w:val="24"/>
          <w:szCs w:val="24"/>
        </w:rPr>
        <w:t xml:space="preserve">for </w:t>
      </w:r>
      <w:r w:rsidR="00CD53E3">
        <w:rPr>
          <w:rFonts w:ascii="Times New Roman" w:hAnsi="Times New Roman" w:cs="Times New Roman"/>
          <w:sz w:val="24"/>
          <w:szCs w:val="24"/>
        </w:rPr>
        <w:t>implementing this report is estimated to be $93,900 with a one-time implementation cost of $63,700.</w:t>
      </w:r>
    </w:p>
    <w:p w:rsidR="00520C0A" w:rsidRPr="0047151A" w:rsidRDefault="00520C0A" w:rsidP="00FC1E38">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cs="Times New Roman"/>
          <w:sz w:val="24"/>
          <w:szCs w:val="24"/>
        </w:rPr>
      </w:pPr>
    </w:p>
    <w:p w:rsidR="00FC1E38" w:rsidRPr="0047151A" w:rsidRDefault="00FC1E38" w:rsidP="00FC1E38">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cs="Times New Roman"/>
          <w:sz w:val="24"/>
          <w:szCs w:val="24"/>
        </w:rPr>
      </w:pPr>
    </w:p>
    <w:sectPr w:rsidR="00FC1E38" w:rsidRPr="0047151A" w:rsidSect="00512AF1">
      <w:headerReference w:type="default" r:id="rId9"/>
      <w:footerReference w:type="even" r:id="rId10"/>
      <w:footerReference w:type="default" r:id="rId11"/>
      <w:headerReference w:type="first" r:id="rId12"/>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639" w:rsidRDefault="00346639">
      <w:r>
        <w:separator/>
      </w:r>
    </w:p>
  </w:endnote>
  <w:endnote w:type="continuationSeparator" w:id="0">
    <w:p w:rsidR="00346639" w:rsidRDefault="003466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ACFA D+ Bembo">
    <w:altName w:val="Bemb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39" w:rsidRDefault="004D5B65" w:rsidP="00FE3ED0">
    <w:pPr>
      <w:pStyle w:val="Footer"/>
      <w:framePr w:wrap="around" w:vAnchor="text" w:hAnchor="margin" w:xAlign="center" w:y="1"/>
      <w:rPr>
        <w:rStyle w:val="PageNumber"/>
      </w:rPr>
    </w:pPr>
    <w:r>
      <w:rPr>
        <w:rStyle w:val="PageNumber"/>
      </w:rPr>
      <w:fldChar w:fldCharType="begin"/>
    </w:r>
    <w:r w:rsidR="00346639">
      <w:rPr>
        <w:rStyle w:val="PageNumber"/>
      </w:rPr>
      <w:instrText xml:space="preserve">PAGE  </w:instrText>
    </w:r>
    <w:r>
      <w:rPr>
        <w:rStyle w:val="PageNumber"/>
      </w:rPr>
      <w:fldChar w:fldCharType="end"/>
    </w:r>
  </w:p>
  <w:p w:rsidR="00346639" w:rsidRDefault="003466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39" w:rsidRPr="003E5B70" w:rsidRDefault="004D5B65" w:rsidP="00FE3ED0">
    <w:pPr>
      <w:pStyle w:val="Footer"/>
      <w:framePr w:wrap="around" w:vAnchor="text" w:hAnchor="margin" w:xAlign="center" w:y="1"/>
      <w:rPr>
        <w:rStyle w:val="PageNumber"/>
        <w:rFonts w:ascii="Times New Roman" w:hAnsi="Times New Roman" w:cs="Times New Roman"/>
        <w:sz w:val="24"/>
        <w:szCs w:val="24"/>
      </w:rPr>
    </w:pPr>
    <w:r w:rsidRPr="003E5B70">
      <w:rPr>
        <w:rStyle w:val="PageNumber"/>
        <w:rFonts w:ascii="Times New Roman" w:hAnsi="Times New Roman" w:cs="Times New Roman"/>
        <w:sz w:val="24"/>
        <w:szCs w:val="24"/>
      </w:rPr>
      <w:fldChar w:fldCharType="begin"/>
    </w:r>
    <w:r w:rsidR="00346639" w:rsidRPr="003E5B70">
      <w:rPr>
        <w:rStyle w:val="PageNumber"/>
        <w:rFonts w:ascii="Times New Roman" w:hAnsi="Times New Roman" w:cs="Times New Roman"/>
        <w:sz w:val="24"/>
        <w:szCs w:val="24"/>
      </w:rPr>
      <w:instrText xml:space="preserve">PAGE  </w:instrText>
    </w:r>
    <w:r w:rsidRPr="003E5B70">
      <w:rPr>
        <w:rStyle w:val="PageNumber"/>
        <w:rFonts w:ascii="Times New Roman" w:hAnsi="Times New Roman" w:cs="Times New Roman"/>
        <w:sz w:val="24"/>
        <w:szCs w:val="24"/>
      </w:rPr>
      <w:fldChar w:fldCharType="separate"/>
    </w:r>
    <w:r w:rsidR="00A6267C">
      <w:rPr>
        <w:rStyle w:val="PageNumber"/>
        <w:rFonts w:ascii="Times New Roman" w:hAnsi="Times New Roman" w:cs="Times New Roman"/>
        <w:noProof/>
        <w:sz w:val="24"/>
        <w:szCs w:val="24"/>
      </w:rPr>
      <w:t>2</w:t>
    </w:r>
    <w:r w:rsidRPr="003E5B70">
      <w:rPr>
        <w:rStyle w:val="PageNumber"/>
        <w:rFonts w:ascii="Times New Roman" w:hAnsi="Times New Roman" w:cs="Times New Roman"/>
        <w:sz w:val="24"/>
        <w:szCs w:val="24"/>
      </w:rPr>
      <w:fldChar w:fldCharType="end"/>
    </w:r>
  </w:p>
  <w:p w:rsidR="00346639" w:rsidRDefault="003466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639" w:rsidRDefault="00346639">
      <w:r>
        <w:separator/>
      </w:r>
    </w:p>
  </w:footnote>
  <w:footnote w:type="continuationSeparator" w:id="0">
    <w:p w:rsidR="00346639" w:rsidRDefault="00346639">
      <w:r>
        <w:continuationSeparator/>
      </w:r>
    </w:p>
  </w:footnote>
  <w:footnote w:id="1">
    <w:p w:rsidR="00346639" w:rsidRPr="0060731F" w:rsidRDefault="00346639" w:rsidP="00575A8C">
      <w:r w:rsidRPr="0008380E">
        <w:rPr>
          <w:rStyle w:val="FootnoteReference"/>
          <w:rFonts w:ascii="Times New Roman" w:hAnsi="Times New Roman" w:cs="Times New Roman"/>
          <w:vertAlign w:val="superscript"/>
        </w:rPr>
        <w:footnoteRef/>
      </w:r>
      <w:r w:rsidRPr="0008380E">
        <w:rPr>
          <w:rFonts w:ascii="Times New Roman" w:hAnsi="Times New Roman" w:cs="Times New Roman"/>
          <w:vertAlign w:val="superscript"/>
        </w:rPr>
        <w:t xml:space="preserve"> </w:t>
      </w:r>
      <w:r>
        <w:rPr>
          <w:rFonts w:ascii="Times New Roman" w:hAnsi="Times New Roman" w:cs="Times New Roman"/>
        </w:rPr>
        <w:t xml:space="preserve"> Under the final notice on regulatory reporting for SLHCs released on December 23, 2011, an</w:t>
      </w:r>
      <w:r w:rsidRPr="0008380E">
        <w:rPr>
          <w:rFonts w:ascii="Times New Roman" w:hAnsi="Times New Roman" w:cs="Times New Roman"/>
        </w:rPr>
        <w:t xml:space="preserve"> exempt SLHC meet</w:t>
      </w:r>
      <w:r>
        <w:rPr>
          <w:rFonts w:ascii="Times New Roman" w:hAnsi="Times New Roman" w:cs="Times New Roman"/>
        </w:rPr>
        <w:t>s one of</w:t>
      </w:r>
      <w:r w:rsidRPr="0008380E">
        <w:rPr>
          <w:rFonts w:ascii="Times New Roman" w:hAnsi="Times New Roman" w:cs="Times New Roman"/>
        </w:rPr>
        <w:t xml:space="preserve"> the following criteria</w:t>
      </w:r>
      <w:r>
        <w:rPr>
          <w:rFonts w:ascii="Times New Roman" w:hAnsi="Times New Roman" w:cs="Times New Roman"/>
        </w:rPr>
        <w:t xml:space="preserve"> </w:t>
      </w:r>
      <w:r w:rsidRPr="0060731F">
        <w:rPr>
          <w:rFonts w:ascii="Times New Roman" w:hAnsi="Times New Roman" w:cs="Times New Roman"/>
        </w:rPr>
        <w:t xml:space="preserve">(1) it is a grandfathered SLHC whose (a) as calculated annually as of June 30th, using the four previous quarters (which includes the quarter-ended June 30th reporting period), savings association subsidiaries’ consolidated assets make up less than 5 percent of the total consolidated assets of the grandfathered SLHC on an enterprise-wide basis for any of these four quarters; </w:t>
      </w:r>
      <w:r w:rsidRPr="0060731F">
        <w:rPr>
          <w:rFonts w:ascii="Times New Roman" w:hAnsi="Times New Roman" w:cs="Times New Roman"/>
          <w:i/>
          <w:iCs/>
        </w:rPr>
        <w:t xml:space="preserve">and </w:t>
      </w:r>
      <w:r w:rsidRPr="0060731F">
        <w:rPr>
          <w:rFonts w:ascii="Times New Roman" w:hAnsi="Times New Roman" w:cs="Times New Roman"/>
        </w:rPr>
        <w:t>(b) as calculated annually as of June 30th, using the assets reported as of June 30th, where more than 50 percent of the assets of the grandfathered unitary SLHC are derived from activities that are not otherwise permissible under HOLA on an enterprise-wide basis OR (2) (a) as calculated</w:t>
      </w:r>
      <w:r>
        <w:rPr>
          <w:rFonts w:ascii="Times New Roman" w:hAnsi="Times New Roman" w:cs="Times New Roman"/>
        </w:rPr>
        <w:t xml:space="preserve"> </w:t>
      </w:r>
      <w:r w:rsidRPr="0060731F">
        <w:rPr>
          <w:rFonts w:ascii="Times New Roman" w:hAnsi="Times New Roman" w:cs="Times New Roman"/>
        </w:rPr>
        <w:t xml:space="preserve">annually as of June 30th, using the assets reported as of June 30th, where more than 50 percent of the assets of the SLHC are derived from the business of insurance on an enterprise-wide basis; </w:t>
      </w:r>
      <w:r w:rsidRPr="0060731F">
        <w:rPr>
          <w:rFonts w:ascii="Times New Roman" w:hAnsi="Times New Roman" w:cs="Times New Roman"/>
          <w:i/>
          <w:iCs/>
        </w:rPr>
        <w:t xml:space="preserve">and </w:t>
      </w:r>
      <w:r w:rsidRPr="0060731F">
        <w:rPr>
          <w:rFonts w:ascii="Times New Roman" w:hAnsi="Times New Roman" w:cs="Times New Roman"/>
        </w:rPr>
        <w:t>(b) the SLHC does not submit</w:t>
      </w:r>
      <w:r>
        <w:rPr>
          <w:rFonts w:ascii="Times New Roman" w:hAnsi="Times New Roman" w:cs="Times New Roman"/>
        </w:rPr>
        <w:t xml:space="preserve"> </w:t>
      </w:r>
      <w:r w:rsidRPr="0060731F">
        <w:rPr>
          <w:rFonts w:ascii="Times New Roman" w:hAnsi="Times New Roman" w:cs="Times New Roman"/>
        </w:rPr>
        <w:t xml:space="preserve">reports to the SEC pursuant to Section 13 or 15(d) of the Securities Exchange Act of 1934. </w:t>
      </w:r>
    </w:p>
    <w:p w:rsidR="00346639" w:rsidRPr="0008380E" w:rsidRDefault="00346639">
      <w:pPr>
        <w:pStyle w:val="FootnoteText"/>
        <w:rPr>
          <w:rFonts w:ascii="Times New Roman" w:hAnsi="Times New Roman" w:cs="Times New Roman"/>
        </w:rPr>
      </w:pPr>
    </w:p>
  </w:footnote>
  <w:footnote w:id="2">
    <w:p w:rsidR="00346639" w:rsidRPr="006676EA" w:rsidRDefault="00346639">
      <w:pPr>
        <w:pStyle w:val="FootnoteText"/>
        <w:rPr>
          <w:rFonts w:ascii="Times New Roman" w:hAnsi="Times New Roman" w:cs="Times New Roman"/>
        </w:rPr>
      </w:pPr>
      <w:r w:rsidRPr="00AC222E">
        <w:rPr>
          <w:rStyle w:val="FootnoteReference"/>
          <w:rFonts w:ascii="Times New Roman" w:hAnsi="Times New Roman" w:cs="Times New Roman"/>
          <w:vertAlign w:val="superscript"/>
        </w:rPr>
        <w:footnoteRef/>
      </w:r>
      <w:r w:rsidRPr="00AC222E">
        <w:rPr>
          <w:rFonts w:ascii="Times New Roman" w:hAnsi="Times New Roman" w:cs="Times New Roman"/>
          <w:vertAlign w:val="superscript"/>
        </w:rPr>
        <w:t xml:space="preserve"> </w:t>
      </w:r>
      <w:r>
        <w:rPr>
          <w:rFonts w:ascii="Times New Roman" w:hAnsi="Times New Roman" w:cs="Times New Roman"/>
        </w:rPr>
        <w:t xml:space="preserve">The Office of the Comptroller of the Currency </w:t>
      </w:r>
      <w:r w:rsidRPr="00063A97">
        <w:rPr>
          <w:rFonts w:ascii="Times New Roman" w:hAnsi="Times New Roman" w:cs="Times New Roman"/>
        </w:rPr>
        <w:t>(OCC)</w:t>
      </w:r>
      <w:r w:rsidRPr="001766ED">
        <w:rPr>
          <w:rFonts w:ascii="Times New Roman" w:hAnsi="Times New Roman" w:cs="Times New Roman"/>
        </w:rPr>
        <w:t>,</w:t>
      </w:r>
      <w:r>
        <w:rPr>
          <w:rFonts w:ascii="Times New Roman" w:hAnsi="Times New Roman" w:cs="Times New Roman"/>
        </w:rPr>
        <w:t xml:space="preserve"> the Federal Reserve, the Federal Deposit Insurance Corporation, and the Office of Thrift Supervision.</w:t>
      </w:r>
    </w:p>
  </w:footnote>
  <w:footnote w:id="3">
    <w:p w:rsidR="00346639" w:rsidRPr="00DC7BDD" w:rsidRDefault="00346639">
      <w:pPr>
        <w:pStyle w:val="FootnoteText"/>
        <w:rPr>
          <w:rFonts w:ascii="Times New Roman" w:hAnsi="Times New Roman" w:cs="Times New Roman"/>
        </w:rPr>
      </w:pPr>
      <w:r w:rsidRPr="005E18C8">
        <w:rPr>
          <w:rStyle w:val="FootnoteReference"/>
          <w:rFonts w:ascii="Times New Roman" w:hAnsi="Times New Roman" w:cs="Times New Roman"/>
          <w:vertAlign w:val="superscript"/>
        </w:rPr>
        <w:footnoteRef/>
      </w:r>
      <w:r w:rsidRPr="005E18C8">
        <w:rPr>
          <w:rFonts w:ascii="Times New Roman" w:hAnsi="Times New Roman" w:cs="Times New Roman"/>
          <w:vertAlign w:val="superscript"/>
        </w:rPr>
        <w:t xml:space="preserve"> </w:t>
      </w:r>
      <w:r w:rsidRPr="005E18C8">
        <w:rPr>
          <w:rFonts w:ascii="Times New Roman" w:hAnsi="Times New Roman" w:cs="Times New Roman"/>
        </w:rPr>
        <w:t>76 FR 39981</w:t>
      </w:r>
      <w:r>
        <w:rPr>
          <w:rFonts w:ascii="Times New Roman" w:hAnsi="Times New Roman" w:cs="Times New Roman"/>
        </w:rPr>
        <w:t>.</w:t>
      </w:r>
    </w:p>
  </w:footnote>
  <w:footnote w:id="4">
    <w:p w:rsidR="00346639" w:rsidRPr="00DC7BDD" w:rsidRDefault="00346639">
      <w:pPr>
        <w:pStyle w:val="FootnoteText"/>
        <w:rPr>
          <w:rFonts w:ascii="Times New Roman" w:hAnsi="Times New Roman"/>
        </w:rPr>
      </w:pPr>
      <w:r w:rsidRPr="00676DAD">
        <w:rPr>
          <w:rStyle w:val="FootnoteReference"/>
          <w:rFonts w:ascii="Times New Roman" w:hAnsi="Times New Roman"/>
          <w:vertAlign w:val="superscript"/>
        </w:rPr>
        <w:footnoteRef/>
      </w:r>
      <w:r w:rsidRPr="00676DAD">
        <w:rPr>
          <w:rFonts w:ascii="Times New Roman" w:hAnsi="Times New Roman"/>
        </w:rPr>
        <w:t xml:space="preserve"> </w:t>
      </w:r>
      <w:r>
        <w:rPr>
          <w:rFonts w:ascii="Times New Roman" w:hAnsi="Times New Roman"/>
        </w:rPr>
        <w:t>76 FR 7091 (</w:t>
      </w:r>
      <w:r w:rsidRPr="00DC7BDD">
        <w:rPr>
          <w:rFonts w:ascii="Times New Roman" w:hAnsi="Times New Roman" w:cs="Times New Roman"/>
          <w:color w:val="000000"/>
        </w:rPr>
        <w:t>February 8, 2011</w:t>
      </w:r>
      <w:r>
        <w:rPr>
          <w:rFonts w:ascii="Times New Roman" w:hAnsi="Times New Roman" w:cs="Times New Roman"/>
          <w:color w:val="000000"/>
        </w:rPr>
        <w:t>).</w:t>
      </w:r>
    </w:p>
  </w:footnote>
  <w:footnote w:id="5">
    <w:p w:rsidR="005F0AC2" w:rsidRPr="005F0AC2" w:rsidRDefault="004D5B65">
      <w:pPr>
        <w:pStyle w:val="FootnoteText"/>
        <w:rPr>
          <w:rFonts w:ascii="Times New Roman" w:hAnsi="Times New Roman" w:cs="Times New Roman"/>
        </w:rPr>
      </w:pPr>
      <w:r w:rsidRPr="004D5B65">
        <w:rPr>
          <w:rStyle w:val="FootnoteReference"/>
          <w:rFonts w:ascii="Times New Roman" w:hAnsi="Times New Roman" w:cs="Times New Roman"/>
          <w:vertAlign w:val="superscript"/>
        </w:rPr>
        <w:footnoteRef/>
      </w:r>
      <w:r w:rsidRPr="004D5B65">
        <w:rPr>
          <w:rFonts w:ascii="Times New Roman" w:hAnsi="Times New Roman" w:cs="Times New Roman"/>
        </w:rPr>
        <w:t xml:space="preserve"> Of the </w:t>
      </w:r>
      <w:r w:rsidR="005F0AC2">
        <w:rPr>
          <w:rFonts w:ascii="Times New Roman" w:hAnsi="Times New Roman" w:cs="Times New Roman"/>
        </w:rPr>
        <w:t>40</w:t>
      </w:r>
      <w:r w:rsidRPr="004D5B65">
        <w:rPr>
          <w:rFonts w:ascii="Times New Roman" w:hAnsi="Times New Roman" w:cs="Times New Roman"/>
        </w:rPr>
        <w:t xml:space="preserve"> respondents required to comply with this information collection, none are small entities as defined by the Small Business Administration (</w:t>
      </w:r>
      <w:r w:rsidRPr="004D5B65">
        <w:rPr>
          <w:rFonts w:ascii="Times New Roman" w:hAnsi="Times New Roman" w:cs="Times New Roman"/>
          <w:i/>
        </w:rPr>
        <w:t>i.e.,</w:t>
      </w:r>
      <w:r w:rsidRPr="004D5B65">
        <w:rPr>
          <w:rFonts w:ascii="Times New Roman" w:hAnsi="Times New Roman" w:cs="Times New Roman"/>
        </w:rPr>
        <w:t xml:space="preserve"> entities with less than $175 million in total assets) </w:t>
      </w:r>
      <w:hyperlink r:id="rId1" w:history="1">
        <w:r w:rsidRPr="004D5B65">
          <w:rPr>
            <w:rStyle w:val="Hyperlink"/>
            <w:rFonts w:ascii="Times New Roman" w:hAnsi="Times New Roman" w:cs="Times New Roman"/>
          </w:rPr>
          <w:t>www.sba.gov/contractingopportunities/officials/size/table/index.html</w:t>
        </w:r>
      </w:hyperlink>
      <w:r w:rsidRPr="004D5B65">
        <w:rPr>
          <w:rFonts w:ascii="Times New Roman" w:hAnsi="Times New Roman" w:cs="Times New Roman"/>
        </w:rPr>
        <w:t xml:space="preserve">.  </w:t>
      </w:r>
    </w:p>
  </w:footnote>
  <w:footnote w:id="6">
    <w:p w:rsidR="00346639" w:rsidRPr="00E0783E" w:rsidRDefault="00346639" w:rsidP="00E0783E">
      <w:pPr>
        <w:rPr>
          <w:rFonts w:ascii="Times New Roman" w:hAnsi="Times New Roman" w:cs="Times New Roman"/>
        </w:rPr>
      </w:pPr>
      <w:r w:rsidRPr="002B6495">
        <w:rPr>
          <w:rStyle w:val="FootnoteReference"/>
          <w:rFonts w:ascii="Times New Roman" w:hAnsi="Times New Roman" w:cs="Times New Roman"/>
          <w:vertAlign w:val="superscript"/>
        </w:rPr>
        <w:footnoteRef/>
      </w:r>
      <w:r>
        <w:t xml:space="preserve"> </w:t>
      </w:r>
      <w:r w:rsidRPr="00E0783E">
        <w:rPr>
          <w:rFonts w:ascii="Times New Roman" w:hAnsi="Times New Roman" w:cs="Times New Roman"/>
        </w:rPr>
        <w:t xml:space="preserve">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www.bls.gov/news.release/ocwage.nr0.htm  Occupations are defined using the BLS Occupational Classification System,  www.bls.gov/soc/  </w:t>
      </w:r>
    </w:p>
    <w:p w:rsidR="00346639" w:rsidRPr="00E0783E" w:rsidRDefault="00346639">
      <w:pPr>
        <w:pStyle w:val="FootnoteText"/>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39" w:rsidRPr="007257CA" w:rsidRDefault="00346639" w:rsidP="007257CA">
    <w:pPr>
      <w:pStyle w:val="Header"/>
      <w:rPr>
        <w:rFonts w:ascii="Times New Roman" w:hAnsi="Times New Roman" w:cs="Times New Roman"/>
        <w:b/>
        <w:bCs/>
        <w:sz w:val="24"/>
        <w:szCs w:val="24"/>
      </w:rPr>
    </w:pPr>
    <w:r>
      <w:rPr>
        <w:rFonts w:ascii="Times New Roman" w:hAnsi="Times New Roman" w:cs="Times New Roman"/>
        <w:b/>
        <w:bCs/>
        <w:sz w:val="24"/>
        <w:szCs w:val="24"/>
      </w:rPr>
      <w:tab/>
    </w:r>
    <w:r w:rsidRPr="00C91EA5">
      <w:rPr>
        <w:rFonts w:ascii="Times New Roman" w:hAnsi="Times New Roman" w:cs="Times New Roman"/>
        <w:b/>
        <w:bCs/>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639" w:rsidRPr="0008380E" w:rsidRDefault="00346639" w:rsidP="00806E64">
    <w:pPr>
      <w:pStyle w:val="Header"/>
      <w:tabs>
        <w:tab w:val="left" w:pos="4020"/>
      </w:tabs>
      <w:jc w:val="righ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346639" w:rsidRPr="00C91EA5" w:rsidRDefault="00346639" w:rsidP="00F153E4">
    <w:pPr>
      <w:pStyle w:val="Header"/>
      <w:jc w:val="right"/>
      <w:rPr>
        <w:rFonts w:ascii="Times New Roman" w:hAnsi="Times New Roman" w:cs="Times New Roman"/>
        <w:b/>
        <w:bCs/>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D90"/>
    <w:multiLevelType w:val="multilevel"/>
    <w:tmpl w:val="AA82B35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C4F561E"/>
    <w:multiLevelType w:val="multilevel"/>
    <w:tmpl w:val="0F6CEC0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3E1E54"/>
    <w:multiLevelType w:val="hybridMultilevel"/>
    <w:tmpl w:val="6AFA84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16CE1CC3"/>
    <w:multiLevelType w:val="hybridMultilevel"/>
    <w:tmpl w:val="3E3C0B62"/>
    <w:lvl w:ilvl="0" w:tplc="C5EA5934">
      <w:start w:val="1"/>
      <w:numFmt w:val="bullet"/>
      <w:lvlText w:val=""/>
      <w:lvlJc w:val="left"/>
      <w:pPr>
        <w:tabs>
          <w:tab w:val="num" w:pos="1080"/>
        </w:tabs>
        <w:ind w:left="1080" w:hanging="360"/>
      </w:pPr>
      <w:rPr>
        <w:rFonts w:ascii="Symbol" w:hAnsi="Symbol" w:cs="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4">
    <w:nsid w:val="1EDBB6FB"/>
    <w:multiLevelType w:val="hybridMultilevel"/>
    <w:tmpl w:val="553642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FA41B39"/>
    <w:multiLevelType w:val="hybridMultilevel"/>
    <w:tmpl w:val="3C2E0B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1707BB0"/>
    <w:multiLevelType w:val="hybridMultilevel"/>
    <w:tmpl w:val="AE9AD12A"/>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6B56EF7"/>
    <w:multiLevelType w:val="hybridMultilevel"/>
    <w:tmpl w:val="A8E01502"/>
    <w:lvl w:ilvl="0" w:tplc="C5EA5934">
      <w:start w:val="1"/>
      <w:numFmt w:val="bullet"/>
      <w:lvlText w:val=""/>
      <w:lvlJc w:val="left"/>
      <w:pPr>
        <w:tabs>
          <w:tab w:val="num" w:pos="720"/>
        </w:tabs>
        <w:ind w:left="720" w:hanging="360"/>
      </w:pPr>
      <w:rPr>
        <w:rFonts w:ascii="Symbol" w:hAnsi="Symbol" w:cs="Symbol" w:hint="default"/>
        <w:color w:val="auto"/>
        <w:sz w:val="16"/>
        <w:szCs w:val="16"/>
      </w:rPr>
    </w:lvl>
    <w:lvl w:ilvl="1" w:tplc="04090001">
      <w:start w:val="1"/>
      <w:numFmt w:val="bullet"/>
      <w:lvlText w:val=""/>
      <w:lvlJc w:val="left"/>
      <w:pPr>
        <w:tabs>
          <w:tab w:val="num" w:pos="1800"/>
        </w:tabs>
        <w:ind w:left="1800" w:hanging="360"/>
      </w:pPr>
      <w:rPr>
        <w:rFonts w:ascii="Symbol" w:hAnsi="Symbol" w:cs="Symbol" w:hint="default"/>
        <w:color w:val="auto"/>
        <w:sz w:val="16"/>
        <w:szCs w:val="16"/>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8">
    <w:nsid w:val="5D7C1ACF"/>
    <w:multiLevelType w:val="hybridMultilevel"/>
    <w:tmpl w:val="466CF0E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5E3F6B37"/>
    <w:multiLevelType w:val="hybridMultilevel"/>
    <w:tmpl w:val="F8EC167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6C6F2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05378CC"/>
    <w:multiLevelType w:val="hybridMultilevel"/>
    <w:tmpl w:val="E7A67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DF7FF0"/>
    <w:multiLevelType w:val="hybridMultilevel"/>
    <w:tmpl w:val="B7FCC1DC"/>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3">
    <w:nsid w:val="74E07E18"/>
    <w:multiLevelType w:val="hybridMultilevel"/>
    <w:tmpl w:val="6A9AF80A"/>
    <w:lvl w:ilvl="0" w:tplc="C5EA5934">
      <w:start w:val="1"/>
      <w:numFmt w:val="bullet"/>
      <w:lvlText w:val=""/>
      <w:lvlJc w:val="left"/>
      <w:pPr>
        <w:tabs>
          <w:tab w:val="num" w:pos="1080"/>
        </w:tabs>
        <w:ind w:left="1080" w:hanging="360"/>
      </w:pPr>
      <w:rPr>
        <w:rFonts w:ascii="Symbol" w:hAnsi="Symbol" w:cs="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4">
    <w:nsid w:val="774B4D73"/>
    <w:multiLevelType w:val="hybridMultilevel"/>
    <w:tmpl w:val="F1D2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4"/>
  </w:num>
  <w:num w:numId="5">
    <w:abstractNumId w:val="6"/>
  </w:num>
  <w:num w:numId="6">
    <w:abstractNumId w:val="7"/>
  </w:num>
  <w:num w:numId="7">
    <w:abstractNumId w:val="3"/>
  </w:num>
  <w:num w:numId="8">
    <w:abstractNumId w:val="13"/>
  </w:num>
  <w:num w:numId="9">
    <w:abstractNumId w:val="0"/>
  </w:num>
  <w:num w:numId="10">
    <w:abstractNumId w:val="12"/>
  </w:num>
  <w:num w:numId="11">
    <w:abstractNumId w:val="2"/>
  </w:num>
  <w:num w:numId="12">
    <w:abstractNumId w:val="14"/>
  </w:num>
  <w:num w:numId="13">
    <w:abstractNumId w:val="11"/>
  </w:num>
  <w:num w:numId="14">
    <w:abstractNumId w:val="1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rsids>
    <w:rsidRoot w:val="00FE3ED0"/>
    <w:rsid w:val="00007545"/>
    <w:rsid w:val="000109CA"/>
    <w:rsid w:val="000113FC"/>
    <w:rsid w:val="00012634"/>
    <w:rsid w:val="00020F41"/>
    <w:rsid w:val="00021D5D"/>
    <w:rsid w:val="00035C8C"/>
    <w:rsid w:val="0005237D"/>
    <w:rsid w:val="00054A11"/>
    <w:rsid w:val="0005541A"/>
    <w:rsid w:val="000625A5"/>
    <w:rsid w:val="00062792"/>
    <w:rsid w:val="00063A97"/>
    <w:rsid w:val="00064E1E"/>
    <w:rsid w:val="000674A6"/>
    <w:rsid w:val="000707BE"/>
    <w:rsid w:val="00076D9D"/>
    <w:rsid w:val="00080676"/>
    <w:rsid w:val="0008166C"/>
    <w:rsid w:val="0008380E"/>
    <w:rsid w:val="00083D6A"/>
    <w:rsid w:val="00090C42"/>
    <w:rsid w:val="00096160"/>
    <w:rsid w:val="00096ACA"/>
    <w:rsid w:val="000A65A1"/>
    <w:rsid w:val="000B042D"/>
    <w:rsid w:val="000B39EA"/>
    <w:rsid w:val="000C5CEE"/>
    <w:rsid w:val="000C6E50"/>
    <w:rsid w:val="000C7B84"/>
    <w:rsid w:val="000F66F7"/>
    <w:rsid w:val="00100455"/>
    <w:rsid w:val="0010589E"/>
    <w:rsid w:val="00110DD1"/>
    <w:rsid w:val="001176D4"/>
    <w:rsid w:val="00120D4D"/>
    <w:rsid w:val="00126347"/>
    <w:rsid w:val="001330F1"/>
    <w:rsid w:val="00137051"/>
    <w:rsid w:val="00142AC6"/>
    <w:rsid w:val="00147C2F"/>
    <w:rsid w:val="00164BBB"/>
    <w:rsid w:val="00164EF9"/>
    <w:rsid w:val="00167ED1"/>
    <w:rsid w:val="001758BE"/>
    <w:rsid w:val="001766ED"/>
    <w:rsid w:val="00177553"/>
    <w:rsid w:val="001778FD"/>
    <w:rsid w:val="00190078"/>
    <w:rsid w:val="001A0D42"/>
    <w:rsid w:val="001A225A"/>
    <w:rsid w:val="001A6BD7"/>
    <w:rsid w:val="001C0965"/>
    <w:rsid w:val="001D2156"/>
    <w:rsid w:val="001E5BD2"/>
    <w:rsid w:val="0020037D"/>
    <w:rsid w:val="00204EB8"/>
    <w:rsid w:val="00210DF0"/>
    <w:rsid w:val="00216CCC"/>
    <w:rsid w:val="002207ED"/>
    <w:rsid w:val="00222253"/>
    <w:rsid w:val="00222A9D"/>
    <w:rsid w:val="0023001D"/>
    <w:rsid w:val="0023046A"/>
    <w:rsid w:val="00241767"/>
    <w:rsid w:val="002472BD"/>
    <w:rsid w:val="002617FB"/>
    <w:rsid w:val="002724AE"/>
    <w:rsid w:val="002763C7"/>
    <w:rsid w:val="00283435"/>
    <w:rsid w:val="00294FF7"/>
    <w:rsid w:val="002A188E"/>
    <w:rsid w:val="002A2271"/>
    <w:rsid w:val="002A3706"/>
    <w:rsid w:val="002B6495"/>
    <w:rsid w:val="002C0524"/>
    <w:rsid w:val="002C062D"/>
    <w:rsid w:val="002C13B2"/>
    <w:rsid w:val="002C2C1D"/>
    <w:rsid w:val="002D1255"/>
    <w:rsid w:val="002F09F2"/>
    <w:rsid w:val="002F75C2"/>
    <w:rsid w:val="003019FB"/>
    <w:rsid w:val="0031295C"/>
    <w:rsid w:val="00314A47"/>
    <w:rsid w:val="003159FD"/>
    <w:rsid w:val="00317B85"/>
    <w:rsid w:val="0032194B"/>
    <w:rsid w:val="003278E1"/>
    <w:rsid w:val="00331E30"/>
    <w:rsid w:val="00346639"/>
    <w:rsid w:val="003524CF"/>
    <w:rsid w:val="003563DD"/>
    <w:rsid w:val="003653C8"/>
    <w:rsid w:val="0036656E"/>
    <w:rsid w:val="00371CE9"/>
    <w:rsid w:val="00372029"/>
    <w:rsid w:val="00372768"/>
    <w:rsid w:val="0037697B"/>
    <w:rsid w:val="0038481F"/>
    <w:rsid w:val="00385E94"/>
    <w:rsid w:val="003A4405"/>
    <w:rsid w:val="003A4FD3"/>
    <w:rsid w:val="003A7E27"/>
    <w:rsid w:val="003B0F5A"/>
    <w:rsid w:val="003B2BA8"/>
    <w:rsid w:val="003D0DD2"/>
    <w:rsid w:val="003D1684"/>
    <w:rsid w:val="003D1894"/>
    <w:rsid w:val="003D435E"/>
    <w:rsid w:val="003D4A25"/>
    <w:rsid w:val="003E5B70"/>
    <w:rsid w:val="003F3575"/>
    <w:rsid w:val="003F4B6C"/>
    <w:rsid w:val="004036FD"/>
    <w:rsid w:val="004037A9"/>
    <w:rsid w:val="004054E1"/>
    <w:rsid w:val="00410D9B"/>
    <w:rsid w:val="00414AF2"/>
    <w:rsid w:val="004170C6"/>
    <w:rsid w:val="00427A28"/>
    <w:rsid w:val="004310C2"/>
    <w:rsid w:val="00442F22"/>
    <w:rsid w:val="0045134C"/>
    <w:rsid w:val="00453222"/>
    <w:rsid w:val="004543FA"/>
    <w:rsid w:val="004561D6"/>
    <w:rsid w:val="00461E5C"/>
    <w:rsid w:val="00463E86"/>
    <w:rsid w:val="0046442D"/>
    <w:rsid w:val="0047151A"/>
    <w:rsid w:val="00473245"/>
    <w:rsid w:val="00476CE8"/>
    <w:rsid w:val="00481EE3"/>
    <w:rsid w:val="00482ABF"/>
    <w:rsid w:val="00487DAF"/>
    <w:rsid w:val="0049314A"/>
    <w:rsid w:val="004A7B51"/>
    <w:rsid w:val="004B60AD"/>
    <w:rsid w:val="004C3687"/>
    <w:rsid w:val="004D06AF"/>
    <w:rsid w:val="004D5B65"/>
    <w:rsid w:val="004D6734"/>
    <w:rsid w:val="004E4671"/>
    <w:rsid w:val="004F6088"/>
    <w:rsid w:val="00505B4E"/>
    <w:rsid w:val="0050665C"/>
    <w:rsid w:val="005128FB"/>
    <w:rsid w:val="00512AF1"/>
    <w:rsid w:val="00520C0A"/>
    <w:rsid w:val="00527FC7"/>
    <w:rsid w:val="00532C4C"/>
    <w:rsid w:val="00546222"/>
    <w:rsid w:val="005534EC"/>
    <w:rsid w:val="00556D9C"/>
    <w:rsid w:val="0056134C"/>
    <w:rsid w:val="00567C19"/>
    <w:rsid w:val="0057016E"/>
    <w:rsid w:val="005702DB"/>
    <w:rsid w:val="005703E3"/>
    <w:rsid w:val="00570CF6"/>
    <w:rsid w:val="00573453"/>
    <w:rsid w:val="00573B25"/>
    <w:rsid w:val="00575A8C"/>
    <w:rsid w:val="00595269"/>
    <w:rsid w:val="005A19FA"/>
    <w:rsid w:val="005B2C5D"/>
    <w:rsid w:val="005B3319"/>
    <w:rsid w:val="005B5021"/>
    <w:rsid w:val="005D16E1"/>
    <w:rsid w:val="005D1D2C"/>
    <w:rsid w:val="005D79ED"/>
    <w:rsid w:val="005E0AD4"/>
    <w:rsid w:val="005E17A6"/>
    <w:rsid w:val="005E18C8"/>
    <w:rsid w:val="005E234C"/>
    <w:rsid w:val="005F0AC2"/>
    <w:rsid w:val="00600A0F"/>
    <w:rsid w:val="00601563"/>
    <w:rsid w:val="0060230C"/>
    <w:rsid w:val="00602ECA"/>
    <w:rsid w:val="0060497F"/>
    <w:rsid w:val="006068E1"/>
    <w:rsid w:val="00606B52"/>
    <w:rsid w:val="00613808"/>
    <w:rsid w:val="0061423A"/>
    <w:rsid w:val="00615096"/>
    <w:rsid w:val="00615783"/>
    <w:rsid w:val="006175CB"/>
    <w:rsid w:val="00620F2E"/>
    <w:rsid w:val="00621656"/>
    <w:rsid w:val="00622547"/>
    <w:rsid w:val="0062261D"/>
    <w:rsid w:val="00632517"/>
    <w:rsid w:val="0063548D"/>
    <w:rsid w:val="00651D97"/>
    <w:rsid w:val="00661E54"/>
    <w:rsid w:val="006645A6"/>
    <w:rsid w:val="00665865"/>
    <w:rsid w:val="006676EA"/>
    <w:rsid w:val="00676DAD"/>
    <w:rsid w:val="0068043B"/>
    <w:rsid w:val="00685492"/>
    <w:rsid w:val="00685856"/>
    <w:rsid w:val="006866FF"/>
    <w:rsid w:val="00690D3F"/>
    <w:rsid w:val="006917B5"/>
    <w:rsid w:val="006921AB"/>
    <w:rsid w:val="00692D2F"/>
    <w:rsid w:val="0069319C"/>
    <w:rsid w:val="006A6B67"/>
    <w:rsid w:val="006B142E"/>
    <w:rsid w:val="006B7382"/>
    <w:rsid w:val="006C2AF2"/>
    <w:rsid w:val="006C634B"/>
    <w:rsid w:val="006D0BE5"/>
    <w:rsid w:val="006D266D"/>
    <w:rsid w:val="006D30AB"/>
    <w:rsid w:val="006D7F85"/>
    <w:rsid w:val="006E63B4"/>
    <w:rsid w:val="006E75F3"/>
    <w:rsid w:val="006E7ED1"/>
    <w:rsid w:val="007000A9"/>
    <w:rsid w:val="00706D4A"/>
    <w:rsid w:val="00720F22"/>
    <w:rsid w:val="00722FD8"/>
    <w:rsid w:val="007257CA"/>
    <w:rsid w:val="0072710C"/>
    <w:rsid w:val="00731A96"/>
    <w:rsid w:val="00734524"/>
    <w:rsid w:val="00735659"/>
    <w:rsid w:val="00741203"/>
    <w:rsid w:val="00747310"/>
    <w:rsid w:val="007512F9"/>
    <w:rsid w:val="0075152E"/>
    <w:rsid w:val="007563F3"/>
    <w:rsid w:val="00756C87"/>
    <w:rsid w:val="00765291"/>
    <w:rsid w:val="00767CDF"/>
    <w:rsid w:val="00771C6E"/>
    <w:rsid w:val="007733A1"/>
    <w:rsid w:val="00790AB5"/>
    <w:rsid w:val="007938F3"/>
    <w:rsid w:val="00793C66"/>
    <w:rsid w:val="007A238B"/>
    <w:rsid w:val="007A3B50"/>
    <w:rsid w:val="007A5F31"/>
    <w:rsid w:val="007B2C34"/>
    <w:rsid w:val="007B6A2D"/>
    <w:rsid w:val="007C0BC1"/>
    <w:rsid w:val="007C7D81"/>
    <w:rsid w:val="007D4CCB"/>
    <w:rsid w:val="007E0C03"/>
    <w:rsid w:val="007E4BC1"/>
    <w:rsid w:val="007E59B7"/>
    <w:rsid w:val="007E7286"/>
    <w:rsid w:val="007F2D19"/>
    <w:rsid w:val="007F59DE"/>
    <w:rsid w:val="008021BE"/>
    <w:rsid w:val="00806E64"/>
    <w:rsid w:val="00807856"/>
    <w:rsid w:val="00816A61"/>
    <w:rsid w:val="00822385"/>
    <w:rsid w:val="00840823"/>
    <w:rsid w:val="00850D4B"/>
    <w:rsid w:val="0088090B"/>
    <w:rsid w:val="00881707"/>
    <w:rsid w:val="008845DE"/>
    <w:rsid w:val="008A1DD5"/>
    <w:rsid w:val="008A6FBE"/>
    <w:rsid w:val="008B4210"/>
    <w:rsid w:val="008B4970"/>
    <w:rsid w:val="008C2904"/>
    <w:rsid w:val="008C7CA3"/>
    <w:rsid w:val="008D1031"/>
    <w:rsid w:val="008D336D"/>
    <w:rsid w:val="008D4BFB"/>
    <w:rsid w:val="008D6D36"/>
    <w:rsid w:val="008D6D5E"/>
    <w:rsid w:val="008E1B3D"/>
    <w:rsid w:val="008E5F44"/>
    <w:rsid w:val="008F1D43"/>
    <w:rsid w:val="008F68AF"/>
    <w:rsid w:val="0090357D"/>
    <w:rsid w:val="00905D15"/>
    <w:rsid w:val="009201AB"/>
    <w:rsid w:val="009226DE"/>
    <w:rsid w:val="009274E2"/>
    <w:rsid w:val="0093176E"/>
    <w:rsid w:val="00935555"/>
    <w:rsid w:val="00953BB4"/>
    <w:rsid w:val="00972C6C"/>
    <w:rsid w:val="00977BE1"/>
    <w:rsid w:val="00977D17"/>
    <w:rsid w:val="00995892"/>
    <w:rsid w:val="009A34A6"/>
    <w:rsid w:val="009A3F6C"/>
    <w:rsid w:val="009A5143"/>
    <w:rsid w:val="009B7180"/>
    <w:rsid w:val="009C1707"/>
    <w:rsid w:val="009C6CA8"/>
    <w:rsid w:val="009D30A3"/>
    <w:rsid w:val="009D3F8A"/>
    <w:rsid w:val="009E0B9B"/>
    <w:rsid w:val="009E1B63"/>
    <w:rsid w:val="009E50C1"/>
    <w:rsid w:val="009F2566"/>
    <w:rsid w:val="009F6E4E"/>
    <w:rsid w:val="00A07E3C"/>
    <w:rsid w:val="00A11208"/>
    <w:rsid w:val="00A1499E"/>
    <w:rsid w:val="00A17F0C"/>
    <w:rsid w:val="00A216DE"/>
    <w:rsid w:val="00A218C8"/>
    <w:rsid w:val="00A35675"/>
    <w:rsid w:val="00A423D9"/>
    <w:rsid w:val="00A50380"/>
    <w:rsid w:val="00A52210"/>
    <w:rsid w:val="00A53304"/>
    <w:rsid w:val="00A54295"/>
    <w:rsid w:val="00A556ED"/>
    <w:rsid w:val="00A57939"/>
    <w:rsid w:val="00A60E89"/>
    <w:rsid w:val="00A6267C"/>
    <w:rsid w:val="00A642FE"/>
    <w:rsid w:val="00A73E40"/>
    <w:rsid w:val="00A755CE"/>
    <w:rsid w:val="00A76549"/>
    <w:rsid w:val="00A76C67"/>
    <w:rsid w:val="00A82586"/>
    <w:rsid w:val="00A86B58"/>
    <w:rsid w:val="00A91977"/>
    <w:rsid w:val="00A91E53"/>
    <w:rsid w:val="00AA2683"/>
    <w:rsid w:val="00AA47BA"/>
    <w:rsid w:val="00AA4A77"/>
    <w:rsid w:val="00AC222E"/>
    <w:rsid w:val="00AC409C"/>
    <w:rsid w:val="00AC5F94"/>
    <w:rsid w:val="00AC6792"/>
    <w:rsid w:val="00AC6DB4"/>
    <w:rsid w:val="00AD710A"/>
    <w:rsid w:val="00AE01CF"/>
    <w:rsid w:val="00AE0795"/>
    <w:rsid w:val="00AE1A89"/>
    <w:rsid w:val="00AE1E2A"/>
    <w:rsid w:val="00AF3A29"/>
    <w:rsid w:val="00AF59B0"/>
    <w:rsid w:val="00AF7D10"/>
    <w:rsid w:val="00B00041"/>
    <w:rsid w:val="00B05FD0"/>
    <w:rsid w:val="00B07046"/>
    <w:rsid w:val="00B1436A"/>
    <w:rsid w:val="00B149B7"/>
    <w:rsid w:val="00B16C19"/>
    <w:rsid w:val="00B24F50"/>
    <w:rsid w:val="00B24F67"/>
    <w:rsid w:val="00B35461"/>
    <w:rsid w:val="00B36D48"/>
    <w:rsid w:val="00B372BC"/>
    <w:rsid w:val="00B40A1E"/>
    <w:rsid w:val="00B718AF"/>
    <w:rsid w:val="00B7373E"/>
    <w:rsid w:val="00B76D11"/>
    <w:rsid w:val="00B86552"/>
    <w:rsid w:val="00B87144"/>
    <w:rsid w:val="00B925F3"/>
    <w:rsid w:val="00BA7D1F"/>
    <w:rsid w:val="00BB4E77"/>
    <w:rsid w:val="00BC0037"/>
    <w:rsid w:val="00BE28B4"/>
    <w:rsid w:val="00BE4786"/>
    <w:rsid w:val="00BF1CD7"/>
    <w:rsid w:val="00C01C23"/>
    <w:rsid w:val="00C13135"/>
    <w:rsid w:val="00C13FB9"/>
    <w:rsid w:val="00C16BE8"/>
    <w:rsid w:val="00C23012"/>
    <w:rsid w:val="00C23E3B"/>
    <w:rsid w:val="00C32E3F"/>
    <w:rsid w:val="00C5085B"/>
    <w:rsid w:val="00C515B1"/>
    <w:rsid w:val="00C53816"/>
    <w:rsid w:val="00C603D4"/>
    <w:rsid w:val="00C64493"/>
    <w:rsid w:val="00C64FB5"/>
    <w:rsid w:val="00C72AF2"/>
    <w:rsid w:val="00C72DB7"/>
    <w:rsid w:val="00C744F3"/>
    <w:rsid w:val="00C86F3E"/>
    <w:rsid w:val="00C91EA5"/>
    <w:rsid w:val="00CA1496"/>
    <w:rsid w:val="00CB30A5"/>
    <w:rsid w:val="00CB71B8"/>
    <w:rsid w:val="00CC001B"/>
    <w:rsid w:val="00CC2280"/>
    <w:rsid w:val="00CC6048"/>
    <w:rsid w:val="00CC6C13"/>
    <w:rsid w:val="00CD53E3"/>
    <w:rsid w:val="00CD5730"/>
    <w:rsid w:val="00CE423A"/>
    <w:rsid w:val="00CF6FF9"/>
    <w:rsid w:val="00D12B8B"/>
    <w:rsid w:val="00D1407C"/>
    <w:rsid w:val="00D2385E"/>
    <w:rsid w:val="00D25009"/>
    <w:rsid w:val="00D308F2"/>
    <w:rsid w:val="00D365D8"/>
    <w:rsid w:val="00D60B02"/>
    <w:rsid w:val="00D67703"/>
    <w:rsid w:val="00D82309"/>
    <w:rsid w:val="00D82391"/>
    <w:rsid w:val="00D83F8F"/>
    <w:rsid w:val="00D86F90"/>
    <w:rsid w:val="00D9005F"/>
    <w:rsid w:val="00D92EAC"/>
    <w:rsid w:val="00D9324A"/>
    <w:rsid w:val="00D97C56"/>
    <w:rsid w:val="00DA164F"/>
    <w:rsid w:val="00DA518B"/>
    <w:rsid w:val="00DA6B53"/>
    <w:rsid w:val="00DB0D54"/>
    <w:rsid w:val="00DB29BF"/>
    <w:rsid w:val="00DC742D"/>
    <w:rsid w:val="00DC7BDD"/>
    <w:rsid w:val="00DD187C"/>
    <w:rsid w:val="00DF0907"/>
    <w:rsid w:val="00DF34CB"/>
    <w:rsid w:val="00DF5144"/>
    <w:rsid w:val="00E0783E"/>
    <w:rsid w:val="00E12649"/>
    <w:rsid w:val="00E1523F"/>
    <w:rsid w:val="00E1702C"/>
    <w:rsid w:val="00E21BAF"/>
    <w:rsid w:val="00E26AF3"/>
    <w:rsid w:val="00E3142C"/>
    <w:rsid w:val="00E401C3"/>
    <w:rsid w:val="00E60211"/>
    <w:rsid w:val="00E60806"/>
    <w:rsid w:val="00E65BC2"/>
    <w:rsid w:val="00E66F5C"/>
    <w:rsid w:val="00E673AB"/>
    <w:rsid w:val="00E7208E"/>
    <w:rsid w:val="00E7624E"/>
    <w:rsid w:val="00E76275"/>
    <w:rsid w:val="00E82C47"/>
    <w:rsid w:val="00E82F70"/>
    <w:rsid w:val="00E95566"/>
    <w:rsid w:val="00EB5A5B"/>
    <w:rsid w:val="00EC7500"/>
    <w:rsid w:val="00ED4B4F"/>
    <w:rsid w:val="00F01BBB"/>
    <w:rsid w:val="00F031D8"/>
    <w:rsid w:val="00F05900"/>
    <w:rsid w:val="00F05C42"/>
    <w:rsid w:val="00F153E4"/>
    <w:rsid w:val="00F225CA"/>
    <w:rsid w:val="00F234C8"/>
    <w:rsid w:val="00F252D9"/>
    <w:rsid w:val="00F341A9"/>
    <w:rsid w:val="00F4177A"/>
    <w:rsid w:val="00F42788"/>
    <w:rsid w:val="00F57C64"/>
    <w:rsid w:val="00F65306"/>
    <w:rsid w:val="00F756BD"/>
    <w:rsid w:val="00F829FF"/>
    <w:rsid w:val="00F86DEC"/>
    <w:rsid w:val="00F9127E"/>
    <w:rsid w:val="00F91601"/>
    <w:rsid w:val="00F962A9"/>
    <w:rsid w:val="00F963FB"/>
    <w:rsid w:val="00FA3071"/>
    <w:rsid w:val="00FA3FF2"/>
    <w:rsid w:val="00FA69DA"/>
    <w:rsid w:val="00FB772D"/>
    <w:rsid w:val="00FC01AA"/>
    <w:rsid w:val="00FC1E38"/>
    <w:rsid w:val="00FC36B3"/>
    <w:rsid w:val="00FC5384"/>
    <w:rsid w:val="00FD4DE6"/>
    <w:rsid w:val="00FE1E4D"/>
    <w:rsid w:val="00FE32E2"/>
    <w:rsid w:val="00FE3AEE"/>
    <w:rsid w:val="00FE3ED0"/>
    <w:rsid w:val="00FF7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uiPriority="9"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149B7"/>
    <w:pPr>
      <w:widowControl w:val="0"/>
      <w:autoSpaceDE w:val="0"/>
      <w:autoSpaceDN w:val="0"/>
      <w:adjustRightInd w:val="0"/>
    </w:pPr>
    <w:rPr>
      <w:rFonts w:ascii="Courier" w:hAnsi="Courier" w:cs="Courier"/>
    </w:rPr>
  </w:style>
  <w:style w:type="paragraph" w:styleId="Heading1">
    <w:name w:val="heading 1"/>
    <w:basedOn w:val="Normal"/>
    <w:next w:val="Normal"/>
    <w:link w:val="Heading1Char"/>
    <w:uiPriority w:val="99"/>
    <w:qFormat/>
    <w:rsid w:val="00B149B7"/>
    <w:pPr>
      <w:keepNext/>
      <w:widowControl/>
      <w:ind w:firstLine="360"/>
      <w:outlineLvl w:val="0"/>
    </w:pPr>
    <w:rPr>
      <w:rFonts w:ascii="Times" w:hAnsi="Times" w:cs="Times"/>
      <w:sz w:val="24"/>
      <w:szCs w:val="24"/>
    </w:rPr>
  </w:style>
  <w:style w:type="paragraph" w:styleId="Heading2">
    <w:name w:val="heading 2"/>
    <w:basedOn w:val="Normal"/>
    <w:next w:val="Normal"/>
    <w:link w:val="Heading2Char"/>
    <w:uiPriority w:val="99"/>
    <w:qFormat/>
    <w:rsid w:val="00B149B7"/>
    <w:pPr>
      <w:keepNext/>
      <w:widowControl/>
      <w:outlineLvl w:val="1"/>
    </w:pPr>
    <w:rPr>
      <w:rFonts w:ascii="Times" w:hAnsi="Times" w:cs="Times"/>
      <w:sz w:val="24"/>
      <w:szCs w:val="24"/>
    </w:rPr>
  </w:style>
  <w:style w:type="paragraph" w:styleId="Heading3">
    <w:name w:val="heading 3"/>
    <w:basedOn w:val="Normal"/>
    <w:next w:val="Normal"/>
    <w:link w:val="Heading3Char"/>
    <w:uiPriority w:val="99"/>
    <w:qFormat/>
    <w:rsid w:val="00B149B7"/>
    <w:pPr>
      <w:keepNext/>
      <w:widowControl/>
      <w:ind w:firstLine="360"/>
      <w:outlineLvl w:val="2"/>
    </w:pPr>
    <w:rPr>
      <w:rFonts w:ascii="Times" w:hAnsi="Times" w:cs="Times"/>
      <w:b/>
      <w:bCs/>
      <w:sz w:val="24"/>
      <w:szCs w:val="24"/>
      <w:u w:val="single"/>
    </w:rPr>
  </w:style>
  <w:style w:type="paragraph" w:styleId="Heading4">
    <w:name w:val="heading 4"/>
    <w:basedOn w:val="Normal"/>
    <w:next w:val="Normal"/>
    <w:link w:val="Heading4Char"/>
    <w:uiPriority w:val="9"/>
    <w:qFormat/>
    <w:rsid w:val="00B149B7"/>
    <w:pPr>
      <w:keepNext/>
      <w:widowControl/>
      <w:ind w:left="360"/>
      <w:outlineLvl w:val="3"/>
    </w:pPr>
    <w:rPr>
      <w:rFonts w:ascii="Times" w:hAnsi="Times" w:cs="Times"/>
      <w:b/>
      <w:bCs/>
      <w:sz w:val="24"/>
      <w:szCs w:val="24"/>
      <w:u w:val="single"/>
    </w:rPr>
  </w:style>
  <w:style w:type="paragraph" w:styleId="Heading5">
    <w:name w:val="heading 5"/>
    <w:basedOn w:val="Normal"/>
    <w:next w:val="Normal"/>
    <w:link w:val="Heading5Char"/>
    <w:uiPriority w:val="99"/>
    <w:qFormat/>
    <w:rsid w:val="00B149B7"/>
    <w:pPr>
      <w:keepNext/>
      <w:widowControl/>
      <w:ind w:left="360"/>
      <w:outlineLvl w:val="4"/>
    </w:pPr>
    <w:rPr>
      <w:rFonts w:ascii="Times" w:hAnsi="Times" w:cs="Times"/>
      <w:sz w:val="24"/>
      <w:szCs w:val="24"/>
    </w:rPr>
  </w:style>
  <w:style w:type="paragraph" w:styleId="Heading6">
    <w:name w:val="heading 6"/>
    <w:basedOn w:val="Normal"/>
    <w:next w:val="Normal"/>
    <w:link w:val="Heading6Char"/>
    <w:uiPriority w:val="99"/>
    <w:qFormat/>
    <w:rsid w:val="00B149B7"/>
    <w:pPr>
      <w:keepNext/>
      <w:widowControl/>
      <w:jc w:val="cente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58BE"/>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758BE"/>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1758BE"/>
    <w:rPr>
      <w:rFonts w:ascii="Cambria" w:hAnsi="Cambria" w:cs="Cambria"/>
      <w:b/>
      <w:bCs/>
      <w:sz w:val="26"/>
      <w:szCs w:val="26"/>
    </w:rPr>
  </w:style>
  <w:style w:type="character" w:customStyle="1" w:styleId="Heading4Char">
    <w:name w:val="Heading 4 Char"/>
    <w:basedOn w:val="DefaultParagraphFont"/>
    <w:link w:val="Heading4"/>
    <w:uiPriority w:val="9"/>
    <w:rsid w:val="001758BE"/>
    <w:rPr>
      <w:rFonts w:ascii="Calibri" w:hAnsi="Calibri" w:cs="Calibri"/>
      <w:b/>
      <w:bCs/>
      <w:sz w:val="28"/>
      <w:szCs w:val="28"/>
    </w:rPr>
  </w:style>
  <w:style w:type="character" w:customStyle="1" w:styleId="Heading5Char">
    <w:name w:val="Heading 5 Char"/>
    <w:basedOn w:val="DefaultParagraphFont"/>
    <w:link w:val="Heading5"/>
    <w:uiPriority w:val="99"/>
    <w:semiHidden/>
    <w:rsid w:val="001758BE"/>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1758BE"/>
    <w:rPr>
      <w:rFonts w:ascii="Calibri" w:hAnsi="Calibri" w:cs="Calibri"/>
      <w:b/>
      <w:bCs/>
    </w:rPr>
  </w:style>
  <w:style w:type="character" w:styleId="FootnoteReference">
    <w:name w:val="footnote reference"/>
    <w:basedOn w:val="DefaultParagraphFont"/>
    <w:semiHidden/>
    <w:rsid w:val="00B149B7"/>
  </w:style>
  <w:style w:type="paragraph" w:styleId="Header">
    <w:name w:val="header"/>
    <w:basedOn w:val="Normal"/>
    <w:link w:val="HeaderChar"/>
    <w:uiPriority w:val="99"/>
    <w:rsid w:val="00B149B7"/>
    <w:pPr>
      <w:tabs>
        <w:tab w:val="center" w:pos="4320"/>
        <w:tab w:val="right" w:pos="8640"/>
      </w:tabs>
    </w:pPr>
  </w:style>
  <w:style w:type="character" w:customStyle="1" w:styleId="HeaderChar">
    <w:name w:val="Header Char"/>
    <w:basedOn w:val="DefaultParagraphFont"/>
    <w:link w:val="Header"/>
    <w:uiPriority w:val="99"/>
    <w:rsid w:val="001758BE"/>
    <w:rPr>
      <w:rFonts w:ascii="Courier" w:hAnsi="Courier" w:cs="Courier"/>
      <w:sz w:val="20"/>
      <w:szCs w:val="20"/>
    </w:rPr>
  </w:style>
  <w:style w:type="paragraph" w:styleId="Footer">
    <w:name w:val="footer"/>
    <w:basedOn w:val="Normal"/>
    <w:link w:val="FooterChar"/>
    <w:uiPriority w:val="99"/>
    <w:rsid w:val="00B149B7"/>
    <w:pPr>
      <w:tabs>
        <w:tab w:val="center" w:pos="4320"/>
        <w:tab w:val="right" w:pos="8640"/>
      </w:tabs>
    </w:pPr>
  </w:style>
  <w:style w:type="character" w:customStyle="1" w:styleId="FooterChar">
    <w:name w:val="Footer Char"/>
    <w:basedOn w:val="DefaultParagraphFont"/>
    <w:link w:val="Footer"/>
    <w:uiPriority w:val="99"/>
    <w:semiHidden/>
    <w:rsid w:val="001758BE"/>
    <w:rPr>
      <w:rFonts w:ascii="Courier" w:hAnsi="Courier" w:cs="Courier"/>
      <w:sz w:val="20"/>
      <w:szCs w:val="20"/>
    </w:rPr>
  </w:style>
  <w:style w:type="paragraph" w:styleId="BodyText2">
    <w:name w:val="Body Text 2"/>
    <w:basedOn w:val="Normal"/>
    <w:link w:val="BodyText2Char"/>
    <w:uiPriority w:val="99"/>
    <w:rsid w:val="00B149B7"/>
    <w:pPr>
      <w:widowControl/>
      <w:ind w:firstLine="360"/>
    </w:pPr>
    <w:rPr>
      <w:rFonts w:ascii="Times" w:hAnsi="Times" w:cs="Times"/>
      <w:sz w:val="24"/>
      <w:szCs w:val="24"/>
    </w:rPr>
  </w:style>
  <w:style w:type="character" w:customStyle="1" w:styleId="BodyText2Char">
    <w:name w:val="Body Text 2 Char"/>
    <w:basedOn w:val="DefaultParagraphFont"/>
    <w:link w:val="BodyText2"/>
    <w:uiPriority w:val="99"/>
    <w:semiHidden/>
    <w:rsid w:val="001758BE"/>
    <w:rPr>
      <w:rFonts w:ascii="Courier" w:hAnsi="Courier" w:cs="Courier"/>
      <w:sz w:val="20"/>
      <w:szCs w:val="20"/>
    </w:rPr>
  </w:style>
  <w:style w:type="character" w:styleId="Hyperlink">
    <w:name w:val="Hyperlink"/>
    <w:basedOn w:val="DefaultParagraphFont"/>
    <w:uiPriority w:val="99"/>
    <w:rsid w:val="00B149B7"/>
    <w:rPr>
      <w:color w:val="0000FF"/>
      <w:u w:val="single"/>
    </w:rPr>
  </w:style>
  <w:style w:type="paragraph" w:customStyle="1" w:styleId="MemoAddress">
    <w:name w:val="Memo Address"/>
    <w:basedOn w:val="Normal"/>
    <w:next w:val="Normal"/>
    <w:uiPriority w:val="99"/>
    <w:rsid w:val="00FE3ED0"/>
    <w:pPr>
      <w:widowControl/>
      <w:autoSpaceDE/>
      <w:autoSpaceDN/>
      <w:adjustRightInd/>
      <w:spacing w:line="220" w:lineRule="exact"/>
      <w:ind w:left="1152" w:hanging="1152"/>
    </w:pPr>
    <w:rPr>
      <w:rFonts w:ascii="Arial" w:hAnsi="Arial" w:cs="Arial"/>
      <w:sz w:val="24"/>
      <w:szCs w:val="24"/>
    </w:rPr>
  </w:style>
  <w:style w:type="character" w:styleId="PageNumber">
    <w:name w:val="page number"/>
    <w:basedOn w:val="DefaultParagraphFont"/>
    <w:uiPriority w:val="99"/>
    <w:rsid w:val="00FE3ED0"/>
  </w:style>
  <w:style w:type="paragraph" w:styleId="BodyText">
    <w:name w:val="Body Text"/>
    <w:basedOn w:val="Normal"/>
    <w:link w:val="BodyTextChar"/>
    <w:uiPriority w:val="99"/>
    <w:rsid w:val="00E7624E"/>
    <w:pPr>
      <w:spacing w:after="120"/>
    </w:pPr>
  </w:style>
  <w:style w:type="character" w:customStyle="1" w:styleId="BodyTextChar">
    <w:name w:val="Body Text Char"/>
    <w:basedOn w:val="DefaultParagraphFont"/>
    <w:link w:val="BodyText"/>
    <w:uiPriority w:val="99"/>
    <w:semiHidden/>
    <w:rsid w:val="001758BE"/>
    <w:rPr>
      <w:rFonts w:ascii="Courier" w:hAnsi="Courier" w:cs="Courier"/>
      <w:sz w:val="20"/>
      <w:szCs w:val="20"/>
    </w:rPr>
  </w:style>
  <w:style w:type="paragraph" w:styleId="FootnoteText">
    <w:name w:val="footnote text"/>
    <w:basedOn w:val="Normal"/>
    <w:link w:val="FootnoteTextChar"/>
    <w:semiHidden/>
    <w:rsid w:val="00E7624E"/>
    <w:pPr>
      <w:autoSpaceDE/>
      <w:autoSpaceDN/>
      <w:adjustRightInd/>
    </w:pPr>
  </w:style>
  <w:style w:type="character" w:customStyle="1" w:styleId="FootnoteTextChar">
    <w:name w:val="Footnote Text Char"/>
    <w:basedOn w:val="DefaultParagraphFont"/>
    <w:link w:val="FootnoteText"/>
    <w:uiPriority w:val="99"/>
    <w:semiHidden/>
    <w:rsid w:val="001758BE"/>
    <w:rPr>
      <w:rFonts w:ascii="Courier" w:hAnsi="Courier" w:cs="Courier"/>
      <w:sz w:val="20"/>
      <w:szCs w:val="20"/>
    </w:rPr>
  </w:style>
  <w:style w:type="paragraph" w:customStyle="1" w:styleId="MemoHeader">
    <w:name w:val="Memo Header"/>
    <w:basedOn w:val="Normal"/>
    <w:next w:val="Normal"/>
    <w:rsid w:val="00E7624E"/>
    <w:pPr>
      <w:widowControl/>
      <w:autoSpaceDE/>
      <w:autoSpaceDN/>
      <w:adjustRightInd/>
    </w:pPr>
    <w:rPr>
      <w:rFonts w:ascii="Arial" w:hAnsi="Arial" w:cs="Arial"/>
      <w:smallCaps/>
      <w:sz w:val="24"/>
      <w:szCs w:val="24"/>
    </w:rPr>
  </w:style>
  <w:style w:type="paragraph" w:customStyle="1" w:styleId="p5">
    <w:name w:val="p5"/>
    <w:basedOn w:val="Normal"/>
    <w:uiPriority w:val="99"/>
    <w:rsid w:val="00E7624E"/>
    <w:pPr>
      <w:tabs>
        <w:tab w:val="left" w:pos="725"/>
      </w:tabs>
      <w:ind w:firstLine="725"/>
    </w:pPr>
    <w:rPr>
      <w:sz w:val="24"/>
      <w:szCs w:val="24"/>
    </w:rPr>
  </w:style>
  <w:style w:type="character" w:styleId="CommentReference">
    <w:name w:val="annotation reference"/>
    <w:basedOn w:val="DefaultParagraphFont"/>
    <w:semiHidden/>
    <w:rsid w:val="00F963FB"/>
    <w:rPr>
      <w:sz w:val="16"/>
      <w:szCs w:val="16"/>
    </w:rPr>
  </w:style>
  <w:style w:type="paragraph" w:styleId="CommentText">
    <w:name w:val="annotation text"/>
    <w:basedOn w:val="Normal"/>
    <w:link w:val="CommentTextChar"/>
    <w:semiHidden/>
    <w:rsid w:val="00F963FB"/>
  </w:style>
  <w:style w:type="character" w:customStyle="1" w:styleId="CommentTextChar">
    <w:name w:val="Comment Text Char"/>
    <w:basedOn w:val="DefaultParagraphFont"/>
    <w:link w:val="CommentText"/>
    <w:uiPriority w:val="99"/>
    <w:semiHidden/>
    <w:rsid w:val="001758BE"/>
    <w:rPr>
      <w:rFonts w:ascii="Courier" w:hAnsi="Courier" w:cs="Courier"/>
      <w:sz w:val="20"/>
      <w:szCs w:val="20"/>
    </w:rPr>
  </w:style>
  <w:style w:type="paragraph" w:styleId="BalloonText">
    <w:name w:val="Balloon Text"/>
    <w:basedOn w:val="Normal"/>
    <w:link w:val="BalloonTextChar"/>
    <w:uiPriority w:val="99"/>
    <w:semiHidden/>
    <w:rsid w:val="00F963FB"/>
    <w:rPr>
      <w:rFonts w:ascii="Tahoma" w:hAnsi="Tahoma" w:cs="Tahoma"/>
      <w:sz w:val="16"/>
      <w:szCs w:val="16"/>
    </w:rPr>
  </w:style>
  <w:style w:type="character" w:customStyle="1" w:styleId="BalloonTextChar">
    <w:name w:val="Balloon Text Char"/>
    <w:basedOn w:val="DefaultParagraphFont"/>
    <w:link w:val="BalloonText"/>
    <w:uiPriority w:val="99"/>
    <w:semiHidden/>
    <w:rsid w:val="001758BE"/>
    <w:rPr>
      <w:sz w:val="2"/>
      <w:szCs w:val="2"/>
    </w:rPr>
  </w:style>
  <w:style w:type="paragraph" w:styleId="NormalWeb">
    <w:name w:val="Normal (Web)"/>
    <w:basedOn w:val="Normal"/>
    <w:uiPriority w:val="99"/>
    <w:rsid w:val="00DD187C"/>
    <w:pPr>
      <w:widowControl/>
      <w:autoSpaceDE/>
      <w:autoSpaceDN/>
      <w:adjustRightInd/>
      <w:spacing w:after="240"/>
    </w:pPr>
    <w:rPr>
      <w:sz w:val="24"/>
      <w:szCs w:val="24"/>
    </w:rPr>
  </w:style>
  <w:style w:type="paragraph" w:customStyle="1" w:styleId="Default">
    <w:name w:val="Default"/>
    <w:uiPriority w:val="99"/>
    <w:rsid w:val="00DD187C"/>
    <w:pPr>
      <w:autoSpaceDE w:val="0"/>
      <w:autoSpaceDN w:val="0"/>
      <w:adjustRightInd w:val="0"/>
    </w:pPr>
    <w:rPr>
      <w:rFonts w:ascii="MACFA D+ Bembo" w:hAnsi="MACFA D+ Bembo" w:cs="MACFA D+ Bembo"/>
      <w:color w:val="000000"/>
      <w:sz w:val="24"/>
      <w:szCs w:val="24"/>
    </w:rPr>
  </w:style>
  <w:style w:type="paragraph" w:customStyle="1" w:styleId="CM61">
    <w:name w:val="CM61"/>
    <w:basedOn w:val="Default"/>
    <w:next w:val="Default"/>
    <w:uiPriority w:val="99"/>
    <w:rsid w:val="00DD187C"/>
    <w:rPr>
      <w:color w:val="auto"/>
    </w:rPr>
  </w:style>
  <w:style w:type="paragraph" w:styleId="CommentSubject">
    <w:name w:val="annotation subject"/>
    <w:basedOn w:val="CommentText"/>
    <w:next w:val="CommentText"/>
    <w:link w:val="CommentSubjectChar"/>
    <w:uiPriority w:val="99"/>
    <w:semiHidden/>
    <w:rsid w:val="007C7D81"/>
    <w:rPr>
      <w:b/>
      <w:bCs/>
    </w:rPr>
  </w:style>
  <w:style w:type="character" w:customStyle="1" w:styleId="CommentSubjectChar">
    <w:name w:val="Comment Subject Char"/>
    <w:basedOn w:val="CommentTextChar"/>
    <w:link w:val="CommentSubject"/>
    <w:uiPriority w:val="99"/>
    <w:semiHidden/>
    <w:rsid w:val="001758BE"/>
    <w:rPr>
      <w:b/>
      <w:bCs/>
    </w:rPr>
  </w:style>
  <w:style w:type="character" w:styleId="FollowedHyperlink">
    <w:name w:val="FollowedHyperlink"/>
    <w:basedOn w:val="DefaultParagraphFont"/>
    <w:uiPriority w:val="99"/>
    <w:semiHidden/>
    <w:unhideWhenUsed/>
    <w:rsid w:val="00AC5F94"/>
    <w:rPr>
      <w:color w:val="800080"/>
      <w:u w:val="single"/>
    </w:rPr>
  </w:style>
  <w:style w:type="paragraph" w:styleId="ListParagraph">
    <w:name w:val="List Paragraph"/>
    <w:basedOn w:val="Normal"/>
    <w:uiPriority w:val="34"/>
    <w:qFormat/>
    <w:rsid w:val="00B1436A"/>
    <w:pPr>
      <w:ind w:left="720"/>
      <w:contextualSpacing/>
    </w:pPr>
  </w:style>
  <w:style w:type="paragraph" w:styleId="BodyTextIndent">
    <w:name w:val="Body Text Indent"/>
    <w:basedOn w:val="Normal"/>
    <w:link w:val="BodyTextIndentChar"/>
    <w:uiPriority w:val="99"/>
    <w:semiHidden/>
    <w:unhideWhenUsed/>
    <w:rsid w:val="00FC1E38"/>
    <w:pPr>
      <w:spacing w:after="120"/>
      <w:ind w:left="360"/>
    </w:pPr>
  </w:style>
  <w:style w:type="character" w:customStyle="1" w:styleId="BodyTextIndentChar">
    <w:name w:val="Body Text Indent Char"/>
    <w:basedOn w:val="DefaultParagraphFont"/>
    <w:link w:val="BodyTextIndent"/>
    <w:uiPriority w:val="99"/>
    <w:semiHidden/>
    <w:rsid w:val="00FC1E38"/>
    <w:rPr>
      <w:rFonts w:ascii="Courier" w:hAnsi="Courier" w:cs="Courier"/>
    </w:rPr>
  </w:style>
  <w:style w:type="paragraph" w:customStyle="1" w:styleId="a">
    <w:name w:val="_"/>
    <w:basedOn w:val="Normal"/>
    <w:rsid w:val="00FC1E38"/>
    <w:pPr>
      <w:autoSpaceDE/>
      <w:autoSpaceDN/>
      <w:adjustRightInd/>
      <w:ind w:left="720" w:hanging="720"/>
    </w:pPr>
    <w:rPr>
      <w:rFonts w:cs="Times New Roman"/>
      <w:snapToGrid w:val="0"/>
      <w:sz w:val="24"/>
    </w:rPr>
  </w:style>
  <w:style w:type="paragraph" w:styleId="EndnoteText">
    <w:name w:val="endnote text"/>
    <w:basedOn w:val="Normal"/>
    <w:link w:val="EndnoteTextChar"/>
    <w:uiPriority w:val="99"/>
    <w:semiHidden/>
    <w:unhideWhenUsed/>
    <w:rsid w:val="00020F41"/>
  </w:style>
  <w:style w:type="character" w:customStyle="1" w:styleId="EndnoteTextChar">
    <w:name w:val="Endnote Text Char"/>
    <w:basedOn w:val="DefaultParagraphFont"/>
    <w:link w:val="EndnoteText"/>
    <w:uiPriority w:val="99"/>
    <w:semiHidden/>
    <w:rsid w:val="00020F41"/>
    <w:rPr>
      <w:rFonts w:ascii="Courier" w:hAnsi="Courier" w:cs="Courier"/>
    </w:rPr>
  </w:style>
  <w:style w:type="character" w:styleId="EndnoteReference">
    <w:name w:val="endnote reference"/>
    <w:basedOn w:val="DefaultParagraphFont"/>
    <w:uiPriority w:val="99"/>
    <w:semiHidden/>
    <w:unhideWhenUsed/>
    <w:rsid w:val="00020F41"/>
    <w:rPr>
      <w:vertAlign w:val="superscript"/>
    </w:rPr>
  </w:style>
  <w:style w:type="character" w:customStyle="1" w:styleId="st">
    <w:name w:val="st"/>
    <w:basedOn w:val="DefaultParagraphFont"/>
    <w:rsid w:val="007257CA"/>
  </w:style>
  <w:style w:type="paragraph" w:styleId="HTMLPreformatted">
    <w:name w:val="HTML Preformatted"/>
    <w:basedOn w:val="Normal"/>
    <w:link w:val="HTMLPreformattedChar"/>
    <w:rsid w:val="0005237D"/>
    <w:pPr>
      <w:autoSpaceDE/>
      <w:autoSpaceDN/>
      <w:adjustRightInd/>
    </w:pPr>
    <w:rPr>
      <w:rFonts w:ascii="Courier New" w:hAnsi="Courier New" w:cs="Courier New"/>
      <w:snapToGrid w:val="0"/>
    </w:rPr>
  </w:style>
  <w:style w:type="character" w:customStyle="1" w:styleId="HTMLPreformattedChar">
    <w:name w:val="HTML Preformatted Char"/>
    <w:basedOn w:val="DefaultParagraphFont"/>
    <w:link w:val="HTMLPreformatted"/>
    <w:rsid w:val="0005237D"/>
    <w:rPr>
      <w:rFonts w:ascii="Courier New" w:hAnsi="Courier New" w:cs="Courier New"/>
      <w:snapToGrid w:val="0"/>
    </w:rPr>
  </w:style>
  <w:style w:type="paragraph" w:styleId="Revision">
    <w:name w:val="Revision"/>
    <w:hidden/>
    <w:uiPriority w:val="99"/>
    <w:semiHidden/>
    <w:rsid w:val="008D1031"/>
    <w:rPr>
      <w:rFonts w:ascii="Courier" w:hAnsi="Courier" w:cs="Courier"/>
    </w:rPr>
  </w:style>
</w:styles>
</file>

<file path=word/webSettings.xml><?xml version="1.0" encoding="utf-8"?>
<w:webSettings xmlns:r="http://schemas.openxmlformats.org/officeDocument/2006/relationships" xmlns:w="http://schemas.openxmlformats.org/wordprocessingml/2006/main">
  <w:divs>
    <w:div w:id="871380825">
      <w:bodyDiv w:val="1"/>
      <w:marLeft w:val="0"/>
      <w:marRight w:val="0"/>
      <w:marTop w:val="0"/>
      <w:marBottom w:val="0"/>
      <w:divBdr>
        <w:top w:val="none" w:sz="0" w:space="0" w:color="auto"/>
        <w:left w:val="none" w:sz="0" w:space="0" w:color="auto"/>
        <w:bottom w:val="none" w:sz="0" w:space="0" w:color="auto"/>
        <w:right w:val="none" w:sz="0" w:space="0" w:color="auto"/>
      </w:divBdr>
    </w:div>
    <w:div w:id="1421026967">
      <w:marLeft w:val="0"/>
      <w:marRight w:val="0"/>
      <w:marTop w:val="0"/>
      <w:marBottom w:val="0"/>
      <w:divBdr>
        <w:top w:val="none" w:sz="0" w:space="0" w:color="auto"/>
        <w:left w:val="none" w:sz="0" w:space="0" w:color="auto"/>
        <w:bottom w:val="none" w:sz="0" w:space="0" w:color="auto"/>
        <w:right w:val="none" w:sz="0" w:space="0" w:color="auto"/>
      </w:divBdr>
      <w:divsChild>
        <w:div w:id="1421026971">
          <w:marLeft w:val="0"/>
          <w:marRight w:val="0"/>
          <w:marTop w:val="0"/>
          <w:marBottom w:val="0"/>
          <w:divBdr>
            <w:top w:val="none" w:sz="0" w:space="0" w:color="auto"/>
            <w:left w:val="none" w:sz="0" w:space="0" w:color="auto"/>
            <w:bottom w:val="none" w:sz="0" w:space="0" w:color="auto"/>
            <w:right w:val="none" w:sz="0" w:space="0" w:color="auto"/>
          </w:divBdr>
          <w:divsChild>
            <w:div w:id="1421026966">
              <w:marLeft w:val="0"/>
              <w:marRight w:val="0"/>
              <w:marTop w:val="0"/>
              <w:marBottom w:val="0"/>
              <w:divBdr>
                <w:top w:val="none" w:sz="0" w:space="0" w:color="auto"/>
                <w:left w:val="none" w:sz="0" w:space="0" w:color="auto"/>
                <w:bottom w:val="none" w:sz="0" w:space="0" w:color="auto"/>
                <w:right w:val="none" w:sz="0" w:space="0" w:color="auto"/>
              </w:divBdr>
              <w:divsChild>
                <w:div w:id="1421026962">
                  <w:marLeft w:val="0"/>
                  <w:marRight w:val="0"/>
                  <w:marTop w:val="0"/>
                  <w:marBottom w:val="0"/>
                  <w:divBdr>
                    <w:top w:val="none" w:sz="0" w:space="0" w:color="auto"/>
                    <w:left w:val="none" w:sz="0" w:space="0" w:color="auto"/>
                    <w:bottom w:val="none" w:sz="0" w:space="0" w:color="auto"/>
                    <w:right w:val="none" w:sz="0" w:space="0" w:color="auto"/>
                  </w:divBdr>
                  <w:divsChild>
                    <w:div w:id="1421026963">
                      <w:marLeft w:val="0"/>
                      <w:marRight w:val="0"/>
                      <w:marTop w:val="0"/>
                      <w:marBottom w:val="0"/>
                      <w:divBdr>
                        <w:top w:val="none" w:sz="0" w:space="0" w:color="auto"/>
                        <w:left w:val="none" w:sz="0" w:space="0" w:color="auto"/>
                        <w:bottom w:val="none" w:sz="0" w:space="0" w:color="auto"/>
                        <w:right w:val="none" w:sz="0" w:space="0" w:color="auto"/>
                      </w:divBdr>
                      <w:divsChild>
                        <w:div w:id="14210269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21026970">
      <w:marLeft w:val="0"/>
      <w:marRight w:val="0"/>
      <w:marTop w:val="0"/>
      <w:marBottom w:val="0"/>
      <w:divBdr>
        <w:top w:val="none" w:sz="0" w:space="0" w:color="auto"/>
        <w:left w:val="none" w:sz="0" w:space="0" w:color="auto"/>
        <w:bottom w:val="none" w:sz="0" w:space="0" w:color="auto"/>
        <w:right w:val="none" w:sz="0" w:space="0" w:color="auto"/>
      </w:divBdr>
      <w:divsChild>
        <w:div w:id="1421026973">
          <w:marLeft w:val="0"/>
          <w:marRight w:val="0"/>
          <w:marTop w:val="0"/>
          <w:marBottom w:val="0"/>
          <w:divBdr>
            <w:top w:val="none" w:sz="0" w:space="0" w:color="auto"/>
            <w:left w:val="none" w:sz="0" w:space="0" w:color="auto"/>
            <w:bottom w:val="none" w:sz="0" w:space="0" w:color="auto"/>
            <w:right w:val="none" w:sz="0" w:space="0" w:color="auto"/>
          </w:divBdr>
          <w:divsChild>
            <w:div w:id="1421026965">
              <w:marLeft w:val="0"/>
              <w:marRight w:val="0"/>
              <w:marTop w:val="0"/>
              <w:marBottom w:val="0"/>
              <w:divBdr>
                <w:top w:val="none" w:sz="0" w:space="0" w:color="auto"/>
                <w:left w:val="none" w:sz="0" w:space="0" w:color="auto"/>
                <w:bottom w:val="none" w:sz="0" w:space="0" w:color="auto"/>
                <w:right w:val="none" w:sz="0" w:space="0" w:color="auto"/>
              </w:divBdr>
              <w:divsChild>
                <w:div w:id="1421026972">
                  <w:marLeft w:val="0"/>
                  <w:marRight w:val="0"/>
                  <w:marTop w:val="0"/>
                  <w:marBottom w:val="0"/>
                  <w:divBdr>
                    <w:top w:val="none" w:sz="0" w:space="0" w:color="auto"/>
                    <w:left w:val="none" w:sz="0" w:space="0" w:color="auto"/>
                    <w:bottom w:val="none" w:sz="0" w:space="0" w:color="auto"/>
                    <w:right w:val="none" w:sz="0" w:space="0" w:color="auto"/>
                  </w:divBdr>
                  <w:divsChild>
                    <w:div w:id="1421026969">
                      <w:marLeft w:val="0"/>
                      <w:marRight w:val="0"/>
                      <w:marTop w:val="0"/>
                      <w:marBottom w:val="0"/>
                      <w:divBdr>
                        <w:top w:val="none" w:sz="0" w:space="0" w:color="auto"/>
                        <w:left w:val="none" w:sz="0" w:space="0" w:color="auto"/>
                        <w:bottom w:val="none" w:sz="0" w:space="0" w:color="auto"/>
                        <w:right w:val="none" w:sz="0" w:space="0" w:color="auto"/>
                      </w:divBdr>
                      <w:divsChild>
                        <w:div w:id="14210269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bservices.org/centralbank/reportingcentral/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9010-BF23-43EF-8E24-1B88874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1981</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12761</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m1mel00</dc:creator>
  <cp:lastModifiedBy>m1jas00</cp:lastModifiedBy>
  <cp:revision>2</cp:revision>
  <cp:lastPrinted>2011-12-28T19:49:00Z</cp:lastPrinted>
  <dcterms:created xsi:type="dcterms:W3CDTF">2012-02-17T15:32:00Z</dcterms:created>
  <dcterms:modified xsi:type="dcterms:W3CDTF">2012-02-17T15:32:00Z</dcterms:modified>
</cp:coreProperties>
</file>