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2F8" w:rsidRDefault="009402F8"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5F00F7">
        <w:rPr>
          <w:sz w:val="28"/>
        </w:rPr>
        <w:t xml:space="preserve"> 2127-0682</w:t>
      </w:r>
      <w:r>
        <w:rPr>
          <w:sz w:val="28"/>
        </w:rPr>
        <w:t>)</w:t>
      </w:r>
    </w:p>
    <w:p w:rsidR="009402F8" w:rsidRDefault="009402F8" w:rsidP="00434E33">
      <w:pPr>
        <w:rPr>
          <w:b/>
        </w:rPr>
      </w:pPr>
    </w:p>
    <w:p w:rsidR="009402F8" w:rsidRDefault="006B7390" w:rsidP="00434E33">
      <w:r>
        <w:rPr>
          <w:noProof/>
        </w:rPr>
        <mc:AlternateContent>
          <mc:Choice Requires="wps">
            <w:drawing>
              <wp:anchor distT="4294967294" distB="4294967294"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9402F8" w:rsidRPr="00434E33">
        <w:rPr>
          <w:b/>
        </w:rPr>
        <w:t>TITLE OF INFORMATION COLLECTION:</w:t>
      </w:r>
      <w:r w:rsidR="009402F8">
        <w:t xml:space="preserve">  </w:t>
      </w:r>
    </w:p>
    <w:p w:rsidR="009402F8" w:rsidRPr="009239AA" w:rsidRDefault="009402F8" w:rsidP="00434E33">
      <w:pPr>
        <w:rPr>
          <w:b/>
        </w:rPr>
      </w:pPr>
      <w:r>
        <w:t>Recent Hispanic Immigrant Community Seat Belt Web-Based Tool</w:t>
      </w:r>
      <w:r w:rsidR="00060EEE">
        <w:t>-</w:t>
      </w:r>
      <w:r w:rsidR="005F00F7">
        <w:t>K</w:t>
      </w:r>
      <w:r>
        <w:t xml:space="preserve">it </w:t>
      </w:r>
      <w:r w:rsidR="005F00F7">
        <w:t xml:space="preserve">Development </w:t>
      </w:r>
      <w:r>
        <w:t xml:space="preserve">Focus Groups </w:t>
      </w:r>
    </w:p>
    <w:p w:rsidR="009402F8" w:rsidRDefault="009402F8"/>
    <w:p w:rsidR="009402F8" w:rsidRDefault="009402F8">
      <w:pPr>
        <w:rPr>
          <w:b/>
        </w:rPr>
      </w:pPr>
      <w:r>
        <w:rPr>
          <w:b/>
        </w:rPr>
        <w:t>PURPOSE</w:t>
      </w:r>
      <w:r w:rsidRPr="009239AA">
        <w:rPr>
          <w:b/>
        </w:rPr>
        <w:t>:</w:t>
      </w:r>
    </w:p>
    <w:p w:rsidR="009402F8" w:rsidRPr="00804C18" w:rsidRDefault="003008C9" w:rsidP="00804C18">
      <w:pPr>
        <w:spacing w:before="60" w:after="120"/>
      </w:pPr>
      <w:r>
        <w:t>The National Highway Traffic Safety Administration (</w:t>
      </w:r>
      <w:r w:rsidR="009402F8" w:rsidRPr="00804C18">
        <w:t>NHTSA</w:t>
      </w:r>
      <w:r>
        <w:t>)</w:t>
      </w:r>
      <w:r w:rsidR="009402F8" w:rsidRPr="00804C18">
        <w:t xml:space="preserve"> is developing </w:t>
      </w:r>
      <w:r w:rsidR="009402F8">
        <w:t>a web-based tool</w:t>
      </w:r>
      <w:r w:rsidR="006567BB">
        <w:t>-</w:t>
      </w:r>
      <w:r w:rsidR="009402F8">
        <w:t>kit</w:t>
      </w:r>
      <w:r w:rsidR="009402F8" w:rsidRPr="00804C18">
        <w:t xml:space="preserve"> to support its efforts in reaching the </w:t>
      </w:r>
      <w:r w:rsidR="009402F8">
        <w:t xml:space="preserve">Hispanic </w:t>
      </w:r>
      <w:r w:rsidR="009402F8" w:rsidRPr="00804C18">
        <w:t xml:space="preserve">population </w:t>
      </w:r>
      <w:r w:rsidR="009402F8">
        <w:t>with an emphasis on</w:t>
      </w:r>
      <w:r w:rsidR="009402F8" w:rsidRPr="00804C18">
        <w:t xml:space="preserve"> newly arrived Hispanic immigrants</w:t>
      </w:r>
      <w:r w:rsidR="009402F8">
        <w:t xml:space="preserve"> (having arrived to the country within the last five years)</w:t>
      </w:r>
      <w:r w:rsidR="009402F8" w:rsidRPr="00804C18">
        <w:t>.  According to the Center</w:t>
      </w:r>
      <w:r w:rsidR="009402F8">
        <w:t>s</w:t>
      </w:r>
      <w:r w:rsidR="009402F8" w:rsidRPr="00804C18">
        <w:t xml:space="preserve"> for Disease Control and Prevention, traffic crashes are the leading cause of death in the </w:t>
      </w:r>
      <w:smartTag w:uri="urn:schemas-microsoft-com:office:smarttags" w:element="place">
        <w:smartTag w:uri="urn:schemas-microsoft-com:office:smarttags" w:element="country-region">
          <w:r w:rsidR="009402F8" w:rsidRPr="00804C18">
            <w:t>United States</w:t>
          </w:r>
        </w:smartTag>
      </w:smartTag>
      <w:r w:rsidR="009402F8" w:rsidRPr="00804C18">
        <w:t xml:space="preserve"> among Hispanics under age 34</w:t>
      </w:r>
      <w:r w:rsidR="009402F8">
        <w:rPr>
          <w:rStyle w:val="FootnoteReference"/>
        </w:rPr>
        <w:footnoteReference w:id="1"/>
      </w:r>
      <w:r w:rsidR="009402F8" w:rsidRPr="00804C18">
        <w:t xml:space="preserve">. </w:t>
      </w:r>
      <w:r w:rsidR="009402F8">
        <w:t xml:space="preserve"> NHTSA </w:t>
      </w:r>
      <w:r w:rsidR="009402F8" w:rsidRPr="00804C18">
        <w:t xml:space="preserve">recognizes </w:t>
      </w:r>
      <w:r w:rsidR="003B0D0A">
        <w:t xml:space="preserve">the importance of increasing seat belt use </w:t>
      </w:r>
      <w:r w:rsidR="009402F8" w:rsidRPr="00804C18">
        <w:t xml:space="preserve">in this segment of the population. </w:t>
      </w:r>
      <w:r w:rsidR="009402F8">
        <w:t xml:space="preserve"> </w:t>
      </w:r>
      <w:r w:rsidR="009402F8" w:rsidRPr="00804C18">
        <w:t xml:space="preserve">The Hispanic population is a dynamic, complicated group to address, due to the large number of Hispanics born and raised in the </w:t>
      </w:r>
      <w:smartTag w:uri="urn:schemas-microsoft-com:office:smarttags" w:element="place">
        <w:smartTag w:uri="urn:schemas-microsoft-com:office:smarttags" w:element="country-region">
          <w:r w:rsidR="009402F8" w:rsidRPr="00804C18">
            <w:t>U.S.</w:t>
          </w:r>
        </w:smartTag>
      </w:smartTag>
      <w:r w:rsidR="009402F8" w:rsidRPr="00804C18">
        <w:t xml:space="preserve">, combined with the large number of Hispanic immigrants. </w:t>
      </w:r>
      <w:r w:rsidR="00A67C11">
        <w:t xml:space="preserve"> </w:t>
      </w:r>
      <w:r w:rsidR="009402F8" w:rsidRPr="00804C18">
        <w:t xml:space="preserve">Their beliefs, attitudes, behaviors and habits have been formed in many different nations, each with distinct cultural, religious and political practices and influences.  As a result, a “one size fits all” approach cannot be used to spur improvements in their traffic safety behaviors. </w:t>
      </w:r>
      <w:r w:rsidR="00A67C11">
        <w:t xml:space="preserve"> </w:t>
      </w:r>
      <w:r w:rsidR="009402F8" w:rsidRPr="00804C18">
        <w:t xml:space="preserve">Due to the complexity and rapid growth of the Hispanic immigrant population in the United States, it is necessary to design and implement a comprehensive strategy that will directly target this population at high risk for death or injury due to non-seat belt use. </w:t>
      </w:r>
    </w:p>
    <w:p w:rsidR="009402F8" w:rsidRDefault="003B0D0A">
      <w:r>
        <w:t>A web-based tool</w:t>
      </w:r>
      <w:r w:rsidR="00B21849">
        <w:t>-</w:t>
      </w:r>
      <w:r>
        <w:t>kit will be developed as part of this comprehensive strategy.  The tool</w:t>
      </w:r>
      <w:r w:rsidR="00B21849">
        <w:t>-</w:t>
      </w:r>
      <w:r>
        <w:t>kit will be targeted to community-based groups and organizations that work with the Hispanic immigrant population</w:t>
      </w:r>
      <w:r w:rsidR="005128F4">
        <w:t>.</w:t>
      </w:r>
      <w:r>
        <w:t xml:space="preserve">  The tool-kit will address the following areas: community problem identification, strategies and implementation, development of effective community messages, self-sufficiency, law enforcement and the incorporation of cultural heritage.  </w:t>
      </w:r>
      <w:r w:rsidR="009402F8">
        <w:t>Focus groups have been chosen as a means to reach the recent Hispanic immigrant population concerning their knowledge and beliefs about seat belt use</w:t>
      </w:r>
      <w:r>
        <w:t xml:space="preserve"> in order to determine how to structure the tool-kit</w:t>
      </w:r>
      <w:r w:rsidR="009402F8">
        <w:t xml:space="preserve">.  </w:t>
      </w:r>
    </w:p>
    <w:p w:rsidR="009402F8" w:rsidRDefault="009402F8"/>
    <w:p w:rsidR="009402F8" w:rsidRDefault="0096766A">
      <w:r>
        <w:t>T</w:t>
      </w:r>
      <w:r w:rsidR="009402F8">
        <w:t xml:space="preserve">wo series of focus groups </w:t>
      </w:r>
      <w:r w:rsidR="003008C9">
        <w:t xml:space="preserve">will be </w:t>
      </w:r>
      <w:r w:rsidR="009402F8">
        <w:t>conducted</w:t>
      </w:r>
      <w:r>
        <w:t>:</w:t>
      </w:r>
      <w:r w:rsidR="009402F8">
        <w:t xml:space="preserve"> one to obtain input from the community on their knowledge, beliefs, and attitudes </w:t>
      </w:r>
      <w:r w:rsidR="003008C9">
        <w:t xml:space="preserve">in order </w:t>
      </w:r>
      <w:r w:rsidR="009402F8">
        <w:t>to develop the tool</w:t>
      </w:r>
      <w:r w:rsidR="004A34C1">
        <w:t>-</w:t>
      </w:r>
      <w:r w:rsidR="009402F8">
        <w:t>kit and second to obtain feedback on the web-based tool</w:t>
      </w:r>
      <w:r w:rsidR="004A34C1">
        <w:t>-</w:t>
      </w:r>
      <w:r w:rsidR="009402F8">
        <w:t>kit.  There will be three sets of focus groups within the first series of focus groups</w:t>
      </w:r>
      <w:r w:rsidR="003B0D0A">
        <w:t xml:space="preserve">:  </w:t>
      </w:r>
      <w:r w:rsidR="009402F8">
        <w:t xml:space="preserve"> community participants, community </w:t>
      </w:r>
      <w:r>
        <w:t>service delivery organizations</w:t>
      </w:r>
      <w:r w:rsidR="009402F8">
        <w:t xml:space="preserve">, and law enforcement.  </w:t>
      </w:r>
      <w:r w:rsidR="003B0D0A">
        <w:t xml:space="preserve">These groups were selected in order to obtain input from the primary target audience (i.e., community participants) and from potential users of the tool-kit (i.e., community </w:t>
      </w:r>
      <w:r>
        <w:t>service delivery organizations</w:t>
      </w:r>
      <w:r w:rsidR="003B0D0A">
        <w:t xml:space="preserve">).  Law enforcement is included as law enforcement is an important component of NHTSA’s seat belt program and it is important to </w:t>
      </w:r>
      <w:r w:rsidR="00B35B85">
        <w:t xml:space="preserve">identify ways in which the Hispanic community and law enforcement can work together to increase </w:t>
      </w:r>
      <w:r>
        <w:t xml:space="preserve">traffic safety in </w:t>
      </w:r>
      <w:r w:rsidR="00064CF9">
        <w:t>general</w:t>
      </w:r>
      <w:r>
        <w:t xml:space="preserve"> and </w:t>
      </w:r>
      <w:r w:rsidR="00B35B85">
        <w:t>seat belt use</w:t>
      </w:r>
      <w:r>
        <w:t xml:space="preserve"> in particular</w:t>
      </w:r>
      <w:r w:rsidR="00B35B85">
        <w:t xml:space="preserve">. </w:t>
      </w:r>
      <w:r w:rsidR="003B0D0A">
        <w:t xml:space="preserve"> </w:t>
      </w:r>
      <w:r>
        <w:t xml:space="preserve"> </w:t>
      </w:r>
      <w:r w:rsidR="000147CD">
        <w:t>T</w:t>
      </w:r>
      <w:r>
        <w:t>he second series of focus groups</w:t>
      </w:r>
      <w:r w:rsidR="000147CD">
        <w:t xml:space="preserve"> will obtain feedback on the tool-kit from the target audience – community participants.  </w:t>
      </w:r>
      <w:r>
        <w:t xml:space="preserve"> </w:t>
      </w:r>
      <w:r w:rsidR="009402F8">
        <w:t xml:space="preserve">Moderator’s guides and screening guides have been developed for each set of these focus groups that comprise each of the two series of focus groups.  </w:t>
      </w:r>
      <w:r w:rsidR="007D507E">
        <w:t xml:space="preserve">Focus groups will be conducted among newly arrived (in the U.S. </w:t>
      </w:r>
      <w:r w:rsidR="000147CD">
        <w:t xml:space="preserve">for </w:t>
      </w:r>
      <w:r w:rsidR="007D507E">
        <w:t xml:space="preserve">5 years or less) and acculturated (in the U.S. for more than 5 years) participants.  </w:t>
      </w:r>
      <w:r w:rsidR="009402F8">
        <w:t xml:space="preserve">(For reference, the moderator’s guides as well as the screening guides are attached to this Clearance Request).  </w:t>
      </w:r>
    </w:p>
    <w:p w:rsidR="009402F8" w:rsidRDefault="009402F8"/>
    <w:p w:rsidR="009402F8" w:rsidRDefault="009402F8" w:rsidP="005D5DF7">
      <w:r>
        <w:t>For tool</w:t>
      </w:r>
      <w:r w:rsidR="006567BB">
        <w:t>-</w:t>
      </w:r>
      <w:r>
        <w:t>kits such as these, NHTSA’s experience has shown that focus groups are a meaningful, useful and cost-effective way to gather the insights needed for guiding decision-making</w:t>
      </w:r>
      <w:r w:rsidR="00B35B85">
        <w:t xml:space="preserve"> on what to include in the tool-kit and how to structure the tool-kit</w:t>
      </w:r>
      <w:r>
        <w:t xml:space="preserve">.  </w:t>
      </w:r>
    </w:p>
    <w:p w:rsidR="009402F8" w:rsidRDefault="009402F8" w:rsidP="00434E33">
      <w:pPr>
        <w:pStyle w:val="Header"/>
        <w:tabs>
          <w:tab w:val="clear" w:pos="4320"/>
          <w:tab w:val="clear" w:pos="8640"/>
        </w:tabs>
        <w:rPr>
          <w:b/>
        </w:rPr>
      </w:pPr>
    </w:p>
    <w:p w:rsidR="009402F8" w:rsidRPr="00434E33" w:rsidRDefault="009402F8" w:rsidP="00434E33">
      <w:pPr>
        <w:pStyle w:val="Header"/>
        <w:tabs>
          <w:tab w:val="clear" w:pos="4320"/>
          <w:tab w:val="clear" w:pos="8640"/>
        </w:tabs>
        <w:rPr>
          <w:i/>
        </w:rPr>
      </w:pPr>
      <w:r w:rsidRPr="00434E33">
        <w:rPr>
          <w:b/>
        </w:rPr>
        <w:t>DESCRIPTION OF RESPONDENTS</w:t>
      </w:r>
      <w:r>
        <w:t xml:space="preserve">: </w:t>
      </w:r>
    </w:p>
    <w:p w:rsidR="009402F8" w:rsidRDefault="009402F8">
      <w:r>
        <w:t xml:space="preserve">(NOTE:  </w:t>
      </w:r>
      <w:r w:rsidR="003008C9">
        <w:t>S</w:t>
      </w:r>
      <w:r>
        <w:t>cript</w:t>
      </w:r>
      <w:r w:rsidR="00270790">
        <w:t>s</w:t>
      </w:r>
      <w:r>
        <w:t xml:space="preserve"> for the recruitment screeners </w:t>
      </w:r>
      <w:r w:rsidR="003008C9">
        <w:t>are</w:t>
      </w:r>
      <w:r>
        <w:t xml:space="preserve"> included with this Clearance Request).</w:t>
      </w:r>
    </w:p>
    <w:p w:rsidR="009402F8" w:rsidRDefault="009402F8"/>
    <w:p w:rsidR="009402F8" w:rsidRPr="00E35155" w:rsidRDefault="009402F8" w:rsidP="00B36FB3">
      <w:pPr>
        <w:autoSpaceDE w:val="0"/>
        <w:autoSpaceDN w:val="0"/>
        <w:adjustRightInd w:val="0"/>
        <w:spacing w:after="120"/>
      </w:pPr>
      <w:r>
        <w:t xml:space="preserve">Respondents </w:t>
      </w:r>
      <w:r w:rsidR="00974BB4">
        <w:t xml:space="preserve">from the community </w:t>
      </w:r>
      <w:r>
        <w:t>will reflect the characteristics of people who will comprise the target audience for the web-based tool</w:t>
      </w:r>
      <w:r w:rsidR="006567BB">
        <w:t>-</w:t>
      </w:r>
      <w:r>
        <w:t>kit.  Specifically</w:t>
      </w:r>
      <w:r w:rsidRPr="00E35155">
        <w:t xml:space="preserve"> recruit </w:t>
      </w:r>
      <w:r w:rsidR="00FA5731" w:rsidRPr="00E35155">
        <w:t>1</w:t>
      </w:r>
      <w:r w:rsidR="00FA5731">
        <w:t>2</w:t>
      </w:r>
      <w:r w:rsidR="00FA5731" w:rsidRPr="00E35155">
        <w:t xml:space="preserve"> </w:t>
      </w:r>
      <w:r w:rsidRPr="00E35155">
        <w:t>participants anticipating that 8-10 will attend. Attempt to recruit:</w:t>
      </w:r>
    </w:p>
    <w:p w:rsidR="009402F8" w:rsidRPr="00E35155" w:rsidRDefault="009402F8" w:rsidP="00B36FB3">
      <w:pPr>
        <w:numPr>
          <w:ilvl w:val="0"/>
          <w:numId w:val="21"/>
        </w:numPr>
        <w:tabs>
          <w:tab w:val="clear" w:pos="1530"/>
        </w:tabs>
        <w:autoSpaceDE w:val="0"/>
        <w:autoSpaceDN w:val="0"/>
        <w:adjustRightInd w:val="0"/>
        <w:ind w:left="540" w:hanging="270"/>
        <w:jc w:val="both"/>
      </w:pPr>
      <w:r w:rsidRPr="00E35155">
        <w:t>Male</w:t>
      </w:r>
      <w:r>
        <w:t xml:space="preserve"> and female</w:t>
      </w:r>
      <w:r w:rsidRPr="00E35155">
        <w:t xml:space="preserve"> ages 18-</w:t>
      </w:r>
      <w:r w:rsidR="0078015A">
        <w:t>40</w:t>
      </w:r>
    </w:p>
    <w:p w:rsidR="009402F8" w:rsidRPr="00E35155" w:rsidRDefault="009402F8" w:rsidP="00B36FB3">
      <w:pPr>
        <w:numPr>
          <w:ilvl w:val="0"/>
          <w:numId w:val="21"/>
        </w:numPr>
        <w:tabs>
          <w:tab w:val="clear" w:pos="1530"/>
        </w:tabs>
        <w:autoSpaceDE w:val="0"/>
        <w:autoSpaceDN w:val="0"/>
        <w:adjustRightInd w:val="0"/>
        <w:ind w:left="540" w:hanging="270"/>
        <w:jc w:val="both"/>
      </w:pPr>
      <w:r w:rsidRPr="00E35155">
        <w:t xml:space="preserve">Recently Arrived (Hispanic/Latino) in the </w:t>
      </w:r>
      <w:smartTag w:uri="urn:schemas-microsoft-com:office:smarttags" w:element="place">
        <w:smartTag w:uri="urn:schemas-microsoft-com:office:smarttags" w:element="country-region">
          <w:r w:rsidRPr="00E35155">
            <w:t>United States</w:t>
          </w:r>
        </w:smartTag>
      </w:smartTag>
      <w:r>
        <w:t xml:space="preserve"> (that is 5 years or less.) </w:t>
      </w:r>
    </w:p>
    <w:p w:rsidR="009402F8" w:rsidRPr="00E35155" w:rsidRDefault="009402F8" w:rsidP="00B36FB3">
      <w:pPr>
        <w:numPr>
          <w:ilvl w:val="0"/>
          <w:numId w:val="21"/>
        </w:numPr>
        <w:tabs>
          <w:tab w:val="clear" w:pos="1530"/>
        </w:tabs>
        <w:autoSpaceDE w:val="0"/>
        <w:autoSpaceDN w:val="0"/>
        <w:adjustRightInd w:val="0"/>
        <w:ind w:left="540" w:hanging="270"/>
        <w:jc w:val="both"/>
      </w:pPr>
      <w:r w:rsidRPr="00E35155">
        <w:t>Acculturated Participants</w:t>
      </w:r>
      <w:r>
        <w:t xml:space="preserve"> (more than 5 years) </w:t>
      </w:r>
    </w:p>
    <w:p w:rsidR="009402F8" w:rsidRDefault="009402F8" w:rsidP="00B36FB3">
      <w:pPr>
        <w:numPr>
          <w:ilvl w:val="0"/>
          <w:numId w:val="21"/>
        </w:numPr>
        <w:tabs>
          <w:tab w:val="clear" w:pos="1530"/>
        </w:tabs>
        <w:ind w:left="540" w:hanging="270"/>
      </w:pPr>
      <w:r>
        <w:t>D</w:t>
      </w:r>
      <w:r w:rsidRPr="00E35155">
        <w:t>rivers</w:t>
      </w:r>
      <w:r>
        <w:t xml:space="preserve"> or passengers </w:t>
      </w:r>
      <w:r w:rsidRPr="00E35155">
        <w:t>who operate</w:t>
      </w:r>
      <w:r>
        <w:t xml:space="preserve"> or ride in a passenger car,</w:t>
      </w:r>
      <w:r w:rsidR="003008C9">
        <w:t xml:space="preserve"> van,</w:t>
      </w:r>
      <w:r>
        <w:t xml:space="preserve"> SUV or pickup truck </w:t>
      </w:r>
    </w:p>
    <w:p w:rsidR="009402F8" w:rsidRDefault="009402F8" w:rsidP="00B36FB3">
      <w:pPr>
        <w:numPr>
          <w:ilvl w:val="0"/>
          <w:numId w:val="21"/>
        </w:numPr>
        <w:tabs>
          <w:tab w:val="clear" w:pos="1530"/>
        </w:tabs>
        <w:ind w:left="540" w:hanging="270"/>
      </w:pPr>
      <w:r>
        <w:t xml:space="preserve">Sometimes do not wear their seatbelts </w:t>
      </w:r>
    </w:p>
    <w:p w:rsidR="009402F8" w:rsidRDefault="009402F8" w:rsidP="00B36FB3">
      <w:pPr>
        <w:numPr>
          <w:ilvl w:val="0"/>
          <w:numId w:val="21"/>
        </w:numPr>
        <w:tabs>
          <w:tab w:val="clear" w:pos="1530"/>
        </w:tabs>
        <w:ind w:left="540" w:hanging="270"/>
      </w:pPr>
      <w:r>
        <w:t xml:space="preserve">Not employed in certain specific types of jobs/occupations considered by NHTSA to bias opinions and comments </w:t>
      </w:r>
    </w:p>
    <w:p w:rsidR="009402F8" w:rsidRDefault="009402F8"/>
    <w:p w:rsidR="00FA7CF4" w:rsidRDefault="00FA7CF4">
      <w:r>
        <w:t xml:space="preserve">Participants from the community service delivery organizations will be representatives of organizations such as non-profit groups, health clinics, churches/religious organizations and traffic safety organizations that work with, or deliver services to, the Hispanic community.  Their input is important in designing how to best present and deliver the information to be included in the tool-kit.   </w:t>
      </w:r>
    </w:p>
    <w:p w:rsidR="00FA7CF4" w:rsidRDefault="00FA7CF4"/>
    <w:p w:rsidR="009B7F2E" w:rsidRDefault="009402F8" w:rsidP="00AB1895">
      <w:r w:rsidRPr="00533500">
        <w:t>The groups will be conducted in Miami, Florida, (specifically among Little Havana and Hialeah residents)</w:t>
      </w:r>
      <w:r>
        <w:t>;</w:t>
      </w:r>
      <w:r w:rsidRPr="00533500">
        <w:t xml:space="preserve"> and Langley Park</w:t>
      </w:r>
      <w:r>
        <w:t xml:space="preserve"> and Riverdale Park (Prince Georges County and Montgomery County)</w:t>
      </w:r>
      <w:r w:rsidRPr="00533500">
        <w:t xml:space="preserve">, Maryland.  According to the US Census, the city of </w:t>
      </w:r>
      <w:smartTag w:uri="urn:schemas-microsoft-com:office:smarttags" w:element="City">
        <w:smartTag w:uri="urn:schemas-microsoft-com:office:smarttags" w:element="place">
          <w:r w:rsidRPr="00533500">
            <w:t>Miami</w:t>
          </w:r>
        </w:smartTag>
      </w:smartTag>
      <w:r w:rsidRPr="00533500">
        <w:t xml:space="preserve"> has one of the highest percentages of foreign born citizens among the 100 largest cities in the nation. </w:t>
      </w:r>
      <w:r w:rsidR="00C6315A">
        <w:t xml:space="preserve"> </w:t>
      </w:r>
      <w:r>
        <w:t xml:space="preserve">The </w:t>
      </w:r>
      <w:r w:rsidRPr="00533500">
        <w:t>Little Havana region is composed principally of poor</w:t>
      </w:r>
      <w:r w:rsidR="00B35B85">
        <w:t>,</w:t>
      </w:r>
      <w:r w:rsidRPr="00533500">
        <w:t xml:space="preserve"> newly</w:t>
      </w:r>
      <w:r w:rsidR="00B35B85">
        <w:t>-</w:t>
      </w:r>
      <w:r w:rsidRPr="00533500">
        <w:t xml:space="preserve">arrived immigrants from Central America and the Caribbean. This area of Miami-Dade has the region’s lowest educational level. </w:t>
      </w:r>
      <w:r w:rsidR="00B473C2">
        <w:t xml:space="preserve"> </w:t>
      </w:r>
      <w:r>
        <w:t>T</w:t>
      </w:r>
      <w:r w:rsidRPr="00533500">
        <w:t xml:space="preserve">he Hialeah area </w:t>
      </w:r>
      <w:r>
        <w:t xml:space="preserve">is </w:t>
      </w:r>
      <w:r w:rsidRPr="00533500">
        <w:t xml:space="preserve">where more acculturated Hispanics live.  </w:t>
      </w:r>
    </w:p>
    <w:p w:rsidR="009B7F2E" w:rsidRDefault="009B7F2E" w:rsidP="00AB1895"/>
    <w:p w:rsidR="009402F8" w:rsidRDefault="00FB301D" w:rsidP="00AB1895">
      <w:pPr>
        <w:rPr>
          <w:color w:val="000000"/>
        </w:rPr>
      </w:pPr>
      <w:r>
        <w:t xml:space="preserve">Both newly arrived immigrants and acculturated immigrants reside in Langley Park, Maryland.  However, the </w:t>
      </w:r>
      <w:r w:rsidR="009402F8" w:rsidRPr="00887BFA">
        <w:t xml:space="preserve">newly arrived immigrants </w:t>
      </w:r>
      <w:r>
        <w:t>reside</w:t>
      </w:r>
      <w:r w:rsidR="009402F8" w:rsidRPr="00887BFA">
        <w:t xml:space="preserve"> in Prince Georges County within Langley Park</w:t>
      </w:r>
      <w:r>
        <w:t>,</w:t>
      </w:r>
      <w:r w:rsidR="009402F8" w:rsidRPr="00887BFA">
        <w:t xml:space="preserve"> and the acculturated Hispanics are found in Montgomery County within Langley Park.</w:t>
      </w:r>
      <w:r w:rsidR="00D4168D">
        <w:t xml:space="preserve"> </w:t>
      </w:r>
      <w:r w:rsidR="009402F8" w:rsidRPr="00887BFA">
        <w:t xml:space="preserve"> </w:t>
      </w:r>
      <w:r w:rsidR="009B7F2E">
        <w:t xml:space="preserve">Hispanics represent about 76% of the population of Langley Park; of that percentage, 71% are from Central America and 8% are of Mexican origin.  Newly arrived and acculturated participants will be identified through the screener.  </w:t>
      </w:r>
      <w:r w:rsidR="009402F8" w:rsidRPr="00887BFA">
        <w:t>Riverdale Park is located in Prince Georges County</w:t>
      </w:r>
      <w:r w:rsidR="009B7F2E">
        <w:t>, Maryland.  Newly arrived Hispanic immigrants represent approximately 50% of the total population</w:t>
      </w:r>
      <w:r w:rsidR="007A0CCE">
        <w:t xml:space="preserve">; </w:t>
      </w:r>
      <w:r w:rsidR="007A0CCE" w:rsidRPr="00887BFA">
        <w:t>of</w:t>
      </w:r>
      <w:r w:rsidR="009402F8" w:rsidRPr="00887BFA">
        <w:rPr>
          <w:color w:val="000000"/>
        </w:rPr>
        <w:t xml:space="preserve"> that 50% are of Mexican origin and 35% are </w:t>
      </w:r>
      <w:r w:rsidR="009B7F2E">
        <w:rPr>
          <w:color w:val="000000"/>
        </w:rPr>
        <w:t xml:space="preserve">of </w:t>
      </w:r>
      <w:r w:rsidR="009402F8" w:rsidRPr="00887BFA">
        <w:rPr>
          <w:color w:val="000000"/>
        </w:rPr>
        <w:t>Central American</w:t>
      </w:r>
      <w:r w:rsidR="009B7F2E">
        <w:rPr>
          <w:color w:val="000000"/>
        </w:rPr>
        <w:t xml:space="preserve"> origin</w:t>
      </w:r>
      <w:r w:rsidR="009402F8" w:rsidRPr="00887BFA">
        <w:rPr>
          <w:color w:val="000000"/>
        </w:rPr>
        <w:t xml:space="preserve">. </w:t>
      </w:r>
      <w:r w:rsidR="009D341B">
        <w:rPr>
          <w:color w:val="000000"/>
        </w:rPr>
        <w:t xml:space="preserve"> </w:t>
      </w:r>
      <w:r w:rsidR="009402F8" w:rsidRPr="00887BFA">
        <w:t>The viewpoints in these two communities are expected to lend added substantiation and value to the development of the web-based tool</w:t>
      </w:r>
      <w:r w:rsidR="0074380C">
        <w:t>-</w:t>
      </w:r>
      <w:r w:rsidR="009402F8" w:rsidRPr="00887BFA">
        <w:t xml:space="preserve">kit. </w:t>
      </w:r>
      <w:bookmarkStart w:id="1" w:name="OLE_LINK1"/>
      <w:bookmarkStart w:id="2" w:name="OLE_LINK2"/>
      <w:r w:rsidR="00AB736B">
        <w:t xml:space="preserve"> </w:t>
      </w:r>
      <w:r w:rsidR="009402F8" w:rsidRPr="00887BFA">
        <w:rPr>
          <w:color w:val="000000"/>
        </w:rPr>
        <w:t xml:space="preserve">The education level </w:t>
      </w:r>
      <w:r w:rsidR="003008C9">
        <w:rPr>
          <w:color w:val="000000"/>
        </w:rPr>
        <w:t xml:space="preserve">of the target population </w:t>
      </w:r>
      <w:r w:rsidR="009402F8" w:rsidRPr="00887BFA">
        <w:rPr>
          <w:color w:val="000000"/>
        </w:rPr>
        <w:t>in both counties is lower than both state and national averages.</w:t>
      </w:r>
      <w:bookmarkEnd w:id="1"/>
      <w:bookmarkEnd w:id="2"/>
      <w:r w:rsidR="00035121">
        <w:rPr>
          <w:color w:val="000000"/>
        </w:rPr>
        <w:t xml:space="preserve">  </w:t>
      </w:r>
    </w:p>
    <w:p w:rsidR="00035121" w:rsidRDefault="00035121" w:rsidP="00AB1895">
      <w:pPr>
        <w:rPr>
          <w:color w:val="000000"/>
        </w:rPr>
      </w:pPr>
    </w:p>
    <w:p w:rsidR="00035121" w:rsidRPr="00887BFA" w:rsidRDefault="00035121" w:rsidP="00AB1895">
      <w:r>
        <w:rPr>
          <w:color w:val="000000"/>
        </w:rPr>
        <w:t xml:space="preserve">After the development of the tool-kit, each site will test the tool-kit by delivering training to approximately 20 community members of the target group (males and females ages 18-40 years).  A second set of community member focus groups will be conducted to obtain feedback on the tool-kit.  The participants in this second set of focus groups will be drawn from the individuals who attended the training sessions.  This will allow us to obtain feedback on the tool-kit training, as well as ascertain whether traffic safety behavior was influenced in any way following the training.  </w:t>
      </w:r>
    </w:p>
    <w:p w:rsidR="009402F8" w:rsidRDefault="009402F8">
      <w:pPr>
        <w:rPr>
          <w:b/>
        </w:rPr>
      </w:pPr>
    </w:p>
    <w:p w:rsidR="00270790" w:rsidRDefault="00270790">
      <w:r>
        <w:br w:type="page"/>
      </w:r>
    </w:p>
    <w:p w:rsidR="009402F8" w:rsidRPr="00F06866" w:rsidRDefault="009402F8">
      <w:pPr>
        <w:rPr>
          <w:b/>
        </w:rPr>
      </w:pPr>
      <w:r>
        <w:rPr>
          <w:b/>
        </w:rPr>
        <w:lastRenderedPageBreak/>
        <w:t>TYPE OF COLLECTION:</w:t>
      </w:r>
      <w:r w:rsidRPr="00F06866">
        <w:t xml:space="preserve"> (Check one)</w:t>
      </w:r>
    </w:p>
    <w:p w:rsidR="009402F8" w:rsidRPr="00434E33" w:rsidRDefault="009402F8" w:rsidP="0096108F">
      <w:pPr>
        <w:pStyle w:val="BodyTextIndent"/>
        <w:tabs>
          <w:tab w:val="left" w:pos="360"/>
        </w:tabs>
        <w:ind w:left="0"/>
        <w:rPr>
          <w:bCs/>
          <w:sz w:val="16"/>
          <w:szCs w:val="16"/>
        </w:rPr>
      </w:pPr>
    </w:p>
    <w:p w:rsidR="009402F8" w:rsidRPr="00F06866" w:rsidRDefault="009402F8"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9402F8" w:rsidRDefault="009402F8"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9402F8" w:rsidRPr="00F06866" w:rsidRDefault="009402F8"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9402F8" w:rsidRDefault="009402F8">
      <w:pPr>
        <w:pStyle w:val="Header"/>
        <w:tabs>
          <w:tab w:val="clear" w:pos="4320"/>
          <w:tab w:val="clear" w:pos="8640"/>
        </w:tabs>
      </w:pPr>
    </w:p>
    <w:p w:rsidR="009402F8" w:rsidRDefault="009402F8">
      <w:pPr>
        <w:rPr>
          <w:b/>
        </w:rPr>
      </w:pPr>
      <w:r>
        <w:rPr>
          <w:b/>
        </w:rPr>
        <w:t>CERTIFICATION:</w:t>
      </w:r>
    </w:p>
    <w:p w:rsidR="009402F8" w:rsidRDefault="009402F8">
      <w:pPr>
        <w:rPr>
          <w:sz w:val="16"/>
          <w:szCs w:val="16"/>
        </w:rPr>
      </w:pPr>
    </w:p>
    <w:p w:rsidR="009402F8" w:rsidRPr="009C13B9" w:rsidRDefault="009402F8" w:rsidP="008101A5">
      <w:r>
        <w:t xml:space="preserve">I certify the following to be true: </w:t>
      </w:r>
    </w:p>
    <w:p w:rsidR="009402F8" w:rsidRDefault="009402F8" w:rsidP="008101A5">
      <w:pPr>
        <w:pStyle w:val="ColorfulList-Accent11"/>
        <w:numPr>
          <w:ilvl w:val="0"/>
          <w:numId w:val="14"/>
        </w:numPr>
      </w:pPr>
      <w:r>
        <w:t>The collection is voluntary.</w:t>
      </w:r>
      <w:r w:rsidRPr="00C14CC4">
        <w:t xml:space="preserve"> </w:t>
      </w:r>
    </w:p>
    <w:p w:rsidR="009402F8" w:rsidRDefault="009402F8" w:rsidP="008101A5">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rsidR="00DB5D5A" w:rsidRDefault="009402F8" w:rsidP="008101A5">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w:t>
      </w:r>
      <w:r w:rsidR="00DB5D5A">
        <w:t>ncies.</w:t>
      </w:r>
    </w:p>
    <w:p w:rsidR="009402F8" w:rsidRDefault="009402F8">
      <w:pPr>
        <w:pStyle w:val="ColorfulList-Accent11"/>
        <w:numPr>
          <w:ilvl w:val="0"/>
          <w:numId w:val="14"/>
        </w:numPr>
      </w:pPr>
      <w:r>
        <w:t xml:space="preserve">The results are </w:t>
      </w:r>
      <w:r w:rsidRPr="00DB5D5A">
        <w:rPr>
          <w:u w:val="single"/>
        </w:rPr>
        <w:t>not</w:t>
      </w:r>
      <w:r w:rsidRPr="00895229">
        <w:t xml:space="preserve"> </w:t>
      </w:r>
      <w:r>
        <w:t>intended to be</w:t>
      </w:r>
      <w:r w:rsidRPr="00C14CC4">
        <w:t xml:space="preserve"> </w:t>
      </w:r>
      <w:r>
        <w:t>disseminated to the p</w:t>
      </w:r>
      <w:r w:rsidRPr="009C13B9">
        <w:t>ublic</w:t>
      </w:r>
      <w:r>
        <w:t>.</w:t>
      </w:r>
      <w:r>
        <w:tab/>
      </w:r>
      <w:r>
        <w:tab/>
      </w:r>
    </w:p>
    <w:p w:rsidR="009402F8" w:rsidRDefault="009402F8" w:rsidP="008101A5">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402F8" w:rsidRDefault="009402F8" w:rsidP="008101A5">
      <w:pPr>
        <w:pStyle w:val="ColorfulList-Accent11"/>
        <w:numPr>
          <w:ilvl w:val="0"/>
          <w:numId w:val="14"/>
        </w:numPr>
      </w:pPr>
      <w:r>
        <w:t>The collection is targeted to the solicitation of opinions from respondents who have experience with the program or may have experience with the program in the future.</w:t>
      </w:r>
    </w:p>
    <w:p w:rsidR="009402F8" w:rsidRDefault="009402F8" w:rsidP="009C13B9"/>
    <w:p w:rsidR="009402F8" w:rsidRDefault="009402F8" w:rsidP="009C13B9">
      <w:r>
        <w:t>Name:  Alexandra Holliday</w:t>
      </w:r>
      <w:r w:rsidR="00270790">
        <w:t>/Maria Vegega</w:t>
      </w:r>
      <w:r>
        <w:t xml:space="preserve"> </w:t>
      </w:r>
    </w:p>
    <w:p w:rsidR="009402F8" w:rsidRDefault="009402F8" w:rsidP="009C13B9">
      <w:pPr>
        <w:pStyle w:val="ColorfulList-Accent11"/>
        <w:ind w:left="360"/>
      </w:pPr>
    </w:p>
    <w:p w:rsidR="009402F8" w:rsidRDefault="009402F8" w:rsidP="009C13B9">
      <w:r>
        <w:t>To assist review, please provide answers to the following question:</w:t>
      </w:r>
    </w:p>
    <w:p w:rsidR="009402F8" w:rsidRDefault="009402F8" w:rsidP="009C13B9">
      <w:pPr>
        <w:pStyle w:val="ColorfulList-Accent11"/>
        <w:ind w:left="360"/>
      </w:pPr>
    </w:p>
    <w:p w:rsidR="009402F8" w:rsidRPr="00C86E91" w:rsidRDefault="009402F8" w:rsidP="00C86E91">
      <w:pPr>
        <w:rPr>
          <w:b/>
        </w:rPr>
      </w:pPr>
      <w:r w:rsidRPr="00C86E91">
        <w:rPr>
          <w:b/>
        </w:rPr>
        <w:t>Personally Identifiable Information:</w:t>
      </w:r>
    </w:p>
    <w:p w:rsidR="009402F8" w:rsidRDefault="009402F8" w:rsidP="00C86E91">
      <w:pPr>
        <w:pStyle w:val="ColorfulList-Accent11"/>
        <w:numPr>
          <w:ilvl w:val="0"/>
          <w:numId w:val="18"/>
        </w:numPr>
      </w:pPr>
      <w:r>
        <w:t xml:space="preserve">Is personally identifiable information (PII) collected?  [√] Yes  [ ]  No </w:t>
      </w:r>
    </w:p>
    <w:p w:rsidR="009402F8" w:rsidRDefault="009402F8" w:rsidP="00C86E91">
      <w:pPr>
        <w:pStyle w:val="ColorfulList-Accent11"/>
        <w:numPr>
          <w:ilvl w:val="0"/>
          <w:numId w:val="18"/>
        </w:numPr>
      </w:pPr>
      <w:r>
        <w:t xml:space="preserve">If Yes, will any information that is collected be included in records that are subject to the Privacy Act of 1974?   [  ] Yes [√] No   </w:t>
      </w:r>
    </w:p>
    <w:p w:rsidR="009402F8" w:rsidRDefault="009402F8" w:rsidP="00C86E91">
      <w:pPr>
        <w:pStyle w:val="ColorfulList-Accent11"/>
        <w:numPr>
          <w:ilvl w:val="0"/>
          <w:numId w:val="18"/>
        </w:numPr>
      </w:pPr>
      <w:r>
        <w:t xml:space="preserve">If Yes, has an up-to-date System of Records Notice (SORN) been published?  [  ] Yes  </w:t>
      </w:r>
      <w:r w:rsidRPr="000843B2">
        <w:t>[</w:t>
      </w:r>
      <w:r w:rsidR="004C6182">
        <w:t xml:space="preserve"> </w:t>
      </w:r>
      <w:r w:rsidRPr="000843B2">
        <w:t>]</w:t>
      </w:r>
      <w:r>
        <w:t xml:space="preserve"> </w:t>
      </w:r>
      <w:r w:rsidRPr="000843B2">
        <w:t>No</w:t>
      </w:r>
      <w:r w:rsidR="004C6182">
        <w:t xml:space="preserve"> (N/A)</w:t>
      </w:r>
    </w:p>
    <w:p w:rsidR="009402F8" w:rsidRPr="00DB288D" w:rsidRDefault="009402F8" w:rsidP="00C86E91">
      <w:pPr>
        <w:pStyle w:val="ColorfulList-Accent11"/>
        <w:ind w:left="0"/>
      </w:pPr>
    </w:p>
    <w:p w:rsidR="009402F8" w:rsidRPr="00C86E91" w:rsidRDefault="009402F8" w:rsidP="00C86E91">
      <w:pPr>
        <w:pStyle w:val="ColorfulList-Accent11"/>
        <w:ind w:left="0"/>
        <w:rPr>
          <w:b/>
        </w:rPr>
      </w:pPr>
      <w:r>
        <w:rPr>
          <w:b/>
        </w:rPr>
        <w:t>Gifts or Payments:</w:t>
      </w:r>
    </w:p>
    <w:p w:rsidR="009402F8" w:rsidRDefault="009402F8" w:rsidP="00C86E91">
      <w:r>
        <w:t xml:space="preserve">Is an incentive (e.g., money or reimbursement of expenses, token of appreciation) provided to participants?  [ ] Yes [√ ] No  </w:t>
      </w:r>
    </w:p>
    <w:p w:rsidR="004C6182" w:rsidRDefault="004C6182" w:rsidP="00C86E91"/>
    <w:p w:rsidR="009402F8" w:rsidRDefault="009402F8" w:rsidP="00C86E91">
      <w:r>
        <w:rPr>
          <w:b/>
        </w:rPr>
        <w:t>BURDEN HOURS</w:t>
      </w:r>
      <w:r>
        <w:t xml:space="preserve"> </w:t>
      </w:r>
    </w:p>
    <w:p w:rsidR="009402F8" w:rsidRPr="00DB288D" w:rsidRDefault="009402F8" w:rsidP="00887BFA">
      <w:pPr>
        <w:keepNext/>
        <w:keepLines/>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1530"/>
        <w:gridCol w:w="1800"/>
        <w:gridCol w:w="1260"/>
      </w:tblGrid>
      <w:tr w:rsidR="009402F8" w:rsidTr="000404D6">
        <w:trPr>
          <w:trHeight w:val="274"/>
        </w:trPr>
        <w:tc>
          <w:tcPr>
            <w:tcW w:w="5670" w:type="dxa"/>
          </w:tcPr>
          <w:p w:rsidR="009402F8" w:rsidRPr="0001027E" w:rsidRDefault="009402F8" w:rsidP="000404D6">
            <w:pPr>
              <w:rPr>
                <w:b/>
              </w:rPr>
            </w:pPr>
            <w:r w:rsidRPr="0001027E">
              <w:rPr>
                <w:b/>
              </w:rPr>
              <w:t xml:space="preserve">Category of Respondent </w:t>
            </w:r>
          </w:p>
        </w:tc>
        <w:tc>
          <w:tcPr>
            <w:tcW w:w="1530" w:type="dxa"/>
          </w:tcPr>
          <w:p w:rsidR="009402F8" w:rsidRPr="0001027E" w:rsidRDefault="009402F8" w:rsidP="000404D6">
            <w:pPr>
              <w:rPr>
                <w:b/>
              </w:rPr>
            </w:pPr>
            <w:r w:rsidRPr="0001027E">
              <w:rPr>
                <w:b/>
              </w:rPr>
              <w:t>No. of Respondents</w:t>
            </w:r>
          </w:p>
        </w:tc>
        <w:tc>
          <w:tcPr>
            <w:tcW w:w="1800" w:type="dxa"/>
          </w:tcPr>
          <w:p w:rsidR="009402F8" w:rsidRPr="0001027E" w:rsidRDefault="009402F8" w:rsidP="000404D6">
            <w:pPr>
              <w:rPr>
                <w:b/>
              </w:rPr>
            </w:pPr>
            <w:r w:rsidRPr="0001027E">
              <w:rPr>
                <w:b/>
              </w:rPr>
              <w:t>Participation Time</w:t>
            </w:r>
          </w:p>
        </w:tc>
        <w:tc>
          <w:tcPr>
            <w:tcW w:w="1260" w:type="dxa"/>
          </w:tcPr>
          <w:p w:rsidR="009402F8" w:rsidRPr="0001027E" w:rsidRDefault="009402F8" w:rsidP="000404D6">
            <w:pPr>
              <w:rPr>
                <w:b/>
              </w:rPr>
            </w:pPr>
            <w:r w:rsidRPr="0001027E">
              <w:rPr>
                <w:b/>
              </w:rPr>
              <w:t>Burden</w:t>
            </w:r>
          </w:p>
        </w:tc>
      </w:tr>
      <w:tr w:rsidR="009402F8" w:rsidTr="000404D6">
        <w:trPr>
          <w:trHeight w:val="274"/>
        </w:trPr>
        <w:tc>
          <w:tcPr>
            <w:tcW w:w="5670" w:type="dxa"/>
          </w:tcPr>
          <w:p w:rsidR="009402F8" w:rsidRDefault="009402F8" w:rsidP="000404D6">
            <w:r>
              <w:t>Community members for first series of focus groups --- recruited and fully-participating respondents; for four focus groups, in two cities maximum of 9 respondents to be seated for discussions; 8 total groups to be conducted.</w:t>
            </w:r>
          </w:p>
        </w:tc>
        <w:tc>
          <w:tcPr>
            <w:tcW w:w="1530" w:type="dxa"/>
          </w:tcPr>
          <w:p w:rsidR="009402F8" w:rsidRDefault="009402F8" w:rsidP="000404D6">
            <w:r>
              <w:t>72</w:t>
            </w:r>
          </w:p>
        </w:tc>
        <w:tc>
          <w:tcPr>
            <w:tcW w:w="1800" w:type="dxa"/>
          </w:tcPr>
          <w:p w:rsidR="009402F8" w:rsidRDefault="009402F8" w:rsidP="000404D6">
            <w:r>
              <w:t>90 minutes (10 minutes for recruiting time; + 80 minutes for focus group)</w:t>
            </w:r>
          </w:p>
        </w:tc>
        <w:tc>
          <w:tcPr>
            <w:tcW w:w="1260" w:type="dxa"/>
          </w:tcPr>
          <w:p w:rsidR="009402F8" w:rsidRDefault="009402F8" w:rsidP="000404D6">
            <w:r>
              <w:t>108 hrs.</w:t>
            </w:r>
          </w:p>
        </w:tc>
      </w:tr>
      <w:tr w:rsidR="009402F8" w:rsidTr="000404D6">
        <w:trPr>
          <w:trHeight w:val="274"/>
        </w:trPr>
        <w:tc>
          <w:tcPr>
            <w:tcW w:w="5670" w:type="dxa"/>
          </w:tcPr>
          <w:p w:rsidR="009402F8" w:rsidRDefault="009402F8" w:rsidP="000404D6">
            <w:r>
              <w:t xml:space="preserve">Community members for first series of focus groups --- recruited individuals either (1) released prior to commencement of focus groups, or (2) failing to show up at appointed time; </w:t>
            </w:r>
            <w:r w:rsidR="007D507E">
              <w:t>(</w:t>
            </w:r>
            <w:r>
              <w:t>for each group, 12 individuals will be recruited, in anticipation of 9 showing)</w:t>
            </w:r>
          </w:p>
        </w:tc>
        <w:tc>
          <w:tcPr>
            <w:tcW w:w="1530" w:type="dxa"/>
          </w:tcPr>
          <w:p w:rsidR="009402F8" w:rsidRDefault="009402F8" w:rsidP="000404D6">
            <w:r>
              <w:t>24</w:t>
            </w:r>
          </w:p>
        </w:tc>
        <w:tc>
          <w:tcPr>
            <w:tcW w:w="1800" w:type="dxa"/>
          </w:tcPr>
          <w:p w:rsidR="009402F8" w:rsidRDefault="009402F8" w:rsidP="000404D6">
            <w:r>
              <w:t>10 minutes (for recruiting time)</w:t>
            </w:r>
          </w:p>
        </w:tc>
        <w:tc>
          <w:tcPr>
            <w:tcW w:w="1260" w:type="dxa"/>
          </w:tcPr>
          <w:p w:rsidR="009402F8" w:rsidRDefault="009402F8" w:rsidP="000404D6">
            <w:r>
              <w:t>4 hrs.</w:t>
            </w:r>
          </w:p>
        </w:tc>
      </w:tr>
      <w:tr w:rsidR="009402F8" w:rsidTr="000404D6">
        <w:trPr>
          <w:trHeight w:val="274"/>
        </w:trPr>
        <w:tc>
          <w:tcPr>
            <w:tcW w:w="5670" w:type="dxa"/>
          </w:tcPr>
          <w:p w:rsidR="009402F8" w:rsidRDefault="009402F8" w:rsidP="00082C1C">
            <w:r>
              <w:t xml:space="preserve">Community </w:t>
            </w:r>
            <w:r w:rsidR="00082C1C">
              <w:t xml:space="preserve">service delivery organization representatives </w:t>
            </w:r>
            <w:r>
              <w:t xml:space="preserve">for first series of focus groups --- recruited and fully-participating respondents; for each </w:t>
            </w:r>
            <w:r>
              <w:lastRenderedPageBreak/>
              <w:t>group, in two cities maximum of 9 respondents to be seated for discussions; 4 total groups to be conducted.</w:t>
            </w:r>
          </w:p>
        </w:tc>
        <w:tc>
          <w:tcPr>
            <w:tcW w:w="1530" w:type="dxa"/>
          </w:tcPr>
          <w:p w:rsidR="009402F8" w:rsidRDefault="009402F8" w:rsidP="000404D6">
            <w:r>
              <w:lastRenderedPageBreak/>
              <w:t>36</w:t>
            </w:r>
          </w:p>
        </w:tc>
        <w:tc>
          <w:tcPr>
            <w:tcW w:w="1800" w:type="dxa"/>
          </w:tcPr>
          <w:p w:rsidR="009402F8" w:rsidRDefault="009402F8" w:rsidP="000404D6">
            <w:r>
              <w:t xml:space="preserve">90 minutes (10 minutes for recruiting time; </w:t>
            </w:r>
            <w:r>
              <w:lastRenderedPageBreak/>
              <w:t>+ 80 minutes for focus group)</w:t>
            </w:r>
          </w:p>
        </w:tc>
        <w:tc>
          <w:tcPr>
            <w:tcW w:w="1260" w:type="dxa"/>
          </w:tcPr>
          <w:p w:rsidR="009402F8" w:rsidRDefault="009402F8" w:rsidP="000404D6">
            <w:r>
              <w:lastRenderedPageBreak/>
              <w:t>54 hrs.</w:t>
            </w:r>
          </w:p>
        </w:tc>
      </w:tr>
      <w:tr w:rsidR="009402F8" w:rsidTr="000404D6">
        <w:trPr>
          <w:trHeight w:val="274"/>
        </w:trPr>
        <w:tc>
          <w:tcPr>
            <w:tcW w:w="5670" w:type="dxa"/>
          </w:tcPr>
          <w:p w:rsidR="009402F8" w:rsidRDefault="009402F8" w:rsidP="00082C1C">
            <w:r>
              <w:lastRenderedPageBreak/>
              <w:t xml:space="preserve">Community </w:t>
            </w:r>
            <w:r w:rsidR="00082C1C">
              <w:t>service delivery organization representatives</w:t>
            </w:r>
            <w:r>
              <w:t xml:space="preserve"> for first series of focus groups --- recruited individuals either (1) released prior to commencement of focus groups, or (2) failing to show up at appointed time; </w:t>
            </w:r>
            <w:r w:rsidR="00F16943">
              <w:t>(</w:t>
            </w:r>
            <w:r>
              <w:t>for each group, 12 individuals will be recruited, in anticipation of 9 showing)</w:t>
            </w:r>
          </w:p>
        </w:tc>
        <w:tc>
          <w:tcPr>
            <w:tcW w:w="1530" w:type="dxa"/>
          </w:tcPr>
          <w:p w:rsidR="009402F8" w:rsidRDefault="009402F8" w:rsidP="000404D6">
            <w:r>
              <w:t>12</w:t>
            </w:r>
          </w:p>
        </w:tc>
        <w:tc>
          <w:tcPr>
            <w:tcW w:w="1800" w:type="dxa"/>
          </w:tcPr>
          <w:p w:rsidR="009402F8" w:rsidRDefault="009402F8" w:rsidP="000404D6">
            <w:r>
              <w:t>10 minutes (for recruiting time)</w:t>
            </w:r>
          </w:p>
        </w:tc>
        <w:tc>
          <w:tcPr>
            <w:tcW w:w="1260" w:type="dxa"/>
          </w:tcPr>
          <w:p w:rsidR="009402F8" w:rsidRDefault="009402F8" w:rsidP="000404D6">
            <w:r>
              <w:t>2 hrs.</w:t>
            </w:r>
          </w:p>
        </w:tc>
      </w:tr>
      <w:tr w:rsidR="009402F8" w:rsidTr="000404D6">
        <w:trPr>
          <w:trHeight w:val="274"/>
        </w:trPr>
        <w:tc>
          <w:tcPr>
            <w:tcW w:w="5670" w:type="dxa"/>
          </w:tcPr>
          <w:p w:rsidR="009402F8" w:rsidRDefault="009402F8" w:rsidP="000404D6">
            <w:r>
              <w:t>Individuals from Law Enforcement for first series of focus groups --- recruited and fully-participating respondents; for each group, in two cities maximum of 6 respondents to be seated for discussions; 2 total groups to be conducted.</w:t>
            </w:r>
          </w:p>
        </w:tc>
        <w:tc>
          <w:tcPr>
            <w:tcW w:w="1530" w:type="dxa"/>
          </w:tcPr>
          <w:p w:rsidR="009402F8" w:rsidRDefault="009402F8" w:rsidP="000404D6">
            <w:r>
              <w:t>12</w:t>
            </w:r>
          </w:p>
        </w:tc>
        <w:tc>
          <w:tcPr>
            <w:tcW w:w="1800" w:type="dxa"/>
          </w:tcPr>
          <w:p w:rsidR="009402F8" w:rsidRDefault="009402F8" w:rsidP="000404D6">
            <w:r>
              <w:t>90 minutes (10 minutes for recruiting time; + 80 minutes for focus group)</w:t>
            </w:r>
          </w:p>
        </w:tc>
        <w:tc>
          <w:tcPr>
            <w:tcW w:w="1260" w:type="dxa"/>
          </w:tcPr>
          <w:p w:rsidR="009402F8" w:rsidRDefault="009402F8" w:rsidP="000404D6">
            <w:r>
              <w:t>18 hrs.</w:t>
            </w:r>
          </w:p>
        </w:tc>
      </w:tr>
      <w:tr w:rsidR="009402F8" w:rsidTr="000404D6">
        <w:trPr>
          <w:trHeight w:val="274"/>
        </w:trPr>
        <w:tc>
          <w:tcPr>
            <w:tcW w:w="5670" w:type="dxa"/>
          </w:tcPr>
          <w:p w:rsidR="009402F8" w:rsidRDefault="009402F8" w:rsidP="000404D6">
            <w:r>
              <w:t xml:space="preserve">Individuals from Law Enforcement for first series of focus groups --- recruited individuals either (1) released prior to commencement of focus groups, or (2) failing to show up at appointed time; </w:t>
            </w:r>
            <w:r w:rsidR="00F16943">
              <w:t>(</w:t>
            </w:r>
            <w:r>
              <w:t>for each group, 12 individuals will be recruited, in anticipation of 6 showing)</w:t>
            </w:r>
          </w:p>
        </w:tc>
        <w:tc>
          <w:tcPr>
            <w:tcW w:w="1530" w:type="dxa"/>
          </w:tcPr>
          <w:p w:rsidR="009402F8" w:rsidRDefault="009402F8" w:rsidP="000404D6">
            <w:r>
              <w:t>12</w:t>
            </w:r>
          </w:p>
        </w:tc>
        <w:tc>
          <w:tcPr>
            <w:tcW w:w="1800" w:type="dxa"/>
          </w:tcPr>
          <w:p w:rsidR="009402F8" w:rsidRDefault="009402F8" w:rsidP="000404D6">
            <w:r>
              <w:t>10 minutes (for recruiting time)</w:t>
            </w:r>
          </w:p>
        </w:tc>
        <w:tc>
          <w:tcPr>
            <w:tcW w:w="1260" w:type="dxa"/>
          </w:tcPr>
          <w:p w:rsidR="009402F8" w:rsidRDefault="009402F8" w:rsidP="000404D6">
            <w:r>
              <w:t>2 hrs.</w:t>
            </w:r>
          </w:p>
        </w:tc>
      </w:tr>
      <w:tr w:rsidR="009402F8" w:rsidTr="000404D6">
        <w:trPr>
          <w:trHeight w:val="274"/>
        </w:trPr>
        <w:tc>
          <w:tcPr>
            <w:tcW w:w="5670" w:type="dxa"/>
          </w:tcPr>
          <w:p w:rsidR="009402F8" w:rsidRDefault="009402F8" w:rsidP="000404D6">
            <w:r>
              <w:t>Community members for second series of focus groups --- recruited and fully-participating respondents; for four focus groups, in two cities maximum of 9 respondents to be seated for discussions; 4 total groups to be conducted.</w:t>
            </w:r>
          </w:p>
        </w:tc>
        <w:tc>
          <w:tcPr>
            <w:tcW w:w="1530" w:type="dxa"/>
          </w:tcPr>
          <w:p w:rsidR="009402F8" w:rsidRDefault="009402F8" w:rsidP="000404D6">
            <w:r>
              <w:t>36</w:t>
            </w:r>
          </w:p>
        </w:tc>
        <w:tc>
          <w:tcPr>
            <w:tcW w:w="1800" w:type="dxa"/>
          </w:tcPr>
          <w:p w:rsidR="009402F8" w:rsidRDefault="009402F8" w:rsidP="000404D6">
            <w:r>
              <w:t>90 minutes (10 minutes for recruiting time; + 80 minutes for focus group)</w:t>
            </w:r>
          </w:p>
        </w:tc>
        <w:tc>
          <w:tcPr>
            <w:tcW w:w="1260" w:type="dxa"/>
          </w:tcPr>
          <w:p w:rsidR="009402F8" w:rsidRDefault="009402F8" w:rsidP="000404D6">
            <w:r>
              <w:t>54 hrs.</w:t>
            </w:r>
          </w:p>
        </w:tc>
      </w:tr>
      <w:tr w:rsidR="009402F8" w:rsidTr="000404D6">
        <w:trPr>
          <w:trHeight w:val="274"/>
        </w:trPr>
        <w:tc>
          <w:tcPr>
            <w:tcW w:w="5670" w:type="dxa"/>
          </w:tcPr>
          <w:p w:rsidR="009402F8" w:rsidRDefault="009402F8" w:rsidP="000404D6">
            <w:r>
              <w:t xml:space="preserve">Community members for second series of focus groups --- recruited individuals either (1) released prior to commencement of focus groups, or (2) failing to show up at appointed time; </w:t>
            </w:r>
            <w:r w:rsidR="007D507E">
              <w:t>(</w:t>
            </w:r>
            <w:r>
              <w:t>for each group, 12 individuals will be recruited, in anticipation of 9 showing)</w:t>
            </w:r>
          </w:p>
        </w:tc>
        <w:tc>
          <w:tcPr>
            <w:tcW w:w="1530" w:type="dxa"/>
          </w:tcPr>
          <w:p w:rsidR="009402F8" w:rsidRDefault="009402F8" w:rsidP="000404D6">
            <w:r>
              <w:t>12</w:t>
            </w:r>
          </w:p>
        </w:tc>
        <w:tc>
          <w:tcPr>
            <w:tcW w:w="1800" w:type="dxa"/>
          </w:tcPr>
          <w:p w:rsidR="009402F8" w:rsidRDefault="009402F8" w:rsidP="000404D6">
            <w:r>
              <w:t>10 minutes (for recruiting time)</w:t>
            </w:r>
          </w:p>
        </w:tc>
        <w:tc>
          <w:tcPr>
            <w:tcW w:w="1260" w:type="dxa"/>
          </w:tcPr>
          <w:p w:rsidR="009402F8" w:rsidRDefault="009402F8" w:rsidP="000404D6">
            <w:r>
              <w:t>2 hrs.</w:t>
            </w:r>
          </w:p>
        </w:tc>
      </w:tr>
      <w:tr w:rsidR="009402F8" w:rsidTr="000404D6">
        <w:trPr>
          <w:trHeight w:val="289"/>
        </w:trPr>
        <w:tc>
          <w:tcPr>
            <w:tcW w:w="5670" w:type="dxa"/>
          </w:tcPr>
          <w:p w:rsidR="009402F8" w:rsidRPr="0001027E" w:rsidRDefault="009402F8" w:rsidP="000404D6">
            <w:pPr>
              <w:rPr>
                <w:b/>
              </w:rPr>
            </w:pPr>
            <w:r w:rsidRPr="0001027E">
              <w:rPr>
                <w:b/>
              </w:rPr>
              <w:t>Totals</w:t>
            </w:r>
          </w:p>
        </w:tc>
        <w:tc>
          <w:tcPr>
            <w:tcW w:w="1530" w:type="dxa"/>
          </w:tcPr>
          <w:p w:rsidR="009402F8" w:rsidRPr="0001027E" w:rsidRDefault="00A3268C" w:rsidP="000404D6">
            <w:pPr>
              <w:rPr>
                <w:b/>
              </w:rPr>
            </w:pPr>
            <w:r>
              <w:rPr>
                <w:b/>
              </w:rPr>
              <w:t>216</w:t>
            </w:r>
          </w:p>
        </w:tc>
        <w:tc>
          <w:tcPr>
            <w:tcW w:w="1800" w:type="dxa"/>
          </w:tcPr>
          <w:p w:rsidR="009402F8" w:rsidRDefault="009402F8" w:rsidP="000404D6"/>
        </w:tc>
        <w:tc>
          <w:tcPr>
            <w:tcW w:w="1260" w:type="dxa"/>
          </w:tcPr>
          <w:p w:rsidR="009402F8" w:rsidRPr="0001027E" w:rsidRDefault="00A3268C" w:rsidP="000404D6">
            <w:pPr>
              <w:rPr>
                <w:b/>
              </w:rPr>
            </w:pPr>
            <w:r>
              <w:rPr>
                <w:b/>
              </w:rPr>
              <w:t xml:space="preserve">244 </w:t>
            </w:r>
            <w:r w:rsidR="009402F8">
              <w:rPr>
                <w:b/>
              </w:rPr>
              <w:t>hrs.</w:t>
            </w:r>
          </w:p>
        </w:tc>
      </w:tr>
    </w:tbl>
    <w:p w:rsidR="009402F8" w:rsidRDefault="009402F8" w:rsidP="00F3170F"/>
    <w:p w:rsidR="009402F8" w:rsidRDefault="009402F8">
      <w:pPr>
        <w:rPr>
          <w:b/>
        </w:rPr>
      </w:pPr>
      <w:r>
        <w:rPr>
          <w:b/>
        </w:rPr>
        <w:t xml:space="preserve">FEDERAL COST:  </w:t>
      </w:r>
      <w:r>
        <w:t xml:space="preserve">The </w:t>
      </w:r>
      <w:r w:rsidRPr="00AE5ED5">
        <w:t>estimated annual cost to the Federal government is $</w:t>
      </w:r>
      <w:r>
        <w:t>52</w:t>
      </w:r>
      <w:r w:rsidRPr="00AE5ED5">
        <w:t>,000.</w:t>
      </w:r>
    </w:p>
    <w:p w:rsidR="009402F8" w:rsidRDefault="009402F8">
      <w:pPr>
        <w:rPr>
          <w:b/>
          <w:bCs/>
          <w:u w:val="single"/>
        </w:rPr>
      </w:pPr>
    </w:p>
    <w:p w:rsidR="009402F8" w:rsidRDefault="009402F8" w:rsidP="00F06866">
      <w:pPr>
        <w:rPr>
          <w:b/>
        </w:rPr>
      </w:pPr>
      <w:r>
        <w:rPr>
          <w:b/>
          <w:bCs/>
          <w:u w:val="single"/>
        </w:rPr>
        <w:t>If you are conducting a focus group, survey, or plan to employ statistical methods, please  provide answers to the following questions:</w:t>
      </w:r>
    </w:p>
    <w:p w:rsidR="009402F8" w:rsidRDefault="009402F8" w:rsidP="00F06866">
      <w:pPr>
        <w:rPr>
          <w:b/>
        </w:rPr>
      </w:pPr>
    </w:p>
    <w:p w:rsidR="009402F8" w:rsidRDefault="009402F8" w:rsidP="00F06866">
      <w:pPr>
        <w:rPr>
          <w:b/>
        </w:rPr>
      </w:pPr>
      <w:r>
        <w:rPr>
          <w:b/>
        </w:rPr>
        <w:t>The selection of your targeted respondents</w:t>
      </w:r>
    </w:p>
    <w:p w:rsidR="009402F8" w:rsidRDefault="009402F8" w:rsidP="0069403B">
      <w:pPr>
        <w:pStyle w:val="ColorfulList-Accent11"/>
        <w:numPr>
          <w:ilvl w:val="0"/>
          <w:numId w:val="15"/>
        </w:numPr>
      </w:pPr>
      <w:r>
        <w:t>Do you have a customer list or something similar that defines the universe of potential respondents and do you have a sampling plan for selecting from this universe?</w:t>
      </w:r>
      <w:r>
        <w:tab/>
        <w:t xml:space="preserve">  [</w:t>
      </w:r>
      <w:r w:rsidR="00E44594">
        <w:t>√</w:t>
      </w:r>
      <w:r>
        <w:t>] Yes  [] No</w:t>
      </w:r>
    </w:p>
    <w:p w:rsidR="009402F8" w:rsidRDefault="009402F8" w:rsidP="00636621">
      <w:pPr>
        <w:pStyle w:val="ColorfulList-Accent11"/>
      </w:pPr>
    </w:p>
    <w:p w:rsidR="009402F8" w:rsidRDefault="009402F8"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9402F8" w:rsidRDefault="009402F8" w:rsidP="00A403BB">
      <w:pPr>
        <w:pStyle w:val="ColorfulList-Accent11"/>
      </w:pPr>
    </w:p>
    <w:p w:rsidR="004E4119" w:rsidRDefault="00483E5D" w:rsidP="004C6182">
      <w:pPr>
        <w:pStyle w:val="ColorfulList-Accent11"/>
        <w:ind w:left="360"/>
      </w:pPr>
      <w:r>
        <w:t xml:space="preserve">The Grantee’s (the National Latino Children’s </w:t>
      </w:r>
      <w:r w:rsidR="00676CF5">
        <w:t>Institute</w:t>
      </w:r>
      <w:r>
        <w:t xml:space="preserve"> (NLCI)) partner organizations have client lists and we will be screening </w:t>
      </w:r>
      <w:r w:rsidR="00574548">
        <w:t xml:space="preserve">for community participants for the first series of focus groups </w:t>
      </w:r>
      <w:r>
        <w:t xml:space="preserve">using the client lists.  </w:t>
      </w:r>
      <w:r w:rsidR="004E4119">
        <w:t xml:space="preserve">NLCI will work with its partner organizations that have client lists to </w:t>
      </w:r>
      <w:r w:rsidR="009402F8">
        <w:t>take on the responsibility of recruiting the focus group participants</w:t>
      </w:r>
      <w:r w:rsidR="004E4119">
        <w:t xml:space="preserve">.  Focus group </w:t>
      </w:r>
      <w:r w:rsidR="00574548">
        <w:t xml:space="preserve">community </w:t>
      </w:r>
      <w:r w:rsidR="004E4119">
        <w:t xml:space="preserve">participants will be recruited by: </w:t>
      </w:r>
    </w:p>
    <w:p w:rsidR="00362B4E" w:rsidRDefault="00362B4E" w:rsidP="004C6182">
      <w:pPr>
        <w:pStyle w:val="ColorfulList-Accent11"/>
        <w:numPr>
          <w:ilvl w:val="0"/>
          <w:numId w:val="22"/>
        </w:numPr>
        <w:ind w:left="1080"/>
      </w:pPr>
      <w:r>
        <w:lastRenderedPageBreak/>
        <w:t xml:space="preserve">Utilizing partner organization’s client list. </w:t>
      </w:r>
    </w:p>
    <w:p w:rsidR="00362B4E" w:rsidRDefault="00362B4E" w:rsidP="004C6182">
      <w:pPr>
        <w:pStyle w:val="ColorfulList-Accent11"/>
        <w:numPr>
          <w:ilvl w:val="0"/>
          <w:numId w:val="22"/>
        </w:numPr>
        <w:ind w:left="1080"/>
      </w:pPr>
      <w:r>
        <w:t>Conducting screenings via telephone</w:t>
      </w:r>
      <w:r w:rsidR="00574548">
        <w:t>, to identify eligible participants</w:t>
      </w:r>
      <w:r>
        <w:t xml:space="preserve">. </w:t>
      </w:r>
    </w:p>
    <w:p w:rsidR="009402F8" w:rsidRDefault="009402F8" w:rsidP="004C6182"/>
    <w:p w:rsidR="0067270B" w:rsidRDefault="0067270B" w:rsidP="004C6182">
      <w:pPr>
        <w:ind w:left="360"/>
      </w:pPr>
      <w:r>
        <w:t xml:space="preserve">Community participants for the second series of focus groups to obtain feedback on the tool-kit will be recruited from individuals who participated in the training sessions conducted at each site.  Participants in these training sessions reflect the target group, i.e., either recently arrived or acculturated male or female Hispanics, between the ages of 18 and 40, who drive or ride in personal motor vehicles, but do not always use seat belts.  </w:t>
      </w:r>
    </w:p>
    <w:p w:rsidR="0067270B" w:rsidRDefault="0067270B" w:rsidP="004C6182">
      <w:pPr>
        <w:ind w:left="360"/>
      </w:pPr>
    </w:p>
    <w:p w:rsidR="0067270B" w:rsidRDefault="0067270B" w:rsidP="004C6182">
      <w:pPr>
        <w:ind w:left="360"/>
      </w:pPr>
      <w:r>
        <w:t xml:space="preserve">Representatives from the community service delivery organizations will be recruited through personal contacts with these organizations.  Both the partner organizations at the sites and representatives from NLCI will identify the contacts and approach them about participating in the focus/discussion groups.  </w:t>
      </w:r>
    </w:p>
    <w:p w:rsidR="0067270B" w:rsidRDefault="0067270B" w:rsidP="004C6182">
      <w:pPr>
        <w:ind w:left="360"/>
      </w:pPr>
    </w:p>
    <w:p w:rsidR="0067270B" w:rsidRDefault="0067270B" w:rsidP="004C6182">
      <w:pPr>
        <w:ind w:left="360"/>
      </w:pPr>
      <w:r>
        <w:t xml:space="preserve">Representatives from law enforcement will be recruited through personal contacts with law enforcement departments and organizations in the communities participating in this study.  </w:t>
      </w:r>
    </w:p>
    <w:p w:rsidR="0067270B" w:rsidRDefault="0067270B" w:rsidP="00A403BB"/>
    <w:p w:rsidR="009402F8" w:rsidRDefault="009402F8" w:rsidP="00A403BB">
      <w:pPr>
        <w:rPr>
          <w:b/>
        </w:rPr>
      </w:pPr>
      <w:r>
        <w:rPr>
          <w:b/>
        </w:rPr>
        <w:t>Administration of the Instrument</w:t>
      </w:r>
    </w:p>
    <w:p w:rsidR="009402F8" w:rsidRDefault="009402F8" w:rsidP="00175236">
      <w:pPr>
        <w:pStyle w:val="ColorfulList-Accent11"/>
        <w:numPr>
          <w:ilvl w:val="0"/>
          <w:numId w:val="17"/>
        </w:numPr>
        <w:ind w:left="1080"/>
      </w:pPr>
      <w:r>
        <w:t>How will you collect the information? (Check all that apply)</w:t>
      </w:r>
    </w:p>
    <w:p w:rsidR="009402F8" w:rsidRDefault="009402F8" w:rsidP="00175236">
      <w:pPr>
        <w:ind w:left="1440"/>
      </w:pPr>
      <w:r>
        <w:t xml:space="preserve">[  ] Web-based or other forms of Social Media </w:t>
      </w:r>
    </w:p>
    <w:p w:rsidR="009402F8" w:rsidRDefault="009402F8" w:rsidP="00175236">
      <w:pPr>
        <w:ind w:left="1440"/>
      </w:pPr>
      <w:r>
        <w:t>[√] Telephone</w:t>
      </w:r>
      <w:r>
        <w:tab/>
        <w:t xml:space="preserve">-- for recruiting </w:t>
      </w:r>
      <w:r w:rsidR="00233249">
        <w:t xml:space="preserve">community </w:t>
      </w:r>
      <w:r>
        <w:t>respondents</w:t>
      </w:r>
      <w:r w:rsidR="00233249">
        <w:t xml:space="preserve"> and representatives from community service delivery organizations </w:t>
      </w:r>
    </w:p>
    <w:p w:rsidR="009402F8" w:rsidRDefault="009402F8" w:rsidP="00175236">
      <w:pPr>
        <w:ind w:left="1440"/>
      </w:pPr>
      <w:r>
        <w:t xml:space="preserve">[√] In-person -- for </w:t>
      </w:r>
      <w:r w:rsidR="00233249">
        <w:t xml:space="preserve">recruiting representatives from law enforcement and for </w:t>
      </w:r>
      <w:r>
        <w:t>data collection in focus group settings</w:t>
      </w:r>
      <w:r>
        <w:tab/>
      </w:r>
    </w:p>
    <w:p w:rsidR="009402F8" w:rsidRDefault="009402F8" w:rsidP="00175236">
      <w:pPr>
        <w:ind w:left="1440"/>
      </w:pPr>
      <w:r>
        <w:t xml:space="preserve">[  ] Mail </w:t>
      </w:r>
    </w:p>
    <w:p w:rsidR="009402F8" w:rsidRDefault="009402F8" w:rsidP="00175236">
      <w:pPr>
        <w:ind w:left="1440"/>
      </w:pPr>
      <w:r>
        <w:t>[  ] Other, Explain</w:t>
      </w:r>
    </w:p>
    <w:p w:rsidR="009402F8" w:rsidRDefault="009402F8" w:rsidP="00DB288D">
      <w:pPr>
        <w:pStyle w:val="ColorfulList-Accent11"/>
        <w:numPr>
          <w:ilvl w:val="0"/>
          <w:numId w:val="17"/>
        </w:numPr>
        <w:ind w:left="1080"/>
      </w:pPr>
      <w:r>
        <w:t>Will interviewers or facilitators be used?  [√] Yes [  ] No</w:t>
      </w:r>
    </w:p>
    <w:p w:rsidR="009A3480" w:rsidRDefault="009A3480" w:rsidP="0024521E"/>
    <w:p w:rsidR="009402F8" w:rsidRDefault="009402F8" w:rsidP="0024521E">
      <w:pPr>
        <w:rPr>
          <w:b/>
        </w:rPr>
      </w:pPr>
      <w:r w:rsidRPr="00F24CFC">
        <w:rPr>
          <w:b/>
        </w:rPr>
        <w:t>Please make sure that all instruments, instructions, and scripts are submitted with the request.</w:t>
      </w:r>
    </w:p>
    <w:p w:rsidR="009402F8" w:rsidRDefault="009402F8" w:rsidP="0024521E">
      <w:pPr>
        <w:rPr>
          <w:b/>
        </w:rPr>
      </w:pPr>
    </w:p>
    <w:p w:rsidR="009402F8" w:rsidRDefault="009402F8" w:rsidP="00DB288D">
      <w:pPr>
        <w:ind w:left="720"/>
      </w:pPr>
      <w:r w:rsidRPr="00CA77A4">
        <w:t xml:space="preserve">Included with this Request </w:t>
      </w:r>
      <w:r w:rsidR="00270790">
        <w:t>are</w:t>
      </w:r>
      <w:r w:rsidRPr="00CA77A4">
        <w:t xml:space="preserve"> script</w:t>
      </w:r>
      <w:r w:rsidR="00270790">
        <w:t>s</w:t>
      </w:r>
      <w:r w:rsidRPr="00CA77A4">
        <w:t xml:space="preserve"> </w:t>
      </w:r>
      <w:r w:rsidR="00270790">
        <w:t>for</w:t>
      </w:r>
      <w:r w:rsidRPr="00CA77A4">
        <w:t xml:space="preserve"> the moderator’s guide</w:t>
      </w:r>
      <w:r w:rsidR="009A3480">
        <w:t xml:space="preserve">, along with the screeners that will be used to identify participants for the focus groups. </w:t>
      </w:r>
      <w:r w:rsidR="00270790">
        <w:t xml:space="preserve"> As four different types of focus groups will be conducted, there are four screeners and four moderator’s guides.  </w:t>
      </w:r>
    </w:p>
    <w:sectPr w:rsidR="009402F8" w:rsidSect="00DB288D">
      <w:footerReference w:type="default" r:id="rId9"/>
      <w:pgSz w:w="12240" w:h="15840"/>
      <w:pgMar w:top="720" w:right="108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F6" w:rsidRDefault="00161EF6">
      <w:r>
        <w:separator/>
      </w:r>
    </w:p>
  </w:endnote>
  <w:endnote w:type="continuationSeparator" w:id="0">
    <w:p w:rsidR="00161EF6" w:rsidRDefault="0016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2F8" w:rsidRDefault="009402F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B26C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F6" w:rsidRDefault="00161EF6">
      <w:r>
        <w:separator/>
      </w:r>
    </w:p>
  </w:footnote>
  <w:footnote w:type="continuationSeparator" w:id="0">
    <w:p w:rsidR="00161EF6" w:rsidRDefault="00161EF6">
      <w:r>
        <w:continuationSeparator/>
      </w:r>
    </w:p>
  </w:footnote>
  <w:footnote w:id="1">
    <w:p w:rsidR="009402F8" w:rsidRDefault="009402F8">
      <w:pPr>
        <w:pStyle w:val="FootnoteText"/>
      </w:pPr>
      <w:r>
        <w:rPr>
          <w:rStyle w:val="FootnoteReference"/>
        </w:rPr>
        <w:footnoteRef/>
      </w:r>
      <w:r>
        <w:t xml:space="preserve"> Centers for Disease Control and Prevention, National Center for Injury Prevention and Control, 2005.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2A68F9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8A7A38"/>
    <w:multiLevelType w:val="hybridMultilevel"/>
    <w:tmpl w:val="3480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8130CF9"/>
    <w:multiLevelType w:val="hybridMultilevel"/>
    <w:tmpl w:val="9FA03C4E"/>
    <w:lvl w:ilvl="0" w:tplc="A3708DD8">
      <w:start w:val="1"/>
      <w:numFmt w:val="bullet"/>
      <w:lvlText w:val=""/>
      <w:lvlJc w:val="left"/>
      <w:pPr>
        <w:tabs>
          <w:tab w:val="num" w:pos="1530"/>
        </w:tabs>
        <w:ind w:left="2088" w:hanging="198"/>
      </w:pPr>
      <w:rPr>
        <w:rFonts w:ascii="Symbol" w:hAnsi="Symbol" w:hint="default"/>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D9F2E02"/>
    <w:multiLevelType w:val="hybridMultilevel"/>
    <w:tmpl w:val="8CB20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5"/>
  </w:num>
  <w:num w:numId="6">
    <w:abstractNumId w:val="2"/>
  </w:num>
  <w:num w:numId="7">
    <w:abstractNumId w:val="11"/>
  </w:num>
  <w:num w:numId="8">
    <w:abstractNumId w:val="17"/>
  </w:num>
  <w:num w:numId="9">
    <w:abstractNumId w:val="13"/>
  </w:num>
  <w:num w:numId="10">
    <w:abstractNumId w:val="3"/>
  </w:num>
  <w:num w:numId="11">
    <w:abstractNumId w:val="8"/>
  </w:num>
  <w:num w:numId="12">
    <w:abstractNumId w:val="9"/>
  </w:num>
  <w:num w:numId="13">
    <w:abstractNumId w:val="1"/>
  </w:num>
  <w:num w:numId="14">
    <w:abstractNumId w:val="18"/>
  </w:num>
  <w:num w:numId="15">
    <w:abstractNumId w:val="16"/>
  </w:num>
  <w:num w:numId="16">
    <w:abstractNumId w:val="15"/>
  </w:num>
  <w:num w:numId="17">
    <w:abstractNumId w:val="6"/>
  </w:num>
  <w:num w:numId="18">
    <w:abstractNumId w:val="7"/>
  </w:num>
  <w:num w:numId="19">
    <w:abstractNumId w:val="0"/>
  </w:num>
  <w:num w:numId="20">
    <w:abstractNumId w:val="4"/>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4BA4"/>
    <w:rsid w:val="0001027E"/>
    <w:rsid w:val="000147CD"/>
    <w:rsid w:val="00023A57"/>
    <w:rsid w:val="00027B0E"/>
    <w:rsid w:val="00030510"/>
    <w:rsid w:val="00031EFA"/>
    <w:rsid w:val="00035121"/>
    <w:rsid w:val="000404D6"/>
    <w:rsid w:val="000447C6"/>
    <w:rsid w:val="00047A64"/>
    <w:rsid w:val="00054A9C"/>
    <w:rsid w:val="00060EEE"/>
    <w:rsid w:val="00064CF9"/>
    <w:rsid w:val="00067329"/>
    <w:rsid w:val="00082C1C"/>
    <w:rsid w:val="000843B2"/>
    <w:rsid w:val="00094DCE"/>
    <w:rsid w:val="000B2838"/>
    <w:rsid w:val="000B6899"/>
    <w:rsid w:val="000C2FBF"/>
    <w:rsid w:val="000C357E"/>
    <w:rsid w:val="000D44CA"/>
    <w:rsid w:val="000E200B"/>
    <w:rsid w:val="000F1226"/>
    <w:rsid w:val="000F17FF"/>
    <w:rsid w:val="000F5384"/>
    <w:rsid w:val="000F68BE"/>
    <w:rsid w:val="001137EB"/>
    <w:rsid w:val="00120068"/>
    <w:rsid w:val="00122A35"/>
    <w:rsid w:val="00161EF6"/>
    <w:rsid w:val="001634FD"/>
    <w:rsid w:val="00175236"/>
    <w:rsid w:val="00183662"/>
    <w:rsid w:val="001911D3"/>
    <w:rsid w:val="001927A4"/>
    <w:rsid w:val="00194AC6"/>
    <w:rsid w:val="001A23B0"/>
    <w:rsid w:val="001A25CC"/>
    <w:rsid w:val="001B0AAA"/>
    <w:rsid w:val="001C39F7"/>
    <w:rsid w:val="001D2484"/>
    <w:rsid w:val="001D3F61"/>
    <w:rsid w:val="001E5A5D"/>
    <w:rsid w:val="00230A8A"/>
    <w:rsid w:val="00233249"/>
    <w:rsid w:val="00237B48"/>
    <w:rsid w:val="0024521E"/>
    <w:rsid w:val="0024575F"/>
    <w:rsid w:val="00263C3D"/>
    <w:rsid w:val="00266879"/>
    <w:rsid w:val="00270790"/>
    <w:rsid w:val="002735D0"/>
    <w:rsid w:val="00274D0B"/>
    <w:rsid w:val="002906E3"/>
    <w:rsid w:val="002B052D"/>
    <w:rsid w:val="002B34CD"/>
    <w:rsid w:val="002B3C95"/>
    <w:rsid w:val="002D0B92"/>
    <w:rsid w:val="002E26C1"/>
    <w:rsid w:val="002F1A1B"/>
    <w:rsid w:val="003008C9"/>
    <w:rsid w:val="00362B4E"/>
    <w:rsid w:val="00387438"/>
    <w:rsid w:val="003879C9"/>
    <w:rsid w:val="003A5A03"/>
    <w:rsid w:val="003B01C7"/>
    <w:rsid w:val="003B0D0A"/>
    <w:rsid w:val="003D5BBE"/>
    <w:rsid w:val="003D795B"/>
    <w:rsid w:val="003E0626"/>
    <w:rsid w:val="003E3C61"/>
    <w:rsid w:val="003E60AB"/>
    <w:rsid w:val="003F1C5B"/>
    <w:rsid w:val="00410294"/>
    <w:rsid w:val="0042731F"/>
    <w:rsid w:val="00427AF2"/>
    <w:rsid w:val="00434E33"/>
    <w:rsid w:val="00441434"/>
    <w:rsid w:val="00441483"/>
    <w:rsid w:val="0045264C"/>
    <w:rsid w:val="0048118E"/>
    <w:rsid w:val="00483E5D"/>
    <w:rsid w:val="004876EC"/>
    <w:rsid w:val="004A34C1"/>
    <w:rsid w:val="004C6182"/>
    <w:rsid w:val="004D1E12"/>
    <w:rsid w:val="004D3D0C"/>
    <w:rsid w:val="004D6E14"/>
    <w:rsid w:val="004E4119"/>
    <w:rsid w:val="005009B0"/>
    <w:rsid w:val="005128F4"/>
    <w:rsid w:val="00530885"/>
    <w:rsid w:val="00533500"/>
    <w:rsid w:val="00545D5A"/>
    <w:rsid w:val="00552ACA"/>
    <w:rsid w:val="005549AB"/>
    <w:rsid w:val="00556247"/>
    <w:rsid w:val="00574548"/>
    <w:rsid w:val="0057754B"/>
    <w:rsid w:val="0058335A"/>
    <w:rsid w:val="005834E1"/>
    <w:rsid w:val="00587C10"/>
    <w:rsid w:val="005A1006"/>
    <w:rsid w:val="005A1404"/>
    <w:rsid w:val="005C5DE2"/>
    <w:rsid w:val="005D5DF7"/>
    <w:rsid w:val="005E7133"/>
    <w:rsid w:val="005E714A"/>
    <w:rsid w:val="005F00F7"/>
    <w:rsid w:val="005F058A"/>
    <w:rsid w:val="005F390C"/>
    <w:rsid w:val="005F693D"/>
    <w:rsid w:val="006140A0"/>
    <w:rsid w:val="006251E8"/>
    <w:rsid w:val="00636621"/>
    <w:rsid w:val="006411EA"/>
    <w:rsid w:val="00642B49"/>
    <w:rsid w:val="00643119"/>
    <w:rsid w:val="00646691"/>
    <w:rsid w:val="006540D9"/>
    <w:rsid w:val="006567BB"/>
    <w:rsid w:val="00671B40"/>
    <w:rsid w:val="00672235"/>
    <w:rsid w:val="0067270B"/>
    <w:rsid w:val="00676CF5"/>
    <w:rsid w:val="006832D9"/>
    <w:rsid w:val="0069403B"/>
    <w:rsid w:val="00697118"/>
    <w:rsid w:val="006B0BBF"/>
    <w:rsid w:val="006B7390"/>
    <w:rsid w:val="006C6098"/>
    <w:rsid w:val="006E7799"/>
    <w:rsid w:val="006F184D"/>
    <w:rsid w:val="006F3083"/>
    <w:rsid w:val="006F3DDE"/>
    <w:rsid w:val="00704678"/>
    <w:rsid w:val="0071320E"/>
    <w:rsid w:val="0072200D"/>
    <w:rsid w:val="007328A5"/>
    <w:rsid w:val="007343EC"/>
    <w:rsid w:val="007425E7"/>
    <w:rsid w:val="0074380C"/>
    <w:rsid w:val="0078015A"/>
    <w:rsid w:val="00790E31"/>
    <w:rsid w:val="007A0CCE"/>
    <w:rsid w:val="007A1F1B"/>
    <w:rsid w:val="007C3C2F"/>
    <w:rsid w:val="007D284F"/>
    <w:rsid w:val="007D507E"/>
    <w:rsid w:val="007E0FB9"/>
    <w:rsid w:val="007F18B4"/>
    <w:rsid w:val="007F7080"/>
    <w:rsid w:val="00801480"/>
    <w:rsid w:val="00802607"/>
    <w:rsid w:val="00804C18"/>
    <w:rsid w:val="008101A5"/>
    <w:rsid w:val="00820B2C"/>
    <w:rsid w:val="00822664"/>
    <w:rsid w:val="00827D0B"/>
    <w:rsid w:val="00843796"/>
    <w:rsid w:val="00852491"/>
    <w:rsid w:val="00887BFA"/>
    <w:rsid w:val="00895229"/>
    <w:rsid w:val="008B2EB3"/>
    <w:rsid w:val="008C6C30"/>
    <w:rsid w:val="008D719D"/>
    <w:rsid w:val="008E31BC"/>
    <w:rsid w:val="008F0203"/>
    <w:rsid w:val="008F50D4"/>
    <w:rsid w:val="009239AA"/>
    <w:rsid w:val="00935ADA"/>
    <w:rsid w:val="009402F8"/>
    <w:rsid w:val="00946B6C"/>
    <w:rsid w:val="00955A71"/>
    <w:rsid w:val="009566B4"/>
    <w:rsid w:val="00956E30"/>
    <w:rsid w:val="0096108F"/>
    <w:rsid w:val="0096766A"/>
    <w:rsid w:val="00974BB4"/>
    <w:rsid w:val="009A3480"/>
    <w:rsid w:val="009A3A0C"/>
    <w:rsid w:val="009B7F2E"/>
    <w:rsid w:val="009C13B9"/>
    <w:rsid w:val="009C4907"/>
    <w:rsid w:val="009D01A2"/>
    <w:rsid w:val="009D341B"/>
    <w:rsid w:val="009F5923"/>
    <w:rsid w:val="00A23238"/>
    <w:rsid w:val="00A3268C"/>
    <w:rsid w:val="00A403BB"/>
    <w:rsid w:val="00A51065"/>
    <w:rsid w:val="00A674DF"/>
    <w:rsid w:val="00A67C11"/>
    <w:rsid w:val="00A82982"/>
    <w:rsid w:val="00A83A74"/>
    <w:rsid w:val="00A83AA6"/>
    <w:rsid w:val="00A934D6"/>
    <w:rsid w:val="00AA3F68"/>
    <w:rsid w:val="00AA554E"/>
    <w:rsid w:val="00AB1895"/>
    <w:rsid w:val="00AB736B"/>
    <w:rsid w:val="00AE1809"/>
    <w:rsid w:val="00AE5ED5"/>
    <w:rsid w:val="00B21849"/>
    <w:rsid w:val="00B264A2"/>
    <w:rsid w:val="00B35B85"/>
    <w:rsid w:val="00B36FB3"/>
    <w:rsid w:val="00B473C2"/>
    <w:rsid w:val="00B61B6A"/>
    <w:rsid w:val="00B63DA7"/>
    <w:rsid w:val="00B64918"/>
    <w:rsid w:val="00B7448C"/>
    <w:rsid w:val="00B80D76"/>
    <w:rsid w:val="00B81509"/>
    <w:rsid w:val="00B84A83"/>
    <w:rsid w:val="00B960AA"/>
    <w:rsid w:val="00BA2105"/>
    <w:rsid w:val="00BA7E06"/>
    <w:rsid w:val="00BB05F6"/>
    <w:rsid w:val="00BB43B5"/>
    <w:rsid w:val="00BB6219"/>
    <w:rsid w:val="00BD290F"/>
    <w:rsid w:val="00BE1267"/>
    <w:rsid w:val="00BF0E8B"/>
    <w:rsid w:val="00C050B7"/>
    <w:rsid w:val="00C14CC4"/>
    <w:rsid w:val="00C31448"/>
    <w:rsid w:val="00C33C52"/>
    <w:rsid w:val="00C40D8B"/>
    <w:rsid w:val="00C40F33"/>
    <w:rsid w:val="00C4115B"/>
    <w:rsid w:val="00C53B2B"/>
    <w:rsid w:val="00C6315A"/>
    <w:rsid w:val="00C660B5"/>
    <w:rsid w:val="00C72D9B"/>
    <w:rsid w:val="00C8407A"/>
    <w:rsid w:val="00C8488C"/>
    <w:rsid w:val="00C86E91"/>
    <w:rsid w:val="00C9147B"/>
    <w:rsid w:val="00C96696"/>
    <w:rsid w:val="00CA2650"/>
    <w:rsid w:val="00CA77A4"/>
    <w:rsid w:val="00CB1078"/>
    <w:rsid w:val="00CB26CF"/>
    <w:rsid w:val="00CC6FAF"/>
    <w:rsid w:val="00CE3A6C"/>
    <w:rsid w:val="00CE6A28"/>
    <w:rsid w:val="00CF6542"/>
    <w:rsid w:val="00CF66F3"/>
    <w:rsid w:val="00D05BD0"/>
    <w:rsid w:val="00D24698"/>
    <w:rsid w:val="00D24A09"/>
    <w:rsid w:val="00D3357D"/>
    <w:rsid w:val="00D4168D"/>
    <w:rsid w:val="00D453CD"/>
    <w:rsid w:val="00D6383F"/>
    <w:rsid w:val="00D6711D"/>
    <w:rsid w:val="00D835C5"/>
    <w:rsid w:val="00DA2C01"/>
    <w:rsid w:val="00DB288D"/>
    <w:rsid w:val="00DB59D0"/>
    <w:rsid w:val="00DB5D5A"/>
    <w:rsid w:val="00DC33D3"/>
    <w:rsid w:val="00DD6C07"/>
    <w:rsid w:val="00DF2B48"/>
    <w:rsid w:val="00E07D8E"/>
    <w:rsid w:val="00E26329"/>
    <w:rsid w:val="00E35155"/>
    <w:rsid w:val="00E40B50"/>
    <w:rsid w:val="00E44594"/>
    <w:rsid w:val="00E44D34"/>
    <w:rsid w:val="00E50293"/>
    <w:rsid w:val="00E600CC"/>
    <w:rsid w:val="00E65FFC"/>
    <w:rsid w:val="00E744EA"/>
    <w:rsid w:val="00E80951"/>
    <w:rsid w:val="00E854FE"/>
    <w:rsid w:val="00E86CC6"/>
    <w:rsid w:val="00EB2D27"/>
    <w:rsid w:val="00EB56B3"/>
    <w:rsid w:val="00EB6C16"/>
    <w:rsid w:val="00EC0F25"/>
    <w:rsid w:val="00EC6898"/>
    <w:rsid w:val="00ED27E4"/>
    <w:rsid w:val="00ED6492"/>
    <w:rsid w:val="00EF2095"/>
    <w:rsid w:val="00F0248F"/>
    <w:rsid w:val="00F06866"/>
    <w:rsid w:val="00F13C79"/>
    <w:rsid w:val="00F15956"/>
    <w:rsid w:val="00F16943"/>
    <w:rsid w:val="00F24CFC"/>
    <w:rsid w:val="00F3170F"/>
    <w:rsid w:val="00F41033"/>
    <w:rsid w:val="00F67A22"/>
    <w:rsid w:val="00F76E8D"/>
    <w:rsid w:val="00F86377"/>
    <w:rsid w:val="00F9012F"/>
    <w:rsid w:val="00F976B0"/>
    <w:rsid w:val="00F9772C"/>
    <w:rsid w:val="00FA5731"/>
    <w:rsid w:val="00FA6DE7"/>
    <w:rsid w:val="00FA7CF4"/>
    <w:rsid w:val="00FB0540"/>
    <w:rsid w:val="00FB0F13"/>
    <w:rsid w:val="00FB301D"/>
    <w:rsid w:val="00FC0A8E"/>
    <w:rsid w:val="00FE17A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basedOn w:val="DefaultParagraphFont"/>
    <w:link w:val="DocumentMap"/>
    <w:uiPriority w:val="99"/>
    <w:locked/>
    <w:rsid w:val="00FA6DE7"/>
    <w:rPr>
      <w:rFonts w:ascii="Tahoma" w:hAnsi="Tahoma" w:cs="Times New Roman"/>
      <w:sz w:val="16"/>
    </w:rPr>
  </w:style>
  <w:style w:type="character" w:styleId="CommentReference">
    <w:name w:val="annotation reference"/>
    <w:basedOn w:val="DefaultParagraphFont"/>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rPr>
  </w:style>
  <w:style w:type="paragraph" w:customStyle="1" w:styleId="ColorfulList-Accent11">
    <w:name w:val="Colorful List - Accent 11"/>
    <w:basedOn w:val="Normal"/>
    <w:uiPriority w:val="99"/>
    <w:rsid w:val="00C14CC4"/>
    <w:pPr>
      <w:ind w:left="720"/>
      <w:contextualSpacing/>
    </w:pPr>
  </w:style>
  <w:style w:type="paragraph" w:styleId="FootnoteText">
    <w:name w:val="footnote text"/>
    <w:basedOn w:val="Normal"/>
    <w:link w:val="FootnoteTextChar"/>
    <w:uiPriority w:val="99"/>
    <w:semiHidden/>
    <w:rsid w:val="00C53B2B"/>
    <w:rPr>
      <w:sz w:val="20"/>
      <w:szCs w:val="20"/>
    </w:rPr>
  </w:style>
  <w:style w:type="character" w:customStyle="1" w:styleId="FootnoteTextChar">
    <w:name w:val="Footnote Text Char"/>
    <w:basedOn w:val="DefaultParagraphFont"/>
    <w:link w:val="FootnoteText"/>
    <w:uiPriority w:val="99"/>
    <w:semiHidden/>
    <w:locked/>
    <w:rsid w:val="00C53B2B"/>
    <w:rPr>
      <w:rFonts w:cs="Times New Roman"/>
      <w:sz w:val="20"/>
      <w:szCs w:val="20"/>
    </w:rPr>
  </w:style>
  <w:style w:type="character" w:styleId="FootnoteReference">
    <w:name w:val="footnote reference"/>
    <w:basedOn w:val="DefaultParagraphFont"/>
    <w:uiPriority w:val="99"/>
    <w:semiHidden/>
    <w:rsid w:val="00C53B2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basedOn w:val="DefaultParagraphFont"/>
    <w:link w:val="DocumentMap"/>
    <w:uiPriority w:val="99"/>
    <w:locked/>
    <w:rsid w:val="00FA6DE7"/>
    <w:rPr>
      <w:rFonts w:ascii="Tahoma" w:hAnsi="Tahoma" w:cs="Times New Roman"/>
      <w:sz w:val="16"/>
    </w:rPr>
  </w:style>
  <w:style w:type="character" w:styleId="CommentReference">
    <w:name w:val="annotation reference"/>
    <w:basedOn w:val="DefaultParagraphFont"/>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rPr>
  </w:style>
  <w:style w:type="paragraph" w:customStyle="1" w:styleId="ColorfulList-Accent11">
    <w:name w:val="Colorful List - Accent 11"/>
    <w:basedOn w:val="Normal"/>
    <w:uiPriority w:val="99"/>
    <w:rsid w:val="00C14CC4"/>
    <w:pPr>
      <w:ind w:left="720"/>
      <w:contextualSpacing/>
    </w:pPr>
  </w:style>
  <w:style w:type="paragraph" w:styleId="FootnoteText">
    <w:name w:val="footnote text"/>
    <w:basedOn w:val="Normal"/>
    <w:link w:val="FootnoteTextChar"/>
    <w:uiPriority w:val="99"/>
    <w:semiHidden/>
    <w:rsid w:val="00C53B2B"/>
    <w:rPr>
      <w:sz w:val="20"/>
      <w:szCs w:val="20"/>
    </w:rPr>
  </w:style>
  <w:style w:type="character" w:customStyle="1" w:styleId="FootnoteTextChar">
    <w:name w:val="Footnote Text Char"/>
    <w:basedOn w:val="DefaultParagraphFont"/>
    <w:link w:val="FootnoteText"/>
    <w:uiPriority w:val="99"/>
    <w:semiHidden/>
    <w:locked/>
    <w:rsid w:val="00C53B2B"/>
    <w:rPr>
      <w:rFonts w:cs="Times New Roman"/>
      <w:sz w:val="20"/>
      <w:szCs w:val="20"/>
    </w:rPr>
  </w:style>
  <w:style w:type="character" w:styleId="FootnoteReference">
    <w:name w:val="footnote reference"/>
    <w:basedOn w:val="DefaultParagraphFont"/>
    <w:uiPriority w:val="99"/>
    <w:semiHidden/>
    <w:rsid w:val="00C53B2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0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669A-9DDE-40B9-AC86-78A0057E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2139</Words>
  <Characters>12197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USDOT_User</cp:lastModifiedBy>
  <cp:revision>2</cp:revision>
  <cp:lastPrinted>2013-02-12T21:59:00Z</cp:lastPrinted>
  <dcterms:created xsi:type="dcterms:W3CDTF">2013-03-04T13:53:00Z</dcterms:created>
  <dcterms:modified xsi:type="dcterms:W3CDTF">2013-03-04T13:53:00Z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