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9147B" w:rsidRPr="00C9147B">
        <w:rPr>
          <w:sz w:val="28"/>
          <w:szCs w:val="28"/>
        </w:rPr>
        <w:t>2127-068</w:t>
      </w:r>
      <w:r w:rsidR="00D8210B">
        <w:rPr>
          <w:sz w:val="28"/>
          <w:szCs w:val="28"/>
        </w:rPr>
        <w:t>2</w:t>
      </w:r>
      <w:r>
        <w:rPr>
          <w:sz w:val="28"/>
        </w:rPr>
        <w:t>)</w:t>
      </w:r>
    </w:p>
    <w:p w:rsidR="00801480" w:rsidRDefault="00801480" w:rsidP="00434E33">
      <w:pPr>
        <w:rPr>
          <w:b/>
        </w:rPr>
      </w:pPr>
    </w:p>
    <w:p w:rsidR="00801480" w:rsidRDefault="00F16FE4" w:rsidP="00434E33">
      <w:r w:rsidRPr="00F16FE4">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50293" w:rsidRPr="009239AA" w:rsidRDefault="00801480" w:rsidP="00434E33">
      <w:pPr>
        <w:rPr>
          <w:b/>
        </w:rPr>
      </w:pPr>
      <w:r>
        <w:t>2012 Click It or Ticket Creative Assessments Focus Groups</w:t>
      </w:r>
    </w:p>
    <w:p w:rsidR="005E714A" w:rsidRDefault="005E714A"/>
    <w:p w:rsidR="00801480" w:rsidRDefault="00F15956">
      <w:pPr>
        <w:rPr>
          <w:b/>
        </w:rPr>
      </w:pPr>
      <w:r>
        <w:rPr>
          <w:b/>
        </w:rPr>
        <w:t>PURPOSE</w:t>
      </w:r>
      <w:r w:rsidRPr="009239AA">
        <w:rPr>
          <w:b/>
        </w:rPr>
        <w:t>:</w:t>
      </w:r>
    </w:p>
    <w:p w:rsidR="00CA77A4" w:rsidRDefault="00801480">
      <w:r w:rsidRPr="00801480">
        <w:t>NHTSA</w:t>
      </w:r>
      <w:r w:rsidR="00C14CC4" w:rsidRPr="00801480">
        <w:t xml:space="preserve"> </w:t>
      </w:r>
      <w:r>
        <w:t xml:space="preserve">is developing new advertising and communications ideas to support its long-standing “Click It or Ticket” seat belt enforcement campaign, which includes nationwide mobilizations of </w:t>
      </w:r>
      <w:r w:rsidR="00CA77A4">
        <w:t xml:space="preserve">state and local </w:t>
      </w:r>
      <w:r>
        <w:t>highway safety enforcement agencies.</w:t>
      </w:r>
      <w:r w:rsidR="00C14CC4" w:rsidRPr="00801480">
        <w:t xml:space="preserve"> </w:t>
      </w:r>
      <w:r w:rsidR="00CA77A4">
        <w:t xml:space="preserve"> Research over many years has shown that high visibility enforcement of seatbelt laws, combined with focused advertising/communications messages about this enforcement, is a highly effective way to persuade more drivers to wear belts.</w:t>
      </w:r>
      <w:r>
        <w:t xml:space="preserve"> </w:t>
      </w:r>
    </w:p>
    <w:p w:rsidR="00CA77A4" w:rsidRDefault="00CA77A4"/>
    <w:p w:rsidR="001B0AAA" w:rsidRDefault="00CA77A4">
      <w:r>
        <w:t xml:space="preserve">For the advertising, </w:t>
      </w:r>
      <w:r w:rsidR="00801480">
        <w:t>four differ</w:t>
      </w:r>
      <w:r>
        <w:t>ent creative concepts have been</w:t>
      </w:r>
      <w:r w:rsidR="00801480">
        <w:t xml:space="preserve"> developed.  </w:t>
      </w:r>
      <w:r>
        <w:t xml:space="preserve">(For reference, storyboards of these concepts accompany this Clearance Request).  </w:t>
      </w:r>
      <w:r w:rsidR="00801480">
        <w:t>Opinions and assessments of the various concepts by members of the campaign’s intended target audience are needed to guid</w:t>
      </w:r>
      <w:r>
        <w:t xml:space="preserve">e NHTSA in its decision-making </w:t>
      </w:r>
      <w:r w:rsidR="00801480">
        <w:t>and to help ensure optimal effectiveness of the final advertising/creative concept selected.</w:t>
      </w:r>
    </w:p>
    <w:p w:rsidR="00801480" w:rsidRDefault="00801480"/>
    <w:p w:rsidR="00801480" w:rsidRPr="00801480" w:rsidRDefault="00801480">
      <w:r>
        <w:t>For assessments such as these, NHTSA’s experience has shown that focus groups are a meaningful, useful and cost-effective way to gather the insights needed for guiding decision-making and ensuring campaign effectiveness.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266879" w:rsidRDefault="00266879">
      <w:r>
        <w:t xml:space="preserve">(NOTE:  A </w:t>
      </w:r>
      <w:r w:rsidR="00956E30">
        <w:t xml:space="preserve">script for the </w:t>
      </w:r>
      <w:r>
        <w:t>recruitment screener is included with this Clearance Request.)</w:t>
      </w:r>
    </w:p>
    <w:p w:rsidR="00266879" w:rsidRDefault="00266879"/>
    <w:p w:rsidR="00F15956" w:rsidRDefault="00C050B7">
      <w:r>
        <w:t>Respondents will reflect the characteristics of people who will comprise the target audience for the advertising.  Specifically:</w:t>
      </w:r>
    </w:p>
    <w:p w:rsidR="00C8488C" w:rsidRDefault="00266879" w:rsidP="00266879">
      <w:pPr>
        <w:numPr>
          <w:ilvl w:val="0"/>
          <w:numId w:val="20"/>
        </w:numPr>
      </w:pPr>
      <w:r>
        <w:t>Men who are between the ages of 18 and 34</w:t>
      </w:r>
      <w:r w:rsidR="00956E30">
        <w:t xml:space="preserve"> years-old</w:t>
      </w:r>
    </w:p>
    <w:p w:rsidR="00266879" w:rsidRDefault="00956E30" w:rsidP="00266879">
      <w:pPr>
        <w:numPr>
          <w:ilvl w:val="0"/>
          <w:numId w:val="20"/>
        </w:numPr>
      </w:pPr>
      <w:r>
        <w:t>Licensed drivers who operate a four</w:t>
      </w:r>
      <w:r w:rsidR="00266879">
        <w:t>-wheeled vehicle</w:t>
      </w:r>
      <w:r>
        <w:t xml:space="preserve"> (i.e., not motorcycles)</w:t>
      </w:r>
      <w:r w:rsidR="00266879">
        <w:t xml:space="preserve"> at least two days a week</w:t>
      </w:r>
    </w:p>
    <w:p w:rsidR="00266879" w:rsidRDefault="00266879" w:rsidP="00266879">
      <w:pPr>
        <w:numPr>
          <w:ilvl w:val="0"/>
          <w:numId w:val="20"/>
        </w:numPr>
      </w:pPr>
      <w:r>
        <w:t>Sometimes do not wear th</w:t>
      </w:r>
      <w:r w:rsidR="00956E30">
        <w:t xml:space="preserve">eir seatbelts in certain </w:t>
      </w:r>
      <w:r>
        <w:t>situations when they drive</w:t>
      </w:r>
    </w:p>
    <w:p w:rsidR="00266879" w:rsidRDefault="00266879" w:rsidP="00266879">
      <w:pPr>
        <w:numPr>
          <w:ilvl w:val="0"/>
          <w:numId w:val="20"/>
        </w:numPr>
      </w:pPr>
      <w:r>
        <w:t>Not employed in certain specific types of jobs/occupations considered by NHTSA to bias opinions and comments</w:t>
      </w:r>
    </w:p>
    <w:p w:rsidR="00F15956" w:rsidRDefault="00F15956"/>
    <w:p w:rsidR="00266879" w:rsidRDefault="00266879" w:rsidP="00266879">
      <w:r>
        <w:t>Each group’s composition of respondents will be a mix of Caucasians, African-Americans and persons considering themselves Hispanic or Latino</w:t>
      </w:r>
    </w:p>
    <w:p w:rsidR="00434E33" w:rsidRDefault="00434E33"/>
    <w:p w:rsidR="00CA77A4" w:rsidRDefault="00CA77A4">
      <w:r>
        <w:t>The groups will be conducted in Kansas City, Missouri, (specifically among Missouri, not Kansas, residents) and Seattle, Washington.  Missouri is one of several states without a primary seatbelt law and with lower than average seatbelt use.  Conversely, Washington is a state with a primary law and higher than average belt use.  These disparities of these two areas are expected to lend added substantiation to conclusions coming from the research.</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lastRenderedPageBreak/>
        <w:t>[</w:t>
      </w:r>
      <w:r w:rsidR="00956E30">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ColorfulList-Accent11"/>
        <w:numPr>
          <w:ilvl w:val="0"/>
          <w:numId w:val="14"/>
        </w:numPr>
      </w:pPr>
      <w:r>
        <w:t>The collection is voluntary.</w:t>
      </w:r>
      <w:r w:rsidRPr="00C14CC4">
        <w:t xml:space="preserve"> </w:t>
      </w:r>
    </w:p>
    <w:p w:rsidR="008101A5" w:rsidRDefault="008101A5"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ColorfulList-Accent11"/>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CA77A4">
        <w:t xml:space="preserve">  </w:t>
      </w:r>
      <w:r w:rsidR="000843B2">
        <w:t>Mike Joyce</w:t>
      </w:r>
    </w:p>
    <w:p w:rsidR="009C13B9" w:rsidRDefault="009C13B9" w:rsidP="009C13B9">
      <w:pPr>
        <w:pStyle w:val="ColorfulList-Accent11"/>
        <w:ind w:left="360"/>
      </w:pPr>
    </w:p>
    <w:p w:rsidR="009C13B9" w:rsidRDefault="009C13B9" w:rsidP="009C13B9">
      <w:r>
        <w:t>To assist review, please provide answers to the following question:</w:t>
      </w:r>
    </w:p>
    <w:p w:rsidR="009C13B9" w:rsidRDefault="009C13B9" w:rsidP="009C13B9">
      <w:pPr>
        <w:pStyle w:val="ColorfulList-Accent11"/>
        <w:ind w:left="360"/>
      </w:pPr>
    </w:p>
    <w:p w:rsidR="009C13B9" w:rsidRPr="00C86E91" w:rsidRDefault="00C86E91" w:rsidP="00C86E91">
      <w:pPr>
        <w:rPr>
          <w:b/>
        </w:rPr>
      </w:pPr>
      <w:r w:rsidRPr="00C86E91">
        <w:rPr>
          <w:b/>
        </w:rPr>
        <w:t>Personally Identifiable Information:</w:t>
      </w:r>
    </w:p>
    <w:p w:rsidR="00C86E91" w:rsidRDefault="009C13B9" w:rsidP="00C86E91">
      <w:pPr>
        <w:pStyle w:val="ColorfulList-Accent11"/>
        <w:numPr>
          <w:ilvl w:val="0"/>
          <w:numId w:val="18"/>
        </w:numPr>
      </w:pPr>
      <w:r>
        <w:t>Is</w:t>
      </w:r>
      <w:r w:rsidR="00237B48">
        <w:t xml:space="preserve"> personally identifiable information (PII) collected</w:t>
      </w:r>
      <w:r>
        <w:t xml:space="preserve">?  </w:t>
      </w:r>
      <w:r w:rsidR="00956E30">
        <w:t>[√</w:t>
      </w:r>
      <w:r w:rsidR="009239AA">
        <w:t xml:space="preserve">] Yes  [ ]  No </w:t>
      </w:r>
    </w:p>
    <w:p w:rsidR="00C86E91" w:rsidRDefault="009C13B9" w:rsidP="00C86E91">
      <w:pPr>
        <w:pStyle w:val="ColorfulList-Accent11"/>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56E30">
        <w:t>[  ] Yes [√</w:t>
      </w:r>
      <w:r w:rsidR="009239AA">
        <w:t>] No</w:t>
      </w:r>
      <w:r w:rsidR="00C86E91">
        <w:t xml:space="preserve">   </w:t>
      </w:r>
    </w:p>
    <w:p w:rsidR="00C86E91" w:rsidRDefault="00C86E91" w:rsidP="00C86E91">
      <w:pPr>
        <w:pStyle w:val="ColorfulList-Accent11"/>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r w:rsidR="000843B2">
        <w:t xml:space="preserve">[  ] Yes  </w:t>
      </w:r>
      <w:r w:rsidRPr="000843B2">
        <w:t>[</w:t>
      </w:r>
      <w:r w:rsidR="000843B2">
        <w:t>√</w:t>
      </w:r>
      <w:r w:rsidRPr="000843B2">
        <w:t xml:space="preserve"> ]</w:t>
      </w:r>
      <w:r w:rsidR="000843B2">
        <w:t xml:space="preserve"> </w:t>
      </w:r>
      <w:r w:rsidRPr="000843B2">
        <w:t>No</w:t>
      </w:r>
    </w:p>
    <w:p w:rsidR="00CF6542" w:rsidRDefault="00CF6542" w:rsidP="00C86E91">
      <w:pPr>
        <w:pStyle w:val="ColorfulList-Accent11"/>
        <w:ind w:left="0"/>
        <w:rPr>
          <w:b/>
        </w:rPr>
      </w:pPr>
    </w:p>
    <w:p w:rsidR="00C86E91" w:rsidRPr="00C86E91" w:rsidRDefault="00CB1078" w:rsidP="00C86E91">
      <w:pPr>
        <w:pStyle w:val="ColorfulList-Accent11"/>
        <w:ind w:left="0"/>
        <w:rPr>
          <w:b/>
        </w:rPr>
      </w:pPr>
      <w:r>
        <w:rPr>
          <w:b/>
        </w:rPr>
        <w:t>Gifts or Payments</w:t>
      </w:r>
      <w:r w:rsidR="00C86E91">
        <w:rPr>
          <w:b/>
        </w:rPr>
        <w:t>:</w:t>
      </w:r>
    </w:p>
    <w:p w:rsidR="00C86E91" w:rsidRDefault="00C86E91" w:rsidP="00C86E91">
      <w:r>
        <w:t>Is an incentive (e.g., money or reimbursement of expenses, token of appreciation</w:t>
      </w:r>
      <w:r w:rsidR="00956E30">
        <w:t>) provided to participants?  [√</w:t>
      </w:r>
      <w:r>
        <w:t xml:space="preserve">] Yes [  ] No  </w:t>
      </w:r>
    </w:p>
    <w:p w:rsidR="004D6E14" w:rsidRDefault="004D6E14">
      <w:pPr>
        <w:rPr>
          <w:b/>
        </w:rPr>
      </w:pPr>
    </w:p>
    <w:p w:rsidR="00AA3F68" w:rsidRPr="00AA3F68" w:rsidRDefault="00AA3F68" w:rsidP="00AA3F68">
      <w:pPr>
        <w:ind w:left="720"/>
      </w:pPr>
      <w:r>
        <w:t>A cash incentive in the amount of $75.00 will be given to each respondent who arrives at the focus group facility at the appointed time.  This is a standard incentive amount for focus groups for the two cities (Kansas City, Missouri, and Seattle, Washington) where the focus groups will be conducted, based on input from focus group facilitators in both cities.</w:t>
      </w: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387438" w:rsidP="00843796">
            <w:r>
              <w:t>Individuals from the Private sector --- r</w:t>
            </w:r>
            <w:r w:rsidR="00956E30">
              <w:t>ecruited and f</w:t>
            </w:r>
            <w:r w:rsidR="00BB05F6">
              <w:t xml:space="preserve">ully-participating respondents; </w:t>
            </w:r>
            <w:r w:rsidR="00956E30">
              <w:t>for each group, maximum of 9 respondents to be seated for discussions</w:t>
            </w:r>
            <w:r w:rsidR="00CA77A4">
              <w:t>; 8 total groups to be conducted.</w:t>
            </w:r>
          </w:p>
        </w:tc>
        <w:tc>
          <w:tcPr>
            <w:tcW w:w="1530" w:type="dxa"/>
          </w:tcPr>
          <w:p w:rsidR="006832D9" w:rsidRDefault="00956E30" w:rsidP="00843796">
            <w:r>
              <w:t>72</w:t>
            </w:r>
          </w:p>
        </w:tc>
        <w:tc>
          <w:tcPr>
            <w:tcW w:w="1710" w:type="dxa"/>
          </w:tcPr>
          <w:p w:rsidR="006832D9" w:rsidRDefault="00956E30" w:rsidP="00843796">
            <w:r>
              <w:t>85 minutes (10 minutes for recruiting time;</w:t>
            </w:r>
            <w:r w:rsidR="00BB05F6">
              <w:t xml:space="preserve"> +</w:t>
            </w:r>
            <w:r>
              <w:t xml:space="preserve"> 75 minutes for focus group)</w:t>
            </w:r>
          </w:p>
        </w:tc>
        <w:tc>
          <w:tcPr>
            <w:tcW w:w="1003" w:type="dxa"/>
          </w:tcPr>
          <w:p w:rsidR="006832D9" w:rsidRDefault="00956E30" w:rsidP="00843796">
            <w:r>
              <w:t>102 hrs.</w:t>
            </w:r>
          </w:p>
        </w:tc>
      </w:tr>
      <w:tr w:rsidR="00EF2095" w:rsidTr="00D60799">
        <w:trPr>
          <w:trHeight w:val="1430"/>
        </w:trPr>
        <w:tc>
          <w:tcPr>
            <w:tcW w:w="5418" w:type="dxa"/>
          </w:tcPr>
          <w:p w:rsidR="006832D9" w:rsidRDefault="00387438" w:rsidP="00843796">
            <w:r>
              <w:lastRenderedPageBreak/>
              <w:t>Individuals from the Private sector --- recruited</w:t>
            </w:r>
            <w:r w:rsidR="00956E30">
              <w:t xml:space="preserve"> individuals either (1) released prior to commencemen</w:t>
            </w:r>
            <w:r w:rsidR="00BB05F6">
              <w:t>t of focus groups, or (2) fail</w:t>
            </w:r>
            <w:r w:rsidR="00CA77A4">
              <w:t>ing</w:t>
            </w:r>
            <w:r w:rsidR="00BB05F6">
              <w:t xml:space="preserve"> to show up at appointed time; </w:t>
            </w:r>
            <w:r w:rsidR="00956E30">
              <w:t>for each group, 12 individuals will be recruited, in anticipation of 9 showing)</w:t>
            </w:r>
          </w:p>
        </w:tc>
        <w:tc>
          <w:tcPr>
            <w:tcW w:w="1530" w:type="dxa"/>
          </w:tcPr>
          <w:p w:rsidR="006832D9" w:rsidRDefault="00956E30" w:rsidP="00843796">
            <w:r>
              <w:t>24</w:t>
            </w:r>
          </w:p>
        </w:tc>
        <w:tc>
          <w:tcPr>
            <w:tcW w:w="1710" w:type="dxa"/>
          </w:tcPr>
          <w:p w:rsidR="006832D9" w:rsidRDefault="00956E30" w:rsidP="00843796">
            <w:r>
              <w:t>10 minutes (for recruiting time)</w:t>
            </w:r>
          </w:p>
        </w:tc>
        <w:tc>
          <w:tcPr>
            <w:tcW w:w="1003" w:type="dxa"/>
          </w:tcPr>
          <w:p w:rsidR="006832D9" w:rsidRDefault="00956E30" w:rsidP="00843796">
            <w:r>
              <w:t>4 hrs.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956E30" w:rsidP="00843796">
            <w:pPr>
              <w:rPr>
                <w:b/>
              </w:rPr>
            </w:pPr>
            <w:r>
              <w:rPr>
                <w:b/>
              </w:rPr>
              <w:t>96</w:t>
            </w:r>
          </w:p>
        </w:tc>
        <w:tc>
          <w:tcPr>
            <w:tcW w:w="1710" w:type="dxa"/>
          </w:tcPr>
          <w:p w:rsidR="006832D9" w:rsidRPr="00D60799" w:rsidRDefault="00D60799" w:rsidP="00843796">
            <w:pPr>
              <w:rPr>
                <w:b/>
              </w:rPr>
            </w:pPr>
            <w:r w:rsidRPr="00D60799">
              <w:rPr>
                <w:b/>
              </w:rPr>
              <w:t>95</w:t>
            </w:r>
          </w:p>
        </w:tc>
        <w:tc>
          <w:tcPr>
            <w:tcW w:w="1003" w:type="dxa"/>
          </w:tcPr>
          <w:p w:rsidR="006832D9" w:rsidRPr="0001027E" w:rsidRDefault="00956E30" w:rsidP="00843796">
            <w:pPr>
              <w:rPr>
                <w:b/>
              </w:rPr>
            </w:pPr>
            <w:r>
              <w:rPr>
                <w:b/>
              </w:rPr>
              <w:t>106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w:t>
      </w:r>
      <w:r w:rsidR="00C86E91" w:rsidRPr="00AE5ED5">
        <w:t>estimated annual cost to the Fed</w:t>
      </w:r>
      <w:r w:rsidR="00AE5ED5" w:rsidRPr="00AE5ED5">
        <w:t>eral government is $86,000.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ColorfulList-Accent1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956E30">
        <w:t>[ ] Yes</w:t>
      </w:r>
      <w:r w:rsidR="00956E30">
        <w:tab/>
        <w:t>[√</w:t>
      </w:r>
      <w:r>
        <w:t>] No</w:t>
      </w:r>
    </w:p>
    <w:p w:rsidR="00636621" w:rsidRDefault="00636621" w:rsidP="00636621">
      <w:pPr>
        <w:pStyle w:val="ColorfulList-Accent11"/>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B05F6" w:rsidRDefault="00BB05F6" w:rsidP="00A403BB">
      <w:pPr>
        <w:pStyle w:val="ColorfulList-Accent11"/>
      </w:pPr>
    </w:p>
    <w:p w:rsidR="00A403BB" w:rsidRDefault="00956E30" w:rsidP="00A403BB">
      <w:pPr>
        <w:pStyle w:val="ColorfulList-Accent11"/>
      </w:pPr>
      <w:r>
        <w:t xml:space="preserve">This project will involve focus groups. In each city </w:t>
      </w:r>
      <w:r w:rsidR="00AA3F68">
        <w:t>where the groups will be held, professional</w:t>
      </w:r>
      <w:r w:rsidR="00CA77A4">
        <w:t>, locally-based</w:t>
      </w:r>
      <w:r w:rsidR="00AA3F68">
        <w:t xml:space="preserve"> recruiters employed by the focus group facility will use the recruiting screener script that accompanies this Clearance Request.  Th</w:t>
      </w:r>
      <w:r w:rsidR="00B64918">
        <w:t xml:space="preserve">e recruiters will </w:t>
      </w:r>
      <w:r w:rsidR="00AA3F68">
        <w:t>conduct the screenings</w:t>
      </w:r>
      <w:r w:rsidR="00B64918">
        <w:t xml:space="preserve"> via telephone</w:t>
      </w:r>
      <w:r w:rsidR="00AA3F68">
        <w:t>.</w:t>
      </w:r>
      <w:r w:rsidR="00BB05F6">
        <w:t xml:space="preserve">  </w:t>
      </w:r>
      <w:r w:rsidR="00CA77A4">
        <w:t>In many cases</w:t>
      </w:r>
      <w:r w:rsidR="00B64918">
        <w:t xml:space="preserve">, the </w:t>
      </w:r>
      <w:r w:rsidR="00BB05F6">
        <w:t>recruiters have proprietary lists of individuals segmented by various demographic characteristics such as gender, age, race, etc.  In this circumstance, the recruiters will use such lists as starting points in their screening process.</w:t>
      </w:r>
    </w:p>
    <w:p w:rsidR="00A403BB" w:rsidRDefault="00A403BB" w:rsidP="00A403BB"/>
    <w:p w:rsidR="00A403BB" w:rsidRDefault="00A403BB" w:rsidP="00A403BB">
      <w:pPr>
        <w:rPr>
          <w:b/>
        </w:rPr>
      </w:pPr>
      <w:r>
        <w:rPr>
          <w:b/>
        </w:rPr>
        <w:t>Administration of the Instrument</w:t>
      </w:r>
    </w:p>
    <w:p w:rsidR="00A403BB" w:rsidRDefault="001B0AAA" w:rsidP="00175236">
      <w:pPr>
        <w:pStyle w:val="ColorfulList-Accent11"/>
        <w:numPr>
          <w:ilvl w:val="0"/>
          <w:numId w:val="17"/>
        </w:numPr>
        <w:ind w:left="1080"/>
      </w:pPr>
      <w:r>
        <w:t>H</w:t>
      </w:r>
      <w:r w:rsidR="00A403BB">
        <w:t>ow will you collect the information? (Check all that apply)</w:t>
      </w:r>
    </w:p>
    <w:p w:rsidR="001B0AAA" w:rsidRDefault="00A403BB" w:rsidP="00175236">
      <w:pPr>
        <w:ind w:left="1440"/>
      </w:pPr>
      <w:r>
        <w:t xml:space="preserve">[ </w:t>
      </w:r>
      <w:r w:rsidR="001B0AAA">
        <w:t xml:space="preserve"> </w:t>
      </w:r>
      <w:r>
        <w:t>] Web-based</w:t>
      </w:r>
      <w:r w:rsidR="001B0AAA">
        <w:t xml:space="preserve"> or other forms of Social Media </w:t>
      </w:r>
    </w:p>
    <w:p w:rsidR="001B0AAA" w:rsidRDefault="00AE5ED5" w:rsidP="00175236">
      <w:pPr>
        <w:ind w:left="1440"/>
      </w:pPr>
      <w:r>
        <w:t>[√</w:t>
      </w:r>
      <w:r w:rsidR="00A403BB">
        <w:t>] Telephone</w:t>
      </w:r>
      <w:r w:rsidR="00A403BB">
        <w:tab/>
      </w:r>
      <w:r>
        <w:t>-- for recruiting respondents</w:t>
      </w:r>
    </w:p>
    <w:p w:rsidR="001B0AAA" w:rsidRDefault="00A403BB" w:rsidP="00175236">
      <w:pPr>
        <w:ind w:left="1440"/>
      </w:pPr>
      <w:r>
        <w:t>[</w:t>
      </w:r>
      <w:r w:rsidR="00AA3F68">
        <w:t>√</w:t>
      </w:r>
      <w:r>
        <w:t>] In-person</w:t>
      </w:r>
      <w:r w:rsidR="00AE5ED5">
        <w:t xml:space="preserve"> -- for data collection in focus group settings</w:t>
      </w:r>
      <w:r>
        <w:tab/>
      </w:r>
    </w:p>
    <w:p w:rsidR="001B0AAA" w:rsidRDefault="00A403BB" w:rsidP="00175236">
      <w:pPr>
        <w:ind w:left="1440"/>
      </w:pPr>
      <w:r>
        <w:t xml:space="preserve">[ </w:t>
      </w:r>
      <w:r w:rsidR="001B0AAA">
        <w:t xml:space="preserve"> </w:t>
      </w:r>
      <w:r>
        <w:t>] Mail</w:t>
      </w:r>
      <w:r w:rsidR="001B0AAA">
        <w:t xml:space="preserve"> </w:t>
      </w:r>
    </w:p>
    <w:p w:rsidR="001B0AAA" w:rsidRDefault="00A403BB" w:rsidP="00175236">
      <w:pPr>
        <w:ind w:left="1440"/>
      </w:pPr>
      <w:r>
        <w:t xml:space="preserve">[ </w:t>
      </w:r>
      <w:r w:rsidR="001B0AAA">
        <w:t xml:space="preserve"> </w:t>
      </w:r>
      <w:r>
        <w:t>] Other, Explain</w:t>
      </w:r>
    </w:p>
    <w:p w:rsidR="00F24CFC" w:rsidRDefault="00F24CFC" w:rsidP="00175236">
      <w:pPr>
        <w:pStyle w:val="ColorfulList-Accent11"/>
        <w:numPr>
          <w:ilvl w:val="0"/>
          <w:numId w:val="17"/>
        </w:numPr>
        <w:ind w:left="1080"/>
      </w:pPr>
      <w:r>
        <w:t>Will interviewe</w:t>
      </w:r>
      <w:r w:rsidR="00AA3F68">
        <w:t>rs or facilitators be used?  [√</w:t>
      </w:r>
      <w:r>
        <w:t>] Yes [  ] No</w:t>
      </w:r>
    </w:p>
    <w:p w:rsidR="00F24CFC" w:rsidRDefault="00F24CFC" w:rsidP="00F24CFC">
      <w:pPr>
        <w:pStyle w:val="ColorfulList-Accent11"/>
        <w:ind w:left="360"/>
      </w:pPr>
      <w:r>
        <w:t xml:space="preserve"> </w:t>
      </w:r>
    </w:p>
    <w:p w:rsidR="0024521E" w:rsidRDefault="00F24CFC" w:rsidP="0024521E">
      <w:pPr>
        <w:rPr>
          <w:b/>
        </w:rPr>
      </w:pPr>
      <w:r w:rsidRPr="00F24CFC">
        <w:rPr>
          <w:b/>
        </w:rPr>
        <w:t>Please make sure that all instruments, instructions, and scripts are submitted with the request.</w:t>
      </w:r>
    </w:p>
    <w:p w:rsidR="00CA77A4" w:rsidRDefault="00CA77A4" w:rsidP="0024521E">
      <w:pPr>
        <w:rPr>
          <w:b/>
        </w:rPr>
      </w:pPr>
    </w:p>
    <w:p w:rsidR="00CA77A4" w:rsidRPr="00CA77A4" w:rsidRDefault="00CA77A4" w:rsidP="00CA77A4">
      <w:pPr>
        <w:ind w:left="720"/>
      </w:pPr>
      <w:r w:rsidRPr="00CA77A4">
        <w:t>Included with this Request is a script of the moderator’s guide, along with an example template of handouts for written exercises by respondents.</w:t>
      </w:r>
    </w:p>
    <w:p w:rsidR="00CA77A4" w:rsidRDefault="00CA77A4" w:rsidP="0024521E">
      <w:pPr>
        <w:rPr>
          <w:b/>
        </w:rPr>
      </w:pPr>
    </w:p>
    <w:p w:rsidR="00CA77A4" w:rsidRDefault="00CA77A4" w:rsidP="0024521E">
      <w:pPr>
        <w:rPr>
          <w:b/>
        </w:rPr>
      </w:pP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91D" w:rsidRDefault="00F9691D">
      <w:r>
        <w:separator/>
      </w:r>
    </w:p>
  </w:endnote>
  <w:endnote w:type="continuationSeparator" w:id="0">
    <w:p w:rsidR="00F9691D" w:rsidRDefault="00F969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38" w:rsidRDefault="00F16FE4">
    <w:pPr>
      <w:pStyle w:val="Footer"/>
      <w:tabs>
        <w:tab w:val="clear" w:pos="8640"/>
        <w:tab w:val="right" w:pos="9000"/>
      </w:tabs>
      <w:jc w:val="center"/>
      <w:rPr>
        <w:iCs/>
        <w:sz w:val="20"/>
        <w:szCs w:val="20"/>
      </w:rPr>
    </w:pPr>
    <w:r>
      <w:rPr>
        <w:rStyle w:val="PageNumber"/>
        <w:sz w:val="20"/>
        <w:szCs w:val="20"/>
      </w:rPr>
      <w:fldChar w:fldCharType="begin"/>
    </w:r>
    <w:r w:rsidR="00387438">
      <w:rPr>
        <w:rStyle w:val="PageNumber"/>
        <w:sz w:val="20"/>
        <w:szCs w:val="20"/>
      </w:rPr>
      <w:instrText xml:space="preserve"> PAGE </w:instrText>
    </w:r>
    <w:r>
      <w:rPr>
        <w:rStyle w:val="PageNumber"/>
        <w:sz w:val="20"/>
        <w:szCs w:val="20"/>
      </w:rPr>
      <w:fldChar w:fldCharType="separate"/>
    </w:r>
    <w:r w:rsidR="00D60799">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91D" w:rsidRDefault="00F9691D">
      <w:r>
        <w:separator/>
      </w:r>
    </w:p>
  </w:footnote>
  <w:footnote w:type="continuationSeparator" w:id="0">
    <w:p w:rsidR="00F9691D" w:rsidRDefault="00F96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2A68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A7A38"/>
    <w:multiLevelType w:val="hybridMultilevel"/>
    <w:tmpl w:val="3480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5"/>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1"/>
  </w:num>
  <w:num w:numId="14">
    <w:abstractNumId w:val="16"/>
  </w:num>
  <w:num w:numId="15">
    <w:abstractNumId w:val="14"/>
  </w:num>
  <w:num w:numId="16">
    <w:abstractNumId w:val="13"/>
  </w:num>
  <w:num w:numId="17">
    <w:abstractNumId w:val="6"/>
  </w:num>
  <w:num w:numId="18">
    <w:abstractNumId w:val="7"/>
  </w:num>
  <w:num w:numId="19">
    <w:abstractNumId w:val="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D6383F"/>
    <w:rsid w:val="0001027E"/>
    <w:rsid w:val="00023A57"/>
    <w:rsid w:val="00047A64"/>
    <w:rsid w:val="00054A9C"/>
    <w:rsid w:val="00067329"/>
    <w:rsid w:val="000843B2"/>
    <w:rsid w:val="000B2838"/>
    <w:rsid w:val="000D44CA"/>
    <w:rsid w:val="000E200B"/>
    <w:rsid w:val="000F68BE"/>
    <w:rsid w:val="001634FD"/>
    <w:rsid w:val="00175236"/>
    <w:rsid w:val="001927A4"/>
    <w:rsid w:val="00194AC6"/>
    <w:rsid w:val="001A23B0"/>
    <w:rsid w:val="001A25CC"/>
    <w:rsid w:val="001B0AAA"/>
    <w:rsid w:val="001C39F7"/>
    <w:rsid w:val="00237B48"/>
    <w:rsid w:val="0024521E"/>
    <w:rsid w:val="00263C3D"/>
    <w:rsid w:val="00266879"/>
    <w:rsid w:val="00274D0B"/>
    <w:rsid w:val="002B052D"/>
    <w:rsid w:val="002B34CD"/>
    <w:rsid w:val="002B3C95"/>
    <w:rsid w:val="002D0B92"/>
    <w:rsid w:val="00387369"/>
    <w:rsid w:val="00387438"/>
    <w:rsid w:val="003D5BBE"/>
    <w:rsid w:val="003E3C61"/>
    <w:rsid w:val="003F1C5B"/>
    <w:rsid w:val="00434E33"/>
    <w:rsid w:val="00441434"/>
    <w:rsid w:val="0045264C"/>
    <w:rsid w:val="004876EC"/>
    <w:rsid w:val="004D6E14"/>
    <w:rsid w:val="005009B0"/>
    <w:rsid w:val="005246DC"/>
    <w:rsid w:val="005A1006"/>
    <w:rsid w:val="005E714A"/>
    <w:rsid w:val="005F693D"/>
    <w:rsid w:val="006140A0"/>
    <w:rsid w:val="00636621"/>
    <w:rsid w:val="00642B49"/>
    <w:rsid w:val="006832D9"/>
    <w:rsid w:val="0069403B"/>
    <w:rsid w:val="006F3DDE"/>
    <w:rsid w:val="00704678"/>
    <w:rsid w:val="007425E7"/>
    <w:rsid w:val="00790E31"/>
    <w:rsid w:val="007D284F"/>
    <w:rsid w:val="007F7080"/>
    <w:rsid w:val="00801480"/>
    <w:rsid w:val="00802607"/>
    <w:rsid w:val="008101A5"/>
    <w:rsid w:val="00822664"/>
    <w:rsid w:val="00843796"/>
    <w:rsid w:val="00895229"/>
    <w:rsid w:val="008B2EB3"/>
    <w:rsid w:val="008F0203"/>
    <w:rsid w:val="008F50D4"/>
    <w:rsid w:val="009239AA"/>
    <w:rsid w:val="00935ADA"/>
    <w:rsid w:val="00946B6C"/>
    <w:rsid w:val="00955A71"/>
    <w:rsid w:val="00956E30"/>
    <w:rsid w:val="0096108F"/>
    <w:rsid w:val="009C13B9"/>
    <w:rsid w:val="009D01A2"/>
    <w:rsid w:val="009F5923"/>
    <w:rsid w:val="00A403BB"/>
    <w:rsid w:val="00A51065"/>
    <w:rsid w:val="00A674DF"/>
    <w:rsid w:val="00A83AA6"/>
    <w:rsid w:val="00A934D6"/>
    <w:rsid w:val="00AA3F68"/>
    <w:rsid w:val="00AE1809"/>
    <w:rsid w:val="00AE5ED5"/>
    <w:rsid w:val="00B64918"/>
    <w:rsid w:val="00B80D76"/>
    <w:rsid w:val="00B84A83"/>
    <w:rsid w:val="00B960AA"/>
    <w:rsid w:val="00BA2105"/>
    <w:rsid w:val="00BA7E06"/>
    <w:rsid w:val="00BB05F6"/>
    <w:rsid w:val="00BB43B5"/>
    <w:rsid w:val="00BB6219"/>
    <w:rsid w:val="00BD290F"/>
    <w:rsid w:val="00BE1267"/>
    <w:rsid w:val="00C050B7"/>
    <w:rsid w:val="00C14CC4"/>
    <w:rsid w:val="00C33C52"/>
    <w:rsid w:val="00C40D8B"/>
    <w:rsid w:val="00C8407A"/>
    <w:rsid w:val="00C8488C"/>
    <w:rsid w:val="00C86E91"/>
    <w:rsid w:val="00C9147B"/>
    <w:rsid w:val="00CA2650"/>
    <w:rsid w:val="00CA77A4"/>
    <w:rsid w:val="00CB1078"/>
    <w:rsid w:val="00CC6FAF"/>
    <w:rsid w:val="00CF6542"/>
    <w:rsid w:val="00D24698"/>
    <w:rsid w:val="00D24A09"/>
    <w:rsid w:val="00D60799"/>
    <w:rsid w:val="00D6383F"/>
    <w:rsid w:val="00D8210B"/>
    <w:rsid w:val="00DB59D0"/>
    <w:rsid w:val="00DC33D3"/>
    <w:rsid w:val="00DD6C07"/>
    <w:rsid w:val="00E26329"/>
    <w:rsid w:val="00E40B50"/>
    <w:rsid w:val="00E50293"/>
    <w:rsid w:val="00E600CC"/>
    <w:rsid w:val="00E65FFC"/>
    <w:rsid w:val="00E744EA"/>
    <w:rsid w:val="00E80951"/>
    <w:rsid w:val="00E86CC6"/>
    <w:rsid w:val="00EB56B3"/>
    <w:rsid w:val="00ED6492"/>
    <w:rsid w:val="00EF2095"/>
    <w:rsid w:val="00F06866"/>
    <w:rsid w:val="00F15956"/>
    <w:rsid w:val="00F16FE4"/>
    <w:rsid w:val="00F24CFC"/>
    <w:rsid w:val="00F3170F"/>
    <w:rsid w:val="00F82E8B"/>
    <w:rsid w:val="00F9691D"/>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0122-8200-4698-9303-2630377F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walter.culbreath</cp:lastModifiedBy>
  <cp:revision>2</cp:revision>
  <cp:lastPrinted>2010-10-04T16:59:00Z</cp:lastPrinted>
  <dcterms:created xsi:type="dcterms:W3CDTF">2012-02-27T20:47:00Z</dcterms:created>
  <dcterms:modified xsi:type="dcterms:W3CDTF">2012-02-27T20:47:00Z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