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07" w:rsidRPr="00F245EA" w:rsidRDefault="00F57C07" w:rsidP="00F57C07">
      <w:pPr>
        <w:pStyle w:val="Subtitle"/>
        <w:rPr>
          <w:rFonts w:ascii="Times New Roman" w:hAnsi="Times New Roman"/>
          <w:b/>
          <w:bCs/>
          <w:kern w:val="28"/>
          <w:szCs w:val="32"/>
        </w:rPr>
      </w:pPr>
      <w:r w:rsidRPr="00F245EA">
        <w:rPr>
          <w:rFonts w:ascii="Times New Roman" w:hAnsi="Times New Roman"/>
          <w:b/>
          <w:bCs/>
          <w:kern w:val="28"/>
          <w:szCs w:val="32"/>
        </w:rPr>
        <w:t>SUPPORTING STATEMENT</w:t>
      </w:r>
    </w:p>
    <w:p w:rsidR="00F57C07" w:rsidRPr="00F245EA" w:rsidRDefault="00F57C07" w:rsidP="00F57C07">
      <w:pPr>
        <w:pStyle w:val="Subtitle"/>
        <w:rPr>
          <w:rFonts w:ascii="Times New Roman" w:hAnsi="Times New Roman"/>
          <w:b/>
          <w:bCs/>
          <w:kern w:val="28"/>
          <w:szCs w:val="32"/>
        </w:rPr>
      </w:pPr>
      <w:r w:rsidRPr="00F245EA">
        <w:rPr>
          <w:rFonts w:ascii="Times New Roman" w:hAnsi="Times New Roman"/>
          <w:b/>
          <w:bCs/>
          <w:kern w:val="28"/>
          <w:szCs w:val="32"/>
        </w:rPr>
        <w:t>ENVIRONMENTAL PROTECTION AGENCY</w:t>
      </w:r>
    </w:p>
    <w:p w:rsidR="00F57C07" w:rsidRPr="00F245EA" w:rsidRDefault="00F57C07" w:rsidP="00F57C07">
      <w:pPr>
        <w:pStyle w:val="Subtitle"/>
        <w:rPr>
          <w:rFonts w:ascii="Times New Roman" w:hAnsi="Times New Roman"/>
          <w:b/>
          <w:bCs/>
          <w:kern w:val="28"/>
          <w:szCs w:val="32"/>
        </w:rPr>
      </w:pPr>
    </w:p>
    <w:p w:rsidR="00F57C07" w:rsidRPr="00F245EA" w:rsidRDefault="00FD126E" w:rsidP="00F57C07">
      <w:pPr>
        <w:pStyle w:val="Subtitle"/>
        <w:rPr>
          <w:rFonts w:ascii="Times New Roman" w:hAnsi="Times New Roman"/>
          <w:b/>
          <w:bCs/>
          <w:kern w:val="28"/>
          <w:szCs w:val="32"/>
        </w:rPr>
      </w:pPr>
      <w:r>
        <w:rPr>
          <w:rFonts w:ascii="Times New Roman" w:hAnsi="Times New Roman"/>
          <w:b/>
          <w:bCs/>
          <w:kern w:val="28"/>
          <w:szCs w:val="32"/>
        </w:rPr>
        <w:t>NESHAP</w:t>
      </w:r>
      <w:r w:rsidR="00F57C07" w:rsidRPr="00F245EA">
        <w:rPr>
          <w:rFonts w:ascii="Times New Roman" w:hAnsi="Times New Roman"/>
          <w:b/>
          <w:bCs/>
          <w:kern w:val="28"/>
          <w:szCs w:val="32"/>
        </w:rPr>
        <w:t xml:space="preserve"> f</w:t>
      </w:r>
      <w:r>
        <w:rPr>
          <w:rFonts w:ascii="Times New Roman" w:hAnsi="Times New Roman"/>
          <w:b/>
          <w:bCs/>
          <w:kern w:val="28"/>
          <w:szCs w:val="32"/>
        </w:rPr>
        <w:t>or</w:t>
      </w:r>
      <w:r w:rsidR="00F57C07" w:rsidRPr="00F245EA">
        <w:rPr>
          <w:rFonts w:ascii="Times New Roman" w:hAnsi="Times New Roman"/>
          <w:b/>
          <w:bCs/>
          <w:kern w:val="28"/>
          <w:szCs w:val="32"/>
        </w:rPr>
        <w:t xml:space="preserve"> Coal- and Oil-fired Electric Utility Steam Generating Units</w:t>
      </w:r>
    </w:p>
    <w:p w:rsidR="00F57C07" w:rsidRDefault="00F57C07" w:rsidP="00F57C07">
      <w:pPr>
        <w:pStyle w:val="Subtitle"/>
        <w:rPr>
          <w:rFonts w:ascii="Times New Roman" w:hAnsi="Times New Roman"/>
          <w:b/>
          <w:bCs/>
          <w:kern w:val="28"/>
          <w:szCs w:val="32"/>
        </w:rPr>
      </w:pPr>
      <w:r w:rsidRPr="00F245EA">
        <w:rPr>
          <w:rFonts w:ascii="Times New Roman" w:hAnsi="Times New Roman"/>
          <w:b/>
          <w:bCs/>
          <w:kern w:val="28"/>
          <w:szCs w:val="32"/>
        </w:rPr>
        <w:t>(40 CFR part 63, subpart UUUUU</w:t>
      </w:r>
      <w:r>
        <w:rPr>
          <w:rFonts w:ascii="Times New Roman" w:hAnsi="Times New Roman"/>
          <w:b/>
          <w:bCs/>
          <w:kern w:val="28"/>
          <w:szCs w:val="32"/>
        </w:rPr>
        <w:t xml:space="preserve">) </w:t>
      </w:r>
    </w:p>
    <w:p w:rsidR="00FD126E" w:rsidRPr="00FD126E" w:rsidRDefault="00FD126E" w:rsidP="00FD126E">
      <w:pPr>
        <w:jc w:val="center"/>
        <w:rPr>
          <w:b/>
        </w:rPr>
      </w:pPr>
      <w:r w:rsidRPr="00FD126E">
        <w:rPr>
          <w:b/>
        </w:rPr>
        <w:t>(Final Rule)</w:t>
      </w:r>
    </w:p>
    <w:p w:rsidR="00F57C07" w:rsidRPr="00F245EA" w:rsidRDefault="00F57C07" w:rsidP="00F57C07">
      <w:pPr>
        <w:pStyle w:val="Heading1"/>
      </w:pPr>
      <w:r w:rsidRPr="00F245EA">
        <w:t>Part A of the Supporting Statement</w:t>
      </w:r>
    </w:p>
    <w:p w:rsidR="00F57C07" w:rsidRPr="00F245EA" w:rsidRDefault="00F57C07" w:rsidP="00F57C07">
      <w:pPr>
        <w:pStyle w:val="Heading1"/>
      </w:pPr>
      <w:r w:rsidRPr="00F245EA">
        <w:t>1.</w:t>
      </w:r>
      <w:r w:rsidRPr="00F245EA">
        <w:tab/>
        <w:t>Identification of the Information Collection</w:t>
      </w:r>
    </w:p>
    <w:p w:rsidR="00F57C07" w:rsidRPr="0068644D" w:rsidRDefault="00F57C07" w:rsidP="00F57C07">
      <w:pPr>
        <w:pStyle w:val="Heading2"/>
        <w:rPr>
          <w:i/>
          <w:iCs w:val="0"/>
        </w:rPr>
      </w:pPr>
      <w:r w:rsidRPr="0068644D">
        <w:rPr>
          <w:i/>
          <w:iCs w:val="0"/>
        </w:rPr>
        <w:t>(a)</w:t>
      </w:r>
      <w:r w:rsidRPr="0068644D">
        <w:rPr>
          <w:i/>
          <w:iCs w:val="0"/>
        </w:rPr>
        <w:tab/>
        <w:t>Title and Number of the Information Collection</w:t>
      </w:r>
    </w:p>
    <w:p w:rsidR="00F57C07" w:rsidRPr="00AD6E84" w:rsidRDefault="00F57C07" w:rsidP="00F57C07">
      <w:pPr>
        <w:pStyle w:val="Para"/>
        <w:rPr>
          <w:rFonts w:ascii="Times New Roman" w:hAnsi="Times New Roman"/>
        </w:rPr>
      </w:pPr>
      <w:r w:rsidRPr="00F245EA">
        <w:rPr>
          <w:rFonts w:ascii="Times New Roman" w:hAnsi="Times New Roman"/>
        </w:rPr>
        <w:t>“</w:t>
      </w:r>
      <w:r w:rsidR="00FD126E">
        <w:rPr>
          <w:rFonts w:ascii="Times New Roman" w:hAnsi="Times New Roman"/>
        </w:rPr>
        <w:t>NESHAP</w:t>
      </w:r>
      <w:r w:rsidRPr="00F245EA">
        <w:rPr>
          <w:rFonts w:ascii="Times New Roman" w:hAnsi="Times New Roman"/>
        </w:rPr>
        <w:t xml:space="preserve"> for Coal- and Oil-fired Electric Utility Steam Generating Units (40 CFR Part 63, Subpart UUUUU).” </w:t>
      </w:r>
      <w:r>
        <w:rPr>
          <w:rFonts w:ascii="Times New Roman" w:hAnsi="Times New Roman"/>
        </w:rPr>
        <w:t xml:space="preserve"> </w:t>
      </w:r>
      <w:r w:rsidRPr="00AD6E84">
        <w:rPr>
          <w:rFonts w:ascii="Times New Roman" w:hAnsi="Times New Roman"/>
        </w:rPr>
        <w:t xml:space="preserve">The </w:t>
      </w:r>
      <w:r>
        <w:rPr>
          <w:rFonts w:ascii="Times New Roman" w:hAnsi="Times New Roman"/>
        </w:rPr>
        <w:t>Office of Management and Budget (</w:t>
      </w:r>
      <w:r w:rsidRPr="00AD6E84">
        <w:rPr>
          <w:rFonts w:ascii="Times New Roman" w:hAnsi="Times New Roman"/>
        </w:rPr>
        <w:t>OMB</w:t>
      </w:r>
      <w:r>
        <w:rPr>
          <w:rFonts w:ascii="Times New Roman" w:hAnsi="Times New Roman"/>
        </w:rPr>
        <w:t>)</w:t>
      </w:r>
      <w:r w:rsidRPr="00AD6E84">
        <w:rPr>
          <w:rFonts w:ascii="Times New Roman" w:hAnsi="Times New Roman"/>
        </w:rPr>
        <w:t xml:space="preserve"> previously approved the information collection requirements for the </w:t>
      </w:r>
      <w:r>
        <w:rPr>
          <w:rFonts w:ascii="Times New Roman" w:hAnsi="Times New Roman"/>
        </w:rPr>
        <w:t>Clean Air Mercury Rule (CAMR) in 2005</w:t>
      </w:r>
      <w:r w:rsidR="00FD126E">
        <w:rPr>
          <w:rFonts w:ascii="Times New Roman" w:hAnsi="Times New Roman"/>
        </w:rPr>
        <w:t xml:space="preserve"> under OMB Control Number 2060-0567</w:t>
      </w:r>
      <w:r w:rsidRPr="00AD6E84">
        <w:rPr>
          <w:rFonts w:ascii="Times New Roman" w:hAnsi="Times New Roman"/>
        </w:rPr>
        <w:t xml:space="preserve">. </w:t>
      </w:r>
      <w:r>
        <w:rPr>
          <w:rFonts w:ascii="Times New Roman" w:hAnsi="Times New Roman"/>
        </w:rPr>
        <w:t xml:space="preserve"> However, the ICR was discontinued because CAMR was vacated by the United States (U.S.) Court of Appeals for the District of Columbia Circuit (D.C. Circuit Court) on February 8, 2008.  Because that information collection was developed explicitly to determine compliance with CAMR, it was no longer needed.  Thus, a new information collection request (ICR) was prepared in support of the national emission standards for hazardous air pollutants from coal- and oil-fired EGUs that were proposed earlier in 2011 (76 FR 24976, May 3, 2011).  This ICR is in support of the standards being promulgated.  The OMB</w:t>
      </w:r>
      <w:r w:rsidRPr="00AD6E84">
        <w:rPr>
          <w:rFonts w:ascii="Times New Roman" w:hAnsi="Times New Roman"/>
        </w:rPr>
        <w:t xml:space="preserve"> </w:t>
      </w:r>
      <w:r>
        <w:rPr>
          <w:rFonts w:ascii="Times New Roman" w:hAnsi="Times New Roman"/>
        </w:rPr>
        <w:t>control number is 2060-0567.  The EPA ICR tracking number is 2137.06</w:t>
      </w:r>
      <w:r w:rsidRPr="00916005">
        <w:rPr>
          <w:rFonts w:ascii="Times New Roman" w:hAnsi="Times New Roman"/>
        </w:rPr>
        <w:t>.</w:t>
      </w:r>
    </w:p>
    <w:p w:rsidR="00F57C07" w:rsidRPr="0068644D" w:rsidRDefault="00F57C07" w:rsidP="00F57C07">
      <w:pPr>
        <w:pStyle w:val="Heading2"/>
        <w:rPr>
          <w:i/>
          <w:iCs w:val="0"/>
        </w:rPr>
      </w:pPr>
      <w:r w:rsidRPr="0068644D">
        <w:rPr>
          <w:i/>
          <w:iCs w:val="0"/>
        </w:rPr>
        <w:t>(b)</w:t>
      </w:r>
      <w:r w:rsidRPr="0068644D">
        <w:rPr>
          <w:i/>
          <w:iCs w:val="0"/>
        </w:rPr>
        <w:tab/>
        <w:t>Short Characterization</w:t>
      </w:r>
    </w:p>
    <w:p w:rsidR="00F57C07" w:rsidRPr="009E7118" w:rsidRDefault="00F57C07" w:rsidP="00F57C07">
      <w:pPr>
        <w:pStyle w:val="Para"/>
        <w:rPr>
          <w:rFonts w:ascii="Times New Roman" w:hAnsi="Times New Roman"/>
        </w:rPr>
      </w:pPr>
      <w:r w:rsidRPr="009E7118">
        <w:rPr>
          <w:rFonts w:ascii="Times New Roman" w:hAnsi="Times New Roman"/>
        </w:rPr>
        <w:t>On May 3, 2011, under authority of Clean Air Act (CAA) section 112, the EPA proposed national emission standards for hazardous air pollutants (NESHAP) from coal- and oil-fired electric utility steam generating units (EGUs) (76 FR 24976). After consideration of public com</w:t>
      </w:r>
      <w:r>
        <w:rPr>
          <w:rFonts w:ascii="Times New Roman" w:hAnsi="Times New Roman"/>
        </w:rPr>
        <w:t>ments, the EPA is finalizing the</w:t>
      </w:r>
      <w:r w:rsidRPr="009E7118">
        <w:rPr>
          <w:rFonts w:ascii="Times New Roman" w:hAnsi="Times New Roman"/>
        </w:rPr>
        <w:t xml:space="preserve"> rule in this action.</w:t>
      </w:r>
    </w:p>
    <w:p w:rsidR="00F57C07" w:rsidRDefault="00F57C07" w:rsidP="00F57C07">
      <w:pPr>
        <w:pStyle w:val="Para"/>
        <w:rPr>
          <w:rFonts w:ascii="Times New Roman" w:hAnsi="Times New Roman"/>
          <w:highlight w:val="yellow"/>
        </w:rPr>
      </w:pPr>
      <w:r w:rsidRPr="009E7118">
        <w:rPr>
          <w:rFonts w:ascii="Times New Roman" w:hAnsi="Times New Roman"/>
        </w:rPr>
        <w:t>Pursuant to CAA section 112, the EPA is establishing NESHAP that will require coal- and oil-fired EGUs to meet hazardous air pollutant (HAP) standards reflecting the application of the maximum achievable control technology. This rule protects air quality and promotes public health by reducing emissions of the HAP listed in CAA section 112(b)(1).</w:t>
      </w:r>
    </w:p>
    <w:p w:rsidR="00F57C07" w:rsidRPr="009E7118" w:rsidRDefault="00F57C07" w:rsidP="00F57C07">
      <w:pPr>
        <w:pStyle w:val="Para"/>
        <w:rPr>
          <w:rFonts w:ascii="Times New Roman" w:hAnsi="Times New Roman"/>
        </w:rPr>
      </w:pPr>
      <w:r>
        <w:rPr>
          <w:rFonts w:ascii="Times New Roman" w:hAnsi="Times New Roman"/>
        </w:rPr>
        <w:t>In general, all NESHAP standards require initial notifications, performance tests, and periodic reports</w:t>
      </w:r>
      <w:r w:rsidRPr="005E01D7">
        <w:rPr>
          <w:rFonts w:ascii="Times New Roman" w:hAnsi="Times New Roman"/>
        </w:rPr>
        <w:t xml:space="preserve">. </w:t>
      </w:r>
      <w:r>
        <w:rPr>
          <w:rFonts w:ascii="Times New Roman" w:hAnsi="Times New Roman"/>
        </w:rPr>
        <w:t>These notifications, reports, and records are essential in determining compliance, and are required of all sources subject to the NESHAP.</w:t>
      </w:r>
    </w:p>
    <w:p w:rsidR="00F57C07" w:rsidRPr="009E7118" w:rsidRDefault="00F57C07" w:rsidP="00F57C07">
      <w:pPr>
        <w:pStyle w:val="Para"/>
        <w:rPr>
          <w:rFonts w:ascii="Times New Roman" w:hAnsi="Times New Roman"/>
        </w:rPr>
      </w:pPr>
      <w:r>
        <w:rPr>
          <w:rFonts w:ascii="Times New Roman" w:hAnsi="Times New Roman"/>
        </w:rPr>
        <w:t>Any owner or operator subject to the provisions of this part shall maintain a file of these measurements, an</w:t>
      </w:r>
      <w:r w:rsidR="006B65BC">
        <w:rPr>
          <w:rFonts w:ascii="Times New Roman" w:hAnsi="Times New Roman"/>
        </w:rPr>
        <w:t>d retain the file for at least 5</w:t>
      </w:r>
      <w:r>
        <w:rPr>
          <w:rFonts w:ascii="Times New Roman" w:hAnsi="Times New Roman"/>
        </w:rPr>
        <w:t xml:space="preserve"> years following the date of such measurements, maintenance reports, and records</w:t>
      </w:r>
      <w:r w:rsidRPr="005E01D7">
        <w:rPr>
          <w:rFonts w:ascii="Times New Roman" w:hAnsi="Times New Roman"/>
        </w:rPr>
        <w:t xml:space="preserve">. </w:t>
      </w:r>
      <w:r>
        <w:rPr>
          <w:rFonts w:ascii="Times New Roman" w:hAnsi="Times New Roman"/>
        </w:rPr>
        <w:t>All reports are sent to the delegated state or local authority. In the event that there is no such delegated authority, the reports are sent directly to the U</w:t>
      </w:r>
      <w:r w:rsidR="006B65BC">
        <w:rPr>
          <w:rFonts w:ascii="Times New Roman" w:hAnsi="Times New Roman"/>
        </w:rPr>
        <w:t>.S.</w:t>
      </w:r>
      <w:r>
        <w:rPr>
          <w:rFonts w:ascii="Times New Roman" w:hAnsi="Times New Roman"/>
        </w:rPr>
        <w:t xml:space="preserve"> Environmental Protection Agency (EPA) regional office.</w:t>
      </w:r>
    </w:p>
    <w:p w:rsidR="00F57C07" w:rsidRDefault="00F57C07" w:rsidP="00F57C07">
      <w:pPr>
        <w:pStyle w:val="Para"/>
        <w:rPr>
          <w:rFonts w:ascii="Times New Roman" w:hAnsi="Times New Roman"/>
        </w:rPr>
      </w:pPr>
      <w:r w:rsidRPr="005F07B2">
        <w:rPr>
          <w:rFonts w:ascii="Times New Roman" w:hAnsi="Times New Roman"/>
        </w:rPr>
        <w:t xml:space="preserve">Potential respondents are owners and operators of coal- and oil-fired </w:t>
      </w:r>
      <w:r>
        <w:rPr>
          <w:rFonts w:ascii="Times New Roman" w:hAnsi="Times New Roman"/>
        </w:rPr>
        <w:t>EGUs</w:t>
      </w:r>
      <w:r w:rsidRPr="005F07B2">
        <w:rPr>
          <w:rFonts w:ascii="Times New Roman" w:hAnsi="Times New Roman"/>
        </w:rPr>
        <w:t xml:space="preserve">. The final rule regulates HCl, filterable PM, Hg, and organic HAP from coal-fired EGUs. For oil-fired EGUs, the final rule regulates HCl, HF, filterable PM, and organic HAP. Following initial </w:t>
      </w:r>
      <w:r w:rsidRPr="005F07B2">
        <w:rPr>
          <w:rFonts w:ascii="Times New Roman" w:hAnsi="Times New Roman"/>
        </w:rPr>
        <w:lastRenderedPageBreak/>
        <w:t xml:space="preserve">performance tests, owners/operators of EGUs will be required to demonstrate compliance with emission limits through continuously monitoring PM, Hg, HCl, and HF (oil-fired EGUs) emissions. The final rule includes a work practice standard for organic HAP; the work practice standard requires the implementation of periodic burner tune-up procedures. Respondents will be required to notify </w:t>
      </w:r>
      <w:r w:rsidR="006B65BC">
        <w:rPr>
          <w:rFonts w:ascii="Times New Roman" w:hAnsi="Times New Roman"/>
        </w:rPr>
        <w:t xml:space="preserve">the </w:t>
      </w:r>
      <w:r w:rsidRPr="005F07B2">
        <w:rPr>
          <w:rFonts w:ascii="Times New Roman" w:hAnsi="Times New Roman"/>
        </w:rPr>
        <w:t xml:space="preserve">EPA of performance tests and CEMS demonstrations, and to maintain records demonstrating compliance with each emission limit and work practice standard. </w:t>
      </w:r>
      <w:r w:rsidRPr="005E01D7">
        <w:rPr>
          <w:rFonts w:ascii="Times New Roman" w:hAnsi="Times New Roman"/>
        </w:rPr>
        <w:t xml:space="preserve"> </w:t>
      </w:r>
      <w:r>
        <w:rPr>
          <w:rFonts w:ascii="Times New Roman" w:hAnsi="Times New Roman"/>
        </w:rPr>
        <w:t xml:space="preserve">These requirements are listed in </w:t>
      </w:r>
      <w:r w:rsidRPr="005E01D7">
        <w:rPr>
          <w:rFonts w:ascii="Times New Roman" w:hAnsi="Times New Roman"/>
        </w:rPr>
        <w:t>Table</w:t>
      </w:r>
      <w:r>
        <w:rPr>
          <w:rFonts w:ascii="Times New Roman" w:hAnsi="Times New Roman"/>
        </w:rPr>
        <w:t xml:space="preserve"> 1.</w:t>
      </w:r>
    </w:p>
    <w:p w:rsidR="00F57C07" w:rsidRPr="004D126B" w:rsidRDefault="00F57C07" w:rsidP="00FD126E">
      <w:pPr>
        <w:pStyle w:val="Para"/>
        <w:rPr>
          <w:rFonts w:ascii="Times New Roman" w:hAnsi="Times New Roman"/>
        </w:rPr>
      </w:pPr>
      <w:r w:rsidRPr="00556D4D">
        <w:rPr>
          <w:rFonts w:ascii="Times New Roman" w:hAnsi="Times New Roman"/>
        </w:rPr>
        <w:t>Approximately 1,24</w:t>
      </w:r>
      <w:r>
        <w:rPr>
          <w:rFonts w:ascii="Times New Roman" w:hAnsi="Times New Roman"/>
        </w:rPr>
        <w:t>4</w:t>
      </w:r>
      <w:r w:rsidRPr="00556D4D">
        <w:rPr>
          <w:rFonts w:ascii="Times New Roman" w:hAnsi="Times New Roman"/>
        </w:rPr>
        <w:t xml:space="preserve"> electric</w:t>
      </w:r>
      <w:r w:rsidRPr="007E09A5">
        <w:rPr>
          <w:rFonts w:ascii="Times New Roman" w:hAnsi="Times New Roman"/>
        </w:rPr>
        <w:t xml:space="preserve"> generating units are currently subject to the regulation, and it is estimated that </w:t>
      </w:r>
      <w:r w:rsidRPr="00196700">
        <w:rPr>
          <w:rFonts w:ascii="Times New Roman" w:hAnsi="Times New Roman"/>
        </w:rPr>
        <w:t>2</w:t>
      </w:r>
      <w:r w:rsidRPr="007E09A5">
        <w:rPr>
          <w:rFonts w:ascii="Times New Roman" w:hAnsi="Times New Roman"/>
        </w:rPr>
        <w:t xml:space="preserve"> new electric generating units will be built each year.</w:t>
      </w:r>
    </w:p>
    <w:p w:rsidR="00F57C07" w:rsidRPr="00F245EA" w:rsidRDefault="00F57C07" w:rsidP="00F57C07">
      <w:pPr>
        <w:pStyle w:val="Heading1"/>
        <w:ind w:left="0" w:firstLine="0"/>
      </w:pPr>
      <w:r w:rsidRPr="00F245EA">
        <w:t>2.</w:t>
      </w:r>
      <w:r w:rsidRPr="00F245EA">
        <w:tab/>
        <w:t>Need for and Use of the Collection</w:t>
      </w:r>
    </w:p>
    <w:p w:rsidR="00F57C07" w:rsidRPr="0068644D" w:rsidRDefault="00F57C07" w:rsidP="00F57C07">
      <w:pPr>
        <w:pStyle w:val="Heading2"/>
        <w:rPr>
          <w:i/>
          <w:iCs w:val="0"/>
        </w:rPr>
      </w:pPr>
      <w:r w:rsidRPr="0068644D">
        <w:rPr>
          <w:i/>
          <w:iCs w:val="0"/>
        </w:rPr>
        <w:t>(a)</w:t>
      </w:r>
      <w:r w:rsidRPr="0068644D">
        <w:rPr>
          <w:i/>
          <w:iCs w:val="0"/>
        </w:rPr>
        <w:tab/>
        <w:t>Need/Authority for the Collection</w:t>
      </w:r>
    </w:p>
    <w:p w:rsidR="00F57C07" w:rsidRPr="00F245EA" w:rsidRDefault="00F57C07" w:rsidP="00F57C07">
      <w:pPr>
        <w:pStyle w:val="Para"/>
        <w:rPr>
          <w:rFonts w:ascii="Times New Roman" w:hAnsi="Times New Roman"/>
        </w:rPr>
      </w:pPr>
      <w:r w:rsidRPr="00F245EA">
        <w:rPr>
          <w:rFonts w:ascii="Times New Roman" w:hAnsi="Times New Roman"/>
        </w:rPr>
        <w:t xml:space="preserve">Section 112 of the CAA requires that </w:t>
      </w:r>
      <w:r w:rsidR="006B65BC">
        <w:rPr>
          <w:rFonts w:ascii="Times New Roman" w:hAnsi="Times New Roman"/>
        </w:rPr>
        <w:t xml:space="preserve">the </w:t>
      </w:r>
      <w:r w:rsidRPr="00F245EA">
        <w:rPr>
          <w:rFonts w:ascii="Times New Roman" w:hAnsi="Times New Roman"/>
        </w:rPr>
        <w:t>EPA establish MACT standards for new or existing major or area sources according to the requirements in section 112(d). Certain records and reports are necessary for the Administrator to: (1) confirm the compliance status of major sources, identify any non-major sources not subject to the standards, and identify new or reconstructed sources subject to the standards; and (2) ensure that the MACT standards are being achieved on a continuous basis. These recordkeeping and reporting requirements are specifically authorized by section 114 of the CAA (42 U.S.C. 7414) and set out in the General Provisions for NESHAP in 40 CFR part 63, subpart A.</w:t>
      </w:r>
    </w:p>
    <w:p w:rsidR="00F57C07" w:rsidRPr="0068644D" w:rsidRDefault="00F57C07" w:rsidP="00F57C07">
      <w:pPr>
        <w:pStyle w:val="Heading2"/>
        <w:rPr>
          <w:i/>
          <w:iCs w:val="0"/>
        </w:rPr>
      </w:pPr>
      <w:r w:rsidRPr="0068644D">
        <w:rPr>
          <w:i/>
          <w:iCs w:val="0"/>
        </w:rPr>
        <w:t>(b)</w:t>
      </w:r>
      <w:r w:rsidRPr="0068644D">
        <w:rPr>
          <w:i/>
          <w:iCs w:val="0"/>
        </w:rPr>
        <w:tab/>
        <w:t>Use/Users of the Data</w:t>
      </w:r>
    </w:p>
    <w:p w:rsidR="00F57C07" w:rsidRPr="00F245EA" w:rsidRDefault="00F57C07" w:rsidP="00F57C07">
      <w:pPr>
        <w:pStyle w:val="Para"/>
        <w:rPr>
          <w:rFonts w:ascii="Times New Roman" w:hAnsi="Times New Roman"/>
        </w:rPr>
      </w:pPr>
      <w:r w:rsidRPr="00F245EA">
        <w:rPr>
          <w:rFonts w:ascii="Times New Roman" w:hAnsi="Times New Roman"/>
        </w:rPr>
        <w:t xml:space="preserve">The additional information will be used by </w:t>
      </w:r>
      <w:r w:rsidR="006B65BC">
        <w:rPr>
          <w:rFonts w:ascii="Times New Roman" w:hAnsi="Times New Roman"/>
        </w:rPr>
        <w:t>a</w:t>
      </w:r>
      <w:r w:rsidRPr="00F245EA">
        <w:rPr>
          <w:rFonts w:ascii="Times New Roman" w:hAnsi="Times New Roman"/>
        </w:rPr>
        <w:t>gency enforcement personnel to ensure that the emission limitations are being achieved</w:t>
      </w:r>
      <w:r>
        <w:rPr>
          <w:rFonts w:ascii="Times New Roman" w:hAnsi="Times New Roman"/>
        </w:rPr>
        <w:t xml:space="preserve">. </w:t>
      </w:r>
      <w:r w:rsidRPr="00F245EA">
        <w:rPr>
          <w:rFonts w:ascii="Times New Roman" w:hAnsi="Times New Roman"/>
        </w:rPr>
        <w:t xml:space="preserve">Based on review of the recorded information at the site and the reported information, </w:t>
      </w:r>
      <w:r w:rsidR="006B65BC">
        <w:rPr>
          <w:rFonts w:ascii="Times New Roman" w:hAnsi="Times New Roman"/>
        </w:rPr>
        <w:t xml:space="preserve">the </w:t>
      </w:r>
      <w:r w:rsidRPr="00F245EA">
        <w:rPr>
          <w:rFonts w:ascii="Times New Roman" w:hAnsi="Times New Roman"/>
        </w:rPr>
        <w:t>EPA can identify facilities that may not be in compliance and decide which plants, records, or processes should be inspected.</w:t>
      </w:r>
    </w:p>
    <w:p w:rsidR="00F57C07" w:rsidRPr="00F245EA" w:rsidRDefault="00F57C07" w:rsidP="00F57C07">
      <w:pPr>
        <w:pStyle w:val="Heading1"/>
        <w:ind w:left="0" w:firstLine="0"/>
      </w:pPr>
      <w:r w:rsidRPr="00F245EA">
        <w:t>3.</w:t>
      </w:r>
      <w:r w:rsidRPr="00F245EA">
        <w:tab/>
        <w:t>Nonduplication, Consultations, and Other Collection Criteria</w:t>
      </w:r>
    </w:p>
    <w:p w:rsidR="00F57C07" w:rsidRPr="0068644D" w:rsidRDefault="00F57C07" w:rsidP="00F57C07">
      <w:pPr>
        <w:pStyle w:val="Heading2"/>
        <w:rPr>
          <w:i/>
          <w:iCs w:val="0"/>
        </w:rPr>
      </w:pPr>
      <w:r w:rsidRPr="0068644D">
        <w:rPr>
          <w:i/>
          <w:iCs w:val="0"/>
        </w:rPr>
        <w:t>(a)</w:t>
      </w:r>
      <w:r w:rsidRPr="0068644D">
        <w:rPr>
          <w:i/>
          <w:iCs w:val="0"/>
        </w:rPr>
        <w:tab/>
        <w:t>Nonduplication</w:t>
      </w:r>
    </w:p>
    <w:p w:rsidR="00F57C07" w:rsidRPr="009B35B5" w:rsidRDefault="00F57C07" w:rsidP="00F57C07">
      <w:pPr>
        <w:pStyle w:val="Para"/>
        <w:rPr>
          <w:rFonts w:ascii="Times New Roman" w:hAnsi="Times New Roman"/>
        </w:rPr>
      </w:pPr>
      <w:r w:rsidRPr="009B35B5">
        <w:rPr>
          <w:rFonts w:ascii="Times New Roman" w:hAnsi="Times New Roman"/>
        </w:rPr>
        <w:t xml:space="preserve">No other regulation currently requires the same information requested under this ICR from owners/operators of </w:t>
      </w:r>
      <w:r w:rsidR="006B65BC">
        <w:rPr>
          <w:rFonts w:ascii="Times New Roman" w:hAnsi="Times New Roman"/>
        </w:rPr>
        <w:t>c</w:t>
      </w:r>
      <w:r w:rsidRPr="009B35B5">
        <w:rPr>
          <w:rFonts w:ascii="Times New Roman" w:hAnsi="Times New Roman"/>
        </w:rPr>
        <w:t xml:space="preserve">oal- and </w:t>
      </w:r>
      <w:r w:rsidR="006B65BC">
        <w:rPr>
          <w:rFonts w:ascii="Times New Roman" w:hAnsi="Times New Roman"/>
        </w:rPr>
        <w:t>o</w:t>
      </w:r>
      <w:r w:rsidRPr="009B35B5">
        <w:rPr>
          <w:rFonts w:ascii="Times New Roman" w:hAnsi="Times New Roman"/>
        </w:rPr>
        <w:t>il-fired E</w:t>
      </w:r>
      <w:r>
        <w:rPr>
          <w:rFonts w:ascii="Times New Roman" w:hAnsi="Times New Roman"/>
        </w:rPr>
        <w:t xml:space="preserve">GUs. </w:t>
      </w:r>
      <w:r w:rsidRPr="009B35B5">
        <w:rPr>
          <w:rFonts w:ascii="Times New Roman" w:hAnsi="Times New Roman"/>
        </w:rPr>
        <w:t xml:space="preserve">In the event that certain reports required by </w:t>
      </w:r>
      <w:r>
        <w:rPr>
          <w:rFonts w:ascii="Times New Roman" w:hAnsi="Times New Roman"/>
        </w:rPr>
        <w:t>s</w:t>
      </w:r>
      <w:r w:rsidRPr="009B35B5">
        <w:rPr>
          <w:rFonts w:ascii="Times New Roman" w:hAnsi="Times New Roman"/>
        </w:rPr>
        <w:t xml:space="preserve">tate or local agencies may duplicate information required by the proposed </w:t>
      </w:r>
      <w:r>
        <w:rPr>
          <w:rFonts w:ascii="Times New Roman" w:hAnsi="Times New Roman"/>
        </w:rPr>
        <w:t>requirements</w:t>
      </w:r>
      <w:r w:rsidRPr="009B35B5">
        <w:rPr>
          <w:rFonts w:ascii="Times New Roman" w:hAnsi="Times New Roman"/>
        </w:rPr>
        <w:t xml:space="preserve">, a copy of the report submitted to the </w:t>
      </w:r>
      <w:r>
        <w:rPr>
          <w:rFonts w:ascii="Times New Roman" w:hAnsi="Times New Roman"/>
        </w:rPr>
        <w:t>s</w:t>
      </w:r>
      <w:r w:rsidRPr="009B35B5">
        <w:rPr>
          <w:rFonts w:ascii="Times New Roman" w:hAnsi="Times New Roman"/>
        </w:rPr>
        <w:t xml:space="preserve">tate or local agency can be provided to the Administrator in lieu of the information that would be required in the semi-annual compliance report. Therefore, no duplication exists. </w:t>
      </w:r>
    </w:p>
    <w:p w:rsidR="00F57C07" w:rsidRPr="0068644D" w:rsidRDefault="00F57C07" w:rsidP="00F57C07">
      <w:pPr>
        <w:pStyle w:val="Heading2"/>
        <w:rPr>
          <w:i/>
          <w:iCs w:val="0"/>
        </w:rPr>
      </w:pPr>
      <w:r w:rsidRPr="0068644D">
        <w:rPr>
          <w:i/>
          <w:iCs w:val="0"/>
        </w:rPr>
        <w:t>(b)</w:t>
      </w:r>
      <w:r w:rsidRPr="0068644D">
        <w:rPr>
          <w:i/>
          <w:iCs w:val="0"/>
        </w:rPr>
        <w:tab/>
        <w:t>Public Notice Required Prior to ICR Submission to OMB</w:t>
      </w:r>
    </w:p>
    <w:p w:rsidR="00F57C07" w:rsidRPr="009B35B5" w:rsidRDefault="00FD126E" w:rsidP="00F57C07">
      <w:pPr>
        <w:pStyle w:val="Para"/>
        <w:rPr>
          <w:rFonts w:ascii="Times New Roman" w:hAnsi="Times New Roman"/>
        </w:rPr>
      </w:pPr>
      <w:r>
        <w:rPr>
          <w:rFonts w:ascii="Times New Roman" w:hAnsi="Times New Roman"/>
        </w:rPr>
        <w:t>The final rule will provide public notice of the ICR.</w:t>
      </w:r>
    </w:p>
    <w:p w:rsidR="00F57C07" w:rsidRPr="0068644D" w:rsidRDefault="00F57C07" w:rsidP="00F57C07">
      <w:pPr>
        <w:pStyle w:val="Heading2"/>
        <w:rPr>
          <w:i/>
          <w:iCs w:val="0"/>
          <w:highlight w:val="yellow"/>
        </w:rPr>
      </w:pPr>
      <w:r w:rsidRPr="0068644D">
        <w:rPr>
          <w:i/>
          <w:iCs w:val="0"/>
        </w:rPr>
        <w:t>(c)</w:t>
      </w:r>
      <w:r w:rsidRPr="0068644D">
        <w:rPr>
          <w:i/>
          <w:iCs w:val="0"/>
        </w:rPr>
        <w:tab/>
        <w:t>Consultations</w:t>
      </w:r>
    </w:p>
    <w:p w:rsidR="00F57C07" w:rsidRPr="00E545A0" w:rsidRDefault="006B65BC" w:rsidP="00F57C07">
      <w:pPr>
        <w:pStyle w:val="Para"/>
        <w:rPr>
          <w:rFonts w:ascii="Times New Roman" w:hAnsi="Times New Roman"/>
        </w:rPr>
      </w:pPr>
      <w:r>
        <w:rPr>
          <w:rFonts w:ascii="Times New Roman" w:hAnsi="Times New Roman"/>
        </w:rPr>
        <w:t xml:space="preserve">The </w:t>
      </w:r>
      <w:r w:rsidR="00F57C07" w:rsidRPr="00E545A0">
        <w:rPr>
          <w:rFonts w:ascii="Times New Roman" w:hAnsi="Times New Roman"/>
        </w:rPr>
        <w:t xml:space="preserve">EPA met with 10 national organizations representing </w:t>
      </w:r>
      <w:r>
        <w:rPr>
          <w:rFonts w:ascii="Times New Roman" w:hAnsi="Times New Roman"/>
        </w:rPr>
        <w:t>s</w:t>
      </w:r>
      <w:r w:rsidR="00F57C07" w:rsidRPr="00E545A0">
        <w:rPr>
          <w:rFonts w:ascii="Times New Roman" w:hAnsi="Times New Roman"/>
        </w:rPr>
        <w:t xml:space="preserve">tate and local elected officials to provide general background on the proposal, answer questions, and solicit input from </w:t>
      </w:r>
      <w:r>
        <w:rPr>
          <w:rFonts w:ascii="Times New Roman" w:hAnsi="Times New Roman"/>
        </w:rPr>
        <w:t>s</w:t>
      </w:r>
      <w:r w:rsidR="00F57C07" w:rsidRPr="00E545A0">
        <w:rPr>
          <w:rFonts w:ascii="Times New Roman" w:hAnsi="Times New Roman"/>
        </w:rPr>
        <w:t xml:space="preserve">tate/local governments. </w:t>
      </w:r>
      <w:r>
        <w:rPr>
          <w:rFonts w:ascii="Times New Roman" w:hAnsi="Times New Roman"/>
        </w:rPr>
        <w:t xml:space="preserve">The </w:t>
      </w:r>
      <w:r w:rsidR="00F57C07" w:rsidRPr="00E545A0">
        <w:rPr>
          <w:rFonts w:ascii="Times New Roman" w:hAnsi="Times New Roman"/>
        </w:rPr>
        <w:t xml:space="preserve">EPA also consulted with Tribal officials early in the process of developing the proposed rule to permit them to have meaningful and timely input into its </w:t>
      </w:r>
      <w:r w:rsidR="00F57C07" w:rsidRPr="00E545A0">
        <w:rPr>
          <w:rFonts w:ascii="Times New Roman" w:hAnsi="Times New Roman"/>
        </w:rPr>
        <w:lastRenderedPageBreak/>
        <w:t xml:space="preserve">development. Consultation letters were sent to 584 Tribal leaders. The letters provided information regarding </w:t>
      </w:r>
      <w:r>
        <w:rPr>
          <w:rFonts w:ascii="Times New Roman" w:hAnsi="Times New Roman"/>
        </w:rPr>
        <w:t xml:space="preserve">the </w:t>
      </w:r>
      <w:r w:rsidR="00F57C07" w:rsidRPr="00E545A0">
        <w:rPr>
          <w:rFonts w:ascii="Times New Roman" w:hAnsi="Times New Roman"/>
        </w:rPr>
        <w:t>EPA’s development of NESHAP for EGUs and offered consultation. Three consultation meetings were requested and held. We conducted outreach and information sharing with tribal environmental staff through the monthly National Tribal Air Association calls, at the National Tribal Forum, and a webinar targeting tribal environmental professionals on the content of the proposal.</w:t>
      </w:r>
      <w:r>
        <w:rPr>
          <w:rFonts w:ascii="Times New Roman" w:hAnsi="Times New Roman"/>
        </w:rPr>
        <w:t xml:space="preserve">  </w:t>
      </w:r>
      <w:r w:rsidR="00F57C07" w:rsidRPr="00E545A0">
        <w:rPr>
          <w:rFonts w:ascii="Times New Roman" w:hAnsi="Times New Roman"/>
        </w:rPr>
        <w:t xml:space="preserve">Because of concerns raised by several tribes, and in order to help us better understand their concerns, we also participated in a face-to-face meeting with tribes in Arizona who were concerned about the potential impact of this rule on their income and water rights. Following that meeting, we held an additional technical meeting on how </w:t>
      </w:r>
      <w:r>
        <w:rPr>
          <w:rFonts w:ascii="Times New Roman" w:hAnsi="Times New Roman"/>
        </w:rPr>
        <w:t xml:space="preserve">the </w:t>
      </w:r>
      <w:r w:rsidR="00F57C07">
        <w:rPr>
          <w:rFonts w:ascii="Times New Roman" w:hAnsi="Times New Roman"/>
        </w:rPr>
        <w:t>EPA’s integrated planning model (</w:t>
      </w:r>
      <w:r w:rsidR="00F57C07" w:rsidRPr="00E545A0">
        <w:rPr>
          <w:rFonts w:ascii="Times New Roman" w:hAnsi="Times New Roman"/>
        </w:rPr>
        <w:t>IPM</w:t>
      </w:r>
      <w:r w:rsidR="00F57C07">
        <w:rPr>
          <w:rFonts w:ascii="Times New Roman" w:hAnsi="Times New Roman"/>
        </w:rPr>
        <w:t>)</w:t>
      </w:r>
      <w:r w:rsidR="00F57C07" w:rsidRPr="00E545A0">
        <w:rPr>
          <w:rFonts w:ascii="Times New Roman" w:hAnsi="Times New Roman"/>
        </w:rPr>
        <w:t xml:space="preserve"> is used in the </w:t>
      </w:r>
      <w:r w:rsidR="00F57C07">
        <w:rPr>
          <w:rFonts w:ascii="Times New Roman" w:hAnsi="Times New Roman"/>
        </w:rPr>
        <w:t>regulatory impact analysis (</w:t>
      </w:r>
      <w:r w:rsidR="00F57C07" w:rsidRPr="00E545A0">
        <w:rPr>
          <w:rFonts w:ascii="Times New Roman" w:hAnsi="Times New Roman"/>
        </w:rPr>
        <w:t>RIA</w:t>
      </w:r>
      <w:r w:rsidR="00F57C07">
        <w:rPr>
          <w:rFonts w:ascii="Times New Roman" w:hAnsi="Times New Roman"/>
        </w:rPr>
        <w:t>)</w:t>
      </w:r>
      <w:r w:rsidR="00F57C07" w:rsidRPr="00E545A0">
        <w:rPr>
          <w:rFonts w:ascii="Times New Roman" w:hAnsi="Times New Roman"/>
        </w:rPr>
        <w:t xml:space="preserve"> and provided one-on-one consultation with the Navajo Nation, Gila River Indian Community and the Ak-Chin Indian Community. </w:t>
      </w:r>
    </w:p>
    <w:p w:rsidR="00F57C07" w:rsidRPr="00E545A0" w:rsidRDefault="00F57C07" w:rsidP="00F57C07">
      <w:pPr>
        <w:pStyle w:val="Heading2"/>
        <w:rPr>
          <w:i/>
          <w:iCs w:val="0"/>
        </w:rPr>
      </w:pPr>
      <w:r w:rsidRPr="00E545A0">
        <w:rPr>
          <w:i/>
          <w:iCs w:val="0"/>
        </w:rPr>
        <w:t>(d)</w:t>
      </w:r>
      <w:r w:rsidRPr="00E545A0">
        <w:rPr>
          <w:i/>
          <w:iCs w:val="0"/>
        </w:rPr>
        <w:tab/>
        <w:t>Effects of Less Frequent Collection</w:t>
      </w:r>
    </w:p>
    <w:p w:rsidR="00F57C07" w:rsidRPr="00E545A0" w:rsidRDefault="00F57C07" w:rsidP="00F57C07">
      <w:pPr>
        <w:pStyle w:val="Para"/>
        <w:rPr>
          <w:rFonts w:ascii="Times New Roman" w:hAnsi="Times New Roman"/>
        </w:rPr>
      </w:pPr>
      <w:r w:rsidRPr="00E545A0">
        <w:rPr>
          <w:rFonts w:ascii="Times New Roman" w:hAnsi="Times New Roman"/>
        </w:rPr>
        <w:t xml:space="preserve">If the relevant information were collected less frequently, </w:t>
      </w:r>
      <w:r w:rsidR="006B65BC">
        <w:rPr>
          <w:rFonts w:ascii="Times New Roman" w:hAnsi="Times New Roman"/>
        </w:rPr>
        <w:t xml:space="preserve">the </w:t>
      </w:r>
      <w:r w:rsidRPr="00E545A0">
        <w:rPr>
          <w:rFonts w:ascii="Times New Roman" w:hAnsi="Times New Roman"/>
        </w:rPr>
        <w:t>EPA would not be reasonably assured that a plant is in compliance with the standards.</w:t>
      </w:r>
    </w:p>
    <w:p w:rsidR="00F57C07" w:rsidRPr="0068644D" w:rsidRDefault="00F57C07" w:rsidP="00F57C07">
      <w:pPr>
        <w:pStyle w:val="Heading2"/>
        <w:rPr>
          <w:i/>
          <w:iCs w:val="0"/>
        </w:rPr>
      </w:pPr>
      <w:r w:rsidRPr="0068644D">
        <w:rPr>
          <w:i/>
          <w:iCs w:val="0"/>
        </w:rPr>
        <w:t>(e)</w:t>
      </w:r>
      <w:r w:rsidRPr="0068644D">
        <w:rPr>
          <w:i/>
          <w:iCs w:val="0"/>
        </w:rPr>
        <w:tab/>
        <w:t>General Guidelines</w:t>
      </w:r>
    </w:p>
    <w:p w:rsidR="00F57C07" w:rsidRPr="009B35B5" w:rsidRDefault="00F57C07" w:rsidP="00F57C07">
      <w:pPr>
        <w:pStyle w:val="Para"/>
        <w:rPr>
          <w:rFonts w:ascii="Times New Roman" w:hAnsi="Times New Roman"/>
        </w:rPr>
      </w:pPr>
      <w:r w:rsidRPr="009B35B5">
        <w:rPr>
          <w:rFonts w:ascii="Times New Roman" w:hAnsi="Times New Roman"/>
        </w:rPr>
        <w:t>None of the guidelines in 5 CFR 1320.5 are being exceeded.</w:t>
      </w:r>
    </w:p>
    <w:p w:rsidR="00F57C07" w:rsidRPr="0068644D" w:rsidRDefault="00F57C07" w:rsidP="00F57C07">
      <w:pPr>
        <w:pStyle w:val="Heading2"/>
        <w:rPr>
          <w:i/>
          <w:iCs w:val="0"/>
        </w:rPr>
      </w:pPr>
      <w:r w:rsidRPr="0068644D">
        <w:rPr>
          <w:i/>
          <w:iCs w:val="0"/>
        </w:rPr>
        <w:t>(f)</w:t>
      </w:r>
      <w:r w:rsidRPr="0068644D">
        <w:rPr>
          <w:i/>
          <w:iCs w:val="0"/>
        </w:rPr>
        <w:tab/>
        <w:t>Confidentiality</w:t>
      </w:r>
    </w:p>
    <w:p w:rsidR="00F57C07" w:rsidRPr="009B35B5" w:rsidRDefault="00F57C07" w:rsidP="00F57C07">
      <w:pPr>
        <w:pStyle w:val="Para"/>
        <w:rPr>
          <w:rFonts w:ascii="Times New Roman" w:hAnsi="Times New Roman"/>
        </w:rPr>
      </w:pPr>
      <w:r w:rsidRPr="009B35B5">
        <w:rPr>
          <w:rFonts w:ascii="Times New Roman" w:hAnsi="Times New Roman"/>
        </w:rPr>
        <w:t xml:space="preserve">All information submitted to the </w:t>
      </w:r>
      <w:r w:rsidR="006B65BC">
        <w:rPr>
          <w:rFonts w:ascii="Times New Roman" w:hAnsi="Times New Roman"/>
        </w:rPr>
        <w:t>a</w:t>
      </w:r>
      <w:r w:rsidRPr="009B35B5">
        <w:rPr>
          <w:rFonts w:ascii="Times New Roman" w:hAnsi="Times New Roman"/>
        </w:rPr>
        <w:t xml:space="preserve">gency for which a claim of confidentiality is made will be safeguarded according to the </w:t>
      </w:r>
      <w:r w:rsidR="006B65BC">
        <w:rPr>
          <w:rFonts w:ascii="Times New Roman" w:hAnsi="Times New Roman"/>
        </w:rPr>
        <w:t>a</w:t>
      </w:r>
      <w:r w:rsidRPr="009B35B5">
        <w:rPr>
          <w:rFonts w:ascii="Times New Roman" w:hAnsi="Times New Roman"/>
        </w:rPr>
        <w:t>gency policies set forth in Title 40, Chapter 1, part 2, subpart B–Confidentiality of Business Information (see 40 CFR 2; 41 FR 36902, September 01, 1976; amended by 43 FR 39999, September 28, 1978; 43 FR 42251, September 28, 1978; 44 FR 17674, March 23, 1979).</w:t>
      </w:r>
    </w:p>
    <w:p w:rsidR="00F57C07" w:rsidRPr="0068644D" w:rsidRDefault="00F57C07" w:rsidP="00F57C07">
      <w:pPr>
        <w:pStyle w:val="Heading2"/>
        <w:rPr>
          <w:i/>
          <w:iCs w:val="0"/>
        </w:rPr>
      </w:pPr>
      <w:r w:rsidRPr="0068644D">
        <w:rPr>
          <w:i/>
          <w:iCs w:val="0"/>
        </w:rPr>
        <w:t>(g)</w:t>
      </w:r>
      <w:r w:rsidRPr="0068644D">
        <w:rPr>
          <w:i/>
          <w:iCs w:val="0"/>
        </w:rPr>
        <w:tab/>
        <w:t>Sensitive Questions</w:t>
      </w:r>
    </w:p>
    <w:p w:rsidR="00F57C07" w:rsidRPr="009B35B5" w:rsidRDefault="00F57C07" w:rsidP="00F57C0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00F57C07" w:rsidRPr="009B35B5" w:rsidRDefault="00F57C07" w:rsidP="00F57C07">
      <w:pPr>
        <w:pStyle w:val="Heading1"/>
      </w:pPr>
      <w:r w:rsidRPr="009B35B5">
        <w:t>4.</w:t>
      </w:r>
      <w:r w:rsidRPr="009B35B5">
        <w:tab/>
        <w:t>The Respondents and the Information Requested</w:t>
      </w:r>
    </w:p>
    <w:p w:rsidR="00F57C07" w:rsidRPr="007E09A5" w:rsidRDefault="00F57C07" w:rsidP="00F57C07">
      <w:pPr>
        <w:pStyle w:val="Heading2"/>
        <w:rPr>
          <w:i/>
          <w:iCs w:val="0"/>
        </w:rPr>
      </w:pPr>
      <w:r w:rsidRPr="0068644D">
        <w:rPr>
          <w:i/>
          <w:iCs w:val="0"/>
        </w:rPr>
        <w:t>(a)</w:t>
      </w:r>
      <w:r w:rsidRPr="0068644D">
        <w:rPr>
          <w:i/>
          <w:iCs w:val="0"/>
        </w:rPr>
        <w:tab/>
        <w:t>Respondents/NAICS C</w:t>
      </w:r>
      <w:r w:rsidRPr="007E09A5">
        <w:rPr>
          <w:i/>
          <w:iCs w:val="0"/>
        </w:rPr>
        <w:t>odes</w:t>
      </w:r>
    </w:p>
    <w:p w:rsidR="00F57C07" w:rsidRDefault="00F57C07" w:rsidP="00F57C07">
      <w:pPr>
        <w:pStyle w:val="Para"/>
        <w:rPr>
          <w:rFonts w:ascii="Times New Roman" w:hAnsi="Times New Roman"/>
        </w:rPr>
      </w:pPr>
      <w:r w:rsidRPr="007E09A5">
        <w:rPr>
          <w:rFonts w:ascii="Times New Roman" w:hAnsi="Times New Roman"/>
        </w:rPr>
        <w:t>In the amendments, respondents are 1,2</w:t>
      </w:r>
      <w:r>
        <w:rPr>
          <w:rFonts w:ascii="Times New Roman" w:hAnsi="Times New Roman"/>
        </w:rPr>
        <w:t>44</w:t>
      </w:r>
      <w:r w:rsidRPr="007E09A5">
        <w:rPr>
          <w:rFonts w:ascii="Times New Roman" w:hAnsi="Times New Roman"/>
        </w:rPr>
        <w:t xml:space="preserve"> owners or operators of existing electric generating units</w:t>
      </w:r>
      <w:r>
        <w:rPr>
          <w:rFonts w:ascii="Times New Roman" w:hAnsi="Times New Roman"/>
        </w:rPr>
        <w:t xml:space="preserve">. </w:t>
      </w:r>
      <w:r w:rsidRPr="007E09A5">
        <w:rPr>
          <w:rFonts w:ascii="Times New Roman" w:hAnsi="Times New Roman"/>
        </w:rPr>
        <w:t>It is estimated that 2 new electric generating units will be built each year</w:t>
      </w:r>
      <w:r>
        <w:rPr>
          <w:rFonts w:ascii="Times New Roman" w:hAnsi="Times New Roman"/>
        </w:rPr>
        <w:t xml:space="preserve">. </w:t>
      </w:r>
      <w:r w:rsidRPr="007E09A5">
        <w:rPr>
          <w:rFonts w:ascii="Times New Roman" w:hAnsi="Times New Roman"/>
        </w:rPr>
        <w:t>All respondents will be subject to the monitoring, recordkeeping, and reporting requirements</w:t>
      </w:r>
      <w:r>
        <w:rPr>
          <w:rFonts w:ascii="Times New Roman" w:hAnsi="Times New Roman"/>
        </w:rPr>
        <w:t xml:space="preserve">. </w:t>
      </w:r>
      <w:r w:rsidRPr="007E09A5">
        <w:rPr>
          <w:rFonts w:ascii="Times New Roman" w:hAnsi="Times New Roman"/>
        </w:rPr>
        <w:t>The NAICS code for this industry is 221100, Electric Power Generation, Transmission and Distribution.</w:t>
      </w:r>
    </w:p>
    <w:p w:rsidR="00F57C07" w:rsidRPr="0068644D" w:rsidRDefault="00F57C07" w:rsidP="00F57C07">
      <w:pPr>
        <w:pStyle w:val="Heading2"/>
        <w:rPr>
          <w:i/>
          <w:iCs w:val="0"/>
        </w:rPr>
      </w:pPr>
      <w:r w:rsidRPr="0068644D">
        <w:rPr>
          <w:i/>
          <w:iCs w:val="0"/>
        </w:rPr>
        <w:t>(b) Information Requested</w:t>
      </w:r>
    </w:p>
    <w:p w:rsidR="00F57C07" w:rsidRPr="0068644D" w:rsidRDefault="00F57C07" w:rsidP="00F57C07">
      <w:pPr>
        <w:pStyle w:val="Heading2"/>
        <w:rPr>
          <w:i/>
          <w:iCs w:val="0"/>
        </w:rPr>
      </w:pPr>
      <w:r w:rsidRPr="0068644D">
        <w:rPr>
          <w:i/>
          <w:iCs w:val="0"/>
        </w:rPr>
        <w:t xml:space="preserve">(i) Data Items, Including Recordkeeping Requirements. </w:t>
      </w:r>
    </w:p>
    <w:p w:rsidR="00F57C07" w:rsidRDefault="00F57C07" w:rsidP="00F57C07">
      <w:pPr>
        <w:pStyle w:val="Para"/>
        <w:rPr>
          <w:rFonts w:ascii="Times New Roman" w:hAnsi="Times New Roman"/>
        </w:rPr>
      </w:pPr>
      <w:r>
        <w:rPr>
          <w:rFonts w:ascii="Times New Roman" w:hAnsi="Times New Roman"/>
        </w:rPr>
        <w:t>Table</w:t>
      </w:r>
      <w:r w:rsidRPr="00500F7C">
        <w:rPr>
          <w:rFonts w:ascii="Times New Roman" w:hAnsi="Times New Roman"/>
        </w:rPr>
        <w:t xml:space="preserve"> 1 summarizes the final recordkeeping and reporting requirements.</w:t>
      </w:r>
    </w:p>
    <w:p w:rsidR="00F57C07" w:rsidRPr="00F13D30" w:rsidRDefault="00F57C07" w:rsidP="00F57C07">
      <w:pPr>
        <w:pStyle w:val="Para"/>
        <w:rPr>
          <w:rFonts w:ascii="Times New Roman" w:hAnsi="Times New Roman"/>
        </w:rPr>
      </w:pPr>
      <w:r>
        <w:rPr>
          <w:rFonts w:ascii="Times New Roman" w:hAnsi="Times New Roman"/>
        </w:rPr>
        <w:t xml:space="preserve">The </w:t>
      </w:r>
      <w:r w:rsidRPr="00F13D30">
        <w:rPr>
          <w:rFonts w:ascii="Times New Roman" w:hAnsi="Times New Roman"/>
        </w:rPr>
        <w:t xml:space="preserve">EPA is including in </w:t>
      </w:r>
      <w:r>
        <w:rPr>
          <w:rFonts w:ascii="Times New Roman" w:hAnsi="Times New Roman"/>
        </w:rPr>
        <w:t>Exhibit 1a, Exhibit 1b, and Exhibit 1c,</w:t>
      </w:r>
      <w:r w:rsidRPr="00F13D30">
        <w:rPr>
          <w:rFonts w:ascii="Times New Roman" w:hAnsi="Times New Roman"/>
        </w:rPr>
        <w:t xml:space="preserve"> an estimate of the burden associated with performing an affirmative defense. </w:t>
      </w:r>
      <w:r>
        <w:rPr>
          <w:rFonts w:ascii="Times New Roman" w:hAnsi="Times New Roman"/>
        </w:rPr>
        <w:t xml:space="preserve">The </w:t>
      </w:r>
      <w:r w:rsidRPr="00F13D30">
        <w:rPr>
          <w:rFonts w:ascii="Times New Roman" w:hAnsi="Times New Roman"/>
        </w:rPr>
        <w:t xml:space="preserve">EPA is providing this as an illustrative </w:t>
      </w:r>
      <w:r w:rsidRPr="00F13D30">
        <w:rPr>
          <w:rFonts w:ascii="Times New Roman" w:hAnsi="Times New Roman"/>
        </w:rPr>
        <w:lastRenderedPageBreak/>
        <w:t xml:space="preserve">example of the potential additional administrative burden a source may incur to assert in an Affirmative Defense in response to an action to enforce the standards set forth in the applicable subpart. </w:t>
      </w:r>
    </w:p>
    <w:p w:rsidR="00F57C07" w:rsidRPr="00F13D30" w:rsidRDefault="00F57C07" w:rsidP="00F57C07">
      <w:pPr>
        <w:pStyle w:val="Para"/>
        <w:rPr>
          <w:rFonts w:ascii="Times New Roman" w:hAnsi="Times New Roman"/>
        </w:rPr>
      </w:pPr>
      <w:r w:rsidRPr="00F13D30">
        <w:rPr>
          <w:rFonts w:ascii="Times New Roman" w:hAnsi="Times New Roman"/>
        </w:rPr>
        <w:t xml:space="preserve">This illustrative estimate is not considered a duplicate estimate of cost under the General Duty to Minimize Emissions clause under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F57C07" w:rsidRPr="00F13D30" w:rsidRDefault="00F57C07" w:rsidP="006B65BC">
      <w:pPr>
        <w:pStyle w:val="Para"/>
        <w:spacing w:after="0"/>
        <w:rPr>
          <w:rFonts w:ascii="Times New Roman" w:hAnsi="Times New Roman"/>
        </w:rPr>
      </w:pPr>
      <w:r w:rsidRPr="00F13D30">
        <w:rPr>
          <w:rFonts w:ascii="Times New Roman" w:hAnsi="Times New Roman"/>
        </w:rPr>
        <w:t xml:space="preserve">To provide the public with an estimate of the relative magnitude of the burden associated with an assertion of the affirmative defense position adopted by a source, </w:t>
      </w:r>
      <w:r>
        <w:rPr>
          <w:rFonts w:ascii="Times New Roman" w:hAnsi="Times New Roman"/>
        </w:rPr>
        <w:t xml:space="preserve">the </w:t>
      </w:r>
      <w:r w:rsidRPr="00F13D30">
        <w:rPr>
          <w:rFonts w:ascii="Times New Roman" w:hAnsi="Times New Roman"/>
        </w:rPr>
        <w:t>EPA provides an administrative adjustment to this ICR that estimates the costs of the notification, recordkeeping and reporting requirements associated with the assertion of the affirmative defense.</w:t>
      </w:r>
      <w:r>
        <w:rPr>
          <w:rFonts w:ascii="Times New Roman" w:hAnsi="Times New Roman"/>
        </w:rPr>
        <w:t xml:space="preserve"> The</w:t>
      </w:r>
      <w:r w:rsidRPr="00F13D30">
        <w:rPr>
          <w:rFonts w:ascii="Times New Roman" w:hAnsi="Times New Roman"/>
        </w:rPr>
        <w:t xml:space="preserve"> EPA’s estimate for the required notification, reports and records, including the root cause analysis, associated with a single incident totals </w:t>
      </w:r>
      <w:r w:rsidRPr="00556B17">
        <w:rPr>
          <w:rFonts w:ascii="Times New Roman" w:hAnsi="Times New Roman"/>
        </w:rPr>
        <w:t>approximately $3,141</w:t>
      </w:r>
      <w:r w:rsidRPr="00F13D30">
        <w:rPr>
          <w:rFonts w:ascii="Times New Roman" w:hAnsi="Times New Roman"/>
        </w:rPr>
        <w:t xml:space="preserve"> and is based on the time and effort required of a source to review relevant data, interview plant employees, and document the events surrounding a malfunction that has caused an exceed</w:t>
      </w:r>
      <w:r>
        <w:rPr>
          <w:rFonts w:ascii="Times New Roman" w:hAnsi="Times New Roman"/>
        </w:rPr>
        <w:t>a</w:t>
      </w:r>
      <w:r w:rsidRPr="00F13D30">
        <w:rPr>
          <w:rFonts w:ascii="Times New Roman" w:hAnsi="Times New Roman"/>
        </w:rPr>
        <w:t xml:space="preserve">nce of an emission limit. The estimate also includes time to produce and retain the records and reports for submission to </w:t>
      </w:r>
      <w:r>
        <w:rPr>
          <w:rFonts w:ascii="Times New Roman" w:hAnsi="Times New Roman"/>
        </w:rPr>
        <w:t xml:space="preserve">the </w:t>
      </w:r>
      <w:r w:rsidRPr="00F13D30">
        <w:rPr>
          <w:rFonts w:ascii="Times New Roman" w:hAnsi="Times New Roman"/>
        </w:rPr>
        <w:t xml:space="preserve">EPA. </w:t>
      </w:r>
      <w:r>
        <w:rPr>
          <w:rFonts w:ascii="Times New Roman" w:hAnsi="Times New Roman"/>
        </w:rPr>
        <w:t xml:space="preserve">The </w:t>
      </w:r>
      <w:r w:rsidRPr="00F13D30">
        <w:rPr>
          <w:rFonts w:ascii="Times New Roman" w:hAnsi="Times New Roman"/>
        </w:rPr>
        <w:t xml:space="preserve">EPA provides this illustrative estimate of this burden because these costs are only incurred if there has been a violation and a source chooses to take advantage of the affirmative defense.  </w:t>
      </w:r>
    </w:p>
    <w:p w:rsidR="00F57C07" w:rsidRDefault="00F57C07" w:rsidP="00F57C07">
      <w:pPr>
        <w:rPr>
          <w:rFonts w:ascii="Times New Roman" w:hAnsi="Times New Roman"/>
        </w:rPr>
      </w:pPr>
    </w:p>
    <w:p w:rsidR="00F57C07" w:rsidRDefault="00F57C07" w:rsidP="006B65BC">
      <w:pPr>
        <w:pStyle w:val="Para"/>
        <w:spacing w:after="0"/>
        <w:rPr>
          <w:rFonts w:ascii="Times New Roman" w:hAnsi="Times New Roman"/>
        </w:rPr>
      </w:pPr>
      <w:r w:rsidRPr="00F13D30">
        <w:rPr>
          <w:rFonts w:ascii="Times New Roman" w:hAnsi="Times New Roman"/>
        </w:rPr>
        <w:t>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w:t>
      </w:r>
      <w:r>
        <w:rPr>
          <w:rFonts w:ascii="Times New Roman" w:hAnsi="Times New Roman"/>
        </w:rPr>
        <w:t xml:space="preserve">fense will be extremely small. </w:t>
      </w:r>
      <w:r w:rsidRPr="00F13D30">
        <w:rPr>
          <w:rFonts w:ascii="Times New Roman" w:hAnsi="Times New Roman"/>
        </w:rPr>
        <w:t>For this reason, we estimate no more than 2 or 3 such occurrences for all sources within a given category over the 3-year period covered by this ICR.</w:t>
      </w:r>
      <w:r>
        <w:rPr>
          <w:rFonts w:ascii="Times New Roman" w:hAnsi="Times New Roman"/>
        </w:rPr>
        <w:t xml:space="preserve"> </w:t>
      </w:r>
      <w:r w:rsidRPr="00F13D30">
        <w:rPr>
          <w:rFonts w:ascii="Times New Roman" w:hAnsi="Times New Roman"/>
        </w:rPr>
        <w:t xml:space="preserve"> For the purpose of this estimate, we are adding two (2) instances of affirmative defense. We expect to gather information on such events in the future and will revise this estimate as better information becomes available.</w:t>
      </w:r>
    </w:p>
    <w:p w:rsidR="00F57C07" w:rsidRDefault="00F57C07" w:rsidP="00F57C07">
      <w:pPr>
        <w:pStyle w:val="Para"/>
        <w:spacing w:after="0"/>
        <w:ind w:firstLine="0"/>
        <w:rPr>
          <w:rFonts w:ascii="Times New Roman" w:hAnsi="Times New Roman"/>
        </w:rPr>
      </w:pPr>
    </w:p>
    <w:p w:rsidR="00F57C07" w:rsidRDefault="00F57C07" w:rsidP="00F57C07">
      <w:pPr>
        <w:pStyle w:val="Para"/>
        <w:spacing w:after="0"/>
        <w:ind w:firstLine="0"/>
        <w:rPr>
          <w:rFonts w:ascii="Times New Roman" w:hAnsi="Times New Roman"/>
          <w:b/>
        </w:rPr>
      </w:pPr>
      <w:r w:rsidRPr="003E0AD3">
        <w:rPr>
          <w:rFonts w:ascii="Times New Roman" w:hAnsi="Times New Roman"/>
          <w:b/>
        </w:rPr>
        <w:t>Table 1. Source Data and Information Requirements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700"/>
      </w:tblGrid>
      <w:tr w:rsidR="00F57C07" w:rsidRPr="009060A6" w:rsidTr="006B65BC">
        <w:tc>
          <w:tcPr>
            <w:tcW w:w="4320" w:type="dxa"/>
            <w:vAlign w:val="bottom"/>
          </w:tcPr>
          <w:p w:rsidR="00F57C07" w:rsidRPr="00820B20" w:rsidRDefault="00F57C07" w:rsidP="006B65BC">
            <w:pPr>
              <w:pStyle w:val="TableHeader"/>
              <w:rPr>
                <w:rFonts w:ascii="Times New Roman" w:hAnsi="Times New Roman"/>
                <w:sz w:val="20"/>
              </w:rPr>
            </w:pPr>
            <w:r w:rsidRPr="00820B20">
              <w:rPr>
                <w:rFonts w:ascii="Times New Roman" w:hAnsi="Times New Roman"/>
                <w:sz w:val="20"/>
              </w:rPr>
              <w:t>Requirement</w:t>
            </w:r>
          </w:p>
        </w:tc>
        <w:tc>
          <w:tcPr>
            <w:tcW w:w="2700" w:type="dxa"/>
            <w:vAlign w:val="bottom"/>
          </w:tcPr>
          <w:p w:rsidR="00F57C07" w:rsidRPr="00820B20" w:rsidRDefault="00F57C07" w:rsidP="006B65BC">
            <w:pPr>
              <w:pStyle w:val="TableHeader"/>
              <w:rPr>
                <w:rFonts w:ascii="Times New Roman" w:hAnsi="Times New Roman"/>
                <w:sz w:val="20"/>
              </w:rPr>
            </w:pPr>
            <w:r w:rsidRPr="00820B20">
              <w:rPr>
                <w:rFonts w:ascii="Times New Roman" w:hAnsi="Times New Roman"/>
                <w:sz w:val="20"/>
              </w:rPr>
              <w:t>Regulation Citation</w:t>
            </w:r>
          </w:p>
        </w:tc>
      </w:tr>
      <w:tr w:rsidR="00F57C07" w:rsidRPr="009060A6" w:rsidTr="006B65BC">
        <w:tc>
          <w:tcPr>
            <w:tcW w:w="4320" w:type="dxa"/>
          </w:tcPr>
          <w:p w:rsidR="00F57C07" w:rsidRPr="00820B20" w:rsidRDefault="00F57C07" w:rsidP="006B65BC">
            <w:pPr>
              <w:pStyle w:val="TableHeader"/>
              <w:rPr>
                <w:rFonts w:ascii="Times New Roman" w:hAnsi="Times New Roman"/>
                <w:sz w:val="20"/>
              </w:rPr>
            </w:pPr>
            <w:r w:rsidRPr="00820B20">
              <w:rPr>
                <w:rFonts w:ascii="Times New Roman" w:hAnsi="Times New Roman"/>
                <w:sz w:val="20"/>
              </w:rPr>
              <w:t>Notifications</w:t>
            </w:r>
          </w:p>
        </w:tc>
        <w:tc>
          <w:tcPr>
            <w:tcW w:w="2700" w:type="dxa"/>
          </w:tcPr>
          <w:p w:rsidR="00F57C07" w:rsidRPr="00820B20" w:rsidRDefault="00F57C07" w:rsidP="006B65BC">
            <w:pPr>
              <w:pStyle w:val="TableRow"/>
              <w:rPr>
                <w:rFonts w:ascii="Times New Roman" w:hAnsi="Times New Roman"/>
                <w:sz w:val="20"/>
              </w:rPr>
            </w:pPr>
          </w:p>
        </w:tc>
      </w:tr>
      <w:tr w:rsidR="00F57C07" w:rsidRPr="009060A6" w:rsidTr="006B65BC">
        <w:tc>
          <w:tcPr>
            <w:tcW w:w="4320" w:type="dxa"/>
            <w:vAlign w:val="bottom"/>
          </w:tcPr>
          <w:p w:rsidR="00F57C07" w:rsidRPr="00820B20" w:rsidRDefault="00F57C07" w:rsidP="006B65BC">
            <w:pPr>
              <w:rPr>
                <w:rFonts w:ascii="Times New Roman" w:eastAsia="Times New Roman" w:hAnsi="Times New Roman"/>
                <w:color w:val="000000"/>
                <w:sz w:val="20"/>
              </w:rPr>
            </w:pPr>
            <w:r w:rsidRPr="00820B20">
              <w:rPr>
                <w:rFonts w:ascii="Times New Roman" w:eastAsia="Times New Roman" w:hAnsi="Times New Roman"/>
                <w:color w:val="000000"/>
                <w:sz w:val="20"/>
              </w:rPr>
              <w:t>Notification of Demonstration of CEMS</w:t>
            </w:r>
          </w:p>
        </w:tc>
        <w:tc>
          <w:tcPr>
            <w:tcW w:w="2700" w:type="dxa"/>
          </w:tcPr>
          <w:p w:rsidR="00F57C07" w:rsidRPr="009E7118" w:rsidRDefault="00F57C07" w:rsidP="006B65BC">
            <w:pPr>
              <w:pStyle w:val="TableRow"/>
              <w:rPr>
                <w:rFonts w:ascii="Times New Roman" w:hAnsi="Times New Roman"/>
                <w:sz w:val="20"/>
              </w:rPr>
            </w:pPr>
            <w:r>
              <w:rPr>
                <w:rFonts w:ascii="Times New Roman" w:hAnsi="Times New Roman"/>
                <w:sz w:val="20"/>
              </w:rPr>
              <w:t>63.10030</w:t>
            </w:r>
          </w:p>
        </w:tc>
      </w:tr>
      <w:tr w:rsidR="00F57C07" w:rsidRPr="009060A6" w:rsidTr="006B65BC">
        <w:tc>
          <w:tcPr>
            <w:tcW w:w="4320" w:type="dxa"/>
            <w:vAlign w:val="bottom"/>
          </w:tcPr>
          <w:p w:rsidR="00F57C07" w:rsidRPr="00820B20" w:rsidRDefault="00F57C07" w:rsidP="006B65BC">
            <w:pPr>
              <w:rPr>
                <w:rFonts w:ascii="Times New Roman" w:eastAsia="Times New Roman" w:hAnsi="Times New Roman"/>
                <w:color w:val="000000"/>
                <w:sz w:val="20"/>
              </w:rPr>
            </w:pPr>
            <w:r w:rsidRPr="00820B20">
              <w:rPr>
                <w:rFonts w:ascii="Times New Roman" w:eastAsia="Times New Roman" w:hAnsi="Times New Roman"/>
                <w:color w:val="000000"/>
                <w:sz w:val="20"/>
              </w:rPr>
              <w:t>Notification of Initial Performance Test</w:t>
            </w:r>
          </w:p>
        </w:tc>
        <w:tc>
          <w:tcPr>
            <w:tcW w:w="2700" w:type="dxa"/>
          </w:tcPr>
          <w:p w:rsidR="00F57C07" w:rsidRPr="009E7118" w:rsidRDefault="00F57C07" w:rsidP="006B65BC">
            <w:r>
              <w:rPr>
                <w:rFonts w:ascii="Times New Roman" w:hAnsi="Times New Roman"/>
                <w:sz w:val="20"/>
              </w:rPr>
              <w:t>63.10030</w:t>
            </w:r>
          </w:p>
        </w:tc>
      </w:tr>
      <w:tr w:rsidR="00F57C07" w:rsidRPr="009060A6" w:rsidTr="006B65BC">
        <w:tc>
          <w:tcPr>
            <w:tcW w:w="4320" w:type="dxa"/>
            <w:vAlign w:val="bottom"/>
          </w:tcPr>
          <w:p w:rsidR="00F57C07" w:rsidRPr="00820B20" w:rsidRDefault="00F57C07" w:rsidP="006B65BC">
            <w:pPr>
              <w:rPr>
                <w:rFonts w:ascii="Times New Roman" w:eastAsia="Times New Roman" w:hAnsi="Times New Roman"/>
                <w:color w:val="000000"/>
                <w:sz w:val="20"/>
              </w:rPr>
            </w:pPr>
            <w:r w:rsidRPr="00820B20">
              <w:rPr>
                <w:rFonts w:ascii="Times New Roman" w:eastAsia="Times New Roman" w:hAnsi="Times New Roman"/>
                <w:color w:val="000000"/>
                <w:sz w:val="20"/>
              </w:rPr>
              <w:t>Quality Assurance Program Notification</w:t>
            </w:r>
          </w:p>
        </w:tc>
        <w:tc>
          <w:tcPr>
            <w:tcW w:w="2700" w:type="dxa"/>
          </w:tcPr>
          <w:p w:rsidR="00F57C07" w:rsidRPr="009E7118" w:rsidRDefault="00F57C07" w:rsidP="006B65BC">
            <w:r>
              <w:rPr>
                <w:rFonts w:ascii="Times New Roman" w:hAnsi="Times New Roman"/>
                <w:sz w:val="20"/>
              </w:rPr>
              <w:t>63.10030</w:t>
            </w:r>
          </w:p>
        </w:tc>
      </w:tr>
      <w:tr w:rsidR="00F57C07" w:rsidRPr="009060A6" w:rsidTr="006B65BC">
        <w:tc>
          <w:tcPr>
            <w:tcW w:w="4320" w:type="dxa"/>
            <w:vAlign w:val="bottom"/>
          </w:tcPr>
          <w:p w:rsidR="00F57C07" w:rsidRPr="00820B20" w:rsidRDefault="00F57C07" w:rsidP="006B65BC">
            <w:pPr>
              <w:rPr>
                <w:rFonts w:ascii="Times New Roman" w:eastAsia="Times New Roman" w:hAnsi="Times New Roman"/>
                <w:color w:val="000000"/>
                <w:sz w:val="20"/>
              </w:rPr>
            </w:pPr>
            <w:r w:rsidRPr="00820B20">
              <w:rPr>
                <w:rFonts w:ascii="Times New Roman" w:eastAsia="Times New Roman" w:hAnsi="Times New Roman"/>
                <w:color w:val="000000"/>
                <w:sz w:val="20"/>
              </w:rPr>
              <w:t xml:space="preserve"> Notification of Compliance Status</w:t>
            </w:r>
          </w:p>
        </w:tc>
        <w:tc>
          <w:tcPr>
            <w:tcW w:w="2700" w:type="dxa"/>
          </w:tcPr>
          <w:p w:rsidR="00F57C07" w:rsidRPr="009E7118" w:rsidRDefault="00F57C07" w:rsidP="006B65BC">
            <w:r>
              <w:rPr>
                <w:rFonts w:ascii="Times New Roman" w:hAnsi="Times New Roman"/>
                <w:sz w:val="20"/>
              </w:rPr>
              <w:t>63.10030</w:t>
            </w:r>
          </w:p>
        </w:tc>
      </w:tr>
      <w:tr w:rsidR="00F57C07" w:rsidRPr="009060A6" w:rsidTr="006B65BC">
        <w:tc>
          <w:tcPr>
            <w:tcW w:w="4320" w:type="dxa"/>
            <w:vAlign w:val="bottom"/>
          </w:tcPr>
          <w:p w:rsidR="00F57C07" w:rsidRPr="00820B20" w:rsidRDefault="00F57C07" w:rsidP="006B65BC">
            <w:pPr>
              <w:rPr>
                <w:rFonts w:ascii="Times New Roman" w:eastAsia="Times New Roman" w:hAnsi="Times New Roman"/>
                <w:color w:val="000000"/>
                <w:sz w:val="20"/>
              </w:rPr>
            </w:pPr>
            <w:r w:rsidRPr="00820B20">
              <w:rPr>
                <w:rFonts w:ascii="Times New Roman" w:eastAsia="Times New Roman" w:hAnsi="Times New Roman"/>
                <w:color w:val="000000"/>
                <w:sz w:val="20"/>
              </w:rPr>
              <w:t>Request to use alternative monitoring procedure</w:t>
            </w:r>
          </w:p>
        </w:tc>
        <w:tc>
          <w:tcPr>
            <w:tcW w:w="2700" w:type="dxa"/>
          </w:tcPr>
          <w:p w:rsidR="00F57C07" w:rsidRPr="009E7118" w:rsidRDefault="00F57C07" w:rsidP="006B65BC">
            <w:r>
              <w:rPr>
                <w:rFonts w:ascii="Times New Roman" w:hAnsi="Times New Roman"/>
                <w:sz w:val="20"/>
              </w:rPr>
              <w:t>63.10030</w:t>
            </w:r>
          </w:p>
        </w:tc>
      </w:tr>
      <w:tr w:rsidR="00F57C07" w:rsidRPr="009060A6" w:rsidTr="006B65BC">
        <w:tc>
          <w:tcPr>
            <w:tcW w:w="4320" w:type="dxa"/>
            <w:vAlign w:val="bottom"/>
          </w:tcPr>
          <w:p w:rsidR="00F57C07" w:rsidRPr="00820B20" w:rsidRDefault="00F57C07" w:rsidP="006B65BC">
            <w:pPr>
              <w:rPr>
                <w:rFonts w:ascii="Times New Roman" w:eastAsia="Times New Roman" w:hAnsi="Times New Roman"/>
                <w:color w:val="000000"/>
                <w:sz w:val="20"/>
              </w:rPr>
            </w:pPr>
            <w:r w:rsidRPr="00820B20">
              <w:rPr>
                <w:rFonts w:ascii="Times New Roman" w:eastAsia="Times New Roman" w:hAnsi="Times New Roman"/>
                <w:color w:val="000000"/>
                <w:sz w:val="20"/>
              </w:rPr>
              <w:t xml:space="preserve"> Initial notification</w:t>
            </w:r>
          </w:p>
        </w:tc>
        <w:tc>
          <w:tcPr>
            <w:tcW w:w="2700" w:type="dxa"/>
          </w:tcPr>
          <w:p w:rsidR="00F57C07" w:rsidRPr="009E7118" w:rsidRDefault="00F57C07" w:rsidP="006B65BC">
            <w:r>
              <w:rPr>
                <w:rFonts w:ascii="Times New Roman" w:hAnsi="Times New Roman"/>
                <w:sz w:val="20"/>
              </w:rPr>
              <w:t>63.10030</w:t>
            </w:r>
          </w:p>
        </w:tc>
      </w:tr>
      <w:tr w:rsidR="00F57C07" w:rsidRPr="009060A6" w:rsidTr="006B65BC">
        <w:tc>
          <w:tcPr>
            <w:tcW w:w="4320" w:type="dxa"/>
          </w:tcPr>
          <w:p w:rsidR="00F57C07" w:rsidRPr="00820B20" w:rsidRDefault="00F57C07" w:rsidP="006B65BC">
            <w:pPr>
              <w:pStyle w:val="TableHeader"/>
              <w:rPr>
                <w:rFonts w:ascii="Times New Roman" w:hAnsi="Times New Roman"/>
                <w:sz w:val="20"/>
              </w:rPr>
            </w:pPr>
            <w:r w:rsidRPr="00820B20">
              <w:rPr>
                <w:rFonts w:ascii="Times New Roman" w:hAnsi="Times New Roman"/>
                <w:sz w:val="20"/>
              </w:rPr>
              <w:t>Reports</w:t>
            </w:r>
          </w:p>
        </w:tc>
        <w:tc>
          <w:tcPr>
            <w:tcW w:w="2700" w:type="dxa"/>
          </w:tcPr>
          <w:p w:rsidR="00F57C07" w:rsidRPr="009E7118" w:rsidRDefault="00F57C07" w:rsidP="006B65BC">
            <w:pPr>
              <w:pStyle w:val="TableRow"/>
              <w:rPr>
                <w:rFonts w:ascii="Times New Roman" w:hAnsi="Times New Roman"/>
                <w:sz w:val="20"/>
              </w:rPr>
            </w:pPr>
          </w:p>
        </w:tc>
      </w:tr>
      <w:tr w:rsidR="00F57C07" w:rsidRPr="009060A6" w:rsidTr="006B65BC">
        <w:tc>
          <w:tcPr>
            <w:tcW w:w="4320" w:type="dxa"/>
            <w:vAlign w:val="bottom"/>
          </w:tcPr>
          <w:p w:rsidR="00F57C07" w:rsidRPr="00820B20" w:rsidRDefault="00F57C07" w:rsidP="006B65BC">
            <w:pPr>
              <w:pStyle w:val="Para"/>
              <w:ind w:firstLine="0"/>
              <w:rPr>
                <w:rFonts w:ascii="Times New Roman" w:hAnsi="Times New Roman"/>
                <w:sz w:val="20"/>
              </w:rPr>
            </w:pPr>
            <w:r w:rsidRPr="00820B20">
              <w:rPr>
                <w:rFonts w:ascii="Times New Roman" w:hAnsi="Times New Roman"/>
                <w:sz w:val="20"/>
              </w:rPr>
              <w:t xml:space="preserve"> Report of Performance Test </w:t>
            </w:r>
          </w:p>
        </w:tc>
        <w:tc>
          <w:tcPr>
            <w:tcW w:w="2700" w:type="dxa"/>
          </w:tcPr>
          <w:p w:rsidR="00F57C07" w:rsidRPr="009E7118" w:rsidRDefault="00F57C07" w:rsidP="006B65BC">
            <w:pPr>
              <w:pStyle w:val="TableRow"/>
              <w:rPr>
                <w:rFonts w:ascii="Times New Roman" w:hAnsi="Times New Roman"/>
                <w:sz w:val="20"/>
              </w:rPr>
            </w:pPr>
            <w:r>
              <w:rPr>
                <w:rFonts w:ascii="Times New Roman" w:hAnsi="Times New Roman"/>
                <w:sz w:val="20"/>
              </w:rPr>
              <w:t>63.10031</w:t>
            </w:r>
          </w:p>
        </w:tc>
      </w:tr>
      <w:tr w:rsidR="00F57C07" w:rsidRPr="009060A6" w:rsidTr="006B65BC">
        <w:tc>
          <w:tcPr>
            <w:tcW w:w="4320" w:type="dxa"/>
            <w:vAlign w:val="bottom"/>
          </w:tcPr>
          <w:p w:rsidR="00F57C07" w:rsidRPr="00820B20" w:rsidRDefault="00F57C07" w:rsidP="006B65BC">
            <w:pPr>
              <w:pStyle w:val="Para"/>
              <w:ind w:firstLine="0"/>
              <w:rPr>
                <w:rFonts w:ascii="Times New Roman" w:hAnsi="Times New Roman"/>
                <w:sz w:val="20"/>
              </w:rPr>
            </w:pPr>
            <w:r w:rsidRPr="00820B20">
              <w:rPr>
                <w:rFonts w:ascii="Times New Roman" w:hAnsi="Times New Roman"/>
                <w:sz w:val="20"/>
              </w:rPr>
              <w:t xml:space="preserve">Startup, shutdown, and malfunction Report </w:t>
            </w:r>
          </w:p>
        </w:tc>
        <w:tc>
          <w:tcPr>
            <w:tcW w:w="2700" w:type="dxa"/>
          </w:tcPr>
          <w:p w:rsidR="00F57C07" w:rsidRPr="009E7118" w:rsidRDefault="00F57C07" w:rsidP="006B65BC">
            <w:r>
              <w:rPr>
                <w:rFonts w:ascii="Times New Roman" w:hAnsi="Times New Roman"/>
                <w:sz w:val="20"/>
              </w:rPr>
              <w:t>63.10031</w:t>
            </w:r>
          </w:p>
        </w:tc>
      </w:tr>
      <w:tr w:rsidR="00F57C07" w:rsidRPr="009060A6" w:rsidTr="006B65BC">
        <w:tc>
          <w:tcPr>
            <w:tcW w:w="4320" w:type="dxa"/>
            <w:vAlign w:val="bottom"/>
          </w:tcPr>
          <w:p w:rsidR="00F57C07" w:rsidRPr="00820B20" w:rsidRDefault="00F57C07" w:rsidP="006B65BC">
            <w:pPr>
              <w:pStyle w:val="Para"/>
              <w:ind w:firstLine="0"/>
              <w:rPr>
                <w:rFonts w:ascii="Times New Roman" w:hAnsi="Times New Roman"/>
                <w:sz w:val="20"/>
              </w:rPr>
            </w:pPr>
            <w:r w:rsidRPr="00820B20">
              <w:rPr>
                <w:rFonts w:ascii="Times New Roman" w:hAnsi="Times New Roman"/>
                <w:sz w:val="20"/>
              </w:rPr>
              <w:lastRenderedPageBreak/>
              <w:t>Semi-Annual Compliance Report</w:t>
            </w:r>
          </w:p>
        </w:tc>
        <w:tc>
          <w:tcPr>
            <w:tcW w:w="2700" w:type="dxa"/>
          </w:tcPr>
          <w:p w:rsidR="00F57C07" w:rsidRPr="009E7118" w:rsidRDefault="00F57C07" w:rsidP="006B65BC">
            <w:r>
              <w:rPr>
                <w:rFonts w:ascii="Times New Roman" w:hAnsi="Times New Roman"/>
                <w:sz w:val="20"/>
              </w:rPr>
              <w:t>63.10031</w:t>
            </w:r>
          </w:p>
        </w:tc>
      </w:tr>
      <w:tr w:rsidR="00F57C07" w:rsidRPr="009060A6" w:rsidTr="006B65BC">
        <w:tc>
          <w:tcPr>
            <w:tcW w:w="4320" w:type="dxa"/>
            <w:vAlign w:val="bottom"/>
          </w:tcPr>
          <w:p w:rsidR="00F57C07" w:rsidRPr="00820B20" w:rsidRDefault="00F57C07" w:rsidP="006B65BC">
            <w:pPr>
              <w:pStyle w:val="Para"/>
              <w:ind w:firstLine="0"/>
              <w:rPr>
                <w:rFonts w:ascii="Times New Roman" w:hAnsi="Times New Roman"/>
                <w:sz w:val="20"/>
              </w:rPr>
            </w:pPr>
            <w:r w:rsidRPr="00820B20">
              <w:rPr>
                <w:rFonts w:ascii="Times New Roman" w:hAnsi="Times New Roman"/>
                <w:sz w:val="20"/>
              </w:rPr>
              <w:t>Site-specific performance evaluation test plan</w:t>
            </w:r>
          </w:p>
        </w:tc>
        <w:tc>
          <w:tcPr>
            <w:tcW w:w="2700" w:type="dxa"/>
          </w:tcPr>
          <w:p w:rsidR="00F57C07" w:rsidRPr="009E7118" w:rsidRDefault="00F57C07" w:rsidP="006B65BC">
            <w:r>
              <w:rPr>
                <w:rFonts w:ascii="Times New Roman" w:hAnsi="Times New Roman"/>
                <w:sz w:val="20"/>
              </w:rPr>
              <w:t>63.10031</w:t>
            </w:r>
          </w:p>
        </w:tc>
      </w:tr>
      <w:tr w:rsidR="00F57C07" w:rsidRPr="009060A6" w:rsidTr="006B65BC">
        <w:tc>
          <w:tcPr>
            <w:tcW w:w="4320" w:type="dxa"/>
          </w:tcPr>
          <w:p w:rsidR="00F57C07" w:rsidRPr="00820B20" w:rsidRDefault="00F57C07" w:rsidP="006B65BC">
            <w:pPr>
              <w:pStyle w:val="TableHeader"/>
              <w:rPr>
                <w:rFonts w:ascii="Times New Roman" w:hAnsi="Times New Roman"/>
                <w:sz w:val="20"/>
              </w:rPr>
            </w:pPr>
            <w:r w:rsidRPr="00820B20">
              <w:rPr>
                <w:rFonts w:ascii="Times New Roman" w:hAnsi="Times New Roman"/>
                <w:sz w:val="20"/>
              </w:rPr>
              <w:t>Recordkeeping</w:t>
            </w:r>
          </w:p>
        </w:tc>
        <w:tc>
          <w:tcPr>
            <w:tcW w:w="2700" w:type="dxa"/>
          </w:tcPr>
          <w:p w:rsidR="00F57C07" w:rsidRPr="009E7118" w:rsidRDefault="00F57C07" w:rsidP="006B65BC">
            <w:pPr>
              <w:pStyle w:val="TableRow"/>
              <w:rPr>
                <w:rFonts w:ascii="Times New Roman" w:hAnsi="Times New Roman"/>
                <w:sz w:val="20"/>
              </w:rPr>
            </w:pPr>
          </w:p>
        </w:tc>
      </w:tr>
      <w:tr w:rsidR="00F57C07" w:rsidRPr="009060A6" w:rsidTr="006B65BC">
        <w:tc>
          <w:tcPr>
            <w:tcW w:w="4320" w:type="dxa"/>
            <w:vAlign w:val="bottom"/>
          </w:tcPr>
          <w:p w:rsidR="00F57C07" w:rsidRPr="00820B20" w:rsidRDefault="00F57C07" w:rsidP="006B65BC">
            <w:pPr>
              <w:rPr>
                <w:rFonts w:ascii="Times New Roman" w:eastAsia="Times New Roman" w:hAnsi="Times New Roman"/>
                <w:color w:val="000000"/>
                <w:sz w:val="20"/>
              </w:rPr>
            </w:pPr>
            <w:r w:rsidRPr="00820B20">
              <w:rPr>
                <w:rFonts w:ascii="Times New Roman" w:eastAsia="Times New Roman" w:hAnsi="Times New Roman"/>
                <w:color w:val="000000"/>
                <w:sz w:val="20"/>
              </w:rPr>
              <w:t>Existing Sources - Records of CEMS malfunctions</w:t>
            </w:r>
          </w:p>
        </w:tc>
        <w:tc>
          <w:tcPr>
            <w:tcW w:w="2700" w:type="dxa"/>
          </w:tcPr>
          <w:p w:rsidR="00F57C07" w:rsidRPr="009E7118" w:rsidRDefault="00F57C07" w:rsidP="006B65BC">
            <w:r>
              <w:rPr>
                <w:rFonts w:ascii="Times New Roman" w:hAnsi="Times New Roman"/>
                <w:sz w:val="20"/>
              </w:rPr>
              <w:t>63.10032</w:t>
            </w:r>
          </w:p>
        </w:tc>
      </w:tr>
      <w:tr w:rsidR="00F57C07" w:rsidRPr="009060A6" w:rsidTr="006B65BC">
        <w:tc>
          <w:tcPr>
            <w:tcW w:w="4320" w:type="dxa"/>
            <w:vAlign w:val="bottom"/>
          </w:tcPr>
          <w:p w:rsidR="00F57C07" w:rsidRPr="00820B20" w:rsidRDefault="00F57C07" w:rsidP="006B65BC">
            <w:pPr>
              <w:rPr>
                <w:rFonts w:ascii="Times New Roman" w:eastAsia="Times New Roman" w:hAnsi="Times New Roman"/>
                <w:color w:val="000000"/>
                <w:sz w:val="20"/>
              </w:rPr>
            </w:pPr>
            <w:r w:rsidRPr="00820B20">
              <w:rPr>
                <w:rFonts w:ascii="Times New Roman" w:eastAsia="Times New Roman" w:hAnsi="Times New Roman"/>
                <w:color w:val="000000"/>
                <w:sz w:val="20"/>
              </w:rPr>
              <w:t>Existing Sources - Records of Startups, Shutdowns, malfunctions, etc</w:t>
            </w:r>
          </w:p>
        </w:tc>
        <w:tc>
          <w:tcPr>
            <w:tcW w:w="2700" w:type="dxa"/>
          </w:tcPr>
          <w:p w:rsidR="00F57C07" w:rsidRPr="009E7118" w:rsidRDefault="00F57C07" w:rsidP="006B65BC">
            <w:r>
              <w:rPr>
                <w:rFonts w:ascii="Times New Roman" w:hAnsi="Times New Roman"/>
                <w:sz w:val="20"/>
              </w:rPr>
              <w:t>63.10032</w:t>
            </w:r>
          </w:p>
        </w:tc>
      </w:tr>
      <w:tr w:rsidR="00F57C07" w:rsidRPr="009060A6" w:rsidTr="006B65BC">
        <w:tc>
          <w:tcPr>
            <w:tcW w:w="4320" w:type="dxa"/>
            <w:vAlign w:val="bottom"/>
          </w:tcPr>
          <w:p w:rsidR="00F57C07" w:rsidRPr="00820B20" w:rsidRDefault="00F57C07" w:rsidP="006B65BC">
            <w:pPr>
              <w:rPr>
                <w:rFonts w:ascii="Times New Roman" w:eastAsia="Times New Roman" w:hAnsi="Times New Roman"/>
                <w:color w:val="000000"/>
                <w:sz w:val="20"/>
              </w:rPr>
            </w:pPr>
            <w:r w:rsidRPr="00820B20">
              <w:rPr>
                <w:rFonts w:ascii="Times New Roman" w:eastAsia="Times New Roman" w:hAnsi="Times New Roman"/>
                <w:color w:val="000000"/>
                <w:sz w:val="20"/>
              </w:rPr>
              <w:t>Existing Sources - Records of monthly fuel use</w:t>
            </w:r>
          </w:p>
        </w:tc>
        <w:tc>
          <w:tcPr>
            <w:tcW w:w="2700" w:type="dxa"/>
          </w:tcPr>
          <w:p w:rsidR="00F57C07" w:rsidRPr="009E7118" w:rsidRDefault="00F57C07" w:rsidP="006B65BC">
            <w:r>
              <w:rPr>
                <w:rFonts w:ascii="Times New Roman" w:hAnsi="Times New Roman"/>
                <w:sz w:val="20"/>
              </w:rPr>
              <w:t>63.10032</w:t>
            </w:r>
          </w:p>
        </w:tc>
      </w:tr>
    </w:tbl>
    <w:p w:rsidR="00F57C07" w:rsidRPr="003E0AD3" w:rsidRDefault="00F57C07" w:rsidP="00F57C07">
      <w:pPr>
        <w:pStyle w:val="Para"/>
        <w:rPr>
          <w:rFonts w:ascii="Times New Roman" w:hAnsi="Times New Roman"/>
          <w:b/>
        </w:rPr>
      </w:pPr>
    </w:p>
    <w:p w:rsidR="00F57C07" w:rsidRPr="00E545A0" w:rsidRDefault="00F57C07" w:rsidP="00F57C07">
      <w:pPr>
        <w:rPr>
          <w:rFonts w:ascii="Times New Roman" w:eastAsia="Times New Roman" w:hAnsi="Times New Roman"/>
          <w:bCs/>
          <w:i/>
          <w:szCs w:val="28"/>
        </w:rPr>
      </w:pPr>
      <w:r w:rsidRPr="0068644D">
        <w:rPr>
          <w:i/>
          <w:iCs/>
        </w:rPr>
        <w:t xml:space="preserve">(ii) Respondent Activities. </w:t>
      </w:r>
    </w:p>
    <w:p w:rsidR="00F57C07" w:rsidRPr="00500F7C" w:rsidRDefault="00F57C07" w:rsidP="00F57C07">
      <w:pPr>
        <w:pStyle w:val="Para"/>
        <w:rPr>
          <w:rFonts w:ascii="Times New Roman" w:hAnsi="Times New Roman"/>
        </w:rPr>
      </w:pPr>
      <w:r w:rsidRPr="00500F7C">
        <w:rPr>
          <w:rFonts w:ascii="Times New Roman" w:hAnsi="Times New Roman"/>
        </w:rPr>
        <w:t xml:space="preserve">The respondent activities required by the final </w:t>
      </w:r>
      <w:r>
        <w:rPr>
          <w:rFonts w:ascii="Times New Roman" w:hAnsi="Times New Roman"/>
        </w:rPr>
        <w:t>NESHAP</w:t>
      </w:r>
      <w:r w:rsidRPr="00500F7C">
        <w:rPr>
          <w:rFonts w:ascii="Times New Roman" w:hAnsi="Times New Roman"/>
        </w:rPr>
        <w:t xml:space="preserve"> are introduced in section 6(a).</w:t>
      </w:r>
    </w:p>
    <w:p w:rsidR="006B65BC" w:rsidRDefault="00F57C07" w:rsidP="006B65BC">
      <w:pPr>
        <w:pStyle w:val="Para"/>
        <w:rPr>
          <w:i/>
          <w:iCs/>
        </w:rPr>
      </w:pPr>
      <w:r w:rsidRPr="009B35B5">
        <w:rPr>
          <w:rFonts w:ascii="Times New Roman" w:hAnsi="Times New Roman"/>
        </w:rPr>
        <w:t>While multiple coal-fired EGUs have recently commenced operation and several are presently under construction, no new coal-fired power plants have commenced construction in either 2009 or 2010</w:t>
      </w:r>
      <w:r>
        <w:rPr>
          <w:rFonts w:ascii="Times New Roman" w:hAnsi="Times New Roman"/>
        </w:rPr>
        <w:t xml:space="preserve">. </w:t>
      </w:r>
      <w:r w:rsidRPr="009B35B5">
        <w:rPr>
          <w:rFonts w:ascii="Times New Roman" w:hAnsi="Times New Roman"/>
        </w:rPr>
        <w:t>In addition, forecasts of new generation capacity from both the Energy Information Administration and the Edison Electric Institute do not project any new coal-fired power plants will be constructed in the short term</w:t>
      </w:r>
      <w:r>
        <w:rPr>
          <w:rFonts w:ascii="Times New Roman" w:hAnsi="Times New Roman"/>
        </w:rPr>
        <w:t xml:space="preserve">. </w:t>
      </w:r>
      <w:r w:rsidRPr="009B35B5">
        <w:rPr>
          <w:rFonts w:ascii="Times New Roman" w:hAnsi="Times New Roman"/>
        </w:rPr>
        <w:t>This is an indication that in the near term few new coal-fired EGUs will be subject to the N</w:t>
      </w:r>
      <w:r>
        <w:rPr>
          <w:rFonts w:ascii="Times New Roman" w:hAnsi="Times New Roman"/>
        </w:rPr>
        <w:t xml:space="preserve">ESHAP. </w:t>
      </w:r>
      <w:r w:rsidRPr="009B35B5">
        <w:rPr>
          <w:rFonts w:ascii="Times New Roman" w:hAnsi="Times New Roman"/>
        </w:rPr>
        <w:t xml:space="preserve">For the electric utility sector, </w:t>
      </w:r>
      <w:r w:rsidR="006B65BC">
        <w:rPr>
          <w:rFonts w:ascii="Times New Roman" w:hAnsi="Times New Roman"/>
        </w:rPr>
        <w:t xml:space="preserve">the </w:t>
      </w:r>
      <w:r w:rsidRPr="009B35B5">
        <w:rPr>
          <w:rFonts w:ascii="Times New Roman" w:hAnsi="Times New Roman"/>
        </w:rPr>
        <w:t xml:space="preserve">EPA used the </w:t>
      </w:r>
      <w:r>
        <w:rPr>
          <w:rFonts w:ascii="Times New Roman" w:hAnsi="Times New Roman"/>
        </w:rPr>
        <w:t>IPM</w:t>
      </w:r>
      <w:r w:rsidRPr="009B35B5">
        <w:rPr>
          <w:rFonts w:ascii="Times New Roman" w:hAnsi="Times New Roman"/>
        </w:rPr>
        <w:t xml:space="preserve"> to project the number of new coal-fired power plants that will be installed in the next decade</w:t>
      </w:r>
      <w:r>
        <w:rPr>
          <w:rFonts w:ascii="Times New Roman" w:hAnsi="Times New Roman"/>
        </w:rPr>
        <w:t xml:space="preserve">. </w:t>
      </w:r>
      <w:r w:rsidRPr="009B35B5">
        <w:rPr>
          <w:rFonts w:ascii="Times New Roman" w:hAnsi="Times New Roman"/>
        </w:rPr>
        <w:t xml:space="preserve">The current version of IPM used for the </w:t>
      </w:r>
      <w:r w:rsidRPr="00196700">
        <w:rPr>
          <w:rFonts w:ascii="Times New Roman" w:hAnsi="Times New Roman"/>
        </w:rPr>
        <w:t>C</w:t>
      </w:r>
      <w:r>
        <w:rPr>
          <w:rFonts w:ascii="Times New Roman" w:hAnsi="Times New Roman"/>
        </w:rPr>
        <w:t>ross-State Air Pollution Rule (CSAPR)</w:t>
      </w:r>
      <w:r w:rsidRPr="00196700">
        <w:rPr>
          <w:rFonts w:ascii="Times New Roman" w:hAnsi="Times New Roman"/>
        </w:rPr>
        <w:t xml:space="preserve"> </w:t>
      </w:r>
      <w:r w:rsidRPr="009B35B5">
        <w:rPr>
          <w:rFonts w:ascii="Times New Roman" w:hAnsi="Times New Roman"/>
        </w:rPr>
        <w:t xml:space="preserve">and </w:t>
      </w:r>
      <w:r w:rsidR="006B65BC">
        <w:rPr>
          <w:rFonts w:ascii="Times New Roman" w:hAnsi="Times New Roman"/>
        </w:rPr>
        <w:t xml:space="preserve">the </w:t>
      </w:r>
      <w:r w:rsidRPr="009B35B5">
        <w:rPr>
          <w:rFonts w:ascii="Times New Roman" w:hAnsi="Times New Roman"/>
        </w:rPr>
        <w:t>EGU NESHAP rules predicts 2,000 MW of new near term (i.e., by 2015) coal-fired capacity additions</w:t>
      </w:r>
      <w:r>
        <w:rPr>
          <w:rFonts w:ascii="Times New Roman" w:hAnsi="Times New Roman"/>
        </w:rPr>
        <w:t xml:space="preserve">. </w:t>
      </w:r>
      <w:r w:rsidRPr="009B35B5">
        <w:rPr>
          <w:rFonts w:ascii="Times New Roman" w:hAnsi="Times New Roman"/>
        </w:rPr>
        <w:t>All of this capacity is assumed to include carbon capture and storage that is funded by some government mechanism</w:t>
      </w:r>
      <w:r>
        <w:rPr>
          <w:rFonts w:ascii="Times New Roman" w:hAnsi="Times New Roman"/>
        </w:rPr>
        <w:t xml:space="preserve">. </w:t>
      </w:r>
      <w:r w:rsidRPr="009B35B5">
        <w:rPr>
          <w:rFonts w:ascii="Times New Roman" w:hAnsi="Times New Roman"/>
        </w:rPr>
        <w:t xml:space="preserve">Although none of this capacity is specifically identified, to be consistent with the various regulations impacting the utility sector we project </w:t>
      </w:r>
      <w:r w:rsidRPr="0068644D">
        <w:rPr>
          <w:rFonts w:ascii="Times New Roman" w:hAnsi="Times New Roman"/>
        </w:rPr>
        <w:t xml:space="preserve">that two new 500 MW coal-fired facilities will be subject to the </w:t>
      </w:r>
      <w:r>
        <w:rPr>
          <w:rFonts w:ascii="Times New Roman" w:hAnsi="Times New Roman"/>
        </w:rPr>
        <w:t xml:space="preserve">standards for new EGUs.. </w:t>
      </w:r>
      <w:r w:rsidRPr="0068644D">
        <w:rPr>
          <w:rFonts w:ascii="Times New Roman" w:hAnsi="Times New Roman"/>
        </w:rPr>
        <w:t>We used</w:t>
      </w:r>
      <w:r w:rsidRPr="009B35B5">
        <w:rPr>
          <w:rFonts w:ascii="Times New Roman" w:hAnsi="Times New Roman"/>
        </w:rPr>
        <w:t xml:space="preserve"> engineering judgment to predict that these new units are likely to be one pulverized coal bituminous coal-fired unit and one pulverized coal subbituminous coal-fired unit</w:t>
      </w:r>
      <w:r>
        <w:rPr>
          <w:rFonts w:ascii="Times New Roman" w:hAnsi="Times New Roman"/>
        </w:rPr>
        <w:t>. B</w:t>
      </w:r>
      <w:r w:rsidRPr="009B35B5">
        <w:rPr>
          <w:rFonts w:ascii="Times New Roman" w:hAnsi="Times New Roman"/>
        </w:rPr>
        <w:t xml:space="preserve">ecause of fuel supply availability and cost considerations, we assumed </w:t>
      </w:r>
      <w:r w:rsidRPr="007E09A5">
        <w:rPr>
          <w:rFonts w:ascii="Times New Roman" w:hAnsi="Times New Roman"/>
        </w:rPr>
        <w:t>that no new oil-fired electric utility steam generating units will be built during the next 5 years.</w:t>
      </w:r>
    </w:p>
    <w:p w:rsidR="00F57C07" w:rsidRPr="00D96562" w:rsidRDefault="00F57C07" w:rsidP="006B65BC">
      <w:pPr>
        <w:pStyle w:val="Para"/>
        <w:ind w:firstLine="0"/>
        <w:rPr>
          <w:rFonts w:ascii="Times New Roman" w:eastAsia="Times New Roman" w:hAnsi="Times New Roman"/>
          <w:bCs/>
          <w:i/>
          <w:szCs w:val="28"/>
        </w:rPr>
      </w:pPr>
      <w:r w:rsidRPr="0068644D">
        <w:rPr>
          <w:i/>
          <w:iCs/>
        </w:rPr>
        <w:t xml:space="preserve"> (iii) Electronic Reporting. </w:t>
      </w:r>
    </w:p>
    <w:p w:rsidR="00F57C07" w:rsidRDefault="00F57C07" w:rsidP="00F57C07">
      <w:pPr>
        <w:pStyle w:val="Para"/>
        <w:rPr>
          <w:rFonts w:ascii="Times New Roman" w:hAnsi="Times New Roman"/>
        </w:rPr>
      </w:pPr>
      <w:r>
        <w:rPr>
          <w:rFonts w:ascii="Times New Roman" w:hAnsi="Times New Roman"/>
        </w:rPr>
        <w:t>U</w:t>
      </w:r>
      <w:r w:rsidRPr="00886238">
        <w:rPr>
          <w:rFonts w:ascii="Times New Roman" w:hAnsi="Times New Roman"/>
        </w:rPr>
        <w:t>tility units have the option of submitting to an EPA electronic database an electronic copy of their required stack test</w:t>
      </w:r>
      <w:r>
        <w:rPr>
          <w:rFonts w:ascii="Times New Roman" w:hAnsi="Times New Roman"/>
        </w:rPr>
        <w:t xml:space="preserve">. </w:t>
      </w:r>
      <w:r w:rsidRPr="00886238">
        <w:rPr>
          <w:rFonts w:ascii="Times New Roman" w:hAnsi="Times New Roman"/>
        </w:rPr>
        <w:t>This electronic database should become available as of December 31, 2011</w:t>
      </w:r>
      <w:r>
        <w:rPr>
          <w:rFonts w:ascii="Times New Roman" w:hAnsi="Times New Roman"/>
        </w:rPr>
        <w:t xml:space="preserve">. </w:t>
      </w:r>
      <w:r w:rsidRPr="00886238">
        <w:rPr>
          <w:rFonts w:ascii="Times New Roman" w:hAnsi="Times New Roman"/>
        </w:rPr>
        <w:t>Currently, sources are using monitoring equipment that provides automated parameter data (e.g., continuous opacity monitoring)</w:t>
      </w:r>
      <w:r>
        <w:rPr>
          <w:rFonts w:ascii="Times New Roman" w:hAnsi="Times New Roman"/>
        </w:rPr>
        <w:t xml:space="preserve">. </w:t>
      </w:r>
      <w:r w:rsidRPr="00886238">
        <w:rPr>
          <w:rFonts w:ascii="Times New Roman" w:hAnsi="Times New Roman"/>
        </w:rPr>
        <w:t>Although personnel at the affected facility must evaluate these data, this type of monitoring equipment has significantly reduced the burden associated with monitoring and recordkeeping</w:t>
      </w:r>
      <w:r>
        <w:rPr>
          <w:rFonts w:ascii="Times New Roman" w:hAnsi="Times New Roman"/>
        </w:rPr>
        <w:t xml:space="preserve">. </w:t>
      </w:r>
      <w:r w:rsidRPr="00886238">
        <w:rPr>
          <w:rFonts w:ascii="Times New Roman" w:hAnsi="Times New Roman"/>
        </w:rPr>
        <w:t>In addition, some regulatory agencies are setting up electronic reporting systems to allow sources to report such data electronically which also reduces the reporting burden</w:t>
      </w:r>
      <w:r>
        <w:rPr>
          <w:rFonts w:ascii="Times New Roman" w:hAnsi="Times New Roman"/>
        </w:rPr>
        <w:t xml:space="preserve">. </w:t>
      </w:r>
      <w:r w:rsidRPr="00886238">
        <w:rPr>
          <w:rFonts w:ascii="Times New Roman" w:hAnsi="Times New Roman"/>
        </w:rPr>
        <w:t>It is estimated that approximately 10 percent of the respondents currently use electronic reporting.</w:t>
      </w:r>
    </w:p>
    <w:p w:rsidR="00F57C07" w:rsidRPr="009B35B5" w:rsidRDefault="00F57C07" w:rsidP="00F57C07">
      <w:pPr>
        <w:pStyle w:val="Heading1"/>
        <w:ind w:left="0" w:firstLine="0"/>
      </w:pPr>
      <w:r w:rsidRPr="009B35B5">
        <w:t>5.</w:t>
      </w:r>
      <w:r w:rsidRPr="009B35B5">
        <w:tab/>
        <w:t>The Information Collected: Agency Activities, Collection Methodology, and Information Management</w:t>
      </w:r>
    </w:p>
    <w:p w:rsidR="00F57C07" w:rsidRPr="0068644D" w:rsidRDefault="00F57C07" w:rsidP="00F57C07">
      <w:pPr>
        <w:pStyle w:val="Heading2"/>
        <w:rPr>
          <w:i/>
          <w:iCs w:val="0"/>
        </w:rPr>
      </w:pPr>
      <w:r w:rsidRPr="0068644D">
        <w:rPr>
          <w:i/>
          <w:iCs w:val="0"/>
        </w:rPr>
        <w:t>(a)</w:t>
      </w:r>
      <w:r w:rsidRPr="0068644D">
        <w:rPr>
          <w:i/>
          <w:iCs w:val="0"/>
        </w:rPr>
        <w:tab/>
        <w:t>Agency Activities</w:t>
      </w:r>
    </w:p>
    <w:p w:rsidR="00F57C07" w:rsidRDefault="006B65BC" w:rsidP="00F57C07">
      <w:pPr>
        <w:pStyle w:val="Para"/>
        <w:spacing w:after="0"/>
        <w:rPr>
          <w:rFonts w:ascii="Times New Roman" w:hAnsi="Times New Roman"/>
        </w:rPr>
      </w:pPr>
      <w:r>
        <w:rPr>
          <w:rFonts w:ascii="Times New Roman" w:hAnsi="Times New Roman"/>
        </w:rPr>
        <w:t xml:space="preserve">The </w:t>
      </w:r>
      <w:r w:rsidR="00F57C07" w:rsidRPr="009B35B5">
        <w:rPr>
          <w:rFonts w:ascii="Times New Roman" w:hAnsi="Times New Roman"/>
        </w:rPr>
        <w:t xml:space="preserve">EPA conducts the activities </w:t>
      </w:r>
      <w:r w:rsidR="00F57C07">
        <w:rPr>
          <w:rFonts w:ascii="Times New Roman" w:hAnsi="Times New Roman"/>
        </w:rPr>
        <w:t xml:space="preserve">in Table 2 </w:t>
      </w:r>
      <w:r w:rsidR="00F57C07" w:rsidRPr="009B35B5">
        <w:rPr>
          <w:rFonts w:ascii="Times New Roman" w:hAnsi="Times New Roman"/>
        </w:rPr>
        <w:t>in connection with the acquisition, analysis, storage, and distribution of the required information.</w:t>
      </w:r>
    </w:p>
    <w:p w:rsidR="00F57C07" w:rsidRDefault="00F57C07" w:rsidP="00F57C07">
      <w:pPr>
        <w:pStyle w:val="Para"/>
        <w:spacing w:after="0"/>
        <w:rPr>
          <w:rFonts w:ascii="Times New Roman" w:hAnsi="Times New Roman"/>
        </w:rPr>
      </w:pPr>
    </w:p>
    <w:p w:rsidR="00F57C07" w:rsidRPr="00556D4D" w:rsidRDefault="00F57C07" w:rsidP="00F57C07">
      <w:pPr>
        <w:pStyle w:val="Para"/>
        <w:spacing w:after="0"/>
        <w:ind w:firstLine="0"/>
        <w:rPr>
          <w:rFonts w:ascii="Times New Roman" w:hAnsi="Times New Roman"/>
          <w:b/>
          <w:bCs/>
          <w:szCs w:val="24"/>
        </w:rPr>
      </w:pPr>
      <w:r>
        <w:rPr>
          <w:rFonts w:ascii="Times New Roman" w:hAnsi="Times New Roman"/>
          <w:b/>
          <w:bCs/>
        </w:rPr>
        <w:lastRenderedPageBreak/>
        <w:t>Table 2. Agency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0"/>
      </w:tblGrid>
      <w:tr w:rsidR="00F57C07" w:rsidRPr="00F245EA" w:rsidTr="006B65BC">
        <w:tc>
          <w:tcPr>
            <w:tcW w:w="9270" w:type="dxa"/>
            <w:vAlign w:val="center"/>
          </w:tcPr>
          <w:p w:rsidR="00F57C07" w:rsidRPr="009E7118" w:rsidRDefault="00F57C07" w:rsidP="006B65BC">
            <w:pPr>
              <w:pStyle w:val="TableRow"/>
              <w:rPr>
                <w:rFonts w:ascii="Times New Roman" w:hAnsi="Times New Roman"/>
              </w:rPr>
            </w:pPr>
            <w:r>
              <w:rPr>
                <w:rFonts w:ascii="Times New Roman" w:hAnsi="Times New Roman"/>
              </w:rPr>
              <w:t>Observe initial performance tests and repeat performance tests, if necessary.</w:t>
            </w:r>
          </w:p>
        </w:tc>
      </w:tr>
      <w:tr w:rsidR="00F57C07" w:rsidRPr="00F245EA" w:rsidTr="006B65BC">
        <w:trPr>
          <w:trHeight w:val="413"/>
        </w:trPr>
        <w:tc>
          <w:tcPr>
            <w:tcW w:w="9270" w:type="dxa"/>
            <w:vAlign w:val="center"/>
          </w:tcPr>
          <w:p w:rsidR="00F57C07" w:rsidRPr="009E7118" w:rsidRDefault="00F57C07" w:rsidP="006B65BC">
            <w:pPr>
              <w:pStyle w:val="TableRow"/>
              <w:rPr>
                <w:rFonts w:ascii="Times New Roman" w:hAnsi="Times New Roman"/>
              </w:rPr>
            </w:pPr>
            <w:r>
              <w:rPr>
                <w:rFonts w:ascii="Times New Roman" w:hAnsi="Times New Roman"/>
              </w:rPr>
              <w:t>Review notifications and reports, including performance test reports, and excess emissions reports, required to be submitted by industry.</w:t>
            </w:r>
          </w:p>
        </w:tc>
      </w:tr>
      <w:tr w:rsidR="00F57C07" w:rsidRPr="00F245EA" w:rsidTr="006B65BC">
        <w:trPr>
          <w:trHeight w:val="413"/>
        </w:trPr>
        <w:tc>
          <w:tcPr>
            <w:tcW w:w="9270" w:type="dxa"/>
            <w:vAlign w:val="center"/>
          </w:tcPr>
          <w:p w:rsidR="00F57C07" w:rsidRPr="009E7118" w:rsidRDefault="00F57C07" w:rsidP="006B65BC">
            <w:pPr>
              <w:pStyle w:val="TableRow"/>
              <w:rPr>
                <w:rFonts w:ascii="Times New Roman" w:hAnsi="Times New Roman"/>
              </w:rPr>
            </w:pPr>
            <w:r>
              <w:rPr>
                <w:rFonts w:ascii="Times New Roman" w:hAnsi="Times New Roman"/>
              </w:rPr>
              <w:t>Audit plant records.</w:t>
            </w:r>
          </w:p>
        </w:tc>
      </w:tr>
      <w:tr w:rsidR="00F57C07" w:rsidRPr="00F245EA" w:rsidTr="006B65BC">
        <w:tc>
          <w:tcPr>
            <w:tcW w:w="9270" w:type="dxa"/>
            <w:vAlign w:val="center"/>
          </w:tcPr>
          <w:p w:rsidR="00F57C07" w:rsidRPr="009E7118" w:rsidRDefault="00F57C07" w:rsidP="006B65BC">
            <w:pPr>
              <w:pStyle w:val="TableRow"/>
              <w:rPr>
                <w:rFonts w:ascii="Times New Roman" w:hAnsi="Times New Roman"/>
                <w:b/>
                <w:bCs/>
              </w:rPr>
            </w:pPr>
            <w:r>
              <w:rPr>
                <w:rFonts w:ascii="Times New Roman" w:hAnsi="Times New Roman"/>
              </w:rPr>
              <w:t>Input, analyze, and maintain data in the AIRS Facility Subsystem (AFS) database.</w:t>
            </w:r>
          </w:p>
        </w:tc>
      </w:tr>
    </w:tbl>
    <w:p w:rsidR="00F57C07" w:rsidRDefault="00F57C07" w:rsidP="00F57C07">
      <w:pPr>
        <w:pStyle w:val="Heading2"/>
        <w:spacing w:before="0"/>
        <w:rPr>
          <w:i/>
          <w:iCs w:val="0"/>
        </w:rPr>
      </w:pPr>
    </w:p>
    <w:p w:rsidR="00F57C07" w:rsidRPr="0068644D" w:rsidRDefault="00F57C07" w:rsidP="00F57C07">
      <w:pPr>
        <w:pStyle w:val="Heading2"/>
        <w:spacing w:before="0"/>
        <w:rPr>
          <w:i/>
          <w:iCs w:val="0"/>
        </w:rPr>
      </w:pPr>
      <w:r w:rsidRPr="0068644D">
        <w:rPr>
          <w:i/>
          <w:iCs w:val="0"/>
        </w:rPr>
        <w:t>(b)</w:t>
      </w:r>
      <w:r w:rsidRPr="0068644D">
        <w:rPr>
          <w:i/>
          <w:iCs w:val="0"/>
        </w:rPr>
        <w:tab/>
        <w:t>Collection Methodology and Management</w:t>
      </w:r>
    </w:p>
    <w:p w:rsidR="00F57C07" w:rsidRPr="009B35B5" w:rsidRDefault="00F57C07" w:rsidP="00F57C07">
      <w:pPr>
        <w:pStyle w:val="Para"/>
        <w:rPr>
          <w:rFonts w:ascii="Times New Roman" w:hAnsi="Times New Roman"/>
        </w:rPr>
      </w:pPr>
      <w:r w:rsidRPr="009B35B5">
        <w:rPr>
          <w:rFonts w:ascii="Times New Roman" w:hAnsi="Times New Roman"/>
        </w:rPr>
        <w:t>Following notification of startup, the reviewing authority might inspect the source to determine whether the pollution control devices are properly installed and operated</w:t>
      </w:r>
      <w:r>
        <w:rPr>
          <w:rFonts w:ascii="Times New Roman" w:hAnsi="Times New Roman"/>
        </w:rPr>
        <w:t xml:space="preserve">. </w:t>
      </w:r>
      <w:r w:rsidRPr="009B35B5">
        <w:rPr>
          <w:rFonts w:ascii="Times New Roman" w:hAnsi="Times New Roman"/>
        </w:rPr>
        <w:t xml:space="preserve">Performance test reports are used by the </w:t>
      </w:r>
      <w:r w:rsidR="006B65BC">
        <w:rPr>
          <w:rFonts w:ascii="Times New Roman" w:hAnsi="Times New Roman"/>
        </w:rPr>
        <w:t>a</w:t>
      </w:r>
      <w:r w:rsidRPr="009B35B5">
        <w:rPr>
          <w:rFonts w:ascii="Times New Roman" w:hAnsi="Times New Roman"/>
        </w:rPr>
        <w:t>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F57C07" w:rsidRPr="009B35B5" w:rsidRDefault="00F57C07" w:rsidP="00F57C07">
      <w:pPr>
        <w:pStyle w:val="Para"/>
        <w:rPr>
          <w:rFonts w:ascii="Times New Roman" w:hAnsi="Times New Roman"/>
        </w:rPr>
      </w:pPr>
      <w:r>
        <w:rPr>
          <w:rFonts w:ascii="Times New Roman" w:hAnsi="Times New Roman"/>
        </w:rPr>
        <w:t>The i</w:t>
      </w:r>
      <w:r w:rsidRPr="009B35B5">
        <w:rPr>
          <w:rFonts w:ascii="Times New Roman" w:hAnsi="Times New Roman"/>
        </w:rPr>
        <w:t xml:space="preserve">nformation </w:t>
      </w:r>
      <w:r>
        <w:rPr>
          <w:rFonts w:ascii="Times New Roman" w:hAnsi="Times New Roman"/>
        </w:rPr>
        <w:t>ob</w:t>
      </w:r>
      <w:r w:rsidRPr="009B35B5">
        <w:rPr>
          <w:rFonts w:ascii="Times New Roman" w:hAnsi="Times New Roman"/>
        </w:rPr>
        <w:t xml:space="preserve">tained is </w:t>
      </w:r>
      <w:r>
        <w:rPr>
          <w:rFonts w:ascii="Times New Roman" w:hAnsi="Times New Roman"/>
        </w:rPr>
        <w:t xml:space="preserve">then </w:t>
      </w:r>
      <w:r w:rsidRPr="009B35B5">
        <w:rPr>
          <w:rFonts w:ascii="Times New Roman" w:hAnsi="Times New Roman"/>
        </w:rPr>
        <w:t xml:space="preserve">entered into the AIRS Facility Subsystem (AFS) which is operated and maintained by </w:t>
      </w:r>
      <w:r w:rsidR="006B65BC">
        <w:rPr>
          <w:rFonts w:ascii="Times New Roman" w:hAnsi="Times New Roman"/>
        </w:rPr>
        <w:t xml:space="preserve">the </w:t>
      </w:r>
      <w:r w:rsidRPr="009B35B5">
        <w:rPr>
          <w:rFonts w:ascii="Times New Roman" w:hAnsi="Times New Roman"/>
        </w:rPr>
        <w:t>EPA’s Office of Compliance</w:t>
      </w:r>
      <w:r>
        <w:rPr>
          <w:rFonts w:ascii="Times New Roman" w:hAnsi="Times New Roman"/>
        </w:rPr>
        <w:t xml:space="preserve">. </w:t>
      </w:r>
      <w:r w:rsidRPr="009B35B5">
        <w:rPr>
          <w:rFonts w:ascii="Times New Roman" w:hAnsi="Times New Roman"/>
        </w:rPr>
        <w:t xml:space="preserve">AFS is </w:t>
      </w:r>
      <w:r w:rsidR="006B65BC">
        <w:rPr>
          <w:rFonts w:ascii="Times New Roman" w:hAnsi="Times New Roman"/>
        </w:rPr>
        <w:t xml:space="preserve">the </w:t>
      </w:r>
      <w:r w:rsidRPr="009B35B5">
        <w:rPr>
          <w:rFonts w:ascii="Times New Roman" w:hAnsi="Times New Roman"/>
        </w:rPr>
        <w:t>EPA’s database for the collection, maintenance, and retrieval of compliance and annual emission inventory data for over 125,000 industrial and government owned facilities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uses the AFS for tracking air pollution compliance and enforcement by local and state regulatory agencies, EPA regional offices and EPA headquarters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and its delegated Authorities can edit, store, retrieve, and analyze the data.</w:t>
      </w:r>
    </w:p>
    <w:p w:rsidR="00F57C07" w:rsidRPr="009B35B5" w:rsidRDefault="00F57C07" w:rsidP="00F57C07">
      <w:pPr>
        <w:pStyle w:val="Para"/>
        <w:rPr>
          <w:rFonts w:ascii="Times New Roman" w:hAnsi="Times New Roman"/>
        </w:rPr>
      </w:pPr>
      <w:r w:rsidRPr="009B35B5">
        <w:rPr>
          <w:rFonts w:ascii="Times New Roman" w:hAnsi="Times New Roman"/>
        </w:rPr>
        <w:t>The records required by this regulation must be retained by the owner or operator for five years.</w:t>
      </w:r>
    </w:p>
    <w:p w:rsidR="00F57C07" w:rsidRPr="0068644D" w:rsidRDefault="00F57C07" w:rsidP="006B65BC">
      <w:pPr>
        <w:pStyle w:val="Heading2"/>
        <w:ind w:left="0" w:firstLine="0"/>
        <w:rPr>
          <w:i/>
          <w:iCs w:val="0"/>
        </w:rPr>
      </w:pPr>
      <w:r w:rsidRPr="0068644D">
        <w:rPr>
          <w:i/>
          <w:iCs w:val="0"/>
        </w:rPr>
        <w:t>(c)</w:t>
      </w:r>
      <w:r w:rsidRPr="0068644D">
        <w:rPr>
          <w:i/>
          <w:iCs w:val="0"/>
        </w:rPr>
        <w:tab/>
        <w:t>Small Entity Flexibility</w:t>
      </w:r>
    </w:p>
    <w:p w:rsidR="00F57C07" w:rsidRPr="007E09A5" w:rsidRDefault="00F57C07" w:rsidP="00F57C07">
      <w:pPr>
        <w:pStyle w:val="Para"/>
        <w:rPr>
          <w:rFonts w:ascii="Times New Roman" w:hAnsi="Times New Roman"/>
        </w:rPr>
      </w:pPr>
      <w:r w:rsidRPr="007E09A5">
        <w:rPr>
          <w:rFonts w:ascii="Times New Roman" w:hAnsi="Times New Roman"/>
        </w:rPr>
        <w:t>During this rulemaking, we conducted outreach to small entities and convened a Small Business Advocacy Review (SBAR) Panel to obtain advice and recommendation</w:t>
      </w:r>
      <w:r>
        <w:rPr>
          <w:rFonts w:ascii="Times New Roman" w:hAnsi="Times New Roman"/>
        </w:rPr>
        <w:t>s from</w:t>
      </w:r>
      <w:r w:rsidRPr="007E09A5">
        <w:rPr>
          <w:rFonts w:ascii="Times New Roman" w:hAnsi="Times New Roman"/>
        </w:rPr>
        <w:t xml:space="preserve"> representatives of the small entities that potentially would be subject to the requirements of this rule</w:t>
      </w:r>
      <w:r>
        <w:rPr>
          <w:rFonts w:ascii="Times New Roman" w:hAnsi="Times New Roman"/>
        </w:rPr>
        <w:t xml:space="preserve">. </w:t>
      </w:r>
      <w:r w:rsidRPr="007E09A5">
        <w:rPr>
          <w:rFonts w:ascii="Times New Roman" w:hAnsi="Times New Roman"/>
        </w:rPr>
        <w:t>As part of the SBAR Panel process we conducted outreach with representatives from various small entities that would be affected by this proposed rule</w:t>
      </w:r>
      <w:r>
        <w:rPr>
          <w:rFonts w:ascii="Times New Roman" w:hAnsi="Times New Roman"/>
        </w:rPr>
        <w:t xml:space="preserve">. </w:t>
      </w:r>
      <w:r w:rsidRPr="007E09A5">
        <w:rPr>
          <w:rFonts w:ascii="Times New Roman" w:hAnsi="Times New Roman"/>
        </w:rPr>
        <w:t>We met with these small entity representatives (SERs) to discuss the potential rulemaking approaches and potential options to decrease the impact of the rulemaking on their industries/sectors</w:t>
      </w:r>
      <w:r>
        <w:rPr>
          <w:rFonts w:ascii="Times New Roman" w:hAnsi="Times New Roman"/>
        </w:rPr>
        <w:t xml:space="preserve">. </w:t>
      </w:r>
      <w:r w:rsidRPr="007E09A5">
        <w:rPr>
          <w:rFonts w:ascii="Times New Roman" w:hAnsi="Times New Roman"/>
        </w:rPr>
        <w:t>We distributed outreach materials to the SERs; these materials included background, project history, CAA section 112 overview, constraints on rulemaking, affected facilities, data, rulemaking options under consideration, potential control technologies and estimated costs, applicable small entity definitions, small entities potentially subject to regulation, and questions for SERs</w:t>
      </w:r>
      <w:r>
        <w:rPr>
          <w:rFonts w:ascii="Times New Roman" w:hAnsi="Times New Roman"/>
        </w:rPr>
        <w:t xml:space="preserve">. </w:t>
      </w:r>
      <w:r w:rsidRPr="007E09A5">
        <w:rPr>
          <w:rFonts w:ascii="Times New Roman" w:hAnsi="Times New Roman"/>
        </w:rPr>
        <w:t>We met with SERs that will be impacted directly by this proposed rule to discuss the outreach materials and receive feedback on the approaches and alternatives detailed in the outreach packet</w:t>
      </w:r>
      <w:r>
        <w:rPr>
          <w:rFonts w:ascii="Times New Roman" w:hAnsi="Times New Roman"/>
        </w:rPr>
        <w:t xml:space="preserve">. </w:t>
      </w:r>
      <w:r w:rsidRPr="007E09A5">
        <w:rPr>
          <w:rFonts w:ascii="Times New Roman" w:hAnsi="Times New Roman"/>
        </w:rPr>
        <w:t xml:space="preserve">The </w:t>
      </w:r>
      <w:r>
        <w:rPr>
          <w:rFonts w:ascii="Times New Roman" w:hAnsi="Times New Roman"/>
        </w:rPr>
        <w:t xml:space="preserve">SBAR </w:t>
      </w:r>
      <w:r w:rsidRPr="007E09A5">
        <w:rPr>
          <w:rFonts w:ascii="Times New Roman" w:hAnsi="Times New Roman"/>
        </w:rPr>
        <w:t>Panel received written comments from the SERs in response to discussions at the meeting and the questions posed to the SERs by the Agency</w:t>
      </w:r>
      <w:r>
        <w:rPr>
          <w:rFonts w:ascii="Times New Roman" w:hAnsi="Times New Roman"/>
        </w:rPr>
        <w:t xml:space="preserve">. </w:t>
      </w:r>
      <w:r w:rsidRPr="007E09A5">
        <w:rPr>
          <w:rFonts w:ascii="Times New Roman" w:hAnsi="Times New Roman"/>
        </w:rPr>
        <w:t>The SERs were specifically asked to provide comment on regulatory alternatives that could help to minimize the rule’s impact on small businesses.</w:t>
      </w:r>
    </w:p>
    <w:p w:rsidR="00F57C07" w:rsidRPr="0068644D" w:rsidRDefault="00F57C07" w:rsidP="00F57C07">
      <w:pPr>
        <w:pStyle w:val="Heading2"/>
        <w:rPr>
          <w:i/>
          <w:iCs w:val="0"/>
        </w:rPr>
      </w:pPr>
      <w:r w:rsidRPr="0068644D">
        <w:rPr>
          <w:i/>
          <w:iCs w:val="0"/>
        </w:rPr>
        <w:lastRenderedPageBreak/>
        <w:t>(d)</w:t>
      </w:r>
      <w:r w:rsidRPr="0068644D">
        <w:rPr>
          <w:i/>
          <w:iCs w:val="0"/>
        </w:rPr>
        <w:tab/>
        <w:t>Collection Schedule</w:t>
      </w:r>
    </w:p>
    <w:p w:rsidR="00F57C07" w:rsidRPr="000B5C1A" w:rsidRDefault="00F57C07" w:rsidP="00F57C07">
      <w:pPr>
        <w:pStyle w:val="Para"/>
        <w:rPr>
          <w:rFonts w:ascii="Times New Roman" w:hAnsi="Times New Roman"/>
          <w:b/>
          <w:bCs/>
        </w:rPr>
      </w:pPr>
      <w:r w:rsidRPr="009B35B5">
        <w:rPr>
          <w:rFonts w:ascii="Times New Roman" w:hAnsi="Times New Roman"/>
        </w:rPr>
        <w:t>The specific frequenc</w:t>
      </w:r>
      <w:r>
        <w:rPr>
          <w:rFonts w:ascii="Times New Roman" w:hAnsi="Times New Roman"/>
        </w:rPr>
        <w:t>ies</w:t>
      </w:r>
      <w:r w:rsidRPr="009B35B5">
        <w:rPr>
          <w:rFonts w:ascii="Times New Roman" w:hAnsi="Times New Roman"/>
        </w:rPr>
        <w:t xml:space="preserve"> for each information collection activity within this request </w:t>
      </w:r>
      <w:r>
        <w:rPr>
          <w:rFonts w:ascii="Times New Roman" w:hAnsi="Times New Roman"/>
        </w:rPr>
        <w:t>are</w:t>
      </w:r>
      <w:r w:rsidRPr="009B35B5">
        <w:rPr>
          <w:rFonts w:ascii="Times New Roman" w:hAnsi="Times New Roman"/>
        </w:rPr>
        <w:t xml:space="preserve"> shown in </w:t>
      </w:r>
      <w:r>
        <w:rPr>
          <w:rFonts w:ascii="Times New Roman" w:hAnsi="Times New Roman"/>
        </w:rPr>
        <w:t xml:space="preserve">Exhibit 1a, Exhibit 1b, and Exhibit 1c: </w:t>
      </w:r>
      <w:r w:rsidRPr="009B35B5">
        <w:rPr>
          <w:rFonts w:ascii="Times New Roman" w:hAnsi="Times New Roman"/>
        </w:rPr>
        <w:t xml:space="preserve">Respondent Burden of Reporting and Recordkeeping Requirements, NESHAP for </w:t>
      </w:r>
      <w:r w:rsidRPr="007C7E34">
        <w:rPr>
          <w:rFonts w:ascii="Times New Roman" w:hAnsi="Times New Roman"/>
        </w:rPr>
        <w:t>Coal- and Oil-fired Electric Utility Steam Generating Units (40 CFR Part 63, Subpart UUUUU)</w:t>
      </w:r>
      <w:r>
        <w:rPr>
          <w:rFonts w:ascii="Times New Roman" w:hAnsi="Times New Roman"/>
        </w:rPr>
        <w:t xml:space="preserve"> for the first </w:t>
      </w:r>
      <w:r w:rsidR="00BC4643">
        <w:rPr>
          <w:rFonts w:ascii="Times New Roman" w:hAnsi="Times New Roman"/>
        </w:rPr>
        <w:t>3</w:t>
      </w:r>
      <w:r>
        <w:rPr>
          <w:rFonts w:ascii="Times New Roman" w:hAnsi="Times New Roman"/>
        </w:rPr>
        <w:t xml:space="preserve"> years after promulgation, respectively.</w:t>
      </w:r>
    </w:p>
    <w:p w:rsidR="00F57C07" w:rsidRDefault="00F57C07" w:rsidP="00F57C07">
      <w:pPr>
        <w:pStyle w:val="Heading1"/>
      </w:pPr>
      <w:r w:rsidRPr="007C7E34">
        <w:t>6.</w:t>
      </w:r>
      <w:r w:rsidRPr="007C7E34">
        <w:tab/>
        <w:t>Estimating the Burden and Cost of the Collection</w:t>
      </w:r>
    </w:p>
    <w:p w:rsidR="00BC4643" w:rsidRPr="00BC4643" w:rsidRDefault="00BC4643" w:rsidP="00BC4643"/>
    <w:p w:rsidR="00F57C07" w:rsidRDefault="00F57C07" w:rsidP="00F57C07">
      <w:pPr>
        <w:pStyle w:val="Para"/>
        <w:spacing w:after="0"/>
        <w:rPr>
          <w:rFonts w:ascii="Times New Roman" w:hAnsi="Times New Roman"/>
        </w:rPr>
      </w:pPr>
      <w:r>
        <w:rPr>
          <w:rFonts w:ascii="Times New Roman" w:hAnsi="Times New Roman"/>
        </w:rPr>
        <w:t>Exhibit</w:t>
      </w:r>
      <w:r w:rsidRPr="007C7E34">
        <w:rPr>
          <w:rFonts w:ascii="Times New Roman" w:hAnsi="Times New Roman"/>
        </w:rPr>
        <w:t xml:space="preserve"> 1a, </w:t>
      </w:r>
      <w:r>
        <w:rPr>
          <w:rFonts w:ascii="Times New Roman" w:hAnsi="Times New Roman"/>
        </w:rPr>
        <w:t xml:space="preserve">Exhibit </w:t>
      </w:r>
      <w:r w:rsidRPr="007C7E34">
        <w:rPr>
          <w:rFonts w:ascii="Times New Roman" w:hAnsi="Times New Roman"/>
        </w:rPr>
        <w:t xml:space="preserve">1b, and </w:t>
      </w:r>
      <w:r>
        <w:rPr>
          <w:rFonts w:ascii="Times New Roman" w:hAnsi="Times New Roman"/>
        </w:rPr>
        <w:t xml:space="preserve">Exhibit </w:t>
      </w:r>
      <w:r w:rsidRPr="007C7E34">
        <w:rPr>
          <w:rFonts w:ascii="Times New Roman" w:hAnsi="Times New Roman"/>
        </w:rPr>
        <w:t>1c document the computation of individual burdens for the recordkeeping and reporting requirements applicable to the industry for the subpart included in this ICR for each of the first 3 years</w:t>
      </w:r>
      <w:r>
        <w:rPr>
          <w:rFonts w:ascii="Times New Roman" w:hAnsi="Times New Roman"/>
        </w:rPr>
        <w:t xml:space="preserve">. </w:t>
      </w:r>
      <w:r w:rsidRPr="005E01D7">
        <w:rPr>
          <w:rFonts w:ascii="Times New Roman" w:hAnsi="Times New Roman"/>
        </w:rPr>
        <w:t>Table</w:t>
      </w:r>
      <w:r w:rsidRPr="008403BE">
        <w:rPr>
          <w:rFonts w:ascii="Times New Roman" w:hAnsi="Times New Roman"/>
        </w:rPr>
        <w:t xml:space="preserve"> </w:t>
      </w:r>
      <w:r w:rsidRPr="005E01D7">
        <w:rPr>
          <w:rFonts w:ascii="Times New Roman" w:hAnsi="Times New Roman"/>
        </w:rPr>
        <w:t>3</w:t>
      </w:r>
      <w:r w:rsidRPr="008403BE">
        <w:rPr>
          <w:rFonts w:ascii="Times New Roman" w:hAnsi="Times New Roman"/>
        </w:rPr>
        <w:t xml:space="preserve"> contains a summary of the respondent burden hours and costs detailed in Exhibit 1a, Exhibit 1b, and Exhibit 1c.</w:t>
      </w:r>
    </w:p>
    <w:p w:rsidR="00F57C07" w:rsidRPr="008403BE" w:rsidRDefault="00F57C07" w:rsidP="00F57C07">
      <w:pPr>
        <w:pStyle w:val="Para"/>
        <w:spacing w:after="0"/>
        <w:ind w:firstLine="0"/>
        <w:rPr>
          <w:rFonts w:ascii="Times New Roman" w:hAnsi="Times New Roman"/>
        </w:rPr>
      </w:pPr>
    </w:p>
    <w:p w:rsidR="00F57C07" w:rsidRPr="001F421B" w:rsidRDefault="00F57C07" w:rsidP="00F57C07">
      <w:pPr>
        <w:pStyle w:val="ExhibitTitle"/>
        <w:spacing w:after="0"/>
        <w:rPr>
          <w:rFonts w:ascii="Times New Roman" w:hAnsi="Times New Roman"/>
        </w:rPr>
      </w:pPr>
      <w:r w:rsidRPr="005E01D7">
        <w:rPr>
          <w:rFonts w:ascii="Times New Roman" w:hAnsi="Times New Roman"/>
        </w:rPr>
        <w:t>Table</w:t>
      </w:r>
      <w:r w:rsidRPr="008403BE">
        <w:rPr>
          <w:rFonts w:ascii="Times New Roman" w:hAnsi="Times New Roman"/>
        </w:rPr>
        <w:t xml:space="preserve"> 3.</w:t>
      </w:r>
      <w:r w:rsidRPr="008403BE">
        <w:rPr>
          <w:rFonts w:ascii="Times New Roman" w:hAnsi="Times New Roman"/>
        </w:rPr>
        <w:tab/>
        <w:t>Summary of Respondent Burden</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3962"/>
        <w:gridCol w:w="3149"/>
      </w:tblGrid>
      <w:tr w:rsidR="00F57C07" w:rsidRPr="001F421B" w:rsidTr="006B65BC">
        <w:trPr>
          <w:trHeight w:val="278"/>
        </w:trPr>
        <w:tc>
          <w:tcPr>
            <w:tcW w:w="1202" w:type="pct"/>
            <w:hideMark/>
          </w:tcPr>
          <w:p w:rsidR="00F57C07" w:rsidRPr="001F421B" w:rsidRDefault="00F57C07" w:rsidP="006B65BC">
            <w:pPr>
              <w:pStyle w:val="TableHeader"/>
              <w:rPr>
                <w:rFonts w:ascii="Times New Roman" w:hAnsi="Times New Roman"/>
              </w:rPr>
            </w:pPr>
            <w:r w:rsidRPr="001F421B">
              <w:rPr>
                <w:rFonts w:ascii="Times New Roman" w:hAnsi="Times New Roman"/>
              </w:rPr>
              <w:t>Year</w:t>
            </w:r>
          </w:p>
        </w:tc>
        <w:tc>
          <w:tcPr>
            <w:tcW w:w="2116" w:type="pct"/>
            <w:hideMark/>
          </w:tcPr>
          <w:p w:rsidR="00F57C07" w:rsidRPr="00EA35FE" w:rsidRDefault="00F57C07" w:rsidP="006B65BC">
            <w:pPr>
              <w:pStyle w:val="TableHeader"/>
              <w:rPr>
                <w:rFonts w:ascii="Times New Roman" w:hAnsi="Times New Roman"/>
              </w:rPr>
            </w:pPr>
            <w:r>
              <w:rPr>
                <w:rFonts w:ascii="Times New Roman" w:hAnsi="Times New Roman"/>
              </w:rPr>
              <w:t>Total Annual Labor Burden (hours)</w:t>
            </w:r>
          </w:p>
        </w:tc>
        <w:tc>
          <w:tcPr>
            <w:tcW w:w="1682" w:type="pct"/>
            <w:hideMark/>
          </w:tcPr>
          <w:p w:rsidR="00F57C07" w:rsidRPr="00EA35FE" w:rsidRDefault="00F57C07" w:rsidP="006B65BC">
            <w:pPr>
              <w:pStyle w:val="TableHeader"/>
              <w:rPr>
                <w:rFonts w:ascii="Times New Roman" w:hAnsi="Times New Roman"/>
              </w:rPr>
            </w:pPr>
            <w:r>
              <w:rPr>
                <w:rFonts w:ascii="Times New Roman" w:hAnsi="Times New Roman"/>
              </w:rPr>
              <w:t>Total Annual Labor Costs ($)</w:t>
            </w:r>
          </w:p>
        </w:tc>
      </w:tr>
      <w:tr w:rsidR="00F57C07" w:rsidRPr="001F421B" w:rsidTr="006B65BC">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1</w:t>
            </w:r>
          </w:p>
        </w:tc>
        <w:tc>
          <w:tcPr>
            <w:tcW w:w="2116"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699,511</w:t>
            </w:r>
          </w:p>
        </w:tc>
        <w:tc>
          <w:tcPr>
            <w:tcW w:w="1682"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49,063,227</w:t>
            </w:r>
          </w:p>
        </w:tc>
      </w:tr>
      <w:tr w:rsidR="00F57C07" w:rsidRPr="001F421B" w:rsidTr="006B65BC">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2</w:t>
            </w:r>
          </w:p>
        </w:tc>
        <w:tc>
          <w:tcPr>
            <w:tcW w:w="2116"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700,296</w:t>
            </w:r>
          </w:p>
        </w:tc>
        <w:tc>
          <w:tcPr>
            <w:tcW w:w="1682"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49,118,248</w:t>
            </w:r>
          </w:p>
        </w:tc>
      </w:tr>
      <w:tr w:rsidR="00F57C07" w:rsidRPr="001F421B" w:rsidTr="006B65BC">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3</w:t>
            </w:r>
          </w:p>
        </w:tc>
        <w:tc>
          <w:tcPr>
            <w:tcW w:w="2116"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701,080</w:t>
            </w:r>
          </w:p>
        </w:tc>
        <w:tc>
          <w:tcPr>
            <w:tcW w:w="1682"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49,173,269</w:t>
            </w:r>
          </w:p>
        </w:tc>
      </w:tr>
      <w:tr w:rsidR="00F57C07" w:rsidRPr="001F421B" w:rsidTr="006B65BC">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Total</w:t>
            </w:r>
          </w:p>
        </w:tc>
        <w:tc>
          <w:tcPr>
            <w:tcW w:w="2116"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2,100,887</w:t>
            </w:r>
          </w:p>
        </w:tc>
        <w:tc>
          <w:tcPr>
            <w:tcW w:w="1682"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147,354,744</w:t>
            </w:r>
          </w:p>
        </w:tc>
      </w:tr>
      <w:tr w:rsidR="00F57C07" w:rsidRPr="001F421B" w:rsidTr="006B65BC">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3-Year Average</w:t>
            </w:r>
          </w:p>
        </w:tc>
        <w:tc>
          <w:tcPr>
            <w:tcW w:w="2116"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700,296</w:t>
            </w:r>
          </w:p>
        </w:tc>
        <w:tc>
          <w:tcPr>
            <w:tcW w:w="1682" w:type="pct"/>
            <w:hideMark/>
          </w:tcPr>
          <w:p w:rsidR="00F57C07" w:rsidRPr="00556B17" w:rsidRDefault="00F57C07" w:rsidP="006B65BC">
            <w:pPr>
              <w:pStyle w:val="TableRow"/>
              <w:jc w:val="center"/>
              <w:rPr>
                <w:rFonts w:ascii="Times New Roman" w:hAnsi="Times New Roman"/>
              </w:rPr>
            </w:pPr>
            <w:r w:rsidRPr="00556B17">
              <w:rPr>
                <w:rFonts w:ascii="Times New Roman" w:hAnsi="Times New Roman"/>
              </w:rPr>
              <w:t>49,118,248</w:t>
            </w:r>
          </w:p>
        </w:tc>
      </w:tr>
    </w:tbl>
    <w:p w:rsidR="00F57C07" w:rsidRDefault="00F57C07" w:rsidP="00F57C07">
      <w:pPr>
        <w:pStyle w:val="Para"/>
        <w:rPr>
          <w:rFonts w:ascii="Times New Roman" w:hAnsi="Times New Roman"/>
        </w:rPr>
      </w:pPr>
    </w:p>
    <w:p w:rsidR="00F57C07" w:rsidRPr="009B35B5" w:rsidRDefault="00F57C07" w:rsidP="00F57C07">
      <w:pPr>
        <w:pStyle w:val="Para"/>
        <w:rPr>
          <w:rFonts w:ascii="Times New Roman" w:hAnsi="Times New Roman"/>
        </w:rPr>
      </w:pPr>
      <w:r w:rsidRPr="009B35B5">
        <w:rPr>
          <w:rFonts w:ascii="Times New Roman" w:hAnsi="Times New Roman"/>
        </w:rP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F57C07" w:rsidRPr="009B35B5" w:rsidRDefault="00F57C07" w:rsidP="00F57C07">
      <w:pPr>
        <w:pStyle w:val="Para"/>
        <w:rPr>
          <w:rFonts w:ascii="Times New Roman" w:hAnsi="Times New Roman"/>
        </w:rPr>
      </w:pPr>
      <w:r w:rsidRPr="009B35B5">
        <w:rPr>
          <w:rFonts w:ascii="Times New Roman" w:hAnsi="Times New Roman"/>
        </w:rPr>
        <w:t xml:space="preserve">The </w:t>
      </w:r>
      <w:r w:rsidR="00BC4643">
        <w:rPr>
          <w:rFonts w:ascii="Times New Roman" w:hAnsi="Times New Roman"/>
        </w:rPr>
        <w:t>a</w:t>
      </w:r>
      <w:r w:rsidRPr="009B35B5">
        <w:rPr>
          <w:rFonts w:ascii="Times New Roman" w:hAnsi="Times New Roman"/>
        </w:rPr>
        <w:t>gency may not conduct or sponsor, and a person is not required to respond to, a collection of information unless it displays a currently valid OMB Control Number.</w:t>
      </w:r>
    </w:p>
    <w:p w:rsidR="00F57C07" w:rsidRPr="0068644D" w:rsidRDefault="00F57C07" w:rsidP="00F57C07">
      <w:pPr>
        <w:pStyle w:val="Heading2"/>
        <w:rPr>
          <w:i/>
          <w:iCs w:val="0"/>
        </w:rPr>
      </w:pPr>
      <w:r w:rsidRPr="0068644D">
        <w:rPr>
          <w:i/>
          <w:iCs w:val="0"/>
        </w:rPr>
        <w:t>(a)</w:t>
      </w:r>
      <w:r w:rsidRPr="0068644D">
        <w:rPr>
          <w:i/>
          <w:iCs w:val="0"/>
        </w:rPr>
        <w:tab/>
        <w:t>Estimating Respondent Burden</w:t>
      </w:r>
    </w:p>
    <w:p w:rsidR="00F57C07" w:rsidRDefault="00F57C07" w:rsidP="00F57C07">
      <w:pPr>
        <w:pStyle w:val="Para"/>
        <w:rPr>
          <w:rFonts w:ascii="Times New Roman" w:hAnsi="Times New Roman"/>
        </w:rPr>
      </w:pPr>
      <w:r w:rsidRPr="007C7E34">
        <w:rPr>
          <w:rFonts w:ascii="Times New Roman" w:hAnsi="Times New Roman"/>
        </w:rPr>
        <w:t xml:space="preserve">The average annual burden to industry over the next </w:t>
      </w:r>
      <w:r w:rsidR="00BC4643">
        <w:rPr>
          <w:rFonts w:ascii="Times New Roman" w:hAnsi="Times New Roman"/>
        </w:rPr>
        <w:t>3</w:t>
      </w:r>
      <w:r w:rsidRPr="007C7E34">
        <w:rPr>
          <w:rFonts w:ascii="Times New Roman" w:hAnsi="Times New Roman"/>
        </w:rPr>
        <w:t xml:space="preserve"> years from these recordkeeping and reporting requirements is estimated to </w:t>
      </w:r>
      <w:r w:rsidRPr="008403BE">
        <w:rPr>
          <w:rFonts w:ascii="Times New Roman" w:hAnsi="Times New Roman"/>
        </w:rPr>
        <w:t xml:space="preserve">be </w:t>
      </w:r>
      <w:r>
        <w:rPr>
          <w:rFonts w:ascii="Times New Roman" w:hAnsi="Times New Roman"/>
        </w:rPr>
        <w:t xml:space="preserve">700,296 </w:t>
      </w:r>
      <w:r w:rsidRPr="001F421B">
        <w:rPr>
          <w:rFonts w:ascii="Times New Roman" w:hAnsi="Times New Roman"/>
        </w:rPr>
        <w:t>hours per year</w:t>
      </w:r>
      <w:r w:rsidRPr="007C7E34">
        <w:rPr>
          <w:rFonts w:ascii="Times New Roman" w:hAnsi="Times New Roman"/>
        </w:rPr>
        <w:t xml:space="preserve"> (</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1a, </w:t>
      </w:r>
      <w:r>
        <w:rPr>
          <w:rFonts w:ascii="Times New Roman" w:hAnsi="Times New Roman"/>
        </w:rPr>
        <w:t xml:space="preserve">Exhibit </w:t>
      </w:r>
      <w:r w:rsidRPr="007C7E34">
        <w:rPr>
          <w:rFonts w:ascii="Times New Roman" w:hAnsi="Times New Roman"/>
        </w:rPr>
        <w:t xml:space="preserve">1b, and </w:t>
      </w:r>
      <w:r>
        <w:rPr>
          <w:rFonts w:ascii="Times New Roman" w:hAnsi="Times New Roman"/>
        </w:rPr>
        <w:t xml:space="preserve">Exhibit </w:t>
      </w:r>
      <w:r w:rsidRPr="007C7E34">
        <w:rPr>
          <w:rFonts w:ascii="Times New Roman" w:hAnsi="Times New Roman"/>
        </w:rPr>
        <w:t xml:space="preserve">1c). These hours are based on </w:t>
      </w:r>
      <w:r w:rsidR="00BC4643">
        <w:rPr>
          <w:rFonts w:ascii="Times New Roman" w:hAnsi="Times New Roman"/>
        </w:rPr>
        <w:t>a</w:t>
      </w:r>
      <w:r w:rsidRPr="007C7E34">
        <w:rPr>
          <w:rFonts w:ascii="Times New Roman" w:hAnsi="Times New Roman"/>
        </w:rPr>
        <w:t xml:space="preserve">gency studies and background documents from the development of the regulation, </w:t>
      </w:r>
      <w:r w:rsidR="00BC4643">
        <w:rPr>
          <w:rFonts w:ascii="Times New Roman" w:hAnsi="Times New Roman"/>
        </w:rPr>
        <w:t>a</w:t>
      </w:r>
      <w:r w:rsidRPr="007C7E34">
        <w:rPr>
          <w:rFonts w:ascii="Times New Roman" w:hAnsi="Times New Roman"/>
        </w:rPr>
        <w:t>gency knowledge, and experience with the NESHAP program, the previously approved ICR, and any comments received.</w:t>
      </w:r>
    </w:p>
    <w:p w:rsidR="00F57C07" w:rsidRPr="0068644D" w:rsidRDefault="00F57C07" w:rsidP="00F57C07">
      <w:pPr>
        <w:pStyle w:val="Heading2"/>
        <w:rPr>
          <w:i/>
          <w:iCs w:val="0"/>
        </w:rPr>
      </w:pPr>
      <w:r w:rsidRPr="0068644D">
        <w:rPr>
          <w:i/>
          <w:iCs w:val="0"/>
        </w:rPr>
        <w:t>(b)</w:t>
      </w:r>
      <w:r w:rsidRPr="0068644D">
        <w:rPr>
          <w:i/>
          <w:iCs w:val="0"/>
        </w:rPr>
        <w:tab/>
        <w:t>Estimating Respondent Costs</w:t>
      </w:r>
    </w:p>
    <w:p w:rsidR="00F57C07" w:rsidRDefault="00F57C07" w:rsidP="00F57C07">
      <w:pPr>
        <w:pStyle w:val="Para"/>
        <w:rPr>
          <w:rFonts w:ascii="Times New Roman" w:hAnsi="Times New Roman"/>
        </w:rPr>
      </w:pPr>
      <w:r w:rsidRPr="00B70F1C">
        <w:rPr>
          <w:rFonts w:ascii="Times New Roman" w:hAnsi="Times New Roman"/>
        </w:rPr>
        <w:t xml:space="preserve">Respondent costs are divided into </w:t>
      </w:r>
      <w:r>
        <w:rPr>
          <w:rFonts w:ascii="Times New Roman" w:hAnsi="Times New Roman"/>
        </w:rPr>
        <w:t>three</w:t>
      </w:r>
      <w:r w:rsidRPr="00B70F1C">
        <w:rPr>
          <w:rFonts w:ascii="Times New Roman" w:hAnsi="Times New Roman"/>
        </w:rPr>
        <w:t xml:space="preserve"> categories. These categories include labor costs, operations and maintenance costs, and annualized capital costs</w:t>
      </w:r>
      <w:r>
        <w:rPr>
          <w:rFonts w:ascii="Times New Roman" w:hAnsi="Times New Roman"/>
        </w:rPr>
        <w:t xml:space="preserve">. </w:t>
      </w:r>
      <w:r w:rsidRPr="00D832FA">
        <w:rPr>
          <w:rFonts w:ascii="Times New Roman" w:hAnsi="Times New Roman"/>
        </w:rPr>
        <w:t>The total respondent costs of $</w:t>
      </w:r>
      <w:r>
        <w:rPr>
          <w:rFonts w:ascii="Times New Roman" w:hAnsi="Times New Roman"/>
        </w:rPr>
        <w:t>207,563,774</w:t>
      </w:r>
      <w:r w:rsidRPr="00D832FA">
        <w:rPr>
          <w:rFonts w:ascii="Times New Roman" w:hAnsi="Times New Roman"/>
        </w:rPr>
        <w:t xml:space="preserve"> were calculated as the sum of the annualized capital costs of $8</w:t>
      </w:r>
      <w:r>
        <w:rPr>
          <w:rFonts w:ascii="Times New Roman" w:hAnsi="Times New Roman"/>
        </w:rPr>
        <w:t>1,906,079</w:t>
      </w:r>
      <w:r w:rsidRPr="00D832FA">
        <w:rPr>
          <w:rFonts w:ascii="Times New Roman" w:hAnsi="Times New Roman"/>
        </w:rPr>
        <w:t xml:space="preserve"> (including startup and the capitol recovery factor costs), the average annual labor costs of $49,118,248 and the annual operation and maintenance costs of $</w:t>
      </w:r>
      <w:r>
        <w:rPr>
          <w:rFonts w:ascii="Times New Roman" w:hAnsi="Times New Roman"/>
        </w:rPr>
        <w:t>76,539,446</w:t>
      </w:r>
      <w:r w:rsidRPr="00D832FA">
        <w:rPr>
          <w:rFonts w:ascii="Times New Roman" w:hAnsi="Times New Roman"/>
        </w:rPr>
        <w:t>.</w:t>
      </w:r>
    </w:p>
    <w:p w:rsidR="00F57C07" w:rsidRPr="0068644D" w:rsidRDefault="00F57C07" w:rsidP="00F57C07">
      <w:pPr>
        <w:pStyle w:val="Heading2"/>
        <w:rPr>
          <w:i/>
          <w:iCs w:val="0"/>
        </w:rPr>
      </w:pPr>
      <w:r w:rsidRPr="0068644D">
        <w:rPr>
          <w:i/>
          <w:iCs w:val="0"/>
        </w:rPr>
        <w:lastRenderedPageBreak/>
        <w:t>(i)</w:t>
      </w:r>
      <w:r w:rsidRPr="0068644D">
        <w:rPr>
          <w:i/>
          <w:iCs w:val="0"/>
        </w:rPr>
        <w:tab/>
        <w:t>Estimating Labor Costs</w:t>
      </w:r>
    </w:p>
    <w:p w:rsidR="00F57C07" w:rsidRDefault="00F57C07" w:rsidP="00F57C07">
      <w:pPr>
        <w:pStyle w:val="Para"/>
        <w:rPr>
          <w:rFonts w:ascii="Times New Roman" w:hAnsi="Times New Roman"/>
        </w:rPr>
      </w:pPr>
      <w:r w:rsidRPr="00E87EC5">
        <w:rPr>
          <w:rFonts w:ascii="Times New Roman" w:hAnsi="Times New Roman"/>
        </w:rPr>
        <w:t>Labor rates and associated costs are based on Bureau of Labor Statistics (BLS) data</w:t>
      </w:r>
      <w:r>
        <w:rPr>
          <w:rFonts w:ascii="Times New Roman" w:hAnsi="Times New Roman"/>
        </w:rPr>
        <w:t xml:space="preserve">. </w:t>
      </w:r>
      <w:r w:rsidRPr="00E87EC5">
        <w:rPr>
          <w:rFonts w:ascii="Times New Roman" w:hAnsi="Times New Roman"/>
        </w:rPr>
        <w:t xml:space="preserve">Technical, management, and clerical average hourly rates for private industry workers were </w:t>
      </w:r>
      <w:r>
        <w:rPr>
          <w:rFonts w:ascii="Times New Roman" w:hAnsi="Times New Roman"/>
        </w:rPr>
        <w:t>based on</w:t>
      </w:r>
      <w:r w:rsidRPr="00E87EC5">
        <w:rPr>
          <w:rFonts w:ascii="Times New Roman" w:hAnsi="Times New Roman"/>
        </w:rPr>
        <w:t xml:space="preserve"> </w:t>
      </w:r>
      <w:r>
        <w:rPr>
          <w:rFonts w:ascii="Times New Roman" w:hAnsi="Times New Roman"/>
        </w:rPr>
        <w:t xml:space="preserve">the </w:t>
      </w:r>
      <w:r w:rsidRPr="00ED18AB">
        <w:rPr>
          <w:rFonts w:ascii="Times New Roman" w:hAnsi="Times New Roman"/>
        </w:rPr>
        <w:t>Bureau of Labor Statistics, Occupational Employment Statistics, May 200</w:t>
      </w:r>
      <w:r>
        <w:rPr>
          <w:rFonts w:ascii="Times New Roman" w:hAnsi="Times New Roman"/>
        </w:rPr>
        <w:t>7</w:t>
      </w:r>
      <w:r w:rsidRPr="00ED18AB">
        <w:rPr>
          <w:rFonts w:ascii="Times New Roman" w:hAnsi="Times New Roman"/>
        </w:rPr>
        <w:t xml:space="preserve"> National Industry-Specific Occupational Employment and Wage Estimates</w:t>
      </w:r>
      <w:r>
        <w:rPr>
          <w:rFonts w:ascii="Times New Roman" w:hAnsi="Times New Roman"/>
        </w:rPr>
        <w:t xml:space="preserve">. The approximate labor rates are </w:t>
      </w:r>
      <w:r w:rsidRPr="005E01D7">
        <w:rPr>
          <w:rFonts w:ascii="Times New Roman" w:hAnsi="Times New Roman"/>
        </w:rPr>
        <w:t xml:space="preserve">$34.31 per hour for technical, $48.14 per hour for managerial, and $16.91 per hour for clerical. These rates represent salaries plus fringe benefits and do not include the cost of overhead. An overhead rate of 110 percent is used to account for these costs. The fully-burdened hourly wage rates used to represent respondent labor costs are:  technical at $72.05, management at $101.09, and clerical at $35.51. </w:t>
      </w:r>
    </w:p>
    <w:p w:rsidR="00F57C07" w:rsidRPr="0068644D" w:rsidRDefault="00F57C07" w:rsidP="00F57C07">
      <w:pPr>
        <w:pStyle w:val="Heading2"/>
        <w:rPr>
          <w:i/>
          <w:iCs w:val="0"/>
        </w:rPr>
      </w:pPr>
      <w:r w:rsidRPr="005E01D7">
        <w:t xml:space="preserve"> </w:t>
      </w:r>
      <w:r w:rsidRPr="005E01D7">
        <w:rPr>
          <w:i/>
          <w:iCs w:val="0"/>
        </w:rPr>
        <w:t>(ii)</w:t>
      </w:r>
      <w:r w:rsidRPr="0068644D">
        <w:rPr>
          <w:i/>
          <w:iCs w:val="0"/>
        </w:rPr>
        <w:tab/>
        <w:t xml:space="preserve">Estimating </w:t>
      </w:r>
      <w:r>
        <w:rPr>
          <w:i/>
          <w:iCs w:val="0"/>
        </w:rPr>
        <w:t xml:space="preserve">Annualized </w:t>
      </w:r>
      <w:r w:rsidRPr="0068644D">
        <w:rPr>
          <w:i/>
          <w:iCs w:val="0"/>
        </w:rPr>
        <w:t>Capital Costs</w:t>
      </w:r>
    </w:p>
    <w:p w:rsidR="00F57C07" w:rsidRDefault="00F57C07" w:rsidP="00F57C07">
      <w:pPr>
        <w:pStyle w:val="Para"/>
        <w:spacing w:after="0"/>
        <w:rPr>
          <w:rFonts w:ascii="Times New Roman" w:hAnsi="Times New Roman"/>
        </w:rPr>
      </w:pPr>
      <w:r w:rsidRPr="007E09A5">
        <w:rPr>
          <w:rFonts w:ascii="Times New Roman" w:hAnsi="Times New Roman"/>
        </w:rPr>
        <w:t xml:space="preserve">The </w:t>
      </w:r>
      <w:r>
        <w:rPr>
          <w:rFonts w:ascii="Times New Roman" w:hAnsi="Times New Roman"/>
        </w:rPr>
        <w:t xml:space="preserve">annualized </w:t>
      </w:r>
      <w:r w:rsidRPr="007E09A5">
        <w:rPr>
          <w:rFonts w:ascii="Times New Roman" w:hAnsi="Times New Roman"/>
        </w:rPr>
        <w:t>capital costs associated with the information collection requirements will include the costs to conduct performance tests and startup costs for CEMS</w:t>
      </w:r>
      <w:r>
        <w:rPr>
          <w:rFonts w:ascii="Times New Roman" w:hAnsi="Times New Roman"/>
        </w:rPr>
        <w:t xml:space="preserve">. </w:t>
      </w:r>
      <w:r w:rsidRPr="007E09A5">
        <w:rPr>
          <w:rFonts w:ascii="Times New Roman" w:hAnsi="Times New Roman"/>
        </w:rPr>
        <w:t>The rule will require an initial performance test for each electric generating unit</w:t>
      </w:r>
      <w:r>
        <w:rPr>
          <w:rFonts w:ascii="Times New Roman" w:hAnsi="Times New Roman"/>
        </w:rPr>
        <w:t xml:space="preserve">. </w:t>
      </w:r>
      <w:r w:rsidRPr="005E01D7">
        <w:rPr>
          <w:rFonts w:ascii="Times New Roman" w:hAnsi="Times New Roman"/>
        </w:rPr>
        <w:t>Table</w:t>
      </w:r>
      <w:r w:rsidRPr="008403BE">
        <w:rPr>
          <w:rFonts w:ascii="Times New Roman" w:hAnsi="Times New Roman"/>
        </w:rPr>
        <w:t xml:space="preserve"> </w:t>
      </w:r>
      <w:r w:rsidRPr="005E01D7">
        <w:rPr>
          <w:rFonts w:ascii="Times New Roman" w:hAnsi="Times New Roman"/>
        </w:rPr>
        <w:t>4</w:t>
      </w:r>
      <w:r w:rsidRPr="008403BE">
        <w:rPr>
          <w:rFonts w:ascii="Times New Roman" w:hAnsi="Times New Roman"/>
        </w:rPr>
        <w:t xml:space="preserve"> shows the methods used for performance tests and the CEMS that are expected to be installed.</w:t>
      </w:r>
    </w:p>
    <w:p w:rsidR="00F57C07" w:rsidRDefault="00F57C07" w:rsidP="00F57C07">
      <w:pPr>
        <w:pStyle w:val="Para"/>
        <w:spacing w:after="0"/>
        <w:ind w:firstLine="0"/>
        <w:rPr>
          <w:rFonts w:ascii="Times New Roman" w:hAnsi="Times New Roman"/>
          <w:b/>
          <w:bCs/>
        </w:rPr>
      </w:pPr>
    </w:p>
    <w:p w:rsidR="00F57C07" w:rsidRPr="00E22D87" w:rsidRDefault="00F57C07" w:rsidP="00F57C07">
      <w:pPr>
        <w:pStyle w:val="Para"/>
        <w:spacing w:after="0"/>
        <w:ind w:firstLine="0"/>
        <w:rPr>
          <w:rFonts w:ascii="Times New Roman" w:hAnsi="Times New Roman"/>
          <w:b/>
          <w:bCs/>
        </w:rPr>
      </w:pPr>
      <w:r w:rsidRPr="005E01D7">
        <w:rPr>
          <w:rFonts w:ascii="Times New Roman" w:hAnsi="Times New Roman"/>
          <w:b/>
          <w:bCs/>
        </w:rPr>
        <w:t>Table</w:t>
      </w:r>
      <w:r w:rsidRPr="008403BE">
        <w:rPr>
          <w:rFonts w:ascii="Times New Roman" w:hAnsi="Times New Roman"/>
          <w:b/>
          <w:bCs/>
        </w:rPr>
        <w:t xml:space="preserve"> </w:t>
      </w:r>
      <w:r w:rsidRPr="005E01D7">
        <w:rPr>
          <w:rFonts w:ascii="Times New Roman" w:hAnsi="Times New Roman"/>
          <w:b/>
          <w:bCs/>
        </w:rPr>
        <w:t>4</w:t>
      </w:r>
      <w:r w:rsidRPr="008403BE">
        <w:rPr>
          <w:rFonts w:ascii="Times New Roman" w:hAnsi="Times New Roman"/>
          <w:b/>
          <w:bCs/>
        </w:rPr>
        <w:t>.</w:t>
      </w:r>
      <w:r>
        <w:rPr>
          <w:rFonts w:ascii="Times New Roman" w:hAnsi="Times New Roman"/>
          <w:b/>
          <w:bCs/>
        </w:rPr>
        <w:t xml:space="preserve"> Performance Test Methods and CEMS Equipment by Pollutant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3510"/>
        <w:gridCol w:w="4140"/>
      </w:tblGrid>
      <w:tr w:rsidR="00F57C07" w:rsidRPr="00E22D87" w:rsidTr="006B65BC">
        <w:trPr>
          <w:trHeight w:val="278"/>
        </w:trPr>
        <w:tc>
          <w:tcPr>
            <w:tcW w:w="1620" w:type="dxa"/>
            <w:hideMark/>
          </w:tcPr>
          <w:p w:rsidR="00F57C07" w:rsidRPr="00576D5C" w:rsidRDefault="00F57C07" w:rsidP="006B65BC">
            <w:pPr>
              <w:pStyle w:val="Para"/>
              <w:ind w:firstLine="0"/>
              <w:jc w:val="center"/>
              <w:rPr>
                <w:rFonts w:ascii="Times New Roman" w:hAnsi="Times New Roman"/>
                <w:b/>
                <w:sz w:val="20"/>
              </w:rPr>
            </w:pPr>
            <w:r w:rsidRPr="00576D5C">
              <w:rPr>
                <w:rFonts w:ascii="Times New Roman" w:hAnsi="Times New Roman"/>
                <w:b/>
                <w:sz w:val="20"/>
              </w:rPr>
              <w:t>Pollutant</w:t>
            </w:r>
          </w:p>
        </w:tc>
        <w:tc>
          <w:tcPr>
            <w:tcW w:w="3510" w:type="dxa"/>
            <w:hideMark/>
          </w:tcPr>
          <w:p w:rsidR="00F57C07" w:rsidRPr="00576D5C" w:rsidRDefault="00F57C07" w:rsidP="006B65BC">
            <w:pPr>
              <w:pStyle w:val="Para"/>
              <w:ind w:firstLine="0"/>
              <w:jc w:val="center"/>
              <w:rPr>
                <w:rFonts w:ascii="Times New Roman" w:hAnsi="Times New Roman"/>
                <w:b/>
                <w:sz w:val="20"/>
              </w:rPr>
            </w:pPr>
            <w:r w:rsidRPr="00576D5C">
              <w:rPr>
                <w:rFonts w:ascii="Times New Roman" w:hAnsi="Times New Roman"/>
                <w:b/>
                <w:sz w:val="20"/>
              </w:rPr>
              <w:t>Performance Test Method</w:t>
            </w:r>
          </w:p>
        </w:tc>
        <w:tc>
          <w:tcPr>
            <w:tcW w:w="4140" w:type="dxa"/>
            <w:hideMark/>
          </w:tcPr>
          <w:p w:rsidR="00F57C07" w:rsidRPr="00576D5C" w:rsidRDefault="00F57C07" w:rsidP="006B65BC">
            <w:pPr>
              <w:pStyle w:val="Para"/>
              <w:ind w:firstLine="0"/>
              <w:jc w:val="center"/>
              <w:rPr>
                <w:rFonts w:ascii="Times New Roman" w:hAnsi="Times New Roman"/>
                <w:b/>
                <w:sz w:val="20"/>
              </w:rPr>
            </w:pPr>
            <w:r w:rsidRPr="00576D5C">
              <w:rPr>
                <w:rFonts w:ascii="Times New Roman" w:hAnsi="Times New Roman"/>
                <w:b/>
                <w:sz w:val="20"/>
              </w:rPr>
              <w:t>CEMS</w:t>
            </w:r>
          </w:p>
        </w:tc>
      </w:tr>
      <w:tr w:rsidR="00F57C07" w:rsidRPr="00E22D87" w:rsidTr="006B65BC">
        <w:trPr>
          <w:trHeight w:val="255"/>
        </w:trPr>
        <w:tc>
          <w:tcPr>
            <w:tcW w:w="1620" w:type="dxa"/>
            <w:hideMark/>
          </w:tcPr>
          <w:p w:rsidR="00F57C07" w:rsidRPr="00576D5C" w:rsidRDefault="00F57C07" w:rsidP="006B65BC">
            <w:pPr>
              <w:pStyle w:val="Para"/>
              <w:tabs>
                <w:tab w:val="center" w:pos="1430"/>
              </w:tabs>
              <w:ind w:firstLine="0"/>
              <w:jc w:val="center"/>
              <w:rPr>
                <w:rFonts w:ascii="Times New Roman" w:hAnsi="Times New Roman"/>
                <w:sz w:val="20"/>
              </w:rPr>
            </w:pPr>
            <w:r w:rsidRPr="00576D5C">
              <w:rPr>
                <w:rFonts w:ascii="Times New Roman" w:hAnsi="Times New Roman"/>
                <w:sz w:val="20"/>
              </w:rPr>
              <w:t>PM</w:t>
            </w:r>
          </w:p>
        </w:tc>
        <w:tc>
          <w:tcPr>
            <w:tcW w:w="3510" w:type="dxa"/>
            <w:hideMark/>
          </w:tcPr>
          <w:p w:rsidR="00F57C07" w:rsidRDefault="00F57C07" w:rsidP="006B65BC">
            <w:pPr>
              <w:pStyle w:val="Para"/>
              <w:ind w:firstLine="0"/>
              <w:jc w:val="center"/>
              <w:rPr>
                <w:rFonts w:ascii="Times New Roman" w:hAnsi="Times New Roman"/>
                <w:sz w:val="20"/>
              </w:rPr>
            </w:pPr>
            <w:r>
              <w:rPr>
                <w:rFonts w:ascii="Times New Roman" w:hAnsi="Times New Roman"/>
                <w:sz w:val="20"/>
              </w:rPr>
              <w:t>EPA Method 5</w:t>
            </w:r>
          </w:p>
          <w:p w:rsidR="00F57C07" w:rsidRDefault="00F57C07" w:rsidP="006B65BC">
            <w:pPr>
              <w:pStyle w:val="Para"/>
              <w:ind w:firstLine="0"/>
              <w:jc w:val="center"/>
              <w:rPr>
                <w:rFonts w:ascii="Times New Roman" w:hAnsi="Times New Roman"/>
                <w:sz w:val="20"/>
              </w:rPr>
            </w:pPr>
            <w:r>
              <w:rPr>
                <w:rFonts w:ascii="Times New Roman" w:hAnsi="Times New Roman"/>
                <w:sz w:val="20"/>
              </w:rPr>
              <w:t>EPA Method 202</w:t>
            </w:r>
          </w:p>
          <w:p w:rsidR="00F57C07" w:rsidRDefault="00F57C07" w:rsidP="006B65BC">
            <w:pPr>
              <w:pStyle w:val="Para"/>
              <w:ind w:firstLine="0"/>
              <w:jc w:val="center"/>
              <w:rPr>
                <w:rFonts w:ascii="Times New Roman" w:hAnsi="Times New Roman"/>
                <w:sz w:val="20"/>
              </w:rPr>
            </w:pPr>
            <w:r>
              <w:rPr>
                <w:rFonts w:ascii="Times New Roman" w:hAnsi="Times New Roman"/>
                <w:sz w:val="20"/>
              </w:rPr>
              <w:t>Method 29</w:t>
            </w:r>
          </w:p>
        </w:tc>
        <w:tc>
          <w:tcPr>
            <w:tcW w:w="4140" w:type="dxa"/>
            <w:vAlign w:val="bottom"/>
            <w:hideMark/>
          </w:tcPr>
          <w:p w:rsidR="00F57C07" w:rsidRPr="00576D5C" w:rsidRDefault="00F57C07" w:rsidP="006B65BC">
            <w:pPr>
              <w:spacing w:after="120"/>
              <w:jc w:val="center"/>
              <w:rPr>
                <w:rFonts w:ascii="Times New Roman" w:eastAsia="Times New Roman" w:hAnsi="Times New Roman"/>
                <w:color w:val="000000"/>
                <w:sz w:val="20"/>
              </w:rPr>
            </w:pPr>
            <w:r>
              <w:rPr>
                <w:rFonts w:ascii="Times New Roman" w:eastAsia="Times New Roman" w:hAnsi="Times New Roman"/>
                <w:color w:val="000000"/>
                <w:sz w:val="20"/>
              </w:rPr>
              <w:t>N</w:t>
            </w:r>
            <w:r w:rsidRPr="00576D5C">
              <w:rPr>
                <w:rFonts w:ascii="Times New Roman" w:eastAsia="Times New Roman" w:hAnsi="Times New Roman"/>
                <w:color w:val="000000"/>
                <w:sz w:val="20"/>
              </w:rPr>
              <w:t>ew beta gauge PM CEMS</w:t>
            </w:r>
          </w:p>
        </w:tc>
      </w:tr>
      <w:tr w:rsidR="00F57C07" w:rsidRPr="00E22D87" w:rsidTr="006B65BC">
        <w:trPr>
          <w:trHeight w:val="255"/>
        </w:trPr>
        <w:tc>
          <w:tcPr>
            <w:tcW w:w="1620" w:type="dxa"/>
            <w:hideMark/>
          </w:tcPr>
          <w:p w:rsidR="00F57C07" w:rsidRDefault="00F57C07" w:rsidP="006B65BC">
            <w:pPr>
              <w:pStyle w:val="Para"/>
              <w:ind w:firstLine="0"/>
              <w:jc w:val="center"/>
              <w:rPr>
                <w:rFonts w:ascii="Times New Roman" w:hAnsi="Times New Roman"/>
                <w:sz w:val="20"/>
              </w:rPr>
            </w:pPr>
            <w:r w:rsidRPr="00576D5C">
              <w:rPr>
                <w:rFonts w:ascii="Times New Roman" w:hAnsi="Times New Roman"/>
                <w:sz w:val="20"/>
              </w:rPr>
              <w:t>HCl</w:t>
            </w:r>
          </w:p>
        </w:tc>
        <w:tc>
          <w:tcPr>
            <w:tcW w:w="3510" w:type="dxa"/>
            <w:hideMark/>
          </w:tcPr>
          <w:p w:rsidR="00F57C07" w:rsidRPr="00576D5C" w:rsidRDefault="00F57C07" w:rsidP="006B65BC">
            <w:pPr>
              <w:pStyle w:val="Para"/>
              <w:ind w:firstLine="0"/>
              <w:jc w:val="center"/>
              <w:rPr>
                <w:rFonts w:ascii="Times New Roman" w:hAnsi="Times New Roman"/>
                <w:sz w:val="20"/>
              </w:rPr>
            </w:pPr>
            <w:r>
              <w:rPr>
                <w:rFonts w:ascii="Times New Roman" w:hAnsi="Times New Roman"/>
                <w:sz w:val="20"/>
              </w:rPr>
              <w:t>Method 320</w:t>
            </w:r>
          </w:p>
        </w:tc>
        <w:tc>
          <w:tcPr>
            <w:tcW w:w="4140" w:type="dxa"/>
            <w:vAlign w:val="bottom"/>
            <w:hideMark/>
          </w:tcPr>
          <w:p w:rsidR="00F57C07" w:rsidRPr="00576D5C" w:rsidRDefault="00F57C07" w:rsidP="006B65BC">
            <w:pPr>
              <w:spacing w:after="120"/>
              <w:jc w:val="center"/>
              <w:rPr>
                <w:rFonts w:ascii="Times New Roman" w:eastAsia="Times New Roman" w:hAnsi="Times New Roman"/>
                <w:color w:val="000000"/>
                <w:sz w:val="20"/>
              </w:rPr>
            </w:pPr>
            <w:r>
              <w:rPr>
                <w:rFonts w:ascii="Times New Roman" w:eastAsia="Times New Roman" w:hAnsi="Times New Roman"/>
                <w:color w:val="000000"/>
                <w:sz w:val="20"/>
              </w:rPr>
              <w:t>N</w:t>
            </w:r>
            <w:r w:rsidRPr="00576D5C">
              <w:rPr>
                <w:rFonts w:ascii="Times New Roman" w:eastAsia="Times New Roman" w:hAnsi="Times New Roman"/>
                <w:color w:val="000000"/>
                <w:sz w:val="20"/>
              </w:rPr>
              <w:t>ew FTIR CEMS</w:t>
            </w:r>
          </w:p>
        </w:tc>
      </w:tr>
      <w:tr w:rsidR="00F57C07" w:rsidRPr="00E22D87" w:rsidTr="006B65BC">
        <w:trPr>
          <w:trHeight w:val="395"/>
        </w:trPr>
        <w:tc>
          <w:tcPr>
            <w:tcW w:w="1620" w:type="dxa"/>
            <w:hideMark/>
          </w:tcPr>
          <w:p w:rsidR="00F57C07" w:rsidRPr="00576D5C" w:rsidRDefault="00F57C07" w:rsidP="006B65BC">
            <w:pPr>
              <w:pStyle w:val="Para"/>
              <w:ind w:firstLine="0"/>
              <w:jc w:val="center"/>
              <w:rPr>
                <w:rFonts w:ascii="Times New Roman" w:hAnsi="Times New Roman"/>
                <w:sz w:val="20"/>
              </w:rPr>
            </w:pPr>
            <w:r w:rsidRPr="00576D5C">
              <w:rPr>
                <w:rFonts w:ascii="Times New Roman" w:hAnsi="Times New Roman"/>
                <w:sz w:val="20"/>
              </w:rPr>
              <w:t>Hg</w:t>
            </w:r>
          </w:p>
        </w:tc>
        <w:tc>
          <w:tcPr>
            <w:tcW w:w="3510" w:type="dxa"/>
            <w:hideMark/>
          </w:tcPr>
          <w:p w:rsidR="00F57C07" w:rsidRDefault="00F57C07" w:rsidP="006B65BC">
            <w:pPr>
              <w:pStyle w:val="Para"/>
              <w:ind w:firstLine="0"/>
              <w:jc w:val="center"/>
              <w:rPr>
                <w:rFonts w:ascii="Times New Roman" w:hAnsi="Times New Roman"/>
                <w:sz w:val="20"/>
              </w:rPr>
            </w:pPr>
            <w:r>
              <w:rPr>
                <w:rFonts w:ascii="Times New Roman" w:hAnsi="Times New Roman"/>
                <w:sz w:val="20"/>
              </w:rPr>
              <w:t>Method 30B</w:t>
            </w:r>
          </w:p>
        </w:tc>
        <w:tc>
          <w:tcPr>
            <w:tcW w:w="4140" w:type="dxa"/>
            <w:vAlign w:val="bottom"/>
            <w:hideMark/>
          </w:tcPr>
          <w:p w:rsidR="00F57C07" w:rsidRPr="00576D5C" w:rsidRDefault="00F57C07" w:rsidP="006B65BC">
            <w:pPr>
              <w:spacing w:after="120"/>
              <w:jc w:val="center"/>
              <w:rPr>
                <w:rFonts w:ascii="Times New Roman" w:eastAsia="Times New Roman" w:hAnsi="Times New Roman"/>
                <w:color w:val="000000"/>
                <w:sz w:val="20"/>
              </w:rPr>
            </w:pPr>
            <w:r>
              <w:rPr>
                <w:rFonts w:ascii="Times New Roman" w:eastAsia="Times New Roman" w:hAnsi="Times New Roman"/>
                <w:color w:val="000000"/>
                <w:sz w:val="20"/>
              </w:rPr>
              <w:t>N</w:t>
            </w:r>
            <w:r w:rsidRPr="00576D5C">
              <w:rPr>
                <w:rFonts w:ascii="Times New Roman" w:eastAsia="Times New Roman" w:hAnsi="Times New Roman"/>
                <w:color w:val="000000"/>
                <w:sz w:val="20"/>
              </w:rPr>
              <w:t>ew Hg CEMS</w:t>
            </w:r>
          </w:p>
        </w:tc>
      </w:tr>
    </w:tbl>
    <w:p w:rsidR="00F57C07" w:rsidRDefault="00F57C07" w:rsidP="00F57C07">
      <w:pPr>
        <w:pStyle w:val="Para"/>
        <w:ind w:firstLine="0"/>
        <w:rPr>
          <w:rFonts w:ascii="Calibri" w:eastAsia="Times New Roman" w:hAnsi="Calibri"/>
          <w:b/>
          <w:bCs/>
          <w:color w:val="000000"/>
          <w:sz w:val="20"/>
        </w:rPr>
      </w:pPr>
    </w:p>
    <w:p w:rsidR="00F57C07" w:rsidRDefault="00F57C07" w:rsidP="00F57C07">
      <w:pPr>
        <w:bidi/>
        <w:jc w:val="right"/>
        <w:rPr>
          <w:rFonts w:ascii="Times New Roman" w:hAnsi="Times New Roman"/>
        </w:rPr>
      </w:pPr>
      <w:r>
        <w:rPr>
          <w:rFonts w:ascii="Times New Roman" w:hAnsi="Times New Roman"/>
        </w:rPr>
        <w:t xml:space="preserve">The costs related to PM and HCl CEMS were estimated using the CEMS Cost Model, which is located here: </w:t>
      </w:r>
      <w:hyperlink r:id="rId9" w:history="1">
        <w:r>
          <w:rPr>
            <w:rStyle w:val="Hyperlink"/>
            <w:rFonts w:ascii="Times New Roman" w:hAnsi="Times New Roman"/>
          </w:rPr>
          <w:t>http://www.epa.gov/ttn/emc/cem/</w:t>
        </w:r>
        <w:r w:rsidRPr="00B60B6F">
          <w:rPr>
            <w:rStyle w:val="Hyperlink"/>
            <w:rFonts w:ascii="Times New Roman" w:hAnsi="Times New Roman"/>
          </w:rPr>
          <w:t>cems.xls</w:t>
        </w:r>
      </w:hyperlink>
      <w:r>
        <w:rPr>
          <w:rFonts w:ascii="Times New Roman" w:hAnsi="Times New Roman"/>
        </w:rPr>
        <w:t xml:space="preserve">. The costs related to Hg CEMS were estimated using a report developed by </w:t>
      </w:r>
      <w:r w:rsidRPr="005E01D7">
        <w:rPr>
          <w:rFonts w:ascii="Times New Roman" w:hAnsi="Times New Roman"/>
        </w:rPr>
        <w:t>Northeast States for Coordinated Air Use Management</w:t>
      </w:r>
    </w:p>
    <w:p w:rsidR="00F57C07" w:rsidRDefault="00F57C07" w:rsidP="00F57C07">
      <w:pPr>
        <w:bidi/>
        <w:jc w:val="right"/>
        <w:rPr>
          <w:rFonts w:ascii="Times New Roman" w:hAnsi="Times New Roman"/>
        </w:rPr>
      </w:pPr>
      <w:r w:rsidRPr="005E01D7">
        <w:rPr>
          <w:rFonts w:ascii="Times New Roman" w:hAnsi="Times New Roman"/>
        </w:rPr>
        <w:t>(NESCAUM)</w:t>
      </w:r>
      <w:r>
        <w:rPr>
          <w:rFonts w:ascii="Times New Roman" w:hAnsi="Times New Roman"/>
        </w:rPr>
        <w:t>. The document is titled “</w:t>
      </w:r>
      <w:r w:rsidRPr="00631340">
        <w:rPr>
          <w:rFonts w:ascii="Times New Roman" w:hAnsi="Times New Roman"/>
        </w:rPr>
        <w:t>Technologies for Control and</w:t>
      </w:r>
      <w:r>
        <w:rPr>
          <w:rFonts w:ascii="Times New Roman" w:hAnsi="Times New Roman"/>
        </w:rPr>
        <w:t xml:space="preserve"> </w:t>
      </w:r>
      <w:r w:rsidRPr="00631340">
        <w:rPr>
          <w:rFonts w:ascii="Times New Roman" w:hAnsi="Times New Roman"/>
        </w:rPr>
        <w:t>Measurement of Mercury Emissions</w:t>
      </w:r>
      <w:r>
        <w:rPr>
          <w:rFonts w:ascii="Times New Roman" w:hAnsi="Times New Roman"/>
        </w:rPr>
        <w:t xml:space="preserve"> </w:t>
      </w:r>
      <w:r w:rsidRPr="00631340">
        <w:rPr>
          <w:rFonts w:ascii="Times New Roman" w:hAnsi="Times New Roman"/>
        </w:rPr>
        <w:t>from Coal-Fired Power Plants in the</w:t>
      </w:r>
      <w:r>
        <w:rPr>
          <w:rFonts w:ascii="Times New Roman" w:hAnsi="Times New Roman"/>
        </w:rPr>
        <w:t xml:space="preserve"> </w:t>
      </w:r>
      <w:r w:rsidRPr="00631340">
        <w:rPr>
          <w:rFonts w:ascii="Times New Roman" w:hAnsi="Times New Roman"/>
        </w:rPr>
        <w:t>United States: A 2010 Status Report</w:t>
      </w:r>
      <w:r>
        <w:rPr>
          <w:rFonts w:ascii="Times New Roman" w:hAnsi="Times New Roman"/>
        </w:rPr>
        <w:t>” and is located in the docket for this rulemaking.</w:t>
      </w:r>
    </w:p>
    <w:p w:rsidR="00F57C07" w:rsidRDefault="00F57C07" w:rsidP="00F57C07">
      <w:pPr>
        <w:rPr>
          <w:rFonts w:ascii="Times New Roman" w:hAnsi="Times New Roman"/>
        </w:rPr>
      </w:pPr>
    </w:p>
    <w:p w:rsidR="00F57C07" w:rsidRDefault="00F57C07" w:rsidP="00BC4643">
      <w:pPr>
        <w:ind w:firstLine="720"/>
        <w:rPr>
          <w:rFonts w:ascii="Times New Roman" w:hAnsi="Times New Roman"/>
        </w:rPr>
      </w:pPr>
      <w:r w:rsidRPr="00B70F1C">
        <w:rPr>
          <w:rFonts w:ascii="Times New Roman" w:hAnsi="Times New Roman"/>
        </w:rPr>
        <w:t>The annual</w:t>
      </w:r>
      <w:r>
        <w:rPr>
          <w:rFonts w:ascii="Times New Roman" w:hAnsi="Times New Roman"/>
        </w:rPr>
        <w:t>ized</w:t>
      </w:r>
      <w:r w:rsidRPr="00B70F1C">
        <w:rPr>
          <w:rFonts w:ascii="Times New Roman" w:hAnsi="Times New Roman"/>
        </w:rPr>
        <w:t xml:space="preserve"> total capital (including startup) costs for CEMS that will be used to monitor PM, Hg, and HCl </w:t>
      </w:r>
      <w:r w:rsidRPr="005E01D7">
        <w:rPr>
          <w:rFonts w:ascii="Times New Roman" w:hAnsi="Times New Roman"/>
        </w:rPr>
        <w:t>is $8</w:t>
      </w:r>
      <w:r>
        <w:rPr>
          <w:rFonts w:ascii="Times New Roman" w:hAnsi="Times New Roman"/>
        </w:rPr>
        <w:t>1,906,079</w:t>
      </w:r>
      <w:r w:rsidRPr="005E01D7">
        <w:rPr>
          <w:rFonts w:ascii="Times New Roman" w:hAnsi="Times New Roman"/>
        </w:rPr>
        <w:t xml:space="preserve"> per year. The costs will be incurred for each year of the three-year period. Note that these costs are considered “annualized” as they include the cost recovery factor costs in their individual CEMs costs.</w:t>
      </w:r>
      <w:r>
        <w:rPr>
          <w:rFonts w:ascii="Times New Roman" w:hAnsi="Times New Roman"/>
        </w:rPr>
        <w:t xml:space="preserve"> The specific costs are shown in Table 5 and Table 6.</w:t>
      </w:r>
    </w:p>
    <w:p w:rsidR="00F57C07" w:rsidRDefault="00F57C07" w:rsidP="00F57C07">
      <w:pPr>
        <w:pStyle w:val="Para"/>
        <w:spacing w:after="0"/>
        <w:rPr>
          <w:rFonts w:ascii="Times New Roman" w:hAnsi="Times New Roman"/>
        </w:rPr>
      </w:pPr>
    </w:p>
    <w:p w:rsidR="00F57C07" w:rsidRDefault="00F57C07" w:rsidP="00F57C07">
      <w:pPr>
        <w:pStyle w:val="Para"/>
        <w:spacing w:after="0"/>
        <w:ind w:firstLine="0"/>
        <w:rPr>
          <w:rFonts w:ascii="Times New Roman" w:hAnsi="Times New Roman"/>
          <w:b/>
          <w:bCs/>
        </w:rPr>
      </w:pPr>
      <w:r w:rsidRPr="003E0AD3">
        <w:rPr>
          <w:rFonts w:ascii="Times New Roman" w:hAnsi="Times New Roman"/>
          <w:b/>
          <w:bCs/>
        </w:rPr>
        <w:t>Table 5. Annual Capital Costs for Performance Testing</w:t>
      </w:r>
    </w:p>
    <w:tbl>
      <w:tblPr>
        <w:tblW w:w="4887" w:type="pct"/>
        <w:tblInd w:w="108" w:type="dxa"/>
        <w:tblLook w:val="04A0"/>
      </w:tblPr>
      <w:tblGrid>
        <w:gridCol w:w="2879"/>
        <w:gridCol w:w="2342"/>
        <w:gridCol w:w="2160"/>
        <w:gridCol w:w="1979"/>
      </w:tblGrid>
      <w:tr w:rsidR="00F57C07" w:rsidRPr="003F3C46" w:rsidTr="006B65BC">
        <w:trPr>
          <w:trHeight w:val="300"/>
        </w:trPr>
        <w:tc>
          <w:tcPr>
            <w:tcW w:w="15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57C07" w:rsidRDefault="00F57C07" w:rsidP="006B65BC">
            <w:pPr>
              <w:jc w:val="center"/>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EPA Test Method</w:t>
            </w:r>
          </w:p>
        </w:tc>
        <w:tc>
          <w:tcPr>
            <w:tcW w:w="1251" w:type="pct"/>
            <w:tcBorders>
              <w:top w:val="single" w:sz="4" w:space="0" w:color="auto"/>
              <w:left w:val="nil"/>
              <w:bottom w:val="single" w:sz="4" w:space="0" w:color="auto"/>
              <w:right w:val="single" w:sz="4" w:space="0" w:color="auto"/>
            </w:tcBorders>
            <w:shd w:val="clear" w:color="auto" w:fill="auto"/>
            <w:vAlign w:val="bottom"/>
            <w:hideMark/>
          </w:tcPr>
          <w:p w:rsidR="00F57C07" w:rsidRDefault="00F57C07" w:rsidP="006B65BC">
            <w:pPr>
              <w:jc w:val="center"/>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Cost per test</w:t>
            </w:r>
          </w:p>
        </w:tc>
        <w:tc>
          <w:tcPr>
            <w:tcW w:w="1154" w:type="pct"/>
            <w:tcBorders>
              <w:top w:val="single" w:sz="4" w:space="0" w:color="auto"/>
              <w:left w:val="nil"/>
              <w:bottom w:val="single" w:sz="4" w:space="0" w:color="auto"/>
              <w:right w:val="single" w:sz="4" w:space="0" w:color="auto"/>
            </w:tcBorders>
            <w:shd w:val="clear" w:color="auto" w:fill="auto"/>
            <w:vAlign w:val="bottom"/>
            <w:hideMark/>
          </w:tcPr>
          <w:p w:rsidR="00F57C07" w:rsidRDefault="00F57C07" w:rsidP="006B65BC">
            <w:pPr>
              <w:jc w:val="center"/>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Number of Tests</w:t>
            </w:r>
          </w:p>
        </w:tc>
        <w:tc>
          <w:tcPr>
            <w:tcW w:w="1057" w:type="pct"/>
            <w:tcBorders>
              <w:top w:val="single" w:sz="4" w:space="0" w:color="auto"/>
              <w:left w:val="nil"/>
              <w:bottom w:val="single" w:sz="4" w:space="0" w:color="auto"/>
              <w:right w:val="single" w:sz="4" w:space="0" w:color="auto"/>
            </w:tcBorders>
            <w:shd w:val="clear" w:color="auto" w:fill="auto"/>
            <w:vAlign w:val="bottom"/>
            <w:hideMark/>
          </w:tcPr>
          <w:p w:rsidR="00F57C07" w:rsidRDefault="00F57C07" w:rsidP="006B65BC">
            <w:pPr>
              <w:jc w:val="center"/>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Total</w:t>
            </w:r>
          </w:p>
        </w:tc>
      </w:tr>
      <w:tr w:rsidR="00F57C07" w:rsidRPr="003F3C46" w:rsidTr="006B65BC">
        <w:trPr>
          <w:trHeight w:val="300"/>
        </w:trPr>
        <w:tc>
          <w:tcPr>
            <w:tcW w:w="15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Method 29</w:t>
            </w:r>
          </w:p>
        </w:tc>
        <w:tc>
          <w:tcPr>
            <w:tcW w:w="1251" w:type="pct"/>
            <w:tcBorders>
              <w:top w:val="single" w:sz="4" w:space="0" w:color="auto"/>
              <w:left w:val="nil"/>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$ 16,800 </w:t>
            </w:r>
          </w:p>
        </w:tc>
        <w:tc>
          <w:tcPr>
            <w:tcW w:w="1154" w:type="pct"/>
            <w:tcBorders>
              <w:top w:val="single" w:sz="4" w:space="0" w:color="auto"/>
              <w:left w:val="nil"/>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1,244 </w:t>
            </w:r>
          </w:p>
        </w:tc>
        <w:tc>
          <w:tcPr>
            <w:tcW w:w="1057" w:type="pct"/>
            <w:tcBorders>
              <w:top w:val="single" w:sz="4" w:space="0" w:color="auto"/>
              <w:left w:val="nil"/>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$ 20,899,200</w:t>
            </w:r>
          </w:p>
        </w:tc>
      </w:tr>
      <w:tr w:rsidR="00F57C07" w:rsidRPr="003F3C46" w:rsidTr="006B65BC">
        <w:trPr>
          <w:trHeight w:val="300"/>
        </w:trPr>
        <w:tc>
          <w:tcPr>
            <w:tcW w:w="1538" w:type="pct"/>
            <w:tcBorders>
              <w:top w:val="nil"/>
              <w:left w:val="single" w:sz="4" w:space="0" w:color="auto"/>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Method 320</w:t>
            </w:r>
          </w:p>
        </w:tc>
        <w:tc>
          <w:tcPr>
            <w:tcW w:w="1251" w:type="pct"/>
            <w:tcBorders>
              <w:top w:val="nil"/>
              <w:left w:val="nil"/>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$ 20,444 </w:t>
            </w:r>
          </w:p>
        </w:tc>
        <w:tc>
          <w:tcPr>
            <w:tcW w:w="1154" w:type="pct"/>
            <w:tcBorders>
              <w:top w:val="nil"/>
              <w:left w:val="nil"/>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255 </w:t>
            </w:r>
          </w:p>
        </w:tc>
        <w:tc>
          <w:tcPr>
            <w:tcW w:w="1057" w:type="pct"/>
            <w:tcBorders>
              <w:top w:val="nil"/>
              <w:left w:val="nil"/>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5,213,2</w:t>
            </w:r>
            <w:r>
              <w:rPr>
                <w:rFonts w:asciiTheme="majorBidi" w:eastAsia="Times New Roman" w:hAnsiTheme="majorBidi" w:cstheme="majorBidi"/>
                <w:color w:val="000000"/>
                <w:sz w:val="20"/>
              </w:rPr>
              <w:t>87</w:t>
            </w:r>
          </w:p>
        </w:tc>
      </w:tr>
      <w:tr w:rsidR="00F57C07" w:rsidRPr="003F3C46" w:rsidTr="006B65BC">
        <w:trPr>
          <w:trHeight w:val="323"/>
        </w:trPr>
        <w:tc>
          <w:tcPr>
            <w:tcW w:w="1538" w:type="pct"/>
            <w:tcBorders>
              <w:top w:val="nil"/>
              <w:left w:val="single" w:sz="4" w:space="0" w:color="auto"/>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Method 5 and 202</w:t>
            </w:r>
          </w:p>
        </w:tc>
        <w:tc>
          <w:tcPr>
            <w:tcW w:w="1251" w:type="pct"/>
            <w:tcBorders>
              <w:top w:val="nil"/>
              <w:left w:val="nil"/>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$ 1</w:t>
            </w:r>
            <w:r>
              <w:rPr>
                <w:rFonts w:asciiTheme="majorBidi" w:eastAsia="Times New Roman" w:hAnsiTheme="majorBidi" w:cstheme="majorBidi"/>
                <w:color w:val="000000"/>
                <w:sz w:val="20"/>
              </w:rPr>
              <w:t>5,522</w:t>
            </w:r>
            <w:r w:rsidRPr="0064173F">
              <w:rPr>
                <w:rFonts w:asciiTheme="majorBidi" w:eastAsia="Times New Roman" w:hAnsiTheme="majorBidi" w:cstheme="majorBidi"/>
                <w:color w:val="000000"/>
                <w:sz w:val="20"/>
              </w:rPr>
              <w:t xml:space="preserve"> </w:t>
            </w:r>
          </w:p>
        </w:tc>
        <w:tc>
          <w:tcPr>
            <w:tcW w:w="1154" w:type="pct"/>
            <w:tcBorders>
              <w:top w:val="nil"/>
              <w:left w:val="nil"/>
              <w:bottom w:val="single" w:sz="4" w:space="0" w:color="auto"/>
              <w:right w:val="single" w:sz="4" w:space="0" w:color="auto"/>
            </w:tcBorders>
            <w:shd w:val="clear" w:color="auto" w:fill="auto"/>
            <w:noWrap/>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1,244 </w:t>
            </w:r>
          </w:p>
        </w:tc>
        <w:tc>
          <w:tcPr>
            <w:tcW w:w="1057" w:type="pct"/>
            <w:tcBorders>
              <w:top w:val="nil"/>
              <w:left w:val="nil"/>
              <w:bottom w:val="single" w:sz="4" w:space="0" w:color="auto"/>
              <w:right w:val="single" w:sz="4" w:space="0" w:color="auto"/>
            </w:tcBorders>
            <w:shd w:val="clear" w:color="auto" w:fill="auto"/>
            <w:noWrap/>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$ 1</w:t>
            </w:r>
            <w:r>
              <w:rPr>
                <w:rFonts w:asciiTheme="majorBidi" w:eastAsia="Times New Roman" w:hAnsiTheme="majorBidi" w:cstheme="majorBidi"/>
                <w:color w:val="000000"/>
                <w:sz w:val="20"/>
              </w:rPr>
              <w:t>9,309,376</w:t>
            </w:r>
          </w:p>
        </w:tc>
      </w:tr>
      <w:tr w:rsidR="00F57C07" w:rsidRPr="003F3C46" w:rsidTr="006B65BC">
        <w:trPr>
          <w:trHeight w:val="300"/>
        </w:trPr>
        <w:tc>
          <w:tcPr>
            <w:tcW w:w="1538" w:type="pct"/>
            <w:tcBorders>
              <w:top w:val="nil"/>
              <w:left w:val="single" w:sz="4" w:space="0" w:color="auto"/>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lastRenderedPageBreak/>
              <w:t>Method 30B</w:t>
            </w:r>
          </w:p>
        </w:tc>
        <w:tc>
          <w:tcPr>
            <w:tcW w:w="1251" w:type="pct"/>
            <w:tcBorders>
              <w:top w:val="nil"/>
              <w:left w:val="nil"/>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$ 20,006 </w:t>
            </w:r>
          </w:p>
        </w:tc>
        <w:tc>
          <w:tcPr>
            <w:tcW w:w="1154" w:type="pct"/>
            <w:tcBorders>
              <w:top w:val="nil"/>
              <w:left w:val="nil"/>
              <w:bottom w:val="single" w:sz="4" w:space="0" w:color="auto"/>
              <w:right w:val="single" w:sz="4" w:space="0" w:color="auto"/>
            </w:tcBorders>
            <w:shd w:val="clear" w:color="auto" w:fill="auto"/>
            <w:noWrap/>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1,095 </w:t>
            </w:r>
          </w:p>
        </w:tc>
        <w:tc>
          <w:tcPr>
            <w:tcW w:w="1057" w:type="pct"/>
            <w:tcBorders>
              <w:top w:val="nil"/>
              <w:left w:val="nil"/>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$ 21,906,570</w:t>
            </w:r>
          </w:p>
        </w:tc>
      </w:tr>
      <w:tr w:rsidR="00F57C07" w:rsidRPr="003F3C46" w:rsidTr="006B65BC">
        <w:trPr>
          <w:trHeight w:val="98"/>
        </w:trPr>
        <w:tc>
          <w:tcPr>
            <w:tcW w:w="5000" w:type="pct"/>
            <w:gridSpan w:val="4"/>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F57C07" w:rsidRPr="003F3C46" w:rsidRDefault="00F57C07" w:rsidP="006B65BC">
            <w:pPr>
              <w:jc w:val="right"/>
              <w:rPr>
                <w:rFonts w:asciiTheme="majorBidi" w:eastAsia="Times New Roman" w:hAnsiTheme="majorBidi" w:cstheme="majorBidi"/>
                <w:color w:val="000000"/>
                <w:sz w:val="20"/>
              </w:rPr>
            </w:pPr>
          </w:p>
        </w:tc>
      </w:tr>
      <w:tr w:rsidR="00F57C07" w:rsidRPr="003F3C46" w:rsidTr="006B65BC">
        <w:trPr>
          <w:trHeight w:val="300"/>
        </w:trPr>
        <w:tc>
          <w:tcPr>
            <w:tcW w:w="3943" w:type="pct"/>
            <w:gridSpan w:val="3"/>
            <w:tcBorders>
              <w:top w:val="nil"/>
              <w:left w:val="single" w:sz="4" w:space="0" w:color="auto"/>
              <w:bottom w:val="single" w:sz="4" w:space="0" w:color="auto"/>
              <w:right w:val="single" w:sz="4" w:space="0" w:color="auto"/>
            </w:tcBorders>
            <w:shd w:val="clear" w:color="auto" w:fill="auto"/>
            <w:vAlign w:val="bottom"/>
            <w:hideMark/>
          </w:tcPr>
          <w:p w:rsidR="00F57C07" w:rsidRPr="003A0BBE" w:rsidRDefault="00F57C07" w:rsidP="006B65BC">
            <w:pPr>
              <w:jc w:val="right"/>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Total (for 3-year period of ICR)</w:t>
            </w:r>
          </w:p>
        </w:tc>
        <w:tc>
          <w:tcPr>
            <w:tcW w:w="1057" w:type="pct"/>
            <w:tcBorders>
              <w:top w:val="nil"/>
              <w:left w:val="nil"/>
              <w:bottom w:val="single" w:sz="4" w:space="0" w:color="auto"/>
              <w:right w:val="single" w:sz="4" w:space="0" w:color="auto"/>
            </w:tcBorders>
            <w:shd w:val="clear" w:color="auto" w:fill="auto"/>
            <w:vAlign w:val="bottom"/>
            <w:hideMark/>
          </w:tcPr>
          <w:p w:rsidR="00F57C07" w:rsidRPr="003F3C46" w:rsidRDefault="00F57C07" w:rsidP="006B65BC">
            <w:pPr>
              <w:jc w:val="right"/>
              <w:rPr>
                <w:rFonts w:asciiTheme="majorBidi" w:eastAsia="Times New Roman" w:hAnsiTheme="majorBidi" w:cstheme="majorBidi"/>
                <w:color w:val="000000"/>
                <w:sz w:val="20"/>
              </w:rPr>
            </w:pPr>
            <w:r>
              <w:rPr>
                <w:rFonts w:asciiTheme="majorBidi" w:eastAsia="Times New Roman" w:hAnsiTheme="majorBidi" w:cstheme="majorBidi"/>
                <w:color w:val="000000"/>
                <w:sz w:val="20"/>
              </w:rPr>
              <w:t xml:space="preserve"> $ 67,328,433</w:t>
            </w:r>
          </w:p>
        </w:tc>
      </w:tr>
      <w:tr w:rsidR="00F57C07" w:rsidRPr="003F3C46" w:rsidTr="006B65BC">
        <w:trPr>
          <w:trHeight w:val="125"/>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F57C07" w:rsidRDefault="00F57C07" w:rsidP="006B65BC">
            <w:pPr>
              <w:jc w:val="right"/>
              <w:rPr>
                <w:rFonts w:asciiTheme="majorBidi" w:eastAsia="Times New Roman" w:hAnsiTheme="majorBidi" w:cstheme="majorBidi"/>
                <w:color w:val="000000"/>
                <w:sz w:val="20"/>
              </w:rPr>
            </w:pPr>
          </w:p>
        </w:tc>
      </w:tr>
      <w:tr w:rsidR="00F57C07" w:rsidRPr="003F3C46" w:rsidTr="006B65BC">
        <w:trPr>
          <w:trHeight w:val="188"/>
        </w:trPr>
        <w:tc>
          <w:tcPr>
            <w:tcW w:w="394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57C07" w:rsidRDefault="00F57C07" w:rsidP="006B65BC">
            <w:pPr>
              <w:jc w:val="right"/>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Totals Per Year</w:t>
            </w:r>
          </w:p>
        </w:tc>
        <w:tc>
          <w:tcPr>
            <w:tcW w:w="1057" w:type="pct"/>
            <w:tcBorders>
              <w:top w:val="single" w:sz="4" w:space="0" w:color="auto"/>
              <w:left w:val="nil"/>
              <w:bottom w:val="single" w:sz="4" w:space="0" w:color="auto"/>
              <w:right w:val="single" w:sz="4" w:space="0" w:color="auto"/>
            </w:tcBorders>
            <w:shd w:val="clear" w:color="auto" w:fill="auto"/>
            <w:vAlign w:val="bottom"/>
            <w:hideMark/>
          </w:tcPr>
          <w:p w:rsidR="00F57C07" w:rsidRPr="00CE356F" w:rsidRDefault="00F57C07" w:rsidP="006B65BC">
            <w:pPr>
              <w:jc w:val="right"/>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$ 2</w:t>
            </w:r>
            <w:r>
              <w:rPr>
                <w:rFonts w:asciiTheme="majorBidi" w:eastAsia="Times New Roman" w:hAnsiTheme="majorBidi" w:cstheme="majorBidi"/>
                <w:b/>
                <w:bCs/>
                <w:color w:val="000000"/>
                <w:sz w:val="20"/>
              </w:rPr>
              <w:t>2,442,811</w:t>
            </w:r>
          </w:p>
        </w:tc>
      </w:tr>
    </w:tbl>
    <w:p w:rsidR="00F57C07" w:rsidRDefault="00F57C07" w:rsidP="00F57C07">
      <w:pPr>
        <w:pStyle w:val="Para"/>
        <w:ind w:firstLine="0"/>
        <w:rPr>
          <w:rFonts w:ascii="Times New Roman" w:hAnsi="Times New Roman"/>
        </w:rPr>
      </w:pPr>
    </w:p>
    <w:p w:rsidR="00F57C07" w:rsidRDefault="00F57C07" w:rsidP="00F57C07">
      <w:pPr>
        <w:pStyle w:val="Para"/>
        <w:ind w:firstLine="0"/>
        <w:rPr>
          <w:rFonts w:ascii="Times New Roman" w:hAnsi="Times New Roman"/>
        </w:rPr>
      </w:pPr>
    </w:p>
    <w:p w:rsidR="00F57C07" w:rsidRDefault="00F57C07" w:rsidP="00F57C07">
      <w:pPr>
        <w:pStyle w:val="Para"/>
        <w:ind w:firstLine="0"/>
        <w:rPr>
          <w:rFonts w:ascii="Times New Roman" w:hAnsi="Times New Roman"/>
          <w:b/>
          <w:bCs/>
        </w:rPr>
      </w:pPr>
      <w:r w:rsidRPr="003E0AD3">
        <w:rPr>
          <w:rFonts w:ascii="Times New Roman" w:hAnsi="Times New Roman"/>
          <w:b/>
          <w:bCs/>
        </w:rPr>
        <w:t>Table 6. Other Capital Costs of Installing CEMS (Other Direct Costs and Labor)</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9"/>
        <w:gridCol w:w="2070"/>
        <w:gridCol w:w="2430"/>
        <w:gridCol w:w="1981"/>
      </w:tblGrid>
      <w:tr w:rsidR="00F57C07" w:rsidRPr="00840BAE" w:rsidTr="006B65BC">
        <w:trPr>
          <w:trHeight w:val="300"/>
        </w:trPr>
        <w:tc>
          <w:tcPr>
            <w:tcW w:w="1538" w:type="pct"/>
            <w:shd w:val="clear" w:color="auto" w:fill="auto"/>
            <w:noWrap/>
            <w:vAlign w:val="bottom"/>
            <w:hideMark/>
          </w:tcPr>
          <w:p w:rsidR="00F57C07" w:rsidRDefault="00F57C07" w:rsidP="006B65BC">
            <w:pPr>
              <w:jc w:val="center"/>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CEMS</w:t>
            </w:r>
            <w:r>
              <w:rPr>
                <w:rFonts w:asciiTheme="majorBidi" w:eastAsia="Times New Roman" w:hAnsiTheme="majorBidi" w:cstheme="majorBidi"/>
                <w:b/>
                <w:bCs/>
                <w:color w:val="000000"/>
                <w:sz w:val="20"/>
              </w:rPr>
              <w:t xml:space="preserve"> Type</w:t>
            </w:r>
          </w:p>
        </w:tc>
        <w:tc>
          <w:tcPr>
            <w:tcW w:w="1106" w:type="pct"/>
            <w:shd w:val="clear" w:color="auto" w:fill="auto"/>
            <w:noWrap/>
            <w:vAlign w:val="bottom"/>
            <w:hideMark/>
          </w:tcPr>
          <w:p w:rsidR="00F57C07" w:rsidRDefault="00F57C07" w:rsidP="006B65BC">
            <w:pPr>
              <w:jc w:val="center"/>
              <w:rPr>
                <w:rFonts w:asciiTheme="majorBidi" w:eastAsia="Times New Roman" w:hAnsiTheme="majorBidi" w:cstheme="majorBidi"/>
                <w:b/>
                <w:bCs/>
                <w:color w:val="000000"/>
                <w:sz w:val="20"/>
              </w:rPr>
            </w:pPr>
            <w:r>
              <w:rPr>
                <w:rFonts w:asciiTheme="majorBidi" w:eastAsia="Times New Roman" w:hAnsiTheme="majorBidi" w:cstheme="majorBidi"/>
                <w:b/>
                <w:bCs/>
                <w:color w:val="000000"/>
                <w:sz w:val="20"/>
              </w:rPr>
              <w:t>C</w:t>
            </w:r>
            <w:r w:rsidRPr="0064173F">
              <w:rPr>
                <w:rFonts w:asciiTheme="majorBidi" w:eastAsia="Times New Roman" w:hAnsiTheme="majorBidi" w:cstheme="majorBidi"/>
                <w:b/>
                <w:bCs/>
                <w:color w:val="000000"/>
                <w:sz w:val="20"/>
              </w:rPr>
              <w:t>ost per technology</w:t>
            </w:r>
          </w:p>
        </w:tc>
        <w:tc>
          <w:tcPr>
            <w:tcW w:w="1298" w:type="pct"/>
            <w:shd w:val="clear" w:color="auto" w:fill="auto"/>
            <w:noWrap/>
            <w:vAlign w:val="bottom"/>
            <w:hideMark/>
          </w:tcPr>
          <w:p w:rsidR="00F57C07" w:rsidRDefault="00F57C07" w:rsidP="006B65BC">
            <w:pPr>
              <w:jc w:val="center"/>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Number of installations</w:t>
            </w:r>
          </w:p>
        </w:tc>
        <w:tc>
          <w:tcPr>
            <w:tcW w:w="1058" w:type="pct"/>
            <w:shd w:val="clear" w:color="auto" w:fill="auto"/>
            <w:noWrap/>
            <w:vAlign w:val="bottom"/>
            <w:hideMark/>
          </w:tcPr>
          <w:p w:rsidR="00F57C07" w:rsidRDefault="00F57C07" w:rsidP="006B65BC">
            <w:pPr>
              <w:jc w:val="center"/>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Total</w:t>
            </w:r>
          </w:p>
        </w:tc>
      </w:tr>
      <w:tr w:rsidR="00F57C07" w:rsidRPr="00840BAE" w:rsidTr="006B65BC">
        <w:trPr>
          <w:trHeight w:val="300"/>
        </w:trPr>
        <w:tc>
          <w:tcPr>
            <w:tcW w:w="153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PM</w:t>
            </w:r>
          </w:p>
        </w:tc>
        <w:tc>
          <w:tcPr>
            <w:tcW w:w="1106"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$ 6</w:t>
            </w:r>
            <w:r>
              <w:rPr>
                <w:rFonts w:asciiTheme="majorBidi" w:eastAsia="Times New Roman" w:hAnsiTheme="majorBidi" w:cstheme="majorBidi"/>
                <w:color w:val="000000"/>
                <w:sz w:val="20"/>
              </w:rPr>
              <w:t>5,388</w:t>
            </w:r>
            <w:r w:rsidRPr="0064173F">
              <w:rPr>
                <w:rFonts w:asciiTheme="majorBidi" w:eastAsia="Times New Roman" w:hAnsiTheme="majorBidi" w:cstheme="majorBidi"/>
                <w:color w:val="000000"/>
                <w:sz w:val="20"/>
              </w:rPr>
              <w:t xml:space="preserve"> </w:t>
            </w:r>
          </w:p>
        </w:tc>
        <w:tc>
          <w:tcPr>
            <w:tcW w:w="129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1,244 </w:t>
            </w:r>
          </w:p>
        </w:tc>
        <w:tc>
          <w:tcPr>
            <w:tcW w:w="105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8</w:t>
            </w:r>
            <w:r>
              <w:rPr>
                <w:rFonts w:asciiTheme="majorBidi" w:eastAsia="Times New Roman" w:hAnsiTheme="majorBidi" w:cstheme="majorBidi"/>
                <w:color w:val="000000"/>
                <w:sz w:val="20"/>
              </w:rPr>
              <w:t>1,342,762</w:t>
            </w:r>
          </w:p>
        </w:tc>
      </w:tr>
      <w:tr w:rsidR="00F57C07" w:rsidRPr="00840BAE" w:rsidTr="006B65BC">
        <w:trPr>
          <w:trHeight w:val="300"/>
        </w:trPr>
        <w:tc>
          <w:tcPr>
            <w:tcW w:w="153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HCl</w:t>
            </w:r>
          </w:p>
        </w:tc>
        <w:tc>
          <w:tcPr>
            <w:tcW w:w="1106"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$ 111,045 </w:t>
            </w:r>
          </w:p>
        </w:tc>
        <w:tc>
          <w:tcPr>
            <w:tcW w:w="129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255 </w:t>
            </w:r>
          </w:p>
        </w:tc>
        <w:tc>
          <w:tcPr>
            <w:tcW w:w="105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28,316,</w:t>
            </w:r>
            <w:r>
              <w:rPr>
                <w:rFonts w:asciiTheme="majorBidi" w:eastAsia="Times New Roman" w:hAnsiTheme="majorBidi" w:cstheme="majorBidi"/>
                <w:color w:val="000000"/>
                <w:sz w:val="20"/>
              </w:rPr>
              <w:t>3</w:t>
            </w:r>
            <w:r w:rsidRPr="0064173F">
              <w:rPr>
                <w:rFonts w:asciiTheme="majorBidi" w:eastAsia="Times New Roman" w:hAnsiTheme="majorBidi" w:cstheme="majorBidi"/>
                <w:color w:val="000000"/>
                <w:sz w:val="20"/>
              </w:rPr>
              <w:t>75</w:t>
            </w:r>
          </w:p>
        </w:tc>
      </w:tr>
      <w:tr w:rsidR="00F57C07" w:rsidRPr="00840BAE" w:rsidTr="006B65BC">
        <w:trPr>
          <w:trHeight w:val="300"/>
        </w:trPr>
        <w:tc>
          <w:tcPr>
            <w:tcW w:w="153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Hg</w:t>
            </w:r>
          </w:p>
        </w:tc>
        <w:tc>
          <w:tcPr>
            <w:tcW w:w="1106"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w:t>
            </w:r>
            <w:r>
              <w:rPr>
                <w:rFonts w:asciiTheme="majorBidi" w:eastAsia="Times New Roman" w:hAnsiTheme="majorBidi" w:cstheme="majorBidi"/>
                <w:color w:val="000000"/>
                <w:sz w:val="20"/>
              </w:rPr>
              <w:t xml:space="preserve"> </w:t>
            </w:r>
            <w:r w:rsidRPr="0064173F">
              <w:rPr>
                <w:rFonts w:asciiTheme="majorBidi" w:eastAsia="Times New Roman" w:hAnsiTheme="majorBidi" w:cstheme="majorBidi"/>
                <w:color w:val="000000"/>
                <w:sz w:val="20"/>
              </w:rPr>
              <w:t>17</w:t>
            </w:r>
            <w:r>
              <w:rPr>
                <w:rFonts w:asciiTheme="majorBidi" w:eastAsia="Times New Roman" w:hAnsiTheme="majorBidi" w:cstheme="majorBidi"/>
                <w:color w:val="000000"/>
                <w:sz w:val="20"/>
              </w:rPr>
              <w:t>4,002</w:t>
            </w:r>
            <w:r w:rsidRPr="0064173F">
              <w:rPr>
                <w:rFonts w:asciiTheme="majorBidi" w:eastAsia="Times New Roman" w:hAnsiTheme="majorBidi" w:cstheme="majorBidi"/>
                <w:color w:val="000000"/>
                <w:sz w:val="20"/>
              </w:rPr>
              <w:t xml:space="preserve"> </w:t>
            </w:r>
          </w:p>
        </w:tc>
        <w:tc>
          <w:tcPr>
            <w:tcW w:w="129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 xml:space="preserve">                                      395 </w:t>
            </w:r>
          </w:p>
        </w:tc>
        <w:tc>
          <w:tcPr>
            <w:tcW w:w="105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sidRPr="0064173F">
              <w:rPr>
                <w:rFonts w:asciiTheme="majorBidi" w:eastAsia="Times New Roman" w:hAnsiTheme="majorBidi" w:cstheme="majorBidi"/>
                <w:color w:val="000000"/>
                <w:sz w:val="20"/>
              </w:rPr>
              <w:t>6</w:t>
            </w:r>
            <w:r>
              <w:rPr>
                <w:rFonts w:asciiTheme="majorBidi" w:eastAsia="Times New Roman" w:hAnsiTheme="majorBidi" w:cstheme="majorBidi"/>
                <w:color w:val="000000"/>
                <w:sz w:val="20"/>
              </w:rPr>
              <w:t>8,730,668</w:t>
            </w:r>
          </w:p>
        </w:tc>
      </w:tr>
      <w:tr w:rsidR="00F57C07" w:rsidRPr="00840BAE" w:rsidTr="006B65BC">
        <w:trPr>
          <w:trHeight w:val="80"/>
        </w:trPr>
        <w:tc>
          <w:tcPr>
            <w:tcW w:w="5000" w:type="pct"/>
            <w:gridSpan w:val="4"/>
            <w:shd w:val="clear" w:color="auto" w:fill="BFBFBF" w:themeFill="background1" w:themeFillShade="BF"/>
            <w:vAlign w:val="bottom"/>
            <w:hideMark/>
          </w:tcPr>
          <w:p w:rsidR="00F57C07" w:rsidRDefault="00F57C07" w:rsidP="006B65BC">
            <w:pPr>
              <w:jc w:val="right"/>
              <w:rPr>
                <w:rFonts w:asciiTheme="majorBidi" w:eastAsia="Times New Roman" w:hAnsiTheme="majorBidi" w:cstheme="majorBidi"/>
                <w:color w:val="000000"/>
                <w:sz w:val="20"/>
              </w:rPr>
            </w:pPr>
          </w:p>
        </w:tc>
      </w:tr>
      <w:tr w:rsidR="00F57C07" w:rsidRPr="00840BAE" w:rsidTr="006B65BC">
        <w:trPr>
          <w:trHeight w:val="300"/>
        </w:trPr>
        <w:tc>
          <w:tcPr>
            <w:tcW w:w="3942" w:type="pct"/>
            <w:gridSpan w:val="3"/>
            <w:shd w:val="clear" w:color="auto" w:fill="auto"/>
            <w:vAlign w:val="bottom"/>
            <w:hideMark/>
          </w:tcPr>
          <w:p w:rsidR="00F57C07" w:rsidRDefault="00F57C07" w:rsidP="006B65BC">
            <w:pPr>
              <w:jc w:val="right"/>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Total  (for 3-year period of ICR)</w:t>
            </w:r>
          </w:p>
        </w:tc>
        <w:tc>
          <w:tcPr>
            <w:tcW w:w="105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20"/>
              </w:rPr>
            </w:pPr>
            <w:r>
              <w:rPr>
                <w:rFonts w:asciiTheme="majorBidi" w:eastAsia="Times New Roman" w:hAnsiTheme="majorBidi" w:cstheme="majorBidi"/>
                <w:color w:val="000000"/>
                <w:sz w:val="20"/>
              </w:rPr>
              <w:t xml:space="preserve"> $178,389,805</w:t>
            </w:r>
          </w:p>
        </w:tc>
      </w:tr>
      <w:tr w:rsidR="00F57C07" w:rsidRPr="00840BAE" w:rsidTr="006B65BC">
        <w:trPr>
          <w:trHeight w:val="70"/>
        </w:trPr>
        <w:tc>
          <w:tcPr>
            <w:tcW w:w="5000" w:type="pct"/>
            <w:gridSpan w:val="4"/>
            <w:shd w:val="clear" w:color="auto" w:fill="BFBFBF" w:themeFill="background1" w:themeFillShade="BF"/>
            <w:vAlign w:val="bottom"/>
            <w:hideMark/>
          </w:tcPr>
          <w:p w:rsidR="00F57C07" w:rsidRDefault="00F57C07" w:rsidP="006B65BC">
            <w:pPr>
              <w:jc w:val="right"/>
              <w:rPr>
                <w:rFonts w:asciiTheme="majorBidi" w:eastAsia="Times New Roman" w:hAnsiTheme="majorBidi" w:cstheme="majorBidi"/>
                <w:color w:val="000000"/>
                <w:sz w:val="20"/>
              </w:rPr>
            </w:pPr>
          </w:p>
        </w:tc>
      </w:tr>
      <w:tr w:rsidR="00F57C07" w:rsidRPr="00840BAE" w:rsidTr="006B65BC">
        <w:trPr>
          <w:trHeight w:val="300"/>
        </w:trPr>
        <w:tc>
          <w:tcPr>
            <w:tcW w:w="3942" w:type="pct"/>
            <w:gridSpan w:val="3"/>
            <w:shd w:val="clear" w:color="auto" w:fill="auto"/>
            <w:vAlign w:val="bottom"/>
            <w:hideMark/>
          </w:tcPr>
          <w:p w:rsidR="00F57C07" w:rsidRDefault="00F57C07" w:rsidP="006B65BC">
            <w:pPr>
              <w:jc w:val="right"/>
              <w:rPr>
                <w:rFonts w:asciiTheme="majorBidi" w:eastAsia="Times New Roman" w:hAnsiTheme="majorBidi" w:cstheme="majorBidi"/>
                <w:b/>
                <w:bCs/>
                <w:color w:val="000000"/>
                <w:sz w:val="20"/>
              </w:rPr>
            </w:pPr>
            <w:r w:rsidRPr="0064173F">
              <w:rPr>
                <w:rFonts w:asciiTheme="majorBidi" w:eastAsia="Times New Roman" w:hAnsiTheme="majorBidi" w:cstheme="majorBidi"/>
                <w:b/>
                <w:bCs/>
                <w:color w:val="000000"/>
                <w:sz w:val="20"/>
              </w:rPr>
              <w:t>Totals  Per Year</w:t>
            </w:r>
          </w:p>
        </w:tc>
        <w:tc>
          <w:tcPr>
            <w:tcW w:w="1058" w:type="pct"/>
            <w:shd w:val="clear" w:color="auto" w:fill="auto"/>
            <w:vAlign w:val="bottom"/>
            <w:hideMark/>
          </w:tcPr>
          <w:p w:rsidR="00F57C07" w:rsidRDefault="00F57C07" w:rsidP="006B65BC">
            <w:pPr>
              <w:jc w:val="right"/>
              <w:rPr>
                <w:rFonts w:asciiTheme="majorBidi" w:eastAsia="Times New Roman" w:hAnsiTheme="majorBidi" w:cstheme="majorBidi"/>
                <w:b/>
                <w:bCs/>
                <w:color w:val="000000"/>
                <w:sz w:val="20"/>
              </w:rPr>
            </w:pPr>
            <w:r>
              <w:rPr>
                <w:rFonts w:asciiTheme="majorBidi" w:eastAsia="Times New Roman" w:hAnsiTheme="majorBidi" w:cstheme="majorBidi"/>
                <w:b/>
                <w:bCs/>
                <w:color w:val="000000"/>
                <w:sz w:val="20"/>
              </w:rPr>
              <w:t>59</w:t>
            </w:r>
            <w:r w:rsidRPr="0064173F">
              <w:rPr>
                <w:rFonts w:asciiTheme="majorBidi" w:eastAsia="Times New Roman" w:hAnsiTheme="majorBidi" w:cstheme="majorBidi"/>
                <w:b/>
                <w:bCs/>
                <w:color w:val="000000"/>
                <w:sz w:val="20"/>
              </w:rPr>
              <w:t>,</w:t>
            </w:r>
            <w:r>
              <w:rPr>
                <w:rFonts w:asciiTheme="majorBidi" w:eastAsia="Times New Roman" w:hAnsiTheme="majorBidi" w:cstheme="majorBidi"/>
                <w:b/>
                <w:bCs/>
                <w:color w:val="000000"/>
                <w:sz w:val="20"/>
              </w:rPr>
              <w:t>463,268</w:t>
            </w:r>
          </w:p>
        </w:tc>
      </w:tr>
    </w:tbl>
    <w:p w:rsidR="00F57C07" w:rsidRDefault="00F57C07" w:rsidP="00F57C07">
      <w:pPr>
        <w:pStyle w:val="Para"/>
        <w:ind w:firstLine="0"/>
        <w:rPr>
          <w:rFonts w:ascii="Times New Roman" w:hAnsi="Times New Roman"/>
        </w:rPr>
      </w:pPr>
    </w:p>
    <w:p w:rsidR="00F57C07" w:rsidRPr="004D126B" w:rsidRDefault="00F57C07" w:rsidP="00F57C07">
      <w:pPr>
        <w:pStyle w:val="Para"/>
        <w:rPr>
          <w:rFonts w:ascii="Times New Roman" w:hAnsi="Times New Roman"/>
        </w:rPr>
      </w:pPr>
      <w:r w:rsidRPr="004D126B">
        <w:rPr>
          <w:rFonts w:ascii="Times New Roman" w:hAnsi="Times New Roman"/>
        </w:rPr>
        <w:t>The continuous monitoring costs that are included in this section consist only of those capital costs that a source incurs as a result of the standard</w:t>
      </w:r>
      <w:r>
        <w:rPr>
          <w:rFonts w:ascii="Times New Roman" w:hAnsi="Times New Roman"/>
        </w:rPr>
        <w:t xml:space="preserve">. </w:t>
      </w:r>
      <w:r w:rsidRPr="004D126B">
        <w:rPr>
          <w:rFonts w:ascii="Times New Roman" w:hAnsi="Times New Roman"/>
        </w:rPr>
        <w:t>Some continuous monitoring costs may not be included in this section. For instance, if a particular industry typically utilizes a control device that must have a continuous monitor (e.g., temperature, pressure drop, etc.) to function properly, and the recordation of additional measurements beyond the minimum are required by the standard, then there is no capital cost; but, there is a labor cost to record the additional readings. Such a cost would not appear in this section, but in the industry burden Section 6(d) below.</w:t>
      </w:r>
    </w:p>
    <w:p w:rsidR="00F57C07" w:rsidRDefault="00F57C07" w:rsidP="00F57C07">
      <w:pPr>
        <w:ind w:firstLine="720"/>
        <w:rPr>
          <w:rFonts w:ascii="Times New Roman" w:hAnsi="Times New Roman"/>
        </w:rPr>
      </w:pPr>
      <w:r>
        <w:rPr>
          <w:rFonts w:ascii="Times New Roman" w:hAnsi="Times New Roman"/>
        </w:rPr>
        <w:t>Performance</w:t>
      </w:r>
      <w:r w:rsidRPr="004D126B">
        <w:rPr>
          <w:rFonts w:ascii="Times New Roman" w:hAnsi="Times New Roman"/>
        </w:rPr>
        <w:t xml:space="preserve"> testing is usually conducted by a contractor such that the cost of the emissions testing is a capital cost</w:t>
      </w:r>
      <w:r>
        <w:rPr>
          <w:rFonts w:ascii="Times New Roman" w:hAnsi="Times New Roman"/>
        </w:rPr>
        <w:t xml:space="preserve">. </w:t>
      </w:r>
      <w:r w:rsidRPr="004D126B">
        <w:rPr>
          <w:rFonts w:ascii="Times New Roman" w:hAnsi="Times New Roman"/>
        </w:rPr>
        <w:t xml:space="preserve">It is anticipated that </w:t>
      </w:r>
      <w:r>
        <w:rPr>
          <w:rFonts w:ascii="Times New Roman" w:hAnsi="Times New Roman"/>
        </w:rPr>
        <w:t xml:space="preserve">existing electric generating units </w:t>
      </w:r>
      <w:r w:rsidRPr="004D126B">
        <w:rPr>
          <w:rFonts w:ascii="Times New Roman" w:hAnsi="Times New Roman"/>
        </w:rPr>
        <w:t xml:space="preserve">will use continuous emission monitoring systems (CEMS) for compliance with the proposed </w:t>
      </w:r>
      <w:r>
        <w:rPr>
          <w:rFonts w:ascii="Times New Roman" w:hAnsi="Times New Roman"/>
        </w:rPr>
        <w:t xml:space="preserve">PM, </w:t>
      </w:r>
      <w:r w:rsidRPr="004D126B">
        <w:rPr>
          <w:rFonts w:ascii="Times New Roman" w:hAnsi="Times New Roman"/>
        </w:rPr>
        <w:t>Hg,</w:t>
      </w:r>
      <w:r>
        <w:rPr>
          <w:rFonts w:ascii="Times New Roman" w:hAnsi="Times New Roman"/>
        </w:rPr>
        <w:t xml:space="preserve"> and</w:t>
      </w:r>
      <w:r w:rsidRPr="004D126B">
        <w:rPr>
          <w:rFonts w:ascii="Times New Roman" w:hAnsi="Times New Roman"/>
        </w:rPr>
        <w:t xml:space="preserve"> HCl emission limits</w:t>
      </w:r>
      <w:r>
        <w:rPr>
          <w:rFonts w:ascii="Times New Roman" w:hAnsi="Times New Roman"/>
        </w:rPr>
        <w:t xml:space="preserve">. </w:t>
      </w:r>
      <w:r w:rsidRPr="004D126B">
        <w:rPr>
          <w:rFonts w:ascii="Times New Roman" w:hAnsi="Times New Roman"/>
        </w:rPr>
        <w:t>Initial CEMS testing is usually conducted by an installation contractor such that the cost of the emissions testing is a capital cost</w:t>
      </w:r>
      <w:r>
        <w:rPr>
          <w:rFonts w:ascii="Times New Roman" w:hAnsi="Times New Roman"/>
        </w:rPr>
        <w:t xml:space="preserve">. </w:t>
      </w:r>
      <w:r w:rsidRPr="004D126B">
        <w:rPr>
          <w:rFonts w:ascii="Times New Roman" w:hAnsi="Times New Roman"/>
        </w:rPr>
        <w:t>The total costs for performance testing were calculated for this industry sector</w:t>
      </w:r>
      <w:r>
        <w:rPr>
          <w:rFonts w:ascii="Times New Roman" w:hAnsi="Times New Roman"/>
        </w:rPr>
        <w:t xml:space="preserve">. </w:t>
      </w:r>
      <w:r w:rsidRPr="004D126B">
        <w:rPr>
          <w:rFonts w:ascii="Times New Roman" w:hAnsi="Times New Roman"/>
        </w:rPr>
        <w:t xml:space="preserve">The number of </w:t>
      </w:r>
      <w:r>
        <w:rPr>
          <w:rFonts w:ascii="Times New Roman" w:hAnsi="Times New Roman"/>
        </w:rPr>
        <w:t xml:space="preserve">existing and </w:t>
      </w:r>
      <w:r w:rsidRPr="004D126B">
        <w:rPr>
          <w:rFonts w:ascii="Times New Roman" w:hAnsi="Times New Roman"/>
        </w:rPr>
        <w:t>new sources in this sector combined with the number of tests required for each ty</w:t>
      </w:r>
      <w:r w:rsidRPr="005E01D7">
        <w:rPr>
          <w:rFonts w:ascii="Times New Roman" w:hAnsi="Times New Roman"/>
        </w:rPr>
        <w:t>pe of model plant resulted in a total annualized capital cost of approximately $8</w:t>
      </w:r>
      <w:r>
        <w:rPr>
          <w:rFonts w:ascii="Times New Roman" w:hAnsi="Times New Roman"/>
        </w:rPr>
        <w:t>1,906,079</w:t>
      </w:r>
      <w:r w:rsidRPr="005E01D7">
        <w:rPr>
          <w:rFonts w:ascii="Times New Roman" w:hAnsi="Times New Roman"/>
        </w:rPr>
        <w:t xml:space="preserve"> per year for CEMS testing over the next three years.</w:t>
      </w:r>
    </w:p>
    <w:p w:rsidR="00F57C07" w:rsidRPr="00640B02" w:rsidRDefault="00F57C07" w:rsidP="00F57C07">
      <w:pPr>
        <w:pStyle w:val="Heading2"/>
        <w:ind w:left="0" w:firstLine="0"/>
        <w:rPr>
          <w:i/>
          <w:iCs w:val="0"/>
        </w:rPr>
      </w:pPr>
      <w:r w:rsidRPr="0068644D">
        <w:rPr>
          <w:i/>
          <w:iCs w:val="0"/>
        </w:rPr>
        <w:t>(iii)</w:t>
      </w:r>
      <w:r w:rsidRPr="0068644D">
        <w:rPr>
          <w:i/>
          <w:iCs w:val="0"/>
        </w:rPr>
        <w:tab/>
      </w:r>
      <w:r w:rsidRPr="00640B02">
        <w:rPr>
          <w:i/>
          <w:iCs w:val="0"/>
        </w:rPr>
        <w:t>Estimating Operations and Maintenance (O&amp;M) Costs</w:t>
      </w:r>
    </w:p>
    <w:p w:rsidR="00F57C07" w:rsidRDefault="00F57C07" w:rsidP="00F57C07">
      <w:pPr>
        <w:ind w:firstLine="720"/>
        <w:rPr>
          <w:rFonts w:ascii="Calibri" w:eastAsia="Times New Roman" w:hAnsi="Calibri"/>
          <w:sz w:val="20"/>
        </w:rPr>
      </w:pPr>
      <w:r w:rsidRPr="00640B02">
        <w:rPr>
          <w:rFonts w:ascii="Times New Roman" w:hAnsi="Times New Roman"/>
        </w:rPr>
        <w:t>The annual operation and maintenance costs are the ongoing costs to maintain the monitors and other costs such as photocopying and postage</w:t>
      </w:r>
      <w:r>
        <w:rPr>
          <w:rFonts w:ascii="Times New Roman" w:hAnsi="Times New Roman"/>
        </w:rPr>
        <w:t xml:space="preserve">. </w:t>
      </w:r>
      <w:r w:rsidRPr="00640B02">
        <w:rPr>
          <w:rFonts w:ascii="Times New Roman" w:hAnsi="Times New Roman"/>
        </w:rPr>
        <w:t xml:space="preserve">The total annual operations and </w:t>
      </w:r>
      <w:r w:rsidRPr="005D59D8">
        <w:rPr>
          <w:rFonts w:ascii="Times New Roman" w:hAnsi="Times New Roman"/>
        </w:rPr>
        <w:t xml:space="preserve">maintenance costs for CEMS that will be used to monitor PM, Hg, and HCl </w:t>
      </w:r>
      <w:r w:rsidRPr="005E01D7">
        <w:rPr>
          <w:rFonts w:ascii="Times New Roman" w:hAnsi="Times New Roman"/>
        </w:rPr>
        <w:t>is $84,182,920 per year.</w:t>
      </w:r>
      <w:r w:rsidRPr="004A1FC4">
        <w:rPr>
          <w:rFonts w:ascii="Calibri" w:eastAsia="Times New Roman" w:hAnsi="Calibri"/>
          <w:sz w:val="20"/>
        </w:rPr>
        <w:t xml:space="preserve"> </w:t>
      </w:r>
    </w:p>
    <w:p w:rsidR="00F57C07" w:rsidRDefault="00F57C07" w:rsidP="00F57C07">
      <w:pPr>
        <w:pStyle w:val="Para"/>
        <w:spacing w:after="0"/>
        <w:rPr>
          <w:rFonts w:ascii="Times New Roman" w:hAnsi="Times New Roman"/>
        </w:rPr>
      </w:pPr>
    </w:p>
    <w:p w:rsidR="00F57C07" w:rsidRDefault="00F57C07" w:rsidP="00F57C07">
      <w:pPr>
        <w:pStyle w:val="Para"/>
        <w:spacing w:after="0"/>
        <w:rPr>
          <w:rFonts w:ascii="Times New Roman" w:hAnsi="Times New Roman"/>
        </w:rPr>
      </w:pPr>
      <w:r w:rsidRPr="00640B02">
        <w:rPr>
          <w:rFonts w:ascii="Times New Roman" w:hAnsi="Times New Roman"/>
        </w:rPr>
        <w:t>The continuous monitoring costs that are included in this section consist only of those O&amp;M costs that a source incurs as a result of the standard</w:t>
      </w:r>
      <w:r>
        <w:rPr>
          <w:rFonts w:ascii="Times New Roman" w:hAnsi="Times New Roman"/>
        </w:rPr>
        <w:t xml:space="preserve">. </w:t>
      </w:r>
      <w:r w:rsidRPr="00640B02">
        <w:rPr>
          <w:rFonts w:ascii="Times New Roman" w:hAnsi="Times New Roman"/>
        </w:rPr>
        <w:t>Some continuous monitoring costs may not be included in this section</w:t>
      </w:r>
      <w:r>
        <w:rPr>
          <w:rFonts w:ascii="Times New Roman" w:hAnsi="Times New Roman"/>
        </w:rPr>
        <w:t xml:space="preserve">. </w:t>
      </w:r>
      <w:r w:rsidRPr="00640B02">
        <w:rPr>
          <w:rFonts w:ascii="Times New Roman" w:hAnsi="Times New Roman"/>
        </w:rPr>
        <w:t xml:space="preserve">For instance, if a particular industry typically utilizes a control device that must have a continuous monitor (e.g., temperature, pressure drop, etc.) to function properly, and the recordation of additional measurements beyond the minimum are </w:t>
      </w:r>
      <w:r w:rsidRPr="00640B02">
        <w:rPr>
          <w:rFonts w:ascii="Times New Roman" w:hAnsi="Times New Roman"/>
        </w:rPr>
        <w:lastRenderedPageBreak/>
        <w:t>required by the standard, then there is O&amp;M cost, but there is a labor cost to record the additional readings</w:t>
      </w:r>
      <w:r>
        <w:rPr>
          <w:rFonts w:ascii="Times New Roman" w:hAnsi="Times New Roman"/>
        </w:rPr>
        <w:t xml:space="preserve">. </w:t>
      </w:r>
      <w:r w:rsidRPr="00640B02">
        <w:rPr>
          <w:rFonts w:ascii="Times New Roman" w:hAnsi="Times New Roman"/>
        </w:rPr>
        <w:t>Such a cost would not appear in this section, but in the industry burden Section 6(d) below.</w:t>
      </w:r>
    </w:p>
    <w:p w:rsidR="00F57C07" w:rsidRDefault="00F57C07" w:rsidP="00F57C07">
      <w:pPr>
        <w:pStyle w:val="Para"/>
        <w:spacing w:after="0"/>
        <w:rPr>
          <w:rFonts w:ascii="Times New Roman" w:hAnsi="Times New Roman"/>
        </w:rPr>
      </w:pPr>
    </w:p>
    <w:p w:rsidR="00F57C07" w:rsidRDefault="00F57C07" w:rsidP="00F57C07">
      <w:pPr>
        <w:pStyle w:val="Para"/>
        <w:spacing w:after="0"/>
        <w:rPr>
          <w:rFonts w:ascii="Times New Roman" w:hAnsi="Times New Roman"/>
          <w:b/>
          <w:bCs/>
        </w:rPr>
      </w:pPr>
      <w:r w:rsidRPr="005E01D7">
        <w:rPr>
          <w:rFonts w:ascii="Times New Roman" w:hAnsi="Times New Roman"/>
          <w:b/>
          <w:bCs/>
        </w:rPr>
        <w:t>Table 7. Operation and Maintenance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3"/>
        <w:gridCol w:w="870"/>
        <w:gridCol w:w="969"/>
        <w:gridCol w:w="973"/>
        <w:gridCol w:w="973"/>
        <w:gridCol w:w="1117"/>
        <w:gridCol w:w="1343"/>
        <w:gridCol w:w="1230"/>
        <w:gridCol w:w="1118"/>
      </w:tblGrid>
      <w:tr w:rsidR="00F57C07" w:rsidRPr="000B6C12" w:rsidTr="006B65BC">
        <w:trPr>
          <w:trHeight w:val="255"/>
        </w:trPr>
        <w:tc>
          <w:tcPr>
            <w:tcW w:w="514" w:type="pct"/>
            <w:vMerge w:val="restart"/>
            <w:shd w:val="clear" w:color="auto" w:fill="auto"/>
            <w:hideMark/>
          </w:tcPr>
          <w:p w:rsidR="00F57C07" w:rsidRDefault="00F57C07" w:rsidP="006B65BC">
            <w:pPr>
              <w:rPr>
                <w:rFonts w:asciiTheme="majorBidi" w:eastAsia="Times New Roman" w:hAnsiTheme="majorBidi" w:cstheme="majorBidi"/>
                <w:b/>
                <w:bCs/>
                <w:color w:val="000000"/>
                <w:sz w:val="18"/>
                <w:szCs w:val="18"/>
              </w:rPr>
            </w:pPr>
            <w:r w:rsidRPr="005E01D7">
              <w:rPr>
                <w:rFonts w:asciiTheme="majorBidi" w:eastAsia="Times New Roman" w:hAnsiTheme="majorBidi" w:cstheme="majorBidi"/>
                <w:b/>
                <w:bCs/>
                <w:color w:val="000000"/>
                <w:sz w:val="18"/>
                <w:szCs w:val="18"/>
              </w:rPr>
              <w:t>CEMS</w:t>
            </w:r>
          </w:p>
        </w:tc>
        <w:tc>
          <w:tcPr>
            <w:tcW w:w="1976" w:type="pct"/>
            <w:gridSpan w:val="4"/>
            <w:shd w:val="clear" w:color="auto" w:fill="auto"/>
            <w:hideMark/>
          </w:tcPr>
          <w:p w:rsidR="00F57C07" w:rsidRDefault="00F57C07" w:rsidP="006B65BC">
            <w:pPr>
              <w:jc w:val="center"/>
              <w:rPr>
                <w:rFonts w:asciiTheme="majorBidi" w:eastAsia="Times New Roman" w:hAnsiTheme="majorBidi" w:cstheme="majorBidi"/>
                <w:b/>
                <w:bCs/>
                <w:color w:val="000000"/>
                <w:sz w:val="18"/>
                <w:szCs w:val="18"/>
              </w:rPr>
            </w:pPr>
            <w:r w:rsidRPr="005E01D7">
              <w:rPr>
                <w:rFonts w:asciiTheme="majorBidi" w:eastAsia="Times New Roman" w:hAnsiTheme="majorBidi" w:cstheme="majorBidi"/>
                <w:b/>
                <w:bCs/>
                <w:color w:val="000000"/>
                <w:sz w:val="18"/>
                <w:szCs w:val="18"/>
              </w:rPr>
              <w:t>Capital Costs</w:t>
            </w:r>
            <w:r>
              <w:rPr>
                <w:rFonts w:asciiTheme="majorBidi" w:eastAsia="Times New Roman" w:hAnsiTheme="majorBidi" w:cstheme="majorBidi"/>
                <w:b/>
                <w:bCs/>
                <w:color w:val="000000"/>
                <w:sz w:val="18"/>
                <w:szCs w:val="18"/>
              </w:rPr>
              <w:t xml:space="preserve"> per monitor</w:t>
            </w:r>
          </w:p>
        </w:tc>
        <w:tc>
          <w:tcPr>
            <w:tcW w:w="2510" w:type="pct"/>
            <w:gridSpan w:val="4"/>
            <w:shd w:val="clear" w:color="auto" w:fill="auto"/>
            <w:hideMark/>
          </w:tcPr>
          <w:p w:rsidR="00F57C07" w:rsidRDefault="00F57C07" w:rsidP="006B65BC">
            <w:pPr>
              <w:jc w:val="center"/>
              <w:rPr>
                <w:rFonts w:asciiTheme="majorBidi" w:eastAsia="Times New Roman" w:hAnsiTheme="majorBidi" w:cstheme="majorBidi"/>
                <w:b/>
                <w:bCs/>
                <w:color w:val="000000"/>
                <w:sz w:val="18"/>
                <w:szCs w:val="18"/>
              </w:rPr>
            </w:pPr>
            <w:r>
              <w:rPr>
                <w:rFonts w:asciiTheme="majorBidi" w:eastAsia="Times New Roman" w:hAnsiTheme="majorBidi" w:cstheme="majorBidi"/>
                <w:b/>
                <w:bCs/>
                <w:color w:val="000000"/>
                <w:sz w:val="18"/>
                <w:szCs w:val="18"/>
              </w:rPr>
              <w:t xml:space="preserve">Total </w:t>
            </w:r>
            <w:r w:rsidRPr="005E01D7">
              <w:rPr>
                <w:rFonts w:asciiTheme="majorBidi" w:eastAsia="Times New Roman" w:hAnsiTheme="majorBidi" w:cstheme="majorBidi"/>
                <w:b/>
                <w:bCs/>
                <w:color w:val="000000"/>
                <w:sz w:val="18"/>
                <w:szCs w:val="18"/>
              </w:rPr>
              <w:t>Annual Costs (w/capital recovery)</w:t>
            </w:r>
            <w:r>
              <w:rPr>
                <w:rFonts w:asciiTheme="majorBidi" w:eastAsia="Times New Roman" w:hAnsiTheme="majorBidi" w:cstheme="majorBidi"/>
                <w:b/>
                <w:bCs/>
                <w:color w:val="000000"/>
                <w:sz w:val="18"/>
                <w:szCs w:val="18"/>
              </w:rPr>
              <w:t xml:space="preserve"> for all installations</w:t>
            </w:r>
          </w:p>
        </w:tc>
      </w:tr>
      <w:tr w:rsidR="00F57C07" w:rsidRPr="000B6C12" w:rsidTr="006B65BC">
        <w:trPr>
          <w:trHeight w:val="300"/>
        </w:trPr>
        <w:tc>
          <w:tcPr>
            <w:tcW w:w="514" w:type="pct"/>
            <w:vMerge/>
            <w:shd w:val="clear" w:color="auto" w:fill="auto"/>
            <w:hideMark/>
          </w:tcPr>
          <w:p w:rsidR="00F57C07" w:rsidRDefault="00F57C07" w:rsidP="006B65BC">
            <w:pPr>
              <w:rPr>
                <w:rFonts w:asciiTheme="majorBidi" w:eastAsia="Times New Roman" w:hAnsiTheme="majorBidi" w:cstheme="majorBidi"/>
                <w:b/>
                <w:bCs/>
                <w:color w:val="000000"/>
                <w:sz w:val="18"/>
                <w:szCs w:val="18"/>
              </w:rPr>
            </w:pPr>
          </w:p>
        </w:tc>
        <w:tc>
          <w:tcPr>
            <w:tcW w:w="454" w:type="pct"/>
            <w:shd w:val="clear" w:color="auto" w:fill="auto"/>
            <w:hideMark/>
          </w:tcPr>
          <w:p w:rsidR="00F57C07" w:rsidRDefault="00F57C07" w:rsidP="006B65BC">
            <w:pPr>
              <w:jc w:val="center"/>
              <w:rPr>
                <w:rFonts w:asciiTheme="majorBidi" w:eastAsia="Times New Roman" w:hAnsiTheme="majorBidi" w:cstheme="majorBidi"/>
                <w:b/>
                <w:bCs/>
                <w:color w:val="000000"/>
                <w:sz w:val="18"/>
                <w:szCs w:val="18"/>
              </w:rPr>
            </w:pPr>
            <w:r w:rsidRPr="005E01D7">
              <w:rPr>
                <w:rFonts w:asciiTheme="majorBidi" w:eastAsia="Times New Roman" w:hAnsiTheme="majorBidi" w:cstheme="majorBidi"/>
                <w:b/>
                <w:bCs/>
                <w:color w:val="000000"/>
                <w:sz w:val="18"/>
                <w:szCs w:val="18"/>
              </w:rPr>
              <w:t>Labor</w:t>
            </w:r>
          </w:p>
        </w:tc>
        <w:tc>
          <w:tcPr>
            <w:tcW w:w="506" w:type="pct"/>
            <w:shd w:val="clear" w:color="auto" w:fill="auto"/>
            <w:hideMark/>
          </w:tcPr>
          <w:p w:rsidR="00F57C07" w:rsidRDefault="00F57C07" w:rsidP="006B65BC">
            <w:pPr>
              <w:jc w:val="center"/>
              <w:rPr>
                <w:rFonts w:asciiTheme="majorBidi" w:eastAsia="Times New Roman" w:hAnsiTheme="majorBidi" w:cstheme="majorBidi"/>
                <w:b/>
                <w:bCs/>
                <w:color w:val="000000"/>
                <w:sz w:val="18"/>
                <w:szCs w:val="18"/>
              </w:rPr>
            </w:pPr>
            <w:r w:rsidRPr="005E01D7">
              <w:rPr>
                <w:rFonts w:asciiTheme="majorBidi" w:eastAsia="Times New Roman" w:hAnsiTheme="majorBidi" w:cstheme="majorBidi"/>
                <w:b/>
                <w:bCs/>
                <w:color w:val="000000"/>
                <w:sz w:val="18"/>
                <w:szCs w:val="18"/>
              </w:rPr>
              <w:t>Testing</w:t>
            </w:r>
          </w:p>
        </w:tc>
        <w:tc>
          <w:tcPr>
            <w:tcW w:w="508" w:type="pct"/>
            <w:shd w:val="clear" w:color="auto" w:fill="auto"/>
            <w:hideMark/>
          </w:tcPr>
          <w:p w:rsidR="00F57C07" w:rsidRDefault="00F57C07" w:rsidP="006B65BC">
            <w:pPr>
              <w:jc w:val="center"/>
              <w:rPr>
                <w:rFonts w:asciiTheme="majorBidi" w:eastAsia="Times New Roman" w:hAnsiTheme="majorBidi" w:cstheme="majorBidi"/>
                <w:b/>
                <w:bCs/>
                <w:color w:val="000000"/>
                <w:sz w:val="18"/>
                <w:szCs w:val="18"/>
              </w:rPr>
            </w:pPr>
            <w:r w:rsidRPr="005E01D7">
              <w:rPr>
                <w:rFonts w:asciiTheme="majorBidi" w:eastAsia="Times New Roman" w:hAnsiTheme="majorBidi" w:cstheme="majorBidi"/>
                <w:b/>
                <w:bCs/>
                <w:color w:val="000000"/>
                <w:sz w:val="18"/>
                <w:szCs w:val="18"/>
              </w:rPr>
              <w:t>ODC's</w:t>
            </w:r>
          </w:p>
        </w:tc>
        <w:tc>
          <w:tcPr>
            <w:tcW w:w="508" w:type="pct"/>
            <w:shd w:val="clear" w:color="auto" w:fill="auto"/>
            <w:hideMark/>
          </w:tcPr>
          <w:p w:rsidR="00F57C07" w:rsidRDefault="00F57C07" w:rsidP="006B65BC">
            <w:pPr>
              <w:jc w:val="center"/>
              <w:rPr>
                <w:rFonts w:asciiTheme="majorBidi" w:eastAsia="Times New Roman" w:hAnsiTheme="majorBidi" w:cstheme="majorBidi"/>
                <w:b/>
                <w:bCs/>
                <w:color w:val="000000"/>
                <w:sz w:val="18"/>
                <w:szCs w:val="18"/>
              </w:rPr>
            </w:pPr>
            <w:r w:rsidRPr="005E01D7">
              <w:rPr>
                <w:rFonts w:asciiTheme="majorBidi" w:eastAsia="Times New Roman" w:hAnsiTheme="majorBidi" w:cstheme="majorBidi"/>
                <w:b/>
                <w:bCs/>
                <w:color w:val="000000"/>
                <w:sz w:val="18"/>
                <w:szCs w:val="18"/>
              </w:rPr>
              <w:t>Total</w:t>
            </w:r>
          </w:p>
        </w:tc>
        <w:tc>
          <w:tcPr>
            <w:tcW w:w="583" w:type="pct"/>
            <w:shd w:val="clear" w:color="auto" w:fill="auto"/>
            <w:hideMark/>
          </w:tcPr>
          <w:p w:rsidR="00F57C07" w:rsidRDefault="00F57C07" w:rsidP="006B65BC">
            <w:pPr>
              <w:jc w:val="center"/>
              <w:rPr>
                <w:rFonts w:asciiTheme="majorBidi" w:eastAsia="Times New Roman" w:hAnsiTheme="majorBidi" w:cstheme="majorBidi"/>
                <w:b/>
                <w:bCs/>
                <w:color w:val="000000"/>
                <w:sz w:val="18"/>
                <w:szCs w:val="18"/>
              </w:rPr>
            </w:pPr>
            <w:r w:rsidRPr="005E01D7">
              <w:rPr>
                <w:rFonts w:asciiTheme="majorBidi" w:eastAsia="Times New Roman" w:hAnsiTheme="majorBidi" w:cstheme="majorBidi"/>
                <w:b/>
                <w:bCs/>
                <w:color w:val="000000"/>
                <w:sz w:val="18"/>
                <w:szCs w:val="18"/>
              </w:rPr>
              <w:t>Labor</w:t>
            </w:r>
          </w:p>
        </w:tc>
        <w:tc>
          <w:tcPr>
            <w:tcW w:w="701" w:type="pct"/>
            <w:shd w:val="clear" w:color="auto" w:fill="auto"/>
            <w:hideMark/>
          </w:tcPr>
          <w:p w:rsidR="00F57C07" w:rsidRDefault="00F57C07" w:rsidP="006B65BC">
            <w:pPr>
              <w:jc w:val="center"/>
              <w:rPr>
                <w:rFonts w:asciiTheme="majorBidi" w:eastAsia="Times New Roman" w:hAnsiTheme="majorBidi" w:cstheme="majorBidi"/>
                <w:b/>
                <w:bCs/>
                <w:color w:val="000000"/>
                <w:sz w:val="18"/>
                <w:szCs w:val="18"/>
              </w:rPr>
            </w:pPr>
            <w:r w:rsidRPr="005E01D7">
              <w:rPr>
                <w:rFonts w:asciiTheme="majorBidi" w:eastAsia="Times New Roman" w:hAnsiTheme="majorBidi" w:cstheme="majorBidi"/>
                <w:b/>
                <w:bCs/>
                <w:color w:val="000000"/>
                <w:sz w:val="18"/>
                <w:szCs w:val="18"/>
              </w:rPr>
              <w:t>Testing</w:t>
            </w:r>
          </w:p>
        </w:tc>
        <w:tc>
          <w:tcPr>
            <w:tcW w:w="642" w:type="pct"/>
            <w:shd w:val="clear" w:color="auto" w:fill="auto"/>
            <w:hideMark/>
          </w:tcPr>
          <w:p w:rsidR="00F57C07" w:rsidRDefault="00F57C07" w:rsidP="006B65BC">
            <w:pPr>
              <w:jc w:val="center"/>
              <w:rPr>
                <w:rFonts w:asciiTheme="majorBidi" w:eastAsia="Times New Roman" w:hAnsiTheme="majorBidi" w:cstheme="majorBidi"/>
                <w:b/>
                <w:bCs/>
                <w:sz w:val="18"/>
                <w:szCs w:val="18"/>
              </w:rPr>
            </w:pPr>
            <w:r w:rsidRPr="005E01D7">
              <w:rPr>
                <w:rFonts w:asciiTheme="majorBidi" w:eastAsia="Times New Roman" w:hAnsiTheme="majorBidi" w:cstheme="majorBidi"/>
                <w:b/>
                <w:bCs/>
                <w:sz w:val="18"/>
                <w:szCs w:val="18"/>
              </w:rPr>
              <w:t>ODC's</w:t>
            </w:r>
          </w:p>
        </w:tc>
        <w:tc>
          <w:tcPr>
            <w:tcW w:w="583" w:type="pct"/>
            <w:shd w:val="clear" w:color="auto" w:fill="auto"/>
            <w:hideMark/>
          </w:tcPr>
          <w:p w:rsidR="00F57C07" w:rsidRDefault="00F57C07" w:rsidP="006B65BC">
            <w:pPr>
              <w:jc w:val="center"/>
              <w:rPr>
                <w:rFonts w:asciiTheme="majorBidi" w:eastAsia="Times New Roman" w:hAnsiTheme="majorBidi" w:cstheme="majorBidi"/>
                <w:b/>
                <w:bCs/>
                <w:color w:val="000000"/>
                <w:sz w:val="18"/>
                <w:szCs w:val="18"/>
              </w:rPr>
            </w:pPr>
            <w:r w:rsidRPr="005E01D7">
              <w:rPr>
                <w:rFonts w:asciiTheme="majorBidi" w:eastAsia="Times New Roman" w:hAnsiTheme="majorBidi" w:cstheme="majorBidi"/>
                <w:b/>
                <w:bCs/>
                <w:color w:val="000000"/>
                <w:sz w:val="18"/>
                <w:szCs w:val="18"/>
              </w:rPr>
              <w:t>Total</w:t>
            </w:r>
          </w:p>
        </w:tc>
      </w:tr>
      <w:tr w:rsidR="00F57C07" w:rsidRPr="000B6C12" w:rsidTr="006B65BC">
        <w:trPr>
          <w:trHeight w:val="255"/>
        </w:trPr>
        <w:tc>
          <w:tcPr>
            <w:tcW w:w="514" w:type="pct"/>
            <w:shd w:val="clear" w:color="auto" w:fill="auto"/>
            <w:hideMark/>
          </w:tcPr>
          <w:p w:rsidR="00F57C07" w:rsidRDefault="00F57C07" w:rsidP="006B65BC">
            <w:pPr>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PM</w:t>
            </w:r>
          </w:p>
        </w:tc>
        <w:tc>
          <w:tcPr>
            <w:tcW w:w="454"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$1</w:t>
            </w:r>
            <w:r>
              <w:rPr>
                <w:rFonts w:asciiTheme="majorBidi" w:eastAsia="Times New Roman" w:hAnsiTheme="majorBidi" w:cstheme="majorBidi"/>
                <w:color w:val="000000"/>
                <w:sz w:val="18"/>
                <w:szCs w:val="18"/>
              </w:rPr>
              <w:t>3</w:t>
            </w: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907</w:t>
            </w:r>
            <w:r w:rsidRPr="005E01D7">
              <w:rPr>
                <w:rFonts w:asciiTheme="majorBidi" w:eastAsia="Times New Roman" w:hAnsiTheme="majorBidi" w:cstheme="majorBidi"/>
                <w:color w:val="000000"/>
                <w:sz w:val="18"/>
                <w:szCs w:val="18"/>
              </w:rPr>
              <w:t xml:space="preserve"> </w:t>
            </w:r>
          </w:p>
        </w:tc>
        <w:tc>
          <w:tcPr>
            <w:tcW w:w="506"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 $</w:t>
            </w:r>
            <w:r>
              <w:rPr>
                <w:rFonts w:asciiTheme="majorBidi" w:eastAsia="Times New Roman" w:hAnsiTheme="majorBidi" w:cstheme="majorBidi"/>
                <w:color w:val="000000"/>
                <w:sz w:val="18"/>
                <w:szCs w:val="18"/>
              </w:rPr>
              <w:t>24,164</w:t>
            </w:r>
            <w:r w:rsidRPr="005E01D7">
              <w:rPr>
                <w:rFonts w:asciiTheme="majorBidi" w:eastAsia="Times New Roman" w:hAnsiTheme="majorBidi" w:cstheme="majorBidi"/>
                <w:color w:val="000000"/>
                <w:sz w:val="18"/>
                <w:szCs w:val="18"/>
              </w:rPr>
              <w:t xml:space="preserve"> </w:t>
            </w:r>
          </w:p>
        </w:tc>
        <w:tc>
          <w:tcPr>
            <w:tcW w:w="508"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$51,481</w:t>
            </w:r>
          </w:p>
        </w:tc>
        <w:tc>
          <w:tcPr>
            <w:tcW w:w="508"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89,552</w:t>
            </w:r>
          </w:p>
        </w:tc>
        <w:tc>
          <w:tcPr>
            <w:tcW w:w="583"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5,766,652</w:t>
            </w:r>
          </w:p>
        </w:tc>
        <w:tc>
          <w:tcPr>
            <w:tcW w:w="701"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 $1</w:t>
            </w:r>
            <w:r>
              <w:rPr>
                <w:rFonts w:asciiTheme="majorBidi" w:eastAsia="Times New Roman" w:hAnsiTheme="majorBidi" w:cstheme="majorBidi"/>
                <w:color w:val="000000"/>
                <w:sz w:val="18"/>
                <w:szCs w:val="18"/>
              </w:rPr>
              <w:t>0,019,939</w:t>
            </w:r>
          </w:p>
        </w:tc>
        <w:tc>
          <w:tcPr>
            <w:tcW w:w="642"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  $21,347,602 </w:t>
            </w:r>
          </w:p>
        </w:tc>
        <w:tc>
          <w:tcPr>
            <w:tcW w:w="583"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37,134,193</w:t>
            </w:r>
          </w:p>
        </w:tc>
      </w:tr>
      <w:tr w:rsidR="00F57C07" w:rsidRPr="000B6C12" w:rsidTr="006B65BC">
        <w:trPr>
          <w:trHeight w:val="255"/>
        </w:trPr>
        <w:tc>
          <w:tcPr>
            <w:tcW w:w="514" w:type="pct"/>
            <w:shd w:val="clear" w:color="auto" w:fill="auto"/>
            <w:hideMark/>
          </w:tcPr>
          <w:p w:rsidR="00F57C07" w:rsidRDefault="00F57C07" w:rsidP="006B65BC">
            <w:pPr>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HCl</w:t>
            </w:r>
          </w:p>
        </w:tc>
        <w:tc>
          <w:tcPr>
            <w:tcW w:w="454"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$23,218 </w:t>
            </w:r>
          </w:p>
        </w:tc>
        <w:tc>
          <w:tcPr>
            <w:tcW w:w="506"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$23,356 </w:t>
            </w:r>
          </w:p>
        </w:tc>
        <w:tc>
          <w:tcPr>
            <w:tcW w:w="508"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$87,826</w:t>
            </w:r>
          </w:p>
        </w:tc>
        <w:tc>
          <w:tcPr>
            <w:tcW w:w="508"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$134,400 </w:t>
            </w:r>
          </w:p>
        </w:tc>
        <w:tc>
          <w:tcPr>
            <w:tcW w:w="583"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  $1,9</w:t>
            </w:r>
            <w:r>
              <w:rPr>
                <w:rFonts w:asciiTheme="majorBidi" w:eastAsia="Times New Roman" w:hAnsiTheme="majorBidi" w:cstheme="majorBidi"/>
                <w:color w:val="000000"/>
                <w:sz w:val="18"/>
                <w:szCs w:val="18"/>
              </w:rPr>
              <w:t>73,559</w:t>
            </w:r>
            <w:r w:rsidRPr="005E01D7">
              <w:rPr>
                <w:rFonts w:asciiTheme="majorBidi" w:eastAsia="Times New Roman" w:hAnsiTheme="majorBidi" w:cstheme="majorBidi"/>
                <w:color w:val="000000"/>
                <w:sz w:val="18"/>
                <w:szCs w:val="18"/>
              </w:rPr>
              <w:t xml:space="preserve"> </w:t>
            </w:r>
          </w:p>
        </w:tc>
        <w:tc>
          <w:tcPr>
            <w:tcW w:w="701"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 $1,985,220 </w:t>
            </w:r>
          </w:p>
        </w:tc>
        <w:tc>
          <w:tcPr>
            <w:tcW w:w="642"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 $7,465,233 </w:t>
            </w:r>
          </w:p>
        </w:tc>
        <w:tc>
          <w:tcPr>
            <w:tcW w:w="583"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$11,424,011 </w:t>
            </w:r>
          </w:p>
        </w:tc>
      </w:tr>
      <w:tr w:rsidR="00F57C07" w:rsidRPr="000B6C12" w:rsidTr="006B65BC">
        <w:trPr>
          <w:trHeight w:val="255"/>
        </w:trPr>
        <w:tc>
          <w:tcPr>
            <w:tcW w:w="514" w:type="pct"/>
            <w:shd w:val="clear" w:color="auto" w:fill="auto"/>
            <w:hideMark/>
          </w:tcPr>
          <w:p w:rsidR="00F57C07" w:rsidRDefault="00F57C07" w:rsidP="006B65BC">
            <w:pPr>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Hg</w:t>
            </w:r>
          </w:p>
        </w:tc>
        <w:tc>
          <w:tcPr>
            <w:tcW w:w="454"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$25,571 </w:t>
            </w:r>
          </w:p>
        </w:tc>
        <w:tc>
          <w:tcPr>
            <w:tcW w:w="506"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 $38,514 </w:t>
            </w:r>
          </w:p>
        </w:tc>
        <w:tc>
          <w:tcPr>
            <w:tcW w:w="508"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$14</w:t>
            </w:r>
            <w:r>
              <w:rPr>
                <w:rFonts w:asciiTheme="majorBidi" w:eastAsia="Times New Roman" w:hAnsiTheme="majorBidi" w:cstheme="majorBidi"/>
                <w:color w:val="000000"/>
                <w:sz w:val="18"/>
                <w:szCs w:val="18"/>
              </w:rPr>
              <w:t>8</w:t>
            </w: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431</w:t>
            </w:r>
          </w:p>
        </w:tc>
        <w:tc>
          <w:tcPr>
            <w:tcW w:w="508"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$2</w:t>
            </w:r>
            <w:r>
              <w:rPr>
                <w:rFonts w:asciiTheme="majorBidi" w:eastAsia="Times New Roman" w:hAnsiTheme="majorBidi" w:cstheme="majorBidi"/>
                <w:color w:val="000000"/>
                <w:sz w:val="18"/>
                <w:szCs w:val="18"/>
              </w:rPr>
              <w:t>12</w:t>
            </w: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516</w:t>
            </w:r>
            <w:r w:rsidRPr="005E01D7">
              <w:rPr>
                <w:rFonts w:asciiTheme="majorBidi" w:eastAsia="Times New Roman" w:hAnsiTheme="majorBidi" w:cstheme="majorBidi"/>
                <w:color w:val="000000"/>
                <w:sz w:val="18"/>
                <w:szCs w:val="18"/>
              </w:rPr>
              <w:t xml:space="preserve"> </w:t>
            </w:r>
          </w:p>
        </w:tc>
        <w:tc>
          <w:tcPr>
            <w:tcW w:w="583"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 $3,3</w:t>
            </w:r>
            <w:r>
              <w:rPr>
                <w:rFonts w:asciiTheme="majorBidi" w:eastAsia="Times New Roman" w:hAnsiTheme="majorBidi" w:cstheme="majorBidi"/>
                <w:color w:val="000000"/>
                <w:sz w:val="18"/>
                <w:szCs w:val="18"/>
              </w:rPr>
              <w:t>66</w:t>
            </w:r>
            <w:r w:rsidRPr="005E01D7">
              <w:rPr>
                <w:rFonts w:asciiTheme="majorBidi" w:eastAsia="Times New Roman" w:hAnsiTheme="majorBidi" w:cstheme="majorBidi"/>
                <w:color w:val="000000"/>
                <w:sz w:val="18"/>
                <w:szCs w:val="18"/>
              </w:rPr>
              <w:t>,8</w:t>
            </w:r>
            <w:r>
              <w:rPr>
                <w:rFonts w:asciiTheme="majorBidi" w:eastAsia="Times New Roman" w:hAnsiTheme="majorBidi" w:cstheme="majorBidi"/>
                <w:color w:val="000000"/>
                <w:sz w:val="18"/>
                <w:szCs w:val="18"/>
              </w:rPr>
              <w:t>18</w:t>
            </w:r>
            <w:r w:rsidRPr="005E01D7">
              <w:rPr>
                <w:rFonts w:asciiTheme="majorBidi" w:eastAsia="Times New Roman" w:hAnsiTheme="majorBidi" w:cstheme="majorBidi"/>
                <w:color w:val="000000"/>
                <w:sz w:val="18"/>
                <w:szCs w:val="18"/>
              </w:rPr>
              <w:t xml:space="preserve"> </w:t>
            </w:r>
          </w:p>
        </w:tc>
        <w:tc>
          <w:tcPr>
            <w:tcW w:w="701"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 xml:space="preserve">$5,071,019 </w:t>
            </w:r>
          </w:p>
        </w:tc>
        <w:tc>
          <w:tcPr>
            <w:tcW w:w="642"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$19,</w:t>
            </w:r>
            <w:r>
              <w:rPr>
                <w:rFonts w:asciiTheme="majorBidi" w:eastAsia="Times New Roman" w:hAnsiTheme="majorBidi" w:cstheme="majorBidi"/>
                <w:color w:val="000000"/>
                <w:sz w:val="18"/>
                <w:szCs w:val="18"/>
              </w:rPr>
              <w:t>543,405</w:t>
            </w:r>
            <w:r w:rsidRPr="005E01D7">
              <w:rPr>
                <w:rFonts w:asciiTheme="majorBidi" w:eastAsia="Times New Roman" w:hAnsiTheme="majorBidi" w:cstheme="majorBidi"/>
                <w:color w:val="000000"/>
                <w:sz w:val="18"/>
                <w:szCs w:val="18"/>
              </w:rPr>
              <w:t xml:space="preserve"> </w:t>
            </w:r>
          </w:p>
        </w:tc>
        <w:tc>
          <w:tcPr>
            <w:tcW w:w="583" w:type="pct"/>
            <w:shd w:val="clear" w:color="auto" w:fill="auto"/>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$27,</w:t>
            </w:r>
            <w:r>
              <w:rPr>
                <w:rFonts w:asciiTheme="majorBidi" w:eastAsia="Times New Roman" w:hAnsiTheme="majorBidi" w:cstheme="majorBidi"/>
                <w:color w:val="000000"/>
                <w:sz w:val="18"/>
                <w:szCs w:val="18"/>
              </w:rPr>
              <w:t>981,242</w:t>
            </w:r>
            <w:r w:rsidRPr="005E01D7">
              <w:rPr>
                <w:rFonts w:asciiTheme="majorBidi" w:eastAsia="Times New Roman" w:hAnsiTheme="majorBidi" w:cstheme="majorBidi"/>
                <w:color w:val="000000"/>
                <w:sz w:val="18"/>
                <w:szCs w:val="18"/>
              </w:rPr>
              <w:t xml:space="preserve"> </w:t>
            </w:r>
          </w:p>
        </w:tc>
      </w:tr>
      <w:tr w:rsidR="00F57C07" w:rsidRPr="000B6C12" w:rsidTr="006B65BC">
        <w:trPr>
          <w:trHeight w:val="107"/>
        </w:trPr>
        <w:tc>
          <w:tcPr>
            <w:tcW w:w="514" w:type="pct"/>
            <w:shd w:val="clear" w:color="auto" w:fill="BFBFBF" w:themeFill="background1" w:themeFillShade="BF"/>
            <w:hideMark/>
          </w:tcPr>
          <w:p w:rsidR="00F57C07" w:rsidRDefault="00F57C07" w:rsidP="006B65BC">
            <w:pPr>
              <w:rPr>
                <w:rFonts w:asciiTheme="majorBidi" w:eastAsia="Times New Roman" w:hAnsiTheme="majorBidi" w:cstheme="majorBidi"/>
                <w:color w:val="000000"/>
                <w:sz w:val="18"/>
                <w:szCs w:val="18"/>
              </w:rPr>
            </w:pPr>
          </w:p>
        </w:tc>
        <w:tc>
          <w:tcPr>
            <w:tcW w:w="454" w:type="pct"/>
            <w:shd w:val="clear" w:color="auto" w:fill="BFBFBF" w:themeFill="background1" w:themeFillShade="BF"/>
            <w:hideMark/>
          </w:tcPr>
          <w:p w:rsidR="00F57C07" w:rsidRDefault="00F57C07" w:rsidP="006B65BC">
            <w:pPr>
              <w:jc w:val="right"/>
              <w:rPr>
                <w:rFonts w:asciiTheme="majorBidi" w:eastAsia="Times New Roman" w:hAnsiTheme="majorBidi" w:cstheme="majorBidi"/>
                <w:color w:val="000000"/>
                <w:sz w:val="18"/>
                <w:szCs w:val="18"/>
              </w:rPr>
            </w:pPr>
          </w:p>
        </w:tc>
        <w:tc>
          <w:tcPr>
            <w:tcW w:w="506" w:type="pct"/>
            <w:shd w:val="clear" w:color="auto" w:fill="BFBFBF" w:themeFill="background1" w:themeFillShade="BF"/>
            <w:hideMark/>
          </w:tcPr>
          <w:p w:rsidR="00F57C07" w:rsidRDefault="00F57C07" w:rsidP="006B65BC">
            <w:pPr>
              <w:jc w:val="right"/>
              <w:rPr>
                <w:rFonts w:asciiTheme="majorBidi" w:eastAsia="Times New Roman" w:hAnsiTheme="majorBidi" w:cstheme="majorBidi"/>
                <w:color w:val="000000"/>
                <w:sz w:val="18"/>
                <w:szCs w:val="18"/>
              </w:rPr>
            </w:pPr>
          </w:p>
        </w:tc>
        <w:tc>
          <w:tcPr>
            <w:tcW w:w="508" w:type="pct"/>
            <w:shd w:val="clear" w:color="auto" w:fill="BFBFBF" w:themeFill="background1" w:themeFillShade="BF"/>
            <w:hideMark/>
          </w:tcPr>
          <w:p w:rsidR="00F57C07" w:rsidRDefault="00F57C07" w:rsidP="006B65BC">
            <w:pPr>
              <w:jc w:val="right"/>
              <w:rPr>
                <w:rFonts w:asciiTheme="majorBidi" w:eastAsia="Times New Roman" w:hAnsiTheme="majorBidi" w:cstheme="majorBidi"/>
                <w:color w:val="000000"/>
                <w:sz w:val="18"/>
                <w:szCs w:val="18"/>
              </w:rPr>
            </w:pPr>
          </w:p>
        </w:tc>
        <w:tc>
          <w:tcPr>
            <w:tcW w:w="508" w:type="pct"/>
            <w:shd w:val="clear" w:color="auto" w:fill="BFBFBF" w:themeFill="background1" w:themeFillShade="BF"/>
            <w:hideMark/>
          </w:tcPr>
          <w:p w:rsidR="00F57C07" w:rsidRDefault="00F57C07" w:rsidP="006B65BC">
            <w:pPr>
              <w:jc w:val="right"/>
              <w:rPr>
                <w:rFonts w:asciiTheme="majorBidi" w:eastAsia="Times New Roman" w:hAnsiTheme="majorBidi" w:cstheme="majorBidi"/>
                <w:color w:val="000000"/>
                <w:sz w:val="18"/>
                <w:szCs w:val="18"/>
              </w:rPr>
            </w:pPr>
          </w:p>
        </w:tc>
        <w:tc>
          <w:tcPr>
            <w:tcW w:w="583" w:type="pct"/>
            <w:shd w:val="clear" w:color="auto" w:fill="BFBFBF" w:themeFill="background1" w:themeFillShade="BF"/>
            <w:hideMark/>
          </w:tcPr>
          <w:p w:rsidR="00F57C07" w:rsidRDefault="00F57C07" w:rsidP="006B65BC">
            <w:pPr>
              <w:jc w:val="right"/>
              <w:rPr>
                <w:rFonts w:asciiTheme="majorBidi" w:eastAsia="Times New Roman" w:hAnsiTheme="majorBidi" w:cstheme="majorBidi"/>
                <w:color w:val="000000"/>
                <w:sz w:val="18"/>
                <w:szCs w:val="18"/>
              </w:rPr>
            </w:pPr>
          </w:p>
        </w:tc>
        <w:tc>
          <w:tcPr>
            <w:tcW w:w="701" w:type="pct"/>
            <w:shd w:val="clear" w:color="auto" w:fill="BFBFBF" w:themeFill="background1" w:themeFillShade="BF"/>
            <w:hideMark/>
          </w:tcPr>
          <w:p w:rsidR="00F57C07" w:rsidRDefault="00F57C07" w:rsidP="006B65BC">
            <w:pPr>
              <w:jc w:val="right"/>
              <w:rPr>
                <w:rFonts w:asciiTheme="majorBidi" w:eastAsia="Times New Roman" w:hAnsiTheme="majorBidi" w:cstheme="majorBidi"/>
                <w:color w:val="000000"/>
                <w:sz w:val="18"/>
                <w:szCs w:val="18"/>
              </w:rPr>
            </w:pPr>
          </w:p>
        </w:tc>
        <w:tc>
          <w:tcPr>
            <w:tcW w:w="642" w:type="pct"/>
            <w:shd w:val="clear" w:color="auto" w:fill="BFBFBF" w:themeFill="background1" w:themeFillShade="BF"/>
            <w:hideMark/>
          </w:tcPr>
          <w:p w:rsidR="00F57C07" w:rsidRDefault="00F57C07" w:rsidP="006B65BC">
            <w:pPr>
              <w:jc w:val="right"/>
              <w:rPr>
                <w:rFonts w:asciiTheme="majorBidi" w:eastAsia="Times New Roman" w:hAnsiTheme="majorBidi" w:cstheme="majorBidi"/>
                <w:sz w:val="18"/>
                <w:szCs w:val="18"/>
              </w:rPr>
            </w:pPr>
          </w:p>
        </w:tc>
        <w:tc>
          <w:tcPr>
            <w:tcW w:w="583" w:type="pct"/>
            <w:shd w:val="clear" w:color="auto" w:fill="BFBFBF" w:themeFill="background1" w:themeFillShade="BF"/>
            <w:hideMark/>
          </w:tcPr>
          <w:p w:rsidR="00F57C07" w:rsidRDefault="00F57C07" w:rsidP="006B65BC">
            <w:pPr>
              <w:jc w:val="right"/>
              <w:rPr>
                <w:rFonts w:asciiTheme="majorBidi" w:eastAsia="Times New Roman" w:hAnsiTheme="majorBidi" w:cstheme="majorBidi"/>
                <w:color w:val="000000"/>
                <w:sz w:val="18"/>
                <w:szCs w:val="18"/>
              </w:rPr>
            </w:pPr>
          </w:p>
        </w:tc>
      </w:tr>
      <w:tr w:rsidR="00F57C07" w:rsidRPr="000B6C12" w:rsidTr="006B65BC">
        <w:trPr>
          <w:trHeight w:val="255"/>
        </w:trPr>
        <w:tc>
          <w:tcPr>
            <w:tcW w:w="514" w:type="pct"/>
            <w:shd w:val="clear" w:color="auto" w:fill="auto"/>
            <w:vAlign w:val="bottom"/>
            <w:hideMark/>
          </w:tcPr>
          <w:p w:rsidR="00F57C07" w:rsidRDefault="00F57C07" w:rsidP="006B65BC">
            <w:pPr>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TOTALS</w:t>
            </w:r>
          </w:p>
        </w:tc>
        <w:tc>
          <w:tcPr>
            <w:tcW w:w="454" w:type="pct"/>
            <w:shd w:val="clear" w:color="auto" w:fill="auto"/>
            <w:vAlign w:val="bottom"/>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$6</w:t>
            </w:r>
            <w:r>
              <w:rPr>
                <w:rFonts w:asciiTheme="majorBidi" w:eastAsia="Times New Roman" w:hAnsiTheme="majorBidi" w:cstheme="majorBidi"/>
                <w:color w:val="000000"/>
                <w:sz w:val="18"/>
                <w:szCs w:val="18"/>
              </w:rPr>
              <w:t>2</w:t>
            </w: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696</w:t>
            </w:r>
            <w:r w:rsidRPr="005E01D7">
              <w:rPr>
                <w:rFonts w:asciiTheme="majorBidi" w:eastAsia="Times New Roman" w:hAnsiTheme="majorBidi" w:cstheme="majorBidi"/>
                <w:color w:val="000000"/>
                <w:sz w:val="18"/>
                <w:szCs w:val="18"/>
              </w:rPr>
              <w:t xml:space="preserve"> </w:t>
            </w:r>
          </w:p>
        </w:tc>
        <w:tc>
          <w:tcPr>
            <w:tcW w:w="506" w:type="pct"/>
            <w:shd w:val="clear" w:color="auto" w:fill="auto"/>
            <w:vAlign w:val="bottom"/>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86</w:t>
            </w:r>
            <w:r w:rsidRPr="005E01D7">
              <w:rPr>
                <w:rFonts w:asciiTheme="majorBidi" w:eastAsia="Times New Roman" w:hAnsiTheme="majorBidi" w:cstheme="majorBidi"/>
                <w:color w:val="000000"/>
                <w:sz w:val="18"/>
                <w:szCs w:val="18"/>
              </w:rPr>
              <w:t>,0</w:t>
            </w:r>
            <w:r>
              <w:rPr>
                <w:rFonts w:asciiTheme="majorBidi" w:eastAsia="Times New Roman" w:hAnsiTheme="majorBidi" w:cstheme="majorBidi"/>
                <w:color w:val="000000"/>
                <w:sz w:val="18"/>
                <w:szCs w:val="18"/>
              </w:rPr>
              <w:t>33</w:t>
            </w:r>
            <w:r w:rsidRPr="005E01D7">
              <w:rPr>
                <w:rFonts w:asciiTheme="majorBidi" w:eastAsia="Times New Roman" w:hAnsiTheme="majorBidi" w:cstheme="majorBidi"/>
                <w:color w:val="000000"/>
                <w:sz w:val="18"/>
                <w:szCs w:val="18"/>
              </w:rPr>
              <w:t xml:space="preserve"> </w:t>
            </w:r>
          </w:p>
        </w:tc>
        <w:tc>
          <w:tcPr>
            <w:tcW w:w="50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$28</w:t>
            </w:r>
            <w:r>
              <w:rPr>
                <w:rFonts w:asciiTheme="majorBidi" w:eastAsia="Times New Roman" w:hAnsiTheme="majorBidi" w:cstheme="majorBidi"/>
                <w:color w:val="000000"/>
                <w:sz w:val="18"/>
                <w:szCs w:val="18"/>
              </w:rPr>
              <w:t>7</w:t>
            </w: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739</w:t>
            </w:r>
          </w:p>
        </w:tc>
        <w:tc>
          <w:tcPr>
            <w:tcW w:w="508" w:type="pct"/>
            <w:shd w:val="clear" w:color="auto" w:fill="auto"/>
            <w:vAlign w:val="bottom"/>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$4</w:t>
            </w:r>
            <w:r>
              <w:rPr>
                <w:rFonts w:asciiTheme="majorBidi" w:eastAsia="Times New Roman" w:hAnsiTheme="majorBidi" w:cstheme="majorBidi"/>
                <w:color w:val="000000"/>
                <w:sz w:val="18"/>
                <w:szCs w:val="18"/>
              </w:rPr>
              <w:t>36</w:t>
            </w: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46</w:t>
            </w:r>
            <w:r w:rsidRPr="005E01D7">
              <w:rPr>
                <w:rFonts w:asciiTheme="majorBidi" w:eastAsia="Times New Roman" w:hAnsiTheme="majorBidi" w:cstheme="majorBidi"/>
                <w:color w:val="000000"/>
                <w:sz w:val="18"/>
                <w:szCs w:val="18"/>
              </w:rPr>
              <w:t xml:space="preserve">8 </w:t>
            </w:r>
          </w:p>
        </w:tc>
        <w:tc>
          <w:tcPr>
            <w:tcW w:w="583" w:type="pct"/>
            <w:shd w:val="clear" w:color="auto" w:fill="auto"/>
            <w:vAlign w:val="bottom"/>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$1</w:t>
            </w:r>
            <w:r>
              <w:rPr>
                <w:rFonts w:asciiTheme="majorBidi" w:eastAsia="Times New Roman" w:hAnsiTheme="majorBidi" w:cstheme="majorBidi"/>
                <w:color w:val="000000"/>
                <w:sz w:val="18"/>
                <w:szCs w:val="18"/>
              </w:rPr>
              <w:t>1,107,029</w:t>
            </w:r>
            <w:r w:rsidRPr="005E01D7">
              <w:rPr>
                <w:rFonts w:asciiTheme="majorBidi" w:eastAsia="Times New Roman" w:hAnsiTheme="majorBidi" w:cstheme="majorBidi"/>
                <w:color w:val="000000"/>
                <w:sz w:val="18"/>
                <w:szCs w:val="18"/>
              </w:rPr>
              <w:t xml:space="preserve"> </w:t>
            </w:r>
          </w:p>
        </w:tc>
        <w:tc>
          <w:tcPr>
            <w:tcW w:w="701" w:type="pct"/>
            <w:shd w:val="clear" w:color="auto" w:fill="auto"/>
            <w:vAlign w:val="bottom"/>
            <w:hideMark/>
          </w:tcPr>
          <w:p w:rsidR="00F57C07" w:rsidRDefault="00F57C07" w:rsidP="006B65BC">
            <w:pPr>
              <w:jc w:val="right"/>
              <w:rPr>
                <w:rFonts w:asciiTheme="majorBidi" w:eastAsia="Times New Roman" w:hAnsiTheme="majorBidi" w:cstheme="majorBidi"/>
                <w:color w:val="000000"/>
                <w:sz w:val="18"/>
                <w:szCs w:val="18"/>
              </w:rPr>
            </w:pPr>
            <w:r w:rsidRPr="00AF3589">
              <w:rPr>
                <w:rFonts w:asciiTheme="majorBidi" w:eastAsia="Times New Roman" w:hAnsiTheme="majorBidi" w:cstheme="majorBidi"/>
                <w:color w:val="000000"/>
                <w:sz w:val="18"/>
                <w:szCs w:val="18"/>
              </w:rPr>
              <w:t>$17,076,178</w:t>
            </w:r>
          </w:p>
        </w:tc>
        <w:tc>
          <w:tcPr>
            <w:tcW w:w="642" w:type="pct"/>
            <w:shd w:val="clear" w:color="auto" w:fill="auto"/>
            <w:vAlign w:val="bottom"/>
            <w:hideMark/>
          </w:tcPr>
          <w:p w:rsidR="00F57C07" w:rsidRDefault="00F57C07" w:rsidP="006B65BC">
            <w:pPr>
              <w:jc w:val="right"/>
              <w:rPr>
                <w:rFonts w:asciiTheme="majorBidi" w:eastAsia="Times New Roman" w:hAnsiTheme="majorBidi" w:cstheme="majorBidi"/>
                <w:sz w:val="18"/>
                <w:szCs w:val="18"/>
              </w:rPr>
            </w:pPr>
            <w:r w:rsidRPr="005E01D7">
              <w:rPr>
                <w:rFonts w:asciiTheme="majorBidi" w:eastAsia="Times New Roman" w:hAnsiTheme="majorBidi" w:cstheme="majorBidi"/>
                <w:sz w:val="18"/>
                <w:szCs w:val="18"/>
              </w:rPr>
              <w:t>$4</w:t>
            </w:r>
            <w:r>
              <w:rPr>
                <w:rFonts w:asciiTheme="majorBidi" w:eastAsia="Times New Roman" w:hAnsiTheme="majorBidi" w:cstheme="majorBidi"/>
                <w:sz w:val="18"/>
                <w:szCs w:val="18"/>
              </w:rPr>
              <w:t>8,356,239</w:t>
            </w:r>
            <w:r w:rsidRPr="005E01D7">
              <w:rPr>
                <w:rFonts w:asciiTheme="majorBidi" w:eastAsia="Times New Roman" w:hAnsiTheme="majorBidi" w:cstheme="majorBidi"/>
                <w:sz w:val="18"/>
                <w:szCs w:val="18"/>
              </w:rPr>
              <w:t xml:space="preserve"> </w:t>
            </w:r>
          </w:p>
        </w:tc>
        <w:tc>
          <w:tcPr>
            <w:tcW w:w="583" w:type="pct"/>
            <w:shd w:val="clear" w:color="auto" w:fill="auto"/>
            <w:vAlign w:val="bottom"/>
            <w:hideMark/>
          </w:tcPr>
          <w:p w:rsidR="00F57C07" w:rsidRDefault="00F57C07" w:rsidP="006B65BC">
            <w:pPr>
              <w:jc w:val="right"/>
              <w:rPr>
                <w:rFonts w:asciiTheme="majorBidi" w:eastAsia="Times New Roman" w:hAnsiTheme="majorBidi" w:cstheme="majorBidi"/>
                <w:color w:val="000000"/>
                <w:sz w:val="18"/>
                <w:szCs w:val="18"/>
              </w:rPr>
            </w:pPr>
            <w:r w:rsidRPr="005E01D7">
              <w:rPr>
                <w:rFonts w:asciiTheme="majorBidi" w:eastAsia="Times New Roman" w:hAnsiTheme="majorBidi" w:cstheme="majorBidi"/>
                <w:color w:val="000000"/>
                <w:sz w:val="18"/>
                <w:szCs w:val="18"/>
              </w:rPr>
              <w:t>$</w:t>
            </w:r>
            <w:r>
              <w:rPr>
                <w:rFonts w:asciiTheme="majorBidi" w:eastAsia="Times New Roman" w:hAnsiTheme="majorBidi" w:cstheme="majorBidi"/>
                <w:color w:val="000000"/>
                <w:sz w:val="18"/>
                <w:szCs w:val="18"/>
              </w:rPr>
              <w:t>76,539,446</w:t>
            </w:r>
            <w:r w:rsidRPr="005E01D7">
              <w:rPr>
                <w:rFonts w:asciiTheme="majorBidi" w:eastAsia="Times New Roman" w:hAnsiTheme="majorBidi" w:cstheme="majorBidi"/>
                <w:color w:val="000000"/>
                <w:sz w:val="18"/>
                <w:szCs w:val="18"/>
              </w:rPr>
              <w:t xml:space="preserve"> </w:t>
            </w:r>
          </w:p>
        </w:tc>
      </w:tr>
    </w:tbl>
    <w:p w:rsidR="00F57C07" w:rsidRDefault="00F57C07" w:rsidP="00F57C07">
      <w:pPr>
        <w:spacing w:line="360" w:lineRule="auto"/>
        <w:rPr>
          <w:rFonts w:asciiTheme="majorBidi" w:hAnsiTheme="majorBidi" w:cstheme="majorBidi"/>
          <w:i/>
          <w:iCs/>
          <w:szCs w:val="24"/>
        </w:rPr>
      </w:pPr>
    </w:p>
    <w:p w:rsidR="00F57C07" w:rsidRDefault="00F57C07" w:rsidP="00F57C07">
      <w:pPr>
        <w:spacing w:line="360" w:lineRule="auto"/>
        <w:rPr>
          <w:rFonts w:asciiTheme="majorBidi" w:hAnsiTheme="majorBidi" w:cstheme="majorBidi"/>
          <w:i/>
          <w:iCs/>
          <w:szCs w:val="24"/>
        </w:rPr>
      </w:pPr>
      <w:r w:rsidRPr="000D48D4">
        <w:rPr>
          <w:rFonts w:asciiTheme="majorBidi" w:hAnsiTheme="majorBidi" w:cstheme="majorBidi"/>
          <w:i/>
          <w:iCs/>
          <w:szCs w:val="24"/>
        </w:rPr>
        <w:t xml:space="preserve">(iv)  </w:t>
      </w:r>
      <w:r>
        <w:rPr>
          <w:rFonts w:asciiTheme="majorBidi" w:hAnsiTheme="majorBidi" w:cstheme="majorBidi"/>
          <w:i/>
          <w:iCs/>
          <w:szCs w:val="24"/>
        </w:rPr>
        <w:tab/>
      </w:r>
      <w:r w:rsidRPr="000D48D4">
        <w:rPr>
          <w:rFonts w:asciiTheme="majorBidi" w:hAnsiTheme="majorBidi" w:cstheme="majorBidi"/>
          <w:i/>
          <w:iCs/>
          <w:szCs w:val="24"/>
        </w:rPr>
        <w:t xml:space="preserve">Affirmative Defense/Root Cause Analysis/Malfunction Costs. </w:t>
      </w:r>
    </w:p>
    <w:p w:rsidR="00F57C07" w:rsidRDefault="00F57C07" w:rsidP="00BC4643">
      <w:pPr>
        <w:ind w:firstLine="720"/>
        <w:rPr>
          <w:rFonts w:asciiTheme="majorBidi" w:hAnsiTheme="majorBidi" w:cstheme="majorBidi"/>
          <w:szCs w:val="24"/>
        </w:rPr>
      </w:pPr>
      <w:r>
        <w:rPr>
          <w:rFonts w:asciiTheme="majorBidi" w:hAnsiTheme="majorBidi" w:cstheme="majorBidi"/>
          <w:szCs w:val="24"/>
        </w:rPr>
        <w:t xml:space="preserve">The </w:t>
      </w:r>
      <w:r w:rsidRPr="000D48D4">
        <w:rPr>
          <w:rFonts w:asciiTheme="majorBidi" w:hAnsiTheme="majorBidi" w:cstheme="majorBidi"/>
          <w:szCs w:val="24"/>
        </w:rPr>
        <w:t xml:space="preserve">EPA’s estimate for an affirmative defense and root cause analysis </w:t>
      </w:r>
      <w:r>
        <w:rPr>
          <w:rFonts w:asciiTheme="majorBidi" w:hAnsiTheme="majorBidi" w:cstheme="majorBidi"/>
          <w:szCs w:val="24"/>
        </w:rPr>
        <w:t xml:space="preserve">in Table 8 </w:t>
      </w:r>
      <w:r w:rsidRPr="000D48D4">
        <w:rPr>
          <w:rFonts w:asciiTheme="majorBidi" w:hAnsiTheme="majorBidi" w:cstheme="majorBidi"/>
          <w:szCs w:val="24"/>
        </w:rPr>
        <w:t>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w:t>
      </w:r>
    </w:p>
    <w:p w:rsidR="00F57C07" w:rsidRPr="000D48D4" w:rsidRDefault="00F57C07" w:rsidP="00BC4643">
      <w:pPr>
        <w:spacing w:before="240"/>
        <w:ind w:firstLine="720"/>
        <w:rPr>
          <w:rFonts w:asciiTheme="majorBidi" w:hAnsiTheme="majorBidi" w:cstheme="majorBidi"/>
          <w:szCs w:val="24"/>
        </w:rPr>
      </w:pPr>
      <w:r>
        <w:rPr>
          <w:rFonts w:asciiTheme="majorBidi" w:hAnsiTheme="majorBidi" w:cstheme="majorBidi"/>
          <w:szCs w:val="24"/>
        </w:rPr>
        <w:t xml:space="preserve">The labor rates used for these costs are </w:t>
      </w:r>
      <w:r w:rsidRPr="0050750E">
        <w:rPr>
          <w:rFonts w:asciiTheme="majorBidi" w:hAnsiTheme="majorBidi" w:cstheme="majorBidi"/>
          <w:szCs w:val="24"/>
        </w:rPr>
        <w:t>from the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w:t>
      </w:r>
      <w:r>
        <w:rPr>
          <w:rFonts w:asciiTheme="majorBidi" w:hAnsiTheme="majorBidi" w:cstheme="majorBidi"/>
          <w:szCs w:val="24"/>
        </w:rPr>
        <w:t>.</w:t>
      </w:r>
    </w:p>
    <w:p w:rsidR="00F57C07" w:rsidRPr="000D48D4" w:rsidRDefault="00F57C07" w:rsidP="00F57C07">
      <w:pPr>
        <w:spacing w:before="240" w:line="360" w:lineRule="auto"/>
        <w:rPr>
          <w:rFonts w:asciiTheme="majorBidi" w:hAnsiTheme="majorBidi" w:cstheme="majorBidi"/>
          <w:b/>
          <w:bCs/>
          <w:szCs w:val="24"/>
        </w:rPr>
      </w:pPr>
      <w:r w:rsidRPr="000D48D4">
        <w:rPr>
          <w:rFonts w:asciiTheme="majorBidi" w:hAnsiTheme="majorBidi" w:cstheme="majorBidi"/>
          <w:b/>
          <w:bCs/>
          <w:szCs w:val="24"/>
        </w:rPr>
        <w:t>Table 8. Burden Associated with Performing an Affirmative Defense</w:t>
      </w:r>
    </w:p>
    <w:tbl>
      <w:tblPr>
        <w:tblW w:w="9555" w:type="dxa"/>
        <w:tblInd w:w="93" w:type="dxa"/>
        <w:tblLook w:val="04A0"/>
      </w:tblPr>
      <w:tblGrid>
        <w:gridCol w:w="2161"/>
        <w:gridCol w:w="1454"/>
        <w:gridCol w:w="1649"/>
        <w:gridCol w:w="1231"/>
        <w:gridCol w:w="1620"/>
        <w:gridCol w:w="1440"/>
      </w:tblGrid>
      <w:tr w:rsidR="00F57C07" w:rsidRPr="006C76C5" w:rsidTr="006B65BC">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b/>
                <w:bCs/>
                <w:sz w:val="20"/>
                <w:szCs w:val="18"/>
              </w:rPr>
            </w:pPr>
            <w:r w:rsidRPr="006C76C5">
              <w:rPr>
                <w:rFonts w:asciiTheme="majorBidi" w:hAnsiTheme="majorBidi" w:cstheme="majorBidi"/>
                <w:b/>
                <w:bCs/>
                <w:sz w:val="20"/>
                <w:szCs w:val="18"/>
              </w:rPr>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Total</w:t>
            </w:r>
          </w:p>
        </w:tc>
      </w:tr>
      <w:tr w:rsidR="00F57C07" w:rsidRPr="006C76C5" w:rsidTr="006B65BC">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Technical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3</w:t>
            </w:r>
          </w:p>
        </w:tc>
        <w:tc>
          <w:tcPr>
            <w:tcW w:w="1649"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6</w:t>
            </w:r>
          </w:p>
        </w:tc>
        <w:tc>
          <w:tcPr>
            <w:tcW w:w="1231"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18</w:t>
            </w:r>
          </w:p>
        </w:tc>
        <w:tc>
          <w:tcPr>
            <w:tcW w:w="1620" w:type="dxa"/>
            <w:tcBorders>
              <w:top w:val="nil"/>
              <w:left w:val="nil"/>
              <w:bottom w:val="single" w:sz="4" w:space="0" w:color="auto"/>
              <w:right w:val="single" w:sz="4" w:space="0" w:color="auto"/>
            </w:tcBorders>
            <w:shd w:val="clear" w:color="auto" w:fill="auto"/>
            <w:noWrap/>
            <w:vAlign w:val="center"/>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97.59</w:t>
            </w:r>
          </w:p>
        </w:tc>
        <w:tc>
          <w:tcPr>
            <w:tcW w:w="1440"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1,757</w:t>
            </w:r>
          </w:p>
        </w:tc>
      </w:tr>
      <w:tr w:rsidR="00F57C07" w:rsidRPr="006C76C5" w:rsidTr="006B65BC">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Managerial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2</w:t>
            </w:r>
          </w:p>
        </w:tc>
        <w:tc>
          <w:tcPr>
            <w:tcW w:w="1649"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6</w:t>
            </w:r>
          </w:p>
        </w:tc>
        <w:tc>
          <w:tcPr>
            <w:tcW w:w="1231"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12</w:t>
            </w:r>
          </w:p>
        </w:tc>
        <w:tc>
          <w:tcPr>
            <w:tcW w:w="1620" w:type="dxa"/>
            <w:tcBorders>
              <w:top w:val="nil"/>
              <w:left w:val="nil"/>
              <w:bottom w:val="single" w:sz="4" w:space="0" w:color="auto"/>
              <w:right w:val="single" w:sz="4" w:space="0" w:color="auto"/>
            </w:tcBorders>
            <w:shd w:val="clear" w:color="auto" w:fill="auto"/>
            <w:noWrap/>
            <w:vAlign w:val="center"/>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114.77</w:t>
            </w:r>
          </w:p>
        </w:tc>
        <w:tc>
          <w:tcPr>
            <w:tcW w:w="1440"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1,377</w:t>
            </w:r>
          </w:p>
        </w:tc>
      </w:tr>
      <w:tr w:rsidR="00F57C07" w:rsidRPr="006C76C5" w:rsidTr="006B65BC">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5</w:t>
            </w:r>
          </w:p>
        </w:tc>
        <w:tc>
          <w:tcPr>
            <w:tcW w:w="1649"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w:t>
            </w:r>
          </w:p>
        </w:tc>
        <w:tc>
          <w:tcPr>
            <w:tcW w:w="1231"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30</w:t>
            </w:r>
          </w:p>
        </w:tc>
        <w:tc>
          <w:tcPr>
            <w:tcW w:w="1620" w:type="dxa"/>
            <w:tcBorders>
              <w:top w:val="nil"/>
              <w:left w:val="nil"/>
              <w:bottom w:val="single" w:sz="4" w:space="0" w:color="auto"/>
              <w:right w:val="single" w:sz="4" w:space="0" w:color="auto"/>
            </w:tcBorders>
            <w:shd w:val="clear" w:color="auto" w:fill="auto"/>
            <w:noWrap/>
            <w:vAlign w:val="center"/>
            <w:hideMark/>
          </w:tcPr>
          <w:p w:rsidR="00F57C07" w:rsidRPr="006C76C5" w:rsidRDefault="00F57C07" w:rsidP="006B65BC">
            <w:pPr>
              <w:jc w:val="center"/>
              <w:rPr>
                <w:rFonts w:asciiTheme="majorBidi" w:hAnsiTheme="majorBidi" w:cstheme="majorBidi"/>
                <w:sz w:val="20"/>
                <w:szCs w:val="18"/>
              </w:rPr>
            </w:pPr>
          </w:p>
        </w:tc>
        <w:tc>
          <w:tcPr>
            <w:tcW w:w="1440"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xml:space="preserve"> $   3,134</w:t>
            </w:r>
          </w:p>
        </w:tc>
      </w:tr>
    </w:tbl>
    <w:p w:rsidR="00F57C07" w:rsidRPr="000D48D4" w:rsidRDefault="00F57C07" w:rsidP="00F57C07">
      <w:pPr>
        <w:spacing w:line="360" w:lineRule="auto"/>
        <w:rPr>
          <w:rFonts w:asciiTheme="majorBidi" w:hAnsiTheme="majorBidi" w:cstheme="majorBidi"/>
          <w:szCs w:val="24"/>
        </w:rPr>
      </w:pPr>
    </w:p>
    <w:p w:rsidR="00F57C07" w:rsidRDefault="00F57C07" w:rsidP="00F57C07">
      <w:pPr>
        <w:pStyle w:val="Heading2"/>
        <w:rPr>
          <w:i/>
          <w:iCs w:val="0"/>
        </w:rPr>
      </w:pPr>
      <w:r w:rsidRPr="00862539">
        <w:rPr>
          <w:rFonts w:asciiTheme="majorBidi" w:hAnsiTheme="majorBidi" w:cstheme="majorBidi"/>
          <w:i/>
          <w:iCs w:val="0"/>
        </w:rPr>
        <w:t xml:space="preserve"> (v)</w:t>
      </w:r>
      <w:r w:rsidRPr="00862539">
        <w:rPr>
          <w:rFonts w:asciiTheme="majorBidi" w:hAnsiTheme="majorBidi" w:cstheme="majorBidi"/>
          <w:i/>
          <w:iCs w:val="0"/>
        </w:rPr>
        <w:tab/>
        <w:t>Annualizing Capital Costs</w:t>
      </w:r>
    </w:p>
    <w:p w:rsidR="00F57C07" w:rsidRDefault="00F57C07" w:rsidP="00F57C07">
      <w:pPr>
        <w:pStyle w:val="Para"/>
        <w:rPr>
          <w:rFonts w:ascii="Times New Roman" w:hAnsi="Times New Roman"/>
        </w:rPr>
      </w:pPr>
      <w:r>
        <w:rPr>
          <w:rFonts w:ascii="Times New Roman" w:hAnsi="Times New Roman"/>
        </w:rPr>
        <w:t>Under this memo, the annualized capital costs are included in the costs of the performance tests and CEMS (see explanation in Section 6(b)(</w:t>
      </w:r>
      <w:r w:rsidRPr="000E0122">
        <w:rPr>
          <w:rFonts w:ascii="Times New Roman" w:hAnsi="Times New Roman"/>
          <w:i/>
          <w:iCs/>
        </w:rPr>
        <w:t>ii</w:t>
      </w:r>
      <w:r>
        <w:rPr>
          <w:rFonts w:ascii="Times New Roman" w:hAnsi="Times New Roman"/>
        </w:rPr>
        <w:t xml:space="preserve">)). </w:t>
      </w:r>
      <w:r w:rsidRPr="000E0122">
        <w:rPr>
          <w:rFonts w:ascii="Times New Roman" w:hAnsi="Times New Roman"/>
        </w:rPr>
        <w:t xml:space="preserve">The annualized capital costs total </w:t>
      </w:r>
      <w:r w:rsidRPr="00017867">
        <w:rPr>
          <w:rFonts w:ascii="Times New Roman" w:hAnsi="Times New Roman"/>
        </w:rPr>
        <w:t>$8</w:t>
      </w:r>
      <w:r>
        <w:rPr>
          <w:rFonts w:ascii="Times New Roman" w:hAnsi="Times New Roman"/>
        </w:rPr>
        <w:t>1,906,079</w:t>
      </w:r>
      <w:r w:rsidRPr="005E01D7">
        <w:rPr>
          <w:rFonts w:ascii="Times New Roman" w:hAnsi="Times New Roman"/>
        </w:rPr>
        <w:t>.</w:t>
      </w:r>
    </w:p>
    <w:p w:rsidR="00F57C07" w:rsidRPr="0068644D" w:rsidRDefault="00F57C07" w:rsidP="00F57C07">
      <w:pPr>
        <w:pStyle w:val="Heading2"/>
        <w:ind w:left="0" w:firstLine="0"/>
        <w:rPr>
          <w:i/>
          <w:iCs w:val="0"/>
        </w:rPr>
      </w:pPr>
      <w:r w:rsidRPr="0068644D">
        <w:rPr>
          <w:i/>
          <w:iCs w:val="0"/>
        </w:rPr>
        <w:t>(c)</w:t>
      </w:r>
      <w:r w:rsidRPr="0068644D">
        <w:rPr>
          <w:i/>
          <w:iCs w:val="0"/>
        </w:rPr>
        <w:tab/>
        <w:t>Estimating Agency Burden and Cost</w:t>
      </w:r>
    </w:p>
    <w:p w:rsidR="00F57C07" w:rsidRDefault="00F57C07" w:rsidP="00F57C07">
      <w:pPr>
        <w:pStyle w:val="Para"/>
        <w:spacing w:after="0"/>
        <w:rPr>
          <w:rFonts w:ascii="Times New Roman" w:hAnsi="Times New Roman"/>
          <w:highlight w:val="green"/>
        </w:rPr>
      </w:pPr>
      <w:r w:rsidRPr="007C7E34">
        <w:rPr>
          <w:rFonts w:ascii="Times New Roman" w:hAnsi="Times New Roman"/>
        </w:rPr>
        <w:t>Because the information collection requirements were developed as an incidental part of standards development, no costs can be attributed to the development of the information collection requirements</w:t>
      </w:r>
      <w:r>
        <w:rPr>
          <w:rFonts w:ascii="Times New Roman" w:hAnsi="Times New Roman"/>
        </w:rPr>
        <w:t xml:space="preserve">. </w:t>
      </w:r>
      <w:r w:rsidRPr="007C7E34">
        <w:rPr>
          <w:rFonts w:ascii="Times New Roman" w:hAnsi="Times New Roman"/>
        </w:rPr>
        <w:t xml:space="preserve">Because reporting and recordkeeping requirements on the part of the </w:t>
      </w:r>
      <w:r w:rsidRPr="007C7E34">
        <w:rPr>
          <w:rFonts w:ascii="Times New Roman" w:hAnsi="Times New Roman"/>
        </w:rPr>
        <w:lastRenderedPageBreak/>
        <w:t>respondents are required under the NESHAP General Provisions, no operational costs will be incurred by the Federal Government</w:t>
      </w:r>
      <w:r>
        <w:rPr>
          <w:rFonts w:ascii="Times New Roman" w:hAnsi="Times New Roman"/>
        </w:rPr>
        <w:t xml:space="preserve">. </w:t>
      </w:r>
      <w:r w:rsidRPr="007C7E34">
        <w:rPr>
          <w:rFonts w:ascii="Times New Roman" w:hAnsi="Times New Roman"/>
        </w:rPr>
        <w:t>Publication and distribution of the information are part of the Compliance Data System, with the result that no Federal costs can be directly attributed to the ICR</w:t>
      </w:r>
      <w:r>
        <w:rPr>
          <w:rFonts w:ascii="Times New Roman" w:hAnsi="Times New Roman"/>
        </w:rPr>
        <w:t xml:space="preserve">. </w:t>
      </w:r>
      <w:r w:rsidRPr="007C7E34">
        <w:rPr>
          <w:rFonts w:ascii="Times New Roman" w:hAnsi="Times New Roman"/>
        </w:rPr>
        <w:t xml:space="preserve">Examination of records to be maintained by the respondents will occur incidentally as part of the periodic inspection of sources that is part of EPA's overall compliance and enforcement program, and, therefore, is not attributable to the ICR. The only costs that the Federal government will incur are user costs associated with the analysis of the reported information, as presented in </w:t>
      </w:r>
      <w:r>
        <w:rPr>
          <w:rFonts w:ascii="Times New Roman" w:hAnsi="Times New Roman"/>
        </w:rPr>
        <w:t>Exhibit</w:t>
      </w:r>
      <w:r w:rsidRPr="007C7E34">
        <w:rPr>
          <w:rFonts w:ascii="Times New Roman" w:hAnsi="Times New Roman"/>
        </w:rPr>
        <w:t xml:space="preserve"> 2a, </w:t>
      </w:r>
      <w:r>
        <w:rPr>
          <w:rFonts w:ascii="Times New Roman" w:hAnsi="Times New Roman"/>
        </w:rPr>
        <w:t xml:space="preserve">Exhibit </w:t>
      </w:r>
      <w:r w:rsidRPr="007C7E34">
        <w:rPr>
          <w:rFonts w:ascii="Times New Roman" w:hAnsi="Times New Roman"/>
        </w:rPr>
        <w:t xml:space="preserve">2b, and </w:t>
      </w:r>
      <w:r>
        <w:rPr>
          <w:rFonts w:ascii="Times New Roman" w:hAnsi="Times New Roman"/>
        </w:rPr>
        <w:t xml:space="preserve">Exhibit </w:t>
      </w:r>
      <w:r w:rsidRPr="007C7E34">
        <w:rPr>
          <w:rFonts w:ascii="Times New Roman" w:hAnsi="Times New Roman"/>
        </w:rPr>
        <w:t>2c</w:t>
      </w:r>
      <w:r>
        <w:rPr>
          <w:rFonts w:ascii="Times New Roman" w:hAnsi="Times New Roman"/>
        </w:rPr>
        <w:t xml:space="preserve">. </w:t>
      </w:r>
      <w:r w:rsidRPr="005E01D7">
        <w:rPr>
          <w:rFonts w:ascii="Times New Roman" w:hAnsi="Times New Roman"/>
        </w:rPr>
        <w:t>Table</w:t>
      </w:r>
      <w:r w:rsidRPr="008403BE">
        <w:rPr>
          <w:rFonts w:ascii="Times New Roman" w:hAnsi="Times New Roman"/>
        </w:rPr>
        <w:t> </w:t>
      </w:r>
      <w:r>
        <w:rPr>
          <w:rFonts w:ascii="Times New Roman" w:hAnsi="Times New Roman"/>
        </w:rPr>
        <w:t>8</w:t>
      </w:r>
      <w:r w:rsidRPr="007C7E34">
        <w:rPr>
          <w:rFonts w:ascii="Times New Roman" w:hAnsi="Times New Roman"/>
        </w:rPr>
        <w:t xml:space="preserve"> contains a summary of the agency burden costs and hou</w:t>
      </w:r>
      <w:r>
        <w:rPr>
          <w:rFonts w:ascii="Times New Roman" w:hAnsi="Times New Roman"/>
        </w:rPr>
        <w:t>r</w:t>
      </w:r>
      <w:r w:rsidRPr="007C7E34">
        <w:rPr>
          <w:rFonts w:ascii="Times New Roman" w:hAnsi="Times New Roman"/>
        </w:rPr>
        <w:t xml:space="preserve">s detailed in </w:t>
      </w:r>
      <w:r>
        <w:rPr>
          <w:rFonts w:ascii="Times New Roman" w:hAnsi="Times New Roman"/>
        </w:rPr>
        <w:t>Exhibit</w:t>
      </w:r>
      <w:r w:rsidRPr="007C7E34">
        <w:rPr>
          <w:rFonts w:ascii="Times New Roman" w:hAnsi="Times New Roman"/>
        </w:rPr>
        <w:t xml:space="preserve"> 2a, </w:t>
      </w:r>
      <w:r>
        <w:rPr>
          <w:rFonts w:ascii="Times New Roman" w:hAnsi="Times New Roman"/>
        </w:rPr>
        <w:t xml:space="preserve">Exhibit </w:t>
      </w:r>
      <w:r w:rsidRPr="007C7E34">
        <w:rPr>
          <w:rFonts w:ascii="Times New Roman" w:hAnsi="Times New Roman"/>
        </w:rPr>
        <w:t xml:space="preserve">2b, </w:t>
      </w:r>
      <w:r w:rsidRPr="00921989">
        <w:rPr>
          <w:rFonts w:ascii="Times New Roman" w:hAnsi="Times New Roman"/>
        </w:rPr>
        <w:t xml:space="preserve">and </w:t>
      </w:r>
      <w:r>
        <w:rPr>
          <w:rFonts w:ascii="Times New Roman" w:hAnsi="Times New Roman"/>
        </w:rPr>
        <w:t xml:space="preserve">Exhibit </w:t>
      </w:r>
      <w:r w:rsidRPr="00921989">
        <w:rPr>
          <w:rFonts w:ascii="Times New Roman" w:hAnsi="Times New Roman"/>
        </w:rPr>
        <w:t>2c</w:t>
      </w:r>
      <w:r>
        <w:rPr>
          <w:rFonts w:ascii="Times New Roman" w:hAnsi="Times New Roman"/>
        </w:rPr>
        <w:t xml:space="preserve">. </w:t>
      </w:r>
      <w:r w:rsidRPr="00921989">
        <w:rPr>
          <w:rFonts w:ascii="Times New Roman" w:hAnsi="Times New Roman"/>
        </w:rPr>
        <w:t xml:space="preserve">The average annual </w:t>
      </w:r>
      <w:r w:rsidR="00BC4643">
        <w:rPr>
          <w:rFonts w:ascii="Times New Roman" w:hAnsi="Times New Roman"/>
        </w:rPr>
        <w:t>a</w:t>
      </w:r>
      <w:r w:rsidRPr="00921989">
        <w:rPr>
          <w:rFonts w:ascii="Times New Roman" w:hAnsi="Times New Roman"/>
        </w:rPr>
        <w:t xml:space="preserve">gency costs during the </w:t>
      </w:r>
      <w:r w:rsidR="00BC4643">
        <w:rPr>
          <w:rFonts w:ascii="Times New Roman" w:hAnsi="Times New Roman"/>
        </w:rPr>
        <w:t>3</w:t>
      </w:r>
      <w:r w:rsidRPr="00921989">
        <w:rPr>
          <w:rFonts w:ascii="Times New Roman" w:hAnsi="Times New Roman"/>
        </w:rPr>
        <w:t xml:space="preserve"> years of the ICR is estimated to </w:t>
      </w:r>
      <w:r w:rsidRPr="005E01D7">
        <w:rPr>
          <w:rFonts w:ascii="Times New Roman" w:hAnsi="Times New Roman"/>
        </w:rPr>
        <w:t>be $1,798,905.</w:t>
      </w:r>
    </w:p>
    <w:p w:rsidR="00F57C07" w:rsidRDefault="00F57C07" w:rsidP="00F57C07">
      <w:pPr>
        <w:pStyle w:val="ExhibitTitle"/>
        <w:keepNext/>
        <w:keepLines/>
        <w:spacing w:after="0"/>
        <w:rPr>
          <w:rFonts w:ascii="Times New Roman" w:hAnsi="Times New Roman"/>
        </w:rPr>
      </w:pPr>
    </w:p>
    <w:p w:rsidR="00F57C07" w:rsidRDefault="00F57C07" w:rsidP="00F57C07">
      <w:pPr>
        <w:pStyle w:val="ExhibitTitle"/>
        <w:keepNext/>
        <w:keepLines/>
        <w:spacing w:after="0"/>
        <w:rPr>
          <w:rFonts w:ascii="Times New Roman" w:hAnsi="Times New Roman"/>
        </w:rPr>
      </w:pPr>
      <w:r w:rsidRPr="005E01D7">
        <w:rPr>
          <w:rFonts w:ascii="Times New Roman" w:hAnsi="Times New Roman"/>
        </w:rPr>
        <w:t>Table</w:t>
      </w:r>
      <w:r w:rsidRPr="008403BE">
        <w:rPr>
          <w:rFonts w:ascii="Times New Roman" w:hAnsi="Times New Roman"/>
        </w:rPr>
        <w:t xml:space="preserve"> </w:t>
      </w:r>
      <w:r>
        <w:rPr>
          <w:rFonts w:ascii="Times New Roman" w:hAnsi="Times New Roman"/>
        </w:rPr>
        <w:t>8</w:t>
      </w:r>
      <w:r w:rsidRPr="008403BE">
        <w:rPr>
          <w:rFonts w:ascii="Times New Roman" w:hAnsi="Times New Roman"/>
        </w:rPr>
        <w:t>.</w:t>
      </w:r>
      <w:r w:rsidRPr="008403BE">
        <w:rPr>
          <w:rFonts w:ascii="Times New Roman" w:hAnsi="Times New Roman"/>
        </w:rPr>
        <w:tab/>
        <w:t>Summary</w:t>
      </w:r>
      <w:r w:rsidRPr="00921989">
        <w:rPr>
          <w:rFonts w:ascii="Times New Roman" w:hAnsi="Times New Roman"/>
        </w:rPr>
        <w:t xml:space="preserve"> of the Agency Burden</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8"/>
        <w:gridCol w:w="4134"/>
        <w:gridCol w:w="3297"/>
      </w:tblGrid>
      <w:tr w:rsidR="00F57C07" w:rsidRPr="00B47C5E" w:rsidTr="006B65BC">
        <w:trPr>
          <w:trHeight w:val="296"/>
        </w:trPr>
        <w:tc>
          <w:tcPr>
            <w:tcW w:w="1076" w:type="pct"/>
            <w:noWrap/>
            <w:hideMark/>
          </w:tcPr>
          <w:p w:rsidR="00F57C07" w:rsidRPr="00B47C5E" w:rsidRDefault="00F57C07" w:rsidP="006B65BC">
            <w:pPr>
              <w:pStyle w:val="TableHeader"/>
              <w:keepNext/>
              <w:keepLines/>
              <w:rPr>
                <w:rFonts w:ascii="Times New Roman" w:hAnsi="Times New Roman"/>
              </w:rPr>
            </w:pPr>
            <w:bookmarkStart w:id="0" w:name="RANGE!A1:C6"/>
            <w:r w:rsidRPr="00B47C5E">
              <w:rPr>
                <w:rFonts w:ascii="Times New Roman" w:hAnsi="Times New Roman"/>
              </w:rPr>
              <w:t>Year</w:t>
            </w:r>
            <w:bookmarkEnd w:id="0"/>
          </w:p>
        </w:tc>
        <w:tc>
          <w:tcPr>
            <w:tcW w:w="2183" w:type="pct"/>
            <w:hideMark/>
          </w:tcPr>
          <w:p w:rsidR="00F57C07" w:rsidRPr="00B47C5E" w:rsidRDefault="00F57C07" w:rsidP="006B65BC">
            <w:pPr>
              <w:pStyle w:val="TableHeader"/>
              <w:keepNext/>
              <w:keepLines/>
              <w:rPr>
                <w:rFonts w:ascii="Times New Roman" w:hAnsi="Times New Roman"/>
              </w:rPr>
            </w:pPr>
            <w:r w:rsidRPr="00B47C5E">
              <w:rPr>
                <w:rFonts w:ascii="Times New Roman" w:hAnsi="Times New Roman"/>
              </w:rPr>
              <w:t>Total Annual Labor Burden (Hours)</w:t>
            </w:r>
          </w:p>
        </w:tc>
        <w:tc>
          <w:tcPr>
            <w:tcW w:w="1741" w:type="pct"/>
            <w:hideMark/>
          </w:tcPr>
          <w:p w:rsidR="00F57C07" w:rsidRPr="00B47C5E" w:rsidRDefault="00F57C07" w:rsidP="006B65BC">
            <w:pPr>
              <w:pStyle w:val="TableHeader"/>
              <w:keepNext/>
              <w:keepLines/>
              <w:rPr>
                <w:rFonts w:ascii="Times New Roman" w:hAnsi="Times New Roman"/>
              </w:rPr>
            </w:pPr>
            <w:r w:rsidRPr="00B47C5E">
              <w:rPr>
                <w:rFonts w:ascii="Times New Roman" w:hAnsi="Times New Roman"/>
              </w:rPr>
              <w:t>Total Annual Costs ($)</w:t>
            </w:r>
          </w:p>
        </w:tc>
      </w:tr>
      <w:tr w:rsidR="00F57C07" w:rsidRPr="00B47C5E" w:rsidTr="006B65BC">
        <w:trPr>
          <w:trHeight w:val="300"/>
        </w:trPr>
        <w:tc>
          <w:tcPr>
            <w:tcW w:w="1076" w:type="pct"/>
            <w:noWrap/>
            <w:hideMark/>
          </w:tcPr>
          <w:p w:rsidR="00F57C07" w:rsidRPr="00B47C5E" w:rsidRDefault="00F57C07" w:rsidP="006B65BC">
            <w:pPr>
              <w:pStyle w:val="TableRow"/>
              <w:keepNext/>
              <w:keepLines/>
              <w:jc w:val="center"/>
              <w:rPr>
                <w:rFonts w:ascii="Times New Roman" w:hAnsi="Times New Roman"/>
              </w:rPr>
            </w:pPr>
            <w:r w:rsidRPr="00B47C5E">
              <w:rPr>
                <w:rFonts w:ascii="Times New Roman" w:hAnsi="Times New Roman"/>
              </w:rPr>
              <w:t>1</w:t>
            </w:r>
          </w:p>
        </w:tc>
        <w:tc>
          <w:tcPr>
            <w:tcW w:w="2183" w:type="pct"/>
            <w:noWrap/>
            <w:vAlign w:val="bottom"/>
            <w:hideMark/>
          </w:tcPr>
          <w:p w:rsidR="00F57C07" w:rsidRDefault="00F57C07" w:rsidP="006B65BC">
            <w:pPr>
              <w:jc w:val="right"/>
              <w:rPr>
                <w:rFonts w:ascii="Times New Roman" w:eastAsia="Times New Roman" w:hAnsi="Times New Roman"/>
                <w:color w:val="000000"/>
                <w:sz w:val="22"/>
                <w:szCs w:val="22"/>
              </w:rPr>
            </w:pPr>
            <w:r w:rsidRPr="005E01D7">
              <w:rPr>
                <w:rFonts w:ascii="Times New Roman" w:eastAsia="Times New Roman" w:hAnsi="Times New Roman"/>
                <w:color w:val="000000"/>
                <w:sz w:val="22"/>
                <w:szCs w:val="22"/>
              </w:rPr>
              <w:t>36,987</w:t>
            </w:r>
          </w:p>
        </w:tc>
        <w:tc>
          <w:tcPr>
            <w:tcW w:w="1741" w:type="pct"/>
            <w:noWrap/>
            <w:vAlign w:val="bottom"/>
            <w:hideMark/>
          </w:tcPr>
          <w:p w:rsidR="00F57C07" w:rsidRDefault="00F57C07" w:rsidP="006B65BC">
            <w:pPr>
              <w:jc w:val="right"/>
              <w:rPr>
                <w:rFonts w:ascii="Times New Roman" w:eastAsia="Times New Roman" w:hAnsi="Times New Roman"/>
                <w:color w:val="000000"/>
                <w:sz w:val="22"/>
                <w:szCs w:val="22"/>
              </w:rPr>
            </w:pPr>
            <w:r w:rsidRPr="005E01D7">
              <w:rPr>
                <w:rFonts w:ascii="Times New Roman" w:eastAsia="Times New Roman" w:hAnsi="Times New Roman"/>
                <w:color w:val="000000"/>
                <w:sz w:val="22"/>
                <w:szCs w:val="22"/>
              </w:rPr>
              <w:t>$1,798,905</w:t>
            </w:r>
          </w:p>
        </w:tc>
      </w:tr>
      <w:tr w:rsidR="00F57C07" w:rsidRPr="00B47C5E" w:rsidTr="006B65BC">
        <w:trPr>
          <w:trHeight w:val="300"/>
        </w:trPr>
        <w:tc>
          <w:tcPr>
            <w:tcW w:w="1076" w:type="pct"/>
            <w:noWrap/>
            <w:hideMark/>
          </w:tcPr>
          <w:p w:rsidR="00F57C07" w:rsidRPr="00B47C5E" w:rsidRDefault="00F57C07" w:rsidP="006B65BC">
            <w:pPr>
              <w:pStyle w:val="TableRow"/>
              <w:keepNext/>
              <w:keepLines/>
              <w:jc w:val="center"/>
              <w:rPr>
                <w:rFonts w:ascii="Times New Roman" w:hAnsi="Times New Roman"/>
              </w:rPr>
            </w:pPr>
            <w:r w:rsidRPr="00B47C5E">
              <w:rPr>
                <w:rFonts w:ascii="Times New Roman" w:hAnsi="Times New Roman"/>
              </w:rPr>
              <w:t>2</w:t>
            </w:r>
          </w:p>
        </w:tc>
        <w:tc>
          <w:tcPr>
            <w:tcW w:w="2183" w:type="pct"/>
            <w:noWrap/>
            <w:vAlign w:val="bottom"/>
            <w:hideMark/>
          </w:tcPr>
          <w:p w:rsidR="00F57C07" w:rsidRDefault="00F57C07" w:rsidP="006B65BC">
            <w:pPr>
              <w:jc w:val="right"/>
              <w:rPr>
                <w:rFonts w:ascii="Times New Roman" w:eastAsia="Times New Roman" w:hAnsi="Times New Roman"/>
                <w:color w:val="000000"/>
                <w:sz w:val="22"/>
                <w:szCs w:val="22"/>
              </w:rPr>
            </w:pPr>
            <w:r w:rsidRPr="00017867">
              <w:rPr>
                <w:rFonts w:ascii="Times New Roman" w:eastAsia="Times New Roman" w:hAnsi="Times New Roman"/>
                <w:color w:val="000000"/>
                <w:sz w:val="22"/>
                <w:szCs w:val="22"/>
              </w:rPr>
              <w:t>36,987</w:t>
            </w:r>
          </w:p>
        </w:tc>
        <w:tc>
          <w:tcPr>
            <w:tcW w:w="1741" w:type="pct"/>
            <w:noWrap/>
            <w:vAlign w:val="bottom"/>
            <w:hideMark/>
          </w:tcPr>
          <w:p w:rsidR="00F57C07" w:rsidRDefault="00F57C07" w:rsidP="006B65BC">
            <w:pPr>
              <w:jc w:val="right"/>
              <w:rPr>
                <w:rFonts w:ascii="Times New Roman" w:eastAsia="Times New Roman" w:hAnsi="Times New Roman"/>
                <w:color w:val="000000"/>
                <w:sz w:val="22"/>
                <w:szCs w:val="22"/>
              </w:rPr>
            </w:pPr>
            <w:r w:rsidRPr="00017867">
              <w:rPr>
                <w:rFonts w:ascii="Times New Roman" w:eastAsia="Times New Roman" w:hAnsi="Times New Roman"/>
                <w:color w:val="000000"/>
                <w:sz w:val="22"/>
                <w:szCs w:val="22"/>
              </w:rPr>
              <w:t>$1,798,905</w:t>
            </w:r>
          </w:p>
        </w:tc>
      </w:tr>
      <w:tr w:rsidR="00F57C07" w:rsidRPr="00B47C5E" w:rsidTr="006B65BC">
        <w:trPr>
          <w:trHeight w:val="300"/>
        </w:trPr>
        <w:tc>
          <w:tcPr>
            <w:tcW w:w="1076" w:type="pct"/>
            <w:noWrap/>
            <w:hideMark/>
          </w:tcPr>
          <w:p w:rsidR="00F57C07" w:rsidRPr="00B47C5E" w:rsidRDefault="00F57C07" w:rsidP="006B65BC">
            <w:pPr>
              <w:pStyle w:val="TableRow"/>
              <w:keepNext/>
              <w:keepLines/>
              <w:jc w:val="center"/>
              <w:rPr>
                <w:rFonts w:ascii="Times New Roman" w:hAnsi="Times New Roman"/>
              </w:rPr>
            </w:pPr>
            <w:r w:rsidRPr="00B47C5E">
              <w:rPr>
                <w:rFonts w:ascii="Times New Roman" w:hAnsi="Times New Roman"/>
              </w:rPr>
              <w:t>3</w:t>
            </w:r>
          </w:p>
        </w:tc>
        <w:tc>
          <w:tcPr>
            <w:tcW w:w="2183" w:type="pct"/>
            <w:noWrap/>
            <w:vAlign w:val="bottom"/>
            <w:hideMark/>
          </w:tcPr>
          <w:p w:rsidR="00F57C07" w:rsidRDefault="00F57C07" w:rsidP="006B65BC">
            <w:pPr>
              <w:jc w:val="right"/>
              <w:rPr>
                <w:rFonts w:ascii="Times New Roman" w:eastAsia="Times New Roman" w:hAnsi="Times New Roman"/>
                <w:color w:val="000000"/>
                <w:sz w:val="22"/>
                <w:szCs w:val="22"/>
              </w:rPr>
            </w:pPr>
            <w:r w:rsidRPr="00017867">
              <w:rPr>
                <w:rFonts w:ascii="Times New Roman" w:eastAsia="Times New Roman" w:hAnsi="Times New Roman"/>
                <w:color w:val="000000"/>
                <w:sz w:val="22"/>
                <w:szCs w:val="22"/>
              </w:rPr>
              <w:t>36,987</w:t>
            </w:r>
          </w:p>
        </w:tc>
        <w:tc>
          <w:tcPr>
            <w:tcW w:w="1741" w:type="pct"/>
            <w:noWrap/>
            <w:vAlign w:val="bottom"/>
            <w:hideMark/>
          </w:tcPr>
          <w:p w:rsidR="00F57C07" w:rsidRDefault="00F57C07" w:rsidP="006B65BC">
            <w:pPr>
              <w:jc w:val="right"/>
              <w:rPr>
                <w:rFonts w:ascii="Times New Roman" w:eastAsia="Times New Roman" w:hAnsi="Times New Roman"/>
                <w:color w:val="000000"/>
                <w:sz w:val="22"/>
                <w:szCs w:val="22"/>
              </w:rPr>
            </w:pPr>
            <w:r w:rsidRPr="00017867">
              <w:rPr>
                <w:rFonts w:ascii="Times New Roman" w:eastAsia="Times New Roman" w:hAnsi="Times New Roman"/>
                <w:color w:val="000000"/>
                <w:sz w:val="22"/>
                <w:szCs w:val="22"/>
              </w:rPr>
              <w:t>$1,798,905</w:t>
            </w:r>
          </w:p>
        </w:tc>
      </w:tr>
      <w:tr w:rsidR="00F57C07" w:rsidRPr="00B47C5E" w:rsidTr="006B65BC">
        <w:trPr>
          <w:trHeight w:val="300"/>
        </w:trPr>
        <w:tc>
          <w:tcPr>
            <w:tcW w:w="1076" w:type="pct"/>
            <w:noWrap/>
            <w:hideMark/>
          </w:tcPr>
          <w:p w:rsidR="00F57C07" w:rsidRPr="00B47C5E" w:rsidRDefault="00F57C07" w:rsidP="006B65BC">
            <w:pPr>
              <w:pStyle w:val="TableRow"/>
              <w:keepNext/>
              <w:keepLines/>
              <w:jc w:val="center"/>
              <w:rPr>
                <w:rFonts w:ascii="Times New Roman" w:hAnsi="Times New Roman"/>
              </w:rPr>
            </w:pPr>
            <w:r w:rsidRPr="00B47C5E">
              <w:rPr>
                <w:rFonts w:ascii="Times New Roman" w:hAnsi="Times New Roman"/>
              </w:rPr>
              <w:t>Total</w:t>
            </w:r>
          </w:p>
        </w:tc>
        <w:tc>
          <w:tcPr>
            <w:tcW w:w="2183" w:type="pct"/>
            <w:noWrap/>
            <w:vAlign w:val="bottom"/>
            <w:hideMark/>
          </w:tcPr>
          <w:p w:rsidR="00F57C07" w:rsidRDefault="00F57C07" w:rsidP="006B65BC">
            <w:pPr>
              <w:jc w:val="right"/>
              <w:rPr>
                <w:rFonts w:ascii="Times New Roman" w:eastAsia="Times New Roman" w:hAnsi="Times New Roman"/>
                <w:color w:val="000000"/>
                <w:sz w:val="22"/>
                <w:szCs w:val="22"/>
              </w:rPr>
            </w:pPr>
            <w:r w:rsidRPr="005E01D7">
              <w:rPr>
                <w:rFonts w:ascii="Times New Roman" w:eastAsia="Times New Roman" w:hAnsi="Times New Roman"/>
                <w:color w:val="000000"/>
                <w:sz w:val="22"/>
                <w:szCs w:val="22"/>
              </w:rPr>
              <w:t>110</w:t>
            </w:r>
            <w:r>
              <w:rPr>
                <w:rFonts w:ascii="Times New Roman" w:eastAsia="Times New Roman" w:hAnsi="Times New Roman"/>
                <w:color w:val="000000"/>
                <w:sz w:val="22"/>
                <w:szCs w:val="22"/>
              </w:rPr>
              <w:t>,</w:t>
            </w:r>
            <w:r w:rsidRPr="005E01D7">
              <w:rPr>
                <w:rFonts w:ascii="Times New Roman" w:eastAsia="Times New Roman" w:hAnsi="Times New Roman"/>
                <w:color w:val="000000"/>
                <w:sz w:val="22"/>
                <w:szCs w:val="22"/>
              </w:rPr>
              <w:t>960</w:t>
            </w:r>
          </w:p>
        </w:tc>
        <w:tc>
          <w:tcPr>
            <w:tcW w:w="1741" w:type="pct"/>
            <w:noWrap/>
            <w:vAlign w:val="bottom"/>
            <w:hideMark/>
          </w:tcPr>
          <w:p w:rsidR="00F57C07" w:rsidRDefault="00F57C07" w:rsidP="006B65BC">
            <w:pPr>
              <w:jc w:val="right"/>
              <w:rPr>
                <w:rFonts w:ascii="Times New Roman" w:eastAsia="Times New Roman" w:hAnsi="Times New Roman"/>
                <w:color w:val="000000"/>
                <w:sz w:val="22"/>
                <w:szCs w:val="22"/>
              </w:rPr>
            </w:pPr>
            <w:r w:rsidRPr="005E01D7">
              <w:rPr>
                <w:rFonts w:ascii="Times New Roman" w:eastAsia="Times New Roman" w:hAnsi="Times New Roman"/>
                <w:color w:val="000000"/>
                <w:sz w:val="22"/>
                <w:szCs w:val="22"/>
              </w:rPr>
              <w:t>$5</w:t>
            </w:r>
            <w:r>
              <w:rPr>
                <w:rFonts w:ascii="Times New Roman" w:eastAsia="Times New Roman" w:hAnsi="Times New Roman"/>
                <w:color w:val="000000"/>
                <w:sz w:val="22"/>
                <w:szCs w:val="22"/>
              </w:rPr>
              <w:t>,</w:t>
            </w:r>
            <w:r w:rsidRPr="005E01D7">
              <w:rPr>
                <w:rFonts w:ascii="Times New Roman" w:eastAsia="Times New Roman" w:hAnsi="Times New Roman"/>
                <w:color w:val="000000"/>
                <w:sz w:val="22"/>
                <w:szCs w:val="22"/>
              </w:rPr>
              <w:t>396</w:t>
            </w:r>
            <w:r>
              <w:rPr>
                <w:rFonts w:ascii="Times New Roman" w:eastAsia="Times New Roman" w:hAnsi="Times New Roman"/>
                <w:color w:val="000000"/>
                <w:sz w:val="22"/>
                <w:szCs w:val="22"/>
              </w:rPr>
              <w:t>,</w:t>
            </w:r>
            <w:r w:rsidRPr="005E01D7">
              <w:rPr>
                <w:rFonts w:ascii="Times New Roman" w:eastAsia="Times New Roman" w:hAnsi="Times New Roman"/>
                <w:color w:val="000000"/>
                <w:sz w:val="22"/>
                <w:szCs w:val="22"/>
              </w:rPr>
              <w:t>714</w:t>
            </w:r>
          </w:p>
        </w:tc>
      </w:tr>
      <w:tr w:rsidR="00F57C07" w:rsidRPr="00B47C5E" w:rsidTr="006B65BC">
        <w:trPr>
          <w:trHeight w:val="300"/>
        </w:trPr>
        <w:tc>
          <w:tcPr>
            <w:tcW w:w="1076" w:type="pct"/>
            <w:noWrap/>
            <w:hideMark/>
          </w:tcPr>
          <w:p w:rsidR="00F57C07" w:rsidRPr="00B47C5E" w:rsidRDefault="00F57C07" w:rsidP="006B65BC">
            <w:pPr>
              <w:pStyle w:val="TableRow"/>
              <w:keepNext/>
              <w:keepLines/>
              <w:jc w:val="center"/>
              <w:rPr>
                <w:rFonts w:ascii="Times New Roman" w:hAnsi="Times New Roman"/>
              </w:rPr>
            </w:pPr>
            <w:r w:rsidRPr="00B47C5E">
              <w:rPr>
                <w:rFonts w:ascii="Times New Roman" w:hAnsi="Times New Roman"/>
              </w:rPr>
              <w:t>3-Year Average</w:t>
            </w:r>
          </w:p>
        </w:tc>
        <w:tc>
          <w:tcPr>
            <w:tcW w:w="2183" w:type="pct"/>
            <w:noWrap/>
            <w:vAlign w:val="bottom"/>
            <w:hideMark/>
          </w:tcPr>
          <w:p w:rsidR="00F57C07" w:rsidRDefault="00F57C07" w:rsidP="006B65BC">
            <w:pPr>
              <w:jc w:val="right"/>
              <w:rPr>
                <w:rFonts w:ascii="Times New Roman" w:eastAsia="Times New Roman" w:hAnsi="Times New Roman"/>
                <w:color w:val="000000"/>
                <w:sz w:val="22"/>
                <w:szCs w:val="22"/>
              </w:rPr>
            </w:pPr>
            <w:r w:rsidRPr="00017867">
              <w:rPr>
                <w:rFonts w:ascii="Times New Roman" w:eastAsia="Times New Roman" w:hAnsi="Times New Roman"/>
                <w:color w:val="000000"/>
                <w:sz w:val="22"/>
                <w:szCs w:val="22"/>
              </w:rPr>
              <w:t>36,987</w:t>
            </w:r>
          </w:p>
        </w:tc>
        <w:tc>
          <w:tcPr>
            <w:tcW w:w="1741" w:type="pct"/>
            <w:noWrap/>
            <w:vAlign w:val="bottom"/>
            <w:hideMark/>
          </w:tcPr>
          <w:p w:rsidR="00F57C07" w:rsidRDefault="00F57C07" w:rsidP="006B65BC">
            <w:pPr>
              <w:jc w:val="right"/>
              <w:rPr>
                <w:rFonts w:ascii="Times New Roman" w:eastAsia="Times New Roman" w:hAnsi="Times New Roman"/>
                <w:color w:val="000000"/>
                <w:sz w:val="22"/>
                <w:szCs w:val="22"/>
              </w:rPr>
            </w:pPr>
            <w:r w:rsidRPr="005E01D7">
              <w:rPr>
                <w:rFonts w:ascii="Times New Roman" w:eastAsia="Times New Roman" w:hAnsi="Times New Roman"/>
                <w:color w:val="000000"/>
                <w:sz w:val="22"/>
                <w:szCs w:val="22"/>
              </w:rPr>
              <w:t>$1</w:t>
            </w:r>
            <w:r>
              <w:rPr>
                <w:rFonts w:ascii="Times New Roman" w:eastAsia="Times New Roman" w:hAnsi="Times New Roman"/>
                <w:color w:val="000000"/>
                <w:sz w:val="22"/>
                <w:szCs w:val="22"/>
              </w:rPr>
              <w:t>,</w:t>
            </w:r>
            <w:r w:rsidRPr="005E01D7">
              <w:rPr>
                <w:rFonts w:ascii="Times New Roman" w:eastAsia="Times New Roman" w:hAnsi="Times New Roman"/>
                <w:color w:val="000000"/>
                <w:sz w:val="22"/>
                <w:szCs w:val="22"/>
              </w:rPr>
              <w:t>798</w:t>
            </w:r>
            <w:r>
              <w:rPr>
                <w:rFonts w:ascii="Times New Roman" w:eastAsia="Times New Roman" w:hAnsi="Times New Roman"/>
                <w:color w:val="000000"/>
                <w:sz w:val="22"/>
                <w:szCs w:val="22"/>
              </w:rPr>
              <w:t>,</w:t>
            </w:r>
            <w:r w:rsidRPr="005E01D7">
              <w:rPr>
                <w:rFonts w:ascii="Times New Roman" w:eastAsia="Times New Roman" w:hAnsi="Times New Roman"/>
                <w:color w:val="000000"/>
                <w:sz w:val="22"/>
                <w:szCs w:val="22"/>
              </w:rPr>
              <w:t>905</w:t>
            </w:r>
          </w:p>
        </w:tc>
      </w:tr>
    </w:tbl>
    <w:p w:rsidR="00F57C07" w:rsidRDefault="00F57C07" w:rsidP="00F57C07">
      <w:pPr>
        <w:pStyle w:val="Para"/>
        <w:rPr>
          <w:rFonts w:ascii="Times New Roman" w:hAnsi="Times New Roman"/>
        </w:rPr>
      </w:pPr>
    </w:p>
    <w:p w:rsidR="00F57C07" w:rsidRDefault="00F57C07" w:rsidP="00F57C07">
      <w:pPr>
        <w:pStyle w:val="Para"/>
        <w:rPr>
          <w:rFonts w:ascii="Times New Roman" w:hAnsi="Times New Roman"/>
        </w:rPr>
      </w:pPr>
      <w:r w:rsidRPr="005E01D7">
        <w:rPr>
          <w:rFonts w:ascii="Times New Roman" w:hAnsi="Times New Roman"/>
        </w:rPr>
        <w:t xml:space="preserve">The </w:t>
      </w:r>
      <w:r w:rsidR="00BC4643">
        <w:rPr>
          <w:rFonts w:ascii="Times New Roman" w:hAnsi="Times New Roman"/>
        </w:rPr>
        <w:t>a</w:t>
      </w:r>
      <w:r w:rsidRPr="005E01D7">
        <w:rPr>
          <w:rFonts w:ascii="Times New Roman" w:hAnsi="Times New Roman"/>
        </w:rPr>
        <w:t>gency labor rates are from the Office of Personnel Management (OPM) 2003 General Schedule which excludes locality rates of pay. These rates can be obtained from Salary Table 2011-GS available on the OPM website</w:t>
      </w:r>
      <w:r>
        <w:rPr>
          <w:rFonts w:ascii="Times New Roman" w:hAnsi="Times New Roman"/>
        </w:rPr>
        <w:t xml:space="preserve"> </w:t>
      </w:r>
      <w:r w:rsidRPr="005E01D7">
        <w:rPr>
          <w:rFonts w:ascii="Times New Roman" w:hAnsi="Times New Roman"/>
          <w:sz w:val="22"/>
          <w:szCs w:val="18"/>
        </w:rPr>
        <w:t>(</w:t>
      </w:r>
      <w:hyperlink r:id="rId10" w:history="1">
        <w:r w:rsidRPr="005E01D7">
          <w:rPr>
            <w:rStyle w:val="Hyperlink"/>
            <w:rFonts w:ascii="Times New Roman" w:hAnsi="Times New Roman"/>
            <w:sz w:val="22"/>
            <w:szCs w:val="18"/>
          </w:rPr>
          <w:t>http://www.opm.gov/oca/11tables/html/gs_h.asp</w:t>
        </w:r>
      </w:hyperlink>
      <w:r w:rsidRPr="005E01D7">
        <w:rPr>
          <w:rFonts w:ascii="Times New Roman" w:hAnsi="Times New Roman"/>
          <w:sz w:val="22"/>
          <w:szCs w:val="18"/>
        </w:rPr>
        <w:t xml:space="preserve">). </w:t>
      </w:r>
      <w:r w:rsidRPr="005E01D7">
        <w:rPr>
          <w:rFonts w:ascii="Times New Roman" w:hAnsi="Times New Roman"/>
        </w:rPr>
        <w:t>The government employee labor rates are $15.63/hour for clerical (GS-6, Step 3), $28.88 for technical (GS-12, Step 1), and $38.92/hr for management (GS-13, Step 5). These rates represent salaries plus fringe benefits and do not include the cost of overhead. An overhead rate of 60 percent is used to account for these costs. The fully-burdened wage rates used to represent Agency labor costs are: clerical at $25.01; technical at $46.21, and management at $62.27.</w:t>
      </w:r>
    </w:p>
    <w:p w:rsidR="00F57C07" w:rsidRPr="0068644D" w:rsidRDefault="00F57C07" w:rsidP="00F57C07">
      <w:pPr>
        <w:pStyle w:val="Heading2"/>
        <w:ind w:left="0" w:firstLine="0"/>
        <w:rPr>
          <w:i/>
          <w:iCs w:val="0"/>
        </w:rPr>
      </w:pPr>
      <w:r w:rsidRPr="0068644D">
        <w:rPr>
          <w:i/>
          <w:iCs w:val="0"/>
        </w:rPr>
        <w:t>(d)</w:t>
      </w:r>
      <w:r>
        <w:rPr>
          <w:i/>
          <w:iCs w:val="0"/>
        </w:rPr>
        <w:tab/>
      </w:r>
      <w:r w:rsidRPr="0068644D">
        <w:rPr>
          <w:i/>
          <w:iCs w:val="0"/>
        </w:rPr>
        <w:t xml:space="preserve"> Estimating the Respondent Universe and Total Burden and Costs.</w:t>
      </w:r>
    </w:p>
    <w:p w:rsidR="00F57C07" w:rsidRDefault="00F57C07" w:rsidP="00F57C07">
      <w:pPr>
        <w:pStyle w:val="Para"/>
        <w:rPr>
          <w:rFonts w:ascii="Times New Roman" w:hAnsi="Times New Roman"/>
        </w:rPr>
      </w:pPr>
      <w:r w:rsidRPr="00640B02">
        <w:rPr>
          <w:rFonts w:ascii="Times New Roman" w:hAnsi="Times New Roman"/>
        </w:rPr>
        <w:t xml:space="preserve">Approximately </w:t>
      </w:r>
      <w:r>
        <w:rPr>
          <w:rFonts w:ascii="Times New Roman" w:hAnsi="Times New Roman"/>
        </w:rPr>
        <w:t>1,244 existing electric generating units</w:t>
      </w:r>
      <w:r w:rsidRPr="00640B02">
        <w:rPr>
          <w:rFonts w:ascii="Times New Roman" w:hAnsi="Times New Roman"/>
        </w:rPr>
        <w:t xml:space="preserve"> are currently subject to the current regulation</w:t>
      </w:r>
      <w:r>
        <w:rPr>
          <w:rFonts w:ascii="Times New Roman" w:hAnsi="Times New Roman"/>
        </w:rPr>
        <w:t>. It</w:t>
      </w:r>
      <w:r w:rsidRPr="00640B02">
        <w:rPr>
          <w:rFonts w:ascii="Times New Roman" w:hAnsi="Times New Roman"/>
        </w:rPr>
        <w:t xml:space="preserve"> is estimated that an additional 2 new </w:t>
      </w:r>
      <w:r>
        <w:rPr>
          <w:rFonts w:ascii="Times New Roman" w:hAnsi="Times New Roman"/>
        </w:rPr>
        <w:t>electric generating units per year</w:t>
      </w:r>
      <w:r w:rsidRPr="00640B02">
        <w:rPr>
          <w:rFonts w:ascii="Times New Roman" w:hAnsi="Times New Roman"/>
        </w:rPr>
        <w:t xml:space="preserve"> will become subject to the regulation.</w:t>
      </w:r>
    </w:p>
    <w:p w:rsidR="00F57C07" w:rsidRDefault="00F57C07" w:rsidP="00F57C07">
      <w:pPr>
        <w:pStyle w:val="Para"/>
        <w:rPr>
          <w:rFonts w:ascii="Times New Roman" w:hAnsi="Times New Roman"/>
        </w:rPr>
      </w:pPr>
      <w:r w:rsidRPr="00640B02">
        <w:rPr>
          <w:rFonts w:ascii="Times New Roman" w:hAnsi="Times New Roman"/>
        </w:rPr>
        <w:t xml:space="preserve"> The total annual number of responses for the new monitoring, recordkeeping, and reporting requirements in subpart </w:t>
      </w:r>
      <w:r>
        <w:rPr>
          <w:rFonts w:ascii="Times New Roman" w:hAnsi="Times New Roman"/>
        </w:rPr>
        <w:t>UUUUU</w:t>
      </w:r>
      <w:r w:rsidRPr="00640B02">
        <w:rPr>
          <w:rFonts w:ascii="Times New Roman" w:hAnsi="Times New Roman"/>
        </w:rPr>
        <w:t xml:space="preserve"> </w:t>
      </w:r>
      <w:r w:rsidRPr="005E01D7">
        <w:rPr>
          <w:rFonts w:ascii="Times New Roman" w:hAnsi="Times New Roman"/>
        </w:rPr>
        <w:t>is 3,768 for the existing 1,244 electric generating units that will follow the amendments and the additional 2 newly constructed</w:t>
      </w:r>
      <w:r w:rsidRPr="00640B02">
        <w:rPr>
          <w:rFonts w:ascii="Times New Roman" w:hAnsi="Times New Roman"/>
        </w:rPr>
        <w:t xml:space="preserve"> </w:t>
      </w:r>
      <w:r>
        <w:rPr>
          <w:rFonts w:ascii="Times New Roman" w:hAnsi="Times New Roman"/>
        </w:rPr>
        <w:t>electric generating units per year</w:t>
      </w:r>
      <w:r w:rsidRPr="00640B02">
        <w:rPr>
          <w:rFonts w:ascii="Times New Roman" w:hAnsi="Times New Roman"/>
        </w:rPr>
        <w:t>.</w:t>
      </w:r>
    </w:p>
    <w:p w:rsidR="00F57C07" w:rsidRDefault="00F57C07" w:rsidP="00F57C07">
      <w:pPr>
        <w:pStyle w:val="Para"/>
        <w:rPr>
          <w:rFonts w:ascii="Times New Roman" w:hAnsi="Times New Roman"/>
        </w:rPr>
      </w:pPr>
      <w:r w:rsidRPr="005E01D7">
        <w:rPr>
          <w:rFonts w:ascii="Times New Roman" w:hAnsi="Times New Roman"/>
        </w:rPr>
        <w:t>The total annual labor costs are $49,11</w:t>
      </w:r>
      <w:r>
        <w:rPr>
          <w:rFonts w:ascii="Times New Roman" w:hAnsi="Times New Roman"/>
        </w:rPr>
        <w:t>8,248.</w:t>
      </w:r>
      <w:r w:rsidRPr="005E01D7">
        <w:rPr>
          <w:rFonts w:ascii="Times New Roman" w:hAnsi="Times New Roman"/>
        </w:rPr>
        <w:t xml:space="preserve"> </w:t>
      </w:r>
      <w:r w:rsidRPr="00807DF8">
        <w:rPr>
          <w:rFonts w:ascii="Times New Roman" w:hAnsi="Times New Roman"/>
        </w:rPr>
        <w:t xml:space="preserve">Details appear in </w:t>
      </w:r>
      <w:r>
        <w:rPr>
          <w:rFonts w:ascii="Times New Roman" w:hAnsi="Times New Roman"/>
        </w:rPr>
        <w:t>Exhibit</w:t>
      </w:r>
      <w:r w:rsidRPr="00807DF8">
        <w:rPr>
          <w:rFonts w:ascii="Times New Roman" w:hAnsi="Times New Roman"/>
        </w:rPr>
        <w:t xml:space="preserve"> 1a, </w:t>
      </w:r>
      <w:r>
        <w:rPr>
          <w:rFonts w:ascii="Times New Roman" w:hAnsi="Times New Roman"/>
        </w:rPr>
        <w:t xml:space="preserve">Exhibit </w:t>
      </w:r>
      <w:r w:rsidRPr="00807DF8">
        <w:rPr>
          <w:rFonts w:ascii="Times New Roman" w:hAnsi="Times New Roman"/>
        </w:rPr>
        <w:t xml:space="preserve">1b, and </w:t>
      </w:r>
      <w:r>
        <w:rPr>
          <w:rFonts w:ascii="Times New Roman" w:hAnsi="Times New Roman"/>
        </w:rPr>
        <w:t xml:space="preserve">Exhibit </w:t>
      </w:r>
      <w:r w:rsidRPr="00807DF8">
        <w:rPr>
          <w:rFonts w:ascii="Times New Roman" w:hAnsi="Times New Roman"/>
        </w:rPr>
        <w:t>1c.</w:t>
      </w:r>
    </w:p>
    <w:p w:rsidR="00F57C07" w:rsidRPr="0068644D" w:rsidRDefault="00F57C07" w:rsidP="00F57C07">
      <w:pPr>
        <w:pStyle w:val="Heading2"/>
        <w:rPr>
          <w:i/>
          <w:iCs w:val="0"/>
        </w:rPr>
      </w:pPr>
      <w:r w:rsidRPr="0068644D">
        <w:rPr>
          <w:i/>
          <w:iCs w:val="0"/>
        </w:rPr>
        <w:t>(e)</w:t>
      </w:r>
      <w:r w:rsidRPr="0068644D">
        <w:rPr>
          <w:i/>
          <w:iCs w:val="0"/>
        </w:rPr>
        <w:tab/>
        <w:t>Bottom Line Burden Hours and Cost Tables</w:t>
      </w:r>
    </w:p>
    <w:p w:rsidR="00F57C07" w:rsidRDefault="00F57C07" w:rsidP="00F57C07">
      <w:pPr>
        <w:pStyle w:val="Para"/>
        <w:rPr>
          <w:rFonts w:ascii="Times New Roman" w:hAnsi="Times New Roman"/>
        </w:rPr>
      </w:pPr>
      <w:r w:rsidRPr="00640B02">
        <w:rPr>
          <w:rFonts w:ascii="Times New Roman" w:hAnsi="Times New Roman"/>
        </w:rPr>
        <w:t xml:space="preserve">The bottom line burden hours and cost tables for both the </w:t>
      </w:r>
      <w:r w:rsidR="00BC4643">
        <w:rPr>
          <w:rFonts w:ascii="Times New Roman" w:hAnsi="Times New Roman"/>
        </w:rPr>
        <w:t>a</w:t>
      </w:r>
      <w:r w:rsidRPr="00640B02">
        <w:rPr>
          <w:rFonts w:ascii="Times New Roman" w:hAnsi="Times New Roman"/>
        </w:rPr>
        <w:t xml:space="preserve">gency and the respondents are attached. The annual public reporting and recordkeeping burden for this collection of information is estimated </w:t>
      </w:r>
      <w:r w:rsidRPr="005E01D7">
        <w:rPr>
          <w:rFonts w:ascii="Times New Roman" w:hAnsi="Times New Roman"/>
        </w:rPr>
        <w:t xml:space="preserve">to average 186 hours per response. The total annual average burden for </w:t>
      </w:r>
      <w:r w:rsidRPr="005E01D7">
        <w:rPr>
          <w:rFonts w:ascii="Times New Roman" w:hAnsi="Times New Roman"/>
        </w:rPr>
        <w:lastRenderedPageBreak/>
        <w:t>the rule will be 700,2</w:t>
      </w:r>
      <w:r>
        <w:rPr>
          <w:rFonts w:ascii="Times New Roman" w:hAnsi="Times New Roman"/>
        </w:rPr>
        <w:t>9</w:t>
      </w:r>
      <w:r w:rsidRPr="005E01D7">
        <w:rPr>
          <w:rFonts w:ascii="Times New Roman" w:hAnsi="Times New Roman"/>
        </w:rPr>
        <w:t>6 person hours with a total annualized capital/startup cost of $8</w:t>
      </w:r>
      <w:r>
        <w:rPr>
          <w:rFonts w:ascii="Times New Roman" w:hAnsi="Times New Roman"/>
        </w:rPr>
        <w:t>1,</w:t>
      </w:r>
      <w:r w:rsidR="000F394F">
        <w:rPr>
          <w:rFonts w:ascii="Times New Roman" w:hAnsi="Times New Roman"/>
        </w:rPr>
        <w:t>906,079 and O&amp;M costs of $76,539</w:t>
      </w:r>
      <w:r>
        <w:rPr>
          <w:rFonts w:ascii="Times New Roman" w:hAnsi="Times New Roman"/>
        </w:rPr>
        <w:t>,446</w:t>
      </w:r>
      <w:r w:rsidRPr="005E01D7">
        <w:rPr>
          <w:rFonts w:ascii="Times New Roman" w:hAnsi="Times New Roman"/>
        </w:rPr>
        <w:t>.</w:t>
      </w:r>
    </w:p>
    <w:p w:rsidR="00F57C07" w:rsidRPr="0068644D" w:rsidRDefault="00F57C07" w:rsidP="00F57C07">
      <w:pPr>
        <w:pStyle w:val="Heading2"/>
        <w:rPr>
          <w:i/>
          <w:iCs w:val="0"/>
        </w:rPr>
      </w:pPr>
      <w:r w:rsidRPr="0068644D">
        <w:rPr>
          <w:i/>
          <w:iCs w:val="0"/>
        </w:rPr>
        <w:t>(f)</w:t>
      </w:r>
      <w:r w:rsidRPr="0068644D">
        <w:rPr>
          <w:i/>
          <w:iCs w:val="0"/>
        </w:rPr>
        <w:tab/>
        <w:t>Reasons for Change in Burden.</w:t>
      </w:r>
    </w:p>
    <w:p w:rsidR="00F57C07" w:rsidRDefault="00F57C07" w:rsidP="00F57C07">
      <w:pPr>
        <w:pStyle w:val="Para"/>
        <w:rPr>
          <w:rFonts w:ascii="Times New Roman" w:hAnsi="Times New Roman"/>
        </w:rPr>
      </w:pPr>
      <w:r w:rsidRPr="00332DD0">
        <w:rPr>
          <w:rFonts w:ascii="Times New Roman" w:hAnsi="Times New Roman"/>
        </w:rPr>
        <w:t xml:space="preserve">The increase in burden is due to the performance testing, monitoring, recordkeeping, and reporting costs attributable to the </w:t>
      </w:r>
      <w:r w:rsidR="00BC4643">
        <w:rPr>
          <w:rFonts w:ascii="Times New Roman" w:hAnsi="Times New Roman"/>
        </w:rPr>
        <w:t>new standards for EGUs.</w:t>
      </w:r>
    </w:p>
    <w:p w:rsidR="00F57C07" w:rsidRDefault="00F57C07" w:rsidP="00F57C07">
      <w:pPr>
        <w:pStyle w:val="Para"/>
        <w:rPr>
          <w:rFonts w:ascii="Times New Roman" w:hAnsi="Times New Roman"/>
        </w:rPr>
      </w:pPr>
      <w:r>
        <w:rPr>
          <w:rFonts w:ascii="Times New Roman" w:hAnsi="Times New Roman"/>
        </w:rPr>
        <w:t xml:space="preserve">The </w:t>
      </w:r>
      <w:r w:rsidRPr="00FD19F0">
        <w:rPr>
          <w:rFonts w:ascii="Times New Roman" w:hAnsi="Times New Roman"/>
        </w:rPr>
        <w:t xml:space="preserve">EPA </w:t>
      </w:r>
      <w:r>
        <w:rPr>
          <w:rFonts w:ascii="Times New Roman" w:hAnsi="Times New Roman"/>
        </w:rPr>
        <w:t xml:space="preserve">also </w:t>
      </w:r>
      <w:r w:rsidRPr="00FD19F0">
        <w:rPr>
          <w:rFonts w:ascii="Times New Roman" w:hAnsi="Times New Roman"/>
        </w:rPr>
        <w:t xml:space="preserve">provides an adjustment to this ICR that estimates the costs of the notification, recordkeeping and reporting requirements associated with the assertion of the affirmative defense. </w:t>
      </w:r>
      <w:r>
        <w:rPr>
          <w:rFonts w:ascii="Times New Roman" w:hAnsi="Times New Roman"/>
        </w:rPr>
        <w:t xml:space="preserve">The </w:t>
      </w:r>
      <w:r w:rsidRPr="00FD19F0">
        <w:rPr>
          <w:rFonts w:ascii="Times New Roman" w:hAnsi="Times New Roman"/>
        </w:rPr>
        <w:t xml:space="preserve">EPA’s estimate for the required notification, reports and records, including the root cause analysis, associated with a single incident totals approximately </w:t>
      </w:r>
      <w:r w:rsidRPr="00556B17">
        <w:rPr>
          <w:rFonts w:ascii="Times New Roman" w:hAnsi="Times New Roman"/>
        </w:rPr>
        <w:t>$3,141</w:t>
      </w:r>
      <w:r>
        <w:rPr>
          <w:rFonts w:ascii="Times New Roman" w:hAnsi="Times New Roman"/>
        </w:rPr>
        <w:t xml:space="preserve"> </w:t>
      </w:r>
      <w:r w:rsidRPr="00FD19F0">
        <w:rPr>
          <w:rFonts w:ascii="Times New Roman" w:hAnsi="Times New Roman"/>
        </w:rPr>
        <w:t xml:space="preserve">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w:t>
      </w:r>
      <w:r>
        <w:rPr>
          <w:rFonts w:ascii="Times New Roman" w:hAnsi="Times New Roman"/>
        </w:rPr>
        <w:t xml:space="preserve">the </w:t>
      </w:r>
      <w:r w:rsidRPr="00FD19F0">
        <w:rPr>
          <w:rFonts w:ascii="Times New Roman" w:hAnsi="Times New Roman"/>
        </w:rPr>
        <w:t xml:space="preserve">EPA. For the purpose of estimating the annual burden, </w:t>
      </w:r>
      <w:r>
        <w:rPr>
          <w:rFonts w:ascii="Times New Roman" w:hAnsi="Times New Roman"/>
        </w:rPr>
        <w:t xml:space="preserve">the </w:t>
      </w:r>
      <w:r w:rsidRPr="00FD19F0">
        <w:rPr>
          <w:rFonts w:ascii="Times New Roman" w:hAnsi="Times New Roman"/>
        </w:rPr>
        <w:t xml:space="preserve">EPA is attributing a total of 2 instances of affirmative defense over a </w:t>
      </w:r>
      <w:r w:rsidR="00BC4643">
        <w:rPr>
          <w:rFonts w:ascii="Times New Roman" w:hAnsi="Times New Roman"/>
        </w:rPr>
        <w:t>3</w:t>
      </w:r>
      <w:r w:rsidRPr="00FD19F0">
        <w:rPr>
          <w:rFonts w:ascii="Times New Roman" w:hAnsi="Times New Roman"/>
        </w:rPr>
        <w:t xml:space="preserve"> year period across all sources in the category.</w:t>
      </w:r>
      <w:r>
        <w:rPr>
          <w:rFonts w:ascii="Times New Roman" w:hAnsi="Times New Roman"/>
        </w:rPr>
        <w:t xml:space="preserve"> The </w:t>
      </w:r>
      <w:r w:rsidRPr="00FD19F0">
        <w:rPr>
          <w:rFonts w:ascii="Times New Roman" w:hAnsi="Times New Roman"/>
        </w:rPr>
        <w:t xml:space="preserve">EPA is using this frequency of 2 events in </w:t>
      </w:r>
      <w:r>
        <w:rPr>
          <w:rFonts w:ascii="Times New Roman" w:hAnsi="Times New Roman"/>
        </w:rPr>
        <w:t>3</w:t>
      </w:r>
      <w:r w:rsidRPr="00FD19F0">
        <w:rPr>
          <w:rFonts w:ascii="Times New Roman" w:hAnsi="Times New Roman"/>
        </w:rPr>
        <w:t xml:space="preserve"> years, because of the number of excess emission events reported by source operators, only a small number would be expected to result from a malfunction, and only a subset of excess emissions caused by malfunctions would result in the source choosing to a</w:t>
      </w:r>
      <w:r>
        <w:rPr>
          <w:rFonts w:ascii="Times New Roman" w:hAnsi="Times New Roman"/>
        </w:rPr>
        <w:t xml:space="preserve">ssert the affirmative defense. </w:t>
      </w:r>
      <w:r w:rsidRPr="00FD19F0">
        <w:rPr>
          <w:rFonts w:ascii="Times New Roman" w:hAnsi="Times New Roman"/>
        </w:rPr>
        <w:t>Thus we believe the number of instances in which source operators might be expected to avail themselves of the affirmative defense will be extremely small.</w:t>
      </w:r>
    </w:p>
    <w:p w:rsidR="00F57C07" w:rsidRPr="0068644D" w:rsidRDefault="00F57C07" w:rsidP="00F57C07">
      <w:pPr>
        <w:pStyle w:val="Heading2"/>
        <w:ind w:left="0" w:firstLine="0"/>
        <w:rPr>
          <w:i/>
          <w:iCs w:val="0"/>
        </w:rPr>
      </w:pPr>
      <w:r w:rsidRPr="0068644D">
        <w:rPr>
          <w:i/>
          <w:iCs w:val="0"/>
        </w:rPr>
        <w:t>(g)</w:t>
      </w:r>
      <w:r w:rsidRPr="0068644D">
        <w:rPr>
          <w:i/>
          <w:iCs w:val="0"/>
        </w:rPr>
        <w:tab/>
        <w:t>Burden Statement</w:t>
      </w:r>
    </w:p>
    <w:p w:rsidR="00F57C07" w:rsidRDefault="00F57C07" w:rsidP="00F57C07">
      <w:pPr>
        <w:pStyle w:val="Para"/>
        <w:rPr>
          <w:rFonts w:ascii="Times New Roman" w:hAnsi="Times New Roman"/>
        </w:rPr>
      </w:pPr>
      <w:r w:rsidRPr="007C7E34">
        <w:rPr>
          <w:rFonts w:ascii="Times New Roman" w:hAnsi="Times New Roman"/>
        </w:rPr>
        <w:t xml:space="preserve">The annual </w:t>
      </w:r>
      <w:r w:rsidRPr="005E01D7">
        <w:rPr>
          <w:rFonts w:ascii="Times New Roman" w:hAnsi="Times New Roman"/>
        </w:rPr>
        <w:t>public reporting and recordkeeping burden for this collection of information is estimated to average 186 hours per response. Burden</w:t>
      </w:r>
      <w:r w:rsidRPr="009060A6">
        <w:rPr>
          <w:rFonts w:ascii="Times New Roman" w:hAnsi="Times New Roman"/>
        </w:rPr>
        <w:t xml:space="preserve"> means the total time, effort, or financial resources expended by persons</w:t>
      </w:r>
      <w:r w:rsidRPr="007C7E34">
        <w:rPr>
          <w:rFonts w:ascii="Times New Roman" w:hAnsi="Times New Roman"/>
        </w:rPr>
        <w:t xml:space="preserve"> to generate, maintain, retain, or disclose or provide information to or for a Federal agency</w:t>
      </w:r>
      <w:r>
        <w:rPr>
          <w:rFonts w:ascii="Times New Roman" w:hAnsi="Times New Roman"/>
        </w:rPr>
        <w:t xml:space="preserve">. </w:t>
      </w:r>
      <w:r w:rsidRPr="00332DD0">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57C07" w:rsidRPr="007C7E34" w:rsidRDefault="00F57C07" w:rsidP="00F57C07">
      <w:pPr>
        <w:pStyle w:val="Para"/>
        <w:rPr>
          <w:rFonts w:ascii="Times New Roman" w:hAnsi="Times New Roman"/>
        </w:rPr>
      </w:pPr>
      <w:r w:rsidRPr="007C7E34">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7C7E34">
        <w:rPr>
          <w:rFonts w:ascii="Times New Roman" w:hAnsi="Times New Roman"/>
        </w:rPr>
        <w:t>The OMB control numbers for EPA’s regulations in 40 CFR part 63 are listed in 40 CFR part 9.</w:t>
      </w:r>
    </w:p>
    <w:p w:rsidR="00F57C07" w:rsidRPr="007C7E34" w:rsidRDefault="00F57C07" w:rsidP="00F57C07">
      <w:pPr>
        <w:pStyle w:val="Para"/>
        <w:rPr>
          <w:rFonts w:ascii="Times New Roman" w:hAnsi="Times New Roman"/>
        </w:rPr>
      </w:pPr>
      <w:r w:rsidRPr="007C7E34">
        <w:rPr>
          <w:rFonts w:ascii="Times New Roman" w:hAnsi="Times New Roman"/>
        </w:rPr>
        <w:t xml:space="preserve">To comment on the </w:t>
      </w:r>
      <w:r w:rsidR="00BC4643">
        <w:rPr>
          <w:rFonts w:ascii="Times New Roman" w:hAnsi="Times New Roman"/>
        </w:rPr>
        <w:t>a</w:t>
      </w:r>
      <w:r w:rsidRPr="007C7E34">
        <w:rPr>
          <w:rFonts w:ascii="Times New Roman" w:hAnsi="Times New Roman"/>
        </w:rPr>
        <w:t xml:space="preserve">gency's need for this information, the accuracy of the provided burden estimates, and any suggested methods for minimizing respondent burden, including the use of automated collection techniques, </w:t>
      </w:r>
      <w:r w:rsidR="00BC4643">
        <w:rPr>
          <w:rFonts w:ascii="Times New Roman" w:hAnsi="Times New Roman"/>
        </w:rPr>
        <w:t xml:space="preserve">the </w:t>
      </w:r>
      <w:r w:rsidRPr="007C7E34">
        <w:rPr>
          <w:rFonts w:ascii="Times New Roman" w:hAnsi="Times New Roman"/>
        </w:rPr>
        <w:t xml:space="preserve">EPA has established a public docket for this ICR under </w:t>
      </w:r>
      <w:r w:rsidRPr="000F3B39">
        <w:rPr>
          <w:rFonts w:ascii="Times New Roman" w:hAnsi="Times New Roman"/>
        </w:rPr>
        <w:t>Docket ID Number EPA-HQ-OAR-2009-0234</w:t>
      </w:r>
      <w:r w:rsidRPr="007C7E34">
        <w:rPr>
          <w:rFonts w:ascii="Times New Roman" w:hAnsi="Times New Roman"/>
        </w:rPr>
        <w:t xml:space="preserve">, which is available for online viewing at www.regulations.gov, or in person viewing at the Air and Radiation Docket and Information Center in the EPA Docket Center </w:t>
      </w:r>
      <w:r w:rsidR="000F394F">
        <w:rPr>
          <w:rFonts w:ascii="Times New Roman" w:hAnsi="Times New Roman"/>
        </w:rPr>
        <w:t>(EPA/DC), EPA West, Room 3334</w:t>
      </w:r>
      <w:r w:rsidRPr="007C7E34">
        <w:rPr>
          <w:rFonts w:ascii="Times New Roman" w:hAnsi="Times New Roman"/>
        </w:rPr>
        <w:t>, 1301 Constitution Avenue, NW, Washington, D.C. The EPA Docket Center Public Reading Room is open from 8:30 a.m. to 4:30 p.m., Monday through Friday, excluding legal holidays</w:t>
      </w:r>
      <w:r>
        <w:rPr>
          <w:rFonts w:ascii="Times New Roman" w:hAnsi="Times New Roman"/>
        </w:rPr>
        <w:t xml:space="preserve">. </w:t>
      </w:r>
      <w:r w:rsidRPr="007C7E34">
        <w:rPr>
          <w:rFonts w:ascii="Times New Roman" w:hAnsi="Times New Roman"/>
        </w:rPr>
        <w:t xml:space="preserve">The telephone number for the Reading Room is (202) 566-1744, and the telephone number for the Air and Radiation </w:t>
      </w:r>
      <w:r w:rsidRPr="007C7E34">
        <w:rPr>
          <w:rFonts w:ascii="Times New Roman" w:hAnsi="Times New Roman"/>
        </w:rPr>
        <w:lastRenderedPageBreak/>
        <w:t>Docket and Information Center is (202) 566-1742</w:t>
      </w:r>
      <w:r>
        <w:rPr>
          <w:rFonts w:ascii="Times New Roman" w:hAnsi="Times New Roman"/>
        </w:rPr>
        <w:t xml:space="preserve">. </w:t>
      </w:r>
      <w:r w:rsidRPr="007C7E34">
        <w:rPr>
          <w:rFonts w:ascii="Times New Roman" w:hAnsi="Times New Roman"/>
        </w:rPr>
        <w:t>An electronic version of the public docket is available at www.regulations.gov</w:t>
      </w:r>
      <w:r>
        <w:rPr>
          <w:rFonts w:ascii="Times New Roman" w:hAnsi="Times New Roman"/>
        </w:rPr>
        <w:t xml:space="preserve">. </w:t>
      </w:r>
      <w:r w:rsidRPr="007C7E34">
        <w:rPr>
          <w:rFonts w:ascii="Times New Roman" w:hAnsi="Times New Roman"/>
        </w:rPr>
        <w:t>This site can be used to submit or view public comments, access the index listing of the contents of the public docket, and to access those documents in the public docket that are available electronically</w:t>
      </w:r>
      <w:r>
        <w:rPr>
          <w:rFonts w:ascii="Times New Roman" w:hAnsi="Times New Roman"/>
        </w:rPr>
        <w:t xml:space="preserve">. </w:t>
      </w:r>
      <w:r w:rsidRPr="007C7E34">
        <w:rPr>
          <w:rFonts w:ascii="Times New Roman" w:hAnsi="Times New Roman"/>
        </w:rPr>
        <w:t>When in the system, select “search,” then key in the Docket ID Number identified above</w:t>
      </w:r>
      <w:r>
        <w:rPr>
          <w:rFonts w:ascii="Times New Roman" w:hAnsi="Times New Roman"/>
        </w:rPr>
        <w:t xml:space="preserve">. </w:t>
      </w:r>
      <w:r w:rsidRPr="007C7E34">
        <w:rPr>
          <w:rFonts w:ascii="Times New Roman" w:hAnsi="Times New Roman"/>
        </w:rPr>
        <w:t>Also, you can send comments to the Office of Information and Regulatory Affairs, Office of Management and Budget, 725 17th Street, NW, Washington, D.C. 20503, Attention: Desk Officer for EPA</w:t>
      </w:r>
      <w:r>
        <w:rPr>
          <w:rFonts w:ascii="Times New Roman" w:hAnsi="Times New Roman"/>
        </w:rPr>
        <w:t xml:space="preserve">. </w:t>
      </w:r>
      <w:r w:rsidR="000F394F">
        <w:rPr>
          <w:rFonts w:ascii="Times New Roman" w:hAnsi="Times New Roman"/>
        </w:rPr>
        <w:t xml:space="preserve">Please include </w:t>
      </w:r>
      <w:r w:rsidRPr="007C7E34">
        <w:rPr>
          <w:rFonts w:ascii="Times New Roman" w:hAnsi="Times New Roman"/>
        </w:rPr>
        <w:t>EPA Docket ID Number EPA-HQ-OAR-200</w:t>
      </w:r>
      <w:r>
        <w:rPr>
          <w:rFonts w:ascii="Times New Roman" w:hAnsi="Times New Roman"/>
        </w:rPr>
        <w:t>9</w:t>
      </w:r>
      <w:r w:rsidRPr="007C7E34">
        <w:rPr>
          <w:rFonts w:ascii="Times New Roman" w:hAnsi="Times New Roman"/>
        </w:rPr>
        <w:t>-0</w:t>
      </w:r>
      <w:r>
        <w:rPr>
          <w:rFonts w:ascii="Times New Roman" w:hAnsi="Times New Roman"/>
        </w:rPr>
        <w:t xml:space="preserve">234 </w:t>
      </w:r>
      <w:r w:rsidR="000F394F">
        <w:rPr>
          <w:rFonts w:ascii="Times New Roman" w:hAnsi="Times New Roman"/>
        </w:rPr>
        <w:t xml:space="preserve">and OMB Control Number 2060-0567 </w:t>
      </w:r>
      <w:r w:rsidRPr="007C7E34">
        <w:rPr>
          <w:rFonts w:ascii="Times New Roman" w:hAnsi="Times New Roman"/>
        </w:rPr>
        <w:t>in any correspondence.</w:t>
      </w:r>
    </w:p>
    <w:p w:rsidR="00F57C07" w:rsidRPr="007C7E34" w:rsidRDefault="00F57C07" w:rsidP="00F57C07">
      <w:pPr>
        <w:pStyle w:val="Heading1"/>
      </w:pPr>
      <w:r w:rsidRPr="007C7E34">
        <w:t>PART B</w:t>
      </w:r>
    </w:p>
    <w:p w:rsidR="00F57C07" w:rsidRDefault="00F57C07" w:rsidP="00F57C07">
      <w:pPr>
        <w:pStyle w:val="Para"/>
        <w:rPr>
          <w:rFonts w:ascii="Times New Roman" w:hAnsi="Times New Roman"/>
        </w:rPr>
      </w:pPr>
      <w:r w:rsidRPr="007C7E34">
        <w:rPr>
          <w:rFonts w:ascii="Times New Roman" w:hAnsi="Times New Roman"/>
        </w:rPr>
        <w:t>This section is not applicable because statistical methods are not used in data collection associated with the final amendments.</w:t>
      </w:r>
      <w:r>
        <w:rPr>
          <w:rFonts w:ascii="Times New Roman" w:hAnsi="Times New Roman"/>
        </w:rPr>
        <w:br w:type="page"/>
      </w:r>
    </w:p>
    <w:p w:rsidR="00F57C07" w:rsidRDefault="00F57C07" w:rsidP="00F57C07">
      <w:pPr>
        <w:jc w:val="center"/>
        <w:rPr>
          <w:rFonts w:ascii="Times New Roman" w:hAnsi="Times New Roman"/>
        </w:rPr>
      </w:pPr>
      <w:r>
        <w:rPr>
          <w:rFonts w:ascii="Times New Roman" w:hAnsi="Times New Roman"/>
        </w:rPr>
        <w:lastRenderedPageBreak/>
        <w:t>ATTACHMENTS</w:t>
      </w:r>
    </w:p>
    <w:p w:rsidR="00F57C07" w:rsidRDefault="00F57C07" w:rsidP="00F57C07">
      <w:pPr>
        <w:rPr>
          <w:rFonts w:ascii="Times New Roman" w:hAnsi="Times New Roman"/>
        </w:rPr>
      </w:pPr>
    </w:p>
    <w:p w:rsidR="00F57C07" w:rsidRDefault="00F57C07" w:rsidP="00F57C07">
      <w:pPr>
        <w:rPr>
          <w:rFonts w:ascii="Times New Roman" w:hAnsi="Times New Roman"/>
        </w:rPr>
      </w:pPr>
    </w:p>
    <w:p w:rsidR="00F57C07" w:rsidRDefault="00F57C07" w:rsidP="00F57C07">
      <w:pPr>
        <w:rPr>
          <w:rFonts w:ascii="Times New Roman" w:hAnsi="Times New Roman"/>
        </w:rPr>
      </w:pPr>
      <w:r>
        <w:rPr>
          <w:rFonts w:ascii="Times New Roman" w:hAnsi="Times New Roman"/>
        </w:rPr>
        <w:t xml:space="preserve">Exhibit 1a. </w:t>
      </w:r>
      <w:r w:rsidRPr="002D24E2">
        <w:rPr>
          <w:rFonts w:ascii="Times New Roman" w:hAnsi="Times New Roman"/>
        </w:rPr>
        <w:t>Year 1 Respondent Burden of Reporting and Recordkeeping Requirements, NESHAP for Electric Generating Units (40 CFR part 63, subpart UUUUU)</w:t>
      </w:r>
    </w:p>
    <w:p w:rsidR="00F57C07" w:rsidRDefault="00F57C07" w:rsidP="00F57C07">
      <w:pPr>
        <w:rPr>
          <w:rFonts w:ascii="Times New Roman" w:hAnsi="Times New Roman"/>
        </w:rPr>
      </w:pPr>
    </w:p>
    <w:p w:rsidR="00F57C07" w:rsidRPr="002D24E2" w:rsidRDefault="00F57C07" w:rsidP="00F57C07">
      <w:pPr>
        <w:rPr>
          <w:rFonts w:ascii="Times New Roman" w:hAnsi="Times New Roman"/>
        </w:rPr>
      </w:pPr>
      <w:r w:rsidRPr="002D24E2">
        <w:rPr>
          <w:rFonts w:ascii="Times New Roman" w:hAnsi="Times New Roman"/>
        </w:rPr>
        <w:t>Exhibit</w:t>
      </w:r>
      <w:r>
        <w:rPr>
          <w:rFonts w:ascii="Times New Roman" w:hAnsi="Times New Roman"/>
        </w:rPr>
        <w:t xml:space="preserve"> 1b.</w:t>
      </w:r>
      <w:r w:rsidRPr="002D24E2">
        <w:rPr>
          <w:rFonts w:ascii="Times New Roman" w:hAnsi="Times New Roman"/>
        </w:rPr>
        <w:t xml:space="preserve"> Year </w:t>
      </w:r>
      <w:r>
        <w:rPr>
          <w:rFonts w:ascii="Times New Roman" w:hAnsi="Times New Roman"/>
        </w:rPr>
        <w:t>2</w:t>
      </w:r>
      <w:r w:rsidRPr="002D24E2">
        <w:rPr>
          <w:rFonts w:ascii="Times New Roman" w:hAnsi="Times New Roman"/>
        </w:rPr>
        <w:t xml:space="preserve"> Respondent Burden of Reporting and Recordkeeping Requirements, NESHAP for Electric Generating Units (40 CFR part 63, subpart UUUUU)</w:t>
      </w:r>
    </w:p>
    <w:p w:rsidR="00F57C07" w:rsidRDefault="00F57C07" w:rsidP="00F57C07">
      <w:pPr>
        <w:rPr>
          <w:rFonts w:ascii="Times New Roman" w:hAnsi="Times New Roman"/>
        </w:rPr>
      </w:pPr>
    </w:p>
    <w:p w:rsidR="00F57C07" w:rsidRPr="002D24E2" w:rsidRDefault="00F57C07" w:rsidP="00F57C07">
      <w:pPr>
        <w:rPr>
          <w:rFonts w:ascii="Times New Roman" w:hAnsi="Times New Roman"/>
        </w:rPr>
      </w:pPr>
      <w:r w:rsidRPr="002D24E2">
        <w:rPr>
          <w:rFonts w:ascii="Times New Roman" w:hAnsi="Times New Roman"/>
        </w:rPr>
        <w:t>Exhibit</w:t>
      </w:r>
      <w:r>
        <w:rPr>
          <w:rFonts w:ascii="Times New Roman" w:hAnsi="Times New Roman"/>
        </w:rPr>
        <w:t xml:space="preserve"> 1c. Year 3</w:t>
      </w:r>
      <w:r w:rsidRPr="002D24E2">
        <w:rPr>
          <w:rFonts w:ascii="Times New Roman" w:hAnsi="Times New Roman"/>
        </w:rPr>
        <w:t xml:space="preserve"> Respondent Burden of Reporting and Recordkeeping Requirements, NESHAP for Electric Generating Units (40 CFR part 63, subpart UUUUU)</w:t>
      </w:r>
    </w:p>
    <w:p w:rsidR="00F57C07" w:rsidRDefault="00F57C07" w:rsidP="00F57C07">
      <w:pPr>
        <w:rPr>
          <w:rFonts w:ascii="Times New Roman" w:hAnsi="Times New Roman"/>
        </w:rPr>
      </w:pPr>
    </w:p>
    <w:p w:rsidR="00F57C07" w:rsidRDefault="00F57C07" w:rsidP="00F57C07">
      <w:pPr>
        <w:rPr>
          <w:rFonts w:ascii="Times New Roman" w:hAnsi="Times New Roman"/>
        </w:rPr>
      </w:pPr>
      <w:r w:rsidRPr="002D24E2">
        <w:rPr>
          <w:rFonts w:ascii="Times New Roman" w:hAnsi="Times New Roman"/>
        </w:rPr>
        <w:t>Exhibit</w:t>
      </w:r>
      <w:r>
        <w:rPr>
          <w:rFonts w:ascii="Times New Roman" w:hAnsi="Times New Roman"/>
        </w:rPr>
        <w:t xml:space="preserve"> 2a. </w:t>
      </w:r>
      <w:r w:rsidRPr="002D24E2">
        <w:rPr>
          <w:rFonts w:ascii="Times New Roman" w:hAnsi="Times New Roman"/>
        </w:rPr>
        <w:t>Year 1 Agency Burden and Cost, NESHAP for Electric Generating Units (40 CFR part 63, subpart UUUUU)</w:t>
      </w:r>
    </w:p>
    <w:p w:rsidR="00F57C07" w:rsidRPr="002D24E2" w:rsidRDefault="00F57C07" w:rsidP="00F57C07">
      <w:pPr>
        <w:rPr>
          <w:rFonts w:ascii="Times New Roman" w:hAnsi="Times New Roman"/>
        </w:rPr>
      </w:pPr>
    </w:p>
    <w:p w:rsidR="00F57C07" w:rsidRDefault="00F57C07" w:rsidP="00F57C07">
      <w:pPr>
        <w:rPr>
          <w:rFonts w:ascii="Times New Roman" w:hAnsi="Times New Roman"/>
        </w:rPr>
      </w:pPr>
      <w:r w:rsidRPr="002D24E2">
        <w:rPr>
          <w:rFonts w:ascii="Times New Roman" w:hAnsi="Times New Roman"/>
        </w:rPr>
        <w:t>Exhibit</w:t>
      </w:r>
      <w:r>
        <w:rPr>
          <w:rFonts w:ascii="Times New Roman" w:hAnsi="Times New Roman"/>
        </w:rPr>
        <w:t xml:space="preserve"> 2b. </w:t>
      </w:r>
      <w:r w:rsidRPr="002D24E2">
        <w:rPr>
          <w:rFonts w:ascii="Times New Roman" w:hAnsi="Times New Roman"/>
        </w:rPr>
        <w:t xml:space="preserve">Year </w:t>
      </w:r>
      <w:r>
        <w:rPr>
          <w:rFonts w:ascii="Times New Roman" w:hAnsi="Times New Roman"/>
        </w:rPr>
        <w:t>2</w:t>
      </w:r>
      <w:r w:rsidRPr="002D24E2">
        <w:rPr>
          <w:rFonts w:ascii="Times New Roman" w:hAnsi="Times New Roman"/>
        </w:rPr>
        <w:t xml:space="preserve"> Agency Burden and Cost, NESHAP for Electric Generating Units (40 CFR part 63, subpart UUUUU)</w:t>
      </w:r>
    </w:p>
    <w:p w:rsidR="00F57C07" w:rsidRPr="002D24E2" w:rsidRDefault="00F57C07" w:rsidP="00F57C07">
      <w:pPr>
        <w:rPr>
          <w:rFonts w:ascii="Times New Roman" w:hAnsi="Times New Roman"/>
        </w:rPr>
      </w:pPr>
    </w:p>
    <w:p w:rsidR="00F57C07" w:rsidRPr="002D24E2" w:rsidRDefault="00F57C07" w:rsidP="00F57C07">
      <w:pPr>
        <w:rPr>
          <w:rFonts w:ascii="Times New Roman" w:hAnsi="Times New Roman"/>
        </w:rPr>
      </w:pPr>
      <w:r w:rsidRPr="002D24E2">
        <w:rPr>
          <w:rFonts w:ascii="Times New Roman" w:hAnsi="Times New Roman"/>
        </w:rPr>
        <w:t>Exhibit</w:t>
      </w:r>
      <w:r>
        <w:rPr>
          <w:rFonts w:ascii="Times New Roman" w:hAnsi="Times New Roman"/>
        </w:rPr>
        <w:t xml:space="preserve"> 2c. Year 3</w:t>
      </w:r>
      <w:r w:rsidRPr="002D24E2">
        <w:rPr>
          <w:rFonts w:ascii="Times New Roman" w:hAnsi="Times New Roman"/>
        </w:rPr>
        <w:t xml:space="preserve"> Agency Burden and Cost, NESHAP for Electric Generating Units (40 CFR part 63, subpart UUUUU)</w:t>
      </w:r>
    </w:p>
    <w:p w:rsidR="002D24E2" w:rsidRDefault="002D24E2" w:rsidP="00593F37">
      <w:pPr>
        <w:rPr>
          <w:rFonts w:ascii="Times New Roman" w:hAnsi="Times New Roman"/>
        </w:rPr>
      </w:pPr>
    </w:p>
    <w:p w:rsidR="002D24E2" w:rsidRPr="00640B02" w:rsidRDefault="002D24E2" w:rsidP="00593F37">
      <w:pPr>
        <w:rPr>
          <w:rFonts w:ascii="Times New Roman" w:hAnsi="Times New Roman"/>
        </w:rPr>
        <w:sectPr w:rsidR="002D24E2" w:rsidRPr="00640B02" w:rsidSect="00F773E1">
          <w:footerReference w:type="default" r:id="rId11"/>
          <w:pgSz w:w="12240" w:h="15840"/>
          <w:pgMar w:top="1440" w:right="1440" w:bottom="1440" w:left="1440" w:header="720" w:footer="720" w:gutter="0"/>
          <w:cols w:space="720"/>
          <w:docGrid w:linePitch="360"/>
        </w:sectPr>
      </w:pPr>
    </w:p>
    <w:p w:rsidR="00F11CCB" w:rsidRPr="00640B02" w:rsidRDefault="008403BE" w:rsidP="00640B02">
      <w:pPr>
        <w:pStyle w:val="ExhibitTitle"/>
        <w:rPr>
          <w:rFonts w:ascii="Times New Roman" w:hAnsi="Times New Roman"/>
        </w:rPr>
      </w:pPr>
      <w:r>
        <w:rPr>
          <w:rFonts w:ascii="Times New Roman" w:hAnsi="Times New Roman"/>
        </w:rPr>
        <w:lastRenderedPageBreak/>
        <w:t>Exhibit</w:t>
      </w:r>
      <w:r w:rsidRPr="00640B02">
        <w:rPr>
          <w:rFonts w:ascii="Times New Roman" w:hAnsi="Times New Roman"/>
        </w:rPr>
        <w:t xml:space="preserve"> </w:t>
      </w:r>
      <w:r w:rsidR="00F11CCB" w:rsidRPr="00640B02">
        <w:rPr>
          <w:rFonts w:ascii="Times New Roman" w:hAnsi="Times New Roman"/>
        </w:rPr>
        <w:t>1a</w:t>
      </w:r>
      <w:r w:rsidR="00F11CCB" w:rsidRPr="00640B02">
        <w:rPr>
          <w:rFonts w:ascii="Times New Roman" w:hAnsi="Times New Roman"/>
        </w:rPr>
        <w:tab/>
      </w:r>
      <w:r w:rsidR="00180971" w:rsidRPr="00640B02">
        <w:rPr>
          <w:rFonts w:ascii="Times New Roman" w:hAnsi="Times New Roman"/>
        </w:rPr>
        <w:t xml:space="preserve">Year 1 Respondent Burden of Reporting and Recordkeeping Requirements, NESHAP for </w:t>
      </w:r>
      <w:r w:rsidR="00640B02" w:rsidRPr="00640B02">
        <w:rPr>
          <w:rFonts w:ascii="Times New Roman" w:hAnsi="Times New Roman"/>
        </w:rPr>
        <w:t>Electric Generating Units</w:t>
      </w:r>
      <w:r w:rsidR="00180971" w:rsidRPr="00640B02">
        <w:rPr>
          <w:rFonts w:ascii="Times New Roman" w:hAnsi="Times New Roman"/>
        </w:rPr>
        <w:t xml:space="preserve"> (40 CFR part 63, subpart </w:t>
      </w:r>
      <w:r w:rsidR="00640B02" w:rsidRPr="00640B02">
        <w:rPr>
          <w:rFonts w:ascii="Times New Roman" w:hAnsi="Times New Roman"/>
        </w:rPr>
        <w:t>UUUUU)</w:t>
      </w:r>
    </w:p>
    <w:p w:rsidR="00F11CCB" w:rsidRDefault="00F11CCB" w:rsidP="00593F37">
      <w:pPr>
        <w:rPr>
          <w:rFonts w:ascii="Times New Roman" w:hAnsi="Times New Roman"/>
          <w:highlight w:val="yellow"/>
        </w:rPr>
      </w:pPr>
    </w:p>
    <w:tbl>
      <w:tblPr>
        <w:tblW w:w="5000" w:type="pct"/>
        <w:tblLayout w:type="fixed"/>
        <w:tblLook w:val="04A0"/>
      </w:tblPr>
      <w:tblGrid>
        <w:gridCol w:w="256"/>
        <w:gridCol w:w="256"/>
        <w:gridCol w:w="3558"/>
        <w:gridCol w:w="988"/>
        <w:gridCol w:w="1352"/>
        <w:gridCol w:w="1262"/>
        <w:gridCol w:w="1080"/>
        <w:gridCol w:w="1080"/>
        <w:gridCol w:w="1170"/>
        <w:gridCol w:w="986"/>
        <w:gridCol w:w="1188"/>
      </w:tblGrid>
      <w:tr w:rsidR="00332DD0" w:rsidRPr="00332DD0" w:rsidTr="00D145D6">
        <w:trPr>
          <w:cantSplit/>
          <w:trHeight w:val="780"/>
          <w:tblHeader/>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32DD0" w:rsidRPr="00332DD0" w:rsidRDefault="00332DD0" w:rsidP="00332DD0">
            <w:pPr>
              <w:jc w:val="center"/>
              <w:rPr>
                <w:rFonts w:ascii="Times New Roman" w:eastAsia="Times New Roman" w:hAnsi="Times New Roman"/>
                <w:b/>
                <w:bCs/>
                <w:color w:val="000000"/>
                <w:sz w:val="16"/>
                <w:szCs w:val="16"/>
              </w:rPr>
            </w:pPr>
            <w:bookmarkStart w:id="1" w:name="RANGE!A1:K81"/>
            <w:r w:rsidRPr="00332DD0">
              <w:rPr>
                <w:rFonts w:ascii="Times New Roman" w:eastAsia="Times New Roman" w:hAnsi="Times New Roman"/>
                <w:b/>
                <w:bCs/>
                <w:color w:val="000000"/>
                <w:sz w:val="16"/>
                <w:szCs w:val="16"/>
              </w:rPr>
              <w:t>Year 1</w:t>
            </w:r>
            <w:bookmarkEnd w:id="1"/>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(C)  Hours/ Respondent/ </w:t>
            </w:r>
            <w:r w:rsidRPr="00332DD0">
              <w:rPr>
                <w:rFonts w:ascii="Times New Roman" w:eastAsia="Times New Roman" w:hAnsi="Times New Roman"/>
                <w:color w:val="000000"/>
                <w:sz w:val="16"/>
                <w:szCs w:val="16"/>
              </w:rPr>
              <w:br/>
              <w:t>Year (A x B)</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(F) Managerial Hours/Year (E x 0.05)</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(G) Clerical Hours/Year (E x 0.10)</w:t>
            </w:r>
          </w:p>
        </w:tc>
        <w:tc>
          <w:tcPr>
            <w:tcW w:w="451"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sz w:val="16"/>
                <w:szCs w:val="16"/>
              </w:rPr>
            </w:pPr>
            <w:r w:rsidRPr="00332DD0">
              <w:rPr>
                <w:rFonts w:ascii="Times New Roman" w:eastAsia="Times New Roman" w:hAnsi="Times New Roman"/>
                <w:sz w:val="16"/>
                <w:szCs w:val="16"/>
              </w:rPr>
              <w:t>(H)  Cost/ Year</w:t>
            </w:r>
          </w:p>
        </w:tc>
      </w:tr>
      <w:tr w:rsidR="00332DD0" w:rsidRPr="00332DD0" w:rsidTr="00D145D6">
        <w:trPr>
          <w:trHeight w:val="300"/>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 APPLICATIONS (Not Applicable)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D145D6">
        <w:trPr>
          <w:trHeight w:val="300"/>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 SURVEY AND STUDIES (Not Applicable)</w:t>
            </w:r>
          </w:p>
        </w:tc>
        <w:tc>
          <w:tcPr>
            <w:tcW w:w="375"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D145D6">
        <w:trPr>
          <w:trHeight w:val="525"/>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sidR="004C3386">
              <w:rPr>
                <w:rFonts w:ascii="Times New Roman" w:eastAsia="Times New Roman" w:hAnsi="Times New Roman"/>
                <w:color w:val="000000"/>
                <w:sz w:val="16"/>
                <w:szCs w:val="16"/>
              </w:rPr>
              <w:t xml:space="preserve">. </w:t>
            </w:r>
            <w:r w:rsidRPr="00332DD0">
              <w:rPr>
                <w:rFonts w:ascii="Times New Roman" w:eastAsia="Times New Roman" w:hAnsi="Times New Roman"/>
                <w:color w:val="000000"/>
                <w:sz w:val="16"/>
                <w:szCs w:val="16"/>
              </w:rPr>
              <w:t>ACQUISITION, INSTALLATION, AND UTILIZATION OF TECHNOLOGY AND SYSTEMS</w:t>
            </w:r>
            <w:r w:rsidR="00B47C5E">
              <w:rPr>
                <w:rFonts w:ascii="Times New Roman" w:eastAsia="Times New Roman" w:hAnsi="Times New Roman"/>
                <w:color w:val="000000"/>
                <w:sz w:val="16"/>
                <w:szCs w:val="16"/>
              </w:rPr>
              <w:t xml:space="preserve"> </w:t>
            </w:r>
            <w:r w:rsidR="00B47C5E" w:rsidRPr="00B47C5E">
              <w:rPr>
                <w:rFonts w:ascii="Times New Roman" w:eastAsia="Times New Roman" w:hAnsi="Times New Roman"/>
                <w:color w:val="000000"/>
                <w:sz w:val="16"/>
                <w:szCs w:val="16"/>
                <w:vertAlign w:val="superscript"/>
              </w:rPr>
              <w:t>a</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16</w:t>
            </w:r>
            <w:r w:rsidR="00B602D6">
              <w:rPr>
                <w:rFonts w:ascii="Times New Roman" w:eastAsia="Times New Roman" w:hAnsi="Times New Roman"/>
                <w:color w:val="000000"/>
                <w:sz w:val="16"/>
                <w:szCs w:val="16"/>
              </w:rPr>
              <w:t>0.6</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16</w:t>
            </w:r>
            <w:r w:rsidR="00897BAA">
              <w:rPr>
                <w:rFonts w:ascii="Times New Roman" w:eastAsia="Times New Roman" w:hAnsi="Times New Roman"/>
                <w:color w:val="000000"/>
                <w:sz w:val="16"/>
                <w:szCs w:val="16"/>
              </w:rPr>
              <w:t>0.6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897BAA">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631</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101</w:t>
            </w:r>
            <w:r w:rsidR="00D145D6">
              <w:rPr>
                <w:rFonts w:ascii="Times New Roman" w:eastAsia="Times New Roman" w:hAnsi="Times New Roman"/>
                <w:color w:val="000000"/>
                <w:sz w:val="16"/>
                <w:szCs w:val="16"/>
              </w:rPr>
              <w:t>,</w:t>
            </w:r>
            <w:r w:rsidR="00B72E16">
              <w:rPr>
                <w:rFonts w:ascii="Times New Roman" w:eastAsia="Times New Roman" w:hAnsi="Times New Roman"/>
                <w:color w:val="000000"/>
                <w:sz w:val="16"/>
                <w:szCs w:val="16"/>
              </w:rPr>
              <w:t>392</w:t>
            </w:r>
            <w:r w:rsidR="00897BAA">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5</w:t>
            </w:r>
            <w:r w:rsidR="00D145D6">
              <w:rPr>
                <w:rFonts w:ascii="Times New Roman" w:eastAsia="Times New Roman" w:hAnsi="Times New Roman"/>
                <w:color w:val="000000"/>
                <w:sz w:val="16"/>
                <w:szCs w:val="16"/>
              </w:rPr>
              <w:t>,</w:t>
            </w:r>
            <w:r w:rsidR="00897BAA">
              <w:rPr>
                <w:rFonts w:ascii="Times New Roman" w:eastAsia="Times New Roman" w:hAnsi="Times New Roman"/>
                <w:color w:val="000000"/>
                <w:sz w:val="16"/>
                <w:szCs w:val="16"/>
              </w:rPr>
              <w:t>06</w:t>
            </w:r>
            <w:r w:rsidR="00B72E16">
              <w:rPr>
                <w:rFonts w:ascii="Times New Roman" w:eastAsia="Times New Roman" w:hAnsi="Times New Roman"/>
                <w:color w:val="000000"/>
                <w:sz w:val="16"/>
                <w:szCs w:val="16"/>
              </w:rPr>
              <w:t>9.6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10</w:t>
            </w:r>
            <w:r w:rsidR="00D145D6">
              <w:rPr>
                <w:rFonts w:ascii="Times New Roman" w:eastAsia="Times New Roman" w:hAnsi="Times New Roman"/>
                <w:color w:val="000000"/>
                <w:sz w:val="16"/>
                <w:szCs w:val="16"/>
              </w:rPr>
              <w:t>,</w:t>
            </w:r>
            <w:r w:rsidR="00897BAA">
              <w:rPr>
                <w:rFonts w:ascii="Times New Roman" w:eastAsia="Times New Roman" w:hAnsi="Times New Roman"/>
                <w:color w:val="000000"/>
                <w:sz w:val="16"/>
                <w:szCs w:val="16"/>
              </w:rPr>
              <w:t>1</w:t>
            </w:r>
            <w:r w:rsidR="00B72E16">
              <w:rPr>
                <w:rFonts w:ascii="Times New Roman" w:eastAsia="Times New Roman" w:hAnsi="Times New Roman"/>
                <w:color w:val="000000"/>
                <w:sz w:val="16"/>
                <w:szCs w:val="16"/>
              </w:rPr>
              <w:t>39.2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897BAA">
              <w:rPr>
                <w:rFonts w:ascii="Times New Roman" w:eastAsia="Times New Roman" w:hAnsi="Times New Roman"/>
                <w:sz w:val="16"/>
                <w:szCs w:val="16"/>
              </w:rPr>
              <w:t>8</w:t>
            </w:r>
            <w:r w:rsidR="00D145D6">
              <w:rPr>
                <w:rFonts w:ascii="Times New Roman" w:eastAsia="Times New Roman" w:hAnsi="Times New Roman"/>
                <w:sz w:val="16"/>
                <w:szCs w:val="16"/>
              </w:rPr>
              <w:t>,</w:t>
            </w:r>
            <w:r w:rsidR="00897BAA">
              <w:rPr>
                <w:rFonts w:ascii="Times New Roman" w:eastAsia="Times New Roman" w:hAnsi="Times New Roman"/>
                <w:sz w:val="16"/>
                <w:szCs w:val="16"/>
              </w:rPr>
              <w:t>1</w:t>
            </w:r>
            <w:r w:rsidR="00B72E16">
              <w:rPr>
                <w:rFonts w:ascii="Times New Roman" w:eastAsia="Times New Roman" w:hAnsi="Times New Roman"/>
                <w:sz w:val="16"/>
                <w:szCs w:val="16"/>
              </w:rPr>
              <w:t>77</w:t>
            </w:r>
            <w:r w:rsidR="00D145D6">
              <w:rPr>
                <w:rFonts w:ascii="Times New Roman" w:eastAsia="Times New Roman" w:hAnsi="Times New Roman"/>
                <w:sz w:val="16"/>
                <w:szCs w:val="16"/>
              </w:rPr>
              <w:t>,</w:t>
            </w:r>
            <w:r w:rsidR="00B72E16">
              <w:rPr>
                <w:rFonts w:ascii="Times New Roman" w:eastAsia="Times New Roman" w:hAnsi="Times New Roman"/>
                <w:sz w:val="16"/>
                <w:szCs w:val="16"/>
              </w:rPr>
              <w:t>965</w:t>
            </w:r>
          </w:p>
        </w:tc>
      </w:tr>
      <w:tr w:rsidR="00332DD0" w:rsidRPr="00332DD0" w:rsidTr="00D145D6">
        <w:trPr>
          <w:trHeight w:val="255"/>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 REPORT REQUIREMENTS</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Read Instructions</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897BAA">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w:t>
            </w:r>
            <w:r w:rsidR="00B72E16">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86</w:t>
            </w:r>
            <w:r w:rsidR="00B72E16">
              <w:rPr>
                <w:rFonts w:ascii="Times New Roman" w:eastAsia="Times New Roman" w:hAnsi="Times New Roman"/>
                <w:color w:val="000000"/>
                <w:sz w:val="16"/>
                <w:szCs w:val="16"/>
              </w:rPr>
              <w:t>5</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43.2</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86.</w:t>
            </w:r>
            <w:r w:rsidR="00B72E16">
              <w:rPr>
                <w:rFonts w:ascii="Times New Roman" w:eastAsia="Times New Roman" w:hAnsi="Times New Roman"/>
                <w:color w:val="000000"/>
                <w:sz w:val="16"/>
                <w:szCs w:val="16"/>
              </w:rPr>
              <w:t>5</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897BAA">
              <w:rPr>
                <w:rFonts w:ascii="Times New Roman" w:eastAsia="Times New Roman" w:hAnsi="Times New Roman"/>
                <w:sz w:val="16"/>
                <w:szCs w:val="16"/>
              </w:rPr>
              <w:t>69</w:t>
            </w:r>
            <w:r w:rsidR="00D145D6">
              <w:rPr>
                <w:rFonts w:ascii="Times New Roman" w:eastAsia="Times New Roman" w:hAnsi="Times New Roman"/>
                <w:sz w:val="16"/>
                <w:szCs w:val="16"/>
              </w:rPr>
              <w:t>,</w:t>
            </w:r>
            <w:r w:rsidR="00B72E16">
              <w:rPr>
                <w:rFonts w:ascii="Times New Roman" w:eastAsia="Times New Roman" w:hAnsi="Times New Roman"/>
                <w:sz w:val="16"/>
                <w:szCs w:val="16"/>
              </w:rPr>
              <w:t>741</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sidR="00897BAA">
              <w:rPr>
                <w:rFonts w:ascii="Times New Roman" w:eastAsia="Times New Roman" w:hAnsi="Times New Roman"/>
                <w:sz w:val="16"/>
                <w:szCs w:val="16"/>
              </w:rPr>
              <w:t>61</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B47C5E" w:rsidP="00332DD0">
            <w:pPr>
              <w:rPr>
                <w:rFonts w:ascii="Times New Roman" w:eastAsia="Times New Roman" w:hAnsi="Times New Roman"/>
                <w:color w:val="000000"/>
                <w:sz w:val="16"/>
                <w:szCs w:val="16"/>
              </w:rPr>
            </w:pPr>
            <w:r>
              <w:rPr>
                <w:rFonts w:ascii="Times New Roman" w:eastAsia="Times New Roman" w:hAnsi="Times New Roman"/>
                <w:color w:val="000000"/>
                <w:sz w:val="16"/>
                <w:szCs w:val="16"/>
              </w:rPr>
              <w:t>B. Required Activities</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M5 and M202</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B602D6">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897BAA">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897BAA">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415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11</w:t>
            </w:r>
            <w:r w:rsidR="00D145D6">
              <w:rPr>
                <w:rFonts w:ascii="Times New Roman" w:eastAsia="Times New Roman" w:hAnsi="Times New Roman"/>
                <w:color w:val="000000"/>
                <w:sz w:val="16"/>
                <w:szCs w:val="16"/>
              </w:rPr>
              <w:t>,</w:t>
            </w:r>
            <w:r w:rsidR="00897BAA">
              <w:rPr>
                <w:rFonts w:ascii="Times New Roman" w:eastAsia="Times New Roman" w:hAnsi="Times New Roman"/>
                <w:color w:val="000000"/>
                <w:sz w:val="16"/>
                <w:szCs w:val="16"/>
              </w:rPr>
              <w:t>527.7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576.4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1</w:t>
            </w:r>
            <w:r w:rsidR="00D145D6">
              <w:rPr>
                <w:rFonts w:ascii="Times New Roman" w:eastAsia="Times New Roman" w:hAnsi="Times New Roman"/>
                <w:color w:val="000000"/>
                <w:sz w:val="16"/>
                <w:szCs w:val="16"/>
              </w:rPr>
              <w:t>,</w:t>
            </w:r>
            <w:r w:rsidR="00897BAA">
              <w:rPr>
                <w:rFonts w:ascii="Times New Roman" w:eastAsia="Times New Roman" w:hAnsi="Times New Roman"/>
                <w:color w:val="000000"/>
                <w:sz w:val="16"/>
                <w:szCs w:val="16"/>
              </w:rPr>
              <w:t>152.8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897BAA">
              <w:rPr>
                <w:rFonts w:ascii="Times New Roman" w:eastAsia="Times New Roman" w:hAnsi="Times New Roman"/>
                <w:sz w:val="16"/>
                <w:szCs w:val="16"/>
              </w:rPr>
              <w:t>929</w:t>
            </w:r>
            <w:r w:rsidR="00D145D6">
              <w:rPr>
                <w:rFonts w:ascii="Times New Roman" w:eastAsia="Times New Roman" w:hAnsi="Times New Roman"/>
                <w:sz w:val="16"/>
                <w:szCs w:val="16"/>
              </w:rPr>
              <w:t>,</w:t>
            </w:r>
            <w:r w:rsidR="00897BAA">
              <w:rPr>
                <w:rFonts w:ascii="Times New Roman" w:eastAsia="Times New Roman" w:hAnsi="Times New Roman"/>
                <w:sz w:val="16"/>
                <w:szCs w:val="16"/>
              </w:rPr>
              <w:t>790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M29</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B602D6">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897BAA">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w:t>
            </w:r>
            <w:r w:rsidR="00897BAA">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97BAA">
              <w:rPr>
                <w:rFonts w:ascii="Times New Roman" w:eastAsia="Times New Roman" w:hAnsi="Times New Roman"/>
                <w:color w:val="000000"/>
                <w:sz w:val="16"/>
                <w:szCs w:val="16"/>
              </w:rPr>
              <w:t>11</w:t>
            </w:r>
            <w:r w:rsidR="00D145D6">
              <w:rPr>
                <w:rFonts w:ascii="Times New Roman" w:eastAsia="Times New Roman" w:hAnsi="Times New Roman"/>
                <w:color w:val="000000"/>
                <w:sz w:val="16"/>
                <w:szCs w:val="16"/>
              </w:rPr>
              <w:t>,</w:t>
            </w:r>
            <w:r w:rsidR="00897BAA">
              <w:rPr>
                <w:rFonts w:ascii="Times New Roman" w:eastAsia="Times New Roman" w:hAnsi="Times New Roman"/>
                <w:color w:val="000000"/>
                <w:sz w:val="16"/>
                <w:szCs w:val="16"/>
              </w:rPr>
              <w:t>527.7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5</w:t>
            </w:r>
            <w:r w:rsidR="00897BAA">
              <w:rPr>
                <w:rFonts w:ascii="Times New Roman" w:eastAsia="Times New Roman" w:hAnsi="Times New Roman"/>
                <w:color w:val="000000"/>
                <w:sz w:val="16"/>
                <w:szCs w:val="16"/>
              </w:rPr>
              <w:t>76.4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sidR="00D145D6">
              <w:rPr>
                <w:rFonts w:ascii="Times New Roman" w:eastAsia="Times New Roman" w:hAnsi="Times New Roman"/>
                <w:color w:val="000000"/>
                <w:sz w:val="16"/>
                <w:szCs w:val="16"/>
              </w:rPr>
              <w:t>,</w:t>
            </w:r>
            <w:r w:rsidR="00897BAA">
              <w:rPr>
                <w:rFonts w:ascii="Times New Roman" w:eastAsia="Times New Roman" w:hAnsi="Times New Roman"/>
                <w:color w:val="000000"/>
                <w:sz w:val="16"/>
                <w:szCs w:val="16"/>
              </w:rPr>
              <w:t>152.8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1E6EFB">
              <w:rPr>
                <w:rFonts w:ascii="Times New Roman" w:eastAsia="Times New Roman" w:hAnsi="Times New Roman"/>
                <w:sz w:val="16"/>
                <w:szCs w:val="16"/>
              </w:rPr>
              <w:t>929</w:t>
            </w:r>
            <w:r w:rsidR="00D145D6">
              <w:rPr>
                <w:rFonts w:ascii="Times New Roman" w:eastAsia="Times New Roman" w:hAnsi="Times New Roman"/>
                <w:sz w:val="16"/>
                <w:szCs w:val="16"/>
              </w:rPr>
              <w:t>,</w:t>
            </w:r>
            <w:r w:rsidR="001E6EFB">
              <w:rPr>
                <w:rFonts w:ascii="Times New Roman" w:eastAsia="Times New Roman" w:hAnsi="Times New Roman"/>
                <w:sz w:val="16"/>
                <w:szCs w:val="16"/>
              </w:rPr>
              <w:t>790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M320</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B602D6">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2</w:t>
            </w:r>
            <w:r w:rsidR="00D145D6">
              <w:rPr>
                <w:rFonts w:ascii="Times New Roman" w:eastAsia="Times New Roman" w:hAnsi="Times New Roman"/>
                <w:color w:val="000000"/>
                <w:sz w:val="16"/>
                <w:szCs w:val="16"/>
              </w:rPr>
              <w:t>,</w:t>
            </w:r>
            <w:r w:rsidR="001E6EFB">
              <w:rPr>
                <w:rFonts w:ascii="Times New Roman" w:eastAsia="Times New Roman" w:hAnsi="Times New Roman"/>
                <w:color w:val="000000"/>
                <w:sz w:val="16"/>
                <w:szCs w:val="16"/>
              </w:rPr>
              <w:t>2</w:t>
            </w:r>
            <w:r w:rsidR="005C36FA">
              <w:rPr>
                <w:rFonts w:ascii="Times New Roman" w:eastAsia="Times New Roman" w:hAnsi="Times New Roman"/>
                <w:color w:val="000000"/>
                <w:sz w:val="16"/>
                <w:szCs w:val="16"/>
              </w:rPr>
              <w:t>44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11</w:t>
            </w:r>
            <w:r w:rsidR="005C36FA">
              <w:rPr>
                <w:rFonts w:ascii="Times New Roman" w:eastAsia="Times New Roman" w:hAnsi="Times New Roman"/>
                <w:color w:val="000000"/>
                <w:sz w:val="16"/>
                <w:szCs w:val="16"/>
              </w:rPr>
              <w:t>2.2</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22</w:t>
            </w:r>
            <w:r w:rsidR="005C36FA">
              <w:rPr>
                <w:rFonts w:ascii="Times New Roman" w:eastAsia="Times New Roman" w:hAnsi="Times New Roman"/>
                <w:color w:val="000000"/>
                <w:sz w:val="16"/>
                <w:szCs w:val="16"/>
              </w:rPr>
              <w:t>4.4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1E6EFB">
              <w:rPr>
                <w:rFonts w:ascii="Times New Roman" w:eastAsia="Times New Roman" w:hAnsi="Times New Roman"/>
                <w:sz w:val="16"/>
                <w:szCs w:val="16"/>
              </w:rPr>
              <w:t>1</w:t>
            </w:r>
            <w:r w:rsidR="005C36FA">
              <w:rPr>
                <w:rFonts w:ascii="Times New Roman" w:eastAsia="Times New Roman" w:hAnsi="Times New Roman"/>
                <w:sz w:val="16"/>
                <w:szCs w:val="16"/>
              </w:rPr>
              <w:t>80,994</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B602D6">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w:t>
            </w:r>
            <w:r w:rsidR="00B602D6">
              <w:rPr>
                <w:rFonts w:ascii="Times New Roman" w:eastAsia="Times New Roman" w:hAnsi="Times New Roman"/>
                <w:color w:val="000000"/>
                <w:sz w:val="16"/>
                <w:szCs w:val="16"/>
              </w:rPr>
              <w:t>30B</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B602D6">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1E6EFB">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10</w:t>
            </w:r>
            <w:r w:rsidR="00D145D6">
              <w:rPr>
                <w:rFonts w:ascii="Times New Roman" w:eastAsia="Times New Roman" w:hAnsi="Times New Roman"/>
                <w:color w:val="000000"/>
                <w:sz w:val="16"/>
                <w:szCs w:val="16"/>
              </w:rPr>
              <w:t>,</w:t>
            </w:r>
            <w:r w:rsidR="001E6EFB">
              <w:rPr>
                <w:rFonts w:ascii="Times New Roman" w:eastAsia="Times New Roman" w:hAnsi="Times New Roman"/>
                <w:color w:val="000000"/>
                <w:sz w:val="16"/>
                <w:szCs w:val="16"/>
              </w:rPr>
              <w:t>147</w:t>
            </w:r>
            <w:r w:rsidRPr="00332DD0">
              <w:rPr>
                <w:rFonts w:ascii="Times New Roman" w:eastAsia="Times New Roman" w:hAnsi="Times New Roman"/>
                <w:color w:val="000000"/>
                <w:sz w:val="16"/>
                <w:szCs w:val="16"/>
              </w:rPr>
              <w:t xml:space="preserve"> </w:t>
            </w:r>
            <w:r w:rsidR="00A6706F">
              <w:rPr>
                <w:rFonts w:ascii="Times New Roman" w:eastAsia="Times New Roman" w:hAnsi="Times New Roman"/>
                <w:color w:val="000000"/>
                <w:sz w:val="16"/>
                <w:szCs w:val="16"/>
              </w:rPr>
              <w:t>.0</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507.4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1</w:t>
            </w:r>
            <w:r w:rsidR="00D145D6">
              <w:rPr>
                <w:rFonts w:ascii="Times New Roman" w:eastAsia="Times New Roman" w:hAnsi="Times New Roman"/>
                <w:color w:val="000000"/>
                <w:sz w:val="16"/>
                <w:szCs w:val="16"/>
              </w:rPr>
              <w:t>,</w:t>
            </w:r>
            <w:r w:rsidR="001E6EFB">
              <w:rPr>
                <w:rFonts w:ascii="Times New Roman" w:eastAsia="Times New Roman" w:hAnsi="Times New Roman"/>
                <w:color w:val="000000"/>
                <w:sz w:val="16"/>
                <w:szCs w:val="16"/>
              </w:rPr>
              <w:t>014.7</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1E6EFB">
              <w:rPr>
                <w:rFonts w:ascii="Times New Roman" w:eastAsia="Times New Roman" w:hAnsi="Times New Roman"/>
                <w:sz w:val="16"/>
                <w:szCs w:val="16"/>
              </w:rPr>
              <w:t>818</w:t>
            </w:r>
            <w:r w:rsidR="00D145D6">
              <w:rPr>
                <w:rFonts w:ascii="Times New Roman" w:eastAsia="Times New Roman" w:hAnsi="Times New Roman"/>
                <w:sz w:val="16"/>
                <w:szCs w:val="16"/>
              </w:rPr>
              <w:t>,</w:t>
            </w:r>
            <w:r w:rsidR="001E6EFB">
              <w:rPr>
                <w:rFonts w:ascii="Times New Roman" w:eastAsia="Times New Roman" w:hAnsi="Times New Roman"/>
                <w:sz w:val="16"/>
                <w:szCs w:val="16"/>
              </w:rPr>
              <w:t>425</w:t>
            </w:r>
          </w:p>
        </w:tc>
      </w:tr>
      <w:tr w:rsidR="00332DD0" w:rsidRPr="00332DD0" w:rsidTr="00D145D6">
        <w:trPr>
          <w:trHeight w:val="52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B602D6">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Existing Sources - Repeat M5 and </w:t>
            </w:r>
            <w:r w:rsidR="00B602D6">
              <w:rPr>
                <w:rFonts w:ascii="Times New Roman" w:eastAsia="Times New Roman" w:hAnsi="Times New Roman"/>
                <w:color w:val="000000"/>
                <w:sz w:val="16"/>
                <w:szCs w:val="16"/>
              </w:rPr>
              <w:t>M</w:t>
            </w:r>
            <w:r w:rsidRPr="00332DD0">
              <w:rPr>
                <w:rFonts w:ascii="Times New Roman" w:eastAsia="Times New Roman" w:hAnsi="Times New Roman"/>
                <w:color w:val="000000"/>
                <w:sz w:val="16"/>
                <w:szCs w:val="16"/>
              </w:rPr>
              <w:t>202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B602D6">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1E6EFB">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415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CA46D3">
              <w:rPr>
                <w:rFonts w:ascii="Times New Roman" w:eastAsia="Times New Roman" w:hAnsi="Times New Roman"/>
                <w:color w:val="000000"/>
                <w:sz w:val="16"/>
                <w:szCs w:val="16"/>
              </w:rPr>
              <w:t>11,5</w:t>
            </w:r>
            <w:r w:rsidR="005C36FA">
              <w:rPr>
                <w:rFonts w:ascii="Times New Roman" w:eastAsia="Times New Roman" w:hAnsi="Times New Roman"/>
                <w:color w:val="000000"/>
                <w:sz w:val="16"/>
                <w:szCs w:val="16"/>
              </w:rPr>
              <w:t>27.7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C36FA">
              <w:rPr>
                <w:rFonts w:ascii="Times New Roman" w:eastAsia="Times New Roman" w:hAnsi="Times New Roman"/>
                <w:color w:val="000000"/>
                <w:sz w:val="16"/>
                <w:szCs w:val="16"/>
              </w:rPr>
              <w:t>576.4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CA46D3">
              <w:rPr>
                <w:rFonts w:ascii="Times New Roman" w:eastAsia="Times New Roman" w:hAnsi="Times New Roman"/>
                <w:color w:val="000000"/>
                <w:sz w:val="16"/>
                <w:szCs w:val="16"/>
              </w:rPr>
              <w:t>1,15</w:t>
            </w:r>
            <w:r w:rsidR="005C36FA">
              <w:rPr>
                <w:rFonts w:ascii="Times New Roman" w:eastAsia="Times New Roman" w:hAnsi="Times New Roman"/>
                <w:color w:val="000000"/>
                <w:sz w:val="16"/>
                <w:szCs w:val="16"/>
              </w:rPr>
              <w:t>2.8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CA46D3">
              <w:rPr>
                <w:rFonts w:ascii="Times New Roman" w:eastAsia="Times New Roman" w:hAnsi="Times New Roman"/>
                <w:sz w:val="16"/>
                <w:szCs w:val="16"/>
              </w:rPr>
              <w:t>9</w:t>
            </w:r>
            <w:r w:rsidR="005C36FA">
              <w:rPr>
                <w:rFonts w:ascii="Times New Roman" w:eastAsia="Times New Roman" w:hAnsi="Times New Roman"/>
                <w:sz w:val="16"/>
                <w:szCs w:val="16"/>
              </w:rPr>
              <w:t>29,790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B602D6">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M29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B602D6">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M320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1E6EFB">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r w:rsidR="00B72E16">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CA46D3">
              <w:rPr>
                <w:rFonts w:ascii="Times New Roman" w:eastAsia="Times New Roman" w:hAnsi="Times New Roman"/>
                <w:color w:val="000000"/>
                <w:sz w:val="16"/>
                <w:szCs w:val="16"/>
              </w:rPr>
              <w:t>2,2</w:t>
            </w:r>
            <w:r w:rsidR="005C36FA">
              <w:rPr>
                <w:rFonts w:ascii="Times New Roman" w:eastAsia="Times New Roman" w:hAnsi="Times New Roman"/>
                <w:color w:val="000000"/>
                <w:sz w:val="16"/>
                <w:szCs w:val="16"/>
              </w:rPr>
              <w:t>44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CA46D3">
              <w:rPr>
                <w:rFonts w:ascii="Times New Roman" w:eastAsia="Times New Roman" w:hAnsi="Times New Roman"/>
                <w:color w:val="000000"/>
                <w:sz w:val="16"/>
                <w:szCs w:val="16"/>
              </w:rPr>
              <w:t>11</w:t>
            </w:r>
            <w:r w:rsidR="005C36FA">
              <w:rPr>
                <w:rFonts w:ascii="Times New Roman" w:eastAsia="Times New Roman" w:hAnsi="Times New Roman"/>
                <w:color w:val="000000"/>
                <w:sz w:val="16"/>
                <w:szCs w:val="16"/>
              </w:rPr>
              <w:t>2.2</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CA46D3">
              <w:rPr>
                <w:rFonts w:ascii="Times New Roman" w:eastAsia="Times New Roman" w:hAnsi="Times New Roman"/>
                <w:color w:val="000000"/>
                <w:sz w:val="16"/>
                <w:szCs w:val="16"/>
              </w:rPr>
              <w:t>22</w:t>
            </w:r>
            <w:r w:rsidR="005C36FA">
              <w:rPr>
                <w:rFonts w:ascii="Times New Roman" w:eastAsia="Times New Roman" w:hAnsi="Times New Roman"/>
                <w:color w:val="000000"/>
                <w:sz w:val="16"/>
                <w:szCs w:val="16"/>
              </w:rPr>
              <w:t>4.4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CA46D3">
              <w:rPr>
                <w:rFonts w:ascii="Times New Roman" w:eastAsia="Times New Roman" w:hAnsi="Times New Roman"/>
                <w:sz w:val="16"/>
                <w:szCs w:val="16"/>
              </w:rPr>
              <w:t>1</w:t>
            </w:r>
            <w:r w:rsidR="00DB3DB1">
              <w:rPr>
                <w:rFonts w:ascii="Times New Roman" w:eastAsia="Times New Roman" w:hAnsi="Times New Roman"/>
                <w:sz w:val="16"/>
                <w:szCs w:val="16"/>
              </w:rPr>
              <w:t>80</w:t>
            </w:r>
            <w:r w:rsidR="00CA46D3">
              <w:rPr>
                <w:rFonts w:ascii="Times New Roman" w:eastAsia="Times New Roman" w:hAnsi="Times New Roman"/>
                <w:sz w:val="16"/>
                <w:szCs w:val="16"/>
              </w:rPr>
              <w:t>,</w:t>
            </w:r>
            <w:r w:rsidR="00DB3DB1">
              <w:rPr>
                <w:rFonts w:ascii="Times New Roman" w:eastAsia="Times New Roman" w:hAnsi="Times New Roman"/>
                <w:sz w:val="16"/>
                <w:szCs w:val="16"/>
              </w:rPr>
              <w:t>994</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B602D6">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w:t>
            </w:r>
            <w:r w:rsidR="00B602D6">
              <w:rPr>
                <w:rFonts w:ascii="Times New Roman" w:eastAsia="Times New Roman" w:hAnsi="Times New Roman"/>
                <w:color w:val="000000"/>
                <w:sz w:val="16"/>
                <w:szCs w:val="16"/>
              </w:rPr>
              <w:t>30B</w:t>
            </w:r>
            <w:r w:rsidRPr="00332DD0">
              <w:rPr>
                <w:rFonts w:ascii="Times New Roman" w:eastAsia="Times New Roman" w:hAnsi="Times New Roman"/>
                <w:color w:val="000000"/>
                <w:sz w:val="16"/>
                <w:szCs w:val="16"/>
              </w:rPr>
              <w:t xml:space="preserve">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1E6EFB">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CA46D3">
              <w:rPr>
                <w:rFonts w:ascii="Times New Roman" w:eastAsia="Times New Roman" w:hAnsi="Times New Roman"/>
                <w:color w:val="000000"/>
                <w:sz w:val="16"/>
                <w:szCs w:val="16"/>
              </w:rPr>
              <w:t>10,147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CA46D3">
              <w:rPr>
                <w:rFonts w:ascii="Times New Roman" w:eastAsia="Times New Roman" w:hAnsi="Times New Roman"/>
                <w:color w:val="000000"/>
                <w:sz w:val="16"/>
                <w:szCs w:val="16"/>
              </w:rPr>
              <w:t>507.4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CA46D3">
              <w:rPr>
                <w:rFonts w:ascii="Times New Roman" w:eastAsia="Times New Roman" w:hAnsi="Times New Roman"/>
                <w:color w:val="000000"/>
                <w:sz w:val="16"/>
                <w:szCs w:val="16"/>
              </w:rPr>
              <w:t>1</w:t>
            </w:r>
            <w:r w:rsidR="00DB3DB1">
              <w:rPr>
                <w:rFonts w:ascii="Times New Roman" w:eastAsia="Times New Roman" w:hAnsi="Times New Roman"/>
                <w:color w:val="000000"/>
                <w:sz w:val="16"/>
                <w:szCs w:val="16"/>
              </w:rPr>
              <w:t>,</w:t>
            </w:r>
            <w:r w:rsidR="00CA46D3">
              <w:rPr>
                <w:rFonts w:ascii="Times New Roman" w:eastAsia="Times New Roman" w:hAnsi="Times New Roman"/>
                <w:color w:val="000000"/>
                <w:sz w:val="16"/>
                <w:szCs w:val="16"/>
              </w:rPr>
              <w:t>014.7</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CA46D3">
              <w:rPr>
                <w:rFonts w:ascii="Times New Roman" w:eastAsia="Times New Roman" w:hAnsi="Times New Roman"/>
                <w:sz w:val="16"/>
                <w:szCs w:val="16"/>
              </w:rPr>
              <w:t>818,425</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w:t>
            </w:r>
            <w:r w:rsidR="00B47C5E">
              <w:rPr>
                <w:rFonts w:ascii="Times New Roman" w:eastAsia="Times New Roman" w:hAnsi="Times New Roman"/>
                <w:color w:val="000000"/>
                <w:sz w:val="16"/>
                <w:szCs w:val="16"/>
              </w:rPr>
              <w:t>es - CEMS Quarterly Inspections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1E6EFB">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1E6EFB">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8</w:t>
            </w:r>
            <w:r w:rsidR="00D145D6">
              <w:rPr>
                <w:rFonts w:ascii="Times New Roman" w:eastAsia="Times New Roman" w:hAnsi="Times New Roman"/>
                <w:color w:val="000000"/>
                <w:sz w:val="16"/>
                <w:szCs w:val="16"/>
              </w:rPr>
              <w:t>,</w:t>
            </w:r>
            <w:r w:rsidR="001E6EFB">
              <w:rPr>
                <w:rFonts w:ascii="Times New Roman" w:eastAsia="Times New Roman" w:hAnsi="Times New Roman"/>
                <w:color w:val="000000"/>
                <w:sz w:val="16"/>
                <w:szCs w:val="16"/>
              </w:rPr>
              <w:t>64</w:t>
            </w:r>
            <w:r w:rsidR="005C36FA">
              <w:rPr>
                <w:rFonts w:ascii="Times New Roman" w:eastAsia="Times New Roman" w:hAnsi="Times New Roman"/>
                <w:color w:val="000000"/>
                <w:sz w:val="16"/>
                <w:szCs w:val="16"/>
              </w:rPr>
              <w:t>6.7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432</w:t>
            </w:r>
            <w:r w:rsidR="005C36FA">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864</w:t>
            </w:r>
            <w:r w:rsidR="005C36FA">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1E6EFB">
              <w:rPr>
                <w:rFonts w:ascii="Times New Roman" w:eastAsia="Times New Roman" w:hAnsi="Times New Roman"/>
                <w:sz w:val="16"/>
                <w:szCs w:val="16"/>
              </w:rPr>
              <w:t>69</w:t>
            </w:r>
            <w:r w:rsidR="005C36FA">
              <w:rPr>
                <w:rFonts w:ascii="Times New Roman" w:eastAsia="Times New Roman" w:hAnsi="Times New Roman"/>
                <w:sz w:val="16"/>
                <w:szCs w:val="16"/>
              </w:rPr>
              <w:t>7</w:t>
            </w:r>
            <w:r w:rsidR="00D145D6">
              <w:rPr>
                <w:rFonts w:ascii="Times New Roman" w:eastAsia="Times New Roman" w:hAnsi="Times New Roman"/>
                <w:sz w:val="16"/>
                <w:szCs w:val="16"/>
              </w:rPr>
              <w:t>,</w:t>
            </w:r>
            <w:r w:rsidR="005C36FA">
              <w:rPr>
                <w:rFonts w:ascii="Times New Roman" w:eastAsia="Times New Roman" w:hAnsi="Times New Roman"/>
                <w:sz w:val="16"/>
                <w:szCs w:val="16"/>
              </w:rPr>
              <w:t>412</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CEM</w:t>
            </w:r>
            <w:r w:rsidR="00B47C5E">
              <w:rPr>
                <w:rFonts w:ascii="Times New Roman" w:eastAsia="Times New Roman" w:hAnsi="Times New Roman"/>
                <w:color w:val="000000"/>
                <w:sz w:val="16"/>
                <w:szCs w:val="16"/>
              </w:rPr>
              <w:t>S Daily Calibration Drift Tests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r w:rsidR="001E6EFB">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sidR="001E6EFB">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1E6EFB">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146</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126</w:t>
            </w:r>
            <w:r w:rsidR="00D145D6">
              <w:rPr>
                <w:rFonts w:ascii="Times New Roman" w:eastAsia="Times New Roman" w:hAnsi="Times New Roman"/>
                <w:color w:val="000000"/>
                <w:sz w:val="16"/>
                <w:szCs w:val="16"/>
              </w:rPr>
              <w:t>,</w:t>
            </w:r>
            <w:r w:rsidR="005C36FA">
              <w:rPr>
                <w:rFonts w:ascii="Times New Roman" w:eastAsia="Times New Roman" w:hAnsi="Times New Roman"/>
                <w:color w:val="000000"/>
                <w:sz w:val="16"/>
                <w:szCs w:val="16"/>
              </w:rPr>
              <w:t>241</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6</w:t>
            </w:r>
            <w:r w:rsidR="00D145D6">
              <w:rPr>
                <w:rFonts w:ascii="Times New Roman" w:eastAsia="Times New Roman" w:hAnsi="Times New Roman"/>
                <w:color w:val="000000"/>
                <w:sz w:val="16"/>
                <w:szCs w:val="16"/>
              </w:rPr>
              <w:t>,</w:t>
            </w:r>
            <w:r w:rsidR="001E6EFB">
              <w:rPr>
                <w:rFonts w:ascii="Times New Roman" w:eastAsia="Times New Roman" w:hAnsi="Times New Roman"/>
                <w:color w:val="000000"/>
                <w:sz w:val="16"/>
                <w:szCs w:val="16"/>
              </w:rPr>
              <w:t>3</w:t>
            </w:r>
            <w:r w:rsidR="005C36FA">
              <w:rPr>
                <w:rFonts w:ascii="Times New Roman" w:eastAsia="Times New Roman" w:hAnsi="Times New Roman"/>
                <w:color w:val="000000"/>
                <w:sz w:val="16"/>
                <w:szCs w:val="16"/>
              </w:rPr>
              <w:t>12.1</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12</w:t>
            </w:r>
            <w:r w:rsidR="00D145D6">
              <w:rPr>
                <w:rFonts w:ascii="Times New Roman" w:eastAsia="Times New Roman" w:hAnsi="Times New Roman"/>
                <w:color w:val="000000"/>
                <w:sz w:val="16"/>
                <w:szCs w:val="16"/>
              </w:rPr>
              <w:t>,</w:t>
            </w:r>
            <w:r w:rsidR="001E6EFB">
              <w:rPr>
                <w:rFonts w:ascii="Times New Roman" w:eastAsia="Times New Roman" w:hAnsi="Times New Roman"/>
                <w:color w:val="000000"/>
                <w:sz w:val="16"/>
                <w:szCs w:val="16"/>
              </w:rPr>
              <w:t>6</w:t>
            </w:r>
            <w:r w:rsidR="005C36FA">
              <w:rPr>
                <w:rFonts w:ascii="Times New Roman" w:eastAsia="Times New Roman" w:hAnsi="Times New Roman"/>
                <w:color w:val="000000"/>
                <w:sz w:val="16"/>
                <w:szCs w:val="16"/>
              </w:rPr>
              <w:t>24.1</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1E6EFB">
              <w:rPr>
                <w:rFonts w:ascii="Times New Roman" w:eastAsia="Times New Roman" w:hAnsi="Times New Roman"/>
                <w:sz w:val="16"/>
                <w:szCs w:val="16"/>
              </w:rPr>
              <w:t>10</w:t>
            </w:r>
            <w:r w:rsidR="00D145D6">
              <w:rPr>
                <w:rFonts w:ascii="Times New Roman" w:eastAsia="Times New Roman" w:hAnsi="Times New Roman"/>
                <w:sz w:val="16"/>
                <w:szCs w:val="16"/>
              </w:rPr>
              <w:t>,</w:t>
            </w:r>
            <w:r w:rsidR="001E6EFB">
              <w:rPr>
                <w:rFonts w:ascii="Times New Roman" w:eastAsia="Times New Roman" w:hAnsi="Times New Roman"/>
                <w:sz w:val="16"/>
                <w:szCs w:val="16"/>
              </w:rPr>
              <w:t>1</w:t>
            </w:r>
            <w:r w:rsidR="005C36FA">
              <w:rPr>
                <w:rFonts w:ascii="Times New Roman" w:eastAsia="Times New Roman" w:hAnsi="Times New Roman"/>
                <w:sz w:val="16"/>
                <w:szCs w:val="16"/>
              </w:rPr>
              <w:t>82,222</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Daily monitoring (CEMS)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r w:rsidR="001E6EFB">
              <w:rPr>
                <w:rFonts w:ascii="Times New Roman" w:eastAsia="Times New Roman" w:hAnsi="Times New Roman"/>
                <w:color w:val="000000"/>
                <w:sz w:val="16"/>
                <w:szCs w:val="16"/>
              </w:rPr>
              <w:t>25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sidR="001E6EFB">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9</w:t>
            </w:r>
            <w:r w:rsidR="001E6EFB">
              <w:rPr>
                <w:rFonts w:ascii="Times New Roman" w:eastAsia="Times New Roman" w:hAnsi="Times New Roman"/>
                <w:color w:val="000000"/>
                <w:sz w:val="16"/>
                <w:szCs w:val="16"/>
              </w:rPr>
              <w:t>1.25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78</w:t>
            </w:r>
            <w:r w:rsidR="00D145D6">
              <w:rPr>
                <w:rFonts w:ascii="Times New Roman" w:eastAsia="Times New Roman" w:hAnsi="Times New Roman"/>
                <w:color w:val="000000"/>
                <w:sz w:val="16"/>
                <w:szCs w:val="16"/>
              </w:rPr>
              <w:t>,</w:t>
            </w:r>
            <w:r w:rsidR="005C36FA">
              <w:rPr>
                <w:rFonts w:ascii="Times New Roman" w:eastAsia="Times New Roman" w:hAnsi="Times New Roman"/>
                <w:color w:val="000000"/>
                <w:sz w:val="16"/>
                <w:szCs w:val="16"/>
              </w:rPr>
              <w:t>900.8</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3</w:t>
            </w:r>
            <w:r w:rsidR="00D145D6">
              <w:rPr>
                <w:rFonts w:ascii="Times New Roman" w:eastAsia="Times New Roman" w:hAnsi="Times New Roman"/>
                <w:color w:val="000000"/>
                <w:sz w:val="16"/>
                <w:szCs w:val="16"/>
              </w:rPr>
              <w:t>,</w:t>
            </w:r>
            <w:r w:rsidR="001E6EFB">
              <w:rPr>
                <w:rFonts w:ascii="Times New Roman" w:eastAsia="Times New Roman" w:hAnsi="Times New Roman"/>
                <w:color w:val="000000"/>
                <w:sz w:val="16"/>
                <w:szCs w:val="16"/>
              </w:rPr>
              <w:t>94</w:t>
            </w:r>
            <w:r w:rsidR="005C36FA">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1E6EFB">
              <w:rPr>
                <w:rFonts w:ascii="Times New Roman" w:eastAsia="Times New Roman" w:hAnsi="Times New Roman"/>
                <w:color w:val="000000"/>
                <w:sz w:val="16"/>
                <w:szCs w:val="16"/>
              </w:rPr>
              <w:t>7</w:t>
            </w:r>
            <w:r w:rsidR="00D145D6">
              <w:rPr>
                <w:rFonts w:ascii="Times New Roman" w:eastAsia="Times New Roman" w:hAnsi="Times New Roman"/>
                <w:color w:val="000000"/>
                <w:sz w:val="16"/>
                <w:szCs w:val="16"/>
              </w:rPr>
              <w:t>,</w:t>
            </w:r>
            <w:r w:rsidR="001E6EFB">
              <w:rPr>
                <w:rFonts w:ascii="Times New Roman" w:eastAsia="Times New Roman" w:hAnsi="Times New Roman"/>
                <w:color w:val="000000"/>
                <w:sz w:val="16"/>
                <w:szCs w:val="16"/>
              </w:rPr>
              <w:t>8</w:t>
            </w:r>
            <w:r w:rsidR="005C36FA">
              <w:rPr>
                <w:rFonts w:ascii="Times New Roman" w:eastAsia="Times New Roman" w:hAnsi="Times New Roman"/>
                <w:color w:val="000000"/>
                <w:sz w:val="16"/>
                <w:szCs w:val="16"/>
              </w:rPr>
              <w:t>90.1</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1E6EFB">
              <w:rPr>
                <w:rFonts w:ascii="Times New Roman" w:eastAsia="Times New Roman" w:hAnsi="Times New Roman"/>
                <w:sz w:val="16"/>
                <w:szCs w:val="16"/>
              </w:rPr>
              <w:t>6</w:t>
            </w:r>
            <w:r w:rsidR="00D145D6">
              <w:rPr>
                <w:rFonts w:ascii="Times New Roman" w:eastAsia="Times New Roman" w:hAnsi="Times New Roman"/>
                <w:sz w:val="16"/>
                <w:szCs w:val="16"/>
              </w:rPr>
              <w:t>,</w:t>
            </w:r>
            <w:r w:rsidR="001E6EFB">
              <w:rPr>
                <w:rFonts w:ascii="Times New Roman" w:eastAsia="Times New Roman" w:hAnsi="Times New Roman"/>
                <w:sz w:val="16"/>
                <w:szCs w:val="16"/>
              </w:rPr>
              <w:t>3</w:t>
            </w:r>
            <w:r w:rsidR="005C36FA">
              <w:rPr>
                <w:rFonts w:ascii="Times New Roman" w:eastAsia="Times New Roman" w:hAnsi="Times New Roman"/>
                <w:sz w:val="16"/>
                <w:szCs w:val="16"/>
              </w:rPr>
              <w:t>63,889</w:t>
            </w:r>
          </w:p>
        </w:tc>
      </w:tr>
      <w:tr w:rsidR="00332DD0" w:rsidRPr="00332DD0" w:rsidTr="00D145D6">
        <w:trPr>
          <w:trHeight w:val="52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All CEMS must follow appropr</w:t>
            </w:r>
            <w:r w:rsidR="00B47C5E">
              <w:rPr>
                <w:rFonts w:ascii="Times New Roman" w:eastAsia="Times New Roman" w:hAnsi="Times New Roman"/>
                <w:color w:val="000000"/>
                <w:sz w:val="16"/>
                <w:szCs w:val="16"/>
              </w:rPr>
              <w:t>iate performance specifications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EE765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EE765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EE765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EE7658">
              <w:rPr>
                <w:rFonts w:ascii="Times New Roman" w:eastAsia="Times New Roman" w:hAnsi="Times New Roman"/>
                <w:color w:val="000000"/>
                <w:sz w:val="16"/>
                <w:szCs w:val="16"/>
              </w:rPr>
              <w:t>12,</w:t>
            </w:r>
            <w:r w:rsidR="005C36FA">
              <w:rPr>
                <w:rFonts w:ascii="Times New Roman" w:eastAsia="Times New Roman" w:hAnsi="Times New Roman"/>
                <w:color w:val="000000"/>
                <w:sz w:val="16"/>
                <w:szCs w:val="16"/>
              </w:rPr>
              <w:t>105.3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60</w:t>
            </w:r>
            <w:r w:rsidR="005C36FA">
              <w:rPr>
                <w:rFonts w:ascii="Times New Roman" w:eastAsia="Times New Roman" w:hAnsi="Times New Roman"/>
                <w:color w:val="000000"/>
                <w:sz w:val="16"/>
                <w:szCs w:val="16"/>
              </w:rPr>
              <w:t>5.3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1</w:t>
            </w:r>
            <w:r w:rsidR="00D145D6">
              <w:rPr>
                <w:rFonts w:ascii="Times New Roman" w:eastAsia="Times New Roman" w:hAnsi="Times New Roman"/>
                <w:color w:val="000000"/>
                <w:sz w:val="16"/>
                <w:szCs w:val="16"/>
              </w:rPr>
              <w:t>,</w:t>
            </w:r>
            <w:r w:rsidR="00F32FC6">
              <w:rPr>
                <w:rFonts w:ascii="Times New Roman" w:eastAsia="Times New Roman" w:hAnsi="Times New Roman"/>
                <w:color w:val="000000"/>
                <w:sz w:val="16"/>
                <w:szCs w:val="16"/>
              </w:rPr>
              <w:t>2</w:t>
            </w:r>
            <w:r w:rsidR="005C36FA">
              <w:rPr>
                <w:rFonts w:ascii="Times New Roman" w:eastAsia="Times New Roman" w:hAnsi="Times New Roman"/>
                <w:color w:val="000000"/>
                <w:sz w:val="16"/>
                <w:szCs w:val="16"/>
              </w:rPr>
              <w:t>10.5</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F32FC6">
              <w:rPr>
                <w:rFonts w:ascii="Times New Roman" w:eastAsia="Times New Roman" w:hAnsi="Times New Roman"/>
                <w:sz w:val="16"/>
                <w:szCs w:val="16"/>
              </w:rPr>
              <w:t>97</w:t>
            </w:r>
            <w:r w:rsidR="005C36FA">
              <w:rPr>
                <w:rFonts w:ascii="Times New Roman" w:eastAsia="Times New Roman" w:hAnsi="Times New Roman"/>
                <w:sz w:val="16"/>
                <w:szCs w:val="16"/>
              </w:rPr>
              <w:t>6</w:t>
            </w:r>
            <w:r w:rsidR="00D145D6">
              <w:rPr>
                <w:rFonts w:ascii="Times New Roman" w:eastAsia="Times New Roman" w:hAnsi="Times New Roman"/>
                <w:sz w:val="16"/>
                <w:szCs w:val="16"/>
              </w:rPr>
              <w:t>,</w:t>
            </w:r>
            <w:r w:rsidR="005C36FA">
              <w:rPr>
                <w:rFonts w:ascii="Times New Roman" w:eastAsia="Times New Roman" w:hAnsi="Times New Roman"/>
                <w:sz w:val="16"/>
                <w:szCs w:val="16"/>
              </w:rPr>
              <w:t>377</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M5 and M202</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55.6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sidR="00573E04">
              <w:rPr>
                <w:rFonts w:ascii="Times New Roman" w:eastAsia="Times New Roman" w:hAnsi="Times New Roman"/>
                <w:color w:val="000000"/>
                <w:sz w:val="16"/>
                <w:szCs w:val="16"/>
              </w:rPr>
              <w:t>78</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5.56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$4,</w:t>
            </w:r>
            <w:r w:rsidR="00F32FC6">
              <w:rPr>
                <w:rFonts w:ascii="Times New Roman" w:eastAsia="Times New Roman" w:hAnsi="Times New Roman"/>
                <w:sz w:val="16"/>
                <w:szCs w:val="16"/>
              </w:rPr>
              <w:t>485</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M29</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55.6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sidR="00573E04">
              <w:rPr>
                <w:rFonts w:ascii="Times New Roman" w:eastAsia="Times New Roman" w:hAnsi="Times New Roman"/>
                <w:color w:val="000000"/>
                <w:sz w:val="16"/>
                <w:szCs w:val="16"/>
              </w:rPr>
              <w:t>78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5.56</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$4,</w:t>
            </w:r>
            <w:r w:rsidR="00573E04">
              <w:rPr>
                <w:rFonts w:ascii="Times New Roman" w:eastAsia="Times New Roman" w:hAnsi="Times New Roman"/>
                <w:sz w:val="16"/>
                <w:szCs w:val="16"/>
              </w:rPr>
              <w:t>485</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F32FC6">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w:t>
            </w:r>
            <w:r w:rsidR="00F32FC6">
              <w:rPr>
                <w:rFonts w:ascii="Times New Roman" w:eastAsia="Times New Roman" w:hAnsi="Times New Roman"/>
                <w:color w:val="000000"/>
                <w:sz w:val="16"/>
                <w:szCs w:val="16"/>
              </w:rPr>
              <w:t>26A</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6.4</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6.4</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52.8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sidR="00573E04">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5.3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$4,</w:t>
            </w:r>
            <w:r w:rsidR="00CA46D3">
              <w:rPr>
                <w:rFonts w:ascii="Times New Roman" w:eastAsia="Times New Roman" w:hAnsi="Times New Roman"/>
                <w:sz w:val="16"/>
                <w:szCs w:val="16"/>
              </w:rPr>
              <w:t>259</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M6A</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M5 and 202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M29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F32FC6">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w:t>
            </w:r>
            <w:r w:rsidR="00F32FC6">
              <w:rPr>
                <w:rFonts w:ascii="Times New Roman" w:eastAsia="Times New Roman" w:hAnsi="Times New Roman"/>
                <w:color w:val="000000"/>
                <w:sz w:val="16"/>
                <w:szCs w:val="16"/>
              </w:rPr>
              <w:t>26A</w:t>
            </w:r>
            <w:r w:rsidRPr="00332DD0">
              <w:rPr>
                <w:rFonts w:ascii="Times New Roman" w:eastAsia="Times New Roman" w:hAnsi="Times New Roman"/>
                <w:color w:val="000000"/>
                <w:sz w:val="16"/>
                <w:szCs w:val="16"/>
              </w:rPr>
              <w:t xml:space="preserve">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2</w:t>
            </w:r>
            <w:r w:rsidR="00F32FC6">
              <w:rPr>
                <w:rFonts w:ascii="Times New Roman" w:eastAsia="Times New Roman" w:hAnsi="Times New Roman"/>
                <w:sz w:val="16"/>
                <w:szCs w:val="16"/>
              </w:rPr>
              <w:t>6.</w:t>
            </w:r>
            <w:r w:rsidRPr="00332DD0">
              <w:rPr>
                <w:rFonts w:ascii="Times New Roman" w:eastAsia="Times New Roman" w:hAnsi="Times New Roman"/>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M6A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2</w:t>
            </w:r>
            <w:r w:rsidR="00F32FC6">
              <w:rPr>
                <w:rFonts w:ascii="Times New Roman" w:eastAsia="Times New Roman" w:hAnsi="Times New Roman"/>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Monitoring</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F32FC6">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Quarterly Inspections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sidR="00F32FC6">
              <w:rPr>
                <w:rFonts w:ascii="Times New Roman" w:eastAsia="Times New Roman" w:hAnsi="Times New Roman"/>
                <w:color w:val="000000"/>
                <w:sz w:val="16"/>
                <w:szCs w:val="16"/>
              </w:rPr>
              <w:t>.46</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9.84</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sidR="00F32FC6">
              <w:rPr>
                <w:rFonts w:ascii="Times New Roman" w:eastAsia="Times New Roman" w:hAnsi="Times New Roman"/>
                <w:color w:val="000000"/>
                <w:sz w:val="16"/>
                <w:szCs w:val="16"/>
              </w:rPr>
              <w:t>9.7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1</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2</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$1,5</w:t>
            </w:r>
            <w:r w:rsidR="00573E04">
              <w:rPr>
                <w:rFonts w:ascii="Times New Roman" w:eastAsia="Times New Roman" w:hAnsi="Times New Roman"/>
                <w:sz w:val="16"/>
                <w:szCs w:val="16"/>
              </w:rPr>
              <w:t>8</w:t>
            </w:r>
            <w:r w:rsidRPr="00332DD0">
              <w:rPr>
                <w:rFonts w:ascii="Times New Roman" w:eastAsia="Times New Roman" w:hAnsi="Times New Roman"/>
                <w:sz w:val="16"/>
                <w:szCs w:val="16"/>
              </w:rPr>
              <w:t>7</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Daily Calibration Drift Tests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r w:rsidR="00F32FC6">
              <w:rPr>
                <w:rFonts w:ascii="Times New Roman" w:eastAsia="Times New Roman" w:hAnsi="Times New Roman"/>
                <w:color w:val="000000"/>
                <w:sz w:val="16"/>
                <w:szCs w:val="16"/>
              </w:rPr>
              <w:t>121</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sidR="00F32FC6">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44.165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88.3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4.4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.8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7</w:t>
            </w:r>
            <w:r w:rsidR="00D145D6">
              <w:rPr>
                <w:rFonts w:ascii="Times New Roman" w:eastAsia="Times New Roman" w:hAnsi="Times New Roman"/>
                <w:sz w:val="16"/>
                <w:szCs w:val="16"/>
              </w:rPr>
              <w:t>,</w:t>
            </w:r>
            <w:r w:rsidR="00573E04">
              <w:rPr>
                <w:rFonts w:ascii="Times New Roman" w:eastAsia="Times New Roman" w:hAnsi="Times New Roman"/>
                <w:sz w:val="16"/>
                <w:szCs w:val="16"/>
              </w:rPr>
              <w:t>124</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Daily monitoring (CEMS</w:t>
            </w:r>
            <w:r w:rsidRPr="00332DD0">
              <w:rPr>
                <w:rFonts w:ascii="Times New Roman" w:eastAsia="Times New Roman" w:hAnsi="Times New Roman"/>
                <w:sz w:val="16"/>
                <w:szCs w:val="16"/>
              </w:rPr>
              <w:t>)</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sidR="00F32FC6">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F32FC6">
              <w:rPr>
                <w:rFonts w:ascii="Times New Roman" w:eastAsia="Times New Roman" w:hAnsi="Times New Roman"/>
                <w:sz w:val="16"/>
                <w:szCs w:val="16"/>
              </w:rPr>
              <w:t>0</w:t>
            </w:r>
          </w:p>
        </w:tc>
      </w:tr>
      <w:tr w:rsidR="00332DD0" w:rsidRPr="00332DD0" w:rsidTr="00D145D6">
        <w:trPr>
          <w:trHeight w:val="54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All CEMS must follow appropriate performance specifications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w:t>
            </w:r>
            <w:r w:rsidR="00332DD0" w:rsidRPr="00332DD0">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sidR="00F32FC6">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00D145D6">
              <w:rPr>
                <w:rFonts w:ascii="Times New Roman" w:eastAsia="Times New Roman" w:hAnsi="Times New Roman"/>
                <w:color w:val="000000"/>
                <w:sz w:val="16"/>
                <w:szCs w:val="16"/>
              </w:rPr>
              <w:t>,</w:t>
            </w:r>
            <w:r>
              <w:rPr>
                <w:rFonts w:ascii="Times New Roman" w:eastAsia="Times New Roman" w:hAnsi="Times New Roman"/>
                <w:color w:val="000000"/>
                <w:sz w:val="16"/>
                <w:szCs w:val="16"/>
              </w:rPr>
              <w:t>664.5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5</w:t>
            </w:r>
            <w:r w:rsidR="00D145D6">
              <w:rPr>
                <w:rFonts w:ascii="Times New Roman" w:eastAsia="Times New Roman" w:hAnsi="Times New Roman"/>
                <w:color w:val="000000"/>
                <w:sz w:val="16"/>
                <w:szCs w:val="16"/>
              </w:rPr>
              <w:t>,</w:t>
            </w:r>
            <w:r w:rsidR="00F32FC6">
              <w:rPr>
                <w:rFonts w:ascii="Times New Roman" w:eastAsia="Times New Roman" w:hAnsi="Times New Roman"/>
                <w:color w:val="000000"/>
                <w:sz w:val="16"/>
                <w:szCs w:val="16"/>
              </w:rPr>
              <w:t>329</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266.5</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532.9</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429</w:t>
            </w:r>
            <w:r w:rsidR="00D145D6">
              <w:rPr>
                <w:rFonts w:ascii="Times New Roman" w:eastAsia="Times New Roman" w:hAnsi="Times New Roman"/>
                <w:sz w:val="16"/>
                <w:szCs w:val="16"/>
              </w:rPr>
              <w:t>,</w:t>
            </w:r>
            <w:r w:rsidR="00573E04">
              <w:rPr>
                <w:rFonts w:ascii="Times New Roman" w:eastAsia="Times New Roman" w:hAnsi="Times New Roman"/>
                <w:sz w:val="16"/>
                <w:szCs w:val="16"/>
              </w:rPr>
              <w:t>820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 Create Information (Included in 4B)</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Gather Existing Information (Included in 4E)</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Write Report</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Notification of Demonstration of</w:t>
            </w:r>
            <w:r w:rsidR="00B47C5E">
              <w:rPr>
                <w:rFonts w:ascii="Times New Roman" w:eastAsia="Times New Roman" w:hAnsi="Times New Roman"/>
                <w:color w:val="000000"/>
                <w:sz w:val="16"/>
                <w:szCs w:val="16"/>
              </w:rPr>
              <w:t xml:space="preserve"> CEMS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4</w:t>
            </w:r>
            <w:r w:rsidR="00D145D6">
              <w:rPr>
                <w:rFonts w:ascii="Times New Roman" w:eastAsia="Times New Roman" w:hAnsi="Times New Roman"/>
                <w:color w:val="000000"/>
                <w:sz w:val="16"/>
                <w:szCs w:val="16"/>
              </w:rPr>
              <w:t>,</w:t>
            </w:r>
            <w:r w:rsidR="00F32FC6">
              <w:rPr>
                <w:rFonts w:ascii="Times New Roman" w:eastAsia="Times New Roman" w:hAnsi="Times New Roman"/>
                <w:color w:val="000000"/>
                <w:sz w:val="16"/>
                <w:szCs w:val="16"/>
              </w:rPr>
              <w:t>32</w:t>
            </w:r>
            <w:r w:rsidR="005C36FA">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216</w:t>
            </w:r>
            <w:r w:rsidR="005C36FA">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432</w:t>
            </w:r>
            <w:r w:rsidR="005C36FA">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348</w:t>
            </w:r>
            <w:r w:rsidR="00D145D6">
              <w:rPr>
                <w:rFonts w:ascii="Times New Roman" w:eastAsia="Times New Roman" w:hAnsi="Times New Roman"/>
                <w:sz w:val="16"/>
                <w:szCs w:val="16"/>
              </w:rPr>
              <w:t>,</w:t>
            </w:r>
            <w:r w:rsidR="005C36FA">
              <w:rPr>
                <w:rFonts w:ascii="Times New Roman" w:eastAsia="Times New Roman" w:hAnsi="Times New Roman"/>
                <w:sz w:val="16"/>
                <w:szCs w:val="16"/>
              </w:rPr>
              <w:t>706</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Report of Performance Test (included in 4B)</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w:t>
            </w:r>
            <w:r w:rsidR="00B47C5E">
              <w:rPr>
                <w:rFonts w:ascii="Times New Roman" w:eastAsia="Times New Roman" w:hAnsi="Times New Roman"/>
                <w:color w:val="000000"/>
                <w:sz w:val="16"/>
                <w:szCs w:val="16"/>
              </w:rPr>
              <w:t>ion of Initial Performance Test</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2</w:t>
            </w:r>
            <w:r w:rsidR="00D145D6">
              <w:rPr>
                <w:rFonts w:ascii="Times New Roman" w:eastAsia="Times New Roman" w:hAnsi="Times New Roman"/>
                <w:color w:val="000000"/>
                <w:sz w:val="16"/>
                <w:szCs w:val="16"/>
              </w:rPr>
              <w:t>,</w:t>
            </w:r>
            <w:r w:rsidR="005C36FA">
              <w:rPr>
                <w:rFonts w:ascii="Times New Roman" w:eastAsia="Times New Roman" w:hAnsi="Times New Roman"/>
                <w:color w:val="000000"/>
                <w:sz w:val="16"/>
                <w:szCs w:val="16"/>
              </w:rPr>
              <w:t>594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C36FA">
              <w:rPr>
                <w:rFonts w:ascii="Times New Roman" w:eastAsia="Times New Roman" w:hAnsi="Times New Roman"/>
                <w:color w:val="000000"/>
                <w:sz w:val="16"/>
                <w:szCs w:val="16"/>
              </w:rPr>
              <w:t>129.7</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C36FA">
              <w:rPr>
                <w:rFonts w:ascii="Times New Roman" w:eastAsia="Times New Roman" w:hAnsi="Times New Roman"/>
                <w:color w:val="000000"/>
                <w:sz w:val="16"/>
                <w:szCs w:val="16"/>
              </w:rPr>
              <w:t>259.4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209</w:t>
            </w:r>
            <w:r w:rsidR="00D145D6">
              <w:rPr>
                <w:rFonts w:ascii="Times New Roman" w:eastAsia="Times New Roman" w:hAnsi="Times New Roman"/>
                <w:sz w:val="16"/>
                <w:szCs w:val="16"/>
              </w:rPr>
              <w:t>,</w:t>
            </w:r>
            <w:r w:rsidR="005C36FA">
              <w:rPr>
                <w:rFonts w:ascii="Times New Roman" w:eastAsia="Times New Roman" w:hAnsi="Times New Roman"/>
                <w:sz w:val="16"/>
                <w:szCs w:val="16"/>
              </w:rPr>
              <w:t>224</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Quality Assurance Program Notification</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F32FC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F32FC6">
              <w:rPr>
                <w:rFonts w:ascii="Times New Roman" w:eastAsia="Times New Roman" w:hAnsi="Times New Roman"/>
                <w:color w:val="000000"/>
                <w:sz w:val="16"/>
                <w:szCs w:val="16"/>
              </w:rPr>
              <w:t>3</w:t>
            </w:r>
            <w:r w:rsidR="00D145D6">
              <w:rPr>
                <w:rFonts w:ascii="Times New Roman" w:eastAsia="Times New Roman" w:hAnsi="Times New Roman"/>
                <w:color w:val="000000"/>
                <w:sz w:val="16"/>
                <w:szCs w:val="16"/>
              </w:rPr>
              <w:t>,</w:t>
            </w:r>
            <w:r w:rsidR="005C36FA">
              <w:rPr>
                <w:rFonts w:ascii="Times New Roman" w:eastAsia="Times New Roman" w:hAnsi="Times New Roman"/>
                <w:color w:val="000000"/>
                <w:sz w:val="16"/>
                <w:szCs w:val="16"/>
              </w:rPr>
              <w:t>458.7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C36FA">
              <w:rPr>
                <w:rFonts w:ascii="Times New Roman" w:eastAsia="Times New Roman" w:hAnsi="Times New Roman"/>
                <w:color w:val="000000"/>
                <w:sz w:val="16"/>
                <w:szCs w:val="16"/>
              </w:rPr>
              <w:t>172.9</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C36FA">
              <w:rPr>
                <w:rFonts w:ascii="Times New Roman" w:eastAsia="Times New Roman" w:hAnsi="Times New Roman"/>
                <w:color w:val="000000"/>
                <w:sz w:val="16"/>
                <w:szCs w:val="16"/>
              </w:rPr>
              <w:t>345.9</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278</w:t>
            </w:r>
            <w:r w:rsidR="00D145D6">
              <w:rPr>
                <w:rFonts w:ascii="Times New Roman" w:eastAsia="Times New Roman" w:hAnsi="Times New Roman"/>
                <w:sz w:val="16"/>
                <w:szCs w:val="16"/>
              </w:rPr>
              <w:t>,</w:t>
            </w:r>
            <w:r w:rsidR="005C36FA">
              <w:rPr>
                <w:rFonts w:ascii="Times New Roman" w:eastAsia="Times New Roman" w:hAnsi="Times New Roman"/>
                <w:sz w:val="16"/>
                <w:szCs w:val="16"/>
              </w:rPr>
              <w:t>965</w:t>
            </w:r>
          </w:p>
        </w:tc>
      </w:tr>
      <w:tr w:rsidR="00332DD0" w:rsidRPr="00332DD0" w:rsidTr="00D145D6">
        <w:trPr>
          <w:trHeight w:val="52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B47C5E">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Existing Sources - Startup, shutdown, and malfunction Report </w:t>
            </w:r>
            <w:r w:rsidR="00B47C5E" w:rsidRPr="00B47C5E">
              <w:rPr>
                <w:rFonts w:ascii="Times New Roman" w:eastAsia="Times New Roman" w:hAnsi="Times New Roman"/>
                <w:color w:val="000000"/>
                <w:sz w:val="16"/>
                <w:szCs w:val="16"/>
                <w:vertAlign w:val="superscript"/>
              </w:rPr>
              <w:t>b</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w:t>
            </w:r>
            <w:r w:rsidR="00B72E16">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864</w:t>
            </w:r>
            <w:r w:rsidR="005C36FA">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43.2</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86.</w:t>
            </w:r>
            <w:r w:rsidR="005C36FA">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6</w:t>
            </w:r>
            <w:r w:rsidRPr="00332DD0">
              <w:rPr>
                <w:rFonts w:ascii="Times New Roman" w:eastAsia="Times New Roman" w:hAnsi="Times New Roman"/>
                <w:sz w:val="16"/>
                <w:szCs w:val="16"/>
              </w:rPr>
              <w:t>9,</w:t>
            </w:r>
            <w:r w:rsidR="005C36FA">
              <w:rPr>
                <w:rFonts w:ascii="Times New Roman" w:eastAsia="Times New Roman" w:hAnsi="Times New Roman"/>
                <w:sz w:val="16"/>
                <w:szCs w:val="16"/>
              </w:rPr>
              <w:t>741</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Semi-Annual Compliance Report</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129</w:t>
            </w:r>
            <w:r w:rsidR="00A6706F">
              <w:rPr>
                <w:rFonts w:ascii="Times New Roman" w:eastAsia="Times New Roman" w:hAnsi="Times New Roman"/>
                <w:color w:val="000000"/>
                <w:sz w:val="16"/>
                <w:szCs w:val="16"/>
              </w:rPr>
              <w:t>,</w:t>
            </w:r>
            <w:r w:rsidR="005C36FA">
              <w:rPr>
                <w:rFonts w:ascii="Times New Roman" w:eastAsia="Times New Roman" w:hAnsi="Times New Roman"/>
                <w:color w:val="000000"/>
                <w:sz w:val="16"/>
                <w:szCs w:val="16"/>
              </w:rPr>
              <w:t>7</w:t>
            </w:r>
            <w:r w:rsidR="00614897">
              <w:rPr>
                <w:rFonts w:ascii="Times New Roman" w:eastAsia="Times New Roman" w:hAnsi="Times New Roman"/>
                <w:color w:val="000000"/>
                <w:sz w:val="16"/>
                <w:szCs w:val="16"/>
              </w:rPr>
              <w:t>00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6</w:t>
            </w:r>
            <w:r w:rsidR="00A6706F">
              <w:rPr>
                <w:rFonts w:ascii="Times New Roman" w:eastAsia="Times New Roman" w:hAnsi="Times New Roman"/>
                <w:color w:val="000000"/>
                <w:sz w:val="16"/>
                <w:szCs w:val="16"/>
              </w:rPr>
              <w:t>,</w:t>
            </w:r>
            <w:r w:rsidR="00614897">
              <w:rPr>
                <w:rFonts w:ascii="Times New Roman" w:eastAsia="Times New Roman" w:hAnsi="Times New Roman"/>
                <w:color w:val="000000"/>
                <w:sz w:val="16"/>
                <w:szCs w:val="16"/>
              </w:rPr>
              <w:t>48</w:t>
            </w:r>
            <w:r w:rsidR="005C36FA">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12</w:t>
            </w:r>
            <w:r w:rsidR="00A6706F">
              <w:rPr>
                <w:rFonts w:ascii="Times New Roman" w:eastAsia="Times New Roman" w:hAnsi="Times New Roman"/>
                <w:color w:val="000000"/>
                <w:sz w:val="16"/>
                <w:szCs w:val="16"/>
              </w:rPr>
              <w:t>,</w:t>
            </w:r>
            <w:r w:rsidR="00573E04">
              <w:rPr>
                <w:rFonts w:ascii="Times New Roman" w:eastAsia="Times New Roman" w:hAnsi="Times New Roman"/>
                <w:color w:val="000000"/>
                <w:sz w:val="16"/>
                <w:szCs w:val="16"/>
              </w:rPr>
              <w:t>9</w:t>
            </w:r>
            <w:r w:rsidR="005C36FA">
              <w:rPr>
                <w:rFonts w:ascii="Times New Roman" w:eastAsia="Times New Roman" w:hAnsi="Times New Roman"/>
                <w:color w:val="000000"/>
                <w:sz w:val="16"/>
                <w:szCs w:val="16"/>
              </w:rPr>
              <w:t>7</w:t>
            </w:r>
            <w:r w:rsidR="00573E04">
              <w:rPr>
                <w:rFonts w:ascii="Times New Roman" w:eastAsia="Times New Roman" w:hAnsi="Times New Roman"/>
                <w:color w:val="000000"/>
                <w:sz w:val="16"/>
                <w:szCs w:val="16"/>
              </w:rPr>
              <w:t>0</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sidR="00573E04">
              <w:rPr>
                <w:rFonts w:ascii="Times New Roman" w:eastAsia="Times New Roman" w:hAnsi="Times New Roman"/>
                <w:sz w:val="16"/>
                <w:szCs w:val="16"/>
              </w:rPr>
              <w:t>0</w:t>
            </w:r>
            <w:r w:rsidRPr="00332DD0">
              <w:rPr>
                <w:rFonts w:ascii="Times New Roman" w:eastAsia="Times New Roman" w:hAnsi="Times New Roman"/>
                <w:sz w:val="16"/>
                <w:szCs w:val="16"/>
              </w:rPr>
              <w:t>,</w:t>
            </w:r>
            <w:r w:rsidR="00573E04">
              <w:rPr>
                <w:rFonts w:ascii="Times New Roman" w:eastAsia="Times New Roman" w:hAnsi="Times New Roman"/>
                <w:sz w:val="16"/>
                <w:szCs w:val="16"/>
              </w:rPr>
              <w:t>4</w:t>
            </w:r>
            <w:r w:rsidR="005C36FA">
              <w:rPr>
                <w:rFonts w:ascii="Times New Roman" w:eastAsia="Times New Roman" w:hAnsi="Times New Roman"/>
                <w:sz w:val="16"/>
                <w:szCs w:val="16"/>
              </w:rPr>
              <w:t>61</w:t>
            </w:r>
            <w:r w:rsidRPr="00332DD0">
              <w:rPr>
                <w:rFonts w:ascii="Times New Roman" w:eastAsia="Times New Roman" w:hAnsi="Times New Roman"/>
                <w:sz w:val="16"/>
                <w:szCs w:val="16"/>
              </w:rPr>
              <w:t>,</w:t>
            </w:r>
            <w:r w:rsidR="00573E04">
              <w:rPr>
                <w:rFonts w:ascii="Times New Roman" w:eastAsia="Times New Roman" w:hAnsi="Times New Roman"/>
                <w:sz w:val="16"/>
                <w:szCs w:val="16"/>
              </w:rPr>
              <w:t>1</w:t>
            </w:r>
            <w:r w:rsidR="005C36FA">
              <w:rPr>
                <w:rFonts w:ascii="Times New Roman" w:eastAsia="Times New Roman" w:hAnsi="Times New Roman"/>
                <w:sz w:val="16"/>
                <w:szCs w:val="16"/>
              </w:rPr>
              <w:t>87</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Notification of Compliance Status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sidR="00614897">
              <w:rPr>
                <w:rFonts w:ascii="Times New Roman" w:eastAsia="Times New Roman" w:hAnsi="Times New Roman"/>
                <w:color w:val="000000"/>
                <w:sz w:val="16"/>
                <w:szCs w:val="16"/>
              </w:rPr>
              <w:t>4</w:t>
            </w:r>
            <w:r w:rsidR="00A6706F">
              <w:rPr>
                <w:rFonts w:ascii="Times New Roman" w:eastAsia="Times New Roman" w:hAnsi="Times New Roman"/>
                <w:color w:val="000000"/>
                <w:sz w:val="16"/>
                <w:szCs w:val="16"/>
              </w:rPr>
              <w:t>,</w:t>
            </w:r>
            <w:r w:rsidR="00614897">
              <w:rPr>
                <w:rFonts w:ascii="Times New Roman" w:eastAsia="Times New Roman" w:hAnsi="Times New Roman"/>
                <w:color w:val="000000"/>
                <w:sz w:val="16"/>
                <w:szCs w:val="16"/>
              </w:rPr>
              <w:t>2</w:t>
            </w:r>
            <w:r w:rsidR="005C36FA">
              <w:rPr>
                <w:rFonts w:ascii="Times New Roman" w:eastAsia="Times New Roman" w:hAnsi="Times New Roman"/>
                <w:color w:val="000000"/>
                <w:sz w:val="16"/>
                <w:szCs w:val="16"/>
              </w:rPr>
              <w:t>67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71</w:t>
            </w:r>
            <w:r w:rsidR="005C36FA">
              <w:rPr>
                <w:rFonts w:ascii="Times New Roman" w:eastAsia="Times New Roman" w:hAnsi="Times New Roman"/>
                <w:color w:val="000000"/>
                <w:sz w:val="16"/>
                <w:szCs w:val="16"/>
              </w:rPr>
              <w:t>3.4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1</w:t>
            </w:r>
            <w:r w:rsidR="00A6706F">
              <w:rPr>
                <w:rFonts w:ascii="Times New Roman" w:eastAsia="Times New Roman" w:hAnsi="Times New Roman"/>
                <w:color w:val="000000"/>
                <w:sz w:val="16"/>
                <w:szCs w:val="16"/>
              </w:rPr>
              <w:t>,</w:t>
            </w:r>
            <w:r w:rsidR="00573E04">
              <w:rPr>
                <w:rFonts w:ascii="Times New Roman" w:eastAsia="Times New Roman" w:hAnsi="Times New Roman"/>
                <w:color w:val="000000"/>
                <w:sz w:val="16"/>
                <w:szCs w:val="16"/>
              </w:rPr>
              <w:t>42</w:t>
            </w:r>
            <w:r w:rsidR="005C36FA">
              <w:rPr>
                <w:rFonts w:ascii="Times New Roman" w:eastAsia="Times New Roman" w:hAnsi="Times New Roman"/>
                <w:color w:val="000000"/>
                <w:sz w:val="16"/>
                <w:szCs w:val="16"/>
              </w:rPr>
              <w:t>6.7</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sidR="00D145D6">
              <w:rPr>
                <w:rFonts w:ascii="Times New Roman" w:eastAsia="Times New Roman" w:hAnsi="Times New Roman"/>
                <w:sz w:val="16"/>
                <w:szCs w:val="16"/>
              </w:rPr>
              <w:t>,</w:t>
            </w:r>
            <w:r w:rsidR="00573E04">
              <w:rPr>
                <w:rFonts w:ascii="Times New Roman" w:eastAsia="Times New Roman" w:hAnsi="Times New Roman"/>
                <w:sz w:val="16"/>
                <w:szCs w:val="16"/>
              </w:rPr>
              <w:t>1</w:t>
            </w:r>
            <w:r w:rsidR="005C36FA">
              <w:rPr>
                <w:rFonts w:ascii="Times New Roman" w:eastAsia="Times New Roman" w:hAnsi="Times New Roman"/>
                <w:sz w:val="16"/>
                <w:szCs w:val="16"/>
              </w:rPr>
              <w:t>50</w:t>
            </w:r>
            <w:r w:rsidR="00D145D6">
              <w:rPr>
                <w:rFonts w:ascii="Times New Roman" w:eastAsia="Times New Roman" w:hAnsi="Times New Roman"/>
                <w:sz w:val="16"/>
                <w:szCs w:val="16"/>
              </w:rPr>
              <w:t>,</w:t>
            </w:r>
            <w:r w:rsidR="005C36FA">
              <w:rPr>
                <w:rFonts w:ascii="Times New Roman" w:eastAsia="Times New Roman" w:hAnsi="Times New Roman"/>
                <w:sz w:val="16"/>
                <w:szCs w:val="16"/>
              </w:rPr>
              <w:t>731</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site-specific performance evaluation test plan</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00332DD0"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00332DD0"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sidR="00614897">
              <w:rPr>
                <w:rFonts w:ascii="Times New Roman" w:eastAsia="Times New Roman" w:hAnsi="Times New Roman"/>
                <w:color w:val="000000"/>
                <w:sz w:val="16"/>
                <w:szCs w:val="16"/>
              </w:rPr>
              <w:t>7</w:t>
            </w:r>
            <w:r w:rsidR="00A6706F">
              <w:rPr>
                <w:rFonts w:ascii="Times New Roman" w:eastAsia="Times New Roman" w:hAnsi="Times New Roman"/>
                <w:color w:val="000000"/>
                <w:sz w:val="16"/>
                <w:szCs w:val="16"/>
              </w:rPr>
              <w:t>,</w:t>
            </w:r>
            <w:r w:rsidR="005C36FA">
              <w:rPr>
                <w:rFonts w:ascii="Times New Roman" w:eastAsia="Times New Roman" w:hAnsi="Times New Roman"/>
                <w:color w:val="000000"/>
                <w:sz w:val="16"/>
                <w:szCs w:val="16"/>
              </w:rPr>
              <w:t>293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w:t>
            </w:r>
            <w:r w:rsidR="00614897">
              <w:rPr>
                <w:rFonts w:ascii="Times New Roman" w:eastAsia="Times New Roman" w:hAnsi="Times New Roman"/>
                <w:color w:val="000000"/>
                <w:sz w:val="16"/>
                <w:szCs w:val="16"/>
              </w:rPr>
              <w:t>64</w:t>
            </w:r>
            <w:r w:rsidR="005C36FA">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1</w:t>
            </w:r>
            <w:r w:rsidR="00A6706F">
              <w:rPr>
                <w:rFonts w:ascii="Times New Roman" w:eastAsia="Times New Roman" w:hAnsi="Times New Roman"/>
                <w:color w:val="000000"/>
                <w:sz w:val="16"/>
                <w:szCs w:val="16"/>
              </w:rPr>
              <w:t>,</w:t>
            </w:r>
            <w:r w:rsidR="00573E04">
              <w:rPr>
                <w:rFonts w:ascii="Times New Roman" w:eastAsia="Times New Roman" w:hAnsi="Times New Roman"/>
                <w:color w:val="000000"/>
                <w:sz w:val="16"/>
                <w:szCs w:val="16"/>
              </w:rPr>
              <w:t>72</w:t>
            </w:r>
            <w:r w:rsidR="005C36FA">
              <w:rPr>
                <w:rFonts w:ascii="Times New Roman" w:eastAsia="Times New Roman" w:hAnsi="Times New Roman"/>
                <w:color w:val="000000"/>
                <w:sz w:val="16"/>
                <w:szCs w:val="16"/>
              </w:rPr>
              <w:t>9.3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sidR="00573E04">
              <w:rPr>
                <w:rFonts w:ascii="Times New Roman" w:eastAsia="Times New Roman" w:hAnsi="Times New Roman"/>
                <w:sz w:val="16"/>
                <w:szCs w:val="16"/>
              </w:rPr>
              <w:t>39</w:t>
            </w:r>
            <w:r w:rsidR="005C36FA">
              <w:rPr>
                <w:rFonts w:ascii="Times New Roman" w:eastAsia="Times New Roman" w:hAnsi="Times New Roman"/>
                <w:sz w:val="16"/>
                <w:szCs w:val="16"/>
              </w:rPr>
              <w:t>4</w:t>
            </w:r>
            <w:r w:rsidRPr="00332DD0">
              <w:rPr>
                <w:rFonts w:ascii="Times New Roman" w:eastAsia="Times New Roman" w:hAnsi="Times New Roman"/>
                <w:sz w:val="16"/>
                <w:szCs w:val="16"/>
              </w:rPr>
              <w:t>,</w:t>
            </w:r>
            <w:r w:rsidR="005C36FA">
              <w:rPr>
                <w:rFonts w:ascii="Times New Roman" w:eastAsia="Times New Roman" w:hAnsi="Times New Roman"/>
                <w:sz w:val="16"/>
                <w:szCs w:val="16"/>
              </w:rPr>
              <w:t>825</w:t>
            </w:r>
          </w:p>
        </w:tc>
      </w:tr>
      <w:tr w:rsidR="00332DD0" w:rsidRPr="00332DD0" w:rsidTr="00D145D6">
        <w:trPr>
          <w:trHeight w:val="52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request to use alternative monitoring procedure</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432</w:t>
            </w:r>
            <w:r w:rsidR="005C36FA">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21.6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43.2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34</w:t>
            </w:r>
            <w:r w:rsidRPr="00332DD0">
              <w:rPr>
                <w:rFonts w:ascii="Times New Roman" w:eastAsia="Times New Roman" w:hAnsi="Times New Roman"/>
                <w:sz w:val="16"/>
                <w:szCs w:val="16"/>
              </w:rPr>
              <w:t>,</w:t>
            </w:r>
            <w:r w:rsidR="00573E04">
              <w:rPr>
                <w:rFonts w:ascii="Times New Roman" w:eastAsia="Times New Roman" w:hAnsi="Times New Roman"/>
                <w:sz w:val="16"/>
                <w:szCs w:val="16"/>
              </w:rPr>
              <w:t>8</w:t>
            </w:r>
            <w:r w:rsidR="005C36FA">
              <w:rPr>
                <w:rFonts w:ascii="Times New Roman" w:eastAsia="Times New Roman" w:hAnsi="Times New Roman"/>
                <w:sz w:val="16"/>
                <w:szCs w:val="16"/>
              </w:rPr>
              <w:t>71</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Initial notification</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sidR="00614897">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sidR="00573E04">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484</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Demonstration of CEMS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10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sidR="00614897">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807</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Quality Assurance Program Notification</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sidR="00614897">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sidR="00573E04">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484</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Initial Performance Test</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sidR="00614897">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sidR="00573E04">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645</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Report of Performance Test (included in 4B)</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Startup, shutdo</w:t>
            </w:r>
            <w:r w:rsidR="00B47C5E">
              <w:rPr>
                <w:rFonts w:ascii="Times New Roman" w:eastAsia="Times New Roman" w:hAnsi="Times New Roman"/>
                <w:color w:val="000000"/>
                <w:sz w:val="16"/>
                <w:szCs w:val="16"/>
              </w:rPr>
              <w:t>wn, and malfunction Report</w:t>
            </w:r>
            <w:r w:rsidR="00B47C5E" w:rsidRPr="00B47C5E">
              <w:rPr>
                <w:rFonts w:ascii="Times New Roman" w:eastAsia="Times New Roman" w:hAnsi="Times New Roman"/>
                <w:color w:val="000000"/>
                <w:sz w:val="16"/>
                <w:szCs w:val="16"/>
                <w:vertAlign w:val="superscript"/>
              </w:rPr>
              <w:t>b</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sidR="00573E04">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161</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Semi-Annual Compliance Report</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300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15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30</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24</w:t>
            </w:r>
            <w:r w:rsidR="00D145D6">
              <w:rPr>
                <w:rFonts w:ascii="Times New Roman" w:eastAsia="Times New Roman" w:hAnsi="Times New Roman"/>
                <w:sz w:val="16"/>
                <w:szCs w:val="16"/>
              </w:rPr>
              <w:t>,</w:t>
            </w:r>
            <w:r w:rsidR="00573E04">
              <w:rPr>
                <w:rFonts w:ascii="Times New Roman" w:eastAsia="Times New Roman" w:hAnsi="Times New Roman"/>
                <w:sz w:val="16"/>
                <w:szCs w:val="16"/>
              </w:rPr>
              <w:t>197</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Compliance Status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1.7</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2</w:t>
            </w:r>
            <w:r w:rsidR="00D145D6">
              <w:rPr>
                <w:rFonts w:ascii="Times New Roman" w:eastAsia="Times New Roman" w:hAnsi="Times New Roman"/>
                <w:sz w:val="16"/>
                <w:szCs w:val="16"/>
              </w:rPr>
              <w:t>,</w:t>
            </w:r>
            <w:r w:rsidR="00573E04">
              <w:rPr>
                <w:rFonts w:ascii="Times New Roman" w:eastAsia="Times New Roman" w:hAnsi="Times New Roman"/>
                <w:sz w:val="16"/>
                <w:szCs w:val="16"/>
              </w:rPr>
              <w:t>662</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site-specific performance evaluation test plan</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573E04">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00332DD0"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00332DD0"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40</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2</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73E04">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3</w:t>
            </w:r>
            <w:r w:rsidR="00D145D6">
              <w:rPr>
                <w:rFonts w:ascii="Times New Roman" w:eastAsia="Times New Roman" w:hAnsi="Times New Roman"/>
                <w:sz w:val="16"/>
                <w:szCs w:val="16"/>
              </w:rPr>
              <w:t>,</w:t>
            </w:r>
            <w:r w:rsidR="00573E04">
              <w:rPr>
                <w:rFonts w:ascii="Times New Roman" w:eastAsia="Times New Roman" w:hAnsi="Times New Roman"/>
                <w:sz w:val="16"/>
                <w:szCs w:val="16"/>
              </w:rPr>
              <w:t>226</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request to use alternative monitoring procedure</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573E04">
              <w:rPr>
                <w:rFonts w:ascii="Times New Roman" w:eastAsia="Times New Roman" w:hAnsi="Times New Roman"/>
                <w:sz w:val="16"/>
                <w:szCs w:val="16"/>
              </w:rPr>
              <w:t>81</w:t>
            </w:r>
          </w:p>
        </w:tc>
      </w:tr>
      <w:tr w:rsidR="0053022F"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53022F" w:rsidRPr="00332DD0" w:rsidRDefault="0053022F" w:rsidP="00332DD0">
            <w:pPr>
              <w:rPr>
                <w:rFonts w:ascii="Times New Roman" w:eastAsia="Times New Roman" w:hAnsi="Times New Roman"/>
                <w:color w:val="000000"/>
                <w:sz w:val="16"/>
                <w:szCs w:val="16"/>
              </w:rPr>
            </w:pPr>
          </w:p>
        </w:tc>
        <w:tc>
          <w:tcPr>
            <w:tcW w:w="97" w:type="pct"/>
            <w:tcBorders>
              <w:top w:val="nil"/>
              <w:left w:val="nil"/>
              <w:bottom w:val="single" w:sz="4" w:space="0" w:color="auto"/>
              <w:right w:val="nil"/>
            </w:tcBorders>
            <w:shd w:val="clear" w:color="auto" w:fill="auto"/>
            <w:vAlign w:val="bottom"/>
            <w:hideMark/>
          </w:tcPr>
          <w:p w:rsidR="0053022F" w:rsidRPr="00332DD0" w:rsidRDefault="0053022F" w:rsidP="00332DD0">
            <w:pPr>
              <w:rPr>
                <w:rFonts w:ascii="Times New Roman" w:eastAsia="Times New Roman" w:hAnsi="Times New Roman"/>
                <w:color w:val="000000"/>
                <w:sz w:val="16"/>
                <w:szCs w:val="16"/>
              </w:rPr>
            </w:pPr>
          </w:p>
        </w:tc>
        <w:tc>
          <w:tcPr>
            <w:tcW w:w="1350"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332DD0">
            <w:pPr>
              <w:rPr>
                <w:rFonts w:ascii="Times New Roman" w:eastAsia="Times New Roman" w:hAnsi="Times New Roman"/>
                <w:color w:val="000000"/>
                <w:sz w:val="16"/>
                <w:szCs w:val="16"/>
              </w:rPr>
            </w:pPr>
            <w:r>
              <w:rPr>
                <w:rFonts w:ascii="Times New Roman" w:eastAsia="Times New Roman" w:hAnsi="Times New Roman"/>
                <w:color w:val="000000"/>
                <w:sz w:val="16"/>
                <w:szCs w:val="16"/>
              </w:rPr>
              <w:t>Affirmative Defense</w:t>
            </w:r>
          </w:p>
        </w:tc>
        <w:tc>
          <w:tcPr>
            <w:tcW w:w="375" w:type="pct"/>
            <w:tcBorders>
              <w:top w:val="nil"/>
              <w:left w:val="nil"/>
              <w:bottom w:val="single" w:sz="4" w:space="0" w:color="auto"/>
              <w:right w:val="single" w:sz="4" w:space="0" w:color="auto"/>
            </w:tcBorders>
            <w:shd w:val="clear" w:color="auto" w:fill="auto"/>
            <w:vAlign w:val="bottom"/>
            <w:hideMark/>
          </w:tcPr>
          <w:p w:rsidR="0053022F" w:rsidRPr="00332DD0" w:rsidRDefault="0053022F">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513" w:type="pct"/>
            <w:tcBorders>
              <w:top w:val="nil"/>
              <w:left w:val="nil"/>
              <w:bottom w:val="single" w:sz="4" w:space="0" w:color="auto"/>
              <w:right w:val="single" w:sz="4" w:space="0" w:color="auto"/>
            </w:tcBorders>
            <w:shd w:val="clear" w:color="auto" w:fill="auto"/>
            <w:vAlign w:val="bottom"/>
            <w:hideMark/>
          </w:tcPr>
          <w:p w:rsidR="0053022F" w:rsidRPr="00332DD0" w:rsidRDefault="0053022F">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53022F" w:rsidRPr="00332DD0" w:rsidRDefault="0053022F">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410" w:type="pct"/>
            <w:tcBorders>
              <w:top w:val="nil"/>
              <w:left w:val="nil"/>
              <w:bottom w:val="single" w:sz="4" w:space="0" w:color="auto"/>
              <w:right w:val="single" w:sz="4" w:space="0" w:color="auto"/>
            </w:tcBorders>
            <w:shd w:val="clear" w:color="auto" w:fill="auto"/>
            <w:noWrap/>
            <w:vAlign w:val="bottom"/>
            <w:hideMark/>
          </w:tcPr>
          <w:p w:rsidR="0053022F" w:rsidRPr="00332DD0" w:rsidRDefault="0053022F">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2.0</w:t>
            </w:r>
          </w:p>
        </w:tc>
        <w:tc>
          <w:tcPr>
            <w:tcW w:w="410"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53022F">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w:t>
            </w:r>
          </w:p>
        </w:tc>
        <w:tc>
          <w:tcPr>
            <w:tcW w:w="444"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53022F">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w:t>
            </w:r>
          </w:p>
        </w:tc>
        <w:tc>
          <w:tcPr>
            <w:tcW w:w="374" w:type="pct"/>
            <w:tcBorders>
              <w:top w:val="nil"/>
              <w:left w:val="nil"/>
              <w:bottom w:val="single" w:sz="4" w:space="0" w:color="auto"/>
              <w:right w:val="single" w:sz="4" w:space="0" w:color="auto"/>
            </w:tcBorders>
            <w:shd w:val="clear" w:color="auto" w:fill="auto"/>
            <w:vAlign w:val="bottom"/>
            <w:hideMark/>
          </w:tcPr>
          <w:p w:rsidR="0053022F" w:rsidRPr="00332DD0" w:rsidRDefault="0053022F">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451" w:type="pct"/>
            <w:tcBorders>
              <w:top w:val="nil"/>
              <w:left w:val="nil"/>
              <w:bottom w:val="single" w:sz="4" w:space="0" w:color="auto"/>
              <w:right w:val="single" w:sz="4" w:space="0" w:color="auto"/>
            </w:tcBorders>
            <w:shd w:val="clear" w:color="auto" w:fill="auto"/>
            <w:vAlign w:val="bottom"/>
            <w:hideMark/>
          </w:tcPr>
          <w:p w:rsidR="0053022F" w:rsidRPr="00332DD0" w:rsidRDefault="0053022F">
            <w:pPr>
              <w:jc w:val="right"/>
              <w:rPr>
                <w:rFonts w:ascii="Times New Roman" w:eastAsia="Times New Roman" w:hAnsi="Times New Roman"/>
                <w:sz w:val="16"/>
                <w:szCs w:val="16"/>
              </w:rPr>
            </w:pPr>
            <w:r>
              <w:rPr>
                <w:rFonts w:ascii="Times New Roman" w:eastAsia="Times New Roman" w:hAnsi="Times New Roman"/>
                <w:sz w:val="16"/>
                <w:szCs w:val="16"/>
              </w:rPr>
              <w:t>$6,268</w:t>
            </w:r>
          </w:p>
        </w:tc>
      </w:tr>
      <w:tr w:rsidR="00332DD0" w:rsidRPr="00332DD0" w:rsidTr="00D145D6">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 RECORDKEEPING REQUIREMENTS</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Read Instructions (Included in 4A)</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Plan Activities (Included in 4B)</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 Implement Activities (Included in 4B)</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Record Data ( Not Applicable)</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Time to Transmit or Disclose Information</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332DD0" w:rsidRPr="00332DD0" w:rsidTr="00D145D6">
        <w:trPr>
          <w:cantSplit/>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CEMS malfunctions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sidR="00614897">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sidR="00614897">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10</w:t>
            </w:r>
            <w:r w:rsidR="00D145D6">
              <w:rPr>
                <w:rFonts w:ascii="Times New Roman" w:eastAsia="Times New Roman" w:hAnsi="Times New Roman"/>
                <w:color w:val="000000"/>
                <w:sz w:val="16"/>
                <w:szCs w:val="16"/>
              </w:rPr>
              <w:t>,</w:t>
            </w:r>
            <w:r w:rsidR="00614897">
              <w:rPr>
                <w:rFonts w:ascii="Times New Roman" w:eastAsia="Times New Roman" w:hAnsi="Times New Roman"/>
                <w:color w:val="000000"/>
                <w:sz w:val="16"/>
                <w:szCs w:val="16"/>
              </w:rPr>
              <w:t>3</w:t>
            </w:r>
            <w:r w:rsidR="00B72E16">
              <w:rPr>
                <w:rFonts w:ascii="Times New Roman" w:eastAsia="Times New Roman" w:hAnsi="Times New Roman"/>
                <w:color w:val="000000"/>
                <w:sz w:val="16"/>
                <w:szCs w:val="16"/>
              </w:rPr>
              <w:t>76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518.</w:t>
            </w:r>
            <w:r w:rsidR="00B72E16">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1</w:t>
            </w:r>
            <w:r w:rsidR="00D145D6">
              <w:rPr>
                <w:rFonts w:ascii="Times New Roman" w:eastAsia="Times New Roman" w:hAnsi="Times New Roman"/>
                <w:color w:val="000000"/>
                <w:sz w:val="16"/>
                <w:szCs w:val="16"/>
              </w:rPr>
              <w:t>,</w:t>
            </w:r>
            <w:r w:rsidR="00614897">
              <w:rPr>
                <w:rFonts w:ascii="Times New Roman" w:eastAsia="Times New Roman" w:hAnsi="Times New Roman"/>
                <w:color w:val="000000"/>
                <w:sz w:val="16"/>
                <w:szCs w:val="16"/>
              </w:rPr>
              <w:t>03</w:t>
            </w:r>
            <w:r w:rsidR="00B72E16">
              <w:rPr>
                <w:rFonts w:ascii="Times New Roman" w:eastAsia="Times New Roman" w:hAnsi="Times New Roman"/>
                <w:color w:val="000000"/>
                <w:sz w:val="16"/>
                <w:szCs w:val="16"/>
              </w:rPr>
              <w:t>7.6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614897">
              <w:rPr>
                <w:rFonts w:ascii="Times New Roman" w:eastAsia="Times New Roman" w:hAnsi="Times New Roman"/>
                <w:sz w:val="16"/>
                <w:szCs w:val="16"/>
              </w:rPr>
              <w:t>836</w:t>
            </w:r>
            <w:r w:rsidR="00D145D6">
              <w:rPr>
                <w:rFonts w:ascii="Times New Roman" w:eastAsia="Times New Roman" w:hAnsi="Times New Roman"/>
                <w:sz w:val="16"/>
                <w:szCs w:val="16"/>
              </w:rPr>
              <w:t>,</w:t>
            </w:r>
            <w:r w:rsidR="00B72E16">
              <w:rPr>
                <w:rFonts w:ascii="Times New Roman" w:eastAsia="Times New Roman" w:hAnsi="Times New Roman"/>
                <w:sz w:val="16"/>
                <w:szCs w:val="16"/>
              </w:rPr>
              <w:t>895</w:t>
            </w:r>
          </w:p>
        </w:tc>
      </w:tr>
      <w:tr w:rsidR="00332DD0" w:rsidRPr="00332DD0" w:rsidTr="00D145D6">
        <w:trPr>
          <w:trHeight w:val="51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Startups, Shutdowns, malfunctions, etc</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sidR="00614897">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sidR="00614897">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10</w:t>
            </w:r>
            <w:r w:rsidR="00D145D6">
              <w:rPr>
                <w:rFonts w:ascii="Times New Roman" w:eastAsia="Times New Roman" w:hAnsi="Times New Roman"/>
                <w:color w:val="000000"/>
                <w:sz w:val="16"/>
                <w:szCs w:val="16"/>
              </w:rPr>
              <w:t>,</w:t>
            </w:r>
            <w:r w:rsidR="00B72E16">
              <w:rPr>
                <w:rFonts w:ascii="Times New Roman" w:eastAsia="Times New Roman" w:hAnsi="Times New Roman"/>
                <w:color w:val="000000"/>
                <w:sz w:val="16"/>
                <w:szCs w:val="16"/>
              </w:rPr>
              <w:t>376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B72E16">
              <w:rPr>
                <w:rFonts w:ascii="Times New Roman" w:eastAsia="Times New Roman" w:hAnsi="Times New Roman"/>
                <w:color w:val="000000"/>
                <w:sz w:val="16"/>
                <w:szCs w:val="16"/>
              </w:rPr>
              <w:t>518.8</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1,03</w:t>
            </w:r>
            <w:r w:rsidR="00B72E16">
              <w:rPr>
                <w:rFonts w:ascii="Times New Roman" w:eastAsia="Times New Roman" w:hAnsi="Times New Roman"/>
                <w:color w:val="000000"/>
                <w:sz w:val="16"/>
                <w:szCs w:val="16"/>
              </w:rPr>
              <w:t>7.</w:t>
            </w:r>
            <w:r w:rsidR="00D145D6">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D145D6">
              <w:rPr>
                <w:rFonts w:ascii="Times New Roman" w:eastAsia="Times New Roman" w:hAnsi="Times New Roman"/>
                <w:sz w:val="16"/>
                <w:szCs w:val="16"/>
              </w:rPr>
              <w:t>836,</w:t>
            </w:r>
            <w:r w:rsidR="00B72E16">
              <w:rPr>
                <w:rFonts w:ascii="Times New Roman" w:eastAsia="Times New Roman" w:hAnsi="Times New Roman"/>
                <w:sz w:val="16"/>
                <w:szCs w:val="16"/>
              </w:rPr>
              <w:t>895</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monthly fuel use</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D145D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sidR="00614897">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D145D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B72E1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20</w:t>
            </w:r>
            <w:r w:rsidR="00D145D6">
              <w:rPr>
                <w:rFonts w:ascii="Times New Roman" w:eastAsia="Times New Roman" w:hAnsi="Times New Roman"/>
                <w:color w:val="000000"/>
                <w:sz w:val="16"/>
                <w:szCs w:val="16"/>
              </w:rPr>
              <w:t>,</w:t>
            </w:r>
            <w:r w:rsidR="00614897">
              <w:rPr>
                <w:rFonts w:ascii="Times New Roman" w:eastAsia="Times New Roman" w:hAnsi="Times New Roman"/>
                <w:color w:val="000000"/>
                <w:sz w:val="16"/>
                <w:szCs w:val="16"/>
              </w:rPr>
              <w:t>7</w:t>
            </w:r>
            <w:r w:rsidR="00B72E16">
              <w:rPr>
                <w:rFonts w:ascii="Times New Roman" w:eastAsia="Times New Roman" w:hAnsi="Times New Roman"/>
                <w:color w:val="000000"/>
                <w:sz w:val="16"/>
                <w:szCs w:val="16"/>
              </w:rPr>
              <w:t>52</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1,03</w:t>
            </w:r>
            <w:r w:rsidR="00B72E16">
              <w:rPr>
                <w:rFonts w:ascii="Times New Roman" w:eastAsia="Times New Roman" w:hAnsi="Times New Roman"/>
                <w:color w:val="000000"/>
                <w:sz w:val="16"/>
                <w:szCs w:val="16"/>
              </w:rPr>
              <w:t>7</w:t>
            </w:r>
            <w:r w:rsidR="00D145D6">
              <w:rPr>
                <w:rFonts w:ascii="Times New Roman" w:eastAsia="Times New Roman" w:hAnsi="Times New Roman"/>
                <w:color w:val="000000"/>
                <w:sz w:val="16"/>
                <w:szCs w:val="16"/>
              </w:rPr>
              <w:t>.</w:t>
            </w:r>
            <w:r w:rsidR="00B72E16">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2,07</w:t>
            </w:r>
            <w:r w:rsidR="00B72E16">
              <w:rPr>
                <w:rFonts w:ascii="Times New Roman" w:eastAsia="Times New Roman" w:hAnsi="Times New Roman"/>
                <w:color w:val="000000"/>
                <w:sz w:val="16"/>
                <w:szCs w:val="16"/>
              </w:rPr>
              <w:t>5.2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D145D6">
              <w:rPr>
                <w:rFonts w:ascii="Times New Roman" w:eastAsia="Times New Roman" w:hAnsi="Times New Roman"/>
                <w:sz w:val="16"/>
                <w:szCs w:val="16"/>
              </w:rPr>
              <w:t>1,67</w:t>
            </w:r>
            <w:r w:rsidR="00B72E16">
              <w:rPr>
                <w:rFonts w:ascii="Times New Roman" w:eastAsia="Times New Roman" w:hAnsi="Times New Roman"/>
                <w:sz w:val="16"/>
                <w:szCs w:val="16"/>
              </w:rPr>
              <w:t>3</w:t>
            </w:r>
            <w:r w:rsidR="00D145D6">
              <w:rPr>
                <w:rFonts w:ascii="Times New Roman" w:eastAsia="Times New Roman" w:hAnsi="Times New Roman"/>
                <w:sz w:val="16"/>
                <w:szCs w:val="16"/>
              </w:rPr>
              <w:t>,</w:t>
            </w:r>
            <w:r w:rsidR="00B72E16">
              <w:rPr>
                <w:rFonts w:ascii="Times New Roman" w:eastAsia="Times New Roman" w:hAnsi="Times New Roman"/>
                <w:sz w:val="16"/>
                <w:szCs w:val="16"/>
              </w:rPr>
              <w:t>790</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CEMS malfunctions</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D145D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sidR="00614897">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D145D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12</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14897">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.2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D145D6">
              <w:rPr>
                <w:rFonts w:ascii="Times New Roman" w:eastAsia="Times New Roman" w:hAnsi="Times New Roman"/>
                <w:sz w:val="16"/>
                <w:szCs w:val="16"/>
              </w:rPr>
              <w:t>1,936</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noWrap/>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Startups</w:t>
            </w:r>
            <w:r w:rsidR="00B47C5E">
              <w:rPr>
                <w:rFonts w:ascii="Times New Roman" w:eastAsia="Times New Roman" w:hAnsi="Times New Roman"/>
                <w:color w:val="000000"/>
                <w:sz w:val="16"/>
                <w:szCs w:val="16"/>
              </w:rPr>
              <w:t>, Shutdowns, malfunctions, etc</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sidR="00614897">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sidR="00614897">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.2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D145D6">
              <w:rPr>
                <w:rFonts w:ascii="Times New Roman" w:eastAsia="Times New Roman" w:hAnsi="Times New Roman"/>
                <w:sz w:val="16"/>
                <w:szCs w:val="16"/>
              </w:rPr>
              <w:t>1,936</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monthly fuel use</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sidR="00614897">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48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sidR="00D145D6">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4.8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D145D6">
              <w:rPr>
                <w:rFonts w:ascii="Times New Roman" w:eastAsia="Times New Roman" w:hAnsi="Times New Roman"/>
                <w:sz w:val="16"/>
                <w:szCs w:val="16"/>
              </w:rPr>
              <w:t>3,872</w:t>
            </w:r>
          </w:p>
        </w:tc>
      </w:tr>
      <w:tr w:rsidR="00332DD0" w:rsidRPr="00332DD0" w:rsidTr="00D145D6">
        <w:trPr>
          <w:trHeight w:val="300"/>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B47C5E" w:rsidP="00332DD0">
            <w:pPr>
              <w:rPr>
                <w:rFonts w:ascii="Times New Roman" w:eastAsia="Times New Roman" w:hAnsi="Times New Roman"/>
                <w:color w:val="000000"/>
                <w:sz w:val="16"/>
                <w:szCs w:val="16"/>
              </w:rPr>
            </w:pPr>
            <w:r>
              <w:rPr>
                <w:rFonts w:ascii="Times New Roman" w:eastAsia="Times New Roman" w:hAnsi="Times New Roman"/>
                <w:color w:val="000000"/>
                <w:sz w:val="16"/>
                <w:szCs w:val="16"/>
              </w:rPr>
              <w:t>F. Time to Train Personnel</w:t>
            </w:r>
          </w:p>
        </w:tc>
        <w:tc>
          <w:tcPr>
            <w:tcW w:w="375"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80</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EB67E1" w:rsidRDefault="0061489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r w:rsidR="00332DD0"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160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6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D145D6">
              <w:rPr>
                <w:rFonts w:ascii="Times New Roman" w:eastAsia="Times New Roman" w:hAnsi="Times New Roman"/>
                <w:sz w:val="16"/>
                <w:szCs w:val="16"/>
              </w:rPr>
              <w:t>12,905</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G. Time for Audits (Not Applicable)</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D145D6">
        <w:trPr>
          <w:trHeight w:val="255"/>
        </w:trPr>
        <w:tc>
          <w:tcPr>
            <w:tcW w:w="1544"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EB67E1" w:rsidRDefault="00614897"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r w:rsidR="00D145D6">
              <w:rPr>
                <w:rFonts w:ascii="Times New Roman" w:eastAsia="Times New Roman" w:hAnsi="Times New Roman"/>
                <w:color w:val="000000"/>
                <w:sz w:val="16"/>
                <w:szCs w:val="16"/>
              </w:rPr>
              <w:t>,</w:t>
            </w:r>
            <w:r>
              <w:rPr>
                <w:rFonts w:ascii="Times New Roman" w:eastAsia="Times New Roman" w:hAnsi="Times New Roman"/>
                <w:color w:val="000000"/>
                <w:sz w:val="16"/>
                <w:szCs w:val="16"/>
              </w:rPr>
              <w:t>94</w:t>
            </w:r>
            <w:r w:rsidR="00087CC7">
              <w:rPr>
                <w:rFonts w:ascii="Times New Roman" w:eastAsia="Times New Roman" w:hAnsi="Times New Roman"/>
                <w:color w:val="000000"/>
                <w:sz w:val="16"/>
                <w:szCs w:val="16"/>
              </w:rPr>
              <w:t>6</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145D6"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w:t>
            </w:r>
            <w:r w:rsidR="00B72E16">
              <w:rPr>
                <w:rFonts w:ascii="Times New Roman" w:eastAsia="Times New Roman" w:hAnsi="Times New Roman"/>
                <w:color w:val="000000"/>
                <w:sz w:val="16"/>
                <w:szCs w:val="16"/>
              </w:rPr>
              <w:t>09</w:t>
            </w:r>
            <w:r w:rsidR="00087CC7">
              <w:rPr>
                <w:rFonts w:ascii="Times New Roman" w:eastAsia="Times New Roman" w:hAnsi="Times New Roman"/>
                <w:color w:val="000000"/>
                <w:sz w:val="16"/>
                <w:szCs w:val="16"/>
              </w:rPr>
              <w:t>6</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rsidP="00087CC7">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B72E16">
              <w:rPr>
                <w:rFonts w:ascii="Times New Roman" w:eastAsia="Times New Roman" w:hAnsi="Times New Roman"/>
                <w:color w:val="000000"/>
                <w:sz w:val="16"/>
                <w:szCs w:val="16"/>
              </w:rPr>
              <w:t>608,2</w:t>
            </w:r>
            <w:r w:rsidR="00087CC7">
              <w:rPr>
                <w:rFonts w:ascii="Times New Roman" w:eastAsia="Times New Roman" w:hAnsi="Times New Roman"/>
                <w:color w:val="000000"/>
                <w:sz w:val="16"/>
                <w:szCs w:val="16"/>
              </w:rPr>
              <w:t>55</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rsidP="00087CC7">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30,</w:t>
            </w:r>
            <w:r w:rsidR="00B72E16">
              <w:rPr>
                <w:rFonts w:ascii="Times New Roman" w:eastAsia="Times New Roman" w:hAnsi="Times New Roman"/>
                <w:color w:val="000000"/>
                <w:sz w:val="16"/>
                <w:szCs w:val="16"/>
              </w:rPr>
              <w:t>4</w:t>
            </w:r>
            <w:r w:rsidR="00087CC7">
              <w:rPr>
                <w:rFonts w:ascii="Times New Roman" w:eastAsia="Times New Roman" w:hAnsi="Times New Roman"/>
                <w:color w:val="000000"/>
                <w:sz w:val="16"/>
                <w:szCs w:val="16"/>
              </w:rPr>
              <w:t>35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60,</w:t>
            </w:r>
            <w:r w:rsidR="00B72E16">
              <w:rPr>
                <w:rFonts w:ascii="Times New Roman" w:eastAsia="Times New Roman" w:hAnsi="Times New Roman"/>
                <w:color w:val="000000"/>
                <w:sz w:val="16"/>
                <w:szCs w:val="16"/>
              </w:rPr>
              <w:t>822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640B02" w:rsidP="00087CC7">
            <w:pPr>
              <w:jc w:val="right"/>
              <w:rPr>
                <w:rFonts w:ascii="Times New Roman" w:eastAsia="Times New Roman" w:hAnsi="Times New Roman"/>
                <w:sz w:val="16"/>
                <w:szCs w:val="16"/>
              </w:rPr>
            </w:pPr>
            <w:r>
              <w:rPr>
                <w:rFonts w:ascii="Times New Roman" w:eastAsia="Times New Roman" w:hAnsi="Times New Roman"/>
                <w:sz w:val="16"/>
                <w:szCs w:val="16"/>
              </w:rPr>
              <w:t xml:space="preserve"> $</w:t>
            </w:r>
            <w:r w:rsidR="00D145D6">
              <w:rPr>
                <w:rFonts w:ascii="Times New Roman" w:eastAsia="Times New Roman" w:hAnsi="Times New Roman"/>
                <w:sz w:val="16"/>
                <w:szCs w:val="16"/>
              </w:rPr>
              <w:t>49,0</w:t>
            </w:r>
            <w:r w:rsidR="00087CC7">
              <w:rPr>
                <w:rFonts w:ascii="Times New Roman" w:eastAsia="Times New Roman" w:hAnsi="Times New Roman"/>
                <w:sz w:val="16"/>
                <w:szCs w:val="16"/>
              </w:rPr>
              <w:t>63</w:t>
            </w:r>
            <w:r w:rsidR="00D145D6">
              <w:rPr>
                <w:rFonts w:ascii="Times New Roman" w:eastAsia="Times New Roman" w:hAnsi="Times New Roman"/>
                <w:sz w:val="16"/>
                <w:szCs w:val="16"/>
              </w:rPr>
              <w:t>,</w:t>
            </w:r>
            <w:r w:rsidR="00087CC7">
              <w:rPr>
                <w:rFonts w:ascii="Times New Roman" w:eastAsia="Times New Roman" w:hAnsi="Times New Roman"/>
                <w:sz w:val="16"/>
                <w:szCs w:val="16"/>
              </w:rPr>
              <w:t>227</w:t>
            </w:r>
          </w:p>
        </w:tc>
      </w:tr>
      <w:tr w:rsidR="00332DD0" w:rsidRPr="00332DD0" w:rsidTr="00D145D6">
        <w:trPr>
          <w:trHeight w:val="255"/>
        </w:trPr>
        <w:tc>
          <w:tcPr>
            <w:tcW w:w="1544" w:type="pct"/>
            <w:gridSpan w:val="3"/>
            <w:vMerge/>
            <w:tcBorders>
              <w:top w:val="single" w:sz="4" w:space="0" w:color="auto"/>
              <w:left w:val="single" w:sz="4" w:space="0" w:color="auto"/>
              <w:bottom w:val="single" w:sz="4" w:space="0" w:color="000000"/>
              <w:right w:val="single" w:sz="4" w:space="0" w:color="000000"/>
            </w:tcBorders>
            <w:vAlign w:val="center"/>
            <w:hideMark/>
          </w:tcPr>
          <w:p w:rsidR="00332DD0" w:rsidRPr="00332DD0" w:rsidRDefault="00332DD0" w:rsidP="00332DD0">
            <w:pPr>
              <w:rPr>
                <w:rFonts w:ascii="Times New Roman" w:eastAsia="Times New Roman" w:hAnsi="Times New Roman"/>
                <w:color w:val="000000"/>
                <w:sz w:val="16"/>
                <w:szCs w:val="16"/>
              </w:rPr>
            </w:pP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000000" w:fill="CCC0DA"/>
            <w:vAlign w:val="bottom"/>
            <w:hideMark/>
          </w:tcPr>
          <w:p w:rsidR="00A14ACE" w:rsidRDefault="00332DD0" w:rsidP="00087CC7">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D145D6">
              <w:rPr>
                <w:rFonts w:ascii="Times New Roman" w:eastAsia="Times New Roman" w:hAnsi="Times New Roman"/>
                <w:color w:val="000000"/>
                <w:sz w:val="16"/>
                <w:szCs w:val="16"/>
              </w:rPr>
              <w:t>69</w:t>
            </w:r>
            <w:r w:rsidR="00B72E16">
              <w:rPr>
                <w:rFonts w:ascii="Times New Roman" w:eastAsia="Times New Roman" w:hAnsi="Times New Roman"/>
                <w:color w:val="000000"/>
                <w:sz w:val="16"/>
                <w:szCs w:val="16"/>
              </w:rPr>
              <w:t>9</w:t>
            </w:r>
            <w:r w:rsidR="00A6706F">
              <w:rPr>
                <w:rFonts w:ascii="Times New Roman" w:eastAsia="Times New Roman" w:hAnsi="Times New Roman"/>
                <w:color w:val="000000"/>
                <w:sz w:val="16"/>
                <w:szCs w:val="16"/>
              </w:rPr>
              <w:t>,</w:t>
            </w:r>
            <w:r w:rsidR="00B72E16">
              <w:rPr>
                <w:rFonts w:ascii="Times New Roman" w:eastAsia="Times New Roman" w:hAnsi="Times New Roman"/>
                <w:color w:val="000000"/>
                <w:sz w:val="16"/>
                <w:szCs w:val="16"/>
              </w:rPr>
              <w:t>5</w:t>
            </w:r>
            <w:r w:rsidR="00087CC7">
              <w:rPr>
                <w:rFonts w:ascii="Times New Roman" w:eastAsia="Times New Roman" w:hAnsi="Times New Roman"/>
                <w:color w:val="000000"/>
                <w:sz w:val="16"/>
                <w:szCs w:val="16"/>
              </w:rPr>
              <w:t>1</w:t>
            </w:r>
            <w:r w:rsidR="00B72E16">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D145D6">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ANNUAL</w:t>
            </w:r>
            <w:r w:rsidR="00777DB4">
              <w:rPr>
                <w:rFonts w:ascii="Times New Roman" w:eastAsia="Times New Roman" w:hAnsi="Times New Roman"/>
                <w:color w:val="000000"/>
                <w:sz w:val="16"/>
                <w:szCs w:val="16"/>
              </w:rPr>
              <w:t>IZED</w:t>
            </w:r>
            <w:r w:rsidRPr="00332DD0">
              <w:rPr>
                <w:rFonts w:ascii="Times New Roman" w:eastAsia="Times New Roman" w:hAnsi="Times New Roman"/>
                <w:color w:val="000000"/>
                <w:sz w:val="16"/>
                <w:szCs w:val="16"/>
              </w:rPr>
              <w:t xml:space="preserve"> CAPITAL COSTS</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Performance tests</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332DD0" w:rsidP="006C76C5">
            <w:pPr>
              <w:jc w:val="right"/>
              <w:rPr>
                <w:rFonts w:ascii="Times New Roman" w:eastAsia="Times New Roman" w:hAnsi="Times New Roman"/>
                <w:sz w:val="16"/>
                <w:szCs w:val="16"/>
              </w:rPr>
            </w:pPr>
            <w:r w:rsidRPr="00E02688">
              <w:rPr>
                <w:rFonts w:ascii="Times New Roman" w:eastAsia="Times New Roman" w:hAnsi="Times New Roman"/>
                <w:sz w:val="16"/>
                <w:szCs w:val="16"/>
              </w:rPr>
              <w:t xml:space="preserve">$ </w:t>
            </w:r>
            <w:r w:rsidR="006C76C5">
              <w:rPr>
                <w:rFonts w:ascii="Times New Roman" w:eastAsia="Times New Roman" w:hAnsi="Times New Roman"/>
                <w:sz w:val="16"/>
                <w:szCs w:val="16"/>
              </w:rPr>
              <w:t>22,442,811</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Other Capital Costs of Installation (ODC and Labor)</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332DD0" w:rsidP="006C76C5">
            <w:pPr>
              <w:jc w:val="right"/>
              <w:rPr>
                <w:rFonts w:ascii="Times New Roman" w:eastAsia="Times New Roman" w:hAnsi="Times New Roman"/>
                <w:sz w:val="16"/>
                <w:szCs w:val="16"/>
              </w:rPr>
            </w:pPr>
            <w:r w:rsidRPr="00E02688">
              <w:rPr>
                <w:rFonts w:ascii="Times New Roman" w:eastAsia="Times New Roman" w:hAnsi="Times New Roman"/>
                <w:sz w:val="16"/>
                <w:szCs w:val="16"/>
              </w:rPr>
              <w:t>$</w:t>
            </w:r>
            <w:r w:rsidR="006C76C5">
              <w:rPr>
                <w:rFonts w:ascii="Times New Roman" w:eastAsia="Times New Roman" w:hAnsi="Times New Roman"/>
                <w:sz w:val="16"/>
                <w:szCs w:val="16"/>
              </w:rPr>
              <w:t>59,463,268</w:t>
            </w:r>
            <w:r w:rsidRPr="00E02688">
              <w:rPr>
                <w:rFonts w:ascii="Times New Roman" w:eastAsia="Times New Roman" w:hAnsi="Times New Roman"/>
                <w:sz w:val="16"/>
                <w:szCs w:val="16"/>
              </w:rPr>
              <w:t xml:space="preserve"> </w:t>
            </w:r>
          </w:p>
        </w:tc>
      </w:tr>
      <w:tr w:rsidR="00332DD0" w:rsidRPr="00332DD0" w:rsidTr="00D145D6">
        <w:trPr>
          <w:trHeight w:val="255"/>
        </w:trPr>
        <w:tc>
          <w:tcPr>
            <w:tcW w:w="97"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capital</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332DD0" w:rsidP="006C76C5">
            <w:pPr>
              <w:jc w:val="right"/>
              <w:rPr>
                <w:rFonts w:ascii="Times New Roman" w:eastAsia="Times New Roman" w:hAnsi="Times New Roman"/>
                <w:sz w:val="16"/>
                <w:szCs w:val="16"/>
              </w:rPr>
            </w:pPr>
            <w:r w:rsidRPr="00E02688">
              <w:rPr>
                <w:rFonts w:ascii="Times New Roman" w:eastAsia="Times New Roman" w:hAnsi="Times New Roman"/>
                <w:sz w:val="16"/>
                <w:szCs w:val="16"/>
              </w:rPr>
              <w:t xml:space="preserve"> $</w:t>
            </w:r>
            <w:r w:rsidR="006C76C5">
              <w:rPr>
                <w:rFonts w:ascii="Times New Roman" w:eastAsia="Times New Roman" w:hAnsi="Times New Roman"/>
                <w:sz w:val="16"/>
                <w:szCs w:val="16"/>
              </w:rPr>
              <w:t>81,906,079</w:t>
            </w:r>
            <w:r w:rsidRPr="00E02688">
              <w:rPr>
                <w:rFonts w:ascii="Times New Roman" w:eastAsia="Times New Roman" w:hAnsi="Times New Roman"/>
                <w:sz w:val="16"/>
                <w:szCs w:val="16"/>
              </w:rPr>
              <w:t xml:space="preserve"> </w:t>
            </w:r>
          </w:p>
        </w:tc>
      </w:tr>
      <w:tr w:rsidR="00332DD0" w:rsidRPr="00332DD0" w:rsidTr="00D145D6">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COSTS (O&amp;M)</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332DD0" w:rsidP="006C76C5">
            <w:pPr>
              <w:jc w:val="right"/>
              <w:rPr>
                <w:rFonts w:ascii="Times New Roman" w:eastAsia="Times New Roman" w:hAnsi="Times New Roman"/>
                <w:sz w:val="16"/>
                <w:szCs w:val="16"/>
              </w:rPr>
            </w:pPr>
            <w:r w:rsidRPr="00E02688">
              <w:rPr>
                <w:rFonts w:ascii="Times New Roman" w:eastAsia="Times New Roman" w:hAnsi="Times New Roman"/>
                <w:sz w:val="16"/>
                <w:szCs w:val="16"/>
              </w:rPr>
              <w:t>$</w:t>
            </w:r>
            <w:r w:rsidR="006C76C5">
              <w:rPr>
                <w:rFonts w:ascii="Times New Roman" w:eastAsia="Times New Roman" w:hAnsi="Times New Roman"/>
                <w:sz w:val="16"/>
                <w:szCs w:val="16"/>
              </w:rPr>
              <w:t>76,539,446</w:t>
            </w:r>
            <w:r w:rsidRPr="00E02688">
              <w:rPr>
                <w:rFonts w:ascii="Times New Roman" w:eastAsia="Times New Roman" w:hAnsi="Times New Roman"/>
                <w:sz w:val="16"/>
                <w:szCs w:val="16"/>
              </w:rPr>
              <w:t xml:space="preserve"> </w:t>
            </w:r>
          </w:p>
        </w:tc>
      </w:tr>
      <w:tr w:rsidR="00332DD0" w:rsidRPr="00332DD0" w:rsidTr="00D145D6">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ANNUALIZED COSTS (Annualized capital + O&amp;M costs)</w:t>
            </w:r>
          </w:p>
        </w:tc>
        <w:tc>
          <w:tcPr>
            <w:tcW w:w="375"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A14ACE" w:rsidRDefault="00E02688" w:rsidP="006C76C5">
            <w:pPr>
              <w:jc w:val="right"/>
              <w:rPr>
                <w:rFonts w:ascii="Times New Roman" w:eastAsia="Times New Roman" w:hAnsi="Times New Roman"/>
                <w:sz w:val="16"/>
                <w:szCs w:val="16"/>
                <w:highlight w:val="yellow"/>
              </w:rPr>
            </w:pPr>
            <w:r w:rsidRPr="00E02688">
              <w:rPr>
                <w:rFonts w:ascii="Times New Roman" w:eastAsia="Times New Roman" w:hAnsi="Times New Roman"/>
                <w:sz w:val="16"/>
                <w:szCs w:val="16"/>
              </w:rPr>
              <w:t>$</w:t>
            </w:r>
            <w:r w:rsidR="006C76C5">
              <w:rPr>
                <w:rFonts w:ascii="Times New Roman" w:eastAsia="Times New Roman" w:hAnsi="Times New Roman"/>
                <w:sz w:val="16"/>
                <w:szCs w:val="16"/>
              </w:rPr>
              <w:t>158,445,526</w:t>
            </w:r>
          </w:p>
        </w:tc>
      </w:tr>
    </w:tbl>
    <w:p w:rsidR="00EB67E1" w:rsidRDefault="00B47C5E">
      <w:pPr>
        <w:rPr>
          <w:rFonts w:ascii="Times New Roman" w:hAnsi="Times New Roman"/>
          <w:sz w:val="20"/>
          <w:szCs w:val="16"/>
        </w:rPr>
      </w:pPr>
      <w:r w:rsidRPr="00600970">
        <w:rPr>
          <w:rFonts w:ascii="Times New Roman" w:hAnsi="Times New Roman"/>
          <w:sz w:val="20"/>
          <w:szCs w:val="16"/>
          <w:vertAlign w:val="superscript"/>
        </w:rPr>
        <w:t>a</w:t>
      </w:r>
      <w:r w:rsidRPr="00600970">
        <w:rPr>
          <w:rFonts w:ascii="Times New Roman" w:hAnsi="Times New Roman"/>
          <w:sz w:val="20"/>
          <w:szCs w:val="16"/>
        </w:rPr>
        <w:t xml:space="preserve"> There are 1,2</w:t>
      </w:r>
      <w:r w:rsidR="00D145D6">
        <w:rPr>
          <w:rFonts w:ascii="Times New Roman" w:hAnsi="Times New Roman"/>
          <w:sz w:val="20"/>
          <w:szCs w:val="16"/>
        </w:rPr>
        <w:t>4</w:t>
      </w:r>
      <w:r w:rsidR="00ED18AB">
        <w:rPr>
          <w:rFonts w:ascii="Times New Roman" w:hAnsi="Times New Roman"/>
          <w:sz w:val="20"/>
          <w:szCs w:val="16"/>
        </w:rPr>
        <w:t>4</w:t>
      </w:r>
      <w:r w:rsidRPr="00600970">
        <w:rPr>
          <w:rFonts w:ascii="Times New Roman" w:hAnsi="Times New Roman"/>
          <w:sz w:val="20"/>
          <w:szCs w:val="16"/>
        </w:rPr>
        <w:t xml:space="preserve"> existing electric generating units</w:t>
      </w:r>
      <w:r w:rsidR="004C3386">
        <w:rPr>
          <w:rFonts w:ascii="Times New Roman" w:hAnsi="Times New Roman"/>
          <w:sz w:val="20"/>
          <w:szCs w:val="16"/>
        </w:rPr>
        <w:t xml:space="preserve">. </w:t>
      </w:r>
      <w:r w:rsidRPr="00600970">
        <w:rPr>
          <w:rFonts w:ascii="Times New Roman" w:hAnsi="Times New Roman"/>
          <w:sz w:val="20"/>
          <w:szCs w:val="16"/>
        </w:rPr>
        <w:t>One third of those are assumed to be tested each year.</w:t>
      </w:r>
    </w:p>
    <w:p w:rsidR="00B47C5E" w:rsidRPr="00600970" w:rsidRDefault="00B47C5E" w:rsidP="00B47C5E">
      <w:pPr>
        <w:rPr>
          <w:rFonts w:ascii="Times New Roman" w:hAnsi="Times New Roman"/>
          <w:sz w:val="20"/>
          <w:szCs w:val="16"/>
        </w:rPr>
        <w:sectPr w:rsidR="00B47C5E" w:rsidRPr="00600970" w:rsidSect="00593F37">
          <w:pgSz w:w="15840" w:h="12240" w:orient="landscape"/>
          <w:pgMar w:top="1440" w:right="1440" w:bottom="1440" w:left="1440" w:header="720" w:footer="720" w:gutter="0"/>
          <w:cols w:space="720"/>
          <w:docGrid w:linePitch="360"/>
        </w:sectPr>
      </w:pPr>
      <w:r w:rsidRPr="00600970">
        <w:rPr>
          <w:rFonts w:ascii="Times New Roman" w:hAnsi="Times New Roman"/>
          <w:sz w:val="20"/>
          <w:szCs w:val="16"/>
          <w:vertAlign w:val="superscript"/>
        </w:rPr>
        <w:t>b</w:t>
      </w:r>
      <w:r w:rsidRPr="00600970">
        <w:rPr>
          <w:rFonts w:ascii="Times New Roman" w:hAnsi="Times New Roman"/>
          <w:sz w:val="20"/>
          <w:szCs w:val="16"/>
        </w:rPr>
        <w:t xml:space="preserve"> 10% of sources are assumed to submit SSM report each year.</w:t>
      </w:r>
    </w:p>
    <w:p w:rsidR="00F11CCB" w:rsidRDefault="008403BE" w:rsidP="00E14996">
      <w:pPr>
        <w:pStyle w:val="ExhibitTitle"/>
        <w:rPr>
          <w:rFonts w:ascii="Times New Roman" w:hAnsi="Times New Roman"/>
        </w:rPr>
      </w:pPr>
      <w:r>
        <w:rPr>
          <w:rFonts w:ascii="Times New Roman" w:hAnsi="Times New Roman"/>
        </w:rPr>
        <w:lastRenderedPageBreak/>
        <w:t>Exhibit</w:t>
      </w:r>
      <w:r w:rsidRPr="00E14996">
        <w:rPr>
          <w:rFonts w:ascii="Times New Roman" w:hAnsi="Times New Roman"/>
        </w:rPr>
        <w:t xml:space="preserve"> </w:t>
      </w:r>
      <w:r w:rsidR="00F11CCB" w:rsidRPr="00E14996">
        <w:rPr>
          <w:rFonts w:ascii="Times New Roman" w:hAnsi="Times New Roman"/>
        </w:rPr>
        <w:t>1b</w:t>
      </w:r>
      <w:r w:rsidR="00F11CCB" w:rsidRPr="00E14996">
        <w:rPr>
          <w:rFonts w:ascii="Times New Roman" w:hAnsi="Times New Roman"/>
        </w:rPr>
        <w:tab/>
      </w:r>
      <w:r w:rsidR="00180971" w:rsidRPr="00E14996">
        <w:rPr>
          <w:rFonts w:ascii="Times New Roman" w:hAnsi="Times New Roman"/>
        </w:rPr>
        <w:t xml:space="preserve">Year 2 Respondent Burden of Reporting and Recordkeeping Requirements, NESHAP for </w:t>
      </w:r>
      <w:r w:rsidR="00E14996" w:rsidRPr="00E14996">
        <w:rPr>
          <w:rFonts w:ascii="Times New Roman" w:hAnsi="Times New Roman"/>
        </w:rPr>
        <w:t>Electric Generating Units</w:t>
      </w:r>
      <w:r w:rsidR="00180971" w:rsidRPr="00E14996">
        <w:rPr>
          <w:rFonts w:ascii="Times New Roman" w:hAnsi="Times New Roman"/>
        </w:rPr>
        <w:t xml:space="preserve"> (40 CFR part 63, subpart </w:t>
      </w:r>
      <w:r w:rsidR="00E14996" w:rsidRPr="00E14996">
        <w:rPr>
          <w:rFonts w:ascii="Times New Roman" w:hAnsi="Times New Roman"/>
        </w:rPr>
        <w:t>UUUUU)</w:t>
      </w:r>
    </w:p>
    <w:p w:rsidR="00DB3DB1" w:rsidRDefault="00DB3DB1" w:rsidP="00E14996">
      <w:pPr>
        <w:pStyle w:val="ExhibitTitle"/>
        <w:rPr>
          <w:rFonts w:ascii="Times New Roman" w:hAnsi="Times New Roman"/>
          <w:b w:val="0"/>
        </w:rPr>
      </w:pPr>
    </w:p>
    <w:tbl>
      <w:tblPr>
        <w:tblW w:w="5000" w:type="pct"/>
        <w:tblLayout w:type="fixed"/>
        <w:tblLook w:val="04A0"/>
      </w:tblPr>
      <w:tblGrid>
        <w:gridCol w:w="256"/>
        <w:gridCol w:w="256"/>
        <w:gridCol w:w="3558"/>
        <w:gridCol w:w="988"/>
        <w:gridCol w:w="1352"/>
        <w:gridCol w:w="1262"/>
        <w:gridCol w:w="1080"/>
        <w:gridCol w:w="1080"/>
        <w:gridCol w:w="1170"/>
        <w:gridCol w:w="986"/>
        <w:gridCol w:w="1188"/>
      </w:tblGrid>
      <w:tr w:rsidR="00DB3DB1" w:rsidRPr="00332DD0" w:rsidTr="00DB3DB1">
        <w:trPr>
          <w:cantSplit/>
          <w:trHeight w:val="780"/>
          <w:tblHeader/>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B3DB1" w:rsidRPr="00332DD0" w:rsidRDefault="00452648" w:rsidP="00DB3DB1">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Year 2</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(C)  Hours/ Respondent/ </w:t>
            </w:r>
            <w:r w:rsidRPr="00332DD0">
              <w:rPr>
                <w:rFonts w:ascii="Times New Roman" w:eastAsia="Times New Roman" w:hAnsi="Times New Roman"/>
                <w:color w:val="000000"/>
                <w:sz w:val="16"/>
                <w:szCs w:val="16"/>
              </w:rPr>
              <w:br/>
              <w:t>Year (A x B)</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(F) Managerial Hours/Year (E x 0.05)</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(G) Clerical Hours/Year (E x 0.10)</w:t>
            </w:r>
          </w:p>
        </w:tc>
        <w:tc>
          <w:tcPr>
            <w:tcW w:w="451"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sz w:val="16"/>
                <w:szCs w:val="16"/>
              </w:rPr>
            </w:pPr>
            <w:r w:rsidRPr="00332DD0">
              <w:rPr>
                <w:rFonts w:ascii="Times New Roman" w:eastAsia="Times New Roman" w:hAnsi="Times New Roman"/>
                <w:sz w:val="16"/>
                <w:szCs w:val="16"/>
              </w:rPr>
              <w:t>(H)  Cost/ Year</w:t>
            </w:r>
          </w:p>
        </w:tc>
      </w:tr>
      <w:tr w:rsidR="00DB3DB1" w:rsidRPr="00332DD0" w:rsidTr="00DB3DB1">
        <w:trPr>
          <w:trHeight w:val="300"/>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 APPLICATIONS (Not Applicable)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300"/>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 SURVEY AND STUDIES (Not Applicable)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525"/>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 xml:space="preserve">. </w:t>
            </w:r>
            <w:r w:rsidRPr="00332DD0">
              <w:rPr>
                <w:rFonts w:ascii="Times New Roman" w:eastAsia="Times New Roman" w:hAnsi="Times New Roman"/>
                <w:color w:val="000000"/>
                <w:sz w:val="16"/>
                <w:szCs w:val="16"/>
              </w:rPr>
              <w:t>ACQUISITION, INSTALLATION, AND UTILIZATION OF TECHNOLOGY AND SYSTEMS</w:t>
            </w:r>
            <w:r>
              <w:rPr>
                <w:rFonts w:ascii="Times New Roman" w:eastAsia="Times New Roman" w:hAnsi="Times New Roman"/>
                <w:color w:val="000000"/>
                <w:sz w:val="16"/>
                <w:szCs w:val="16"/>
              </w:rPr>
              <w:t xml:space="preserve"> </w:t>
            </w:r>
            <w:r w:rsidRPr="00B47C5E">
              <w:rPr>
                <w:rFonts w:ascii="Times New Roman" w:eastAsia="Times New Roman" w:hAnsi="Times New Roman"/>
                <w:color w:val="000000"/>
                <w:sz w:val="16"/>
                <w:szCs w:val="16"/>
                <w:vertAlign w:val="superscript"/>
              </w:rPr>
              <w:t>a</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16</w:t>
            </w:r>
            <w:r>
              <w:rPr>
                <w:rFonts w:ascii="Times New Roman" w:eastAsia="Times New Roman" w:hAnsi="Times New Roman"/>
                <w:color w:val="000000"/>
                <w:sz w:val="16"/>
                <w:szCs w:val="16"/>
              </w:rPr>
              <w:t>0.6</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16</w:t>
            </w:r>
            <w:r>
              <w:rPr>
                <w:rFonts w:ascii="Times New Roman" w:eastAsia="Times New Roman" w:hAnsi="Times New Roman"/>
                <w:color w:val="000000"/>
                <w:sz w:val="16"/>
                <w:szCs w:val="16"/>
              </w:rPr>
              <w:t>0.6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63</w:t>
            </w:r>
            <w:r w:rsidR="00452648">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44F59">
              <w:rPr>
                <w:rFonts w:ascii="Times New Roman" w:eastAsia="Times New Roman" w:hAnsi="Times New Roman"/>
                <w:color w:val="000000"/>
                <w:sz w:val="16"/>
                <w:szCs w:val="16"/>
              </w:rPr>
              <w:t>606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5,0</w:t>
            </w:r>
            <w:r w:rsidR="00644F59">
              <w:rPr>
                <w:rFonts w:ascii="Times New Roman" w:eastAsia="Times New Roman" w:hAnsi="Times New Roman"/>
                <w:color w:val="000000"/>
                <w:sz w:val="16"/>
                <w:szCs w:val="16"/>
              </w:rPr>
              <w:t>80</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44F59">
              <w:rPr>
                <w:rFonts w:ascii="Times New Roman" w:eastAsia="Times New Roman" w:hAnsi="Times New Roman"/>
                <w:color w:val="000000"/>
                <w:sz w:val="16"/>
                <w:szCs w:val="16"/>
              </w:rPr>
              <w:t>61</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8,1</w:t>
            </w:r>
            <w:r w:rsidR="00644F59">
              <w:rPr>
                <w:rFonts w:ascii="Times New Roman" w:eastAsia="Times New Roman" w:hAnsi="Times New Roman"/>
                <w:sz w:val="16"/>
                <w:szCs w:val="16"/>
              </w:rPr>
              <w:t>95,236</w:t>
            </w:r>
          </w:p>
        </w:tc>
      </w:tr>
      <w:tr w:rsidR="00DB3DB1"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 REPORT REQUIREMENTS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Read Instructions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865</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86.5</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sidR="00644F59">
              <w:rPr>
                <w:rFonts w:ascii="Times New Roman" w:eastAsia="Times New Roman" w:hAnsi="Times New Roman"/>
                <w:sz w:val="16"/>
                <w:szCs w:val="16"/>
              </w:rPr>
              <w:t>69,795</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Pr>
                <w:rFonts w:ascii="Times New Roman" w:eastAsia="Times New Roman" w:hAnsi="Times New Roman"/>
                <w:sz w:val="16"/>
                <w:szCs w:val="16"/>
              </w:rPr>
              <w:t>61</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Pr>
                <w:rFonts w:ascii="Times New Roman" w:eastAsia="Times New Roman" w:hAnsi="Times New Roman"/>
                <w:color w:val="000000"/>
                <w:sz w:val="16"/>
                <w:szCs w:val="16"/>
              </w:rPr>
              <w:t>B. Required Activities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M5 and M202</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415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644F59">
              <w:rPr>
                <w:rFonts w:ascii="Times New Roman" w:eastAsia="Times New Roman" w:hAnsi="Times New Roman"/>
                <w:color w:val="000000"/>
                <w:sz w:val="16"/>
                <w:szCs w:val="16"/>
              </w:rPr>
              <w:t>46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57</w:t>
            </w:r>
            <w:r w:rsidR="00644F59">
              <w:rPr>
                <w:rFonts w:ascii="Times New Roman" w:eastAsia="Times New Roman" w:hAnsi="Times New Roman"/>
                <w:color w:val="000000"/>
                <w:sz w:val="16"/>
                <w:szCs w:val="16"/>
              </w:rPr>
              <w:t>7.3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644F59">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9</w:t>
            </w:r>
            <w:r w:rsidR="00644F59">
              <w:rPr>
                <w:rFonts w:ascii="Times New Roman" w:eastAsia="Times New Roman" w:hAnsi="Times New Roman"/>
                <w:sz w:val="16"/>
                <w:szCs w:val="16"/>
              </w:rPr>
              <w:t>31</w:t>
            </w:r>
            <w:r>
              <w:rPr>
                <w:rFonts w:ascii="Times New Roman" w:eastAsia="Times New Roman" w:hAnsi="Times New Roman"/>
                <w:sz w:val="16"/>
                <w:szCs w:val="16"/>
              </w:rPr>
              <w:t>,</w:t>
            </w:r>
            <w:r w:rsidR="00644F59">
              <w:rPr>
                <w:rFonts w:ascii="Times New Roman" w:eastAsia="Times New Roman" w:hAnsi="Times New Roman"/>
                <w:sz w:val="16"/>
                <w:szCs w:val="16"/>
              </w:rPr>
              <w:t>285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M29</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w:t>
            </w:r>
            <w:r>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644F59">
              <w:rPr>
                <w:rFonts w:ascii="Times New Roman" w:eastAsia="Times New Roman" w:hAnsi="Times New Roman"/>
                <w:color w:val="000000"/>
                <w:sz w:val="16"/>
                <w:szCs w:val="16"/>
              </w:rPr>
              <w:t>46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5</w:t>
            </w:r>
            <w:r>
              <w:rPr>
                <w:rFonts w:ascii="Times New Roman" w:eastAsia="Times New Roman" w:hAnsi="Times New Roman"/>
                <w:color w:val="000000"/>
                <w:sz w:val="16"/>
                <w:szCs w:val="16"/>
              </w:rPr>
              <w:t>7</w:t>
            </w:r>
            <w:r w:rsidR="00644F59">
              <w:rPr>
                <w:rFonts w:ascii="Times New Roman" w:eastAsia="Times New Roman" w:hAnsi="Times New Roman"/>
                <w:color w:val="000000"/>
                <w:sz w:val="16"/>
                <w:szCs w:val="16"/>
              </w:rPr>
              <w:t>7.3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Pr>
                <w:rFonts w:ascii="Times New Roman" w:eastAsia="Times New Roman" w:hAnsi="Times New Roman"/>
                <w:color w:val="000000"/>
                <w:sz w:val="16"/>
                <w:szCs w:val="16"/>
              </w:rPr>
              <w:t>,15</w:t>
            </w:r>
            <w:r w:rsidR="00644F59">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9</w:t>
            </w:r>
            <w:r w:rsidR="00644F59">
              <w:rPr>
                <w:rFonts w:ascii="Times New Roman" w:eastAsia="Times New Roman" w:hAnsi="Times New Roman"/>
                <w:sz w:val="16"/>
                <w:szCs w:val="16"/>
              </w:rPr>
              <w:t>31</w:t>
            </w:r>
            <w:r>
              <w:rPr>
                <w:rFonts w:ascii="Times New Roman" w:eastAsia="Times New Roman" w:hAnsi="Times New Roman"/>
                <w:sz w:val="16"/>
                <w:szCs w:val="16"/>
              </w:rPr>
              <w:t>,</w:t>
            </w:r>
            <w:r w:rsidR="00644F59">
              <w:rPr>
                <w:rFonts w:ascii="Times New Roman" w:eastAsia="Times New Roman" w:hAnsi="Times New Roman"/>
                <w:sz w:val="16"/>
                <w:szCs w:val="16"/>
              </w:rPr>
              <w:t>285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M320</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2,2</w:t>
            </w:r>
            <w:r w:rsidR="00644F59">
              <w:rPr>
                <w:rFonts w:ascii="Times New Roman" w:eastAsia="Times New Roman" w:hAnsi="Times New Roman"/>
                <w:color w:val="000000"/>
                <w:sz w:val="16"/>
                <w:szCs w:val="16"/>
              </w:rPr>
              <w:t>62</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w:t>
            </w:r>
            <w:r w:rsidR="00644F59">
              <w:rPr>
                <w:rFonts w:ascii="Times New Roman" w:eastAsia="Times New Roman" w:hAnsi="Times New Roman"/>
                <w:color w:val="000000"/>
                <w:sz w:val="16"/>
                <w:szCs w:val="16"/>
              </w:rPr>
              <w:t>3.1</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22</w:t>
            </w:r>
            <w:r w:rsidR="00644F59">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18</w:t>
            </w:r>
            <w:r w:rsidR="00644F59">
              <w:rPr>
                <w:rFonts w:ascii="Times New Roman" w:eastAsia="Times New Roman" w:hAnsi="Times New Roman"/>
                <w:sz w:val="16"/>
                <w:szCs w:val="16"/>
              </w:rPr>
              <w:t>2,413</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w:t>
            </w:r>
            <w:r>
              <w:rPr>
                <w:rFonts w:ascii="Times New Roman" w:eastAsia="Times New Roman" w:hAnsi="Times New Roman"/>
                <w:color w:val="000000"/>
                <w:sz w:val="16"/>
                <w:szCs w:val="16"/>
              </w:rPr>
              <w:t>30B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w:t>
            </w:r>
            <w:r w:rsidR="00452648">
              <w:rPr>
                <w:rFonts w:ascii="Times New Roman" w:eastAsia="Times New Roman" w:hAnsi="Times New Roman"/>
                <w:color w:val="000000"/>
                <w:sz w:val="16"/>
                <w:szCs w:val="16"/>
              </w:rPr>
              <w:t>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44F59">
              <w:rPr>
                <w:rFonts w:ascii="Times New Roman" w:eastAsia="Times New Roman" w:hAnsi="Times New Roman"/>
                <w:color w:val="000000"/>
                <w:sz w:val="16"/>
                <w:szCs w:val="16"/>
              </w:rPr>
              <w:t>66</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50</w:t>
            </w:r>
            <w:r w:rsidR="00644F59">
              <w:rPr>
                <w:rFonts w:ascii="Times New Roman" w:eastAsia="Times New Roman" w:hAnsi="Times New Roman"/>
                <w:color w:val="000000"/>
                <w:sz w:val="16"/>
                <w:szCs w:val="16"/>
              </w:rPr>
              <w:t>8.3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44F59">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81</w:t>
            </w:r>
            <w:r w:rsidR="00644F59">
              <w:rPr>
                <w:rFonts w:ascii="Times New Roman" w:eastAsia="Times New Roman" w:hAnsi="Times New Roman"/>
                <w:sz w:val="16"/>
                <w:szCs w:val="16"/>
              </w:rPr>
              <w:t>9,919</w:t>
            </w:r>
          </w:p>
        </w:tc>
      </w:tr>
      <w:tr w:rsidR="00DB3DB1" w:rsidRPr="00332DD0" w:rsidTr="00DB3DB1">
        <w:trPr>
          <w:trHeight w:val="52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Existing Sources - Repeat M5 and </w:t>
            </w:r>
            <w:r>
              <w:rPr>
                <w:rFonts w:ascii="Times New Roman" w:eastAsia="Times New Roman" w:hAnsi="Times New Roman"/>
                <w:color w:val="000000"/>
                <w:sz w:val="16"/>
                <w:szCs w:val="16"/>
              </w:rPr>
              <w:t>M</w:t>
            </w:r>
            <w:r w:rsidRPr="00332DD0">
              <w:rPr>
                <w:rFonts w:ascii="Times New Roman" w:eastAsia="Times New Roman" w:hAnsi="Times New Roman"/>
                <w:color w:val="000000"/>
                <w:sz w:val="16"/>
                <w:szCs w:val="16"/>
              </w:rPr>
              <w:t>202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415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644F59">
              <w:rPr>
                <w:rFonts w:ascii="Times New Roman" w:eastAsia="Times New Roman" w:hAnsi="Times New Roman"/>
                <w:color w:val="000000"/>
                <w:sz w:val="16"/>
                <w:szCs w:val="16"/>
              </w:rPr>
              <w:t>46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57</w:t>
            </w:r>
            <w:r w:rsidR="00644F59">
              <w:rPr>
                <w:rFonts w:ascii="Times New Roman" w:eastAsia="Times New Roman" w:hAnsi="Times New Roman"/>
                <w:color w:val="000000"/>
                <w:sz w:val="16"/>
                <w:szCs w:val="16"/>
              </w:rPr>
              <w:t>7.3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644F59">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9</w:t>
            </w:r>
            <w:r w:rsidR="00644F59">
              <w:rPr>
                <w:rFonts w:ascii="Times New Roman" w:eastAsia="Times New Roman" w:hAnsi="Times New Roman"/>
                <w:sz w:val="16"/>
                <w:szCs w:val="16"/>
              </w:rPr>
              <w:t>31,285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M29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M320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2,2</w:t>
            </w:r>
            <w:r w:rsidR="00644F59">
              <w:rPr>
                <w:rFonts w:ascii="Times New Roman" w:eastAsia="Times New Roman" w:hAnsi="Times New Roman"/>
                <w:color w:val="000000"/>
                <w:sz w:val="16"/>
                <w:szCs w:val="16"/>
              </w:rPr>
              <w:t>62</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w:t>
            </w:r>
            <w:r w:rsidR="00644F59">
              <w:rPr>
                <w:rFonts w:ascii="Times New Roman" w:eastAsia="Times New Roman" w:hAnsi="Times New Roman"/>
                <w:color w:val="000000"/>
                <w:sz w:val="16"/>
                <w:szCs w:val="16"/>
              </w:rPr>
              <w:t>3.1</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22</w:t>
            </w:r>
            <w:r w:rsidR="00644F59">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18</w:t>
            </w:r>
            <w:r w:rsidR="00644F59">
              <w:rPr>
                <w:rFonts w:ascii="Times New Roman" w:eastAsia="Times New Roman" w:hAnsi="Times New Roman"/>
                <w:sz w:val="16"/>
                <w:szCs w:val="16"/>
              </w:rPr>
              <w:t>2,413</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w:t>
            </w:r>
            <w:r>
              <w:rPr>
                <w:rFonts w:ascii="Times New Roman" w:eastAsia="Times New Roman" w:hAnsi="Times New Roman"/>
                <w:color w:val="000000"/>
                <w:sz w:val="16"/>
                <w:szCs w:val="16"/>
              </w:rPr>
              <w:t>30B</w:t>
            </w:r>
            <w:r w:rsidRPr="00332DD0">
              <w:rPr>
                <w:rFonts w:ascii="Times New Roman" w:eastAsia="Times New Roman" w:hAnsi="Times New Roman"/>
                <w:color w:val="000000"/>
                <w:sz w:val="16"/>
                <w:szCs w:val="16"/>
              </w:rPr>
              <w:t xml:space="preserve">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w:t>
            </w:r>
            <w:r w:rsidR="00452648">
              <w:rPr>
                <w:rFonts w:ascii="Times New Roman" w:eastAsia="Times New Roman" w:hAnsi="Times New Roman"/>
                <w:color w:val="000000"/>
                <w:sz w:val="16"/>
                <w:szCs w:val="16"/>
              </w:rPr>
              <w:t>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44F59">
              <w:rPr>
                <w:rFonts w:ascii="Times New Roman" w:eastAsia="Times New Roman" w:hAnsi="Times New Roman"/>
                <w:color w:val="000000"/>
                <w:sz w:val="16"/>
                <w:szCs w:val="16"/>
              </w:rPr>
              <w:t>66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50</w:t>
            </w:r>
            <w:r w:rsidR="00644F59">
              <w:rPr>
                <w:rFonts w:ascii="Times New Roman" w:eastAsia="Times New Roman" w:hAnsi="Times New Roman"/>
                <w:color w:val="000000"/>
                <w:sz w:val="16"/>
                <w:szCs w:val="16"/>
              </w:rPr>
              <w:t>8.3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44F59">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81</w:t>
            </w:r>
            <w:r w:rsidR="00644F59">
              <w:rPr>
                <w:rFonts w:ascii="Times New Roman" w:eastAsia="Times New Roman" w:hAnsi="Times New Roman"/>
                <w:sz w:val="16"/>
                <w:szCs w:val="16"/>
              </w:rPr>
              <w:t>9,919</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w:t>
            </w:r>
            <w:r>
              <w:rPr>
                <w:rFonts w:ascii="Times New Roman" w:eastAsia="Times New Roman" w:hAnsi="Times New Roman"/>
                <w:color w:val="000000"/>
                <w:sz w:val="16"/>
                <w:szCs w:val="16"/>
              </w:rPr>
              <w:t>es - CEMS Quarterly Inspections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w:t>
            </w:r>
            <w:r w:rsidR="00644F59">
              <w:rPr>
                <w:rFonts w:ascii="Times New Roman" w:eastAsia="Times New Roman" w:hAnsi="Times New Roman"/>
                <w:color w:val="000000"/>
                <w:sz w:val="16"/>
                <w:szCs w:val="16"/>
              </w:rPr>
              <w:t>653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432.</w:t>
            </w:r>
            <w:r w:rsidR="00644F59">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86</w:t>
            </w:r>
            <w:r w:rsidR="00644F59">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697,</w:t>
            </w:r>
            <w:r w:rsidR="00644F59">
              <w:rPr>
                <w:rFonts w:ascii="Times New Roman" w:eastAsia="Times New Roman" w:hAnsi="Times New Roman"/>
                <w:sz w:val="16"/>
                <w:szCs w:val="16"/>
              </w:rPr>
              <w:t>950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CEM</w:t>
            </w:r>
            <w:r>
              <w:rPr>
                <w:rFonts w:ascii="Times New Roman" w:eastAsia="Times New Roman" w:hAnsi="Times New Roman"/>
                <w:color w:val="000000"/>
                <w:sz w:val="16"/>
                <w:szCs w:val="16"/>
              </w:rPr>
              <w:t>S Daily Calibration Drift Tests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r>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146</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126,</w:t>
            </w:r>
            <w:r w:rsidR="00644F59">
              <w:rPr>
                <w:rFonts w:ascii="Times New Roman" w:eastAsia="Times New Roman" w:hAnsi="Times New Roman"/>
                <w:color w:val="000000"/>
                <w:sz w:val="16"/>
                <w:szCs w:val="16"/>
              </w:rPr>
              <w:t>339</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6,31</w:t>
            </w:r>
            <w:r w:rsidR="00644F59">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12,6</w:t>
            </w:r>
            <w:r w:rsidR="00644F59">
              <w:rPr>
                <w:rFonts w:ascii="Times New Roman" w:eastAsia="Times New Roman" w:hAnsi="Times New Roman"/>
                <w:color w:val="000000"/>
                <w:sz w:val="16"/>
                <w:szCs w:val="16"/>
              </w:rPr>
              <w:t>34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10,1</w:t>
            </w:r>
            <w:r w:rsidR="00644F59">
              <w:rPr>
                <w:rFonts w:ascii="Times New Roman" w:eastAsia="Times New Roman" w:hAnsi="Times New Roman"/>
                <w:sz w:val="16"/>
                <w:szCs w:val="16"/>
              </w:rPr>
              <w:t>90,073</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Daily monitoring (CEMS)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r>
              <w:rPr>
                <w:rFonts w:ascii="Times New Roman" w:eastAsia="Times New Roman" w:hAnsi="Times New Roman"/>
                <w:color w:val="000000"/>
                <w:sz w:val="16"/>
                <w:szCs w:val="16"/>
              </w:rPr>
              <w:t>25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9</w:t>
            </w:r>
            <w:r>
              <w:rPr>
                <w:rFonts w:ascii="Times New Roman" w:eastAsia="Times New Roman" w:hAnsi="Times New Roman"/>
                <w:color w:val="000000"/>
                <w:sz w:val="16"/>
                <w:szCs w:val="16"/>
              </w:rPr>
              <w:t>1.25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78,9</w:t>
            </w:r>
            <w:r w:rsidR="00644F59">
              <w:rPr>
                <w:rFonts w:ascii="Times New Roman" w:eastAsia="Times New Roman" w:hAnsi="Times New Roman"/>
                <w:color w:val="000000"/>
                <w:sz w:val="16"/>
                <w:szCs w:val="16"/>
              </w:rPr>
              <w:t>62</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3,94</w:t>
            </w:r>
            <w:r w:rsidR="00644F59">
              <w:rPr>
                <w:rFonts w:ascii="Times New Roman" w:eastAsia="Times New Roman" w:hAnsi="Times New Roman"/>
                <w:color w:val="000000"/>
                <w:sz w:val="16"/>
                <w:szCs w:val="16"/>
              </w:rPr>
              <w:t>8.1</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7,89</w:t>
            </w:r>
            <w:r w:rsidR="00644F59">
              <w:rPr>
                <w:rFonts w:ascii="Times New Roman" w:eastAsia="Times New Roman" w:hAnsi="Times New Roman"/>
                <w:color w:val="000000"/>
                <w:sz w:val="16"/>
                <w:szCs w:val="16"/>
              </w:rPr>
              <w:t>6</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6,36</w:t>
            </w:r>
            <w:r w:rsidR="00644F59">
              <w:rPr>
                <w:rFonts w:ascii="Times New Roman" w:eastAsia="Times New Roman" w:hAnsi="Times New Roman"/>
                <w:sz w:val="16"/>
                <w:szCs w:val="16"/>
              </w:rPr>
              <w:t>8,795</w:t>
            </w:r>
          </w:p>
        </w:tc>
      </w:tr>
      <w:tr w:rsidR="00DB3DB1" w:rsidRPr="00332DD0" w:rsidTr="00DB3DB1">
        <w:trPr>
          <w:trHeight w:val="52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All CEMS must follow appropr</w:t>
            </w:r>
            <w:r>
              <w:rPr>
                <w:rFonts w:ascii="Times New Roman" w:eastAsia="Times New Roman" w:hAnsi="Times New Roman"/>
                <w:color w:val="000000"/>
                <w:sz w:val="16"/>
                <w:szCs w:val="16"/>
              </w:rPr>
              <w:t>iate performance specifications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12,1</w:t>
            </w:r>
            <w:r w:rsidR="00644F59">
              <w:rPr>
                <w:rFonts w:ascii="Times New Roman" w:eastAsia="Times New Roman" w:hAnsi="Times New Roman"/>
                <w:color w:val="000000"/>
                <w:sz w:val="16"/>
                <w:szCs w:val="16"/>
              </w:rPr>
              <w:t>15</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60</w:t>
            </w:r>
            <w:r w:rsidR="00644F59">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1,21</w:t>
            </w:r>
            <w:r w:rsidR="00644F59">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97</w:t>
            </w:r>
            <w:r w:rsidR="00644F59">
              <w:rPr>
                <w:rFonts w:ascii="Times New Roman" w:eastAsia="Times New Roman" w:hAnsi="Times New Roman"/>
                <w:sz w:val="16"/>
                <w:szCs w:val="16"/>
              </w:rPr>
              <w:t>7,130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M5 and M202</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55.6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78</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5.56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$4,</w:t>
            </w:r>
            <w:r>
              <w:rPr>
                <w:rFonts w:ascii="Times New Roman" w:eastAsia="Times New Roman" w:hAnsi="Times New Roman"/>
                <w:sz w:val="16"/>
                <w:szCs w:val="16"/>
              </w:rPr>
              <w:t>485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M29</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55.6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78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5.56</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$4,</w:t>
            </w:r>
            <w:r>
              <w:rPr>
                <w:rFonts w:ascii="Times New Roman" w:eastAsia="Times New Roman" w:hAnsi="Times New Roman"/>
                <w:sz w:val="16"/>
                <w:szCs w:val="16"/>
              </w:rPr>
              <w:t>485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w:t>
            </w:r>
            <w:r>
              <w:rPr>
                <w:rFonts w:ascii="Times New Roman" w:eastAsia="Times New Roman" w:hAnsi="Times New Roman"/>
                <w:color w:val="000000"/>
                <w:sz w:val="16"/>
                <w:szCs w:val="16"/>
              </w:rPr>
              <w:t>26A</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52.8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$4,</w:t>
            </w:r>
            <w:r>
              <w:rPr>
                <w:rFonts w:ascii="Times New Roman" w:eastAsia="Times New Roman" w:hAnsi="Times New Roman"/>
                <w:sz w:val="16"/>
                <w:szCs w:val="16"/>
              </w:rPr>
              <w:t>259</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M6A</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M5 and 202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M29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w:t>
            </w:r>
            <w:r>
              <w:rPr>
                <w:rFonts w:ascii="Times New Roman" w:eastAsia="Times New Roman" w:hAnsi="Times New Roman"/>
                <w:color w:val="000000"/>
                <w:sz w:val="16"/>
                <w:szCs w:val="16"/>
              </w:rPr>
              <w:t>26A</w:t>
            </w:r>
            <w:r w:rsidRPr="00332DD0">
              <w:rPr>
                <w:rFonts w:ascii="Times New Roman" w:eastAsia="Times New Roman" w:hAnsi="Times New Roman"/>
                <w:color w:val="000000"/>
                <w:sz w:val="16"/>
                <w:szCs w:val="16"/>
              </w:rPr>
              <w:t xml:space="preserve">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2</w:t>
            </w:r>
            <w:r>
              <w:rPr>
                <w:rFonts w:ascii="Times New Roman" w:eastAsia="Times New Roman" w:hAnsi="Times New Roman"/>
                <w:sz w:val="16"/>
                <w:szCs w:val="16"/>
              </w:rPr>
              <w:t>6.</w:t>
            </w:r>
            <w:r w:rsidRPr="00332DD0">
              <w:rPr>
                <w:rFonts w:ascii="Times New Roman" w:eastAsia="Times New Roman" w:hAnsi="Times New Roman"/>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M6A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2</w:t>
            </w:r>
            <w:r>
              <w:rPr>
                <w:rFonts w:ascii="Times New Roman" w:eastAsia="Times New Roman" w:hAnsi="Times New Roman"/>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Monitoring</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Quarterly Inspections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.46</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9.84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Pr>
                <w:rFonts w:ascii="Times New Roman" w:eastAsia="Times New Roman" w:hAnsi="Times New Roman"/>
                <w:color w:val="000000"/>
                <w:sz w:val="16"/>
                <w:szCs w:val="16"/>
              </w:rPr>
              <w:t>9.7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$1,5</w:t>
            </w:r>
            <w:r>
              <w:rPr>
                <w:rFonts w:ascii="Times New Roman" w:eastAsia="Times New Roman" w:hAnsi="Times New Roman"/>
                <w:sz w:val="16"/>
                <w:szCs w:val="16"/>
              </w:rPr>
              <w:t>8</w:t>
            </w:r>
            <w:r w:rsidRPr="00332DD0">
              <w:rPr>
                <w:rFonts w:ascii="Times New Roman" w:eastAsia="Times New Roman" w:hAnsi="Times New Roman"/>
                <w:sz w:val="16"/>
                <w:szCs w:val="16"/>
              </w:rPr>
              <w:t>7</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Daily Calibration Drift Tests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r>
              <w:rPr>
                <w:rFonts w:ascii="Times New Roman" w:eastAsia="Times New Roman" w:hAnsi="Times New Roman"/>
                <w:color w:val="000000"/>
                <w:sz w:val="16"/>
                <w:szCs w:val="16"/>
              </w:rPr>
              <w:t>121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44.165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88.3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.8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7,124</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Daily monitoring (CEMS</w:t>
            </w:r>
            <w:r w:rsidRPr="00332DD0">
              <w:rPr>
                <w:rFonts w:ascii="Times New Roman" w:eastAsia="Times New Roman" w:hAnsi="Times New Roman"/>
                <w:sz w:val="16"/>
                <w:szCs w:val="16"/>
              </w:rPr>
              <w: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0</w:t>
            </w:r>
          </w:p>
        </w:tc>
      </w:tr>
      <w:tr w:rsidR="00DB3DB1" w:rsidRPr="00332DD0" w:rsidTr="00DB3DB1">
        <w:trPr>
          <w:trHeight w:val="54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All CEMS must follow appropriate performance specifications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2,664.5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5,329</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266.5</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532.9</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429,820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 Create Information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Gather Existing Information (Included in 4E)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Write Report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Notification of Demonstration of</w:t>
            </w:r>
            <w:r>
              <w:rPr>
                <w:rFonts w:ascii="Times New Roman" w:eastAsia="Times New Roman" w:hAnsi="Times New Roman"/>
                <w:color w:val="000000"/>
                <w:sz w:val="16"/>
                <w:szCs w:val="16"/>
              </w:rPr>
              <w:t xml:space="preserve"> CEMS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4,32</w:t>
            </w:r>
            <w:r w:rsidR="00644F59">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216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44F59">
              <w:rPr>
                <w:rFonts w:ascii="Times New Roman" w:eastAsia="Times New Roman" w:hAnsi="Times New Roman"/>
                <w:color w:val="000000"/>
                <w:sz w:val="16"/>
                <w:szCs w:val="16"/>
              </w:rPr>
              <w:t>433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348,</w:t>
            </w:r>
            <w:r w:rsidR="00644F59">
              <w:rPr>
                <w:rFonts w:ascii="Times New Roman" w:eastAsia="Times New Roman" w:hAnsi="Times New Roman"/>
                <w:sz w:val="16"/>
                <w:szCs w:val="16"/>
              </w:rPr>
              <w:t>975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Report of Performance Test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w:t>
            </w:r>
            <w:r>
              <w:rPr>
                <w:rFonts w:ascii="Times New Roman" w:eastAsia="Times New Roman" w:hAnsi="Times New Roman"/>
                <w:color w:val="000000"/>
                <w:sz w:val="16"/>
                <w:szCs w:val="16"/>
              </w:rPr>
              <w:t>ion of Initial Performance Test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2,59</w:t>
            </w:r>
            <w:r w:rsidR="00644F59">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00644F59">
              <w:rPr>
                <w:rFonts w:ascii="Times New Roman" w:eastAsia="Times New Roman" w:hAnsi="Times New Roman"/>
                <w:color w:val="000000"/>
                <w:sz w:val="16"/>
                <w:szCs w:val="16"/>
              </w:rPr>
              <w:t>30</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r w:rsidR="00644F59">
              <w:rPr>
                <w:rFonts w:ascii="Times New Roman" w:eastAsia="Times New Roman" w:hAnsi="Times New Roman"/>
                <w:color w:val="000000"/>
                <w:sz w:val="16"/>
                <w:szCs w:val="16"/>
              </w:rPr>
              <w:t>60</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209,</w:t>
            </w:r>
            <w:r w:rsidR="00644F59">
              <w:rPr>
                <w:rFonts w:ascii="Times New Roman" w:eastAsia="Times New Roman" w:hAnsi="Times New Roman"/>
                <w:sz w:val="16"/>
                <w:szCs w:val="16"/>
              </w:rPr>
              <w:t>385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Quality Assurance Program Notification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3,4</w:t>
            </w:r>
            <w:r w:rsidR="00644F59">
              <w:rPr>
                <w:rFonts w:ascii="Times New Roman" w:eastAsia="Times New Roman" w:hAnsi="Times New Roman"/>
                <w:color w:val="000000"/>
                <w:sz w:val="16"/>
                <w:szCs w:val="16"/>
              </w:rPr>
              <w:t>61</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17</w:t>
            </w:r>
            <w:r w:rsidR="00644F59">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34</w:t>
            </w:r>
            <w:r w:rsidR="00644F59">
              <w:rPr>
                <w:rFonts w:ascii="Times New Roman" w:eastAsia="Times New Roman" w:hAnsi="Times New Roman"/>
                <w:color w:val="000000"/>
                <w:sz w:val="16"/>
                <w:szCs w:val="16"/>
              </w:rPr>
              <w:t>6</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27</w:t>
            </w:r>
            <w:r w:rsidR="00644F59">
              <w:rPr>
                <w:rFonts w:ascii="Times New Roman" w:eastAsia="Times New Roman" w:hAnsi="Times New Roman"/>
                <w:sz w:val="16"/>
                <w:szCs w:val="16"/>
              </w:rPr>
              <w:t>9</w:t>
            </w:r>
            <w:r w:rsidR="00AB64F0">
              <w:rPr>
                <w:rFonts w:ascii="Times New Roman" w:eastAsia="Times New Roman" w:hAnsi="Times New Roman"/>
                <w:sz w:val="16"/>
                <w:szCs w:val="16"/>
              </w:rPr>
              <w:t>,</w:t>
            </w:r>
            <w:r w:rsidR="00644F59">
              <w:rPr>
                <w:rFonts w:ascii="Times New Roman" w:eastAsia="Times New Roman" w:hAnsi="Times New Roman"/>
                <w:sz w:val="16"/>
                <w:szCs w:val="16"/>
              </w:rPr>
              <w:t>180</w:t>
            </w:r>
          </w:p>
        </w:tc>
      </w:tr>
      <w:tr w:rsidR="00DB3DB1" w:rsidRPr="00332DD0" w:rsidTr="00DB3DB1">
        <w:trPr>
          <w:trHeight w:val="52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Existing Sources - Startup, shutdown, and malfunction Report </w:t>
            </w:r>
            <w:r w:rsidRPr="00B47C5E">
              <w:rPr>
                <w:rFonts w:ascii="Times New Roman" w:eastAsia="Times New Roman" w:hAnsi="Times New Roman"/>
                <w:color w:val="000000"/>
                <w:sz w:val="16"/>
                <w:szCs w:val="16"/>
                <w:vertAlign w:val="superscript"/>
              </w:rPr>
              <w:t>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86</w:t>
            </w:r>
            <w:r w:rsidR="00644F59">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86.5</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6</w:t>
            </w:r>
            <w:r w:rsidRPr="00332DD0">
              <w:rPr>
                <w:rFonts w:ascii="Times New Roman" w:eastAsia="Times New Roman" w:hAnsi="Times New Roman"/>
                <w:sz w:val="16"/>
                <w:szCs w:val="16"/>
              </w:rPr>
              <w:t>9,</w:t>
            </w:r>
            <w:r>
              <w:rPr>
                <w:rFonts w:ascii="Times New Roman" w:eastAsia="Times New Roman" w:hAnsi="Times New Roman"/>
                <w:sz w:val="16"/>
                <w:szCs w:val="16"/>
              </w:rPr>
              <w:t>7</w:t>
            </w:r>
            <w:r w:rsidR="00644F59">
              <w:rPr>
                <w:rFonts w:ascii="Times New Roman" w:eastAsia="Times New Roman" w:hAnsi="Times New Roman"/>
                <w:sz w:val="16"/>
                <w:szCs w:val="16"/>
              </w:rPr>
              <w:t>95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Semi-Annual Compliance Report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129,</w:t>
            </w:r>
            <w:r w:rsidR="00AB64F0">
              <w:rPr>
                <w:rFonts w:ascii="Times New Roman" w:eastAsia="Times New Roman" w:hAnsi="Times New Roman"/>
                <w:color w:val="000000"/>
                <w:sz w:val="16"/>
                <w:szCs w:val="16"/>
              </w:rPr>
              <w:t>80</w:t>
            </w:r>
            <w:r>
              <w:rPr>
                <w:rFonts w:ascii="Times New Roman" w:eastAsia="Times New Roman" w:hAnsi="Times New Roman"/>
                <w:color w:val="000000"/>
                <w:sz w:val="16"/>
                <w:szCs w:val="16"/>
              </w:rPr>
              <w:t>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6,4</w:t>
            </w:r>
            <w:r w:rsidR="00AB64F0">
              <w:rPr>
                <w:rFonts w:ascii="Times New Roman" w:eastAsia="Times New Roman" w:hAnsi="Times New Roman"/>
                <w:color w:val="000000"/>
                <w:sz w:val="16"/>
                <w:szCs w:val="16"/>
              </w:rPr>
              <w:t>90</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12,9</w:t>
            </w:r>
            <w:r w:rsidR="00AB64F0">
              <w:rPr>
                <w:rFonts w:ascii="Times New Roman" w:eastAsia="Times New Roman" w:hAnsi="Times New Roman"/>
                <w:color w:val="000000"/>
                <w:sz w:val="16"/>
                <w:szCs w:val="16"/>
              </w:rPr>
              <w:t>8</w:t>
            </w:r>
            <w:r>
              <w:rPr>
                <w:rFonts w:ascii="Times New Roman" w:eastAsia="Times New Roman" w:hAnsi="Times New Roman"/>
                <w:color w:val="000000"/>
                <w:sz w:val="16"/>
                <w:szCs w:val="16"/>
              </w:rPr>
              <w:t>0</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Pr>
                <w:rFonts w:ascii="Times New Roman" w:eastAsia="Times New Roman" w:hAnsi="Times New Roman"/>
                <w:sz w:val="16"/>
                <w:szCs w:val="16"/>
              </w:rPr>
              <w:t>0</w:t>
            </w:r>
            <w:r w:rsidRPr="00332DD0">
              <w:rPr>
                <w:rFonts w:ascii="Times New Roman" w:eastAsia="Times New Roman" w:hAnsi="Times New Roman"/>
                <w:sz w:val="16"/>
                <w:szCs w:val="16"/>
              </w:rPr>
              <w:t>,</w:t>
            </w:r>
            <w:r>
              <w:rPr>
                <w:rFonts w:ascii="Times New Roman" w:eastAsia="Times New Roman" w:hAnsi="Times New Roman"/>
                <w:sz w:val="16"/>
                <w:szCs w:val="16"/>
              </w:rPr>
              <w:t>46</w:t>
            </w:r>
            <w:r w:rsidR="00AB64F0">
              <w:rPr>
                <w:rFonts w:ascii="Times New Roman" w:eastAsia="Times New Roman" w:hAnsi="Times New Roman"/>
                <w:sz w:val="16"/>
                <w:szCs w:val="16"/>
              </w:rPr>
              <w:t>9,253</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Notification of Compliance Status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Pr>
                <w:rFonts w:ascii="Times New Roman" w:eastAsia="Times New Roman" w:hAnsi="Times New Roman"/>
                <w:color w:val="000000"/>
                <w:sz w:val="16"/>
                <w:szCs w:val="16"/>
              </w:rPr>
              <w:t>4,2</w:t>
            </w:r>
            <w:r w:rsidR="00AB64F0">
              <w:rPr>
                <w:rFonts w:ascii="Times New Roman" w:eastAsia="Times New Roman" w:hAnsi="Times New Roman"/>
                <w:color w:val="000000"/>
                <w:sz w:val="16"/>
                <w:szCs w:val="16"/>
              </w:rPr>
              <w:t>78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71</w:t>
            </w:r>
            <w:r w:rsidR="00AB64F0">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1,42</w:t>
            </w:r>
            <w:r w:rsidR="00AB64F0">
              <w:rPr>
                <w:rFonts w:ascii="Times New Roman" w:eastAsia="Times New Roman" w:hAnsi="Times New Roman"/>
                <w:color w:val="000000"/>
                <w:sz w:val="16"/>
                <w:szCs w:val="16"/>
              </w:rPr>
              <w:t>8</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Pr>
                <w:rFonts w:ascii="Times New Roman" w:eastAsia="Times New Roman" w:hAnsi="Times New Roman"/>
                <w:sz w:val="16"/>
                <w:szCs w:val="16"/>
              </w:rPr>
              <w:t>,15</w:t>
            </w:r>
            <w:r w:rsidR="00AB64F0">
              <w:rPr>
                <w:rFonts w:ascii="Times New Roman" w:eastAsia="Times New Roman" w:hAnsi="Times New Roman"/>
                <w:sz w:val="16"/>
                <w:szCs w:val="16"/>
              </w:rPr>
              <w:t>1</w:t>
            </w:r>
            <w:r>
              <w:rPr>
                <w:rFonts w:ascii="Times New Roman" w:eastAsia="Times New Roman" w:hAnsi="Times New Roman"/>
                <w:sz w:val="16"/>
                <w:szCs w:val="16"/>
              </w:rPr>
              <w:t>,</w:t>
            </w:r>
            <w:r w:rsidR="00AB64F0">
              <w:rPr>
                <w:rFonts w:ascii="Times New Roman" w:eastAsia="Times New Roman" w:hAnsi="Times New Roman"/>
                <w:sz w:val="16"/>
                <w:szCs w:val="16"/>
              </w:rPr>
              <w:t>618</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site-specific performance evaluation test plan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Pr>
                <w:rFonts w:ascii="Times New Roman" w:eastAsia="Times New Roman" w:hAnsi="Times New Roman"/>
                <w:color w:val="000000"/>
                <w:sz w:val="16"/>
                <w:szCs w:val="16"/>
              </w:rPr>
              <w:t>7,</w:t>
            </w:r>
            <w:r w:rsidR="00AB64F0">
              <w:rPr>
                <w:rFonts w:ascii="Times New Roman" w:eastAsia="Times New Roman" w:hAnsi="Times New Roman"/>
                <w:color w:val="000000"/>
                <w:sz w:val="16"/>
                <w:szCs w:val="16"/>
              </w:rPr>
              <w:t>307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w:t>
            </w:r>
            <w:r>
              <w:rPr>
                <w:rFonts w:ascii="Times New Roman" w:eastAsia="Times New Roman" w:hAnsi="Times New Roman"/>
                <w:color w:val="000000"/>
                <w:sz w:val="16"/>
                <w:szCs w:val="16"/>
              </w:rPr>
              <w:t>6</w:t>
            </w:r>
            <w:r w:rsidR="00AB64F0">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1,7</w:t>
            </w:r>
            <w:r w:rsidR="00AB64F0">
              <w:rPr>
                <w:rFonts w:ascii="Times New Roman" w:eastAsia="Times New Roman" w:hAnsi="Times New Roman"/>
                <w:color w:val="000000"/>
                <w:sz w:val="16"/>
                <w:szCs w:val="16"/>
              </w:rPr>
              <w:t>31</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Pr>
                <w:rFonts w:ascii="Times New Roman" w:eastAsia="Times New Roman" w:hAnsi="Times New Roman"/>
                <w:sz w:val="16"/>
                <w:szCs w:val="16"/>
              </w:rPr>
              <w:t>39</w:t>
            </w:r>
            <w:r w:rsidR="00AB64F0">
              <w:rPr>
                <w:rFonts w:ascii="Times New Roman" w:eastAsia="Times New Roman" w:hAnsi="Times New Roman"/>
                <w:sz w:val="16"/>
                <w:szCs w:val="16"/>
              </w:rPr>
              <w:t>5</w:t>
            </w:r>
            <w:r w:rsidRPr="00332DD0">
              <w:rPr>
                <w:rFonts w:ascii="Times New Roman" w:eastAsia="Times New Roman" w:hAnsi="Times New Roman"/>
                <w:sz w:val="16"/>
                <w:szCs w:val="16"/>
              </w:rPr>
              <w:t>,</w:t>
            </w:r>
            <w:r w:rsidR="00AB64F0">
              <w:rPr>
                <w:rFonts w:ascii="Times New Roman" w:eastAsia="Times New Roman" w:hAnsi="Times New Roman"/>
                <w:sz w:val="16"/>
                <w:szCs w:val="16"/>
              </w:rPr>
              <w:t>900</w:t>
            </w:r>
          </w:p>
        </w:tc>
      </w:tr>
      <w:tr w:rsidR="00DB3DB1" w:rsidRPr="00332DD0" w:rsidTr="00DB3DB1">
        <w:trPr>
          <w:trHeight w:val="52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request to use alternative monitoring procedure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21.6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AB64F0">
              <w:rPr>
                <w:rFonts w:ascii="Times New Roman" w:eastAsia="Times New Roman" w:hAnsi="Times New Roman"/>
                <w:color w:val="000000"/>
                <w:sz w:val="16"/>
                <w:szCs w:val="16"/>
              </w:rPr>
              <w:t>43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34</w:t>
            </w:r>
            <w:r w:rsidRPr="00332DD0">
              <w:rPr>
                <w:rFonts w:ascii="Times New Roman" w:eastAsia="Times New Roman" w:hAnsi="Times New Roman"/>
                <w:sz w:val="16"/>
                <w:szCs w:val="16"/>
              </w:rPr>
              <w:t>,</w:t>
            </w:r>
            <w:r>
              <w:rPr>
                <w:rFonts w:ascii="Times New Roman" w:eastAsia="Times New Roman" w:hAnsi="Times New Roman"/>
                <w:sz w:val="16"/>
                <w:szCs w:val="16"/>
              </w:rPr>
              <w:t>8</w:t>
            </w:r>
            <w:r w:rsidR="00AB64F0">
              <w:rPr>
                <w:rFonts w:ascii="Times New Roman" w:eastAsia="Times New Roman" w:hAnsi="Times New Roman"/>
                <w:sz w:val="16"/>
                <w:szCs w:val="16"/>
              </w:rPr>
              <w:t>98</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Initial notification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484</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Demonstration of CEMS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807</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Quality Assurance Program Notification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484</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Initial Performance Test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645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Report of Performance Test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Startup, shutdo</w:t>
            </w:r>
            <w:r>
              <w:rPr>
                <w:rFonts w:ascii="Times New Roman" w:eastAsia="Times New Roman" w:hAnsi="Times New Roman"/>
                <w:color w:val="000000"/>
                <w:sz w:val="16"/>
                <w:szCs w:val="16"/>
              </w:rPr>
              <w:t>wn, and malfunction Report</w:t>
            </w:r>
            <w:r w:rsidRPr="00B47C5E">
              <w:rPr>
                <w:rFonts w:ascii="Times New Roman" w:eastAsia="Times New Roman" w:hAnsi="Times New Roman"/>
                <w:color w:val="000000"/>
                <w:sz w:val="16"/>
                <w:szCs w:val="16"/>
                <w:vertAlign w:val="superscript"/>
              </w:rPr>
              <w:t>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161</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Semi-Annual Compliance Report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300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30</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24,197</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Compliance Status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1.7</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2,662</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site-specific performance evaluation test plan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40</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3,226</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request to use alternative monitoring procedure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81</w:t>
            </w:r>
          </w:p>
        </w:tc>
      </w:tr>
      <w:tr w:rsidR="0053022F"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53022F" w:rsidRPr="00332DD0" w:rsidRDefault="0053022F" w:rsidP="00DB3DB1">
            <w:pPr>
              <w:rPr>
                <w:rFonts w:ascii="Times New Roman" w:eastAsia="Times New Roman" w:hAnsi="Times New Roman"/>
                <w:color w:val="000000"/>
                <w:sz w:val="16"/>
                <w:szCs w:val="16"/>
              </w:rPr>
            </w:pPr>
          </w:p>
        </w:tc>
        <w:tc>
          <w:tcPr>
            <w:tcW w:w="97" w:type="pct"/>
            <w:tcBorders>
              <w:top w:val="nil"/>
              <w:left w:val="nil"/>
              <w:bottom w:val="single" w:sz="4" w:space="0" w:color="auto"/>
              <w:right w:val="nil"/>
            </w:tcBorders>
            <w:shd w:val="clear" w:color="auto" w:fill="auto"/>
            <w:vAlign w:val="bottom"/>
            <w:hideMark/>
          </w:tcPr>
          <w:p w:rsidR="0053022F" w:rsidRPr="00332DD0" w:rsidRDefault="0053022F" w:rsidP="00DB3DB1">
            <w:pPr>
              <w:rPr>
                <w:rFonts w:ascii="Times New Roman" w:eastAsia="Times New Roman" w:hAnsi="Times New Roman"/>
                <w:color w:val="000000"/>
                <w:sz w:val="16"/>
                <w:szCs w:val="16"/>
              </w:rPr>
            </w:pPr>
          </w:p>
        </w:tc>
        <w:tc>
          <w:tcPr>
            <w:tcW w:w="1350"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rPr>
                <w:rFonts w:ascii="Times New Roman" w:eastAsia="Times New Roman" w:hAnsi="Times New Roman"/>
                <w:color w:val="000000"/>
                <w:sz w:val="16"/>
                <w:szCs w:val="16"/>
              </w:rPr>
            </w:pPr>
            <w:r>
              <w:rPr>
                <w:rFonts w:ascii="Times New Roman" w:eastAsia="Times New Roman" w:hAnsi="Times New Roman"/>
                <w:color w:val="000000"/>
                <w:sz w:val="16"/>
                <w:szCs w:val="16"/>
              </w:rPr>
              <w:t>Affirmative Defense</w:t>
            </w:r>
          </w:p>
        </w:tc>
        <w:tc>
          <w:tcPr>
            <w:tcW w:w="375"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513"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410" w:type="pct"/>
            <w:tcBorders>
              <w:top w:val="nil"/>
              <w:left w:val="nil"/>
              <w:bottom w:val="single" w:sz="4" w:space="0" w:color="auto"/>
              <w:right w:val="single" w:sz="4" w:space="0" w:color="auto"/>
            </w:tcBorders>
            <w:shd w:val="clear" w:color="auto" w:fill="auto"/>
            <w:noWrap/>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2.0</w:t>
            </w:r>
          </w:p>
        </w:tc>
        <w:tc>
          <w:tcPr>
            <w:tcW w:w="410"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w:t>
            </w:r>
          </w:p>
        </w:tc>
        <w:tc>
          <w:tcPr>
            <w:tcW w:w="444"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w:t>
            </w:r>
          </w:p>
        </w:tc>
        <w:tc>
          <w:tcPr>
            <w:tcW w:w="374"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451"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sz w:val="16"/>
                <w:szCs w:val="16"/>
              </w:rPr>
            </w:pPr>
            <w:r>
              <w:rPr>
                <w:rFonts w:ascii="Times New Roman" w:eastAsia="Times New Roman" w:hAnsi="Times New Roman"/>
                <w:sz w:val="16"/>
                <w:szCs w:val="16"/>
              </w:rPr>
              <w:t>$6,268</w:t>
            </w:r>
          </w:p>
        </w:tc>
      </w:tr>
      <w:tr w:rsidR="00DB3DB1"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 RECORDKEEPING REQUIREMENTS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Read Instructions (Included in 4A)</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Plan Activities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 Implement Activities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Record Data ( Not Applicable)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Time to Transmit or Disclose Information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cantSplit/>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CEMS malfunctions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10,3</w:t>
            </w:r>
            <w:r w:rsidR="00AB64F0">
              <w:rPr>
                <w:rFonts w:ascii="Times New Roman" w:eastAsia="Times New Roman" w:hAnsi="Times New Roman"/>
                <w:color w:val="000000"/>
                <w:sz w:val="16"/>
                <w:szCs w:val="16"/>
              </w:rPr>
              <w:t>84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51</w:t>
            </w:r>
            <w:r w:rsidR="00AB64F0">
              <w:rPr>
                <w:rFonts w:ascii="Times New Roman" w:eastAsia="Times New Roman" w:hAnsi="Times New Roman"/>
                <w:color w:val="000000"/>
                <w:sz w:val="16"/>
                <w:szCs w:val="16"/>
              </w:rPr>
              <w:t>9</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1,03</w:t>
            </w:r>
            <w:r w:rsidR="00AB64F0">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83</w:t>
            </w:r>
            <w:r w:rsidR="00AB64F0">
              <w:rPr>
                <w:rFonts w:ascii="Times New Roman" w:eastAsia="Times New Roman" w:hAnsi="Times New Roman"/>
                <w:sz w:val="16"/>
                <w:szCs w:val="16"/>
              </w:rPr>
              <w:t>7</w:t>
            </w:r>
            <w:r>
              <w:rPr>
                <w:rFonts w:ascii="Times New Roman" w:eastAsia="Times New Roman" w:hAnsi="Times New Roman"/>
                <w:sz w:val="16"/>
                <w:szCs w:val="16"/>
              </w:rPr>
              <w:t>,</w:t>
            </w:r>
            <w:r w:rsidR="00AB64F0">
              <w:rPr>
                <w:rFonts w:ascii="Times New Roman" w:eastAsia="Times New Roman" w:hAnsi="Times New Roman"/>
                <w:sz w:val="16"/>
                <w:szCs w:val="16"/>
              </w:rPr>
              <w:t>540</w:t>
            </w:r>
          </w:p>
        </w:tc>
      </w:tr>
      <w:tr w:rsidR="00DB3DB1" w:rsidRPr="00332DD0" w:rsidTr="00DB3DB1">
        <w:trPr>
          <w:trHeight w:val="51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Startups, Shutdowns, malfunctions, etc</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10,3</w:t>
            </w:r>
            <w:r w:rsidR="00AB64F0">
              <w:rPr>
                <w:rFonts w:ascii="Times New Roman" w:eastAsia="Times New Roman" w:hAnsi="Times New Roman"/>
                <w:color w:val="000000"/>
                <w:sz w:val="16"/>
                <w:szCs w:val="16"/>
              </w:rPr>
              <w:t>84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51</w:t>
            </w:r>
            <w:r w:rsidR="00AB64F0">
              <w:rPr>
                <w:rFonts w:ascii="Times New Roman" w:eastAsia="Times New Roman" w:hAnsi="Times New Roman"/>
                <w:color w:val="000000"/>
                <w:sz w:val="16"/>
                <w:szCs w:val="16"/>
              </w:rPr>
              <w:t>9</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1,03</w:t>
            </w:r>
            <w:r w:rsidR="00AB64F0">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83</w:t>
            </w:r>
            <w:r w:rsidR="00AB64F0">
              <w:rPr>
                <w:rFonts w:ascii="Times New Roman" w:eastAsia="Times New Roman" w:hAnsi="Times New Roman"/>
                <w:sz w:val="16"/>
                <w:szCs w:val="16"/>
              </w:rPr>
              <w:t>7</w:t>
            </w:r>
            <w:r>
              <w:rPr>
                <w:rFonts w:ascii="Times New Roman" w:eastAsia="Times New Roman" w:hAnsi="Times New Roman"/>
                <w:sz w:val="16"/>
                <w:szCs w:val="16"/>
              </w:rPr>
              <w:t>,</w:t>
            </w:r>
            <w:r w:rsidR="00AB64F0">
              <w:rPr>
                <w:rFonts w:ascii="Times New Roman" w:eastAsia="Times New Roman" w:hAnsi="Times New Roman"/>
                <w:sz w:val="16"/>
                <w:szCs w:val="16"/>
              </w:rPr>
              <w:t>540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monthly fuel use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865</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20,7</w:t>
            </w:r>
            <w:r w:rsidR="00AB64F0">
              <w:rPr>
                <w:rFonts w:ascii="Times New Roman" w:eastAsia="Times New Roman" w:hAnsi="Times New Roman"/>
                <w:color w:val="000000"/>
                <w:sz w:val="16"/>
                <w:szCs w:val="16"/>
              </w:rPr>
              <w:t>68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1,03</w:t>
            </w:r>
            <w:r w:rsidR="00AB64F0">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2,07</w:t>
            </w:r>
            <w:r w:rsidR="00AB64F0">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1,67</w:t>
            </w:r>
            <w:r w:rsidR="00AB64F0">
              <w:rPr>
                <w:rFonts w:ascii="Times New Roman" w:eastAsia="Times New Roman" w:hAnsi="Times New Roman"/>
                <w:sz w:val="16"/>
                <w:szCs w:val="16"/>
              </w:rPr>
              <w:t>5</w:t>
            </w:r>
            <w:r>
              <w:rPr>
                <w:rFonts w:ascii="Times New Roman" w:eastAsia="Times New Roman" w:hAnsi="Times New Roman"/>
                <w:sz w:val="16"/>
                <w:szCs w:val="16"/>
              </w:rPr>
              <w:t>,</w:t>
            </w:r>
            <w:r w:rsidR="00AB64F0">
              <w:rPr>
                <w:rFonts w:ascii="Times New Roman" w:eastAsia="Times New Roman" w:hAnsi="Times New Roman"/>
                <w:sz w:val="16"/>
                <w:szCs w:val="16"/>
              </w:rPr>
              <w:t>080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CEMS malfunctions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12</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.2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1,936</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Startups</w:t>
            </w:r>
            <w:r>
              <w:rPr>
                <w:rFonts w:ascii="Times New Roman" w:eastAsia="Times New Roman" w:hAnsi="Times New Roman"/>
                <w:color w:val="000000"/>
                <w:sz w:val="16"/>
                <w:szCs w:val="16"/>
              </w:rPr>
              <w:t>, Shutdowns, malfunctions, etc</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.2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1,936</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monthly fuel use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3,872</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Pr>
                <w:rFonts w:ascii="Times New Roman" w:eastAsia="Times New Roman" w:hAnsi="Times New Roman"/>
                <w:color w:val="000000"/>
                <w:sz w:val="16"/>
                <w:szCs w:val="16"/>
              </w:rPr>
              <w:t>F. Time to Train Personnel</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80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160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6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12,905</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G. Time for Audits (Not Applicable)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255"/>
        </w:trPr>
        <w:tc>
          <w:tcPr>
            <w:tcW w:w="1544"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1,94</w:t>
            </w:r>
            <w:r w:rsidR="00087CC7">
              <w:rPr>
                <w:rFonts w:ascii="Times New Roman" w:eastAsia="Times New Roman" w:hAnsi="Times New Roman"/>
                <w:color w:val="000000"/>
                <w:sz w:val="16"/>
                <w:szCs w:val="16"/>
              </w:rPr>
              <w:t>6</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w:t>
            </w:r>
            <w:r w:rsidR="00AB64F0">
              <w:rPr>
                <w:rFonts w:ascii="Times New Roman" w:eastAsia="Times New Roman" w:hAnsi="Times New Roman"/>
                <w:color w:val="000000"/>
                <w:sz w:val="16"/>
                <w:szCs w:val="16"/>
              </w:rPr>
              <w:t>1</w:t>
            </w:r>
            <w:r w:rsidR="00087CC7">
              <w:rPr>
                <w:rFonts w:ascii="Times New Roman" w:eastAsia="Times New Roman" w:hAnsi="Times New Roman"/>
                <w:color w:val="000000"/>
                <w:sz w:val="16"/>
                <w:szCs w:val="16"/>
              </w:rPr>
              <w:t>11</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rsidP="00087CC7">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608,</w:t>
            </w:r>
            <w:r w:rsidR="00AB64F0">
              <w:rPr>
                <w:rFonts w:ascii="Times New Roman" w:eastAsia="Times New Roman" w:hAnsi="Times New Roman"/>
                <w:color w:val="000000"/>
                <w:sz w:val="16"/>
                <w:szCs w:val="16"/>
              </w:rPr>
              <w:t>9</w:t>
            </w:r>
            <w:r w:rsidR="00087CC7">
              <w:rPr>
                <w:rFonts w:ascii="Times New Roman" w:eastAsia="Times New Roman" w:hAnsi="Times New Roman"/>
                <w:color w:val="000000"/>
                <w:sz w:val="16"/>
                <w:szCs w:val="16"/>
              </w:rPr>
              <w:t>37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rsidP="00087CC7">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30,4</w:t>
            </w:r>
            <w:r w:rsidR="00087CC7">
              <w:rPr>
                <w:rFonts w:ascii="Times New Roman" w:eastAsia="Times New Roman" w:hAnsi="Times New Roman"/>
                <w:color w:val="000000"/>
                <w:sz w:val="16"/>
                <w:szCs w:val="16"/>
              </w:rPr>
              <w:t>69</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60,8</w:t>
            </w:r>
            <w:r w:rsidR="00AB64F0">
              <w:rPr>
                <w:rFonts w:ascii="Times New Roman" w:eastAsia="Times New Roman" w:hAnsi="Times New Roman"/>
                <w:color w:val="000000"/>
                <w:sz w:val="16"/>
                <w:szCs w:val="16"/>
              </w:rPr>
              <w:t>90</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rsidP="00087CC7">
            <w:pPr>
              <w:jc w:val="right"/>
              <w:rPr>
                <w:rFonts w:ascii="Times New Roman" w:eastAsia="Times New Roman" w:hAnsi="Times New Roman"/>
                <w:sz w:val="16"/>
                <w:szCs w:val="16"/>
              </w:rPr>
            </w:pPr>
            <w:r>
              <w:rPr>
                <w:rFonts w:ascii="Times New Roman" w:eastAsia="Times New Roman" w:hAnsi="Times New Roman"/>
                <w:sz w:val="16"/>
                <w:szCs w:val="16"/>
              </w:rPr>
              <w:t xml:space="preserve"> $49,</w:t>
            </w:r>
            <w:r w:rsidR="00AB64F0">
              <w:rPr>
                <w:rFonts w:ascii="Times New Roman" w:eastAsia="Times New Roman" w:hAnsi="Times New Roman"/>
                <w:sz w:val="16"/>
                <w:szCs w:val="16"/>
              </w:rPr>
              <w:t>11</w:t>
            </w:r>
            <w:r w:rsidR="00087CC7">
              <w:rPr>
                <w:rFonts w:ascii="Times New Roman" w:eastAsia="Times New Roman" w:hAnsi="Times New Roman"/>
                <w:sz w:val="16"/>
                <w:szCs w:val="16"/>
              </w:rPr>
              <w:t>8</w:t>
            </w:r>
            <w:r>
              <w:rPr>
                <w:rFonts w:ascii="Times New Roman" w:eastAsia="Times New Roman" w:hAnsi="Times New Roman"/>
                <w:sz w:val="16"/>
                <w:szCs w:val="16"/>
              </w:rPr>
              <w:t>,</w:t>
            </w:r>
            <w:r w:rsidR="00087CC7">
              <w:rPr>
                <w:rFonts w:ascii="Times New Roman" w:eastAsia="Times New Roman" w:hAnsi="Times New Roman"/>
                <w:sz w:val="16"/>
                <w:szCs w:val="16"/>
              </w:rPr>
              <w:t>248</w:t>
            </w:r>
          </w:p>
        </w:tc>
      </w:tr>
      <w:tr w:rsidR="00DB3DB1" w:rsidRPr="00332DD0" w:rsidTr="00DB3DB1">
        <w:trPr>
          <w:trHeight w:val="255"/>
        </w:trPr>
        <w:tc>
          <w:tcPr>
            <w:tcW w:w="1544" w:type="pct"/>
            <w:gridSpan w:val="3"/>
            <w:vMerge/>
            <w:tcBorders>
              <w:top w:val="single" w:sz="4" w:space="0" w:color="auto"/>
              <w:left w:val="single" w:sz="4" w:space="0" w:color="auto"/>
              <w:bottom w:val="single" w:sz="4" w:space="0" w:color="000000"/>
              <w:right w:val="single" w:sz="4" w:space="0" w:color="000000"/>
            </w:tcBorders>
            <w:vAlign w:val="center"/>
            <w:hideMark/>
          </w:tcPr>
          <w:p w:rsidR="00DB3DB1" w:rsidRPr="00332DD0" w:rsidRDefault="00DB3DB1" w:rsidP="00DB3DB1">
            <w:pPr>
              <w:rPr>
                <w:rFonts w:ascii="Times New Roman" w:eastAsia="Times New Roman" w:hAnsi="Times New Roman"/>
                <w:color w:val="000000"/>
                <w:sz w:val="16"/>
                <w:szCs w:val="16"/>
              </w:rPr>
            </w:pP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000000" w:fill="CCC0DA"/>
            <w:vAlign w:val="bottom"/>
            <w:hideMark/>
          </w:tcPr>
          <w:p w:rsidR="00EB67E1" w:rsidRDefault="00DB3DB1" w:rsidP="00087CC7">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AB64F0">
              <w:rPr>
                <w:rFonts w:ascii="Times New Roman" w:eastAsia="Times New Roman" w:hAnsi="Times New Roman"/>
                <w:color w:val="000000"/>
                <w:sz w:val="16"/>
                <w:szCs w:val="16"/>
              </w:rPr>
              <w:t>700,2</w:t>
            </w:r>
            <w:r w:rsidR="00087CC7">
              <w:rPr>
                <w:rFonts w:ascii="Times New Roman" w:eastAsia="Times New Roman" w:hAnsi="Times New Roman"/>
                <w:color w:val="000000"/>
                <w:sz w:val="16"/>
                <w:szCs w:val="16"/>
              </w:rPr>
              <w:t>9</w:t>
            </w:r>
            <w:r w:rsidR="00AB64F0">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ANNUAL</w:t>
            </w:r>
            <w:r>
              <w:rPr>
                <w:rFonts w:ascii="Times New Roman" w:eastAsia="Times New Roman" w:hAnsi="Times New Roman"/>
                <w:color w:val="000000"/>
                <w:sz w:val="16"/>
                <w:szCs w:val="16"/>
              </w:rPr>
              <w:t>IZED</w:t>
            </w:r>
            <w:r w:rsidRPr="00332DD0">
              <w:rPr>
                <w:rFonts w:ascii="Times New Roman" w:eastAsia="Times New Roman" w:hAnsi="Times New Roman"/>
                <w:color w:val="000000"/>
                <w:sz w:val="16"/>
                <w:szCs w:val="16"/>
              </w:rPr>
              <w:t xml:space="preserve"> CAPITAL COSTS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6C76C5"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Performance tests</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pPr>
              <w:jc w:val="right"/>
              <w:rPr>
                <w:rFonts w:ascii="Times New Roman" w:eastAsia="Times New Roman" w:hAnsi="Times New Roman"/>
                <w:sz w:val="16"/>
                <w:szCs w:val="16"/>
              </w:rPr>
            </w:pPr>
            <w:r w:rsidRPr="00E02688">
              <w:rPr>
                <w:rFonts w:ascii="Times New Roman" w:eastAsia="Times New Roman" w:hAnsi="Times New Roman"/>
                <w:sz w:val="16"/>
                <w:szCs w:val="16"/>
              </w:rPr>
              <w:t xml:space="preserve">$ </w:t>
            </w:r>
            <w:r>
              <w:rPr>
                <w:rFonts w:ascii="Times New Roman" w:eastAsia="Times New Roman" w:hAnsi="Times New Roman"/>
                <w:sz w:val="16"/>
                <w:szCs w:val="16"/>
              </w:rPr>
              <w:t>22,442,811</w:t>
            </w:r>
          </w:p>
        </w:tc>
      </w:tr>
      <w:tr w:rsidR="006C76C5"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Other Capital Costs of Installation (ODC and Labor)</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pPr>
              <w:jc w:val="right"/>
              <w:rPr>
                <w:rFonts w:ascii="Times New Roman" w:eastAsia="Times New Roman" w:hAnsi="Times New Roman"/>
                <w:sz w:val="16"/>
                <w:szCs w:val="16"/>
              </w:rPr>
            </w:pPr>
            <w:r w:rsidRPr="00E02688">
              <w:rPr>
                <w:rFonts w:ascii="Times New Roman" w:eastAsia="Times New Roman" w:hAnsi="Times New Roman"/>
                <w:sz w:val="16"/>
                <w:szCs w:val="16"/>
              </w:rPr>
              <w:t>$</w:t>
            </w:r>
            <w:r>
              <w:rPr>
                <w:rFonts w:ascii="Times New Roman" w:eastAsia="Times New Roman" w:hAnsi="Times New Roman"/>
                <w:sz w:val="16"/>
                <w:szCs w:val="16"/>
              </w:rPr>
              <w:t>59,463,268</w:t>
            </w:r>
            <w:r w:rsidRPr="00E02688">
              <w:rPr>
                <w:rFonts w:ascii="Times New Roman" w:eastAsia="Times New Roman" w:hAnsi="Times New Roman"/>
                <w:sz w:val="16"/>
                <w:szCs w:val="16"/>
              </w:rPr>
              <w:t xml:space="preserve"> </w:t>
            </w:r>
          </w:p>
        </w:tc>
      </w:tr>
      <w:tr w:rsidR="006C76C5"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capital</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pPr>
              <w:jc w:val="right"/>
              <w:rPr>
                <w:rFonts w:ascii="Times New Roman" w:eastAsia="Times New Roman" w:hAnsi="Times New Roman"/>
                <w:sz w:val="16"/>
                <w:szCs w:val="16"/>
              </w:rPr>
            </w:pPr>
            <w:r w:rsidRPr="00E02688">
              <w:rPr>
                <w:rFonts w:ascii="Times New Roman" w:eastAsia="Times New Roman" w:hAnsi="Times New Roman"/>
                <w:sz w:val="16"/>
                <w:szCs w:val="16"/>
              </w:rPr>
              <w:t xml:space="preserve"> $</w:t>
            </w:r>
            <w:r>
              <w:rPr>
                <w:rFonts w:ascii="Times New Roman" w:eastAsia="Times New Roman" w:hAnsi="Times New Roman"/>
                <w:sz w:val="16"/>
                <w:szCs w:val="16"/>
              </w:rPr>
              <w:t>81,906,079</w:t>
            </w:r>
            <w:r w:rsidRPr="00E02688">
              <w:rPr>
                <w:rFonts w:ascii="Times New Roman" w:eastAsia="Times New Roman" w:hAnsi="Times New Roman"/>
                <w:sz w:val="16"/>
                <w:szCs w:val="16"/>
              </w:rPr>
              <w:t xml:space="preserve"> </w:t>
            </w:r>
          </w:p>
        </w:tc>
      </w:tr>
      <w:tr w:rsidR="006C76C5"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COSTS (O&amp;M)</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rsidP="006C76C5">
            <w:pPr>
              <w:jc w:val="right"/>
              <w:rPr>
                <w:rFonts w:ascii="Times New Roman" w:eastAsia="Times New Roman" w:hAnsi="Times New Roman"/>
                <w:sz w:val="16"/>
                <w:szCs w:val="16"/>
              </w:rPr>
            </w:pPr>
            <w:r w:rsidRPr="006C76C5">
              <w:rPr>
                <w:rFonts w:ascii="Times New Roman" w:eastAsia="Times New Roman" w:hAnsi="Times New Roman"/>
                <w:sz w:val="16"/>
                <w:szCs w:val="16"/>
              </w:rPr>
              <w:t>$76,539,446</w:t>
            </w:r>
          </w:p>
        </w:tc>
      </w:tr>
      <w:tr w:rsidR="006C76C5"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ANNUALIZED COSTS (Annualized capital + O&amp;M costs)</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rsidP="00087CC7">
            <w:pPr>
              <w:jc w:val="right"/>
              <w:rPr>
                <w:rFonts w:ascii="Times New Roman" w:eastAsia="Times New Roman" w:hAnsi="Times New Roman"/>
                <w:sz w:val="16"/>
                <w:szCs w:val="16"/>
                <w:highlight w:val="yellow"/>
              </w:rPr>
            </w:pPr>
            <w:r w:rsidRPr="00E02688">
              <w:rPr>
                <w:rFonts w:ascii="Times New Roman" w:eastAsia="Times New Roman" w:hAnsi="Times New Roman"/>
                <w:sz w:val="16"/>
                <w:szCs w:val="16"/>
              </w:rPr>
              <w:t>$</w:t>
            </w:r>
            <w:r>
              <w:rPr>
                <w:rFonts w:ascii="Times New Roman" w:eastAsia="Times New Roman" w:hAnsi="Times New Roman"/>
                <w:sz w:val="16"/>
                <w:szCs w:val="16"/>
              </w:rPr>
              <w:t>158,445,526</w:t>
            </w:r>
          </w:p>
        </w:tc>
      </w:tr>
    </w:tbl>
    <w:p w:rsidR="00EB67E1" w:rsidRDefault="00B47C5E">
      <w:pPr>
        <w:rPr>
          <w:rFonts w:ascii="Times New Roman" w:hAnsi="Times New Roman"/>
          <w:sz w:val="20"/>
          <w:szCs w:val="16"/>
        </w:rPr>
      </w:pPr>
      <w:r w:rsidRPr="00600970">
        <w:rPr>
          <w:rFonts w:ascii="Times New Roman" w:hAnsi="Times New Roman"/>
          <w:sz w:val="20"/>
          <w:szCs w:val="16"/>
          <w:vertAlign w:val="superscript"/>
        </w:rPr>
        <w:t>a</w:t>
      </w:r>
      <w:r w:rsidRPr="00600970">
        <w:rPr>
          <w:rFonts w:ascii="Times New Roman" w:hAnsi="Times New Roman"/>
          <w:sz w:val="20"/>
          <w:szCs w:val="16"/>
        </w:rPr>
        <w:t xml:space="preserve"> There are 1,2</w:t>
      </w:r>
      <w:r w:rsidR="00CA46D3">
        <w:rPr>
          <w:rFonts w:ascii="Times New Roman" w:hAnsi="Times New Roman"/>
          <w:sz w:val="20"/>
          <w:szCs w:val="16"/>
        </w:rPr>
        <w:t>4</w:t>
      </w:r>
      <w:r w:rsidR="00ED18AB">
        <w:rPr>
          <w:rFonts w:ascii="Times New Roman" w:hAnsi="Times New Roman"/>
          <w:sz w:val="20"/>
          <w:szCs w:val="16"/>
        </w:rPr>
        <w:t>4</w:t>
      </w:r>
      <w:r w:rsidRPr="00600970">
        <w:rPr>
          <w:rFonts w:ascii="Times New Roman" w:hAnsi="Times New Roman"/>
          <w:sz w:val="20"/>
          <w:szCs w:val="16"/>
        </w:rPr>
        <w:t xml:space="preserve"> existing electric generating units</w:t>
      </w:r>
      <w:r w:rsidR="004C3386">
        <w:rPr>
          <w:rFonts w:ascii="Times New Roman" w:hAnsi="Times New Roman"/>
          <w:sz w:val="20"/>
          <w:szCs w:val="16"/>
        </w:rPr>
        <w:t xml:space="preserve">. </w:t>
      </w:r>
      <w:r w:rsidRPr="00600970">
        <w:rPr>
          <w:rFonts w:ascii="Times New Roman" w:hAnsi="Times New Roman"/>
          <w:sz w:val="20"/>
          <w:szCs w:val="16"/>
        </w:rPr>
        <w:t>One third of those are assumed to be tested each year.</w:t>
      </w:r>
    </w:p>
    <w:p w:rsidR="00EB67E1" w:rsidRDefault="005E01D7">
      <w:pPr>
        <w:rPr>
          <w:rFonts w:ascii="Times New Roman" w:hAnsi="Times New Roman"/>
          <w:sz w:val="20"/>
          <w:szCs w:val="16"/>
        </w:rPr>
      </w:pPr>
      <w:r w:rsidRPr="005E01D7">
        <w:rPr>
          <w:rFonts w:ascii="Times New Roman" w:hAnsi="Times New Roman"/>
          <w:sz w:val="20"/>
          <w:szCs w:val="16"/>
          <w:vertAlign w:val="superscript"/>
        </w:rPr>
        <w:t>b</w:t>
      </w:r>
      <w:r w:rsidR="00DB3DB1">
        <w:rPr>
          <w:rFonts w:ascii="Times New Roman" w:hAnsi="Times New Roman"/>
          <w:sz w:val="20"/>
          <w:szCs w:val="16"/>
        </w:rPr>
        <w:t>There are 2 additional existing electric generating units that were new sources in Year 1.</w:t>
      </w:r>
    </w:p>
    <w:p w:rsidR="00EB67E1" w:rsidRDefault="00DB3DB1">
      <w:pPr>
        <w:rPr>
          <w:rFonts w:ascii="Times New Roman" w:hAnsi="Times New Roman"/>
          <w:sz w:val="20"/>
          <w:szCs w:val="16"/>
        </w:rPr>
      </w:pPr>
      <w:r>
        <w:rPr>
          <w:rFonts w:ascii="Times New Roman" w:hAnsi="Times New Roman"/>
          <w:sz w:val="20"/>
          <w:szCs w:val="16"/>
          <w:vertAlign w:val="superscript"/>
        </w:rPr>
        <w:t>c</w:t>
      </w:r>
      <w:r w:rsidR="00B47C5E" w:rsidRPr="00600970">
        <w:rPr>
          <w:rFonts w:ascii="Times New Roman" w:hAnsi="Times New Roman"/>
          <w:sz w:val="20"/>
          <w:szCs w:val="16"/>
        </w:rPr>
        <w:t xml:space="preserve"> 10% of sources are assumed to submit SSM report each year.</w:t>
      </w:r>
    </w:p>
    <w:p w:rsidR="00DB3DB1" w:rsidRPr="00600970" w:rsidRDefault="00DB3DB1" w:rsidP="00DB3DB1">
      <w:pPr>
        <w:rPr>
          <w:rFonts w:ascii="Times New Roman" w:hAnsi="Times New Roman"/>
          <w:sz w:val="20"/>
          <w:szCs w:val="16"/>
        </w:rPr>
        <w:sectPr w:rsidR="00DB3DB1" w:rsidRPr="00600970" w:rsidSect="00593F37">
          <w:pgSz w:w="15840" w:h="12240" w:orient="landscape"/>
          <w:pgMar w:top="1440" w:right="1440" w:bottom="1440" w:left="1440" w:header="720" w:footer="720" w:gutter="0"/>
          <w:cols w:space="720"/>
          <w:docGrid w:linePitch="360"/>
        </w:sectPr>
      </w:pPr>
    </w:p>
    <w:p w:rsidR="00593F37" w:rsidRDefault="008403BE" w:rsidP="00E14996">
      <w:pPr>
        <w:pStyle w:val="ExhibitTitle"/>
        <w:rPr>
          <w:rFonts w:ascii="Times New Roman" w:hAnsi="Times New Roman"/>
        </w:rPr>
      </w:pPr>
      <w:r>
        <w:rPr>
          <w:rFonts w:ascii="Times New Roman" w:hAnsi="Times New Roman"/>
        </w:rPr>
        <w:lastRenderedPageBreak/>
        <w:t>Exhibit</w:t>
      </w:r>
      <w:r w:rsidRPr="00E14996">
        <w:rPr>
          <w:rFonts w:ascii="Times New Roman" w:hAnsi="Times New Roman"/>
        </w:rPr>
        <w:t xml:space="preserve"> </w:t>
      </w:r>
      <w:r w:rsidR="00F11CCB" w:rsidRPr="00E14996">
        <w:rPr>
          <w:rFonts w:ascii="Times New Roman" w:hAnsi="Times New Roman"/>
        </w:rPr>
        <w:t>1c</w:t>
      </w:r>
      <w:r w:rsidR="00F11CCB" w:rsidRPr="00E14996">
        <w:rPr>
          <w:rFonts w:ascii="Times New Roman" w:hAnsi="Times New Roman"/>
        </w:rPr>
        <w:tab/>
      </w:r>
      <w:r w:rsidR="00180971" w:rsidRPr="00E14996">
        <w:rPr>
          <w:rFonts w:ascii="Times New Roman" w:hAnsi="Times New Roman"/>
        </w:rPr>
        <w:t xml:space="preserve">Year 3 Respondent Burden of Reporting and Recordkeeping Requirements, NESHAP for </w:t>
      </w:r>
      <w:r w:rsidR="00E14996">
        <w:rPr>
          <w:rFonts w:ascii="Times New Roman" w:hAnsi="Times New Roman"/>
        </w:rPr>
        <w:t>Electric Generating Units</w:t>
      </w:r>
      <w:r w:rsidR="00180971" w:rsidRPr="00E14996">
        <w:rPr>
          <w:rFonts w:ascii="Times New Roman" w:hAnsi="Times New Roman"/>
        </w:rPr>
        <w:t xml:space="preserve"> (40 CFR part 63, subpart </w:t>
      </w:r>
      <w:r w:rsidR="00E14996">
        <w:rPr>
          <w:rFonts w:ascii="Times New Roman" w:hAnsi="Times New Roman"/>
        </w:rPr>
        <w:t>UUUUU</w:t>
      </w:r>
      <w:r w:rsidR="00180971" w:rsidRPr="00E14996">
        <w:rPr>
          <w:rFonts w:ascii="Times New Roman" w:hAnsi="Times New Roman"/>
        </w:rPr>
        <w:t>)</w:t>
      </w:r>
    </w:p>
    <w:tbl>
      <w:tblPr>
        <w:tblW w:w="5000" w:type="pct"/>
        <w:tblLayout w:type="fixed"/>
        <w:tblLook w:val="04A0"/>
      </w:tblPr>
      <w:tblGrid>
        <w:gridCol w:w="256"/>
        <w:gridCol w:w="256"/>
        <w:gridCol w:w="3558"/>
        <w:gridCol w:w="988"/>
        <w:gridCol w:w="1352"/>
        <w:gridCol w:w="1262"/>
        <w:gridCol w:w="1080"/>
        <w:gridCol w:w="1080"/>
        <w:gridCol w:w="1170"/>
        <w:gridCol w:w="986"/>
        <w:gridCol w:w="1188"/>
      </w:tblGrid>
      <w:tr w:rsidR="00DB3DB1" w:rsidRPr="00332DD0" w:rsidTr="00DB3DB1">
        <w:trPr>
          <w:cantSplit/>
          <w:trHeight w:val="780"/>
          <w:tblHeader/>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B3DB1" w:rsidRPr="00332DD0" w:rsidRDefault="00452648" w:rsidP="00DB3DB1">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Year 3</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(C)  Hours/ Respondent/ </w:t>
            </w:r>
            <w:r w:rsidRPr="00332DD0">
              <w:rPr>
                <w:rFonts w:ascii="Times New Roman" w:eastAsia="Times New Roman" w:hAnsi="Times New Roman"/>
                <w:color w:val="000000"/>
                <w:sz w:val="16"/>
                <w:szCs w:val="16"/>
              </w:rPr>
              <w:br/>
              <w:t>Year (A x B)</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 (C x D)</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(F) Managerial Hours/Year (E x 0.05)</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(G) Clerical Hours/Year (E x 0.10)</w:t>
            </w:r>
          </w:p>
        </w:tc>
        <w:tc>
          <w:tcPr>
            <w:tcW w:w="451" w:type="pct"/>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jc w:val="center"/>
              <w:rPr>
                <w:rFonts w:ascii="Times New Roman" w:eastAsia="Times New Roman" w:hAnsi="Times New Roman"/>
                <w:sz w:val="16"/>
                <w:szCs w:val="16"/>
              </w:rPr>
            </w:pPr>
            <w:r w:rsidRPr="00332DD0">
              <w:rPr>
                <w:rFonts w:ascii="Times New Roman" w:eastAsia="Times New Roman" w:hAnsi="Times New Roman"/>
                <w:sz w:val="16"/>
                <w:szCs w:val="16"/>
              </w:rPr>
              <w:t>(H)  Cost/ Year</w:t>
            </w:r>
          </w:p>
        </w:tc>
      </w:tr>
      <w:tr w:rsidR="00DB3DB1" w:rsidRPr="00332DD0" w:rsidTr="00DB3DB1">
        <w:trPr>
          <w:trHeight w:val="300"/>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 APPLICATIONS (Not Applicable)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300"/>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 SURVEY AND STUDIES (Not Applicable)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525"/>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 xml:space="preserve">. </w:t>
            </w:r>
            <w:r w:rsidRPr="00332DD0">
              <w:rPr>
                <w:rFonts w:ascii="Times New Roman" w:eastAsia="Times New Roman" w:hAnsi="Times New Roman"/>
                <w:color w:val="000000"/>
                <w:sz w:val="16"/>
                <w:szCs w:val="16"/>
              </w:rPr>
              <w:t>ACQUISITION, INSTALLATION, AND UTILIZATION OF TECHNOLOGY AND SYSTEMS</w:t>
            </w:r>
            <w:r>
              <w:rPr>
                <w:rFonts w:ascii="Times New Roman" w:eastAsia="Times New Roman" w:hAnsi="Times New Roman"/>
                <w:color w:val="000000"/>
                <w:sz w:val="16"/>
                <w:szCs w:val="16"/>
              </w:rPr>
              <w:t xml:space="preserve"> </w:t>
            </w:r>
            <w:r w:rsidRPr="00B47C5E">
              <w:rPr>
                <w:rFonts w:ascii="Times New Roman" w:eastAsia="Times New Roman" w:hAnsi="Times New Roman"/>
                <w:color w:val="000000"/>
                <w:sz w:val="16"/>
                <w:szCs w:val="16"/>
                <w:vertAlign w:val="superscript"/>
              </w:rPr>
              <w:t>a</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16</w:t>
            </w:r>
            <w:r>
              <w:rPr>
                <w:rFonts w:ascii="Times New Roman" w:eastAsia="Times New Roman" w:hAnsi="Times New Roman"/>
                <w:color w:val="000000"/>
                <w:sz w:val="16"/>
                <w:szCs w:val="16"/>
              </w:rPr>
              <w:t>0.6</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16</w:t>
            </w:r>
            <w:r>
              <w:rPr>
                <w:rFonts w:ascii="Times New Roman" w:eastAsia="Times New Roman" w:hAnsi="Times New Roman"/>
                <w:color w:val="000000"/>
                <w:sz w:val="16"/>
                <w:szCs w:val="16"/>
              </w:rPr>
              <w:t>0.6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63</w:t>
            </w:r>
            <w:r w:rsidR="006E6041">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E6041">
              <w:rPr>
                <w:rFonts w:ascii="Times New Roman" w:eastAsia="Times New Roman" w:hAnsi="Times New Roman"/>
                <w:color w:val="000000"/>
                <w:sz w:val="16"/>
                <w:szCs w:val="16"/>
              </w:rPr>
              <w:t>820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5,0</w:t>
            </w:r>
            <w:r w:rsidR="006E6041">
              <w:rPr>
                <w:rFonts w:ascii="Times New Roman" w:eastAsia="Times New Roman" w:hAnsi="Times New Roman"/>
                <w:color w:val="000000"/>
                <w:sz w:val="16"/>
                <w:szCs w:val="16"/>
              </w:rPr>
              <w:t>91</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E6041">
              <w:rPr>
                <w:rFonts w:ascii="Times New Roman" w:eastAsia="Times New Roman" w:hAnsi="Times New Roman"/>
                <w:color w:val="000000"/>
                <w:sz w:val="16"/>
                <w:szCs w:val="16"/>
              </w:rPr>
              <w:t>82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w:t>
            </w:r>
            <w:r w:rsidR="006E6041">
              <w:rPr>
                <w:rFonts w:ascii="Times New Roman" w:eastAsia="Times New Roman" w:hAnsi="Times New Roman"/>
                <w:sz w:val="16"/>
                <w:szCs w:val="16"/>
              </w:rPr>
              <w:t>212</w:t>
            </w:r>
            <w:r w:rsidR="00802128">
              <w:rPr>
                <w:rFonts w:ascii="Times New Roman" w:eastAsia="Times New Roman" w:hAnsi="Times New Roman"/>
                <w:sz w:val="16"/>
                <w:szCs w:val="16"/>
              </w:rPr>
              <w:t>,</w:t>
            </w:r>
            <w:r w:rsidR="006E6041">
              <w:rPr>
                <w:rFonts w:ascii="Times New Roman" w:eastAsia="Times New Roman" w:hAnsi="Times New Roman"/>
                <w:sz w:val="16"/>
                <w:szCs w:val="16"/>
              </w:rPr>
              <w:t>508</w:t>
            </w:r>
          </w:p>
        </w:tc>
      </w:tr>
      <w:tr w:rsidR="00DB3DB1"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 REPORT REQUIREMENTS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Read Instructions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E6041">
              <w:rPr>
                <w:rFonts w:ascii="Times New Roman" w:eastAsia="Times New Roman" w:hAnsi="Times New Roman"/>
                <w:color w:val="000000"/>
                <w:sz w:val="16"/>
                <w:szCs w:val="16"/>
              </w:rPr>
              <w:t>866</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w:t>
            </w:r>
            <w:r w:rsidR="006E6041">
              <w:rPr>
                <w:rFonts w:ascii="Times New Roman" w:eastAsia="Times New Roman" w:hAnsi="Times New Roman"/>
                <w:color w:val="000000"/>
                <w:sz w:val="16"/>
                <w:szCs w:val="16"/>
              </w:rPr>
              <w:t>7</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69,</w:t>
            </w:r>
            <w:r w:rsidR="006E6041">
              <w:rPr>
                <w:rFonts w:ascii="Times New Roman" w:eastAsia="Times New Roman" w:hAnsi="Times New Roman"/>
                <w:sz w:val="16"/>
                <w:szCs w:val="16"/>
              </w:rPr>
              <w:t>849</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2.0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0.2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Pr>
                <w:rFonts w:ascii="Times New Roman" w:eastAsia="Times New Roman" w:hAnsi="Times New Roman"/>
                <w:sz w:val="16"/>
                <w:szCs w:val="16"/>
              </w:rPr>
              <w:t>61</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Pr>
                <w:rFonts w:ascii="Times New Roman" w:eastAsia="Times New Roman" w:hAnsi="Times New Roman"/>
                <w:color w:val="000000"/>
                <w:sz w:val="16"/>
                <w:szCs w:val="16"/>
              </w:rPr>
              <w:t>B. Required Activities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M5 and M202</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416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6E6041">
              <w:rPr>
                <w:rFonts w:ascii="Times New Roman" w:eastAsia="Times New Roman" w:hAnsi="Times New Roman"/>
                <w:color w:val="000000"/>
                <w:sz w:val="16"/>
                <w:szCs w:val="16"/>
              </w:rPr>
              <w:t>65</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57</w:t>
            </w:r>
            <w:r w:rsidR="006E6041">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802128">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9</w:t>
            </w:r>
            <w:r w:rsidR="00802128">
              <w:rPr>
                <w:rFonts w:ascii="Times New Roman" w:eastAsia="Times New Roman" w:hAnsi="Times New Roman"/>
                <w:sz w:val="16"/>
                <w:szCs w:val="16"/>
              </w:rPr>
              <w:t>32,780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M29</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41</w:t>
            </w:r>
            <w:r w:rsidR="006E6041">
              <w:rPr>
                <w:rFonts w:ascii="Times New Roman" w:eastAsia="Times New Roman" w:hAnsi="Times New Roman"/>
                <w:color w:val="000000"/>
                <w:sz w:val="16"/>
                <w:szCs w:val="16"/>
              </w:rPr>
              <w:t>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6E6041">
              <w:rPr>
                <w:rFonts w:ascii="Times New Roman" w:eastAsia="Times New Roman" w:hAnsi="Times New Roman"/>
                <w:color w:val="000000"/>
                <w:sz w:val="16"/>
                <w:szCs w:val="16"/>
              </w:rPr>
              <w:t>65</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5</w:t>
            </w:r>
            <w:r>
              <w:rPr>
                <w:rFonts w:ascii="Times New Roman" w:eastAsia="Times New Roman" w:hAnsi="Times New Roman"/>
                <w:color w:val="000000"/>
                <w:sz w:val="16"/>
                <w:szCs w:val="16"/>
              </w:rPr>
              <w:t>7</w:t>
            </w:r>
            <w:r w:rsidR="006E6041">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Pr>
                <w:rFonts w:ascii="Times New Roman" w:eastAsia="Times New Roman" w:hAnsi="Times New Roman"/>
                <w:color w:val="000000"/>
                <w:sz w:val="16"/>
                <w:szCs w:val="16"/>
              </w:rPr>
              <w:t>,15</w:t>
            </w:r>
            <w:r w:rsidR="00802128">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9</w:t>
            </w:r>
            <w:r w:rsidR="00802128">
              <w:rPr>
                <w:rFonts w:ascii="Times New Roman" w:eastAsia="Times New Roman" w:hAnsi="Times New Roman"/>
                <w:sz w:val="16"/>
                <w:szCs w:val="16"/>
              </w:rPr>
              <w:t>32,780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M320</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2,2</w:t>
            </w:r>
            <w:r w:rsidR="006E6041">
              <w:rPr>
                <w:rFonts w:ascii="Times New Roman" w:eastAsia="Times New Roman" w:hAnsi="Times New Roman"/>
                <w:color w:val="000000"/>
                <w:sz w:val="16"/>
                <w:szCs w:val="16"/>
              </w:rPr>
              <w:t>79</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w:t>
            </w:r>
            <w:r w:rsidR="006E6041">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22</w:t>
            </w:r>
            <w:r w:rsidR="00802128">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18</w:t>
            </w:r>
            <w:r w:rsidR="00802128">
              <w:rPr>
                <w:rFonts w:ascii="Times New Roman" w:eastAsia="Times New Roman" w:hAnsi="Times New Roman"/>
                <w:sz w:val="16"/>
                <w:szCs w:val="16"/>
              </w:rPr>
              <w:t>3,833</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Initial Performance Test using M</w:t>
            </w:r>
            <w:r>
              <w:rPr>
                <w:rFonts w:ascii="Times New Roman" w:eastAsia="Times New Roman" w:hAnsi="Times New Roman"/>
                <w:color w:val="000000"/>
                <w:sz w:val="16"/>
                <w:szCs w:val="16"/>
              </w:rPr>
              <w:t>30B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E6041">
              <w:rPr>
                <w:rFonts w:ascii="Times New Roman" w:eastAsia="Times New Roman" w:hAnsi="Times New Roman"/>
                <w:color w:val="000000"/>
                <w:sz w:val="16"/>
                <w:szCs w:val="16"/>
              </w:rPr>
              <w:t>8</w:t>
            </w:r>
            <w:r>
              <w:rPr>
                <w:rFonts w:ascii="Times New Roman" w:eastAsia="Times New Roman" w:hAnsi="Times New Roman"/>
                <w:color w:val="000000"/>
                <w:sz w:val="16"/>
                <w:szCs w:val="16"/>
              </w:rPr>
              <w:t>4</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50</w:t>
            </w:r>
            <w:r w:rsidR="006E6041">
              <w:rPr>
                <w:rFonts w:ascii="Times New Roman" w:eastAsia="Times New Roman" w:hAnsi="Times New Roman"/>
                <w:color w:val="000000"/>
                <w:sz w:val="16"/>
                <w:szCs w:val="16"/>
              </w:rPr>
              <w:t>9</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802128">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w:t>
            </w:r>
            <w:r w:rsidR="00802128">
              <w:rPr>
                <w:rFonts w:ascii="Times New Roman" w:eastAsia="Times New Roman" w:hAnsi="Times New Roman"/>
                <w:sz w:val="16"/>
                <w:szCs w:val="16"/>
              </w:rPr>
              <w:t>21,414</w:t>
            </w:r>
          </w:p>
        </w:tc>
      </w:tr>
      <w:tr w:rsidR="00DB3DB1" w:rsidRPr="00332DD0" w:rsidTr="00DB3DB1">
        <w:trPr>
          <w:trHeight w:val="52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Existing Sources - Repeat M5 and </w:t>
            </w:r>
            <w:r>
              <w:rPr>
                <w:rFonts w:ascii="Times New Roman" w:eastAsia="Times New Roman" w:hAnsi="Times New Roman"/>
                <w:color w:val="000000"/>
                <w:sz w:val="16"/>
                <w:szCs w:val="16"/>
              </w:rPr>
              <w:t>M</w:t>
            </w:r>
            <w:r w:rsidRPr="00332DD0">
              <w:rPr>
                <w:rFonts w:ascii="Times New Roman" w:eastAsia="Times New Roman" w:hAnsi="Times New Roman"/>
                <w:color w:val="000000"/>
                <w:sz w:val="16"/>
                <w:szCs w:val="16"/>
              </w:rPr>
              <w:t>202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416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6E6041">
              <w:rPr>
                <w:rFonts w:ascii="Times New Roman" w:eastAsia="Times New Roman" w:hAnsi="Times New Roman"/>
                <w:color w:val="000000"/>
                <w:sz w:val="16"/>
                <w:szCs w:val="16"/>
              </w:rPr>
              <w:t>65</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57</w:t>
            </w:r>
            <w:r w:rsidR="006E6041">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1,15</w:t>
            </w:r>
            <w:r w:rsidR="00802128">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9</w:t>
            </w:r>
            <w:r w:rsidR="00802128">
              <w:rPr>
                <w:rFonts w:ascii="Times New Roman" w:eastAsia="Times New Roman" w:hAnsi="Times New Roman"/>
                <w:sz w:val="16"/>
                <w:szCs w:val="16"/>
              </w:rPr>
              <w:t>32,780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M29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M320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2,2</w:t>
            </w:r>
            <w:r w:rsidR="006E6041">
              <w:rPr>
                <w:rFonts w:ascii="Times New Roman" w:eastAsia="Times New Roman" w:hAnsi="Times New Roman"/>
                <w:color w:val="000000"/>
                <w:sz w:val="16"/>
                <w:szCs w:val="16"/>
              </w:rPr>
              <w:t>79</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11</w:t>
            </w:r>
            <w:r w:rsidR="006E6041">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22</w:t>
            </w:r>
            <w:r w:rsidR="00802128">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18</w:t>
            </w:r>
            <w:r w:rsidR="00802128">
              <w:rPr>
                <w:rFonts w:ascii="Times New Roman" w:eastAsia="Times New Roman" w:hAnsi="Times New Roman"/>
                <w:sz w:val="16"/>
                <w:szCs w:val="16"/>
              </w:rPr>
              <w:t>3,833</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Repeat M</w:t>
            </w:r>
            <w:r>
              <w:rPr>
                <w:rFonts w:ascii="Times New Roman" w:eastAsia="Times New Roman" w:hAnsi="Times New Roman"/>
                <w:color w:val="000000"/>
                <w:sz w:val="16"/>
                <w:szCs w:val="16"/>
              </w:rPr>
              <w:t>30B</w:t>
            </w:r>
            <w:r w:rsidRPr="00332DD0">
              <w:rPr>
                <w:rFonts w:ascii="Times New Roman" w:eastAsia="Times New Roman" w:hAnsi="Times New Roman"/>
                <w:color w:val="000000"/>
                <w:sz w:val="16"/>
                <w:szCs w:val="16"/>
              </w:rPr>
              <w:t xml:space="preserve">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E6041">
              <w:rPr>
                <w:rFonts w:ascii="Times New Roman" w:eastAsia="Times New Roman" w:hAnsi="Times New Roman"/>
                <w:color w:val="000000"/>
                <w:sz w:val="16"/>
                <w:szCs w:val="16"/>
              </w:rPr>
              <w:t>84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50</w:t>
            </w:r>
            <w:r w:rsidR="006E6041">
              <w:rPr>
                <w:rFonts w:ascii="Times New Roman" w:eastAsia="Times New Roman" w:hAnsi="Times New Roman"/>
                <w:color w:val="000000"/>
                <w:sz w:val="16"/>
                <w:szCs w:val="16"/>
              </w:rPr>
              <w:t>9</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1,01</w:t>
            </w:r>
            <w:r w:rsidR="006E6041">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w:t>
            </w:r>
            <w:r w:rsidR="00802128">
              <w:rPr>
                <w:rFonts w:ascii="Times New Roman" w:eastAsia="Times New Roman" w:hAnsi="Times New Roman"/>
                <w:sz w:val="16"/>
                <w:szCs w:val="16"/>
              </w:rPr>
              <w:t>21,414</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w:t>
            </w:r>
            <w:r>
              <w:rPr>
                <w:rFonts w:ascii="Times New Roman" w:eastAsia="Times New Roman" w:hAnsi="Times New Roman"/>
                <w:color w:val="000000"/>
                <w:sz w:val="16"/>
                <w:szCs w:val="16"/>
              </w:rPr>
              <w:t>es - CEMS Quarterly Inspections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8,6</w:t>
            </w:r>
            <w:r w:rsidR="006E6041">
              <w:rPr>
                <w:rFonts w:ascii="Times New Roman" w:eastAsia="Times New Roman" w:hAnsi="Times New Roman"/>
                <w:color w:val="000000"/>
                <w:sz w:val="16"/>
                <w:szCs w:val="16"/>
              </w:rPr>
              <w:t>60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86</w:t>
            </w:r>
            <w:r w:rsidR="006E6041">
              <w:rPr>
                <w:rFonts w:ascii="Times New Roman" w:eastAsia="Times New Roman" w:hAnsi="Times New Roman"/>
                <w:color w:val="000000"/>
                <w:sz w:val="16"/>
                <w:szCs w:val="16"/>
              </w:rPr>
              <w:t>6</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69</w:t>
            </w:r>
            <w:r w:rsidR="00802128">
              <w:rPr>
                <w:rFonts w:ascii="Times New Roman" w:eastAsia="Times New Roman" w:hAnsi="Times New Roman"/>
                <w:sz w:val="16"/>
                <w:szCs w:val="16"/>
              </w:rPr>
              <w:t>8,488</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CEM</w:t>
            </w:r>
            <w:r>
              <w:rPr>
                <w:rFonts w:ascii="Times New Roman" w:eastAsia="Times New Roman" w:hAnsi="Times New Roman"/>
                <w:color w:val="000000"/>
                <w:sz w:val="16"/>
                <w:szCs w:val="16"/>
              </w:rPr>
              <w:t>S Daily Calibration Drift Tests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r>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146</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126,</w:t>
            </w:r>
            <w:r w:rsidR="006E6041">
              <w:rPr>
                <w:rFonts w:ascii="Times New Roman" w:eastAsia="Times New Roman" w:hAnsi="Times New Roman"/>
                <w:color w:val="000000"/>
                <w:sz w:val="16"/>
                <w:szCs w:val="16"/>
              </w:rPr>
              <w:t>436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6,32</w:t>
            </w:r>
            <w:r w:rsidR="006E6041">
              <w:rPr>
                <w:rFonts w:ascii="Times New Roman" w:eastAsia="Times New Roman" w:hAnsi="Times New Roman"/>
                <w:color w:val="000000"/>
                <w:sz w:val="16"/>
                <w:szCs w:val="16"/>
              </w:rPr>
              <w:t>2</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12,6</w:t>
            </w:r>
            <w:r w:rsidR="006E6041">
              <w:rPr>
                <w:rFonts w:ascii="Times New Roman" w:eastAsia="Times New Roman" w:hAnsi="Times New Roman"/>
                <w:color w:val="000000"/>
                <w:sz w:val="16"/>
                <w:szCs w:val="16"/>
              </w:rPr>
              <w:t>44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10,1</w:t>
            </w:r>
            <w:r w:rsidR="00802128">
              <w:rPr>
                <w:rFonts w:ascii="Times New Roman" w:eastAsia="Times New Roman" w:hAnsi="Times New Roman"/>
                <w:sz w:val="16"/>
                <w:szCs w:val="16"/>
              </w:rPr>
              <w:t>97,923</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Daily monitoring (CEMS)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r>
              <w:rPr>
                <w:rFonts w:ascii="Times New Roman" w:eastAsia="Times New Roman" w:hAnsi="Times New Roman"/>
                <w:color w:val="000000"/>
                <w:sz w:val="16"/>
                <w:szCs w:val="16"/>
              </w:rPr>
              <w:t>25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9</w:t>
            </w:r>
            <w:r>
              <w:rPr>
                <w:rFonts w:ascii="Times New Roman" w:eastAsia="Times New Roman" w:hAnsi="Times New Roman"/>
                <w:color w:val="000000"/>
                <w:sz w:val="16"/>
                <w:szCs w:val="16"/>
              </w:rPr>
              <w:t>1.25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7</w:t>
            </w:r>
            <w:r w:rsidR="006E6041">
              <w:rPr>
                <w:rFonts w:ascii="Times New Roman" w:eastAsia="Times New Roman" w:hAnsi="Times New Roman"/>
                <w:color w:val="000000"/>
                <w:sz w:val="16"/>
                <w:szCs w:val="16"/>
              </w:rPr>
              <w:t>9023</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3,9</w:t>
            </w:r>
            <w:r w:rsidR="006E6041">
              <w:rPr>
                <w:rFonts w:ascii="Times New Roman" w:eastAsia="Times New Roman" w:hAnsi="Times New Roman"/>
                <w:color w:val="000000"/>
                <w:sz w:val="16"/>
                <w:szCs w:val="16"/>
              </w:rPr>
              <w:t>51</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7,</w:t>
            </w:r>
            <w:r w:rsidR="006E6041">
              <w:rPr>
                <w:rFonts w:ascii="Times New Roman" w:eastAsia="Times New Roman" w:hAnsi="Times New Roman"/>
                <w:color w:val="000000"/>
                <w:sz w:val="16"/>
                <w:szCs w:val="16"/>
              </w:rPr>
              <w:t>902</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6,3</w:t>
            </w:r>
            <w:r w:rsidR="00802128">
              <w:rPr>
                <w:rFonts w:ascii="Times New Roman" w:eastAsia="Times New Roman" w:hAnsi="Times New Roman"/>
                <w:sz w:val="16"/>
                <w:szCs w:val="16"/>
              </w:rPr>
              <w:t>7</w:t>
            </w:r>
            <w:r>
              <w:rPr>
                <w:rFonts w:ascii="Times New Roman" w:eastAsia="Times New Roman" w:hAnsi="Times New Roman"/>
                <w:sz w:val="16"/>
                <w:szCs w:val="16"/>
              </w:rPr>
              <w:t>3,</w:t>
            </w:r>
            <w:r w:rsidR="00802128">
              <w:rPr>
                <w:rFonts w:ascii="Times New Roman" w:eastAsia="Times New Roman" w:hAnsi="Times New Roman"/>
                <w:sz w:val="16"/>
                <w:szCs w:val="16"/>
              </w:rPr>
              <w:t>702</w:t>
            </w:r>
          </w:p>
        </w:tc>
      </w:tr>
      <w:tr w:rsidR="00DB3DB1" w:rsidRPr="00332DD0" w:rsidTr="00DB3DB1">
        <w:trPr>
          <w:trHeight w:val="52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All CEMS must follow appropr</w:t>
            </w:r>
            <w:r>
              <w:rPr>
                <w:rFonts w:ascii="Times New Roman" w:eastAsia="Times New Roman" w:hAnsi="Times New Roman"/>
                <w:color w:val="000000"/>
                <w:sz w:val="16"/>
                <w:szCs w:val="16"/>
              </w:rPr>
              <w:t>iate performance specifications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6E604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6E6041">
              <w:rPr>
                <w:rFonts w:ascii="Times New Roman" w:eastAsia="Times New Roman" w:hAnsi="Times New Roman"/>
                <w:color w:val="000000"/>
                <w:sz w:val="16"/>
                <w:szCs w:val="16"/>
              </w:rPr>
              <w:t>12,124</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60</w:t>
            </w:r>
            <w:r w:rsidR="006E6041">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1,21</w:t>
            </w:r>
            <w:r w:rsidR="006E6041">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97</w:t>
            </w:r>
            <w:r w:rsidR="00802128">
              <w:rPr>
                <w:rFonts w:ascii="Times New Roman" w:eastAsia="Times New Roman" w:hAnsi="Times New Roman"/>
                <w:sz w:val="16"/>
                <w:szCs w:val="16"/>
              </w:rPr>
              <w:t>7</w:t>
            </w:r>
            <w:r>
              <w:rPr>
                <w:rFonts w:ascii="Times New Roman" w:eastAsia="Times New Roman" w:hAnsi="Times New Roman"/>
                <w:sz w:val="16"/>
                <w:szCs w:val="16"/>
              </w:rPr>
              <w:t>,</w:t>
            </w:r>
            <w:r w:rsidR="00802128">
              <w:rPr>
                <w:rFonts w:ascii="Times New Roman" w:eastAsia="Times New Roman" w:hAnsi="Times New Roman"/>
                <w:sz w:val="16"/>
                <w:szCs w:val="16"/>
              </w:rPr>
              <w:t>883</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M5 and M202</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55.6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8</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$4,</w:t>
            </w:r>
            <w:r>
              <w:rPr>
                <w:rFonts w:ascii="Times New Roman" w:eastAsia="Times New Roman" w:hAnsi="Times New Roman"/>
                <w:sz w:val="16"/>
                <w:szCs w:val="16"/>
              </w:rPr>
              <w:t>485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M29</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55.6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5.6</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$4,</w:t>
            </w:r>
            <w:r>
              <w:rPr>
                <w:rFonts w:ascii="Times New Roman" w:eastAsia="Times New Roman" w:hAnsi="Times New Roman"/>
                <w:sz w:val="16"/>
                <w:szCs w:val="16"/>
              </w:rPr>
              <w:t>485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w:t>
            </w:r>
            <w:r>
              <w:rPr>
                <w:rFonts w:ascii="Times New Roman" w:eastAsia="Times New Roman" w:hAnsi="Times New Roman"/>
                <w:color w:val="000000"/>
                <w:sz w:val="16"/>
                <w:szCs w:val="16"/>
              </w:rPr>
              <w:t>26A</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52.8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$4,</w:t>
            </w:r>
            <w:r>
              <w:rPr>
                <w:rFonts w:ascii="Times New Roman" w:eastAsia="Times New Roman" w:hAnsi="Times New Roman"/>
                <w:sz w:val="16"/>
                <w:szCs w:val="16"/>
              </w:rPr>
              <w:t>259</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Initial Performance Test using M6A</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M5 and 202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M29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7.8</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w:t>
            </w:r>
            <w:r>
              <w:rPr>
                <w:rFonts w:ascii="Times New Roman" w:eastAsia="Times New Roman" w:hAnsi="Times New Roman"/>
                <w:color w:val="000000"/>
                <w:sz w:val="16"/>
                <w:szCs w:val="16"/>
              </w:rPr>
              <w:t>26A</w:t>
            </w:r>
            <w:r w:rsidRPr="00332DD0">
              <w:rPr>
                <w:rFonts w:ascii="Times New Roman" w:eastAsia="Times New Roman" w:hAnsi="Times New Roman"/>
                <w:color w:val="000000"/>
                <w:sz w:val="16"/>
                <w:szCs w:val="16"/>
              </w:rPr>
              <w:t xml:space="preserve">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2</w:t>
            </w:r>
            <w:r>
              <w:rPr>
                <w:rFonts w:ascii="Times New Roman" w:eastAsia="Times New Roman" w:hAnsi="Times New Roman"/>
                <w:sz w:val="16"/>
                <w:szCs w:val="16"/>
              </w:rPr>
              <w:t>6.</w:t>
            </w:r>
            <w:r w:rsidRPr="00332DD0">
              <w:rPr>
                <w:rFonts w:ascii="Times New Roman" w:eastAsia="Times New Roman" w:hAnsi="Times New Roman"/>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Repeat M6A Performance Test every year</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2</w:t>
            </w:r>
            <w:r>
              <w:rPr>
                <w:rFonts w:ascii="Times New Roman" w:eastAsia="Times New Roman" w:hAnsi="Times New Roman"/>
                <w:sz w:val="16"/>
                <w:szCs w:val="16"/>
              </w:rPr>
              <w:t>7.8</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Monitoring</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Quarterly Inspections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r>
              <w:rPr>
                <w:rFonts w:ascii="Times New Roman" w:eastAsia="Times New Roman" w:hAnsi="Times New Roman"/>
                <w:color w:val="000000"/>
                <w:sz w:val="16"/>
                <w:szCs w:val="16"/>
              </w:rPr>
              <w:t>.46</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4</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9.84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Pr>
                <w:rFonts w:ascii="Times New Roman" w:eastAsia="Times New Roman" w:hAnsi="Times New Roman"/>
                <w:color w:val="000000"/>
                <w:sz w:val="16"/>
                <w:szCs w:val="16"/>
              </w:rPr>
              <w:t>9.7</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$1,5</w:t>
            </w:r>
            <w:r>
              <w:rPr>
                <w:rFonts w:ascii="Times New Roman" w:eastAsia="Times New Roman" w:hAnsi="Times New Roman"/>
                <w:sz w:val="16"/>
                <w:szCs w:val="16"/>
              </w:rPr>
              <w:t>8</w:t>
            </w:r>
            <w:r w:rsidRPr="00332DD0">
              <w:rPr>
                <w:rFonts w:ascii="Times New Roman" w:eastAsia="Times New Roman" w:hAnsi="Times New Roman"/>
                <w:sz w:val="16"/>
                <w:szCs w:val="16"/>
              </w:rPr>
              <w:t>7</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CEMS Daily Calibration Drift Tests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r>
              <w:rPr>
                <w:rFonts w:ascii="Times New Roman" w:eastAsia="Times New Roman" w:hAnsi="Times New Roman"/>
                <w:color w:val="000000"/>
                <w:sz w:val="16"/>
                <w:szCs w:val="16"/>
              </w:rPr>
              <w:t>121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44.165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88.3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.8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7,124</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Daily monitoring (CEMS</w:t>
            </w:r>
            <w:r w:rsidRPr="00332DD0">
              <w:rPr>
                <w:rFonts w:ascii="Times New Roman" w:eastAsia="Times New Roman" w:hAnsi="Times New Roman"/>
                <w:sz w:val="16"/>
                <w:szCs w:val="16"/>
              </w:rPr>
              <w: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0</w:t>
            </w:r>
          </w:p>
        </w:tc>
      </w:tr>
      <w:tr w:rsidR="00DB3DB1" w:rsidRPr="00332DD0" w:rsidTr="00DB3DB1">
        <w:trPr>
          <w:trHeight w:val="54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All CEMS must follow appropriate performance specifications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3</w:t>
            </w:r>
            <w:r>
              <w:rPr>
                <w:rFonts w:ascii="Times New Roman" w:eastAsia="Times New Roman" w:hAnsi="Times New Roman"/>
                <w:color w:val="000000"/>
                <w:sz w:val="16"/>
                <w:szCs w:val="16"/>
              </w:rPr>
              <w:t>65</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2,664.5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5,329</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266.5</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532.9</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429,820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 Create Information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Gather Existing Information (Included in 4E)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Write Report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Notification of Demonstration of</w:t>
            </w:r>
            <w:r>
              <w:rPr>
                <w:rFonts w:ascii="Times New Roman" w:eastAsia="Times New Roman" w:hAnsi="Times New Roman"/>
                <w:color w:val="000000"/>
                <w:sz w:val="16"/>
                <w:szCs w:val="16"/>
              </w:rPr>
              <w:t xml:space="preserve"> CEMS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802128"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w:t>
            </w:r>
            <w:r w:rsidR="00802128">
              <w:rPr>
                <w:rFonts w:ascii="Times New Roman" w:eastAsia="Times New Roman" w:hAnsi="Times New Roman"/>
                <w:color w:val="000000"/>
                <w:sz w:val="16"/>
                <w:szCs w:val="16"/>
              </w:rPr>
              <w:t>30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21</w:t>
            </w:r>
            <w:r w:rsidR="00802128">
              <w:rPr>
                <w:rFonts w:ascii="Times New Roman" w:eastAsia="Times New Roman" w:hAnsi="Times New Roman"/>
                <w:color w:val="000000"/>
                <w:sz w:val="16"/>
                <w:szCs w:val="16"/>
              </w:rPr>
              <w:t>7</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34</w:t>
            </w:r>
            <w:r w:rsidR="00802128">
              <w:rPr>
                <w:rFonts w:ascii="Times New Roman" w:eastAsia="Times New Roman" w:hAnsi="Times New Roman"/>
                <w:sz w:val="16"/>
                <w:szCs w:val="16"/>
              </w:rPr>
              <w:t>9,244</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Report of Performance Test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w:t>
            </w:r>
            <w:r>
              <w:rPr>
                <w:rFonts w:ascii="Times New Roman" w:eastAsia="Times New Roman" w:hAnsi="Times New Roman"/>
                <w:color w:val="000000"/>
                <w:sz w:val="16"/>
                <w:szCs w:val="16"/>
              </w:rPr>
              <w:t>ion of Initial Performance Test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802128"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2,59</w:t>
            </w:r>
            <w:r w:rsidR="00802128">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00802128">
              <w:rPr>
                <w:rFonts w:ascii="Times New Roman" w:eastAsia="Times New Roman" w:hAnsi="Times New Roman"/>
                <w:color w:val="000000"/>
                <w:sz w:val="16"/>
                <w:szCs w:val="16"/>
              </w:rPr>
              <w:t>30</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r w:rsidR="00802128">
              <w:rPr>
                <w:rFonts w:ascii="Times New Roman" w:eastAsia="Times New Roman" w:hAnsi="Times New Roman"/>
                <w:color w:val="000000"/>
                <w:sz w:val="16"/>
                <w:szCs w:val="16"/>
              </w:rPr>
              <w:t>60</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209,</w:t>
            </w:r>
            <w:r w:rsidR="00802128">
              <w:rPr>
                <w:rFonts w:ascii="Times New Roman" w:eastAsia="Times New Roman" w:hAnsi="Times New Roman"/>
                <w:sz w:val="16"/>
                <w:szCs w:val="16"/>
              </w:rPr>
              <w:t>546</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Quality Assurance Program Notification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802128"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3,4</w:t>
            </w:r>
            <w:r w:rsidR="00802128">
              <w:rPr>
                <w:rFonts w:ascii="Times New Roman" w:eastAsia="Times New Roman" w:hAnsi="Times New Roman"/>
                <w:color w:val="000000"/>
                <w:sz w:val="16"/>
                <w:szCs w:val="16"/>
              </w:rPr>
              <w:t>64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17</w:t>
            </w:r>
            <w:r w:rsidR="00802128">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34</w:t>
            </w:r>
            <w:r w:rsidR="00802128">
              <w:rPr>
                <w:rFonts w:ascii="Times New Roman" w:eastAsia="Times New Roman" w:hAnsi="Times New Roman"/>
                <w:color w:val="000000"/>
                <w:sz w:val="16"/>
                <w:szCs w:val="16"/>
              </w:rPr>
              <w:t>6</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27</w:t>
            </w:r>
            <w:r w:rsidR="00802128">
              <w:rPr>
                <w:rFonts w:ascii="Times New Roman" w:eastAsia="Times New Roman" w:hAnsi="Times New Roman"/>
                <w:sz w:val="16"/>
                <w:szCs w:val="16"/>
              </w:rPr>
              <w:t>9</w:t>
            </w:r>
            <w:r>
              <w:rPr>
                <w:rFonts w:ascii="Times New Roman" w:eastAsia="Times New Roman" w:hAnsi="Times New Roman"/>
                <w:sz w:val="16"/>
                <w:szCs w:val="16"/>
              </w:rPr>
              <w:t>,</w:t>
            </w:r>
            <w:r w:rsidR="00802128">
              <w:rPr>
                <w:rFonts w:ascii="Times New Roman" w:eastAsia="Times New Roman" w:hAnsi="Times New Roman"/>
                <w:sz w:val="16"/>
                <w:szCs w:val="16"/>
              </w:rPr>
              <w:t>395</w:t>
            </w:r>
          </w:p>
        </w:tc>
      </w:tr>
      <w:tr w:rsidR="00DB3DB1" w:rsidRPr="00332DD0" w:rsidTr="00DB3DB1">
        <w:trPr>
          <w:trHeight w:val="52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Existing Sources - Startup, shutdown, and malfunction Report </w:t>
            </w:r>
            <w:r w:rsidRPr="00B47C5E">
              <w:rPr>
                <w:rFonts w:ascii="Times New Roman" w:eastAsia="Times New Roman" w:hAnsi="Times New Roman"/>
                <w:color w:val="000000"/>
                <w:sz w:val="16"/>
                <w:szCs w:val="16"/>
                <w:vertAlign w:val="superscript"/>
              </w:rPr>
              <w:t>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802128"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86</w:t>
            </w:r>
            <w:r w:rsidR="00802128">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02128">
              <w:rPr>
                <w:rFonts w:ascii="Times New Roman" w:eastAsia="Times New Roman" w:hAnsi="Times New Roman"/>
                <w:color w:val="000000"/>
                <w:sz w:val="16"/>
                <w:szCs w:val="16"/>
              </w:rPr>
              <w:t>86.6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6</w:t>
            </w:r>
            <w:r w:rsidRPr="00332DD0">
              <w:rPr>
                <w:rFonts w:ascii="Times New Roman" w:eastAsia="Times New Roman" w:hAnsi="Times New Roman"/>
                <w:sz w:val="16"/>
                <w:szCs w:val="16"/>
              </w:rPr>
              <w:t>9,</w:t>
            </w:r>
            <w:r w:rsidR="00802128">
              <w:rPr>
                <w:rFonts w:ascii="Times New Roman" w:eastAsia="Times New Roman" w:hAnsi="Times New Roman"/>
                <w:sz w:val="16"/>
                <w:szCs w:val="16"/>
              </w:rPr>
              <w:t>849</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Semi-Annual Compliance Report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802128"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129,</w:t>
            </w:r>
            <w:r w:rsidR="00802128">
              <w:rPr>
                <w:rFonts w:ascii="Times New Roman" w:eastAsia="Times New Roman" w:hAnsi="Times New Roman"/>
                <w:color w:val="000000"/>
                <w:sz w:val="16"/>
                <w:szCs w:val="16"/>
              </w:rPr>
              <w:t>9</w:t>
            </w:r>
            <w:r>
              <w:rPr>
                <w:rFonts w:ascii="Times New Roman" w:eastAsia="Times New Roman" w:hAnsi="Times New Roman"/>
                <w:color w:val="000000"/>
                <w:sz w:val="16"/>
                <w:szCs w:val="16"/>
              </w:rPr>
              <w:t>00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6,4</w:t>
            </w:r>
            <w:r w:rsidR="00802128">
              <w:rPr>
                <w:rFonts w:ascii="Times New Roman" w:eastAsia="Times New Roman" w:hAnsi="Times New Roman"/>
                <w:color w:val="000000"/>
                <w:sz w:val="16"/>
                <w:szCs w:val="16"/>
              </w:rPr>
              <w:t>9</w:t>
            </w:r>
            <w:r>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02128">
              <w:rPr>
                <w:rFonts w:ascii="Times New Roman" w:eastAsia="Times New Roman" w:hAnsi="Times New Roman"/>
                <w:color w:val="000000"/>
                <w:sz w:val="16"/>
                <w:szCs w:val="16"/>
              </w:rPr>
              <w:t>12,99</w:t>
            </w:r>
            <w:r>
              <w:rPr>
                <w:rFonts w:ascii="Times New Roman" w:eastAsia="Times New Roman" w:hAnsi="Times New Roman"/>
                <w:color w:val="000000"/>
                <w:sz w:val="16"/>
                <w:szCs w:val="16"/>
              </w:rPr>
              <w:t>0</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Pr>
                <w:rFonts w:ascii="Times New Roman" w:eastAsia="Times New Roman" w:hAnsi="Times New Roman"/>
                <w:sz w:val="16"/>
                <w:szCs w:val="16"/>
              </w:rPr>
              <w:t>0</w:t>
            </w:r>
            <w:r w:rsidRPr="00332DD0">
              <w:rPr>
                <w:rFonts w:ascii="Times New Roman" w:eastAsia="Times New Roman" w:hAnsi="Times New Roman"/>
                <w:sz w:val="16"/>
                <w:szCs w:val="16"/>
              </w:rPr>
              <w:t>,</w:t>
            </w:r>
            <w:r>
              <w:rPr>
                <w:rFonts w:ascii="Times New Roman" w:eastAsia="Times New Roman" w:hAnsi="Times New Roman"/>
                <w:sz w:val="16"/>
                <w:szCs w:val="16"/>
              </w:rPr>
              <w:t>4</w:t>
            </w:r>
            <w:r w:rsidR="00802128">
              <w:rPr>
                <w:rFonts w:ascii="Times New Roman" w:eastAsia="Times New Roman" w:hAnsi="Times New Roman"/>
                <w:sz w:val="16"/>
                <w:szCs w:val="16"/>
              </w:rPr>
              <w:t>77,318</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Notification of Compliance Status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410" w:type="pct"/>
            <w:tcBorders>
              <w:top w:val="nil"/>
              <w:left w:val="nil"/>
              <w:bottom w:val="single" w:sz="4" w:space="0" w:color="auto"/>
              <w:right w:val="single" w:sz="4" w:space="0" w:color="auto"/>
            </w:tcBorders>
            <w:shd w:val="clear" w:color="auto" w:fill="auto"/>
            <w:noWrap/>
            <w:vAlign w:val="bottom"/>
            <w:hideMark/>
          </w:tcPr>
          <w:p w:rsidR="00EB67E1" w:rsidRDefault="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w:t>
            </w:r>
            <w:r w:rsidR="00802128">
              <w:rPr>
                <w:rFonts w:ascii="Times New Roman" w:eastAsia="Times New Roman" w:hAnsi="Times New Roman"/>
                <w:color w:val="000000"/>
                <w:sz w:val="16"/>
                <w:szCs w:val="16"/>
              </w:rPr>
              <w:t>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sidR="00802128">
              <w:rPr>
                <w:rFonts w:ascii="Times New Roman" w:eastAsia="Times New Roman" w:hAnsi="Times New Roman"/>
                <w:color w:val="000000"/>
                <w:sz w:val="16"/>
                <w:szCs w:val="16"/>
              </w:rPr>
              <w:t>4,289</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71</w:t>
            </w:r>
            <w:r w:rsidR="00802128">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1,42</w:t>
            </w:r>
            <w:r w:rsidR="00802128">
              <w:rPr>
                <w:rFonts w:ascii="Times New Roman" w:eastAsia="Times New Roman" w:hAnsi="Times New Roman"/>
                <w:color w:val="000000"/>
                <w:sz w:val="16"/>
                <w:szCs w:val="16"/>
              </w:rPr>
              <w:t>9</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Pr>
                <w:rFonts w:ascii="Times New Roman" w:eastAsia="Times New Roman" w:hAnsi="Times New Roman"/>
                <w:sz w:val="16"/>
                <w:szCs w:val="16"/>
              </w:rPr>
              <w:t>,15</w:t>
            </w:r>
            <w:r w:rsidR="00802128">
              <w:rPr>
                <w:rFonts w:ascii="Times New Roman" w:eastAsia="Times New Roman" w:hAnsi="Times New Roman"/>
                <w:sz w:val="16"/>
                <w:szCs w:val="16"/>
              </w:rPr>
              <w:t>2</w:t>
            </w:r>
            <w:r>
              <w:rPr>
                <w:rFonts w:ascii="Times New Roman" w:eastAsia="Times New Roman" w:hAnsi="Times New Roman"/>
                <w:sz w:val="16"/>
                <w:szCs w:val="16"/>
              </w:rPr>
              <w:t>,</w:t>
            </w:r>
            <w:r w:rsidR="00802128">
              <w:rPr>
                <w:rFonts w:ascii="Times New Roman" w:eastAsia="Times New Roman" w:hAnsi="Times New Roman"/>
                <w:sz w:val="16"/>
                <w:szCs w:val="16"/>
              </w:rPr>
              <w:t>505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site-specific performance evaluation test plan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802128"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w:t>
            </w:r>
            <w:r>
              <w:rPr>
                <w:rFonts w:ascii="Times New Roman" w:eastAsia="Times New Roman" w:hAnsi="Times New Roman"/>
                <w:color w:val="000000"/>
                <w:sz w:val="16"/>
                <w:szCs w:val="16"/>
              </w:rPr>
              <w:t>7,</w:t>
            </w:r>
            <w:r w:rsidR="00802128">
              <w:rPr>
                <w:rFonts w:ascii="Times New Roman" w:eastAsia="Times New Roman" w:hAnsi="Times New Roman"/>
                <w:color w:val="000000"/>
                <w:sz w:val="16"/>
                <w:szCs w:val="16"/>
              </w:rPr>
              <w:t>320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8</w:t>
            </w:r>
            <w:r>
              <w:rPr>
                <w:rFonts w:ascii="Times New Roman" w:eastAsia="Times New Roman" w:hAnsi="Times New Roman"/>
                <w:color w:val="000000"/>
                <w:sz w:val="16"/>
                <w:szCs w:val="16"/>
              </w:rPr>
              <w:t>6</w:t>
            </w:r>
            <w:r w:rsidR="00802128">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1,7</w:t>
            </w:r>
            <w:r w:rsidR="00802128">
              <w:rPr>
                <w:rFonts w:ascii="Times New Roman" w:eastAsia="Times New Roman" w:hAnsi="Times New Roman"/>
                <w:color w:val="000000"/>
                <w:sz w:val="16"/>
                <w:szCs w:val="16"/>
              </w:rPr>
              <w:t>32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$1,</w:t>
            </w:r>
            <w:r>
              <w:rPr>
                <w:rFonts w:ascii="Times New Roman" w:eastAsia="Times New Roman" w:hAnsi="Times New Roman"/>
                <w:sz w:val="16"/>
                <w:szCs w:val="16"/>
              </w:rPr>
              <w:t>39</w:t>
            </w:r>
            <w:r w:rsidR="00802128">
              <w:rPr>
                <w:rFonts w:ascii="Times New Roman" w:eastAsia="Times New Roman" w:hAnsi="Times New Roman"/>
                <w:sz w:val="16"/>
                <w:szCs w:val="16"/>
              </w:rPr>
              <w:t>6</w:t>
            </w:r>
            <w:r w:rsidRPr="00332DD0">
              <w:rPr>
                <w:rFonts w:ascii="Times New Roman" w:eastAsia="Times New Roman" w:hAnsi="Times New Roman"/>
                <w:sz w:val="16"/>
                <w:szCs w:val="16"/>
              </w:rPr>
              <w:t>,</w:t>
            </w:r>
            <w:r w:rsidR="00802128">
              <w:rPr>
                <w:rFonts w:ascii="Times New Roman" w:eastAsia="Times New Roman" w:hAnsi="Times New Roman"/>
                <w:sz w:val="16"/>
                <w:szCs w:val="16"/>
              </w:rPr>
              <w:t>976</w:t>
            </w:r>
          </w:p>
        </w:tc>
      </w:tr>
      <w:tr w:rsidR="00DB3DB1" w:rsidRPr="00332DD0" w:rsidTr="00DB3DB1">
        <w:trPr>
          <w:trHeight w:val="52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request to use alternative monitoring procedure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802128"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r w:rsidR="00802128">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02128">
              <w:rPr>
                <w:rFonts w:ascii="Times New Roman" w:eastAsia="Times New Roman" w:hAnsi="Times New Roman"/>
                <w:color w:val="000000"/>
                <w:sz w:val="16"/>
                <w:szCs w:val="16"/>
              </w:rPr>
              <w:t>43</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34</w:t>
            </w:r>
            <w:r w:rsidRPr="00332DD0">
              <w:rPr>
                <w:rFonts w:ascii="Times New Roman" w:eastAsia="Times New Roman" w:hAnsi="Times New Roman"/>
                <w:sz w:val="16"/>
                <w:szCs w:val="16"/>
              </w:rPr>
              <w:t>,</w:t>
            </w:r>
            <w:r w:rsidR="00802128">
              <w:rPr>
                <w:rFonts w:ascii="Times New Roman" w:eastAsia="Times New Roman" w:hAnsi="Times New Roman"/>
                <w:sz w:val="16"/>
                <w:szCs w:val="16"/>
              </w:rPr>
              <w:t>924</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Initial notification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484</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Demonstration of CEMS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807</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Quality Assurance Program Notification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6</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484</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Initial Performance Test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645</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Report of Performance Test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Startup, shutdo</w:t>
            </w:r>
            <w:r>
              <w:rPr>
                <w:rFonts w:ascii="Times New Roman" w:eastAsia="Times New Roman" w:hAnsi="Times New Roman"/>
                <w:color w:val="000000"/>
                <w:sz w:val="16"/>
                <w:szCs w:val="16"/>
              </w:rPr>
              <w:t>wn, and malfunction Report</w:t>
            </w:r>
            <w:r w:rsidRPr="00B47C5E">
              <w:rPr>
                <w:rFonts w:ascii="Times New Roman" w:eastAsia="Times New Roman" w:hAnsi="Times New Roman"/>
                <w:color w:val="000000"/>
                <w:sz w:val="16"/>
                <w:szCs w:val="16"/>
                <w:vertAlign w:val="superscript"/>
              </w:rPr>
              <w:t>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w:t>
            </w: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161</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Semi-Annual Compliance Report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75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300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15</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30</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24,197</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Notification of Compliance Status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16.5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1.7</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2,662</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site-specific performance evaluation test plan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40</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3,226</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request to use alternative monitoring procedure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0.2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1.0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0.1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81</w:t>
            </w:r>
          </w:p>
        </w:tc>
      </w:tr>
      <w:tr w:rsidR="0053022F"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53022F" w:rsidRPr="00332DD0" w:rsidRDefault="0053022F" w:rsidP="00DB3DB1">
            <w:pPr>
              <w:rPr>
                <w:rFonts w:ascii="Times New Roman" w:eastAsia="Times New Roman" w:hAnsi="Times New Roman"/>
                <w:color w:val="000000"/>
                <w:sz w:val="16"/>
                <w:szCs w:val="16"/>
              </w:rPr>
            </w:pPr>
          </w:p>
        </w:tc>
        <w:tc>
          <w:tcPr>
            <w:tcW w:w="97" w:type="pct"/>
            <w:tcBorders>
              <w:top w:val="nil"/>
              <w:left w:val="nil"/>
              <w:bottom w:val="single" w:sz="4" w:space="0" w:color="auto"/>
              <w:right w:val="nil"/>
            </w:tcBorders>
            <w:shd w:val="clear" w:color="auto" w:fill="auto"/>
            <w:vAlign w:val="bottom"/>
            <w:hideMark/>
          </w:tcPr>
          <w:p w:rsidR="0053022F" w:rsidRPr="00332DD0" w:rsidRDefault="0053022F" w:rsidP="00DB3DB1">
            <w:pPr>
              <w:rPr>
                <w:rFonts w:ascii="Times New Roman" w:eastAsia="Times New Roman" w:hAnsi="Times New Roman"/>
                <w:color w:val="000000"/>
                <w:sz w:val="16"/>
                <w:szCs w:val="16"/>
              </w:rPr>
            </w:pPr>
          </w:p>
        </w:tc>
        <w:tc>
          <w:tcPr>
            <w:tcW w:w="1350"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rPr>
                <w:rFonts w:ascii="Times New Roman" w:eastAsia="Times New Roman" w:hAnsi="Times New Roman"/>
                <w:color w:val="000000"/>
                <w:sz w:val="16"/>
                <w:szCs w:val="16"/>
              </w:rPr>
            </w:pPr>
            <w:r>
              <w:rPr>
                <w:rFonts w:ascii="Times New Roman" w:eastAsia="Times New Roman" w:hAnsi="Times New Roman"/>
                <w:color w:val="000000"/>
                <w:sz w:val="16"/>
                <w:szCs w:val="16"/>
              </w:rPr>
              <w:t>Affirmative Defense</w:t>
            </w:r>
          </w:p>
        </w:tc>
        <w:tc>
          <w:tcPr>
            <w:tcW w:w="375"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513"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410" w:type="pct"/>
            <w:tcBorders>
              <w:top w:val="nil"/>
              <w:left w:val="nil"/>
              <w:bottom w:val="single" w:sz="4" w:space="0" w:color="auto"/>
              <w:right w:val="single" w:sz="4" w:space="0" w:color="auto"/>
            </w:tcBorders>
            <w:shd w:val="clear" w:color="auto" w:fill="auto"/>
            <w:noWrap/>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2.0</w:t>
            </w:r>
          </w:p>
        </w:tc>
        <w:tc>
          <w:tcPr>
            <w:tcW w:w="410"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36</w:t>
            </w:r>
          </w:p>
        </w:tc>
        <w:tc>
          <w:tcPr>
            <w:tcW w:w="444"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w:t>
            </w:r>
          </w:p>
        </w:tc>
        <w:tc>
          <w:tcPr>
            <w:tcW w:w="374"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451" w:type="pct"/>
            <w:tcBorders>
              <w:top w:val="nil"/>
              <w:left w:val="nil"/>
              <w:bottom w:val="single" w:sz="4" w:space="0" w:color="auto"/>
              <w:right w:val="single" w:sz="4" w:space="0" w:color="auto"/>
            </w:tcBorders>
            <w:shd w:val="clear" w:color="auto" w:fill="auto"/>
            <w:vAlign w:val="bottom"/>
            <w:hideMark/>
          </w:tcPr>
          <w:p w:rsidR="0053022F" w:rsidRPr="00332DD0" w:rsidRDefault="0053022F" w:rsidP="00DB3DB1">
            <w:pPr>
              <w:jc w:val="right"/>
              <w:rPr>
                <w:rFonts w:ascii="Times New Roman" w:eastAsia="Times New Roman" w:hAnsi="Times New Roman"/>
                <w:sz w:val="16"/>
                <w:szCs w:val="16"/>
              </w:rPr>
            </w:pPr>
            <w:r>
              <w:rPr>
                <w:rFonts w:ascii="Times New Roman" w:eastAsia="Times New Roman" w:hAnsi="Times New Roman"/>
                <w:sz w:val="16"/>
                <w:szCs w:val="16"/>
              </w:rPr>
              <w:t>$6,268</w:t>
            </w:r>
          </w:p>
        </w:tc>
      </w:tr>
      <w:tr w:rsidR="00DB3DB1"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5. RECORDKEEPING REQUIREMENTS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 Read Instructions (Included in 4A)</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Plan Activities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 Implement Activities (Included in 4B)</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Record Data ( Not Applicable)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Time to Transmit or Disclose Information</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$0</w:t>
            </w:r>
          </w:p>
        </w:tc>
      </w:tr>
      <w:tr w:rsidR="00DB3DB1" w:rsidRPr="00332DD0" w:rsidTr="00DB3DB1">
        <w:trPr>
          <w:cantSplit/>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CEMS malfunctions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w:t>
            </w:r>
            <w:r w:rsidR="00802128">
              <w:rPr>
                <w:rFonts w:ascii="Times New Roman" w:eastAsia="Times New Roman" w:hAnsi="Times New Roman"/>
                <w:color w:val="000000"/>
                <w:sz w:val="16"/>
                <w:szCs w:val="16"/>
              </w:rPr>
              <w:t>6</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02128">
              <w:rPr>
                <w:rFonts w:ascii="Times New Roman" w:eastAsia="Times New Roman" w:hAnsi="Times New Roman"/>
                <w:color w:val="000000"/>
                <w:sz w:val="16"/>
                <w:szCs w:val="16"/>
              </w:rPr>
              <w:t>10,392</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w:t>
            </w:r>
            <w:r w:rsidR="00802128">
              <w:rPr>
                <w:rFonts w:ascii="Times New Roman" w:eastAsia="Times New Roman" w:hAnsi="Times New Roman"/>
                <w:color w:val="000000"/>
                <w:sz w:val="16"/>
                <w:szCs w:val="16"/>
              </w:rPr>
              <w:t>20</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1,03</w:t>
            </w:r>
            <w:r w:rsidR="00802128">
              <w:rPr>
                <w:rFonts w:ascii="Times New Roman" w:eastAsia="Times New Roman" w:hAnsi="Times New Roman"/>
                <w:color w:val="000000"/>
                <w:sz w:val="16"/>
                <w:szCs w:val="16"/>
              </w:rPr>
              <w:t>9</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83</w:t>
            </w:r>
            <w:r w:rsidR="00802128">
              <w:rPr>
                <w:rFonts w:ascii="Times New Roman" w:eastAsia="Times New Roman" w:hAnsi="Times New Roman"/>
                <w:sz w:val="16"/>
                <w:szCs w:val="16"/>
              </w:rPr>
              <w:t>8</w:t>
            </w:r>
            <w:r>
              <w:rPr>
                <w:rFonts w:ascii="Times New Roman" w:eastAsia="Times New Roman" w:hAnsi="Times New Roman"/>
                <w:sz w:val="16"/>
                <w:szCs w:val="16"/>
              </w:rPr>
              <w:t>,</w:t>
            </w:r>
            <w:r w:rsidR="00802128">
              <w:rPr>
                <w:rFonts w:ascii="Times New Roman" w:eastAsia="Times New Roman" w:hAnsi="Times New Roman"/>
                <w:sz w:val="16"/>
                <w:szCs w:val="16"/>
              </w:rPr>
              <w:t>18</w:t>
            </w:r>
            <w:r>
              <w:rPr>
                <w:rFonts w:ascii="Times New Roman" w:eastAsia="Times New Roman" w:hAnsi="Times New Roman"/>
                <w:sz w:val="16"/>
                <w:szCs w:val="16"/>
              </w:rPr>
              <w:t>5</w:t>
            </w:r>
          </w:p>
        </w:tc>
      </w:tr>
      <w:tr w:rsidR="00DB3DB1" w:rsidRPr="00332DD0" w:rsidTr="00DB3DB1">
        <w:trPr>
          <w:trHeight w:val="51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Startups, Shutdowns, malfunctions, etc</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802128"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02128">
              <w:rPr>
                <w:rFonts w:ascii="Times New Roman" w:eastAsia="Times New Roman" w:hAnsi="Times New Roman"/>
                <w:color w:val="000000"/>
                <w:sz w:val="16"/>
                <w:szCs w:val="16"/>
              </w:rPr>
              <w:t>10,392</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w:t>
            </w:r>
            <w:r w:rsidR="00802128">
              <w:rPr>
                <w:rFonts w:ascii="Times New Roman" w:eastAsia="Times New Roman" w:hAnsi="Times New Roman"/>
                <w:color w:val="000000"/>
                <w:sz w:val="16"/>
                <w:szCs w:val="16"/>
              </w:rPr>
              <w:t>20</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02128">
              <w:rPr>
                <w:rFonts w:ascii="Times New Roman" w:eastAsia="Times New Roman" w:hAnsi="Times New Roman"/>
                <w:color w:val="000000"/>
                <w:sz w:val="16"/>
                <w:szCs w:val="16"/>
              </w:rPr>
              <w:t>1,039</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83</w:t>
            </w:r>
            <w:r w:rsidR="00802128">
              <w:rPr>
                <w:rFonts w:ascii="Times New Roman" w:eastAsia="Times New Roman" w:hAnsi="Times New Roman"/>
                <w:sz w:val="16"/>
                <w:szCs w:val="16"/>
              </w:rPr>
              <w:t>8</w:t>
            </w:r>
            <w:r>
              <w:rPr>
                <w:rFonts w:ascii="Times New Roman" w:eastAsia="Times New Roman" w:hAnsi="Times New Roman"/>
                <w:sz w:val="16"/>
                <w:szCs w:val="16"/>
              </w:rPr>
              <w:t>,</w:t>
            </w:r>
            <w:r w:rsidR="00802128">
              <w:rPr>
                <w:rFonts w:ascii="Times New Roman" w:eastAsia="Times New Roman" w:hAnsi="Times New Roman"/>
                <w:sz w:val="16"/>
                <w:szCs w:val="16"/>
              </w:rPr>
              <w:t>185</w:t>
            </w:r>
          </w:p>
        </w:tc>
      </w:tr>
      <w:tr w:rsidR="00DB3DB1" w:rsidRPr="00332DD0" w:rsidTr="00644F59">
        <w:trPr>
          <w:cantSplit/>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lastRenderedPageBreak/>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Existing Sources - Records of monthly fuel use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w:t>
            </w:r>
            <w:r w:rsidR="00802128">
              <w:rPr>
                <w:rFonts w:ascii="Times New Roman" w:eastAsia="Times New Roman" w:hAnsi="Times New Roman"/>
                <w:color w:val="000000"/>
                <w:sz w:val="16"/>
                <w:szCs w:val="16"/>
              </w:rPr>
              <w:t>6</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20,7</w:t>
            </w:r>
            <w:r w:rsidR="00802128">
              <w:rPr>
                <w:rFonts w:ascii="Times New Roman" w:eastAsia="Times New Roman" w:hAnsi="Times New Roman"/>
                <w:color w:val="000000"/>
                <w:sz w:val="16"/>
                <w:szCs w:val="16"/>
              </w:rPr>
              <w:t>84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1,03</w:t>
            </w:r>
            <w:r w:rsidR="00802128">
              <w:rPr>
                <w:rFonts w:ascii="Times New Roman" w:eastAsia="Times New Roman" w:hAnsi="Times New Roman"/>
                <w:color w:val="000000"/>
                <w:sz w:val="16"/>
                <w:szCs w:val="16"/>
              </w:rPr>
              <w:t>9</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2,07</w:t>
            </w:r>
            <w:r w:rsidR="00802128">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1,67</w:t>
            </w:r>
            <w:r w:rsidR="00802128">
              <w:rPr>
                <w:rFonts w:ascii="Times New Roman" w:eastAsia="Times New Roman" w:hAnsi="Times New Roman"/>
                <w:sz w:val="16"/>
                <w:szCs w:val="16"/>
              </w:rPr>
              <w:t>6</w:t>
            </w:r>
            <w:r>
              <w:rPr>
                <w:rFonts w:ascii="Times New Roman" w:eastAsia="Times New Roman" w:hAnsi="Times New Roman"/>
                <w:sz w:val="16"/>
                <w:szCs w:val="16"/>
              </w:rPr>
              <w:t>,</w:t>
            </w:r>
            <w:r w:rsidR="00802128">
              <w:rPr>
                <w:rFonts w:ascii="Times New Roman" w:eastAsia="Times New Roman" w:hAnsi="Times New Roman"/>
                <w:sz w:val="16"/>
                <w:szCs w:val="16"/>
              </w:rPr>
              <w:t>371</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CEMS malfunctions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12</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.2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1,936</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Startups</w:t>
            </w:r>
            <w:r>
              <w:rPr>
                <w:rFonts w:ascii="Times New Roman" w:eastAsia="Times New Roman" w:hAnsi="Times New Roman"/>
                <w:color w:val="000000"/>
                <w:sz w:val="16"/>
                <w:szCs w:val="16"/>
              </w:rPr>
              <w:t>, Shutdowns, malfunctions, etc</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.2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1,936</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7" w:type="pct"/>
            <w:tcBorders>
              <w:top w:val="nil"/>
              <w:left w:val="nil"/>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35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New Sources - Records of monthly fuel use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1</w:t>
            </w:r>
            <w:r>
              <w:rPr>
                <w:rFonts w:ascii="Times New Roman" w:eastAsia="Times New Roman" w:hAnsi="Times New Roman"/>
                <w:color w:val="000000"/>
                <w:sz w:val="16"/>
                <w:szCs w:val="16"/>
              </w:rPr>
              <w:t>2</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24</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48</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.4</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4.8</w:t>
            </w:r>
            <w:r w:rsidRPr="00332DD0">
              <w:rPr>
                <w:rFonts w:ascii="Times New Roman" w:eastAsia="Times New Roman" w:hAnsi="Times New Roman"/>
                <w:color w:val="000000"/>
                <w:sz w:val="16"/>
                <w:szCs w:val="16"/>
              </w:rPr>
              <w:t xml:space="preserve">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3,872</w:t>
            </w:r>
          </w:p>
        </w:tc>
      </w:tr>
      <w:tr w:rsidR="00DB3DB1" w:rsidRPr="00332DD0" w:rsidTr="00DB3DB1">
        <w:trPr>
          <w:trHeight w:val="300"/>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Pr>
                <w:rFonts w:ascii="Times New Roman" w:eastAsia="Times New Roman" w:hAnsi="Times New Roman"/>
                <w:color w:val="000000"/>
                <w:sz w:val="16"/>
                <w:szCs w:val="16"/>
              </w:rPr>
              <w:t>F. Time to Train Personnel</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80</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noWrap/>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160</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8</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6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12,905</w:t>
            </w:r>
          </w:p>
        </w:tc>
      </w:tr>
      <w:tr w:rsidR="00DB3DB1"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auto"/>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G. Time for Audits (Not Applicable)</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255"/>
        </w:trPr>
        <w:tc>
          <w:tcPr>
            <w:tcW w:w="1544"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6524C5">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1,94</w:t>
            </w:r>
            <w:r w:rsidR="006524C5">
              <w:rPr>
                <w:rFonts w:ascii="Times New Roman" w:eastAsia="Times New Roman" w:hAnsi="Times New Roman"/>
                <w:color w:val="000000"/>
                <w:sz w:val="16"/>
                <w:szCs w:val="16"/>
              </w:rPr>
              <w:t>6</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rsidP="006524C5">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15,</w:t>
            </w:r>
            <w:r w:rsidR="00802128">
              <w:rPr>
                <w:rFonts w:ascii="Times New Roman" w:eastAsia="Times New Roman" w:hAnsi="Times New Roman"/>
                <w:color w:val="000000"/>
                <w:sz w:val="16"/>
                <w:szCs w:val="16"/>
              </w:rPr>
              <w:t>12</w:t>
            </w:r>
            <w:r w:rsidR="006524C5">
              <w:rPr>
                <w:rFonts w:ascii="Times New Roman" w:eastAsia="Times New Roman" w:hAnsi="Times New Roman"/>
                <w:color w:val="000000"/>
                <w:sz w:val="16"/>
                <w:szCs w:val="16"/>
              </w:rPr>
              <w:t>7</w:t>
            </w:r>
          </w:p>
        </w:tc>
        <w:tc>
          <w:tcPr>
            <w:tcW w:w="410" w:type="pct"/>
            <w:tcBorders>
              <w:top w:val="nil"/>
              <w:left w:val="nil"/>
              <w:bottom w:val="single" w:sz="4" w:space="0" w:color="auto"/>
              <w:right w:val="single" w:sz="4" w:space="0" w:color="auto"/>
            </w:tcBorders>
            <w:shd w:val="clear" w:color="auto" w:fill="auto"/>
            <w:vAlign w:val="bottom"/>
            <w:hideMark/>
          </w:tcPr>
          <w:p w:rsidR="00EB67E1" w:rsidRDefault="00DB3DB1" w:rsidP="006524C5">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60</w:t>
            </w:r>
            <w:r w:rsidR="00802128">
              <w:rPr>
                <w:rFonts w:ascii="Times New Roman" w:eastAsia="Times New Roman" w:hAnsi="Times New Roman"/>
                <w:color w:val="000000"/>
                <w:sz w:val="16"/>
                <w:szCs w:val="16"/>
              </w:rPr>
              <w:t>9,</w:t>
            </w:r>
            <w:r w:rsidR="006524C5">
              <w:rPr>
                <w:rFonts w:ascii="Times New Roman" w:eastAsia="Times New Roman" w:hAnsi="Times New Roman"/>
                <w:color w:val="000000"/>
                <w:sz w:val="16"/>
                <w:szCs w:val="16"/>
              </w:rPr>
              <w:t>619</w:t>
            </w:r>
            <w:r w:rsidRPr="00332DD0">
              <w:rPr>
                <w:rFonts w:ascii="Times New Roman" w:eastAsia="Times New Roman" w:hAnsi="Times New Roman"/>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bottom"/>
            <w:hideMark/>
          </w:tcPr>
          <w:p w:rsidR="00EB67E1" w:rsidRDefault="00DB3DB1" w:rsidP="006524C5">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30,</w:t>
            </w:r>
            <w:r w:rsidR="006524C5">
              <w:rPr>
                <w:rFonts w:ascii="Times New Roman" w:eastAsia="Times New Roman" w:hAnsi="Times New Roman"/>
                <w:color w:val="000000"/>
                <w:sz w:val="16"/>
                <w:szCs w:val="16"/>
              </w:rPr>
              <w:t>503</w:t>
            </w:r>
          </w:p>
        </w:tc>
        <w:tc>
          <w:tcPr>
            <w:tcW w:w="374" w:type="pct"/>
            <w:tcBorders>
              <w:top w:val="nil"/>
              <w:left w:val="nil"/>
              <w:bottom w:val="single" w:sz="4" w:space="0" w:color="auto"/>
              <w:right w:val="single" w:sz="4" w:space="0" w:color="auto"/>
            </w:tcBorders>
            <w:shd w:val="clear" w:color="auto" w:fill="auto"/>
            <w:vAlign w:val="bottom"/>
            <w:hideMark/>
          </w:tcPr>
          <w:p w:rsidR="00EB67E1" w:rsidRDefault="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02128">
              <w:rPr>
                <w:rFonts w:ascii="Times New Roman" w:eastAsia="Times New Roman" w:hAnsi="Times New Roman"/>
                <w:color w:val="000000"/>
                <w:sz w:val="16"/>
                <w:szCs w:val="16"/>
              </w:rPr>
              <w:t>60,958</w:t>
            </w:r>
          </w:p>
        </w:tc>
        <w:tc>
          <w:tcPr>
            <w:tcW w:w="451" w:type="pct"/>
            <w:tcBorders>
              <w:top w:val="nil"/>
              <w:left w:val="nil"/>
              <w:bottom w:val="single" w:sz="4" w:space="0" w:color="auto"/>
              <w:right w:val="single" w:sz="4" w:space="0" w:color="auto"/>
            </w:tcBorders>
            <w:shd w:val="clear" w:color="auto" w:fill="auto"/>
            <w:vAlign w:val="bottom"/>
            <w:hideMark/>
          </w:tcPr>
          <w:p w:rsidR="00EB67E1" w:rsidRDefault="00DB3DB1" w:rsidP="006524C5">
            <w:pPr>
              <w:jc w:val="right"/>
              <w:rPr>
                <w:rFonts w:ascii="Times New Roman" w:eastAsia="Times New Roman" w:hAnsi="Times New Roman"/>
                <w:sz w:val="16"/>
                <w:szCs w:val="16"/>
              </w:rPr>
            </w:pPr>
            <w:r>
              <w:rPr>
                <w:rFonts w:ascii="Times New Roman" w:eastAsia="Times New Roman" w:hAnsi="Times New Roman"/>
                <w:sz w:val="16"/>
                <w:szCs w:val="16"/>
              </w:rPr>
              <w:t xml:space="preserve"> $49,</w:t>
            </w:r>
            <w:r w:rsidR="00802128">
              <w:rPr>
                <w:rFonts w:ascii="Times New Roman" w:eastAsia="Times New Roman" w:hAnsi="Times New Roman"/>
                <w:sz w:val="16"/>
                <w:szCs w:val="16"/>
              </w:rPr>
              <w:t>1</w:t>
            </w:r>
            <w:r w:rsidR="006524C5">
              <w:rPr>
                <w:rFonts w:ascii="Times New Roman" w:eastAsia="Times New Roman" w:hAnsi="Times New Roman"/>
                <w:sz w:val="16"/>
                <w:szCs w:val="16"/>
              </w:rPr>
              <w:t>73</w:t>
            </w:r>
            <w:r>
              <w:rPr>
                <w:rFonts w:ascii="Times New Roman" w:eastAsia="Times New Roman" w:hAnsi="Times New Roman"/>
                <w:sz w:val="16"/>
                <w:szCs w:val="16"/>
              </w:rPr>
              <w:t>,</w:t>
            </w:r>
            <w:r w:rsidR="006524C5">
              <w:rPr>
                <w:rFonts w:ascii="Times New Roman" w:eastAsia="Times New Roman" w:hAnsi="Times New Roman"/>
                <w:sz w:val="16"/>
                <w:szCs w:val="16"/>
              </w:rPr>
              <w:t>269</w:t>
            </w:r>
          </w:p>
        </w:tc>
      </w:tr>
      <w:tr w:rsidR="00DB3DB1" w:rsidRPr="00332DD0" w:rsidTr="00DB3DB1">
        <w:trPr>
          <w:trHeight w:val="255"/>
        </w:trPr>
        <w:tc>
          <w:tcPr>
            <w:tcW w:w="1544" w:type="pct"/>
            <w:gridSpan w:val="3"/>
            <w:vMerge/>
            <w:tcBorders>
              <w:top w:val="single" w:sz="4" w:space="0" w:color="auto"/>
              <w:left w:val="single" w:sz="4" w:space="0" w:color="auto"/>
              <w:bottom w:val="single" w:sz="4" w:space="0" w:color="000000"/>
              <w:right w:val="single" w:sz="4" w:space="0" w:color="000000"/>
            </w:tcBorders>
            <w:vAlign w:val="center"/>
            <w:hideMark/>
          </w:tcPr>
          <w:p w:rsidR="00DB3DB1" w:rsidRPr="00332DD0" w:rsidRDefault="00DB3DB1" w:rsidP="00DB3DB1">
            <w:pPr>
              <w:rPr>
                <w:rFonts w:ascii="Times New Roman" w:eastAsia="Times New Roman" w:hAnsi="Times New Roman"/>
                <w:color w:val="000000"/>
                <w:sz w:val="16"/>
                <w:szCs w:val="16"/>
              </w:rPr>
            </w:pP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000000" w:fill="CCC0DA"/>
            <w:vAlign w:val="bottom"/>
            <w:hideMark/>
          </w:tcPr>
          <w:p w:rsidR="00EB67E1" w:rsidRDefault="00DB3DB1" w:rsidP="006524C5">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802128">
              <w:rPr>
                <w:rFonts w:ascii="Times New Roman" w:eastAsia="Times New Roman" w:hAnsi="Times New Roman"/>
                <w:color w:val="000000"/>
                <w:sz w:val="16"/>
                <w:szCs w:val="16"/>
              </w:rPr>
              <w:t>701</w:t>
            </w:r>
            <w:r>
              <w:rPr>
                <w:rFonts w:ascii="Times New Roman" w:eastAsia="Times New Roman" w:hAnsi="Times New Roman"/>
                <w:color w:val="000000"/>
                <w:sz w:val="16"/>
                <w:szCs w:val="16"/>
              </w:rPr>
              <w:t>,</w:t>
            </w:r>
            <w:r w:rsidR="00802128">
              <w:rPr>
                <w:rFonts w:ascii="Times New Roman" w:eastAsia="Times New Roman" w:hAnsi="Times New Roman"/>
                <w:color w:val="000000"/>
                <w:sz w:val="16"/>
                <w:szCs w:val="16"/>
              </w:rPr>
              <w:t>0</w:t>
            </w:r>
            <w:r w:rsidR="006524C5">
              <w:rPr>
                <w:rFonts w:ascii="Times New Roman" w:eastAsia="Times New Roman" w:hAnsi="Times New Roman"/>
                <w:color w:val="000000"/>
                <w:sz w:val="16"/>
                <w:szCs w:val="16"/>
              </w:rPr>
              <w:t>8</w:t>
            </w:r>
            <w:r w:rsidR="00802128">
              <w:rPr>
                <w:rFonts w:ascii="Times New Roman" w:eastAsia="Times New Roman" w:hAnsi="Times New Roman"/>
                <w:color w:val="000000"/>
                <w:sz w:val="16"/>
                <w:szCs w:val="16"/>
              </w:rPr>
              <w:t>0</w:t>
            </w:r>
            <w:r w:rsidRPr="00332DD0">
              <w:rPr>
                <w:rFonts w:ascii="Times New Roman" w:eastAsia="Times New Roman" w:hAnsi="Times New Roman"/>
                <w:color w:val="000000"/>
                <w:sz w:val="16"/>
                <w:szCs w:val="16"/>
              </w:rPr>
              <w:t xml:space="preserve">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DB3DB1"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B3DB1" w:rsidRPr="00332DD0" w:rsidRDefault="00DB3DB1"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ANNUAL</w:t>
            </w:r>
            <w:r>
              <w:rPr>
                <w:rFonts w:ascii="Times New Roman" w:eastAsia="Times New Roman" w:hAnsi="Times New Roman"/>
                <w:color w:val="000000"/>
                <w:sz w:val="16"/>
                <w:szCs w:val="16"/>
              </w:rPr>
              <w:t>IZED</w:t>
            </w:r>
            <w:r w:rsidRPr="00332DD0">
              <w:rPr>
                <w:rFonts w:ascii="Times New Roman" w:eastAsia="Times New Roman" w:hAnsi="Times New Roman"/>
                <w:color w:val="000000"/>
                <w:sz w:val="16"/>
                <w:szCs w:val="16"/>
              </w:rPr>
              <w:t xml:space="preserve"> CAPITAL COSTS</w:t>
            </w:r>
          </w:p>
        </w:tc>
        <w:tc>
          <w:tcPr>
            <w:tcW w:w="375"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DB3DB1" w:rsidRPr="00332DD0" w:rsidRDefault="00DB3DB1" w:rsidP="00DB3DB1">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6C76C5"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Performance tests</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pPr>
              <w:jc w:val="right"/>
              <w:rPr>
                <w:rFonts w:ascii="Times New Roman" w:eastAsia="Times New Roman" w:hAnsi="Times New Roman"/>
                <w:sz w:val="16"/>
                <w:szCs w:val="16"/>
              </w:rPr>
            </w:pPr>
            <w:r w:rsidRPr="00E02688">
              <w:rPr>
                <w:rFonts w:ascii="Times New Roman" w:eastAsia="Times New Roman" w:hAnsi="Times New Roman"/>
                <w:sz w:val="16"/>
                <w:szCs w:val="16"/>
              </w:rPr>
              <w:t xml:space="preserve">$ </w:t>
            </w:r>
            <w:r>
              <w:rPr>
                <w:rFonts w:ascii="Times New Roman" w:eastAsia="Times New Roman" w:hAnsi="Times New Roman"/>
                <w:sz w:val="16"/>
                <w:szCs w:val="16"/>
              </w:rPr>
              <w:t>22,442,811</w:t>
            </w:r>
          </w:p>
        </w:tc>
      </w:tr>
      <w:tr w:rsidR="006C76C5"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Other Capital Costs of Installation (ODC and Labor)</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pPr>
              <w:jc w:val="right"/>
              <w:rPr>
                <w:rFonts w:ascii="Times New Roman" w:eastAsia="Times New Roman" w:hAnsi="Times New Roman"/>
                <w:sz w:val="16"/>
                <w:szCs w:val="16"/>
              </w:rPr>
            </w:pPr>
            <w:r w:rsidRPr="00E02688">
              <w:rPr>
                <w:rFonts w:ascii="Times New Roman" w:eastAsia="Times New Roman" w:hAnsi="Times New Roman"/>
                <w:sz w:val="16"/>
                <w:szCs w:val="16"/>
              </w:rPr>
              <w:t>$</w:t>
            </w:r>
            <w:r>
              <w:rPr>
                <w:rFonts w:ascii="Times New Roman" w:eastAsia="Times New Roman" w:hAnsi="Times New Roman"/>
                <w:sz w:val="16"/>
                <w:szCs w:val="16"/>
              </w:rPr>
              <w:t>59,463,268</w:t>
            </w:r>
            <w:r w:rsidRPr="00E02688">
              <w:rPr>
                <w:rFonts w:ascii="Times New Roman" w:eastAsia="Times New Roman" w:hAnsi="Times New Roman"/>
                <w:sz w:val="16"/>
                <w:szCs w:val="16"/>
              </w:rPr>
              <w:t xml:space="preserve"> </w:t>
            </w:r>
          </w:p>
        </w:tc>
      </w:tr>
      <w:tr w:rsidR="006C76C5" w:rsidRPr="00332DD0" w:rsidTr="00DB3DB1">
        <w:trPr>
          <w:trHeight w:val="255"/>
        </w:trPr>
        <w:tc>
          <w:tcPr>
            <w:tcW w:w="97" w:type="pct"/>
            <w:tcBorders>
              <w:top w:val="nil"/>
              <w:left w:val="single" w:sz="4" w:space="0" w:color="auto"/>
              <w:bottom w:val="single" w:sz="4" w:space="0" w:color="auto"/>
              <w:right w:val="nil"/>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47" w:type="pct"/>
            <w:gridSpan w:val="2"/>
            <w:tcBorders>
              <w:top w:val="single" w:sz="4" w:space="0" w:color="auto"/>
              <w:left w:val="nil"/>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capital</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pPr>
              <w:jc w:val="right"/>
              <w:rPr>
                <w:rFonts w:ascii="Times New Roman" w:eastAsia="Times New Roman" w:hAnsi="Times New Roman"/>
                <w:sz w:val="16"/>
                <w:szCs w:val="16"/>
              </w:rPr>
            </w:pPr>
            <w:r w:rsidRPr="00E02688">
              <w:rPr>
                <w:rFonts w:ascii="Times New Roman" w:eastAsia="Times New Roman" w:hAnsi="Times New Roman"/>
                <w:sz w:val="16"/>
                <w:szCs w:val="16"/>
              </w:rPr>
              <w:t xml:space="preserve"> $</w:t>
            </w:r>
            <w:r>
              <w:rPr>
                <w:rFonts w:ascii="Times New Roman" w:eastAsia="Times New Roman" w:hAnsi="Times New Roman"/>
                <w:sz w:val="16"/>
                <w:szCs w:val="16"/>
              </w:rPr>
              <w:t>81,906,079</w:t>
            </w:r>
            <w:r w:rsidRPr="00E02688">
              <w:rPr>
                <w:rFonts w:ascii="Times New Roman" w:eastAsia="Times New Roman" w:hAnsi="Times New Roman"/>
                <w:sz w:val="16"/>
                <w:szCs w:val="16"/>
              </w:rPr>
              <w:t xml:space="preserve"> </w:t>
            </w:r>
          </w:p>
        </w:tc>
      </w:tr>
      <w:tr w:rsidR="006C76C5"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COSTS (O&amp;M)</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rsidP="006C76C5">
            <w:pPr>
              <w:jc w:val="right"/>
              <w:rPr>
                <w:rFonts w:ascii="Times New Roman" w:eastAsia="Times New Roman" w:hAnsi="Times New Roman"/>
                <w:sz w:val="16"/>
                <w:szCs w:val="16"/>
              </w:rPr>
            </w:pPr>
            <w:r w:rsidRPr="006C76C5">
              <w:rPr>
                <w:rFonts w:ascii="Times New Roman" w:eastAsia="Times New Roman" w:hAnsi="Times New Roman"/>
                <w:sz w:val="16"/>
                <w:szCs w:val="16"/>
              </w:rPr>
              <w:t>$76,539,446</w:t>
            </w:r>
          </w:p>
        </w:tc>
      </w:tr>
      <w:tr w:rsidR="006C76C5" w:rsidRPr="00332DD0" w:rsidTr="00DB3DB1">
        <w:trPr>
          <w:trHeight w:val="255"/>
        </w:trPr>
        <w:tc>
          <w:tcPr>
            <w:tcW w:w="1544"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C76C5" w:rsidRPr="00332DD0" w:rsidRDefault="006C76C5" w:rsidP="00DB3DB1">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ANNUALIZED COSTS (Annualized capital + O&amp;M costs)</w:t>
            </w:r>
          </w:p>
        </w:tc>
        <w:tc>
          <w:tcPr>
            <w:tcW w:w="375"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4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74" w:type="pct"/>
            <w:tcBorders>
              <w:top w:val="nil"/>
              <w:left w:val="nil"/>
              <w:bottom w:val="single" w:sz="4" w:space="0" w:color="auto"/>
              <w:right w:val="single" w:sz="4" w:space="0" w:color="auto"/>
            </w:tcBorders>
            <w:shd w:val="clear" w:color="auto" w:fill="auto"/>
            <w:vAlign w:val="bottom"/>
            <w:hideMark/>
          </w:tcPr>
          <w:p w:rsidR="006C76C5" w:rsidRPr="00332DD0" w:rsidRDefault="006C76C5" w:rsidP="00DB3DB1">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51" w:type="pct"/>
            <w:tcBorders>
              <w:top w:val="nil"/>
              <w:left w:val="nil"/>
              <w:bottom w:val="single" w:sz="4" w:space="0" w:color="auto"/>
              <w:right w:val="single" w:sz="4" w:space="0" w:color="auto"/>
            </w:tcBorders>
            <w:shd w:val="clear" w:color="auto" w:fill="auto"/>
            <w:vAlign w:val="bottom"/>
            <w:hideMark/>
          </w:tcPr>
          <w:p w:rsidR="006C76C5" w:rsidRDefault="006C76C5">
            <w:pPr>
              <w:jc w:val="right"/>
              <w:rPr>
                <w:rFonts w:ascii="Times New Roman" w:eastAsia="Times New Roman" w:hAnsi="Times New Roman"/>
                <w:sz w:val="16"/>
                <w:szCs w:val="16"/>
                <w:highlight w:val="yellow"/>
              </w:rPr>
            </w:pPr>
            <w:r w:rsidRPr="00E02688">
              <w:rPr>
                <w:rFonts w:ascii="Times New Roman" w:eastAsia="Times New Roman" w:hAnsi="Times New Roman"/>
                <w:sz w:val="16"/>
                <w:szCs w:val="16"/>
              </w:rPr>
              <w:t>$</w:t>
            </w:r>
            <w:r>
              <w:rPr>
                <w:rFonts w:ascii="Times New Roman" w:eastAsia="Times New Roman" w:hAnsi="Times New Roman"/>
                <w:sz w:val="16"/>
                <w:szCs w:val="16"/>
              </w:rPr>
              <w:t>158,445,526</w:t>
            </w:r>
          </w:p>
        </w:tc>
      </w:tr>
    </w:tbl>
    <w:p w:rsidR="00EB67E1" w:rsidRDefault="00B47C5E">
      <w:pPr>
        <w:rPr>
          <w:rFonts w:ascii="Times New Roman" w:hAnsi="Times New Roman"/>
          <w:sz w:val="20"/>
          <w:szCs w:val="16"/>
        </w:rPr>
      </w:pPr>
      <w:r w:rsidRPr="00600970">
        <w:rPr>
          <w:rFonts w:ascii="Times New Roman" w:hAnsi="Times New Roman"/>
          <w:sz w:val="20"/>
          <w:szCs w:val="16"/>
          <w:vertAlign w:val="superscript"/>
        </w:rPr>
        <w:t>a</w:t>
      </w:r>
      <w:r w:rsidRPr="00600970">
        <w:rPr>
          <w:rFonts w:ascii="Times New Roman" w:hAnsi="Times New Roman"/>
          <w:sz w:val="20"/>
          <w:szCs w:val="16"/>
        </w:rPr>
        <w:t xml:space="preserve"> There are 1,2</w:t>
      </w:r>
      <w:r w:rsidR="00CA46D3">
        <w:rPr>
          <w:rFonts w:ascii="Times New Roman" w:hAnsi="Times New Roman"/>
          <w:sz w:val="20"/>
          <w:szCs w:val="16"/>
        </w:rPr>
        <w:t>4</w:t>
      </w:r>
      <w:r w:rsidR="00ED18AB">
        <w:rPr>
          <w:rFonts w:ascii="Times New Roman" w:hAnsi="Times New Roman"/>
          <w:sz w:val="20"/>
          <w:szCs w:val="16"/>
        </w:rPr>
        <w:t>4</w:t>
      </w:r>
      <w:r w:rsidRPr="00600970">
        <w:rPr>
          <w:rFonts w:ascii="Times New Roman" w:hAnsi="Times New Roman"/>
          <w:sz w:val="20"/>
          <w:szCs w:val="16"/>
        </w:rPr>
        <w:t xml:space="preserve"> existing electric generating units</w:t>
      </w:r>
      <w:r w:rsidR="004C3386">
        <w:rPr>
          <w:rFonts w:ascii="Times New Roman" w:hAnsi="Times New Roman"/>
          <w:sz w:val="20"/>
          <w:szCs w:val="16"/>
        </w:rPr>
        <w:t xml:space="preserve">. </w:t>
      </w:r>
      <w:r w:rsidRPr="00600970">
        <w:rPr>
          <w:rFonts w:ascii="Times New Roman" w:hAnsi="Times New Roman"/>
          <w:sz w:val="20"/>
          <w:szCs w:val="16"/>
        </w:rPr>
        <w:t>One third of those are assumed to be tested each year.</w:t>
      </w:r>
    </w:p>
    <w:p w:rsidR="00EB67E1" w:rsidRDefault="00DB3DB1">
      <w:pPr>
        <w:rPr>
          <w:rFonts w:ascii="Times New Roman" w:hAnsi="Times New Roman"/>
          <w:sz w:val="20"/>
          <w:szCs w:val="16"/>
        </w:rPr>
      </w:pPr>
      <w:r w:rsidRPr="00DB3DB1">
        <w:rPr>
          <w:rFonts w:ascii="Times New Roman" w:hAnsi="Times New Roman"/>
          <w:sz w:val="20"/>
          <w:szCs w:val="16"/>
          <w:vertAlign w:val="superscript"/>
        </w:rPr>
        <w:t>b</w:t>
      </w:r>
      <w:r>
        <w:rPr>
          <w:rFonts w:ascii="Times New Roman" w:hAnsi="Times New Roman"/>
          <w:sz w:val="20"/>
          <w:szCs w:val="16"/>
          <w:vertAlign w:val="superscript"/>
        </w:rPr>
        <w:t xml:space="preserve"> </w:t>
      </w:r>
      <w:r w:rsidRPr="00DB3DB1">
        <w:rPr>
          <w:rFonts w:ascii="Times New Roman" w:hAnsi="Times New Roman"/>
          <w:sz w:val="20"/>
          <w:szCs w:val="16"/>
        </w:rPr>
        <w:t>There are 2 additional existing electric generating units that were new sources in Year 1</w:t>
      </w:r>
      <w:r>
        <w:rPr>
          <w:rFonts w:ascii="Times New Roman" w:hAnsi="Times New Roman"/>
          <w:sz w:val="20"/>
          <w:szCs w:val="16"/>
        </w:rPr>
        <w:t>.</w:t>
      </w:r>
    </w:p>
    <w:p w:rsidR="00EB67E1" w:rsidRDefault="005E01D7">
      <w:pPr>
        <w:rPr>
          <w:rFonts w:ascii="Times New Roman" w:hAnsi="Times New Roman"/>
          <w:sz w:val="20"/>
          <w:szCs w:val="16"/>
        </w:rPr>
      </w:pPr>
      <w:r w:rsidRPr="005E01D7">
        <w:rPr>
          <w:rFonts w:ascii="Times New Roman" w:hAnsi="Times New Roman"/>
          <w:sz w:val="20"/>
          <w:szCs w:val="16"/>
          <w:vertAlign w:val="superscript"/>
        </w:rPr>
        <w:t>c</w:t>
      </w:r>
      <w:r w:rsidR="00DB3DB1">
        <w:rPr>
          <w:rFonts w:ascii="Times New Roman" w:hAnsi="Times New Roman"/>
          <w:sz w:val="20"/>
          <w:szCs w:val="16"/>
        </w:rPr>
        <w:t xml:space="preserve"> There are 2 additional existing electric generating units that were new sources in Year 2</w:t>
      </w:r>
      <w:r w:rsidR="00DB3DB1" w:rsidRPr="00DB3DB1">
        <w:rPr>
          <w:rFonts w:ascii="Times New Roman" w:hAnsi="Times New Roman"/>
          <w:sz w:val="20"/>
          <w:szCs w:val="16"/>
        </w:rPr>
        <w:t>.</w:t>
      </w:r>
    </w:p>
    <w:p w:rsidR="00B47C5E" w:rsidRPr="00600970" w:rsidRDefault="00DB3DB1" w:rsidP="00B47C5E">
      <w:pPr>
        <w:rPr>
          <w:rFonts w:ascii="Times New Roman" w:hAnsi="Times New Roman"/>
          <w:sz w:val="20"/>
          <w:szCs w:val="16"/>
        </w:rPr>
        <w:sectPr w:rsidR="00B47C5E" w:rsidRPr="00600970" w:rsidSect="00593F37">
          <w:pgSz w:w="15840" w:h="12240" w:orient="landscape"/>
          <w:pgMar w:top="1440" w:right="1440" w:bottom="1440" w:left="1440" w:header="720" w:footer="720" w:gutter="0"/>
          <w:cols w:space="720"/>
          <w:docGrid w:linePitch="360"/>
        </w:sectPr>
      </w:pPr>
      <w:r>
        <w:rPr>
          <w:rFonts w:ascii="Times New Roman" w:hAnsi="Times New Roman"/>
          <w:sz w:val="20"/>
          <w:szCs w:val="16"/>
          <w:vertAlign w:val="superscript"/>
        </w:rPr>
        <w:t>d</w:t>
      </w:r>
      <w:r w:rsidR="00B47C5E" w:rsidRPr="00600970">
        <w:rPr>
          <w:rFonts w:ascii="Times New Roman" w:hAnsi="Times New Roman"/>
          <w:sz w:val="20"/>
          <w:szCs w:val="16"/>
        </w:rPr>
        <w:t xml:space="preserve"> 10% of sources are assumed to submit SSM report each year.</w:t>
      </w:r>
    </w:p>
    <w:p w:rsidR="008A2083" w:rsidRPr="00E14996" w:rsidRDefault="008403BE" w:rsidP="00E14996">
      <w:pPr>
        <w:pStyle w:val="ExhibitTitle"/>
        <w:rPr>
          <w:rFonts w:ascii="Times New Roman" w:hAnsi="Times New Roman"/>
        </w:rPr>
      </w:pPr>
      <w:r>
        <w:rPr>
          <w:rFonts w:ascii="Times New Roman" w:hAnsi="Times New Roman"/>
        </w:rPr>
        <w:lastRenderedPageBreak/>
        <w:t>Exhibit</w:t>
      </w:r>
      <w:r w:rsidRPr="00E14996">
        <w:rPr>
          <w:rFonts w:ascii="Times New Roman" w:hAnsi="Times New Roman"/>
        </w:rPr>
        <w:t xml:space="preserve"> </w:t>
      </w:r>
      <w:r w:rsidR="008A2083" w:rsidRPr="00E14996">
        <w:rPr>
          <w:rFonts w:ascii="Times New Roman" w:hAnsi="Times New Roman"/>
        </w:rPr>
        <w:t>2a</w:t>
      </w:r>
      <w:r w:rsidR="008A2083" w:rsidRPr="00E14996">
        <w:rPr>
          <w:rFonts w:ascii="Times New Roman" w:hAnsi="Times New Roman"/>
        </w:rPr>
        <w:tab/>
        <w:t xml:space="preserve">Year 1 Agency Burden and Cost, NESHAP for </w:t>
      </w:r>
      <w:r w:rsidR="00E14996" w:rsidRPr="00E14996">
        <w:rPr>
          <w:rFonts w:ascii="Times New Roman" w:hAnsi="Times New Roman"/>
        </w:rPr>
        <w:t>Electric Generating Units</w:t>
      </w:r>
      <w:r w:rsidR="008A2083" w:rsidRPr="00E14996">
        <w:rPr>
          <w:rFonts w:ascii="Times New Roman" w:hAnsi="Times New Roman"/>
        </w:rPr>
        <w:t xml:space="preserve"> (40 CFR part 63, subpart </w:t>
      </w:r>
      <w:r w:rsidR="00E14996" w:rsidRPr="00E14996">
        <w:rPr>
          <w:rFonts w:ascii="Times New Roman" w:hAnsi="Times New Roman"/>
        </w:rPr>
        <w:t>UUUUU</w:t>
      </w:r>
      <w:r w:rsidR="008A2083" w:rsidRPr="00E14996">
        <w:rPr>
          <w:rFonts w:ascii="Times New Roman" w:hAnsi="Times New Roman"/>
        </w:rPr>
        <w:t>)</w:t>
      </w:r>
    </w:p>
    <w:tbl>
      <w:tblPr>
        <w:tblW w:w="5000" w:type="pct"/>
        <w:tblLayout w:type="fixed"/>
        <w:tblLook w:val="04A0"/>
      </w:tblPr>
      <w:tblGrid>
        <w:gridCol w:w="3256"/>
        <w:gridCol w:w="1083"/>
        <w:gridCol w:w="1078"/>
        <w:gridCol w:w="991"/>
        <w:gridCol w:w="751"/>
        <w:gridCol w:w="1405"/>
        <w:gridCol w:w="1639"/>
        <w:gridCol w:w="1065"/>
        <w:gridCol w:w="1908"/>
      </w:tblGrid>
      <w:tr w:rsidR="00832EA7" w:rsidRPr="009114F8" w:rsidTr="00832EA7">
        <w:trPr>
          <w:trHeight w:val="1050"/>
        </w:trPr>
        <w:tc>
          <w:tcPr>
            <w:tcW w:w="1236"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Activity -- Year 1</w:t>
            </w:r>
          </w:p>
        </w:tc>
        <w:tc>
          <w:tcPr>
            <w:tcW w:w="411"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(A) EPA Hours/ Occurrence</w:t>
            </w:r>
          </w:p>
        </w:tc>
        <w:tc>
          <w:tcPr>
            <w:tcW w:w="409"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(B) Occurrences/ Plant/Year</w:t>
            </w:r>
          </w:p>
        </w:tc>
        <w:tc>
          <w:tcPr>
            <w:tcW w:w="376"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(C) EPA Hours/ Plant/Year (A x B)</w:t>
            </w:r>
          </w:p>
        </w:tc>
        <w:tc>
          <w:tcPr>
            <w:tcW w:w="285"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(D) Plants/ Year</w:t>
            </w:r>
          </w:p>
        </w:tc>
        <w:tc>
          <w:tcPr>
            <w:tcW w:w="533"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(E) EPA Technical Hours/ Year (C x D)</w:t>
            </w:r>
          </w:p>
        </w:tc>
        <w:tc>
          <w:tcPr>
            <w:tcW w:w="622"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(F) EPA Managerial Hours/Year</w:t>
            </w:r>
          </w:p>
        </w:tc>
        <w:tc>
          <w:tcPr>
            <w:tcW w:w="404"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(G) EPA Clerical Hours/Year</w:t>
            </w:r>
          </w:p>
        </w:tc>
        <w:tc>
          <w:tcPr>
            <w:tcW w:w="724" w:type="pct"/>
            <w:tcBorders>
              <w:top w:val="single" w:sz="4" w:space="0" w:color="auto"/>
              <w:left w:val="nil"/>
              <w:bottom w:val="single" w:sz="12" w:space="0" w:color="auto"/>
              <w:right w:val="single" w:sz="4" w:space="0" w:color="auto"/>
            </w:tcBorders>
            <w:shd w:val="clear" w:color="auto" w:fill="auto"/>
            <w:vAlign w:val="bottom"/>
            <w:hideMark/>
          </w:tcPr>
          <w:p w:rsidR="009114F8" w:rsidRPr="009114F8" w:rsidRDefault="009114F8" w:rsidP="009114F8">
            <w:pPr>
              <w:jc w:val="center"/>
              <w:rPr>
                <w:rFonts w:ascii="Times New Roman" w:eastAsia="Times New Roman" w:hAnsi="Times New Roman"/>
                <w:b/>
                <w:bCs/>
                <w:color w:val="000000"/>
                <w:sz w:val="16"/>
                <w:szCs w:val="16"/>
              </w:rPr>
            </w:pPr>
            <w:r w:rsidRPr="009114F8">
              <w:rPr>
                <w:rFonts w:ascii="Times New Roman" w:eastAsia="Times New Roman" w:hAnsi="Times New Roman"/>
                <w:b/>
                <w:bCs/>
                <w:color w:val="000000"/>
                <w:sz w:val="16"/>
                <w:szCs w:val="16"/>
              </w:rPr>
              <w:t>(H) Cost, $</w:t>
            </w:r>
          </w:p>
        </w:tc>
      </w:tr>
      <w:tr w:rsidR="00832EA7" w:rsidRPr="009114F8" w:rsidTr="00832EA7">
        <w:trPr>
          <w:trHeight w:val="315"/>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600970">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Observe Initial Performance Tests </w:t>
            </w:r>
          </w:p>
        </w:tc>
        <w:tc>
          <w:tcPr>
            <w:tcW w:w="41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40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285" w:type="pct"/>
            <w:tcBorders>
              <w:top w:val="nil"/>
              <w:left w:val="nil"/>
              <w:bottom w:val="single" w:sz="4" w:space="0" w:color="auto"/>
              <w:right w:val="single" w:sz="4" w:space="0" w:color="auto"/>
            </w:tcBorders>
            <w:shd w:val="clear" w:color="auto" w:fill="auto"/>
            <w:noWrap/>
            <w:vAlign w:val="bottom"/>
            <w:hideMark/>
          </w:tcPr>
          <w:p w:rsidR="009114F8" w:rsidRPr="009114F8" w:rsidRDefault="00832EA7"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173.2</w:t>
            </w:r>
          </w:p>
        </w:tc>
        <w:tc>
          <w:tcPr>
            <w:tcW w:w="533" w:type="pct"/>
            <w:tcBorders>
              <w:top w:val="nil"/>
              <w:left w:val="nil"/>
              <w:bottom w:val="single" w:sz="4" w:space="0" w:color="auto"/>
              <w:right w:val="single" w:sz="4" w:space="0" w:color="auto"/>
            </w:tcBorders>
            <w:shd w:val="clear" w:color="auto" w:fill="auto"/>
            <w:noWrap/>
            <w:vAlign w:val="bottom"/>
            <w:hideMark/>
          </w:tcPr>
          <w:p w:rsidR="009114F8" w:rsidRPr="009114F8" w:rsidRDefault="00832EA7"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4,156.8</w:t>
            </w:r>
          </w:p>
        </w:tc>
        <w:tc>
          <w:tcPr>
            <w:tcW w:w="622" w:type="pct"/>
            <w:tcBorders>
              <w:top w:val="nil"/>
              <w:left w:val="nil"/>
              <w:bottom w:val="single" w:sz="4" w:space="0" w:color="auto"/>
              <w:right w:val="single" w:sz="4" w:space="0" w:color="auto"/>
            </w:tcBorders>
            <w:shd w:val="clear" w:color="auto" w:fill="auto"/>
            <w:noWrap/>
            <w:vAlign w:val="bottom"/>
            <w:hideMark/>
          </w:tcPr>
          <w:p w:rsidR="00EB67E1" w:rsidRDefault="00832EA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207.84</w:t>
            </w:r>
          </w:p>
        </w:tc>
        <w:tc>
          <w:tcPr>
            <w:tcW w:w="404" w:type="pct"/>
            <w:tcBorders>
              <w:top w:val="nil"/>
              <w:left w:val="nil"/>
              <w:bottom w:val="single" w:sz="4" w:space="0" w:color="auto"/>
              <w:right w:val="single" w:sz="4" w:space="0" w:color="auto"/>
            </w:tcBorders>
            <w:shd w:val="clear" w:color="auto" w:fill="auto"/>
            <w:noWrap/>
            <w:vAlign w:val="bottom"/>
            <w:hideMark/>
          </w:tcPr>
          <w:p w:rsidR="00EB67E1" w:rsidRDefault="00832EA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41.57</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w:t>
            </w:r>
            <w:r w:rsidR="00832EA7">
              <w:rPr>
                <w:rFonts w:ascii="Times New Roman" w:eastAsia="Times New Roman" w:hAnsi="Times New Roman"/>
                <w:color w:val="000000"/>
                <w:sz w:val="16"/>
                <w:szCs w:val="16"/>
              </w:rPr>
              <w:t>206,060</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Observe</w:t>
            </w:r>
            <w:r w:rsidR="00600970">
              <w:rPr>
                <w:rFonts w:ascii="Times New Roman" w:eastAsia="Times New Roman" w:hAnsi="Times New Roman"/>
                <w:color w:val="000000"/>
                <w:sz w:val="16"/>
                <w:szCs w:val="16"/>
              </w:rPr>
              <w:t xml:space="preserve"> Repeat Performance Tests </w:t>
            </w:r>
          </w:p>
        </w:tc>
        <w:tc>
          <w:tcPr>
            <w:tcW w:w="41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24</w:t>
            </w:r>
          </w:p>
        </w:tc>
        <w:tc>
          <w:tcPr>
            <w:tcW w:w="40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0.2</w:t>
            </w:r>
          </w:p>
        </w:tc>
        <w:tc>
          <w:tcPr>
            <w:tcW w:w="37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4.8</w:t>
            </w:r>
          </w:p>
        </w:tc>
        <w:tc>
          <w:tcPr>
            <w:tcW w:w="285" w:type="pct"/>
            <w:tcBorders>
              <w:top w:val="nil"/>
              <w:left w:val="nil"/>
              <w:bottom w:val="single" w:sz="4" w:space="0" w:color="auto"/>
              <w:right w:val="single" w:sz="4" w:space="0" w:color="auto"/>
            </w:tcBorders>
            <w:shd w:val="clear" w:color="auto" w:fill="auto"/>
            <w:noWrap/>
            <w:vAlign w:val="bottom"/>
            <w:hideMark/>
          </w:tcPr>
          <w:p w:rsidR="009114F8" w:rsidRPr="009114F8" w:rsidRDefault="00832EA7"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173.2</w:t>
            </w:r>
          </w:p>
        </w:tc>
        <w:tc>
          <w:tcPr>
            <w:tcW w:w="533" w:type="pct"/>
            <w:tcBorders>
              <w:top w:val="nil"/>
              <w:left w:val="nil"/>
              <w:bottom w:val="single" w:sz="4" w:space="0" w:color="auto"/>
              <w:right w:val="single" w:sz="4" w:space="0" w:color="auto"/>
            </w:tcBorders>
            <w:shd w:val="clear" w:color="auto" w:fill="auto"/>
            <w:noWrap/>
            <w:vAlign w:val="bottom"/>
            <w:hideMark/>
          </w:tcPr>
          <w:p w:rsidR="00EB67E1" w:rsidRDefault="00832EA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831.36</w:t>
            </w:r>
          </w:p>
        </w:tc>
        <w:tc>
          <w:tcPr>
            <w:tcW w:w="622" w:type="pct"/>
            <w:tcBorders>
              <w:top w:val="nil"/>
              <w:left w:val="nil"/>
              <w:bottom w:val="single" w:sz="4" w:space="0" w:color="auto"/>
              <w:right w:val="single" w:sz="4" w:space="0" w:color="auto"/>
            </w:tcBorders>
            <w:shd w:val="clear" w:color="auto" w:fill="auto"/>
            <w:noWrap/>
            <w:vAlign w:val="bottom"/>
            <w:hideMark/>
          </w:tcPr>
          <w:p w:rsidR="00EB67E1" w:rsidRDefault="00832EA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41.57</w:t>
            </w:r>
          </w:p>
        </w:tc>
        <w:tc>
          <w:tcPr>
            <w:tcW w:w="404" w:type="pct"/>
            <w:tcBorders>
              <w:top w:val="nil"/>
              <w:left w:val="nil"/>
              <w:bottom w:val="single" w:sz="4" w:space="0" w:color="auto"/>
              <w:right w:val="single" w:sz="4" w:space="0" w:color="auto"/>
            </w:tcBorders>
            <w:shd w:val="clear" w:color="auto" w:fill="auto"/>
            <w:noWrap/>
            <w:vAlign w:val="bottom"/>
            <w:hideMark/>
          </w:tcPr>
          <w:p w:rsidR="00EB67E1" w:rsidRDefault="00832EA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8.31</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w:t>
            </w:r>
            <w:r w:rsidR="00832EA7">
              <w:rPr>
                <w:rFonts w:ascii="Times New Roman" w:eastAsia="Times New Roman" w:hAnsi="Times New Roman"/>
                <w:color w:val="000000"/>
                <w:sz w:val="16"/>
                <w:szCs w:val="16"/>
              </w:rPr>
              <w:t>41</w:t>
            </w:r>
            <w:r w:rsidRPr="009114F8">
              <w:rPr>
                <w:rFonts w:ascii="Times New Roman" w:eastAsia="Times New Roman" w:hAnsi="Times New Roman"/>
                <w:color w:val="000000"/>
                <w:sz w:val="16"/>
                <w:szCs w:val="16"/>
              </w:rPr>
              <w:t>,</w:t>
            </w:r>
            <w:r w:rsidR="00832EA7">
              <w:rPr>
                <w:rFonts w:ascii="Times New Roman" w:eastAsia="Times New Roman" w:hAnsi="Times New Roman"/>
                <w:color w:val="000000"/>
                <w:sz w:val="16"/>
                <w:szCs w:val="16"/>
              </w:rPr>
              <w:t>212</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w:t>
            </w:r>
            <w:r>
              <w:rPr>
                <w:rFonts w:ascii="Times New Roman" w:eastAsia="Times New Roman" w:hAnsi="Times New Roman"/>
                <w:color w:val="000000"/>
                <w:sz w:val="16"/>
                <w:szCs w:val="16"/>
              </w:rPr>
              <w:t>cation of Demonstration of CEMS</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866</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21.65</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w:t>
            </w:r>
            <w:r>
              <w:rPr>
                <w:rFonts w:ascii="Times New Roman" w:eastAsia="Times New Roman" w:hAnsi="Times New Roman"/>
                <w:color w:val="000000"/>
                <w:sz w:val="16"/>
                <w:szCs w:val="16"/>
              </w:rPr>
              <w:t>21,465</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Quality Assurance Program Notification</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F8194C">
            <w:pPr>
              <w:jc w:val="right"/>
              <w:rPr>
                <w:rFonts w:ascii="Times New Roman" w:eastAsia="Times New Roman" w:hAnsi="Times New Roman"/>
                <w:color w:val="000000"/>
                <w:sz w:val="16"/>
                <w:szCs w:val="16"/>
              </w:rPr>
            </w:pPr>
            <w:r w:rsidRPr="00F8194C">
              <w:rPr>
                <w:rFonts w:ascii="Times New Roman" w:eastAsia="Times New Roman" w:hAnsi="Times New Roman"/>
                <w:color w:val="000000"/>
                <w:sz w:val="16"/>
                <w:szCs w:val="16"/>
              </w:rPr>
              <w:t>866</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21.65</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 </w:t>
            </w:r>
            <w:r w:rsidRPr="009114F8">
              <w:rPr>
                <w:rFonts w:ascii="Times New Roman" w:eastAsia="Times New Roman" w:hAnsi="Times New Roman"/>
                <w:color w:val="000000"/>
                <w:sz w:val="16"/>
                <w:szCs w:val="16"/>
              </w:rPr>
              <w:t>2</w:t>
            </w:r>
            <w:r>
              <w:rPr>
                <w:rFonts w:ascii="Times New Roman" w:eastAsia="Times New Roman" w:hAnsi="Times New Roman"/>
                <w:color w:val="000000"/>
                <w:sz w:val="16"/>
                <w:szCs w:val="16"/>
              </w:rPr>
              <w:t>1,465</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Startup, shutdo</w:t>
            </w:r>
            <w:r>
              <w:rPr>
                <w:rFonts w:ascii="Times New Roman" w:eastAsia="Times New Roman" w:hAnsi="Times New Roman"/>
                <w:color w:val="000000"/>
                <w:sz w:val="16"/>
                <w:szCs w:val="16"/>
              </w:rPr>
              <w:t xml:space="preserve">wn, and malfunction Report </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F8194C">
            <w:pPr>
              <w:jc w:val="right"/>
              <w:rPr>
                <w:rFonts w:ascii="Times New Roman" w:eastAsia="Times New Roman" w:hAnsi="Times New Roman"/>
                <w:color w:val="000000"/>
                <w:sz w:val="16"/>
                <w:szCs w:val="16"/>
              </w:rPr>
            </w:pPr>
            <w:r w:rsidRPr="00F8194C">
              <w:rPr>
                <w:rFonts w:ascii="Times New Roman" w:eastAsia="Times New Roman" w:hAnsi="Times New Roman"/>
                <w:color w:val="000000"/>
                <w:sz w:val="16"/>
                <w:szCs w:val="16"/>
              </w:rPr>
              <w:t>866</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6,928</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346.4</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69.28</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$ 343,433</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Notification of Compliance Status</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F8194C">
            <w:pPr>
              <w:jc w:val="right"/>
              <w:rPr>
                <w:rFonts w:ascii="Times New Roman" w:eastAsia="Times New Roman" w:hAnsi="Times New Roman"/>
                <w:color w:val="000000"/>
                <w:sz w:val="16"/>
                <w:szCs w:val="16"/>
              </w:rPr>
            </w:pPr>
            <w:r w:rsidRPr="00F8194C">
              <w:rPr>
                <w:rFonts w:ascii="Times New Roman" w:eastAsia="Times New Roman" w:hAnsi="Times New Roman"/>
                <w:color w:val="000000"/>
                <w:sz w:val="16"/>
                <w:szCs w:val="16"/>
              </w:rPr>
              <w:t>866</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21.65</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9114F8">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1,465</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requests to use alternative monitoring procedure</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F8194C">
            <w:pPr>
              <w:jc w:val="right"/>
              <w:rPr>
                <w:rFonts w:ascii="Times New Roman" w:eastAsia="Times New Roman" w:hAnsi="Times New Roman"/>
                <w:color w:val="000000"/>
                <w:sz w:val="16"/>
                <w:szCs w:val="16"/>
              </w:rPr>
            </w:pPr>
            <w:r w:rsidRPr="00F8194C">
              <w:rPr>
                <w:rFonts w:ascii="Times New Roman" w:eastAsia="Times New Roman" w:hAnsi="Times New Roman"/>
                <w:color w:val="000000"/>
                <w:sz w:val="16"/>
                <w:szCs w:val="16"/>
              </w:rPr>
              <w:t>866</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21.5</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9114F8">
              <w:rPr>
                <w:rFonts w:ascii="Times New Roman" w:eastAsia="Times New Roman" w:hAnsi="Times New Roman"/>
                <w:color w:val="000000"/>
                <w:sz w:val="16"/>
                <w:szCs w:val="16"/>
              </w:rPr>
              <w:t xml:space="preserve"> 2</w:t>
            </w:r>
            <w:r>
              <w:rPr>
                <w:rFonts w:ascii="Times New Roman" w:eastAsia="Times New Roman" w:hAnsi="Times New Roman"/>
                <w:color w:val="000000"/>
                <w:sz w:val="16"/>
                <w:szCs w:val="16"/>
              </w:rPr>
              <w:t>1,465</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Initial Notifications</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2.00</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0.05</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0.01</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Pr="009114F8">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50</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Notification of performance test</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0.5</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F8194C">
            <w:pPr>
              <w:jc w:val="right"/>
              <w:rPr>
                <w:rFonts w:ascii="Times New Roman" w:eastAsia="Times New Roman" w:hAnsi="Times New Roman"/>
                <w:color w:val="000000"/>
                <w:sz w:val="16"/>
                <w:szCs w:val="16"/>
              </w:rPr>
            </w:pPr>
            <w:r w:rsidRPr="00F8194C">
              <w:rPr>
                <w:rFonts w:ascii="Times New Roman" w:eastAsia="Times New Roman" w:hAnsi="Times New Roman"/>
                <w:color w:val="000000"/>
                <w:sz w:val="16"/>
                <w:szCs w:val="16"/>
              </w:rPr>
              <w:t>866</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21.65</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4.33</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 </w:t>
            </w:r>
            <w:r w:rsidRPr="009114F8">
              <w:rPr>
                <w:rFonts w:ascii="Times New Roman" w:eastAsia="Times New Roman" w:hAnsi="Times New Roman"/>
                <w:color w:val="000000"/>
                <w:sz w:val="16"/>
                <w:szCs w:val="16"/>
              </w:rPr>
              <w:t>2</w:t>
            </w:r>
            <w:r>
              <w:rPr>
                <w:rFonts w:ascii="Times New Roman" w:eastAsia="Times New Roman" w:hAnsi="Times New Roman"/>
                <w:color w:val="000000"/>
                <w:sz w:val="16"/>
                <w:szCs w:val="16"/>
              </w:rPr>
              <w:t>1</w:t>
            </w:r>
            <w:r w:rsidRPr="009114F8">
              <w:rPr>
                <w:rFonts w:ascii="Times New Roman" w:eastAsia="Times New Roman" w:hAnsi="Times New Roman"/>
                <w:color w:val="000000"/>
                <w:sz w:val="16"/>
                <w:szCs w:val="16"/>
              </w:rPr>
              <w:t>,</w:t>
            </w:r>
            <w:r>
              <w:rPr>
                <w:rFonts w:ascii="Times New Roman" w:eastAsia="Times New Roman" w:hAnsi="Times New Roman"/>
                <w:color w:val="000000"/>
                <w:sz w:val="16"/>
                <w:szCs w:val="16"/>
              </w:rPr>
              <w:t>465</w:t>
            </w:r>
          </w:p>
        </w:tc>
      </w:tr>
      <w:tr w:rsidR="00832EA7" w:rsidRPr="009114F8" w:rsidTr="00832EA7">
        <w:trPr>
          <w:trHeight w:val="300"/>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Test/CEMS Results</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F8194C">
            <w:pPr>
              <w:jc w:val="right"/>
              <w:rPr>
                <w:rFonts w:ascii="Times New Roman" w:eastAsia="Times New Roman" w:hAnsi="Times New Roman"/>
                <w:color w:val="000000"/>
                <w:sz w:val="16"/>
                <w:szCs w:val="16"/>
              </w:rPr>
            </w:pPr>
            <w:r w:rsidRPr="00F8194C">
              <w:rPr>
                <w:rFonts w:ascii="Times New Roman" w:eastAsia="Times New Roman" w:hAnsi="Times New Roman"/>
                <w:color w:val="000000"/>
                <w:sz w:val="16"/>
                <w:szCs w:val="16"/>
              </w:rPr>
              <w:t>866</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6,928</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346.4</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69.28</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$ 343,433</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site specific performance evaluation test plan</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F8194C">
            <w:pPr>
              <w:jc w:val="right"/>
              <w:rPr>
                <w:rFonts w:ascii="Times New Roman" w:eastAsia="Times New Roman" w:hAnsi="Times New Roman"/>
                <w:color w:val="000000"/>
                <w:sz w:val="16"/>
                <w:szCs w:val="16"/>
              </w:rPr>
            </w:pPr>
            <w:r w:rsidRPr="00F8194C">
              <w:rPr>
                <w:rFonts w:ascii="Times New Roman" w:eastAsia="Times New Roman" w:hAnsi="Times New Roman"/>
                <w:color w:val="000000"/>
                <w:sz w:val="16"/>
                <w:szCs w:val="16"/>
              </w:rPr>
              <w:t>866</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6,928</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346.4</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69.28</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$ 343,433</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Review Semi-Annual reports</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1</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8</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F8194C">
            <w:pPr>
              <w:jc w:val="right"/>
              <w:rPr>
                <w:rFonts w:ascii="Times New Roman" w:eastAsia="Times New Roman" w:hAnsi="Times New Roman"/>
                <w:color w:val="000000"/>
                <w:sz w:val="16"/>
                <w:szCs w:val="16"/>
              </w:rPr>
            </w:pPr>
            <w:r w:rsidRPr="00F8194C">
              <w:rPr>
                <w:rFonts w:ascii="Times New Roman" w:eastAsia="Times New Roman" w:hAnsi="Times New Roman"/>
                <w:color w:val="000000"/>
                <w:sz w:val="16"/>
                <w:szCs w:val="16"/>
              </w:rPr>
              <w:t>866</w:t>
            </w:r>
          </w:p>
        </w:tc>
        <w:tc>
          <w:tcPr>
            <w:tcW w:w="533"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6,928</w:t>
            </w:r>
          </w:p>
        </w:tc>
        <w:tc>
          <w:tcPr>
            <w:tcW w:w="622"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346.4</w:t>
            </w:r>
          </w:p>
        </w:tc>
        <w:tc>
          <w:tcPr>
            <w:tcW w:w="404"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69.28</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$ 343,433</w:t>
            </w:r>
          </w:p>
        </w:tc>
      </w:tr>
      <w:tr w:rsidR="00832EA7" w:rsidRPr="009114F8" w:rsidTr="00832EA7">
        <w:trPr>
          <w:trHeight w:val="300"/>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Total Annual Hours</w:t>
            </w:r>
          </w:p>
        </w:tc>
        <w:tc>
          <w:tcPr>
            <w:tcW w:w="411"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09"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6"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485743"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33"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w:t>
            </w:r>
            <w:r w:rsidR="00832EA7">
              <w:rPr>
                <w:rFonts w:ascii="Times New Roman" w:eastAsia="Times New Roman" w:hAnsi="Times New Roman"/>
                <w:color w:val="000000"/>
                <w:sz w:val="16"/>
                <w:szCs w:val="16"/>
              </w:rPr>
              <w:t>4</w:t>
            </w:r>
            <w:r>
              <w:rPr>
                <w:rFonts w:ascii="Times New Roman" w:eastAsia="Times New Roman" w:hAnsi="Times New Roman"/>
                <w:color w:val="000000"/>
                <w:sz w:val="16"/>
                <w:szCs w:val="16"/>
              </w:rPr>
              <w:t>,</w:t>
            </w:r>
            <w:r w:rsidR="00832EA7">
              <w:rPr>
                <w:rFonts w:ascii="Times New Roman" w:eastAsia="Times New Roman" w:hAnsi="Times New Roman"/>
                <w:color w:val="000000"/>
                <w:sz w:val="16"/>
                <w:szCs w:val="16"/>
              </w:rPr>
              <w:t>866</w:t>
            </w:r>
          </w:p>
        </w:tc>
        <w:tc>
          <w:tcPr>
            <w:tcW w:w="622" w:type="pct"/>
            <w:tcBorders>
              <w:top w:val="nil"/>
              <w:left w:val="nil"/>
              <w:bottom w:val="single" w:sz="4" w:space="0" w:color="auto"/>
              <w:right w:val="single" w:sz="4" w:space="0" w:color="auto"/>
            </w:tcBorders>
            <w:shd w:val="clear" w:color="auto" w:fill="auto"/>
            <w:noWrap/>
            <w:vAlign w:val="bottom"/>
            <w:hideMark/>
          </w:tcPr>
          <w:p w:rsidR="00EB67E1"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w:t>
            </w:r>
            <w:r w:rsidR="00832EA7">
              <w:rPr>
                <w:rFonts w:ascii="Times New Roman" w:eastAsia="Times New Roman" w:hAnsi="Times New Roman"/>
                <w:color w:val="000000"/>
                <w:sz w:val="16"/>
                <w:szCs w:val="16"/>
              </w:rPr>
              <w:t>743</w:t>
            </w:r>
          </w:p>
        </w:tc>
        <w:tc>
          <w:tcPr>
            <w:tcW w:w="404" w:type="pct"/>
            <w:tcBorders>
              <w:top w:val="nil"/>
              <w:left w:val="nil"/>
              <w:bottom w:val="single" w:sz="4" w:space="0" w:color="auto"/>
              <w:right w:val="single" w:sz="4" w:space="0" w:color="auto"/>
            </w:tcBorders>
            <w:shd w:val="clear" w:color="auto" w:fill="auto"/>
            <w:noWrap/>
            <w:vAlign w:val="bottom"/>
            <w:hideMark/>
          </w:tcPr>
          <w:p w:rsidR="00EB67E1" w:rsidRDefault="00832EA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348</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48574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$ 1,</w:t>
            </w:r>
            <w:r w:rsidR="00832EA7">
              <w:rPr>
                <w:rFonts w:ascii="Times New Roman" w:eastAsia="Times New Roman" w:hAnsi="Times New Roman"/>
                <w:color w:val="000000"/>
                <w:sz w:val="16"/>
                <w:szCs w:val="16"/>
              </w:rPr>
              <w:t>728,374</w:t>
            </w:r>
          </w:p>
        </w:tc>
      </w:tr>
      <w:tr w:rsidR="00832EA7" w:rsidRPr="009114F8" w:rsidTr="00832EA7">
        <w:trPr>
          <w:trHeight w:val="300"/>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0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3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622" w:type="pct"/>
            <w:tcBorders>
              <w:top w:val="nil"/>
              <w:left w:val="nil"/>
              <w:bottom w:val="single" w:sz="4" w:space="0" w:color="auto"/>
              <w:right w:val="single" w:sz="4" w:space="0" w:color="auto"/>
            </w:tcBorders>
            <w:shd w:val="clear" w:color="auto" w:fill="auto"/>
            <w:noWrap/>
            <w:vAlign w:val="bottom"/>
            <w:hideMark/>
          </w:tcPr>
          <w:p w:rsidR="00EB67E1" w:rsidRDefault="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w:t>
            </w:r>
            <w:r w:rsidR="00F8194C">
              <w:rPr>
                <w:rFonts w:ascii="Times New Roman" w:eastAsia="Times New Roman" w:hAnsi="Times New Roman"/>
                <w:color w:val="000000"/>
                <w:sz w:val="16"/>
                <w:szCs w:val="16"/>
              </w:rPr>
              <w:t>3</w:t>
            </w:r>
            <w:r w:rsidR="00832EA7">
              <w:rPr>
                <w:rFonts w:ascii="Times New Roman" w:eastAsia="Times New Roman" w:hAnsi="Times New Roman"/>
                <w:color w:val="000000"/>
                <w:sz w:val="16"/>
                <w:szCs w:val="16"/>
              </w:rPr>
              <w:t>6</w:t>
            </w:r>
            <w:r w:rsidR="00F8194C">
              <w:rPr>
                <w:rFonts w:ascii="Times New Roman" w:eastAsia="Times New Roman" w:hAnsi="Times New Roman"/>
                <w:color w:val="000000"/>
                <w:sz w:val="16"/>
                <w:szCs w:val="16"/>
              </w:rPr>
              <w:t>,</w:t>
            </w:r>
            <w:r w:rsidR="00832EA7">
              <w:rPr>
                <w:rFonts w:ascii="Times New Roman" w:eastAsia="Times New Roman" w:hAnsi="Times New Roman"/>
                <w:color w:val="000000"/>
                <w:sz w:val="16"/>
                <w:szCs w:val="16"/>
              </w:rPr>
              <w:t>958</w:t>
            </w:r>
            <w:r w:rsidRPr="009114F8">
              <w:rPr>
                <w:rFonts w:ascii="Times New Roman" w:eastAsia="Times New Roman" w:hAnsi="Times New Roman"/>
                <w:color w:val="000000"/>
                <w:sz w:val="16"/>
                <w:szCs w:val="16"/>
              </w:rPr>
              <w:t xml:space="preserve"> </w:t>
            </w:r>
          </w:p>
        </w:tc>
        <w:tc>
          <w:tcPr>
            <w:tcW w:w="404" w:type="pct"/>
            <w:tcBorders>
              <w:top w:val="nil"/>
              <w:left w:val="nil"/>
              <w:bottom w:val="single" w:sz="4" w:space="0" w:color="auto"/>
              <w:right w:val="single" w:sz="4" w:space="0" w:color="auto"/>
            </w:tcBorders>
            <w:shd w:val="clear" w:color="auto" w:fill="auto"/>
            <w:noWrap/>
            <w:vAlign w:val="bottom"/>
            <w:hideMark/>
          </w:tcPr>
          <w:p w:rsidR="009114F8" w:rsidRPr="009114F8" w:rsidRDefault="00485743"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H</w:t>
            </w:r>
            <w:r w:rsidR="009114F8" w:rsidRPr="009114F8">
              <w:rPr>
                <w:rFonts w:ascii="Times New Roman" w:eastAsia="Times New Roman" w:hAnsi="Times New Roman"/>
                <w:color w:val="000000"/>
                <w:sz w:val="16"/>
                <w:szCs w:val="16"/>
              </w:rPr>
              <w:t>ours</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r>
      <w:tr w:rsidR="00832EA7" w:rsidRPr="009114F8" w:rsidTr="00832EA7">
        <w:trPr>
          <w:trHeight w:val="300"/>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Travel Expenses</w:t>
            </w:r>
          </w:p>
        </w:tc>
        <w:tc>
          <w:tcPr>
            <w:tcW w:w="41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0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3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62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 </w:t>
            </w:r>
            <w:r w:rsidR="00B62B21">
              <w:rPr>
                <w:rFonts w:ascii="Times New Roman" w:eastAsia="Times New Roman" w:hAnsi="Times New Roman"/>
                <w:color w:val="000000"/>
                <w:sz w:val="16"/>
                <w:szCs w:val="16"/>
              </w:rPr>
              <w:t>69</w:t>
            </w:r>
            <w:r w:rsidRPr="009114F8">
              <w:rPr>
                <w:rFonts w:ascii="Times New Roman" w:eastAsia="Times New Roman" w:hAnsi="Times New Roman"/>
                <w:color w:val="000000"/>
                <w:sz w:val="16"/>
                <w:szCs w:val="16"/>
              </w:rPr>
              <w:t>,</w:t>
            </w:r>
            <w:r w:rsidR="00B62B21">
              <w:rPr>
                <w:rFonts w:ascii="Times New Roman" w:eastAsia="Times New Roman" w:hAnsi="Times New Roman"/>
                <w:color w:val="000000"/>
                <w:sz w:val="16"/>
                <w:szCs w:val="16"/>
              </w:rPr>
              <w:t>2</w:t>
            </w:r>
            <w:r w:rsidRPr="009114F8">
              <w:rPr>
                <w:rFonts w:ascii="Times New Roman" w:eastAsia="Times New Roman" w:hAnsi="Times New Roman"/>
                <w:color w:val="000000"/>
                <w:sz w:val="16"/>
                <w:szCs w:val="16"/>
              </w:rPr>
              <w:t xml:space="preserve">00 </w:t>
            </w:r>
          </w:p>
        </w:tc>
      </w:tr>
      <w:tr w:rsidR="00832EA7" w:rsidRPr="009114F8" w:rsidTr="00832EA7">
        <w:trPr>
          <w:trHeight w:val="300"/>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09"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376"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533"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622"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404" w:type="pct"/>
            <w:tcBorders>
              <w:top w:val="nil"/>
              <w:left w:val="nil"/>
              <w:bottom w:val="single" w:sz="4" w:space="0" w:color="auto"/>
              <w:right w:val="single" w:sz="4" w:space="0" w:color="auto"/>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w:t>
            </w:r>
          </w:p>
        </w:tc>
        <w:tc>
          <w:tcPr>
            <w:tcW w:w="724" w:type="pct"/>
            <w:tcBorders>
              <w:top w:val="nil"/>
              <w:left w:val="nil"/>
              <w:bottom w:val="single" w:sz="4" w:space="0" w:color="auto"/>
              <w:right w:val="single" w:sz="4" w:space="0" w:color="auto"/>
            </w:tcBorders>
            <w:shd w:val="clear" w:color="auto" w:fill="auto"/>
            <w:noWrap/>
            <w:vAlign w:val="bottom"/>
            <w:hideMark/>
          </w:tcPr>
          <w:p w:rsidR="00A14ACE" w:rsidRDefault="009114F8">
            <w:pPr>
              <w:jc w:val="right"/>
              <w:rPr>
                <w:rFonts w:ascii="Times New Roman" w:eastAsia="Times New Roman" w:hAnsi="Times New Roman"/>
                <w:color w:val="000000"/>
                <w:sz w:val="16"/>
                <w:szCs w:val="16"/>
              </w:rPr>
            </w:pPr>
            <w:r w:rsidRPr="009114F8">
              <w:rPr>
                <w:rFonts w:ascii="Times New Roman" w:eastAsia="Times New Roman" w:hAnsi="Times New Roman"/>
                <w:color w:val="000000"/>
                <w:sz w:val="16"/>
                <w:szCs w:val="16"/>
              </w:rPr>
              <w:t xml:space="preserve"> $</w:t>
            </w:r>
            <w:r w:rsidR="00485743">
              <w:rPr>
                <w:rFonts w:ascii="Times New Roman" w:eastAsia="Times New Roman" w:hAnsi="Times New Roman"/>
                <w:color w:val="000000"/>
                <w:sz w:val="16"/>
                <w:szCs w:val="16"/>
              </w:rPr>
              <w:t xml:space="preserve"> </w:t>
            </w:r>
            <w:r w:rsidR="00B62B21">
              <w:rPr>
                <w:rFonts w:ascii="Times New Roman" w:eastAsia="Times New Roman" w:hAnsi="Times New Roman"/>
                <w:color w:val="000000"/>
                <w:sz w:val="16"/>
                <w:szCs w:val="16"/>
              </w:rPr>
              <w:t>1,</w:t>
            </w:r>
            <w:r w:rsidR="00832EA7">
              <w:rPr>
                <w:rFonts w:ascii="Times New Roman" w:eastAsia="Times New Roman" w:hAnsi="Times New Roman"/>
                <w:color w:val="000000"/>
                <w:sz w:val="16"/>
                <w:szCs w:val="16"/>
              </w:rPr>
              <w:t>797,574</w:t>
            </w:r>
            <w:r w:rsidRPr="009114F8">
              <w:rPr>
                <w:rFonts w:ascii="Times New Roman" w:eastAsia="Times New Roman" w:hAnsi="Times New Roman"/>
                <w:color w:val="000000"/>
                <w:sz w:val="16"/>
                <w:szCs w:val="16"/>
              </w:rPr>
              <w:t xml:space="preserve"> </w:t>
            </w:r>
          </w:p>
        </w:tc>
      </w:tr>
      <w:tr w:rsidR="00832EA7" w:rsidRPr="009114F8" w:rsidTr="00832EA7">
        <w:trPr>
          <w:trHeight w:val="300"/>
        </w:trPr>
        <w:tc>
          <w:tcPr>
            <w:tcW w:w="1236"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411"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409"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376"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285"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533"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622"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404"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c>
          <w:tcPr>
            <w:tcW w:w="724" w:type="pct"/>
            <w:tcBorders>
              <w:top w:val="nil"/>
              <w:left w:val="nil"/>
              <w:bottom w:val="nil"/>
              <w:right w:val="nil"/>
            </w:tcBorders>
            <w:shd w:val="clear" w:color="auto" w:fill="auto"/>
            <w:noWrap/>
            <w:vAlign w:val="bottom"/>
            <w:hideMark/>
          </w:tcPr>
          <w:p w:rsidR="009114F8" w:rsidRPr="009114F8" w:rsidRDefault="009114F8" w:rsidP="009114F8">
            <w:pPr>
              <w:rPr>
                <w:rFonts w:ascii="Times New Roman" w:eastAsia="Times New Roman" w:hAnsi="Times New Roman"/>
                <w:color w:val="000000"/>
                <w:sz w:val="16"/>
                <w:szCs w:val="16"/>
              </w:rPr>
            </w:pPr>
          </w:p>
        </w:tc>
      </w:tr>
      <w:tr w:rsidR="00B62B21" w:rsidRPr="00B62B21" w:rsidTr="00B62B21">
        <w:trPr>
          <w:gridAfter w:val="1"/>
          <w:wAfter w:w="1862" w:type="pct"/>
          <w:trHeight w:val="300"/>
        </w:trPr>
        <w:tc>
          <w:tcPr>
            <w:tcW w:w="3138" w:type="pct"/>
            <w:gridSpan w:val="8"/>
            <w:tcBorders>
              <w:top w:val="nil"/>
              <w:left w:val="nil"/>
              <w:bottom w:val="nil"/>
              <w:right w:val="nil"/>
            </w:tcBorders>
            <w:shd w:val="clear" w:color="auto" w:fill="auto"/>
            <w:noWrap/>
            <w:vAlign w:val="bottom"/>
            <w:hideMark/>
          </w:tcPr>
          <w:p w:rsidR="00B62B21" w:rsidRPr="00B62B21" w:rsidRDefault="005E01D7" w:rsidP="00B62B21">
            <w:pPr>
              <w:rPr>
                <w:rFonts w:ascii="Times New Roman" w:hAnsi="Times New Roman"/>
                <w:sz w:val="20"/>
                <w:szCs w:val="16"/>
              </w:rPr>
            </w:pPr>
            <w:r w:rsidRPr="005E01D7">
              <w:rPr>
                <w:rFonts w:ascii="Times New Roman" w:hAnsi="Times New Roman"/>
                <w:sz w:val="20"/>
                <w:szCs w:val="16"/>
              </w:rPr>
              <w:t>EPA Officials are assumed to attend 20% of performance tests (0.20 * 866 = 173.2)</w:t>
            </w:r>
          </w:p>
        </w:tc>
      </w:tr>
      <w:tr w:rsidR="00B62B21" w:rsidRPr="00B62B21" w:rsidTr="00B62B21">
        <w:trPr>
          <w:trHeight w:val="300"/>
        </w:trPr>
        <w:tc>
          <w:tcPr>
            <w:tcW w:w="5000" w:type="pct"/>
            <w:gridSpan w:val="9"/>
            <w:tcBorders>
              <w:top w:val="nil"/>
              <w:left w:val="nil"/>
              <w:bottom w:val="nil"/>
              <w:right w:val="nil"/>
            </w:tcBorders>
            <w:shd w:val="clear" w:color="auto" w:fill="auto"/>
            <w:noWrap/>
            <w:vAlign w:val="bottom"/>
            <w:hideMark/>
          </w:tcPr>
          <w:p w:rsidR="00EB67E1" w:rsidRDefault="005E01D7">
            <w:pPr>
              <w:rPr>
                <w:rFonts w:ascii="Times New Roman" w:hAnsi="Times New Roman"/>
                <w:sz w:val="20"/>
                <w:szCs w:val="16"/>
              </w:rPr>
            </w:pPr>
            <w:r w:rsidRPr="005E01D7">
              <w:rPr>
                <w:rFonts w:ascii="Times New Roman" w:hAnsi="Times New Roman"/>
                <w:sz w:val="20"/>
                <w:szCs w:val="16"/>
              </w:rPr>
              <w:t>Travel Expenses = (1 person x 173 plants/year x 3 days/plant x $50 per diem) + ($250 round trip/plant x 173 plants/year) = $69,200/year</w:t>
            </w:r>
          </w:p>
        </w:tc>
      </w:tr>
      <w:tr w:rsidR="00B62B21" w:rsidRPr="00B62B21" w:rsidTr="00B62B21">
        <w:trPr>
          <w:gridAfter w:val="1"/>
          <w:wAfter w:w="1862" w:type="pct"/>
          <w:trHeight w:val="300"/>
        </w:trPr>
        <w:tc>
          <w:tcPr>
            <w:tcW w:w="3138" w:type="pct"/>
            <w:gridSpan w:val="8"/>
            <w:tcBorders>
              <w:top w:val="nil"/>
              <w:left w:val="nil"/>
              <w:bottom w:val="nil"/>
              <w:right w:val="nil"/>
            </w:tcBorders>
            <w:shd w:val="clear" w:color="auto" w:fill="auto"/>
            <w:noWrap/>
            <w:vAlign w:val="bottom"/>
            <w:hideMark/>
          </w:tcPr>
          <w:p w:rsidR="00B62B21" w:rsidRPr="00B62B21" w:rsidRDefault="005E01D7" w:rsidP="00B62B21">
            <w:pPr>
              <w:rPr>
                <w:rFonts w:ascii="Times New Roman" w:hAnsi="Times New Roman"/>
                <w:sz w:val="20"/>
                <w:szCs w:val="16"/>
              </w:rPr>
            </w:pPr>
            <w:r w:rsidRPr="005E01D7">
              <w:rPr>
                <w:rFonts w:ascii="Times New Roman" w:hAnsi="Times New Roman"/>
                <w:sz w:val="20"/>
                <w:szCs w:val="16"/>
              </w:rPr>
              <w:t>Assume visit 173 plants per year</w:t>
            </w:r>
          </w:p>
        </w:tc>
      </w:tr>
    </w:tbl>
    <w:p w:rsidR="00B62B21" w:rsidRPr="00F245EA" w:rsidRDefault="00B62B21" w:rsidP="002D550B">
      <w:pPr>
        <w:rPr>
          <w:rFonts w:ascii="Times New Roman" w:hAnsi="Times New Roman"/>
          <w:highlight w:val="yellow"/>
        </w:rPr>
        <w:sectPr w:rsidR="00B62B21" w:rsidRPr="00F245EA" w:rsidSect="00593F37">
          <w:pgSz w:w="15840" w:h="12240" w:orient="landscape"/>
          <w:pgMar w:top="1440" w:right="1440" w:bottom="1440" w:left="1440" w:header="720" w:footer="720" w:gutter="0"/>
          <w:cols w:space="720"/>
          <w:docGrid w:linePitch="360"/>
        </w:sectPr>
      </w:pPr>
    </w:p>
    <w:p w:rsidR="008A2083" w:rsidRPr="00E14996" w:rsidRDefault="008403BE" w:rsidP="00E14996">
      <w:pPr>
        <w:pStyle w:val="ExhibitTitle"/>
        <w:rPr>
          <w:rFonts w:ascii="Times New Roman" w:hAnsi="Times New Roman"/>
        </w:rPr>
      </w:pPr>
      <w:r>
        <w:rPr>
          <w:rFonts w:ascii="Times New Roman" w:hAnsi="Times New Roman"/>
        </w:rPr>
        <w:lastRenderedPageBreak/>
        <w:t>Exhibit</w:t>
      </w:r>
      <w:r w:rsidRPr="00E14996">
        <w:rPr>
          <w:rFonts w:ascii="Times New Roman" w:hAnsi="Times New Roman"/>
        </w:rPr>
        <w:t xml:space="preserve"> </w:t>
      </w:r>
      <w:r w:rsidR="008A2083" w:rsidRPr="00E14996">
        <w:rPr>
          <w:rFonts w:ascii="Times New Roman" w:hAnsi="Times New Roman"/>
        </w:rPr>
        <w:t>2b</w:t>
      </w:r>
      <w:r w:rsidR="008A2083" w:rsidRPr="00E14996">
        <w:rPr>
          <w:rFonts w:ascii="Times New Roman" w:hAnsi="Times New Roman"/>
        </w:rPr>
        <w:tab/>
        <w:t xml:space="preserve">Year 2 Agency Burden and Cost, NESHAP for </w:t>
      </w:r>
      <w:r w:rsidR="00E14996" w:rsidRPr="00E14996">
        <w:rPr>
          <w:rFonts w:ascii="Times New Roman" w:hAnsi="Times New Roman"/>
        </w:rPr>
        <w:t>Electric Generating Units</w:t>
      </w:r>
      <w:r w:rsidR="008A2083" w:rsidRPr="00E14996">
        <w:rPr>
          <w:rFonts w:ascii="Times New Roman" w:hAnsi="Times New Roman"/>
        </w:rPr>
        <w:t xml:space="preserve"> (40 CFR part 63, subpart </w:t>
      </w:r>
      <w:r w:rsidR="00E14996" w:rsidRPr="00E14996">
        <w:rPr>
          <w:rFonts w:ascii="Times New Roman" w:hAnsi="Times New Roman"/>
        </w:rPr>
        <w:t>UUUUU</w:t>
      </w:r>
      <w:r w:rsidR="008A2083" w:rsidRPr="00E14996">
        <w:rPr>
          <w:rFonts w:ascii="Times New Roman" w:hAnsi="Times New Roman"/>
        </w:rPr>
        <w:t>)</w:t>
      </w:r>
    </w:p>
    <w:p w:rsidR="00E01358" w:rsidRPr="00F245EA" w:rsidRDefault="00E01358" w:rsidP="002D550B">
      <w:pPr>
        <w:rPr>
          <w:rFonts w:ascii="Times New Roman" w:hAnsi="Times New Roman"/>
          <w:sz w:val="16"/>
          <w:szCs w:val="16"/>
          <w:highlight w:val="yellow"/>
        </w:rPr>
      </w:pPr>
    </w:p>
    <w:p w:rsidR="00E01358" w:rsidRPr="00F245EA" w:rsidRDefault="00E01358" w:rsidP="002D550B">
      <w:pPr>
        <w:rPr>
          <w:rFonts w:ascii="Times New Roman" w:hAnsi="Times New Roman"/>
          <w:highlight w:val="yellow"/>
        </w:rPr>
      </w:pPr>
    </w:p>
    <w:tbl>
      <w:tblPr>
        <w:tblW w:w="7901" w:type="pct"/>
        <w:tblLook w:val="04A0"/>
      </w:tblPr>
      <w:tblGrid>
        <w:gridCol w:w="3637"/>
        <w:gridCol w:w="1016"/>
        <w:gridCol w:w="1123"/>
        <w:gridCol w:w="963"/>
        <w:gridCol w:w="688"/>
        <w:gridCol w:w="1269"/>
        <w:gridCol w:w="1523"/>
        <w:gridCol w:w="1025"/>
        <w:gridCol w:w="1823"/>
        <w:gridCol w:w="104"/>
        <w:gridCol w:w="7650"/>
      </w:tblGrid>
      <w:tr w:rsidR="00B62B21" w:rsidRPr="00B62B21" w:rsidTr="00B62B21">
        <w:trPr>
          <w:gridAfter w:val="1"/>
          <w:wAfter w:w="1836" w:type="pct"/>
          <w:trHeight w:val="1050"/>
        </w:trPr>
        <w:tc>
          <w:tcPr>
            <w:tcW w:w="873"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b/>
                <w:bCs/>
                <w:sz w:val="16"/>
                <w:szCs w:val="16"/>
              </w:rPr>
            </w:pPr>
            <w:r w:rsidRPr="005E01D7">
              <w:rPr>
                <w:rFonts w:asciiTheme="majorBidi" w:hAnsiTheme="majorBidi" w:cstheme="majorBidi"/>
                <w:b/>
                <w:bCs/>
                <w:sz w:val="16"/>
                <w:szCs w:val="16"/>
              </w:rPr>
              <w:t xml:space="preserve">Activity -- Year </w:t>
            </w:r>
            <w:r w:rsidR="00B62B21">
              <w:rPr>
                <w:rFonts w:asciiTheme="majorBidi" w:hAnsiTheme="majorBidi" w:cstheme="majorBidi"/>
                <w:b/>
                <w:bCs/>
                <w:sz w:val="16"/>
                <w:szCs w:val="16"/>
              </w:rPr>
              <w:t>2</w:t>
            </w:r>
          </w:p>
        </w:tc>
        <w:tc>
          <w:tcPr>
            <w:tcW w:w="244" w:type="pct"/>
            <w:tcBorders>
              <w:top w:val="single" w:sz="4" w:space="0" w:color="auto"/>
              <w:left w:val="nil"/>
              <w:bottom w:val="single" w:sz="12"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b/>
                <w:bCs/>
                <w:sz w:val="16"/>
                <w:szCs w:val="16"/>
              </w:rPr>
            </w:pPr>
            <w:r w:rsidRPr="005E01D7">
              <w:rPr>
                <w:rFonts w:asciiTheme="majorBidi" w:hAnsiTheme="majorBidi" w:cstheme="majorBidi"/>
                <w:b/>
                <w:bCs/>
                <w:sz w:val="16"/>
                <w:szCs w:val="16"/>
              </w:rPr>
              <w:t>(A) EPA Hours/ Occurrence</w:t>
            </w:r>
          </w:p>
        </w:tc>
        <w:tc>
          <w:tcPr>
            <w:tcW w:w="270" w:type="pct"/>
            <w:tcBorders>
              <w:top w:val="single" w:sz="4" w:space="0" w:color="auto"/>
              <w:left w:val="nil"/>
              <w:bottom w:val="single" w:sz="12"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b/>
                <w:bCs/>
                <w:sz w:val="16"/>
                <w:szCs w:val="16"/>
              </w:rPr>
            </w:pPr>
            <w:r w:rsidRPr="005E01D7">
              <w:rPr>
                <w:rFonts w:asciiTheme="majorBidi" w:hAnsiTheme="majorBidi" w:cstheme="majorBidi"/>
                <w:b/>
                <w:bCs/>
                <w:sz w:val="16"/>
                <w:szCs w:val="16"/>
              </w:rPr>
              <w:t>(B) Occurrences/ Plant/Year</w:t>
            </w:r>
          </w:p>
        </w:tc>
        <w:tc>
          <w:tcPr>
            <w:tcW w:w="231" w:type="pct"/>
            <w:tcBorders>
              <w:top w:val="single" w:sz="4" w:space="0" w:color="auto"/>
              <w:left w:val="nil"/>
              <w:bottom w:val="single" w:sz="12"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b/>
                <w:bCs/>
                <w:sz w:val="16"/>
                <w:szCs w:val="16"/>
              </w:rPr>
            </w:pPr>
            <w:r w:rsidRPr="005E01D7">
              <w:rPr>
                <w:rFonts w:asciiTheme="majorBidi" w:hAnsiTheme="majorBidi" w:cstheme="majorBidi"/>
                <w:b/>
                <w:bCs/>
                <w:sz w:val="16"/>
                <w:szCs w:val="16"/>
              </w:rPr>
              <w:t>(C) EPA Hours/ Plant/Year (A x B)</w:t>
            </w:r>
          </w:p>
        </w:tc>
        <w:tc>
          <w:tcPr>
            <w:tcW w:w="165" w:type="pct"/>
            <w:tcBorders>
              <w:top w:val="single" w:sz="4" w:space="0" w:color="auto"/>
              <w:left w:val="nil"/>
              <w:bottom w:val="single" w:sz="12"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b/>
                <w:bCs/>
                <w:sz w:val="16"/>
                <w:szCs w:val="16"/>
              </w:rPr>
            </w:pPr>
            <w:r w:rsidRPr="005E01D7">
              <w:rPr>
                <w:rFonts w:asciiTheme="majorBidi" w:hAnsiTheme="majorBidi" w:cstheme="majorBidi"/>
                <w:b/>
                <w:bCs/>
                <w:sz w:val="16"/>
                <w:szCs w:val="16"/>
              </w:rPr>
              <w:t>(D) Plants/ Year</w:t>
            </w:r>
          </w:p>
        </w:tc>
        <w:tc>
          <w:tcPr>
            <w:tcW w:w="305" w:type="pct"/>
            <w:tcBorders>
              <w:top w:val="single" w:sz="4" w:space="0" w:color="auto"/>
              <w:left w:val="nil"/>
              <w:bottom w:val="single" w:sz="12"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b/>
                <w:bCs/>
                <w:sz w:val="16"/>
                <w:szCs w:val="16"/>
              </w:rPr>
            </w:pPr>
            <w:r w:rsidRPr="005E01D7">
              <w:rPr>
                <w:rFonts w:asciiTheme="majorBidi" w:hAnsiTheme="majorBidi" w:cstheme="majorBidi"/>
                <w:b/>
                <w:bCs/>
                <w:sz w:val="16"/>
                <w:szCs w:val="16"/>
              </w:rPr>
              <w:t>(E) EPA Technical Hours/ Year (C x D)</w:t>
            </w:r>
          </w:p>
        </w:tc>
        <w:tc>
          <w:tcPr>
            <w:tcW w:w="366" w:type="pct"/>
            <w:tcBorders>
              <w:top w:val="single" w:sz="4" w:space="0" w:color="auto"/>
              <w:left w:val="nil"/>
              <w:bottom w:val="single" w:sz="12"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b/>
                <w:bCs/>
                <w:sz w:val="16"/>
                <w:szCs w:val="16"/>
              </w:rPr>
            </w:pPr>
            <w:r w:rsidRPr="005E01D7">
              <w:rPr>
                <w:rFonts w:asciiTheme="majorBidi" w:hAnsiTheme="majorBidi" w:cstheme="majorBidi"/>
                <w:b/>
                <w:bCs/>
                <w:sz w:val="16"/>
                <w:szCs w:val="16"/>
              </w:rPr>
              <w:t>(F) EPA Managerial Hours/Year</w:t>
            </w:r>
          </w:p>
        </w:tc>
        <w:tc>
          <w:tcPr>
            <w:tcW w:w="246" w:type="pct"/>
            <w:tcBorders>
              <w:top w:val="single" w:sz="4" w:space="0" w:color="auto"/>
              <w:left w:val="nil"/>
              <w:bottom w:val="single" w:sz="12"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b/>
                <w:bCs/>
                <w:sz w:val="16"/>
                <w:szCs w:val="16"/>
              </w:rPr>
            </w:pPr>
            <w:r w:rsidRPr="005E01D7">
              <w:rPr>
                <w:rFonts w:asciiTheme="majorBidi" w:hAnsiTheme="majorBidi" w:cstheme="majorBidi"/>
                <w:b/>
                <w:bCs/>
                <w:sz w:val="16"/>
                <w:szCs w:val="16"/>
              </w:rPr>
              <w:t>(G) EPA Clerical Hours/Year</w:t>
            </w:r>
          </w:p>
        </w:tc>
        <w:tc>
          <w:tcPr>
            <w:tcW w:w="463" w:type="pct"/>
            <w:gridSpan w:val="2"/>
            <w:tcBorders>
              <w:top w:val="single" w:sz="4" w:space="0" w:color="auto"/>
              <w:left w:val="nil"/>
              <w:bottom w:val="single" w:sz="12"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b/>
                <w:bCs/>
                <w:sz w:val="16"/>
                <w:szCs w:val="16"/>
              </w:rPr>
            </w:pPr>
            <w:r w:rsidRPr="005E01D7">
              <w:rPr>
                <w:rFonts w:asciiTheme="majorBidi" w:hAnsiTheme="majorBidi" w:cstheme="majorBidi"/>
                <w:b/>
                <w:bCs/>
                <w:sz w:val="16"/>
                <w:szCs w:val="16"/>
              </w:rPr>
              <w:t>(H) Cost, $</w:t>
            </w:r>
          </w:p>
        </w:tc>
      </w:tr>
      <w:tr w:rsidR="00B62B21" w:rsidRPr="00B62B21" w:rsidTr="00B62B21">
        <w:trPr>
          <w:gridAfter w:val="1"/>
          <w:wAfter w:w="1836" w:type="pct"/>
          <w:trHeight w:val="315"/>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Observe Initial Performance Tests </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24</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24</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84.13</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2019.2</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100.96</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20.192</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$ 100,095 </w:t>
            </w:r>
          </w:p>
        </w:tc>
      </w:tr>
      <w:tr w:rsidR="00B62B21" w:rsidRPr="00B62B21" w:rsidTr="00B62B21">
        <w:trPr>
          <w:gridAfter w:val="1"/>
          <w:wAfter w:w="1836" w:type="pct"/>
          <w:trHeight w:val="300"/>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Observe Repeat Performance Tests </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24</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0.2</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4.8</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84.13</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403.84</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20.192</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4.0384</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$ 20,019 </w:t>
            </w:r>
          </w:p>
        </w:tc>
      </w:tr>
      <w:tr w:rsidR="00B62B21" w:rsidRPr="00B62B21" w:rsidTr="00B62B21">
        <w:trPr>
          <w:gridAfter w:val="1"/>
          <w:wAfter w:w="1836" w:type="pct"/>
          <w:trHeight w:val="300"/>
        </w:trPr>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Review Notification of Demonstration of CEMS</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866</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21.65</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$ 21,465 </w:t>
            </w:r>
          </w:p>
        </w:tc>
      </w:tr>
      <w:tr w:rsidR="00B62B21" w:rsidRPr="00B62B21" w:rsidTr="00B62B21">
        <w:trPr>
          <w:gridAfter w:val="1"/>
          <w:wAfter w:w="1836" w:type="pct"/>
          <w:trHeight w:val="300"/>
        </w:trPr>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Review Quality Assurance Program Notification</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866</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21.65</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$ 21,465 </w:t>
            </w:r>
          </w:p>
        </w:tc>
      </w:tr>
      <w:tr w:rsidR="00B62B21" w:rsidRPr="00B62B21" w:rsidTr="00B62B21">
        <w:trPr>
          <w:gridAfter w:val="1"/>
          <w:wAfter w:w="1836" w:type="pct"/>
          <w:trHeight w:val="300"/>
        </w:trPr>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Review Startup, shutdown, and malfunction Report </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866</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6,928</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346.4</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69.28</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$ 343,433 </w:t>
            </w:r>
          </w:p>
        </w:tc>
      </w:tr>
      <w:tr w:rsidR="00B62B21" w:rsidRPr="00B62B21" w:rsidTr="00B62B21">
        <w:trPr>
          <w:gridAfter w:val="1"/>
          <w:wAfter w:w="1836" w:type="pct"/>
          <w:trHeight w:val="300"/>
        </w:trPr>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Review Notification of Compliance Status</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866</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21.65</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$ 21,465 </w:t>
            </w:r>
          </w:p>
        </w:tc>
      </w:tr>
      <w:tr w:rsidR="00B62B21" w:rsidRPr="00B62B21" w:rsidTr="00B62B21">
        <w:trPr>
          <w:gridAfter w:val="1"/>
          <w:wAfter w:w="1836" w:type="pct"/>
          <w:trHeight w:val="300"/>
        </w:trPr>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Review requests to use alternative monitoring procedure</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866</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21.5</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$ 21,465 </w:t>
            </w:r>
          </w:p>
        </w:tc>
      </w:tr>
      <w:tr w:rsidR="00B62B21" w:rsidRPr="00B62B21" w:rsidTr="00B62B21">
        <w:trPr>
          <w:gridAfter w:val="1"/>
          <w:wAfter w:w="1836" w:type="pct"/>
          <w:trHeight w:val="300"/>
        </w:trPr>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Review Initial Notifications</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2.00</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0.05</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0.01</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$ 50 </w:t>
            </w:r>
          </w:p>
        </w:tc>
      </w:tr>
      <w:tr w:rsidR="00B62B21" w:rsidRPr="00B62B21" w:rsidTr="00B62B21">
        <w:trPr>
          <w:gridAfter w:val="1"/>
          <w:wAfter w:w="1836" w:type="pct"/>
          <w:trHeight w:val="300"/>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Review Notification of performance test</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0.5</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866</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21.65</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4.33</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$ 21,465</w:t>
            </w:r>
          </w:p>
        </w:tc>
      </w:tr>
      <w:tr w:rsidR="00B62B21" w:rsidRPr="00B62B21" w:rsidTr="00B62B21">
        <w:trPr>
          <w:gridAfter w:val="1"/>
          <w:wAfter w:w="1836" w:type="pct"/>
          <w:trHeight w:val="300"/>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Review Test/CEMS Results</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866</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6,928</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346.4</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69.28</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$ 343,433 </w:t>
            </w:r>
          </w:p>
        </w:tc>
      </w:tr>
      <w:tr w:rsidR="00B62B21" w:rsidRPr="00B62B21" w:rsidTr="00B62B21">
        <w:trPr>
          <w:gridAfter w:val="1"/>
          <w:wAfter w:w="1836" w:type="pct"/>
          <w:trHeight w:val="300"/>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Review site specific performance evaluation test plan</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866</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6,928</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346.4</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69.28</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$ 343,433 </w:t>
            </w:r>
          </w:p>
        </w:tc>
      </w:tr>
      <w:tr w:rsidR="00B62B21" w:rsidRPr="00B62B21" w:rsidTr="00B62B21">
        <w:trPr>
          <w:gridAfter w:val="1"/>
          <w:wAfter w:w="1836" w:type="pct"/>
          <w:trHeight w:val="300"/>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Review Semi-Annual reports</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866</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6,928</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346.4</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69.28</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$ 343,433</w:t>
            </w:r>
          </w:p>
        </w:tc>
      </w:tr>
      <w:tr w:rsidR="00B62B21" w:rsidRPr="00B62B21" w:rsidTr="00B62B21">
        <w:trPr>
          <w:gridAfter w:val="1"/>
          <w:wAfter w:w="1836" w:type="pct"/>
          <w:trHeight w:val="300"/>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Total Annual Hours</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32,301</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1,615</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323</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$ 1,601,217</w:t>
            </w:r>
          </w:p>
        </w:tc>
      </w:tr>
      <w:tr w:rsidR="00B62B21" w:rsidRPr="00B62B21" w:rsidTr="00B62B21">
        <w:trPr>
          <w:gridAfter w:val="1"/>
          <w:wAfter w:w="1836" w:type="pct"/>
          <w:trHeight w:val="300"/>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34,239.1 </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Hours</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r>
      <w:tr w:rsidR="00B62B21" w:rsidRPr="00B62B21" w:rsidTr="00B62B21">
        <w:trPr>
          <w:gridAfter w:val="1"/>
          <w:wAfter w:w="1836" w:type="pct"/>
          <w:trHeight w:val="300"/>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Travel Expenses</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$ 69,200 </w:t>
            </w:r>
          </w:p>
        </w:tc>
      </w:tr>
      <w:tr w:rsidR="00B62B21" w:rsidRPr="00B62B21" w:rsidTr="00B62B21">
        <w:trPr>
          <w:gridAfter w:val="1"/>
          <w:wAfter w:w="1836" w:type="pct"/>
          <w:trHeight w:val="300"/>
        </w:trPr>
        <w:tc>
          <w:tcPr>
            <w:tcW w:w="873" w:type="pct"/>
            <w:tcBorders>
              <w:top w:val="nil"/>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44"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70"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16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36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246" w:type="pct"/>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w:t>
            </w:r>
          </w:p>
        </w:tc>
        <w:tc>
          <w:tcPr>
            <w:tcW w:w="463" w:type="pct"/>
            <w:gridSpan w:val="2"/>
            <w:tcBorders>
              <w:top w:val="nil"/>
              <w:left w:val="nil"/>
              <w:bottom w:val="single" w:sz="4" w:space="0" w:color="auto"/>
              <w:right w:val="single" w:sz="4" w:space="0" w:color="auto"/>
            </w:tcBorders>
            <w:shd w:val="clear" w:color="auto" w:fill="auto"/>
            <w:noWrap/>
            <w:vAlign w:val="bottom"/>
            <w:hideMark/>
          </w:tcPr>
          <w:p w:rsidR="00B62B21" w:rsidRPr="00B62B21" w:rsidRDefault="005E01D7" w:rsidP="00B62B21">
            <w:pPr>
              <w:rPr>
                <w:rFonts w:asciiTheme="majorBidi" w:hAnsiTheme="majorBidi" w:cstheme="majorBidi"/>
                <w:sz w:val="16"/>
                <w:szCs w:val="16"/>
              </w:rPr>
            </w:pPr>
            <w:r w:rsidRPr="005E01D7">
              <w:rPr>
                <w:rFonts w:asciiTheme="majorBidi" w:hAnsiTheme="majorBidi" w:cstheme="majorBidi"/>
                <w:sz w:val="16"/>
                <w:szCs w:val="16"/>
              </w:rPr>
              <w:t xml:space="preserve"> $ 1,670,417 </w:t>
            </w:r>
          </w:p>
        </w:tc>
      </w:tr>
      <w:tr w:rsidR="00B62B21" w:rsidRPr="00B62B21" w:rsidTr="00B62B21">
        <w:trPr>
          <w:gridAfter w:val="1"/>
          <w:wAfter w:w="1836" w:type="pct"/>
          <w:trHeight w:val="300"/>
        </w:trPr>
        <w:tc>
          <w:tcPr>
            <w:tcW w:w="873" w:type="pct"/>
            <w:tcBorders>
              <w:top w:val="nil"/>
              <w:left w:val="nil"/>
              <w:bottom w:val="nil"/>
              <w:right w:val="nil"/>
            </w:tcBorders>
            <w:shd w:val="clear" w:color="auto" w:fill="auto"/>
            <w:noWrap/>
            <w:vAlign w:val="bottom"/>
            <w:hideMark/>
          </w:tcPr>
          <w:p w:rsidR="00B62B21" w:rsidRPr="00B62B21" w:rsidRDefault="00B62B21" w:rsidP="00B62B21">
            <w:pPr>
              <w:rPr>
                <w:rFonts w:asciiTheme="majorBidi" w:hAnsiTheme="majorBidi" w:cstheme="majorBidi"/>
                <w:sz w:val="16"/>
                <w:szCs w:val="16"/>
              </w:rPr>
            </w:pPr>
          </w:p>
        </w:tc>
        <w:tc>
          <w:tcPr>
            <w:tcW w:w="244" w:type="pct"/>
            <w:tcBorders>
              <w:top w:val="nil"/>
              <w:left w:val="nil"/>
              <w:bottom w:val="nil"/>
              <w:right w:val="nil"/>
            </w:tcBorders>
            <w:shd w:val="clear" w:color="auto" w:fill="auto"/>
            <w:noWrap/>
            <w:vAlign w:val="bottom"/>
            <w:hideMark/>
          </w:tcPr>
          <w:p w:rsidR="00B62B21" w:rsidRPr="00B62B21" w:rsidRDefault="00B62B21" w:rsidP="00B62B21">
            <w:pPr>
              <w:rPr>
                <w:rFonts w:asciiTheme="majorBidi" w:hAnsiTheme="majorBidi" w:cstheme="majorBidi"/>
                <w:sz w:val="16"/>
                <w:szCs w:val="16"/>
              </w:rPr>
            </w:pPr>
          </w:p>
        </w:tc>
        <w:tc>
          <w:tcPr>
            <w:tcW w:w="270" w:type="pct"/>
            <w:tcBorders>
              <w:top w:val="nil"/>
              <w:left w:val="nil"/>
              <w:bottom w:val="nil"/>
              <w:right w:val="nil"/>
            </w:tcBorders>
            <w:shd w:val="clear" w:color="auto" w:fill="auto"/>
            <w:noWrap/>
            <w:vAlign w:val="bottom"/>
            <w:hideMark/>
          </w:tcPr>
          <w:p w:rsidR="00B62B21" w:rsidRPr="00B62B21" w:rsidRDefault="00B62B21" w:rsidP="00B62B21">
            <w:pPr>
              <w:rPr>
                <w:rFonts w:asciiTheme="majorBidi" w:hAnsiTheme="majorBidi" w:cstheme="majorBidi"/>
                <w:sz w:val="16"/>
                <w:szCs w:val="16"/>
              </w:rPr>
            </w:pPr>
          </w:p>
        </w:tc>
        <w:tc>
          <w:tcPr>
            <w:tcW w:w="231" w:type="pct"/>
            <w:tcBorders>
              <w:top w:val="nil"/>
              <w:left w:val="nil"/>
              <w:bottom w:val="nil"/>
              <w:right w:val="nil"/>
            </w:tcBorders>
            <w:shd w:val="clear" w:color="auto" w:fill="auto"/>
            <w:noWrap/>
            <w:vAlign w:val="bottom"/>
            <w:hideMark/>
          </w:tcPr>
          <w:p w:rsidR="00B62B21" w:rsidRPr="00B62B21" w:rsidRDefault="00B62B21" w:rsidP="00B62B21">
            <w:pPr>
              <w:rPr>
                <w:rFonts w:asciiTheme="majorBidi" w:hAnsiTheme="majorBidi" w:cstheme="majorBidi"/>
                <w:sz w:val="16"/>
                <w:szCs w:val="16"/>
              </w:rPr>
            </w:pPr>
          </w:p>
        </w:tc>
        <w:tc>
          <w:tcPr>
            <w:tcW w:w="165" w:type="pct"/>
            <w:tcBorders>
              <w:top w:val="nil"/>
              <w:left w:val="nil"/>
              <w:bottom w:val="nil"/>
              <w:right w:val="nil"/>
            </w:tcBorders>
            <w:shd w:val="clear" w:color="auto" w:fill="auto"/>
            <w:noWrap/>
            <w:vAlign w:val="bottom"/>
            <w:hideMark/>
          </w:tcPr>
          <w:p w:rsidR="00B62B21" w:rsidRPr="00B62B21" w:rsidRDefault="00B62B21" w:rsidP="00B62B21">
            <w:pPr>
              <w:rPr>
                <w:rFonts w:asciiTheme="majorBidi" w:hAnsiTheme="majorBidi" w:cstheme="majorBidi"/>
                <w:sz w:val="16"/>
                <w:szCs w:val="16"/>
              </w:rPr>
            </w:pPr>
          </w:p>
        </w:tc>
        <w:tc>
          <w:tcPr>
            <w:tcW w:w="305" w:type="pct"/>
            <w:tcBorders>
              <w:top w:val="nil"/>
              <w:left w:val="nil"/>
              <w:bottom w:val="nil"/>
              <w:right w:val="nil"/>
            </w:tcBorders>
            <w:shd w:val="clear" w:color="auto" w:fill="auto"/>
            <w:noWrap/>
            <w:vAlign w:val="bottom"/>
            <w:hideMark/>
          </w:tcPr>
          <w:p w:rsidR="00B62B21" w:rsidRPr="00B62B21" w:rsidRDefault="00B62B21" w:rsidP="00B62B21">
            <w:pPr>
              <w:rPr>
                <w:rFonts w:asciiTheme="majorBidi" w:hAnsiTheme="majorBidi" w:cstheme="majorBidi"/>
                <w:sz w:val="16"/>
                <w:szCs w:val="16"/>
              </w:rPr>
            </w:pPr>
          </w:p>
        </w:tc>
        <w:tc>
          <w:tcPr>
            <w:tcW w:w="366" w:type="pct"/>
            <w:tcBorders>
              <w:top w:val="nil"/>
              <w:left w:val="nil"/>
              <w:bottom w:val="nil"/>
              <w:right w:val="nil"/>
            </w:tcBorders>
            <w:shd w:val="clear" w:color="auto" w:fill="auto"/>
            <w:noWrap/>
            <w:vAlign w:val="bottom"/>
            <w:hideMark/>
          </w:tcPr>
          <w:p w:rsidR="00B62B21" w:rsidRPr="00B62B21" w:rsidRDefault="00B62B21" w:rsidP="00B62B21">
            <w:pPr>
              <w:rPr>
                <w:rFonts w:asciiTheme="majorBidi" w:hAnsiTheme="majorBidi" w:cstheme="majorBidi"/>
                <w:sz w:val="16"/>
                <w:szCs w:val="16"/>
              </w:rPr>
            </w:pPr>
          </w:p>
        </w:tc>
        <w:tc>
          <w:tcPr>
            <w:tcW w:w="246" w:type="pct"/>
            <w:tcBorders>
              <w:top w:val="nil"/>
              <w:left w:val="nil"/>
              <w:bottom w:val="nil"/>
              <w:right w:val="nil"/>
            </w:tcBorders>
            <w:shd w:val="clear" w:color="auto" w:fill="auto"/>
            <w:noWrap/>
            <w:vAlign w:val="bottom"/>
            <w:hideMark/>
          </w:tcPr>
          <w:p w:rsidR="00B62B21" w:rsidRPr="00B62B21" w:rsidRDefault="00B62B21" w:rsidP="00B62B21">
            <w:pPr>
              <w:rPr>
                <w:rFonts w:asciiTheme="majorBidi" w:hAnsiTheme="majorBidi" w:cstheme="majorBidi"/>
                <w:sz w:val="16"/>
                <w:szCs w:val="16"/>
              </w:rPr>
            </w:pPr>
          </w:p>
        </w:tc>
        <w:tc>
          <w:tcPr>
            <w:tcW w:w="463" w:type="pct"/>
            <w:gridSpan w:val="2"/>
            <w:tcBorders>
              <w:top w:val="nil"/>
              <w:left w:val="nil"/>
              <w:bottom w:val="nil"/>
              <w:right w:val="nil"/>
            </w:tcBorders>
            <w:shd w:val="clear" w:color="auto" w:fill="auto"/>
            <w:noWrap/>
            <w:vAlign w:val="bottom"/>
            <w:hideMark/>
          </w:tcPr>
          <w:p w:rsidR="00B62B21" w:rsidRPr="00B62B21" w:rsidRDefault="00B62B21" w:rsidP="00B62B21">
            <w:pPr>
              <w:rPr>
                <w:rFonts w:asciiTheme="majorBidi" w:hAnsiTheme="majorBidi" w:cstheme="majorBidi"/>
                <w:sz w:val="16"/>
                <w:szCs w:val="16"/>
              </w:rPr>
            </w:pPr>
          </w:p>
        </w:tc>
      </w:tr>
      <w:tr w:rsidR="00B62B21" w:rsidRPr="00B62B21" w:rsidTr="00B62B21">
        <w:trPr>
          <w:gridAfter w:val="2"/>
          <w:wAfter w:w="1862" w:type="pct"/>
          <w:trHeight w:val="300"/>
        </w:trPr>
        <w:tc>
          <w:tcPr>
            <w:tcW w:w="3138" w:type="pct"/>
            <w:gridSpan w:val="9"/>
            <w:tcBorders>
              <w:top w:val="nil"/>
              <w:left w:val="nil"/>
              <w:bottom w:val="nil"/>
              <w:right w:val="nil"/>
            </w:tcBorders>
            <w:shd w:val="clear" w:color="auto" w:fill="auto"/>
            <w:noWrap/>
            <w:vAlign w:val="bottom"/>
            <w:hideMark/>
          </w:tcPr>
          <w:p w:rsidR="00B62B21" w:rsidRPr="00CF40E7" w:rsidRDefault="005E01D7" w:rsidP="00B62B21">
            <w:pPr>
              <w:rPr>
                <w:rFonts w:ascii="Times New Roman" w:hAnsi="Times New Roman"/>
                <w:sz w:val="20"/>
                <w:szCs w:val="16"/>
              </w:rPr>
            </w:pPr>
            <w:r w:rsidRPr="005E01D7">
              <w:rPr>
                <w:rFonts w:ascii="Times New Roman" w:hAnsi="Times New Roman"/>
                <w:sz w:val="20"/>
                <w:szCs w:val="16"/>
              </w:rPr>
              <w:t>EPA Officials are assumed to attend 20% of performance tests (0.20 * 866 = 173.2)</w:t>
            </w:r>
          </w:p>
        </w:tc>
      </w:tr>
      <w:tr w:rsidR="00B62B21" w:rsidRPr="00B62B21" w:rsidTr="00B62B21">
        <w:trPr>
          <w:trHeight w:val="300"/>
        </w:trPr>
        <w:tc>
          <w:tcPr>
            <w:tcW w:w="5000" w:type="pct"/>
            <w:gridSpan w:val="11"/>
            <w:tcBorders>
              <w:top w:val="nil"/>
              <w:left w:val="nil"/>
              <w:bottom w:val="nil"/>
              <w:right w:val="nil"/>
            </w:tcBorders>
            <w:shd w:val="clear" w:color="auto" w:fill="auto"/>
            <w:noWrap/>
            <w:vAlign w:val="bottom"/>
            <w:hideMark/>
          </w:tcPr>
          <w:p w:rsidR="00B62B21" w:rsidRPr="00CF40E7" w:rsidRDefault="005E01D7" w:rsidP="00B62B21">
            <w:pPr>
              <w:rPr>
                <w:rFonts w:ascii="Times New Roman" w:hAnsi="Times New Roman"/>
                <w:sz w:val="20"/>
                <w:szCs w:val="16"/>
              </w:rPr>
            </w:pPr>
            <w:r w:rsidRPr="005E01D7">
              <w:rPr>
                <w:rFonts w:ascii="Times New Roman" w:hAnsi="Times New Roman"/>
                <w:sz w:val="20"/>
                <w:szCs w:val="16"/>
              </w:rPr>
              <w:t>Travel Expenses = (1 person x 173 plants/year x 3 days/plant x $50 per diem) + ($250 round trip/plant x 173 plants/year) = $69,200/year</w:t>
            </w:r>
          </w:p>
        </w:tc>
      </w:tr>
      <w:tr w:rsidR="00B62B21" w:rsidRPr="00B62B21" w:rsidTr="00B62B21">
        <w:trPr>
          <w:gridAfter w:val="2"/>
          <w:wAfter w:w="1862" w:type="pct"/>
          <w:trHeight w:val="300"/>
        </w:trPr>
        <w:tc>
          <w:tcPr>
            <w:tcW w:w="3138" w:type="pct"/>
            <w:gridSpan w:val="9"/>
            <w:tcBorders>
              <w:top w:val="nil"/>
              <w:left w:val="nil"/>
              <w:bottom w:val="nil"/>
              <w:right w:val="nil"/>
            </w:tcBorders>
            <w:shd w:val="clear" w:color="auto" w:fill="auto"/>
            <w:noWrap/>
            <w:vAlign w:val="bottom"/>
            <w:hideMark/>
          </w:tcPr>
          <w:p w:rsidR="00B62B21" w:rsidRPr="00CF40E7" w:rsidRDefault="005E01D7" w:rsidP="00B62B21">
            <w:pPr>
              <w:rPr>
                <w:rFonts w:ascii="Times New Roman" w:hAnsi="Times New Roman"/>
                <w:sz w:val="20"/>
                <w:szCs w:val="16"/>
              </w:rPr>
            </w:pPr>
            <w:r w:rsidRPr="005E01D7">
              <w:rPr>
                <w:rFonts w:ascii="Times New Roman" w:hAnsi="Times New Roman"/>
                <w:sz w:val="20"/>
                <w:szCs w:val="16"/>
              </w:rPr>
              <w:t>Assume visit 173 plants per year</w:t>
            </w:r>
          </w:p>
        </w:tc>
      </w:tr>
    </w:tbl>
    <w:p w:rsidR="008A2083" w:rsidRPr="00F245EA" w:rsidRDefault="008A2083" w:rsidP="002D550B">
      <w:pPr>
        <w:rPr>
          <w:rFonts w:ascii="Times New Roman" w:hAnsi="Times New Roman"/>
          <w:highlight w:val="yellow"/>
        </w:rPr>
        <w:sectPr w:rsidR="008A2083" w:rsidRPr="00F245EA" w:rsidSect="00593F37">
          <w:pgSz w:w="15840" w:h="12240" w:orient="landscape"/>
          <w:pgMar w:top="1440" w:right="1440" w:bottom="1440" w:left="1440" w:header="720" w:footer="720" w:gutter="0"/>
          <w:cols w:space="720"/>
          <w:docGrid w:linePitch="360"/>
        </w:sectPr>
      </w:pPr>
    </w:p>
    <w:p w:rsidR="008A2083" w:rsidRPr="00E14996" w:rsidRDefault="008403BE" w:rsidP="00E14996">
      <w:pPr>
        <w:pStyle w:val="ExhibitTitle"/>
        <w:rPr>
          <w:rFonts w:ascii="Times New Roman" w:hAnsi="Times New Roman"/>
        </w:rPr>
      </w:pPr>
      <w:r>
        <w:rPr>
          <w:rFonts w:ascii="Times New Roman" w:hAnsi="Times New Roman"/>
        </w:rPr>
        <w:lastRenderedPageBreak/>
        <w:t>Exhibit</w:t>
      </w:r>
      <w:r w:rsidRPr="00E14996">
        <w:rPr>
          <w:rFonts w:ascii="Times New Roman" w:hAnsi="Times New Roman"/>
        </w:rPr>
        <w:t xml:space="preserve"> </w:t>
      </w:r>
      <w:r w:rsidR="008A2083" w:rsidRPr="00E14996">
        <w:rPr>
          <w:rFonts w:ascii="Times New Roman" w:hAnsi="Times New Roman"/>
        </w:rPr>
        <w:t>2c</w:t>
      </w:r>
      <w:r w:rsidR="008A2083" w:rsidRPr="00E14996">
        <w:rPr>
          <w:rFonts w:ascii="Times New Roman" w:hAnsi="Times New Roman"/>
        </w:rPr>
        <w:tab/>
        <w:t>Year</w:t>
      </w:r>
      <w:r w:rsidR="00656C55" w:rsidRPr="00E14996">
        <w:rPr>
          <w:rFonts w:ascii="Times New Roman" w:hAnsi="Times New Roman"/>
        </w:rPr>
        <w:t xml:space="preserve"> 3</w:t>
      </w:r>
      <w:r w:rsidR="008A2083" w:rsidRPr="00E14996">
        <w:rPr>
          <w:rFonts w:ascii="Times New Roman" w:hAnsi="Times New Roman"/>
        </w:rPr>
        <w:t xml:space="preserve"> Agency Burden and Cost, NESHAP for </w:t>
      </w:r>
      <w:r w:rsidR="00E14996" w:rsidRPr="00E14996">
        <w:rPr>
          <w:rFonts w:ascii="Times New Roman" w:hAnsi="Times New Roman"/>
        </w:rPr>
        <w:t>Electric Generating Units</w:t>
      </w:r>
      <w:r w:rsidR="008A2083" w:rsidRPr="00E14996">
        <w:rPr>
          <w:rFonts w:ascii="Times New Roman" w:hAnsi="Times New Roman"/>
        </w:rPr>
        <w:t xml:space="preserve"> (40 CFR part 63, subpart </w:t>
      </w:r>
      <w:r w:rsidR="00E14996" w:rsidRPr="00E14996">
        <w:rPr>
          <w:rFonts w:ascii="Times New Roman" w:hAnsi="Times New Roman"/>
        </w:rPr>
        <w:t>UUUUU</w:t>
      </w:r>
      <w:r w:rsidR="008A2083" w:rsidRPr="00E14996">
        <w:rPr>
          <w:rFonts w:ascii="Times New Roman" w:hAnsi="Times New Roman"/>
        </w:rPr>
        <w:t>)</w:t>
      </w:r>
    </w:p>
    <w:p w:rsidR="00B44B13" w:rsidRDefault="00B44B13" w:rsidP="002D1915">
      <w:pPr>
        <w:rPr>
          <w:rFonts w:ascii="Times New Roman" w:hAnsi="Times New Roman"/>
        </w:rPr>
      </w:pPr>
    </w:p>
    <w:tbl>
      <w:tblPr>
        <w:tblW w:w="0" w:type="auto"/>
        <w:tblInd w:w="97" w:type="dxa"/>
        <w:tblLayout w:type="fixed"/>
        <w:tblLook w:val="04A0"/>
      </w:tblPr>
      <w:tblGrid>
        <w:gridCol w:w="6"/>
        <w:gridCol w:w="3761"/>
        <w:gridCol w:w="1058"/>
        <w:gridCol w:w="1249"/>
        <w:gridCol w:w="1045"/>
        <w:gridCol w:w="779"/>
        <w:gridCol w:w="1343"/>
        <w:gridCol w:w="1633"/>
        <w:gridCol w:w="1153"/>
        <w:gridCol w:w="970"/>
        <w:gridCol w:w="821"/>
        <w:gridCol w:w="6911"/>
      </w:tblGrid>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imes New Roman" w:eastAsia="Times New Roman" w:hAnsi="Times New Roman"/>
                <w:b/>
                <w:bCs/>
                <w:color w:val="000000"/>
                <w:sz w:val="16"/>
                <w:szCs w:val="16"/>
              </w:rPr>
            </w:pPr>
            <w:r w:rsidRPr="005E01D7">
              <w:rPr>
                <w:rFonts w:ascii="Times New Roman" w:eastAsia="Times New Roman" w:hAnsi="Times New Roman"/>
                <w:b/>
                <w:bCs/>
                <w:color w:val="000000"/>
                <w:sz w:val="16"/>
                <w:szCs w:val="16"/>
              </w:rPr>
              <w:t xml:space="preserve">Activity -- Year </w:t>
            </w:r>
            <w:r w:rsidR="00B62B21">
              <w:rPr>
                <w:rFonts w:ascii="Times New Roman" w:eastAsia="Times New Roman" w:hAnsi="Times New Roman"/>
                <w:b/>
                <w:bCs/>
                <w:color w:val="000000"/>
                <w:sz w:val="16"/>
                <w:szCs w:val="16"/>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imes New Roman" w:eastAsia="Times New Roman" w:hAnsi="Times New Roman"/>
                <w:b/>
                <w:bCs/>
                <w:color w:val="000000"/>
                <w:sz w:val="16"/>
                <w:szCs w:val="16"/>
              </w:rPr>
            </w:pPr>
            <w:r w:rsidRPr="005E01D7">
              <w:rPr>
                <w:rFonts w:ascii="Times New Roman" w:eastAsia="Times New Roman" w:hAnsi="Times New Roman"/>
                <w:b/>
                <w:bCs/>
                <w:color w:val="000000"/>
                <w:sz w:val="16"/>
                <w:szCs w:val="16"/>
              </w:rPr>
              <w:t>(A) EPA Hours/ Occurrence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imes New Roman" w:eastAsia="Times New Roman" w:hAnsi="Times New Roman"/>
                <w:b/>
                <w:bCs/>
                <w:color w:val="000000"/>
                <w:sz w:val="16"/>
                <w:szCs w:val="16"/>
              </w:rPr>
            </w:pPr>
            <w:r w:rsidRPr="005E01D7">
              <w:rPr>
                <w:rFonts w:ascii="Times New Roman" w:eastAsia="Times New Roman" w:hAnsi="Times New Roman"/>
                <w:b/>
                <w:bCs/>
                <w:color w:val="000000"/>
                <w:sz w:val="16"/>
                <w:szCs w:val="16"/>
              </w:rPr>
              <w:t>(B) Occurrences/ Plant/Year</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imes New Roman" w:eastAsia="Times New Roman" w:hAnsi="Times New Roman"/>
                <w:b/>
                <w:bCs/>
                <w:color w:val="000000"/>
                <w:sz w:val="16"/>
                <w:szCs w:val="16"/>
              </w:rPr>
            </w:pPr>
            <w:r w:rsidRPr="005E01D7">
              <w:rPr>
                <w:rFonts w:ascii="Times New Roman" w:eastAsia="Times New Roman" w:hAnsi="Times New Roman"/>
                <w:b/>
                <w:bCs/>
                <w:color w:val="000000"/>
                <w:sz w:val="16"/>
                <w:szCs w:val="16"/>
              </w:rPr>
              <w:t>(C) EPA Hours/ Plant/Year (A x B)</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imes New Roman" w:eastAsia="Times New Roman" w:hAnsi="Times New Roman"/>
                <w:b/>
                <w:bCs/>
                <w:color w:val="000000"/>
                <w:sz w:val="16"/>
                <w:szCs w:val="16"/>
              </w:rPr>
            </w:pPr>
            <w:r w:rsidRPr="005E01D7">
              <w:rPr>
                <w:rFonts w:ascii="Times New Roman" w:eastAsia="Times New Roman" w:hAnsi="Times New Roman"/>
                <w:b/>
                <w:bCs/>
                <w:color w:val="000000"/>
                <w:sz w:val="16"/>
                <w:szCs w:val="16"/>
              </w:rPr>
              <w:t>(D) Plants/ Year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imes New Roman" w:eastAsia="Times New Roman" w:hAnsi="Times New Roman"/>
                <w:b/>
                <w:bCs/>
                <w:color w:val="000000"/>
                <w:sz w:val="16"/>
                <w:szCs w:val="16"/>
              </w:rPr>
            </w:pPr>
            <w:r w:rsidRPr="005E01D7">
              <w:rPr>
                <w:rFonts w:ascii="Times New Roman" w:eastAsia="Times New Roman" w:hAnsi="Times New Roman"/>
                <w:b/>
                <w:bCs/>
                <w:color w:val="000000"/>
                <w:sz w:val="16"/>
                <w:szCs w:val="16"/>
              </w:rPr>
              <w:t>(E) EPA Technical Hours/ Year (C x D)</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imes New Roman" w:eastAsia="Times New Roman" w:hAnsi="Times New Roman"/>
                <w:b/>
                <w:bCs/>
                <w:color w:val="000000"/>
                <w:sz w:val="16"/>
                <w:szCs w:val="16"/>
              </w:rPr>
            </w:pPr>
            <w:r w:rsidRPr="005E01D7">
              <w:rPr>
                <w:rFonts w:ascii="Times New Roman" w:eastAsia="Times New Roman" w:hAnsi="Times New Roman"/>
                <w:b/>
                <w:bCs/>
                <w:color w:val="000000"/>
                <w:sz w:val="16"/>
                <w:szCs w:val="16"/>
              </w:rPr>
              <w:t>(F) EPA Managerial Hours/Year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imes New Roman" w:eastAsia="Times New Roman" w:hAnsi="Times New Roman"/>
                <w:b/>
                <w:bCs/>
                <w:color w:val="000000"/>
                <w:sz w:val="16"/>
                <w:szCs w:val="16"/>
              </w:rPr>
            </w:pPr>
            <w:r w:rsidRPr="005E01D7">
              <w:rPr>
                <w:rFonts w:ascii="Times New Roman" w:eastAsia="Times New Roman" w:hAnsi="Times New Roman"/>
                <w:b/>
                <w:bCs/>
                <w:color w:val="000000"/>
                <w:sz w:val="16"/>
                <w:szCs w:val="16"/>
              </w:rPr>
              <w:t>(G) EPA Clerical Hours/Year</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5E01D7" w:rsidP="00B62B21">
            <w:pPr>
              <w:rPr>
                <w:rFonts w:ascii="Times New Roman" w:eastAsia="Times New Roman" w:hAnsi="Times New Roman"/>
                <w:b/>
                <w:bCs/>
                <w:color w:val="000000"/>
                <w:sz w:val="16"/>
                <w:szCs w:val="16"/>
              </w:rPr>
            </w:pPr>
            <w:r w:rsidRPr="005E01D7">
              <w:rPr>
                <w:rFonts w:ascii="Times New Roman" w:eastAsia="Times New Roman" w:hAnsi="Times New Roman"/>
                <w:b/>
                <w:bCs/>
                <w:color w:val="000000"/>
                <w:sz w:val="16"/>
                <w:szCs w:val="16"/>
              </w:rPr>
              <w:t>(H) Cost,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Observe Initial Performance Tests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24</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84.13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2019.2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100.96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20.192</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$ 100,095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Observe Repeat Performance Tests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84.13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403.84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20.192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4.0384</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$ 20,019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Review Notification of Demonstration of CEMS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21.65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$ 21,465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Review Quality Assurance Program Notification</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21.65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$ 21,465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Review Startup, shutdown, and malfunction Report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6,928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346.4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69.28</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$ 343,433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Review Notification of Compliance Status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21.65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$ 21,465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Review requests to use alternative monitoring procedure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$ 21,465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Review Initial Notifications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0.05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0.01</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$ 50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Review Notification of performance test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0.5</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21.65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4.33</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$ 21,465</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Review Test/CEMS Results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6,928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346.4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69.28</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$ 343,433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Review site specific performance evaluation test plan</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6,928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346.4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69.28</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$ 343,433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Review Semi-Annual reports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866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6,928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346.4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69.28</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$ 343,433</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Total Annual Hours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32,301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1,615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323</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$ 1,601,217</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34,239.1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Hours</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Travel Expenses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$ 69,200 </w:t>
            </w:r>
          </w:p>
        </w:tc>
      </w:tr>
      <w:tr w:rsidR="00B62B21" w:rsidRPr="00B62B21" w:rsidTr="00B62B21">
        <w:trPr>
          <w:gridBefore w:val="1"/>
          <w:gridAfter w:val="1"/>
          <w:wAfter w:w="7645" w:type="dxa"/>
          <w:trHeight w:val="300"/>
        </w:trPr>
        <w:tc>
          <w:tcPr>
            <w:tcW w:w="3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w:t>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r w:rsidRPr="00B62B21">
              <w:rPr>
                <w:rFonts w:ascii="Times New Roman" w:eastAsia="Times New Roman" w:hAnsi="Times New Roman"/>
                <w:color w:val="000000"/>
                <w:sz w:val="16"/>
                <w:szCs w:val="16"/>
              </w:rPr>
              <w:t xml:space="preserve"> $ 1,670,417 </w:t>
            </w:r>
          </w:p>
        </w:tc>
      </w:tr>
      <w:tr w:rsidR="00B62B21" w:rsidRPr="00B62B21" w:rsidTr="00B62B21">
        <w:trPr>
          <w:gridBefore w:val="1"/>
          <w:gridAfter w:val="1"/>
          <w:wAfter w:w="7645" w:type="dxa"/>
          <w:trHeight w:val="300"/>
        </w:trPr>
        <w:tc>
          <w:tcPr>
            <w:tcW w:w="3521" w:type="dxa"/>
            <w:tcBorders>
              <w:top w:val="single" w:sz="4" w:space="0" w:color="auto"/>
              <w:left w:val="nil"/>
              <w:bottom w:val="nil"/>
              <w:right w:val="nil"/>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p>
        </w:tc>
        <w:tc>
          <w:tcPr>
            <w:tcW w:w="990" w:type="dxa"/>
            <w:tcBorders>
              <w:top w:val="single" w:sz="4" w:space="0" w:color="auto"/>
              <w:left w:val="nil"/>
              <w:bottom w:val="nil"/>
              <w:right w:val="nil"/>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p>
        </w:tc>
        <w:tc>
          <w:tcPr>
            <w:tcW w:w="1170" w:type="dxa"/>
            <w:tcBorders>
              <w:top w:val="single" w:sz="4" w:space="0" w:color="auto"/>
              <w:left w:val="nil"/>
              <w:bottom w:val="nil"/>
              <w:right w:val="nil"/>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p>
        </w:tc>
        <w:tc>
          <w:tcPr>
            <w:tcW w:w="979" w:type="dxa"/>
            <w:tcBorders>
              <w:top w:val="single" w:sz="4" w:space="0" w:color="auto"/>
              <w:left w:val="nil"/>
              <w:bottom w:val="nil"/>
              <w:right w:val="nil"/>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p>
        </w:tc>
        <w:tc>
          <w:tcPr>
            <w:tcW w:w="731" w:type="dxa"/>
            <w:tcBorders>
              <w:top w:val="single" w:sz="4" w:space="0" w:color="auto"/>
              <w:left w:val="nil"/>
              <w:bottom w:val="nil"/>
              <w:right w:val="nil"/>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p>
        </w:tc>
        <w:tc>
          <w:tcPr>
            <w:tcW w:w="1260" w:type="dxa"/>
            <w:tcBorders>
              <w:top w:val="single" w:sz="4" w:space="0" w:color="auto"/>
              <w:left w:val="nil"/>
              <w:bottom w:val="nil"/>
              <w:right w:val="nil"/>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p>
        </w:tc>
        <w:tc>
          <w:tcPr>
            <w:tcW w:w="1530" w:type="dxa"/>
            <w:tcBorders>
              <w:top w:val="single" w:sz="4" w:space="0" w:color="auto"/>
              <w:left w:val="nil"/>
              <w:bottom w:val="nil"/>
              <w:right w:val="nil"/>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p>
        </w:tc>
        <w:tc>
          <w:tcPr>
            <w:tcW w:w="1080" w:type="dxa"/>
            <w:tcBorders>
              <w:top w:val="single" w:sz="4" w:space="0" w:color="auto"/>
              <w:left w:val="nil"/>
              <w:bottom w:val="nil"/>
              <w:right w:val="nil"/>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p>
        </w:tc>
        <w:tc>
          <w:tcPr>
            <w:tcW w:w="1818" w:type="dxa"/>
            <w:gridSpan w:val="2"/>
            <w:tcBorders>
              <w:top w:val="single" w:sz="4" w:space="0" w:color="auto"/>
              <w:left w:val="nil"/>
              <w:bottom w:val="nil"/>
              <w:right w:val="nil"/>
            </w:tcBorders>
            <w:shd w:val="clear" w:color="auto" w:fill="auto"/>
            <w:noWrap/>
            <w:vAlign w:val="bottom"/>
            <w:hideMark/>
          </w:tcPr>
          <w:p w:rsidR="00B62B21" w:rsidRPr="00B62B21" w:rsidRDefault="00B62B21" w:rsidP="00B62B21">
            <w:pPr>
              <w:rPr>
                <w:rFonts w:ascii="Times New Roman" w:eastAsia="Times New Roman" w:hAnsi="Times New Roman"/>
                <w:color w:val="000000"/>
                <w:sz w:val="16"/>
                <w:szCs w:val="16"/>
              </w:rPr>
            </w:pPr>
          </w:p>
        </w:tc>
      </w:tr>
      <w:tr w:rsidR="00CF40E7" w:rsidRPr="00CF40E7" w:rsidTr="00CF40E7">
        <w:trPr>
          <w:gridAfter w:val="2"/>
          <w:wAfter w:w="1862" w:type="pct"/>
          <w:trHeight w:val="300"/>
        </w:trPr>
        <w:tc>
          <w:tcPr>
            <w:tcW w:w="3138" w:type="pct"/>
            <w:gridSpan w:val="10"/>
            <w:tcBorders>
              <w:top w:val="nil"/>
              <w:left w:val="nil"/>
              <w:bottom w:val="nil"/>
              <w:right w:val="nil"/>
            </w:tcBorders>
            <w:shd w:val="clear" w:color="auto" w:fill="auto"/>
            <w:noWrap/>
            <w:vAlign w:val="bottom"/>
            <w:hideMark/>
          </w:tcPr>
          <w:p w:rsidR="00CF40E7" w:rsidRPr="00CF40E7" w:rsidRDefault="005E01D7" w:rsidP="00CF40E7">
            <w:pPr>
              <w:rPr>
                <w:rFonts w:ascii="Times New Roman" w:hAnsi="Times New Roman"/>
                <w:sz w:val="20"/>
                <w:szCs w:val="16"/>
              </w:rPr>
            </w:pPr>
            <w:r w:rsidRPr="005E01D7">
              <w:rPr>
                <w:rFonts w:ascii="Times New Roman" w:hAnsi="Times New Roman"/>
                <w:sz w:val="20"/>
                <w:szCs w:val="16"/>
              </w:rPr>
              <w:t>EPA Officials are assumed to attend 20% of performance tests (0.20 * 866 = 173.2)</w:t>
            </w:r>
          </w:p>
        </w:tc>
      </w:tr>
      <w:tr w:rsidR="00CF40E7" w:rsidRPr="00CF40E7" w:rsidTr="00CF40E7">
        <w:trPr>
          <w:trHeight w:val="300"/>
        </w:trPr>
        <w:tc>
          <w:tcPr>
            <w:tcW w:w="5000" w:type="pct"/>
            <w:gridSpan w:val="12"/>
            <w:tcBorders>
              <w:top w:val="nil"/>
              <w:left w:val="nil"/>
              <w:bottom w:val="nil"/>
              <w:right w:val="nil"/>
            </w:tcBorders>
            <w:shd w:val="clear" w:color="auto" w:fill="auto"/>
            <w:noWrap/>
            <w:vAlign w:val="bottom"/>
            <w:hideMark/>
          </w:tcPr>
          <w:p w:rsidR="00CF40E7" w:rsidRPr="00CF40E7" w:rsidRDefault="005E01D7" w:rsidP="00CF40E7">
            <w:pPr>
              <w:rPr>
                <w:rFonts w:ascii="Times New Roman" w:hAnsi="Times New Roman"/>
                <w:sz w:val="20"/>
                <w:szCs w:val="16"/>
              </w:rPr>
            </w:pPr>
            <w:r w:rsidRPr="005E01D7">
              <w:rPr>
                <w:rFonts w:ascii="Times New Roman" w:hAnsi="Times New Roman"/>
                <w:sz w:val="20"/>
                <w:szCs w:val="16"/>
              </w:rPr>
              <w:t>Travel Expenses = (1 person x 173 plants/year x 3 days/plant x $50 per diem) + ($250 round trip/plant x 173 plants/year) = $69,200/year</w:t>
            </w:r>
          </w:p>
        </w:tc>
      </w:tr>
      <w:tr w:rsidR="00CF40E7" w:rsidRPr="00CF40E7" w:rsidTr="00CF40E7">
        <w:trPr>
          <w:gridAfter w:val="2"/>
          <w:wAfter w:w="1862" w:type="pct"/>
          <w:trHeight w:val="300"/>
        </w:trPr>
        <w:tc>
          <w:tcPr>
            <w:tcW w:w="3138" w:type="pct"/>
            <w:gridSpan w:val="10"/>
            <w:tcBorders>
              <w:top w:val="nil"/>
              <w:left w:val="nil"/>
              <w:bottom w:val="nil"/>
              <w:right w:val="nil"/>
            </w:tcBorders>
            <w:shd w:val="clear" w:color="auto" w:fill="auto"/>
            <w:noWrap/>
            <w:vAlign w:val="bottom"/>
            <w:hideMark/>
          </w:tcPr>
          <w:p w:rsidR="00CF40E7" w:rsidRPr="00CF40E7" w:rsidRDefault="005E01D7" w:rsidP="00CF40E7">
            <w:pPr>
              <w:rPr>
                <w:rFonts w:ascii="Times New Roman" w:hAnsi="Times New Roman"/>
                <w:sz w:val="20"/>
                <w:szCs w:val="16"/>
              </w:rPr>
            </w:pPr>
            <w:r w:rsidRPr="005E01D7">
              <w:rPr>
                <w:rFonts w:ascii="Times New Roman" w:hAnsi="Times New Roman"/>
                <w:sz w:val="20"/>
                <w:szCs w:val="16"/>
              </w:rPr>
              <w:t>Assume visit 173 plants per year</w:t>
            </w:r>
          </w:p>
        </w:tc>
      </w:tr>
    </w:tbl>
    <w:p w:rsidR="009114F8" w:rsidRPr="00F245EA" w:rsidRDefault="009114F8" w:rsidP="002D1915">
      <w:pPr>
        <w:rPr>
          <w:rFonts w:ascii="Times New Roman" w:hAnsi="Times New Roman"/>
        </w:rPr>
      </w:pPr>
    </w:p>
    <w:sectPr w:rsidR="009114F8" w:rsidRPr="00F245EA" w:rsidSect="00593F3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F41" w:rsidRDefault="00DB1F41" w:rsidP="004A3758">
      <w:r>
        <w:separator/>
      </w:r>
    </w:p>
  </w:endnote>
  <w:endnote w:type="continuationSeparator" w:id="0">
    <w:p w:rsidR="00DB1F41" w:rsidRDefault="00DB1F41" w:rsidP="004A3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ZapfEllipt BT">
    <w:altName w:val="Cambria Math"/>
    <w:charset w:val="00"/>
    <w:family w:val="roman"/>
    <w:pitch w:val="variable"/>
    <w:sig w:usb0="00000001" w:usb1="1000204A" w:usb2="00000000" w:usb3="00000000" w:csb0="0000001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26E" w:rsidRDefault="00FD126E">
    <w:pPr>
      <w:pStyle w:val="Footer"/>
      <w:jc w:val="center"/>
    </w:pPr>
    <w:fldSimple w:instr=" PAGE   \* MERGEFORMAT ">
      <w:r w:rsidR="000F394F">
        <w:rPr>
          <w:noProof/>
        </w:rPr>
        <w:t>17</w:t>
      </w:r>
    </w:fldSimple>
  </w:p>
  <w:p w:rsidR="00FD126E" w:rsidRDefault="00FD12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F41" w:rsidRDefault="00DB1F41" w:rsidP="004A3758">
      <w:r>
        <w:separator/>
      </w:r>
    </w:p>
  </w:footnote>
  <w:footnote w:type="continuationSeparator" w:id="0">
    <w:p w:rsidR="00DB1F41" w:rsidRDefault="00DB1F41" w:rsidP="004A3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28"/>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90F20"/>
    <w:rsid w:val="000011F8"/>
    <w:rsid w:val="00017867"/>
    <w:rsid w:val="00017F30"/>
    <w:rsid w:val="0002271B"/>
    <w:rsid w:val="00026E9D"/>
    <w:rsid w:val="00071EC8"/>
    <w:rsid w:val="00087CC7"/>
    <w:rsid w:val="00091C3C"/>
    <w:rsid w:val="000A7801"/>
    <w:rsid w:val="000B6C12"/>
    <w:rsid w:val="000D48D4"/>
    <w:rsid w:val="000E0122"/>
    <w:rsid w:val="000E0E67"/>
    <w:rsid w:val="000F01A4"/>
    <w:rsid w:val="000F394F"/>
    <w:rsid w:val="000F3B39"/>
    <w:rsid w:val="00110F58"/>
    <w:rsid w:val="001111D2"/>
    <w:rsid w:val="00113ABD"/>
    <w:rsid w:val="00114096"/>
    <w:rsid w:val="0011515F"/>
    <w:rsid w:val="00124A0B"/>
    <w:rsid w:val="001300E8"/>
    <w:rsid w:val="00145C70"/>
    <w:rsid w:val="00180971"/>
    <w:rsid w:val="0019526C"/>
    <w:rsid w:val="00196700"/>
    <w:rsid w:val="001B3DC2"/>
    <w:rsid w:val="001C04AD"/>
    <w:rsid w:val="001D2AB7"/>
    <w:rsid w:val="001D3852"/>
    <w:rsid w:val="001D5E17"/>
    <w:rsid w:val="001E6EFB"/>
    <w:rsid w:val="001F3386"/>
    <w:rsid w:val="001F41F7"/>
    <w:rsid w:val="001F421B"/>
    <w:rsid w:val="0022013D"/>
    <w:rsid w:val="00230BD1"/>
    <w:rsid w:val="00250307"/>
    <w:rsid w:val="002542EB"/>
    <w:rsid w:val="002559B1"/>
    <w:rsid w:val="00256CB3"/>
    <w:rsid w:val="00263A39"/>
    <w:rsid w:val="002777CB"/>
    <w:rsid w:val="00290F20"/>
    <w:rsid w:val="002977E9"/>
    <w:rsid w:val="002A21EA"/>
    <w:rsid w:val="002B3CAB"/>
    <w:rsid w:val="002B5782"/>
    <w:rsid w:val="002B6E5F"/>
    <w:rsid w:val="002D1915"/>
    <w:rsid w:val="002D24E2"/>
    <w:rsid w:val="002D550B"/>
    <w:rsid w:val="002E495C"/>
    <w:rsid w:val="003024CD"/>
    <w:rsid w:val="003069C0"/>
    <w:rsid w:val="00315242"/>
    <w:rsid w:val="00332DD0"/>
    <w:rsid w:val="003363A0"/>
    <w:rsid w:val="00337CF4"/>
    <w:rsid w:val="00341A80"/>
    <w:rsid w:val="003453CC"/>
    <w:rsid w:val="0034549F"/>
    <w:rsid w:val="0035244C"/>
    <w:rsid w:val="00372DBB"/>
    <w:rsid w:val="003A0BBE"/>
    <w:rsid w:val="003A3FE2"/>
    <w:rsid w:val="003B1201"/>
    <w:rsid w:val="003B4EAE"/>
    <w:rsid w:val="003B6B97"/>
    <w:rsid w:val="003B6EA8"/>
    <w:rsid w:val="003C3042"/>
    <w:rsid w:val="003D47E1"/>
    <w:rsid w:val="003E0AD3"/>
    <w:rsid w:val="003F3C46"/>
    <w:rsid w:val="004025BF"/>
    <w:rsid w:val="004069FA"/>
    <w:rsid w:val="00417DA0"/>
    <w:rsid w:val="00421DF7"/>
    <w:rsid w:val="004229BF"/>
    <w:rsid w:val="004264BA"/>
    <w:rsid w:val="00430CBF"/>
    <w:rsid w:val="004377DA"/>
    <w:rsid w:val="00441BE8"/>
    <w:rsid w:val="00452648"/>
    <w:rsid w:val="00452C08"/>
    <w:rsid w:val="00452F1F"/>
    <w:rsid w:val="00453FD1"/>
    <w:rsid w:val="00462D22"/>
    <w:rsid w:val="00466BEB"/>
    <w:rsid w:val="0048328C"/>
    <w:rsid w:val="00485743"/>
    <w:rsid w:val="004A02B6"/>
    <w:rsid w:val="004A1FC4"/>
    <w:rsid w:val="004A3758"/>
    <w:rsid w:val="004B1208"/>
    <w:rsid w:val="004C3386"/>
    <w:rsid w:val="004D126B"/>
    <w:rsid w:val="004D7275"/>
    <w:rsid w:val="00500F7C"/>
    <w:rsid w:val="0050750E"/>
    <w:rsid w:val="00510D95"/>
    <w:rsid w:val="00511438"/>
    <w:rsid w:val="005170B7"/>
    <w:rsid w:val="0052403B"/>
    <w:rsid w:val="0053022F"/>
    <w:rsid w:val="005332CE"/>
    <w:rsid w:val="00553CA4"/>
    <w:rsid w:val="00556B17"/>
    <w:rsid w:val="00556D4D"/>
    <w:rsid w:val="005615C5"/>
    <w:rsid w:val="00566056"/>
    <w:rsid w:val="005720EA"/>
    <w:rsid w:val="00573E04"/>
    <w:rsid w:val="00576D07"/>
    <w:rsid w:val="00576D5C"/>
    <w:rsid w:val="00580463"/>
    <w:rsid w:val="005922C3"/>
    <w:rsid w:val="00593F37"/>
    <w:rsid w:val="005C36FA"/>
    <w:rsid w:val="005C543F"/>
    <w:rsid w:val="005D59D8"/>
    <w:rsid w:val="005E01D7"/>
    <w:rsid w:val="005F3BAC"/>
    <w:rsid w:val="005F6931"/>
    <w:rsid w:val="00600970"/>
    <w:rsid w:val="00610899"/>
    <w:rsid w:val="00614897"/>
    <w:rsid w:val="006305AC"/>
    <w:rsid w:val="006308D0"/>
    <w:rsid w:val="00631340"/>
    <w:rsid w:val="0063222D"/>
    <w:rsid w:val="00640B02"/>
    <w:rsid w:val="0064173F"/>
    <w:rsid w:val="00644F59"/>
    <w:rsid w:val="006524C5"/>
    <w:rsid w:val="00656C55"/>
    <w:rsid w:val="0066152B"/>
    <w:rsid w:val="006773F1"/>
    <w:rsid w:val="0068644D"/>
    <w:rsid w:val="00691BFD"/>
    <w:rsid w:val="006A66E1"/>
    <w:rsid w:val="006B65BC"/>
    <w:rsid w:val="006C067F"/>
    <w:rsid w:val="006C76C5"/>
    <w:rsid w:val="006E6041"/>
    <w:rsid w:val="006F2EE1"/>
    <w:rsid w:val="00716EF5"/>
    <w:rsid w:val="007445B5"/>
    <w:rsid w:val="0075508C"/>
    <w:rsid w:val="00762252"/>
    <w:rsid w:val="007627E8"/>
    <w:rsid w:val="00764E0D"/>
    <w:rsid w:val="007706AA"/>
    <w:rsid w:val="00777DB4"/>
    <w:rsid w:val="0079404A"/>
    <w:rsid w:val="007A10D7"/>
    <w:rsid w:val="007A4BBD"/>
    <w:rsid w:val="007C7E34"/>
    <w:rsid w:val="007D6FDD"/>
    <w:rsid w:val="007E086D"/>
    <w:rsid w:val="007E09A5"/>
    <w:rsid w:val="007E2D1E"/>
    <w:rsid w:val="007F5F0B"/>
    <w:rsid w:val="00802128"/>
    <w:rsid w:val="00806E75"/>
    <w:rsid w:val="00807DF8"/>
    <w:rsid w:val="0081279C"/>
    <w:rsid w:val="00817EED"/>
    <w:rsid w:val="00820B20"/>
    <w:rsid w:val="0082491A"/>
    <w:rsid w:val="008254B2"/>
    <w:rsid w:val="00832EA7"/>
    <w:rsid w:val="008403BE"/>
    <w:rsid w:val="00840BAE"/>
    <w:rsid w:val="00841C33"/>
    <w:rsid w:val="00862539"/>
    <w:rsid w:val="008677D2"/>
    <w:rsid w:val="00886238"/>
    <w:rsid w:val="00897BAA"/>
    <w:rsid w:val="008A19ED"/>
    <w:rsid w:val="008A2083"/>
    <w:rsid w:val="008A6188"/>
    <w:rsid w:val="008C52F2"/>
    <w:rsid w:val="008C5BF2"/>
    <w:rsid w:val="008C7349"/>
    <w:rsid w:val="008C76D8"/>
    <w:rsid w:val="008D1F9D"/>
    <w:rsid w:val="008D5D05"/>
    <w:rsid w:val="008F0081"/>
    <w:rsid w:val="008F4044"/>
    <w:rsid w:val="009060A6"/>
    <w:rsid w:val="009114F8"/>
    <w:rsid w:val="00916005"/>
    <w:rsid w:val="009213CA"/>
    <w:rsid w:val="00921989"/>
    <w:rsid w:val="009303F3"/>
    <w:rsid w:val="00950A3A"/>
    <w:rsid w:val="00961ECE"/>
    <w:rsid w:val="00962A15"/>
    <w:rsid w:val="00972D5B"/>
    <w:rsid w:val="00997A88"/>
    <w:rsid w:val="009A404D"/>
    <w:rsid w:val="009A61D7"/>
    <w:rsid w:val="009B35B5"/>
    <w:rsid w:val="009B4F7B"/>
    <w:rsid w:val="009C4B44"/>
    <w:rsid w:val="009D3674"/>
    <w:rsid w:val="009E7118"/>
    <w:rsid w:val="009F2F28"/>
    <w:rsid w:val="009F2F4C"/>
    <w:rsid w:val="00A0220C"/>
    <w:rsid w:val="00A14ACE"/>
    <w:rsid w:val="00A2750A"/>
    <w:rsid w:val="00A377AA"/>
    <w:rsid w:val="00A44C2C"/>
    <w:rsid w:val="00A57A0A"/>
    <w:rsid w:val="00A66F83"/>
    <w:rsid w:val="00A6706F"/>
    <w:rsid w:val="00A747CF"/>
    <w:rsid w:val="00A845AD"/>
    <w:rsid w:val="00A90269"/>
    <w:rsid w:val="00AA05BF"/>
    <w:rsid w:val="00AA607B"/>
    <w:rsid w:val="00AB48C3"/>
    <w:rsid w:val="00AB64F0"/>
    <w:rsid w:val="00AC11C3"/>
    <w:rsid w:val="00AD6E84"/>
    <w:rsid w:val="00AE6A8E"/>
    <w:rsid w:val="00AF3589"/>
    <w:rsid w:val="00B11341"/>
    <w:rsid w:val="00B17E82"/>
    <w:rsid w:val="00B44B13"/>
    <w:rsid w:val="00B45885"/>
    <w:rsid w:val="00B462D4"/>
    <w:rsid w:val="00B47C5E"/>
    <w:rsid w:val="00B55C28"/>
    <w:rsid w:val="00B602D6"/>
    <w:rsid w:val="00B616E2"/>
    <w:rsid w:val="00B62B21"/>
    <w:rsid w:val="00B632F8"/>
    <w:rsid w:val="00B70F1C"/>
    <w:rsid w:val="00B72E16"/>
    <w:rsid w:val="00B76529"/>
    <w:rsid w:val="00B925B5"/>
    <w:rsid w:val="00BA07F4"/>
    <w:rsid w:val="00BA2057"/>
    <w:rsid w:val="00BB4F2B"/>
    <w:rsid w:val="00BC4643"/>
    <w:rsid w:val="00BC6A4E"/>
    <w:rsid w:val="00BD5072"/>
    <w:rsid w:val="00BF45D5"/>
    <w:rsid w:val="00BF4E90"/>
    <w:rsid w:val="00C1452D"/>
    <w:rsid w:val="00C24630"/>
    <w:rsid w:val="00C35481"/>
    <w:rsid w:val="00C37EB9"/>
    <w:rsid w:val="00C45CE2"/>
    <w:rsid w:val="00C514E3"/>
    <w:rsid w:val="00C52459"/>
    <w:rsid w:val="00C532E5"/>
    <w:rsid w:val="00C70366"/>
    <w:rsid w:val="00C71A62"/>
    <w:rsid w:val="00C77FD4"/>
    <w:rsid w:val="00C90758"/>
    <w:rsid w:val="00CA46D3"/>
    <w:rsid w:val="00CC41F0"/>
    <w:rsid w:val="00CE356F"/>
    <w:rsid w:val="00CF40E7"/>
    <w:rsid w:val="00D057B2"/>
    <w:rsid w:val="00D145D6"/>
    <w:rsid w:val="00D17CAD"/>
    <w:rsid w:val="00D17F70"/>
    <w:rsid w:val="00D207AF"/>
    <w:rsid w:val="00D2425B"/>
    <w:rsid w:val="00D32EA2"/>
    <w:rsid w:val="00D35AD8"/>
    <w:rsid w:val="00D53BA6"/>
    <w:rsid w:val="00D61405"/>
    <w:rsid w:val="00D64476"/>
    <w:rsid w:val="00D772CE"/>
    <w:rsid w:val="00D820B1"/>
    <w:rsid w:val="00D832FA"/>
    <w:rsid w:val="00D914F0"/>
    <w:rsid w:val="00D95EBA"/>
    <w:rsid w:val="00D97CA2"/>
    <w:rsid w:val="00DA178E"/>
    <w:rsid w:val="00DB1F41"/>
    <w:rsid w:val="00DB3DB1"/>
    <w:rsid w:val="00DC405C"/>
    <w:rsid w:val="00DC6C04"/>
    <w:rsid w:val="00DD1A85"/>
    <w:rsid w:val="00DF130F"/>
    <w:rsid w:val="00DF7695"/>
    <w:rsid w:val="00E01358"/>
    <w:rsid w:val="00E0215D"/>
    <w:rsid w:val="00E02688"/>
    <w:rsid w:val="00E13134"/>
    <w:rsid w:val="00E14996"/>
    <w:rsid w:val="00E22D87"/>
    <w:rsid w:val="00E26C1D"/>
    <w:rsid w:val="00E41201"/>
    <w:rsid w:val="00E43B32"/>
    <w:rsid w:val="00E500C9"/>
    <w:rsid w:val="00E55844"/>
    <w:rsid w:val="00E60BB2"/>
    <w:rsid w:val="00E67CCD"/>
    <w:rsid w:val="00E73E63"/>
    <w:rsid w:val="00E80931"/>
    <w:rsid w:val="00E86A21"/>
    <w:rsid w:val="00E86E80"/>
    <w:rsid w:val="00E87EC5"/>
    <w:rsid w:val="00E9177B"/>
    <w:rsid w:val="00EA35FE"/>
    <w:rsid w:val="00EB46DF"/>
    <w:rsid w:val="00EB67E1"/>
    <w:rsid w:val="00EC1192"/>
    <w:rsid w:val="00ED18AB"/>
    <w:rsid w:val="00EE5AC5"/>
    <w:rsid w:val="00EE7658"/>
    <w:rsid w:val="00EF7A55"/>
    <w:rsid w:val="00F013C0"/>
    <w:rsid w:val="00F04795"/>
    <w:rsid w:val="00F11CCB"/>
    <w:rsid w:val="00F13BBC"/>
    <w:rsid w:val="00F13D30"/>
    <w:rsid w:val="00F245EA"/>
    <w:rsid w:val="00F319A1"/>
    <w:rsid w:val="00F32FC6"/>
    <w:rsid w:val="00F34910"/>
    <w:rsid w:val="00F37C0F"/>
    <w:rsid w:val="00F4215B"/>
    <w:rsid w:val="00F47FCF"/>
    <w:rsid w:val="00F57C07"/>
    <w:rsid w:val="00F773E1"/>
    <w:rsid w:val="00F8194C"/>
    <w:rsid w:val="00F92DC7"/>
    <w:rsid w:val="00FA1796"/>
    <w:rsid w:val="00FB09E2"/>
    <w:rsid w:val="00FB4847"/>
    <w:rsid w:val="00FD126E"/>
    <w:rsid w:val="00FD1612"/>
    <w:rsid w:val="00FD19F0"/>
    <w:rsid w:val="00FD4199"/>
    <w:rsid w:val="00FE6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semiHidden/>
    <w:unhideWhenUsed/>
    <w:rsid w:val="004A3758"/>
    <w:pPr>
      <w:tabs>
        <w:tab w:val="center" w:pos="4680"/>
        <w:tab w:val="right" w:pos="9360"/>
      </w:tabs>
    </w:pPr>
  </w:style>
  <w:style w:type="character" w:customStyle="1" w:styleId="HeaderChar">
    <w:name w:val="Header Char"/>
    <w:basedOn w:val="DefaultParagraphFont"/>
    <w:link w:val="Header"/>
    <w:uiPriority w:val="99"/>
    <w:semiHidden/>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iPriority w:val="99"/>
    <w:semiHidden/>
    <w:unhideWhenUsed/>
    <w:rsid w:val="000F3B39"/>
    <w:rPr>
      <w:sz w:val="16"/>
      <w:szCs w:val="16"/>
    </w:rPr>
  </w:style>
  <w:style w:type="paragraph" w:styleId="CommentText">
    <w:name w:val="annotation text"/>
    <w:basedOn w:val="Normal"/>
    <w:link w:val="CommentTextChar"/>
    <w:uiPriority w:val="99"/>
    <w:semiHidden/>
    <w:unhideWhenUsed/>
    <w:rsid w:val="000F3B39"/>
    <w:rPr>
      <w:sz w:val="20"/>
    </w:rPr>
  </w:style>
  <w:style w:type="character" w:customStyle="1" w:styleId="CommentTextChar">
    <w:name w:val="Comment Text Char"/>
    <w:basedOn w:val="DefaultParagraphFont"/>
    <w:link w:val="CommentText"/>
    <w:uiPriority w:val="99"/>
    <w:semiHidden/>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semiHidden/>
    <w:rsid w:val="000F3B39"/>
    <w:rPr>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semiHidden/>
    <w:rsid w:val="000F3B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25226">
      <w:bodyDiv w:val="1"/>
      <w:marLeft w:val="0"/>
      <w:marRight w:val="0"/>
      <w:marTop w:val="0"/>
      <w:marBottom w:val="0"/>
      <w:divBdr>
        <w:top w:val="none" w:sz="0" w:space="0" w:color="auto"/>
        <w:left w:val="none" w:sz="0" w:space="0" w:color="auto"/>
        <w:bottom w:val="none" w:sz="0" w:space="0" w:color="auto"/>
        <w:right w:val="none" w:sz="0" w:space="0" w:color="auto"/>
      </w:divBdr>
    </w:div>
    <w:div w:id="63114028">
      <w:bodyDiv w:val="1"/>
      <w:marLeft w:val="0"/>
      <w:marRight w:val="0"/>
      <w:marTop w:val="0"/>
      <w:marBottom w:val="0"/>
      <w:divBdr>
        <w:top w:val="none" w:sz="0" w:space="0" w:color="auto"/>
        <w:left w:val="none" w:sz="0" w:space="0" w:color="auto"/>
        <w:bottom w:val="none" w:sz="0" w:space="0" w:color="auto"/>
        <w:right w:val="none" w:sz="0" w:space="0" w:color="auto"/>
      </w:divBdr>
    </w:div>
    <w:div w:id="86385938">
      <w:bodyDiv w:val="1"/>
      <w:marLeft w:val="0"/>
      <w:marRight w:val="0"/>
      <w:marTop w:val="0"/>
      <w:marBottom w:val="0"/>
      <w:divBdr>
        <w:top w:val="none" w:sz="0" w:space="0" w:color="auto"/>
        <w:left w:val="none" w:sz="0" w:space="0" w:color="auto"/>
        <w:bottom w:val="none" w:sz="0" w:space="0" w:color="auto"/>
        <w:right w:val="none" w:sz="0" w:space="0" w:color="auto"/>
      </w:divBdr>
    </w:div>
    <w:div w:id="93208948">
      <w:bodyDiv w:val="1"/>
      <w:marLeft w:val="0"/>
      <w:marRight w:val="0"/>
      <w:marTop w:val="0"/>
      <w:marBottom w:val="0"/>
      <w:divBdr>
        <w:top w:val="none" w:sz="0" w:space="0" w:color="auto"/>
        <w:left w:val="none" w:sz="0" w:space="0" w:color="auto"/>
        <w:bottom w:val="none" w:sz="0" w:space="0" w:color="auto"/>
        <w:right w:val="none" w:sz="0" w:space="0" w:color="auto"/>
      </w:divBdr>
    </w:div>
    <w:div w:id="107821598">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47018324">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7739809">
      <w:bodyDiv w:val="1"/>
      <w:marLeft w:val="0"/>
      <w:marRight w:val="0"/>
      <w:marTop w:val="0"/>
      <w:marBottom w:val="0"/>
      <w:divBdr>
        <w:top w:val="none" w:sz="0" w:space="0" w:color="auto"/>
        <w:left w:val="none" w:sz="0" w:space="0" w:color="auto"/>
        <w:bottom w:val="none" w:sz="0" w:space="0" w:color="auto"/>
        <w:right w:val="none" w:sz="0" w:space="0" w:color="auto"/>
      </w:divBdr>
    </w:div>
    <w:div w:id="180945678">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316036795">
      <w:bodyDiv w:val="1"/>
      <w:marLeft w:val="0"/>
      <w:marRight w:val="0"/>
      <w:marTop w:val="0"/>
      <w:marBottom w:val="0"/>
      <w:divBdr>
        <w:top w:val="none" w:sz="0" w:space="0" w:color="auto"/>
        <w:left w:val="none" w:sz="0" w:space="0" w:color="auto"/>
        <w:bottom w:val="none" w:sz="0" w:space="0" w:color="auto"/>
        <w:right w:val="none" w:sz="0" w:space="0" w:color="auto"/>
      </w:divBdr>
    </w:div>
    <w:div w:id="318925408">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414521922">
      <w:bodyDiv w:val="1"/>
      <w:marLeft w:val="0"/>
      <w:marRight w:val="0"/>
      <w:marTop w:val="0"/>
      <w:marBottom w:val="0"/>
      <w:divBdr>
        <w:top w:val="none" w:sz="0" w:space="0" w:color="auto"/>
        <w:left w:val="none" w:sz="0" w:space="0" w:color="auto"/>
        <w:bottom w:val="none" w:sz="0" w:space="0" w:color="auto"/>
        <w:right w:val="none" w:sz="0" w:space="0" w:color="auto"/>
      </w:divBdr>
    </w:div>
    <w:div w:id="474879601">
      <w:bodyDiv w:val="1"/>
      <w:marLeft w:val="0"/>
      <w:marRight w:val="0"/>
      <w:marTop w:val="0"/>
      <w:marBottom w:val="0"/>
      <w:divBdr>
        <w:top w:val="none" w:sz="0" w:space="0" w:color="auto"/>
        <w:left w:val="none" w:sz="0" w:space="0" w:color="auto"/>
        <w:bottom w:val="none" w:sz="0" w:space="0" w:color="auto"/>
        <w:right w:val="none" w:sz="0" w:space="0" w:color="auto"/>
      </w:divBdr>
    </w:div>
    <w:div w:id="477570456">
      <w:bodyDiv w:val="1"/>
      <w:marLeft w:val="0"/>
      <w:marRight w:val="0"/>
      <w:marTop w:val="0"/>
      <w:marBottom w:val="0"/>
      <w:divBdr>
        <w:top w:val="none" w:sz="0" w:space="0" w:color="auto"/>
        <w:left w:val="none" w:sz="0" w:space="0" w:color="auto"/>
        <w:bottom w:val="none" w:sz="0" w:space="0" w:color="auto"/>
        <w:right w:val="none" w:sz="0" w:space="0" w:color="auto"/>
      </w:divBdr>
    </w:div>
    <w:div w:id="49677371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602692419">
      <w:bodyDiv w:val="1"/>
      <w:marLeft w:val="0"/>
      <w:marRight w:val="0"/>
      <w:marTop w:val="0"/>
      <w:marBottom w:val="0"/>
      <w:divBdr>
        <w:top w:val="none" w:sz="0" w:space="0" w:color="auto"/>
        <w:left w:val="none" w:sz="0" w:space="0" w:color="auto"/>
        <w:bottom w:val="none" w:sz="0" w:space="0" w:color="auto"/>
        <w:right w:val="none" w:sz="0" w:space="0" w:color="auto"/>
      </w:divBdr>
    </w:div>
    <w:div w:id="605115587">
      <w:bodyDiv w:val="1"/>
      <w:marLeft w:val="0"/>
      <w:marRight w:val="0"/>
      <w:marTop w:val="0"/>
      <w:marBottom w:val="0"/>
      <w:divBdr>
        <w:top w:val="none" w:sz="0" w:space="0" w:color="auto"/>
        <w:left w:val="none" w:sz="0" w:space="0" w:color="auto"/>
        <w:bottom w:val="none" w:sz="0" w:space="0" w:color="auto"/>
        <w:right w:val="none" w:sz="0" w:space="0" w:color="auto"/>
      </w:divBdr>
    </w:div>
    <w:div w:id="637959678">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742145305">
      <w:bodyDiv w:val="1"/>
      <w:marLeft w:val="0"/>
      <w:marRight w:val="0"/>
      <w:marTop w:val="0"/>
      <w:marBottom w:val="0"/>
      <w:divBdr>
        <w:top w:val="none" w:sz="0" w:space="0" w:color="auto"/>
        <w:left w:val="none" w:sz="0" w:space="0" w:color="auto"/>
        <w:bottom w:val="none" w:sz="0" w:space="0" w:color="auto"/>
        <w:right w:val="none" w:sz="0" w:space="0" w:color="auto"/>
      </w:divBdr>
    </w:div>
    <w:div w:id="891308788">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30760777">
      <w:bodyDiv w:val="1"/>
      <w:marLeft w:val="0"/>
      <w:marRight w:val="0"/>
      <w:marTop w:val="0"/>
      <w:marBottom w:val="0"/>
      <w:divBdr>
        <w:top w:val="none" w:sz="0" w:space="0" w:color="auto"/>
        <w:left w:val="none" w:sz="0" w:space="0" w:color="auto"/>
        <w:bottom w:val="none" w:sz="0" w:space="0" w:color="auto"/>
        <w:right w:val="none" w:sz="0" w:space="0" w:color="auto"/>
      </w:divBdr>
    </w:div>
    <w:div w:id="1049186385">
      <w:bodyDiv w:val="1"/>
      <w:marLeft w:val="0"/>
      <w:marRight w:val="0"/>
      <w:marTop w:val="0"/>
      <w:marBottom w:val="0"/>
      <w:divBdr>
        <w:top w:val="none" w:sz="0" w:space="0" w:color="auto"/>
        <w:left w:val="none" w:sz="0" w:space="0" w:color="auto"/>
        <w:bottom w:val="none" w:sz="0" w:space="0" w:color="auto"/>
        <w:right w:val="none" w:sz="0" w:space="0" w:color="auto"/>
      </w:divBdr>
    </w:div>
    <w:div w:id="1180857243">
      <w:bodyDiv w:val="1"/>
      <w:marLeft w:val="0"/>
      <w:marRight w:val="0"/>
      <w:marTop w:val="0"/>
      <w:marBottom w:val="0"/>
      <w:divBdr>
        <w:top w:val="none" w:sz="0" w:space="0" w:color="auto"/>
        <w:left w:val="none" w:sz="0" w:space="0" w:color="auto"/>
        <w:bottom w:val="none" w:sz="0" w:space="0" w:color="auto"/>
        <w:right w:val="none" w:sz="0" w:space="0" w:color="auto"/>
      </w:divBdr>
    </w:div>
    <w:div w:id="1190072760">
      <w:bodyDiv w:val="1"/>
      <w:marLeft w:val="0"/>
      <w:marRight w:val="0"/>
      <w:marTop w:val="0"/>
      <w:marBottom w:val="0"/>
      <w:divBdr>
        <w:top w:val="none" w:sz="0" w:space="0" w:color="auto"/>
        <w:left w:val="none" w:sz="0" w:space="0" w:color="auto"/>
        <w:bottom w:val="none" w:sz="0" w:space="0" w:color="auto"/>
        <w:right w:val="none" w:sz="0" w:space="0" w:color="auto"/>
      </w:divBdr>
    </w:div>
    <w:div w:id="1270430670">
      <w:bodyDiv w:val="1"/>
      <w:marLeft w:val="0"/>
      <w:marRight w:val="0"/>
      <w:marTop w:val="0"/>
      <w:marBottom w:val="0"/>
      <w:divBdr>
        <w:top w:val="none" w:sz="0" w:space="0" w:color="auto"/>
        <w:left w:val="none" w:sz="0" w:space="0" w:color="auto"/>
        <w:bottom w:val="none" w:sz="0" w:space="0" w:color="auto"/>
        <w:right w:val="none" w:sz="0" w:space="0" w:color="auto"/>
      </w:divBdr>
    </w:div>
    <w:div w:id="1284265855">
      <w:bodyDiv w:val="1"/>
      <w:marLeft w:val="0"/>
      <w:marRight w:val="0"/>
      <w:marTop w:val="0"/>
      <w:marBottom w:val="0"/>
      <w:divBdr>
        <w:top w:val="none" w:sz="0" w:space="0" w:color="auto"/>
        <w:left w:val="none" w:sz="0" w:space="0" w:color="auto"/>
        <w:bottom w:val="none" w:sz="0" w:space="0" w:color="auto"/>
        <w:right w:val="none" w:sz="0" w:space="0" w:color="auto"/>
      </w:divBdr>
    </w:div>
    <w:div w:id="1308852188">
      <w:bodyDiv w:val="1"/>
      <w:marLeft w:val="0"/>
      <w:marRight w:val="0"/>
      <w:marTop w:val="0"/>
      <w:marBottom w:val="0"/>
      <w:divBdr>
        <w:top w:val="none" w:sz="0" w:space="0" w:color="auto"/>
        <w:left w:val="none" w:sz="0" w:space="0" w:color="auto"/>
        <w:bottom w:val="none" w:sz="0" w:space="0" w:color="auto"/>
        <w:right w:val="none" w:sz="0" w:space="0" w:color="auto"/>
      </w:divBdr>
    </w:div>
    <w:div w:id="1396660216">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674256745">
      <w:bodyDiv w:val="1"/>
      <w:marLeft w:val="0"/>
      <w:marRight w:val="0"/>
      <w:marTop w:val="0"/>
      <w:marBottom w:val="0"/>
      <w:divBdr>
        <w:top w:val="none" w:sz="0" w:space="0" w:color="auto"/>
        <w:left w:val="none" w:sz="0" w:space="0" w:color="auto"/>
        <w:bottom w:val="none" w:sz="0" w:space="0" w:color="auto"/>
        <w:right w:val="none" w:sz="0" w:space="0" w:color="auto"/>
      </w:divBdr>
    </w:div>
    <w:div w:id="1753232511">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55608726">
      <w:bodyDiv w:val="1"/>
      <w:marLeft w:val="0"/>
      <w:marRight w:val="0"/>
      <w:marTop w:val="0"/>
      <w:marBottom w:val="0"/>
      <w:divBdr>
        <w:top w:val="none" w:sz="0" w:space="0" w:color="auto"/>
        <w:left w:val="none" w:sz="0" w:space="0" w:color="auto"/>
        <w:bottom w:val="none" w:sz="0" w:space="0" w:color="auto"/>
        <w:right w:val="none" w:sz="0" w:space="0" w:color="auto"/>
      </w:divBdr>
    </w:div>
    <w:div w:id="1915357574">
      <w:bodyDiv w:val="1"/>
      <w:marLeft w:val="0"/>
      <w:marRight w:val="0"/>
      <w:marTop w:val="0"/>
      <w:marBottom w:val="0"/>
      <w:divBdr>
        <w:top w:val="none" w:sz="0" w:space="0" w:color="auto"/>
        <w:left w:val="none" w:sz="0" w:space="0" w:color="auto"/>
        <w:bottom w:val="none" w:sz="0" w:space="0" w:color="auto"/>
        <w:right w:val="none" w:sz="0" w:space="0" w:color="auto"/>
      </w:divBdr>
    </w:div>
    <w:div w:id="2013994500">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 w:id="2129663284">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oca/11tables/html/gs_h.asp" TargetMode="External"/><Relationship Id="rId4" Type="http://schemas.openxmlformats.org/officeDocument/2006/relationships/styles" Target="styles.xml"/><Relationship Id="rId9" Type="http://schemas.openxmlformats.org/officeDocument/2006/relationships/hyperlink" Target="http://www.epa.gov/ttn/emc/cem/cem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B98F0E5-E705-4A54-859B-F623025C74E3}">
  <ds:schemaRefs>
    <ds:schemaRef ds:uri="http://schemas.openxmlformats.org/officeDocument/2006/bibliography"/>
  </ds:schemaRefs>
</ds:datastoreItem>
</file>

<file path=customXml/itemProps2.xml><?xml version="1.0" encoding="utf-8"?>
<ds:datastoreItem xmlns:ds="http://schemas.openxmlformats.org/officeDocument/2006/customXml" ds:itemID="{15FE00D8-542E-4BC6-A1A9-BB4ED91A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12298</Words>
  <Characters>70100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82234</CharactersWithSpaces>
  <SharedDoc>false</SharedDoc>
  <HLinks>
    <vt:vector size="6" baseType="variant">
      <vt:variant>
        <vt:i4>2490397</vt:i4>
      </vt:variant>
      <vt:variant>
        <vt:i4>3</vt:i4>
      </vt:variant>
      <vt:variant>
        <vt:i4>0</vt:i4>
      </vt:variant>
      <vt:variant>
        <vt:i4>5</vt:i4>
      </vt:variant>
      <vt:variant>
        <vt:lpwstr>http://www.opm.gov/oca/11tables/html/gs_h.asp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 Colville-Taylor</dc:creator>
  <cp:keywords/>
  <dc:description/>
  <cp:lastModifiedBy>ckerwin</cp:lastModifiedBy>
  <cp:revision>2</cp:revision>
  <cp:lastPrinted>2011-12-15T21:34:00Z</cp:lastPrinted>
  <dcterms:created xsi:type="dcterms:W3CDTF">2012-02-15T19:32:00Z</dcterms:created>
  <dcterms:modified xsi:type="dcterms:W3CDTF">2012-02-15T19:32:00Z</dcterms:modified>
</cp:coreProperties>
</file>