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99" w:rsidRPr="007B1799" w:rsidRDefault="007B1799" w:rsidP="007B1799">
      <w:pPr>
        <w:widowControl/>
        <w:jc w:val="center"/>
        <w:rPr>
          <w:b/>
          <w:sz w:val="24"/>
          <w:szCs w:val="24"/>
          <w:lang w:val="en-CA"/>
        </w:rPr>
      </w:pPr>
      <w:r>
        <w:rPr>
          <w:b/>
          <w:sz w:val="24"/>
          <w:szCs w:val="24"/>
          <w:lang w:val="en-CA"/>
        </w:rPr>
        <w:t>INFORMATION COLLECTION REQUEST</w:t>
      </w:r>
    </w:p>
    <w:p w:rsidR="007B1799" w:rsidRPr="00481723" w:rsidRDefault="00B1351A" w:rsidP="007B1799">
      <w:pPr>
        <w:widowControl/>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7B1799" w:rsidRDefault="007B1799" w:rsidP="007B1799">
      <w:pPr>
        <w:jc w:val="center"/>
        <w:rPr>
          <w:b/>
          <w:bCs/>
          <w:sz w:val="24"/>
          <w:szCs w:val="24"/>
        </w:rPr>
      </w:pPr>
      <w:r>
        <w:rPr>
          <w:b/>
          <w:bCs/>
          <w:sz w:val="24"/>
          <w:szCs w:val="24"/>
        </w:rPr>
        <w:t>NESHAP</w:t>
      </w:r>
      <w:r>
        <w:rPr>
          <w:b/>
          <w:bCs/>
          <w:sz w:val="24"/>
          <w:szCs w:val="24"/>
        </w:rPr>
        <w:t xml:space="preserve"> FOR </w:t>
      </w:r>
      <w:r w:rsidR="00690D6C">
        <w:rPr>
          <w:b/>
          <w:bCs/>
          <w:sz w:val="24"/>
          <w:szCs w:val="24"/>
        </w:rPr>
        <w:t>SECONDARY</w:t>
      </w:r>
      <w:r w:rsidR="00CD3641">
        <w:rPr>
          <w:b/>
          <w:bCs/>
          <w:sz w:val="24"/>
          <w:szCs w:val="24"/>
        </w:rPr>
        <w:t xml:space="preserve"> ALUMINUM </w:t>
      </w:r>
      <w:r w:rsidR="00690D6C">
        <w:rPr>
          <w:b/>
          <w:bCs/>
          <w:sz w:val="24"/>
          <w:szCs w:val="24"/>
        </w:rPr>
        <w:t>PRODUCTION</w:t>
      </w:r>
    </w:p>
    <w:p w:rsidR="004822CC" w:rsidRDefault="007B1799" w:rsidP="007B1799">
      <w:pPr>
        <w:jc w:val="center"/>
        <w:rPr>
          <w:b/>
          <w:bCs/>
          <w:sz w:val="24"/>
          <w:szCs w:val="24"/>
        </w:rPr>
      </w:pPr>
      <w:r>
        <w:rPr>
          <w:b/>
          <w:bCs/>
          <w:sz w:val="24"/>
          <w:szCs w:val="24"/>
        </w:rPr>
        <w:t xml:space="preserve">40 CFR </w:t>
      </w:r>
      <w:proofErr w:type="gramStart"/>
      <w:r>
        <w:rPr>
          <w:b/>
          <w:bCs/>
          <w:sz w:val="24"/>
          <w:szCs w:val="24"/>
        </w:rPr>
        <w:t>PART</w:t>
      </w:r>
      <w:proofErr w:type="gramEnd"/>
      <w:r>
        <w:rPr>
          <w:b/>
          <w:bCs/>
          <w:sz w:val="24"/>
          <w:szCs w:val="24"/>
        </w:rPr>
        <w:t xml:space="preserve"> 63, SUBPART RRR</w:t>
      </w:r>
    </w:p>
    <w:p w:rsidR="007B1799" w:rsidRPr="00481723" w:rsidRDefault="007B1799" w:rsidP="007B1799">
      <w:pPr>
        <w:jc w:val="center"/>
        <w:rPr>
          <w:b/>
          <w:bCs/>
          <w:sz w:val="24"/>
          <w:szCs w:val="24"/>
        </w:rPr>
      </w:pPr>
      <w:r>
        <w:rPr>
          <w:b/>
          <w:bCs/>
          <w:sz w:val="24"/>
          <w:szCs w:val="24"/>
        </w:rPr>
        <w:t>PROPOSED RULE</w:t>
      </w:r>
    </w:p>
    <w:p w:rsidR="00B1351A" w:rsidRPr="00481723" w:rsidRDefault="00B1351A" w:rsidP="007B1799">
      <w:pPr>
        <w:widowControl/>
        <w:spacing w:line="360" w:lineRule="auto"/>
        <w:rPr>
          <w:sz w:val="24"/>
          <w:szCs w:val="24"/>
        </w:rPr>
      </w:pPr>
      <w:r w:rsidRPr="00481723">
        <w:rPr>
          <w:b/>
          <w:bCs/>
          <w:sz w:val="24"/>
          <w:szCs w:val="24"/>
        </w:rPr>
        <w:t>PART A</w:t>
      </w:r>
    </w:p>
    <w:p w:rsidR="00B1351A" w:rsidRPr="00481723" w:rsidRDefault="00B1351A" w:rsidP="00BD741C">
      <w:pPr>
        <w:widowControl/>
        <w:spacing w:line="360" w:lineRule="auto"/>
        <w:rPr>
          <w:sz w:val="24"/>
          <w:szCs w:val="24"/>
        </w:rPr>
      </w:pPr>
      <w:r w:rsidRPr="00481723">
        <w:rPr>
          <w:b/>
          <w:bCs/>
          <w:sz w:val="24"/>
          <w:szCs w:val="24"/>
        </w:rPr>
        <w:t>1.0</w:t>
      </w:r>
      <w:r w:rsidR="00E351AB">
        <w:rPr>
          <w:b/>
          <w:bCs/>
          <w:sz w:val="24"/>
          <w:szCs w:val="24"/>
        </w:rPr>
        <w:tab/>
      </w:r>
      <w:r w:rsidRPr="00481723">
        <w:rPr>
          <w:b/>
          <w:bCs/>
          <w:sz w:val="24"/>
          <w:szCs w:val="24"/>
        </w:rPr>
        <w:t>Identification of the Information Collection</w:t>
      </w:r>
    </w:p>
    <w:p w:rsidR="00B1351A" w:rsidRPr="00481723" w:rsidRDefault="006A1E41" w:rsidP="00BD741C">
      <w:pPr>
        <w:widowControl/>
        <w:spacing w:line="360" w:lineRule="auto"/>
        <w:rPr>
          <w:i/>
          <w:iCs/>
          <w:sz w:val="24"/>
          <w:szCs w:val="24"/>
        </w:rPr>
      </w:pPr>
      <w:r>
        <w:rPr>
          <w:i/>
          <w:iCs/>
          <w:sz w:val="24"/>
          <w:szCs w:val="24"/>
        </w:rPr>
        <w:t>(a)</w:t>
      </w:r>
      <w:r w:rsidR="00DC4234">
        <w:rPr>
          <w:i/>
          <w:iCs/>
          <w:sz w:val="24"/>
          <w:szCs w:val="24"/>
        </w:rPr>
        <w:tab/>
      </w:r>
      <w:r w:rsidR="00B1351A" w:rsidRPr="00481723">
        <w:rPr>
          <w:i/>
          <w:iCs/>
          <w:sz w:val="24"/>
          <w:szCs w:val="24"/>
        </w:rPr>
        <w:t>Title and Number of the Information Collection.</w:t>
      </w:r>
    </w:p>
    <w:p w:rsidR="004822CC" w:rsidRPr="00481723" w:rsidRDefault="00B1351A" w:rsidP="00267B8A">
      <w:pPr>
        <w:widowControl/>
        <w:spacing w:line="360" w:lineRule="auto"/>
        <w:rPr>
          <w:sz w:val="24"/>
          <w:szCs w:val="24"/>
        </w:rPr>
      </w:pPr>
      <w:r w:rsidRPr="00481723">
        <w:rPr>
          <w:i/>
          <w:iCs/>
          <w:sz w:val="24"/>
          <w:szCs w:val="24"/>
        </w:rPr>
        <w:tab/>
      </w:r>
      <w:proofErr w:type="gramStart"/>
      <w:r w:rsidRPr="00481723">
        <w:rPr>
          <w:sz w:val="24"/>
          <w:szCs w:val="24"/>
        </w:rPr>
        <w:t>“</w:t>
      </w:r>
      <w:r w:rsidR="007B1799">
        <w:rPr>
          <w:sz w:val="24"/>
          <w:szCs w:val="24"/>
        </w:rPr>
        <w:t>NESHAP</w:t>
      </w:r>
      <w:r w:rsidR="002B1D7D" w:rsidRPr="002B1D7D">
        <w:rPr>
          <w:sz w:val="24"/>
          <w:szCs w:val="24"/>
        </w:rPr>
        <w:t xml:space="preserve"> </w:t>
      </w:r>
      <w:r w:rsidR="001A2FBF">
        <w:rPr>
          <w:sz w:val="24"/>
          <w:szCs w:val="24"/>
        </w:rPr>
        <w:t xml:space="preserve">for </w:t>
      </w:r>
      <w:r w:rsidR="00690D6C">
        <w:rPr>
          <w:sz w:val="24"/>
          <w:szCs w:val="24"/>
        </w:rPr>
        <w:t>Secondary</w:t>
      </w:r>
      <w:r w:rsidR="001A2FBF">
        <w:rPr>
          <w:sz w:val="24"/>
          <w:szCs w:val="24"/>
        </w:rPr>
        <w:t xml:space="preserve"> Aluminum </w:t>
      </w:r>
      <w:r w:rsidR="00690D6C">
        <w:rPr>
          <w:sz w:val="24"/>
          <w:szCs w:val="24"/>
        </w:rPr>
        <w:t>Production</w:t>
      </w:r>
      <w:r w:rsidR="007B1799">
        <w:rPr>
          <w:sz w:val="24"/>
          <w:szCs w:val="24"/>
        </w:rPr>
        <w:t xml:space="preserve"> (40 CFR part 63, subpart RRR)</w:t>
      </w:r>
      <w:r w:rsidR="00EC6F96">
        <w:rPr>
          <w:sz w:val="24"/>
          <w:szCs w:val="24"/>
        </w:rPr>
        <w:t>.</w:t>
      </w:r>
      <w:r w:rsidR="002B1D7D" w:rsidRPr="002B1D7D">
        <w:rPr>
          <w:sz w:val="24"/>
          <w:szCs w:val="24"/>
        </w:rPr>
        <w:t>”</w:t>
      </w:r>
      <w:proofErr w:type="gramEnd"/>
      <w:r w:rsidR="00267B8A">
        <w:rPr>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DE4D9D">
        <w:rPr>
          <w:sz w:val="24"/>
          <w:szCs w:val="24"/>
        </w:rPr>
        <w:t>2453.01</w:t>
      </w:r>
      <w:r w:rsidR="007B1799">
        <w:rPr>
          <w:sz w:val="24"/>
          <w:szCs w:val="24"/>
        </w:rPr>
        <w:t xml:space="preserve"> (OMB Control Number 2060-NEW).</w:t>
      </w:r>
    </w:p>
    <w:p w:rsidR="00B1351A" w:rsidRPr="00481723" w:rsidRDefault="006A1E41" w:rsidP="00E846A7">
      <w:pPr>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Short Characterization.</w:t>
      </w:r>
    </w:p>
    <w:p w:rsidR="00C4180C" w:rsidRPr="00481723" w:rsidRDefault="00C4180C" w:rsidP="00267B8A">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 xml:space="preserve">amendments to the </w:t>
      </w:r>
      <w:r w:rsidR="00690D6C">
        <w:rPr>
          <w:sz w:val="24"/>
          <w:szCs w:val="24"/>
        </w:rPr>
        <w:t>Secondary</w:t>
      </w:r>
      <w:r w:rsidR="00267B8A">
        <w:rPr>
          <w:sz w:val="24"/>
          <w:szCs w:val="24"/>
        </w:rPr>
        <w:t xml:space="preserve"> Aluminum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690D6C">
        <w:rPr>
          <w:sz w:val="24"/>
          <w:szCs w:val="24"/>
        </w:rPr>
        <w:t>RRR</w:t>
      </w:r>
      <w:r w:rsidR="002B1D7D">
        <w:rPr>
          <w:sz w:val="24"/>
          <w:szCs w:val="24"/>
        </w:rPr>
        <w:t>)</w:t>
      </w:r>
      <w:r w:rsidR="00F83AEB" w:rsidRPr="00481723">
        <w:rPr>
          <w:sz w:val="24"/>
          <w:szCs w:val="24"/>
        </w:rPr>
        <w:t>.</w:t>
      </w:r>
    </w:p>
    <w:p w:rsidR="00827586" w:rsidRPr="004132C2" w:rsidRDefault="00D330A9" w:rsidP="00A3496F">
      <w:pPr>
        <w:tabs>
          <w:tab w:val="left" w:pos="720"/>
        </w:tabs>
        <w:spacing w:line="360" w:lineRule="auto"/>
        <w:rPr>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of any existing</w:t>
      </w:r>
      <w:r w:rsidR="00182B04">
        <w:rPr>
          <w:rFonts w:cs="Courier New"/>
          <w:sz w:val="24"/>
          <w:szCs w:val="24"/>
        </w:rPr>
        <w:t>,</w:t>
      </w:r>
      <w:r w:rsidR="007F473A" w:rsidRPr="00481723">
        <w:rPr>
          <w:rFonts w:cs="Courier New"/>
          <w:sz w:val="24"/>
          <w:szCs w:val="24"/>
        </w:rPr>
        <w:t xml:space="preserve"> new</w:t>
      </w:r>
      <w:r w:rsidR="00182B04">
        <w:rPr>
          <w:rFonts w:cs="Courier New"/>
          <w:sz w:val="24"/>
          <w:szCs w:val="24"/>
        </w:rPr>
        <w:t>, or reconstructed</w:t>
      </w:r>
      <w:r w:rsidR="007F473A" w:rsidRPr="00481723">
        <w:rPr>
          <w:rFonts w:cs="Courier New"/>
          <w:sz w:val="24"/>
          <w:szCs w:val="24"/>
        </w:rPr>
        <w:t xml:space="preserve"> </w:t>
      </w:r>
      <w:r w:rsidR="00690D6C">
        <w:rPr>
          <w:rFonts w:cs="Courier New"/>
          <w:sz w:val="24"/>
          <w:szCs w:val="24"/>
        </w:rPr>
        <w:t>secondary</w:t>
      </w:r>
      <w:r w:rsidR="00267B8A">
        <w:rPr>
          <w:rFonts w:cs="Courier New"/>
          <w:sz w:val="24"/>
          <w:szCs w:val="24"/>
        </w:rPr>
        <w:t xml:space="preserve"> </w:t>
      </w:r>
      <w:r w:rsidR="00BB1D13">
        <w:rPr>
          <w:rFonts w:cs="Courier New"/>
          <w:sz w:val="24"/>
          <w:szCs w:val="24"/>
        </w:rPr>
        <w:t xml:space="preserve">aluminum </w:t>
      </w:r>
      <w:r w:rsidR="00690D6C">
        <w:rPr>
          <w:rFonts w:cs="Courier New"/>
          <w:sz w:val="24"/>
          <w:szCs w:val="24"/>
        </w:rPr>
        <w:t>production</w:t>
      </w:r>
      <w:r w:rsidR="00267B8A">
        <w:rPr>
          <w:rFonts w:cs="Courier New"/>
          <w:sz w:val="24"/>
          <w:szCs w:val="24"/>
        </w:rPr>
        <w:t xml:space="preserve"> </w:t>
      </w:r>
      <w:r w:rsidR="00BB1D13">
        <w:rPr>
          <w:rFonts w:cs="Courier New"/>
          <w:sz w:val="24"/>
          <w:szCs w:val="24"/>
        </w:rPr>
        <w:t>p</w:t>
      </w:r>
      <w:r w:rsidR="00267B8A">
        <w:rPr>
          <w:rFonts w:cs="Courier New"/>
          <w:sz w:val="24"/>
          <w:szCs w:val="24"/>
        </w:rPr>
        <w:t>lant</w:t>
      </w:r>
      <w:r w:rsidR="008573EC">
        <w:rPr>
          <w:rFonts w:cs="Courier New"/>
          <w:sz w:val="24"/>
          <w:szCs w:val="24"/>
        </w:rPr>
        <w:t xml:space="preserve">. </w:t>
      </w:r>
      <w:r w:rsidR="00E816D7">
        <w:rPr>
          <w:rFonts w:cs="Courier New"/>
          <w:sz w:val="24"/>
          <w:szCs w:val="24"/>
        </w:rPr>
        <w:t>Per the applicability</w:t>
      </w:r>
      <w:r w:rsidR="00BB1D13">
        <w:rPr>
          <w:rFonts w:cs="Courier New"/>
          <w:sz w:val="24"/>
          <w:szCs w:val="24"/>
        </w:rPr>
        <w:t xml:space="preserve"> </w:t>
      </w:r>
      <w:r w:rsidR="00E816D7">
        <w:rPr>
          <w:rFonts w:cs="Courier New"/>
          <w:sz w:val="24"/>
          <w:szCs w:val="24"/>
        </w:rPr>
        <w:t xml:space="preserve">section of subpart </w:t>
      </w:r>
      <w:r w:rsidR="00690D6C">
        <w:rPr>
          <w:rFonts w:cs="Courier New"/>
          <w:sz w:val="24"/>
          <w:szCs w:val="24"/>
        </w:rPr>
        <w:t>RRR</w:t>
      </w:r>
      <w:r w:rsidR="00E816D7">
        <w:rPr>
          <w:rFonts w:cs="Courier New"/>
          <w:sz w:val="24"/>
          <w:szCs w:val="24"/>
        </w:rPr>
        <w:t xml:space="preserve">, the following </w:t>
      </w:r>
      <w:r w:rsidR="00BB1D13">
        <w:rPr>
          <w:rFonts w:cs="Courier New"/>
          <w:sz w:val="24"/>
          <w:szCs w:val="24"/>
        </w:rPr>
        <w:t xml:space="preserve">affected </w:t>
      </w:r>
      <w:r w:rsidR="00E816D7">
        <w:rPr>
          <w:rFonts w:cs="Courier New"/>
          <w:sz w:val="24"/>
          <w:szCs w:val="24"/>
        </w:rPr>
        <w:t xml:space="preserve">sources at a </w:t>
      </w:r>
      <w:r w:rsidR="00690D6C">
        <w:rPr>
          <w:rFonts w:cs="Courier New"/>
          <w:sz w:val="24"/>
          <w:szCs w:val="24"/>
        </w:rPr>
        <w:t>secondary</w:t>
      </w:r>
      <w:r w:rsidR="00BB1D13">
        <w:rPr>
          <w:rFonts w:cs="Courier New"/>
          <w:sz w:val="24"/>
          <w:szCs w:val="24"/>
        </w:rPr>
        <w:t xml:space="preserve"> aluminum </w:t>
      </w:r>
      <w:r w:rsidR="00690D6C">
        <w:rPr>
          <w:rFonts w:cs="Courier New"/>
          <w:sz w:val="24"/>
          <w:szCs w:val="24"/>
        </w:rPr>
        <w:t>production</w:t>
      </w:r>
      <w:r w:rsidR="00BB1D13">
        <w:rPr>
          <w:rFonts w:cs="Courier New"/>
          <w:sz w:val="24"/>
          <w:szCs w:val="24"/>
        </w:rPr>
        <w:t xml:space="preserve"> plant</w:t>
      </w:r>
      <w:r w:rsidR="00E816D7">
        <w:rPr>
          <w:rFonts w:cs="Courier New"/>
          <w:sz w:val="24"/>
          <w:szCs w:val="24"/>
        </w:rPr>
        <w:t xml:space="preserve"> are covered: </w:t>
      </w:r>
      <w:r w:rsidR="00690D6C" w:rsidRPr="00690D6C">
        <w:rPr>
          <w:rFonts w:cs="Courier New"/>
          <w:sz w:val="24"/>
          <w:szCs w:val="24"/>
        </w:rPr>
        <w:t>aluminum scrap shredders</w:t>
      </w:r>
      <w:r w:rsidR="00637BF2">
        <w:rPr>
          <w:rFonts w:cs="Courier New"/>
          <w:sz w:val="24"/>
          <w:szCs w:val="24"/>
        </w:rPr>
        <w:t>;</w:t>
      </w:r>
      <w:r w:rsidR="00690D6C" w:rsidRPr="00690D6C">
        <w:rPr>
          <w:rFonts w:cs="Courier New"/>
          <w:sz w:val="24"/>
          <w:szCs w:val="24"/>
        </w:rPr>
        <w:t xml:space="preserve">  thermal chip dryers</w:t>
      </w:r>
      <w:r w:rsidR="00637BF2">
        <w:rPr>
          <w:rFonts w:cs="Courier New"/>
          <w:sz w:val="24"/>
          <w:szCs w:val="24"/>
        </w:rPr>
        <w:t>;</w:t>
      </w:r>
      <w:r w:rsidR="00690D6C" w:rsidRPr="00690D6C">
        <w:rPr>
          <w:rFonts w:cs="Courier New"/>
          <w:sz w:val="24"/>
          <w:szCs w:val="24"/>
        </w:rPr>
        <w:t xml:space="preserve"> scrap dryers/delacquering kilns/decoating kilns</w:t>
      </w:r>
      <w:r w:rsidR="00637BF2">
        <w:rPr>
          <w:rFonts w:cs="Courier New"/>
          <w:sz w:val="24"/>
          <w:szCs w:val="24"/>
        </w:rPr>
        <w:t>; group 2 furnaces;</w:t>
      </w:r>
      <w:r w:rsidR="00690D6C" w:rsidRPr="00690D6C">
        <w:rPr>
          <w:rFonts w:cs="Courier New"/>
          <w:sz w:val="24"/>
          <w:szCs w:val="24"/>
        </w:rPr>
        <w:t xml:space="preserve"> sweat furnaces</w:t>
      </w:r>
      <w:r w:rsidR="00637BF2">
        <w:rPr>
          <w:rFonts w:cs="Courier New"/>
          <w:sz w:val="24"/>
          <w:szCs w:val="24"/>
        </w:rPr>
        <w:t>;</w:t>
      </w:r>
      <w:r w:rsidR="00690D6C" w:rsidRPr="00690D6C">
        <w:rPr>
          <w:rFonts w:cs="Courier New"/>
          <w:sz w:val="24"/>
          <w:szCs w:val="24"/>
        </w:rPr>
        <w:t xml:space="preserve"> dross-only furnaces</w:t>
      </w:r>
      <w:r w:rsidR="00637BF2">
        <w:rPr>
          <w:rFonts w:cs="Courier New"/>
          <w:sz w:val="24"/>
          <w:szCs w:val="24"/>
        </w:rPr>
        <w:t xml:space="preserve">; </w:t>
      </w:r>
      <w:r w:rsidR="00690D6C" w:rsidRPr="00690D6C">
        <w:rPr>
          <w:rFonts w:cs="Courier New"/>
          <w:sz w:val="24"/>
          <w:szCs w:val="24"/>
        </w:rPr>
        <w:t>rotary dross coolers</w:t>
      </w:r>
      <w:r w:rsidR="00637BF2">
        <w:rPr>
          <w:rFonts w:cs="Courier New"/>
          <w:sz w:val="24"/>
          <w:szCs w:val="24"/>
        </w:rPr>
        <w:t>;</w:t>
      </w:r>
      <w:r w:rsidR="00690D6C" w:rsidRPr="00690D6C">
        <w:rPr>
          <w:rFonts w:cs="Courier New"/>
          <w:sz w:val="24"/>
          <w:szCs w:val="24"/>
        </w:rPr>
        <w:t xml:space="preserve"> </w:t>
      </w:r>
      <w:r w:rsidR="00637BF2">
        <w:rPr>
          <w:rFonts w:cs="Courier New"/>
          <w:sz w:val="24"/>
          <w:szCs w:val="24"/>
        </w:rPr>
        <w:t xml:space="preserve"> and secondary aluminum processing units, which includes group 1 furnaces and  in-line fluxers</w:t>
      </w:r>
      <w:r w:rsidR="00E816D7">
        <w:rPr>
          <w:rFonts w:cs="Courier New"/>
          <w:sz w:val="24"/>
          <w:szCs w:val="24"/>
        </w:rPr>
        <w:t xml:space="preserve">. </w:t>
      </w:r>
      <w:r w:rsidR="00637BF2" w:rsidRPr="00637BF2">
        <w:rPr>
          <w:rFonts w:cs="Courier New"/>
          <w:sz w:val="24"/>
          <w:szCs w:val="24"/>
        </w:rPr>
        <w:t xml:space="preserve">The secondary aluminum industry consists of approximately 161 secondary aluminum production facilities, 53 </w:t>
      </w:r>
      <w:r w:rsidR="008F28CF" w:rsidRPr="00637BF2">
        <w:rPr>
          <w:rFonts w:cs="Courier New"/>
          <w:sz w:val="24"/>
          <w:szCs w:val="24"/>
        </w:rPr>
        <w:t xml:space="preserve">of which the EPA estimates </w:t>
      </w:r>
      <w:r w:rsidR="00637BF2" w:rsidRPr="00637BF2">
        <w:rPr>
          <w:rFonts w:cs="Courier New"/>
          <w:sz w:val="24"/>
          <w:szCs w:val="24"/>
        </w:rPr>
        <w:t>to be major sources of HAP.</w:t>
      </w:r>
      <w:r w:rsidR="00ED542A" w:rsidRPr="0070417A">
        <w:rPr>
          <w:rFonts w:cs="Courier New"/>
          <w:sz w:val="24"/>
          <w:szCs w:val="24"/>
        </w:rPr>
        <w:t xml:space="preserve"> </w:t>
      </w:r>
      <w:r w:rsidR="00A3496F" w:rsidRPr="00A3496F">
        <w:rPr>
          <w:rFonts w:cs="Courier New"/>
          <w:sz w:val="24"/>
          <w:szCs w:val="24"/>
        </w:rPr>
        <w:t xml:space="preserve">The proposed amendments would correct and clarify various rule requirements and provisions. Specifically, the proposed amendments would </w:t>
      </w:r>
      <w:r w:rsidR="00C1720F">
        <w:rPr>
          <w:rFonts w:cs="Courier New"/>
          <w:sz w:val="24"/>
          <w:szCs w:val="24"/>
        </w:rPr>
        <w:t>require selected affected sources to comply with the emissions limits at all times including</w:t>
      </w:r>
      <w:r w:rsidR="00A3496F" w:rsidRPr="00A3496F">
        <w:rPr>
          <w:rFonts w:cs="Courier New"/>
          <w:sz w:val="24"/>
          <w:szCs w:val="24"/>
        </w:rPr>
        <w:t xml:space="preserve"> periods of startup and shutdown; add a definition of affirmative defense; add a requirement to report performance testing through the Electronic Reporting Tool (ERT); add provisions allowing owners and operators to change furnaces </w:t>
      </w:r>
      <w:r w:rsidR="00801E29">
        <w:rPr>
          <w:rFonts w:cs="Courier New"/>
          <w:sz w:val="24"/>
          <w:szCs w:val="24"/>
        </w:rPr>
        <w:t>classifications</w:t>
      </w:r>
      <w:r w:rsidR="00A3496F" w:rsidRPr="00A3496F">
        <w:rPr>
          <w:rFonts w:cs="Courier New"/>
          <w:sz w:val="24"/>
          <w:szCs w:val="24"/>
        </w:rPr>
        <w:t>; add requirements to test uncontrolled furnaces; add requirements to test for hydrogen fluoride; add operating requirements such as monitoring of lime injection rates; and make corrections and clarifications to the applicability, definitions, operating, monitoring, and performance testing requirements.</w:t>
      </w:r>
      <w:r w:rsidR="00A3496F">
        <w:rPr>
          <w:rFonts w:cs="Courier New"/>
          <w:sz w:val="24"/>
          <w:szCs w:val="24"/>
        </w:rPr>
        <w:t xml:space="preserve"> </w:t>
      </w:r>
      <w:r w:rsidR="00827586" w:rsidRPr="004132C2">
        <w:rPr>
          <w:sz w:val="24"/>
          <w:szCs w:val="24"/>
        </w:rPr>
        <w:t xml:space="preserve">The </w:t>
      </w:r>
      <w:r w:rsidR="00EF5DB6" w:rsidRPr="004132C2">
        <w:rPr>
          <w:sz w:val="24"/>
          <w:szCs w:val="24"/>
        </w:rPr>
        <w:t xml:space="preserve">information collection </w:t>
      </w:r>
      <w:r w:rsidR="00827586" w:rsidRPr="004132C2">
        <w:rPr>
          <w:sz w:val="24"/>
          <w:szCs w:val="24"/>
        </w:rPr>
        <w:t xml:space="preserve">requirements </w:t>
      </w:r>
      <w:r w:rsidR="004132C2" w:rsidRPr="004132C2">
        <w:rPr>
          <w:sz w:val="24"/>
          <w:szCs w:val="24"/>
        </w:rPr>
        <w:t>associated with the proposed amendments to the NESHAP</w:t>
      </w:r>
      <w:r w:rsidR="004C18EE" w:rsidRPr="004132C2">
        <w:rPr>
          <w:sz w:val="24"/>
          <w:szCs w:val="24"/>
        </w:rPr>
        <w:t xml:space="preserve"> are</w:t>
      </w:r>
      <w:r w:rsidR="00827586" w:rsidRPr="004132C2">
        <w:rPr>
          <w:sz w:val="24"/>
          <w:szCs w:val="24"/>
        </w:rPr>
        <w:t xml:space="preserve"> listed in Attachment</w:t>
      </w:r>
      <w:r w:rsidR="00001A80" w:rsidRPr="004132C2">
        <w:rPr>
          <w:sz w:val="24"/>
          <w:szCs w:val="24"/>
        </w:rPr>
        <w:t xml:space="preserve"> 1</w:t>
      </w:r>
      <w:r w:rsidR="00827586"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2.</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5A4D56">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w:t>
      </w:r>
      <w:r w:rsidR="005643EB">
        <w:rPr>
          <w:sz w:val="24"/>
          <w:szCs w:val="24"/>
        </w:rPr>
        <w:t>the EPA</w:t>
      </w:r>
      <w:r w:rsidR="008E35BD" w:rsidRPr="004000BC">
        <w:rPr>
          <w:sz w:val="24"/>
          <w:szCs w:val="24"/>
        </w:rPr>
        <w:t xml:space="preserve"> to establish NESHAP for both major and area sources of HAP that are listed for regulation under CAA section 112(c).</w:t>
      </w:r>
      <w:r w:rsidR="00576C21">
        <w:rPr>
          <w:sz w:val="24"/>
          <w:szCs w:val="24"/>
        </w:rPr>
        <w:t xml:space="preserve"> </w:t>
      </w:r>
      <w:r w:rsidR="00CD1B68">
        <w:rPr>
          <w:sz w:val="24"/>
          <w:szCs w:val="24"/>
        </w:rPr>
        <w:t xml:space="preserve">A major source is a </w:t>
      </w:r>
      <w:r w:rsidR="00CD1B68">
        <w:rPr>
          <w:sz w:val="24"/>
          <w:szCs w:val="24"/>
        </w:rPr>
        <w:lastRenderedPageBreak/>
        <w:t xml:space="preserve">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CD1B68">
        <w:rPr>
          <w:sz w:val="24"/>
          <w:szCs w:val="24"/>
        </w:rPr>
        <w:t>.</w:t>
      </w:r>
      <w:r w:rsidR="00576C21">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83F9F">
        <w:rPr>
          <w:sz w:val="24"/>
          <w:szCs w:val="24"/>
        </w:rPr>
        <w:t>or</w:t>
      </w:r>
      <w:r w:rsidR="00183F9F"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w:t>
      </w:r>
      <w:r w:rsidR="00576C21">
        <w:rPr>
          <w:sz w:val="24"/>
          <w:szCs w:val="24"/>
        </w:rPr>
        <w:t xml:space="preserve"> </w:t>
      </w:r>
      <w:r w:rsidR="00A3496F">
        <w:rPr>
          <w:sz w:val="24"/>
          <w:szCs w:val="24"/>
        </w:rPr>
        <w:t>Both major and</w:t>
      </w:r>
      <w:r w:rsidR="008D7426">
        <w:rPr>
          <w:sz w:val="24"/>
          <w:szCs w:val="24"/>
        </w:rPr>
        <w:t xml:space="preserve"> area sources </w:t>
      </w:r>
      <w:r w:rsidR="00A3496F">
        <w:rPr>
          <w:sz w:val="24"/>
          <w:szCs w:val="24"/>
        </w:rPr>
        <w:t xml:space="preserve">are </w:t>
      </w:r>
      <w:r w:rsidR="008D7426">
        <w:rPr>
          <w:sz w:val="24"/>
          <w:szCs w:val="24"/>
        </w:rPr>
        <w:t>subject to subpart</w:t>
      </w:r>
      <w:r w:rsidR="00A3496F">
        <w:rPr>
          <w:sz w:val="24"/>
          <w:szCs w:val="24"/>
        </w:rPr>
        <w:t xml:space="preserve"> RRR</w:t>
      </w:r>
      <w:r w:rsidR="008D7426">
        <w:rPr>
          <w:sz w:val="24"/>
          <w:szCs w:val="24"/>
        </w:rPr>
        <w:t>.</w:t>
      </w:r>
      <w:r w:rsidR="00576C21">
        <w:rPr>
          <w:sz w:val="24"/>
          <w:szCs w:val="24"/>
        </w:rPr>
        <w:t xml:space="preserve"> </w:t>
      </w:r>
      <w:r w:rsidR="007C40B4" w:rsidRPr="007C40B4">
        <w:rPr>
          <w:sz w:val="24"/>
          <w:szCs w:val="24"/>
        </w:rPr>
        <w:t>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w:t>
      </w:r>
      <w:r w:rsidR="00576C21">
        <w:rPr>
          <w:sz w:val="24"/>
          <w:szCs w:val="24"/>
        </w:rPr>
        <w:t xml:space="preserve">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5643EB">
        <w:rPr>
          <w:sz w:val="24"/>
          <w:szCs w:val="24"/>
        </w:rPr>
        <w:t xml:space="preserve">the </w:t>
      </w:r>
      <w:r w:rsidR="007C40B4" w:rsidRPr="007C40B4">
        <w:rPr>
          <w:sz w:val="24"/>
          <w:szCs w:val="24"/>
        </w:rPr>
        <w:t>EPA to review these technology-based standards and to revise them “as necessary (taking into account developments in practices, processes, and control technologies)” no less frequently than every 8 years.</w:t>
      </w:r>
      <w:r w:rsidR="00576C21">
        <w:rPr>
          <w:sz w:val="24"/>
          <w:szCs w:val="24"/>
        </w:rPr>
        <w:t xml:space="preserve">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w:t>
      </w:r>
      <w:r w:rsidR="005643EB">
        <w:rPr>
          <w:sz w:val="24"/>
          <w:szCs w:val="24"/>
        </w:rPr>
        <w:t xml:space="preserve">the </w:t>
      </w:r>
      <w:r w:rsidR="007C40B4" w:rsidRPr="007C40B4">
        <w:rPr>
          <w:sz w:val="24"/>
          <w:szCs w:val="24"/>
        </w:rPr>
        <w:t>EPA to determine for source categories subject to certain CAA section 112(d) standards whether the emissions limitations provide an ample margin of safety to protect public health.</w:t>
      </w:r>
      <w:r w:rsidR="00576C21">
        <w:rPr>
          <w:sz w:val="24"/>
          <w:szCs w:val="24"/>
        </w:rPr>
        <w:t xml:space="preserve"> </w:t>
      </w:r>
      <w:r w:rsidR="00CD1B68">
        <w:rPr>
          <w:sz w:val="24"/>
          <w:szCs w:val="24"/>
        </w:rPr>
        <w:t>For</w:t>
      </w:r>
      <w:r w:rsidR="007C40B4" w:rsidRPr="007C40B4">
        <w:rPr>
          <w:sz w:val="24"/>
          <w:szCs w:val="24"/>
        </w:rPr>
        <w:t xml:space="preserve"> MACT standards for HAP “classified as a known, probable, or possible human carcinogen</w:t>
      </w:r>
      <w:r w:rsidR="00B52CFA">
        <w:rPr>
          <w:sz w:val="24"/>
          <w:szCs w:val="24"/>
        </w:rPr>
        <w:t xml:space="preserve">” </w:t>
      </w:r>
      <w:r w:rsidR="0004658A">
        <w:rPr>
          <w:sz w:val="24"/>
          <w:szCs w:val="24"/>
        </w:rPr>
        <w:t xml:space="preserve">that </w:t>
      </w:r>
      <w:r w:rsidR="00B52CFA">
        <w:rPr>
          <w:sz w:val="24"/>
          <w:szCs w:val="24"/>
        </w:rPr>
        <w:t>“</w:t>
      </w:r>
      <w:r w:rsidR="007C40B4" w:rsidRPr="007C40B4">
        <w:rPr>
          <w:sz w:val="24"/>
          <w:szCs w:val="24"/>
        </w:rPr>
        <w:t xml:space="preserve">do not reduce lifetime excess cancer risks to the individual most exposed to emissions from a source in the category or subcategory to less than 1-in-1 million,” </w:t>
      </w:r>
      <w:r w:rsidR="005643EB">
        <w:rPr>
          <w:sz w:val="24"/>
          <w:szCs w:val="24"/>
        </w:rPr>
        <w:t xml:space="preserve">the </w:t>
      </w:r>
      <w:r w:rsidR="007C40B4" w:rsidRPr="007C40B4">
        <w:rPr>
          <w:sz w:val="24"/>
          <w:szCs w:val="24"/>
        </w:rPr>
        <w:t>EPA must promulgate residual risk standards for the source category (or subcategory) as necessary to provide an ample margin of safety to protect public health.</w:t>
      </w:r>
      <w:r w:rsidR="00576C21">
        <w:rPr>
          <w:sz w:val="24"/>
          <w:szCs w:val="24"/>
        </w:rPr>
        <w:t xml:space="preserve"> </w:t>
      </w:r>
      <w:r w:rsidR="007C40B4" w:rsidRPr="007C40B4">
        <w:rPr>
          <w:sz w:val="24"/>
          <w:szCs w:val="24"/>
        </w:rPr>
        <w:t xml:space="preserve">In doing so, </w:t>
      </w:r>
      <w:r w:rsidR="005643EB">
        <w:rPr>
          <w:sz w:val="24"/>
          <w:szCs w:val="24"/>
        </w:rPr>
        <w:t xml:space="preserve">the </w:t>
      </w:r>
      <w:r w:rsidR="007C40B4" w:rsidRPr="007C40B4">
        <w:rPr>
          <w:sz w:val="24"/>
          <w:szCs w:val="24"/>
        </w:rPr>
        <w:t xml:space="preserve">EPA may adopt standards equal to existing MACT standards, if </w:t>
      </w:r>
      <w:r w:rsidR="005643EB">
        <w:rPr>
          <w:sz w:val="24"/>
          <w:szCs w:val="24"/>
        </w:rPr>
        <w:t xml:space="preserve">the </w:t>
      </w:r>
      <w:r w:rsidR="007C40B4" w:rsidRPr="007C40B4">
        <w:rPr>
          <w:sz w:val="24"/>
          <w:szCs w:val="24"/>
        </w:rPr>
        <w:t>EPA determines that the existing standards are sufficiently protective.</w:t>
      </w:r>
      <w:r w:rsidR="00576C21">
        <w:rPr>
          <w:sz w:val="24"/>
          <w:szCs w:val="24"/>
        </w:rPr>
        <w:t xml:space="preserve"> </w:t>
      </w:r>
      <w:r w:rsidR="005643EB">
        <w:rPr>
          <w:sz w:val="24"/>
          <w:szCs w:val="24"/>
        </w:rPr>
        <w:t xml:space="preserve">The </w:t>
      </w:r>
      <w:r w:rsidR="007C40B4" w:rsidRPr="007C40B4">
        <w:rPr>
          <w:sz w:val="24"/>
          <w:szCs w:val="24"/>
        </w:rPr>
        <w:t>EPA must also adopt more stringent standards, if necessary, to prevent an adverse environmental effect, but must consider cost, energy, safety and other relevant factors in doing so.</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standards are being achieved on a continuous basis.</w:t>
      </w:r>
      <w:r w:rsidR="00576C21">
        <w:rPr>
          <w:sz w:val="24"/>
          <w:szCs w:val="24"/>
        </w:rPr>
        <w:t xml:space="preserve"> </w:t>
      </w:r>
      <w:r w:rsidRPr="007C40B4">
        <w:rPr>
          <w:sz w:val="24"/>
          <w:szCs w:val="24"/>
        </w:rPr>
        <w:t xml:space="preserve">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576C21">
        <w:rPr>
          <w:sz w:val="24"/>
          <w:szCs w:val="24"/>
        </w:rPr>
        <w:t xml:space="preserve"> </w:t>
      </w:r>
      <w:r w:rsidR="008B15B2" w:rsidRPr="007C40B4">
        <w:rPr>
          <w:sz w:val="24"/>
          <w:szCs w:val="24"/>
        </w:rPr>
        <w:t xml:space="preserve">The recordkeeping and reporting requirements for </w:t>
      </w:r>
      <w:r w:rsidR="00B52CFA">
        <w:rPr>
          <w:sz w:val="24"/>
          <w:szCs w:val="24"/>
        </w:rPr>
        <w:t xml:space="preserve">operating permits (i.e., </w:t>
      </w:r>
      <w:r w:rsidR="00010371" w:rsidRPr="007C40B4">
        <w:rPr>
          <w:sz w:val="24"/>
          <w:szCs w:val="24"/>
        </w:rPr>
        <w:t>t</w:t>
      </w:r>
      <w:r w:rsidR="00F166EC" w:rsidRPr="007C40B4">
        <w:rPr>
          <w:sz w:val="24"/>
          <w:szCs w:val="24"/>
        </w:rPr>
        <w:t xml:space="preserve">itle V </w:t>
      </w:r>
      <w:r w:rsidR="008B15B2" w:rsidRPr="007C40B4">
        <w:rPr>
          <w:sz w:val="24"/>
          <w:szCs w:val="24"/>
        </w:rPr>
        <w:t>permits</w:t>
      </w:r>
      <w:r w:rsidR="00B52CFA">
        <w:rPr>
          <w:sz w:val="24"/>
          <w:szCs w:val="24"/>
        </w:rPr>
        <w:t>)</w:t>
      </w:r>
      <w:r w:rsidR="008B15B2" w:rsidRPr="007C40B4">
        <w:rPr>
          <w:sz w:val="24"/>
          <w:szCs w:val="24"/>
        </w:rPr>
        <w:t xml:space="preserve">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576C21">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p>
    <w:p w:rsidR="00B1351A" w:rsidRPr="007C40B4" w:rsidRDefault="00B1351A" w:rsidP="00E846A7">
      <w:pPr>
        <w:widowControl/>
        <w:spacing w:line="360" w:lineRule="auto"/>
        <w:rPr>
          <w:sz w:val="24"/>
          <w:szCs w:val="24"/>
        </w:rPr>
      </w:pPr>
      <w:r w:rsidRPr="007C40B4">
        <w:rPr>
          <w:i/>
          <w:iCs/>
          <w:sz w:val="24"/>
          <w:szCs w:val="24"/>
        </w:rPr>
        <w:t>(b)</w:t>
      </w:r>
      <w:r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w:t>
      </w:r>
      <w:r w:rsidR="005643EB">
        <w:rPr>
          <w:sz w:val="24"/>
          <w:szCs w:val="24"/>
        </w:rPr>
        <w:t>s</w:t>
      </w:r>
      <w:r w:rsidR="005643EB" w:rsidRPr="007C40B4">
        <w:rPr>
          <w:sz w:val="24"/>
          <w:szCs w:val="24"/>
        </w:rPr>
        <w:t xml:space="preserve">tate </w:t>
      </w:r>
      <w:r w:rsidR="00D85131" w:rsidRPr="007C40B4">
        <w:rPr>
          <w:sz w:val="24"/>
          <w:szCs w:val="24"/>
        </w:rPr>
        <w:t>agency</w:t>
      </w:r>
      <w:r w:rsidR="00D52263" w:rsidRPr="007C40B4">
        <w:rPr>
          <w:sz w:val="24"/>
          <w:szCs w:val="24"/>
        </w:rPr>
        <w:t>,</w:t>
      </w:r>
      <w:r w:rsidR="00D85131" w:rsidRPr="007C40B4">
        <w:rPr>
          <w:sz w:val="24"/>
          <w:szCs w:val="24"/>
        </w:rPr>
        <w:t xml:space="preserve"> or Regional Administrator if there is no delegated </w:t>
      </w:r>
      <w:r w:rsidR="005643EB">
        <w:rPr>
          <w:sz w:val="24"/>
          <w:szCs w:val="24"/>
        </w:rPr>
        <w:t>s</w:t>
      </w:r>
      <w:r w:rsidR="005643EB" w:rsidRPr="007C40B4">
        <w:rPr>
          <w:sz w:val="24"/>
          <w:szCs w:val="24"/>
        </w:rPr>
        <w:t xml:space="preserve">tate </w:t>
      </w:r>
      <w:r w:rsidR="00D85131" w:rsidRPr="007C40B4">
        <w:rPr>
          <w:sz w:val="24"/>
          <w:szCs w:val="24"/>
        </w:rPr>
        <w:t xml:space="preserve">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are being achieved.</w:t>
      </w:r>
      <w:r w:rsidR="00576C21">
        <w:rPr>
          <w:sz w:val="24"/>
          <w:szCs w:val="24"/>
        </w:rPr>
        <w:t xml:space="preserve"> </w:t>
      </w:r>
      <w:r w:rsidRPr="007C40B4">
        <w:rPr>
          <w:sz w:val="24"/>
          <w:szCs w:val="24"/>
        </w:rPr>
        <w:t xml:space="preserve">Based on review of the recorded information at the site and the reported information, </w:t>
      </w:r>
      <w:r w:rsidR="00D85131" w:rsidRPr="007C40B4">
        <w:rPr>
          <w:sz w:val="24"/>
          <w:szCs w:val="24"/>
        </w:rPr>
        <w:t xml:space="preserve">the </w:t>
      </w:r>
      <w:r w:rsidR="00D85131" w:rsidRPr="007C40B4">
        <w:rPr>
          <w:sz w:val="24"/>
          <w:szCs w:val="24"/>
        </w:rPr>
        <w:lastRenderedPageBreak/>
        <w:t xml:space="preserve">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r w:rsidRPr="007C40B4">
        <w:rPr>
          <w:b/>
          <w:bCs/>
          <w:sz w:val="24"/>
          <w:szCs w:val="24"/>
        </w:rPr>
        <w:t>Nonduplication,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t>Nonduplication.</w:t>
      </w:r>
    </w:p>
    <w:p w:rsidR="006A4F53" w:rsidRPr="007C40B4" w:rsidRDefault="00301ABE" w:rsidP="009E3399">
      <w:pPr>
        <w:spacing w:line="360" w:lineRule="auto"/>
        <w:ind w:firstLine="720"/>
        <w:rPr>
          <w:sz w:val="24"/>
          <w:szCs w:val="24"/>
        </w:rPr>
      </w:pPr>
      <w:r w:rsidRPr="007C40B4">
        <w:rPr>
          <w:sz w:val="24"/>
          <w:szCs w:val="24"/>
        </w:rPr>
        <w:t xml:space="preserve">A computer search of </w:t>
      </w:r>
      <w:r w:rsidR="005643EB">
        <w:rPr>
          <w:sz w:val="24"/>
          <w:szCs w:val="24"/>
        </w:rPr>
        <w:t xml:space="preserve">the </w:t>
      </w:r>
      <w:r w:rsidRPr="007C40B4">
        <w:rPr>
          <w:sz w:val="24"/>
          <w:szCs w:val="24"/>
        </w:rPr>
        <w:t>EPA</w:t>
      </w:r>
      <w:r w:rsidR="008556DF" w:rsidRPr="007C40B4">
        <w:rPr>
          <w:sz w:val="24"/>
          <w:szCs w:val="24"/>
        </w:rPr>
        <w:t>’</w:t>
      </w:r>
      <w:r w:rsidRPr="007C40B4">
        <w:rPr>
          <w:sz w:val="24"/>
          <w:szCs w:val="24"/>
        </w:rPr>
        <w:t>s ongoing ICRs revealed no duplication of information-gathering efforts.</w:t>
      </w:r>
    </w:p>
    <w:p w:rsidR="00B1351A" w:rsidRPr="007C40B4" w:rsidRDefault="00B1351A" w:rsidP="009E3399">
      <w:pPr>
        <w:keepNext/>
        <w:keepLines/>
        <w:widowControl/>
        <w:spacing w:line="360" w:lineRule="auto"/>
        <w:rPr>
          <w:i/>
          <w:iCs/>
          <w:sz w:val="24"/>
          <w:szCs w:val="24"/>
        </w:rPr>
      </w:pPr>
      <w:r w:rsidRPr="007C40B4">
        <w:rPr>
          <w:i/>
          <w:iCs/>
          <w:sz w:val="24"/>
          <w:szCs w:val="24"/>
        </w:rPr>
        <w:t>(b)</w:t>
      </w:r>
      <w:r w:rsidR="00DC4234" w:rsidRPr="007C40B4">
        <w:rPr>
          <w:i/>
          <w:iCs/>
          <w:sz w:val="24"/>
          <w:szCs w:val="24"/>
        </w:rPr>
        <w:tab/>
      </w:r>
      <w:r w:rsidRPr="007C40B4">
        <w:rPr>
          <w:i/>
          <w:iCs/>
          <w:sz w:val="24"/>
          <w:szCs w:val="24"/>
        </w:rPr>
        <w:t>Public Notice Required Prior to ICR Submission to OMB.</w:t>
      </w:r>
    </w:p>
    <w:p w:rsidR="007B1799" w:rsidRDefault="007B1799" w:rsidP="009E3399">
      <w:pPr>
        <w:spacing w:line="360" w:lineRule="auto"/>
        <w:rPr>
          <w:sz w:val="24"/>
          <w:szCs w:val="24"/>
        </w:rPr>
      </w:pPr>
      <w:r>
        <w:rPr>
          <w:sz w:val="24"/>
          <w:szCs w:val="24"/>
        </w:rPr>
        <w:tab/>
        <w:t>EPA will provide public notice and solicit public comment by means of a Federal Register Notice of Proposed Rulemaking.</w:t>
      </w:r>
    </w:p>
    <w:p w:rsidR="00B1351A" w:rsidRPr="007C40B4" w:rsidRDefault="007B1799" w:rsidP="009E3399">
      <w:pPr>
        <w:spacing w:line="360" w:lineRule="auto"/>
        <w:rPr>
          <w:i/>
          <w:iCs/>
          <w:sz w:val="24"/>
          <w:szCs w:val="24"/>
        </w:rPr>
      </w:pPr>
      <w:r w:rsidRPr="007C40B4">
        <w:rPr>
          <w:i/>
          <w:iCs/>
          <w:sz w:val="24"/>
          <w:szCs w:val="24"/>
        </w:rPr>
        <w:t xml:space="preserve"> </w:t>
      </w:r>
      <w:r w:rsidR="00B1351A" w:rsidRPr="007C40B4">
        <w:rPr>
          <w:i/>
          <w:iCs/>
          <w:sz w:val="24"/>
          <w:szCs w:val="24"/>
        </w:rPr>
        <w:t>(c)</w:t>
      </w:r>
      <w:r w:rsidR="00B1351A" w:rsidRPr="007C40B4">
        <w:rPr>
          <w:i/>
          <w:iCs/>
          <w:sz w:val="24"/>
          <w:szCs w:val="24"/>
        </w:rPr>
        <w:tab/>
        <w:t>Consultations.</w:t>
      </w:r>
    </w:p>
    <w:p w:rsidR="00957578" w:rsidRPr="007C40B4" w:rsidRDefault="00B1351A" w:rsidP="008D7426">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17193F">
        <w:rPr>
          <w:sz w:val="24"/>
          <w:szCs w:val="24"/>
        </w:rPr>
        <w:t>secondary</w:t>
      </w:r>
      <w:r w:rsidR="002A02C8">
        <w:rPr>
          <w:sz w:val="24"/>
          <w:szCs w:val="24"/>
        </w:rPr>
        <w:t xml:space="preserve"> aluminum production </w:t>
      </w:r>
      <w:r w:rsidR="008556DF" w:rsidRPr="00A042D5">
        <w:rPr>
          <w:sz w:val="24"/>
          <w:szCs w:val="24"/>
        </w:rPr>
        <w:t>companies</w:t>
      </w:r>
      <w:r w:rsidR="00535DAE" w:rsidRPr="00A042D5">
        <w:rPr>
          <w:sz w:val="24"/>
          <w:szCs w:val="24"/>
        </w:rPr>
        <w:t xml:space="preserve"> </w:t>
      </w:r>
      <w:r w:rsidR="00A749EB" w:rsidRPr="00A042D5">
        <w:rPr>
          <w:sz w:val="24"/>
          <w:szCs w:val="24"/>
        </w:rPr>
        <w:t>and trade association</w:t>
      </w:r>
      <w:r w:rsidR="00535DAE" w:rsidRPr="00A042D5">
        <w:rPr>
          <w:sz w:val="24"/>
          <w:szCs w:val="24"/>
        </w:rPr>
        <w:t>s</w:t>
      </w:r>
      <w:r w:rsidRPr="00A042D5">
        <w:rPr>
          <w:sz w:val="24"/>
          <w:szCs w:val="24"/>
        </w:rPr>
        <w:t>.</w:t>
      </w:r>
      <w:r w:rsidR="00576C21">
        <w:rPr>
          <w:sz w:val="24"/>
          <w:szCs w:val="24"/>
        </w:rPr>
        <w:t xml:space="preserve"> </w:t>
      </w:r>
      <w:r w:rsidRPr="00A042D5">
        <w:rPr>
          <w:sz w:val="24"/>
          <w:szCs w:val="24"/>
        </w:rPr>
        <w:t>The non-EPA persons consulted</w:t>
      </w:r>
      <w:r w:rsidRPr="007C40B4">
        <w:rPr>
          <w:sz w:val="24"/>
          <w:szCs w:val="24"/>
        </w:rPr>
        <w:t xml:space="preserve"> on the information collection activities are identified in Table 1.</w:t>
      </w:r>
    </w:p>
    <w:p w:rsidR="00B1351A" w:rsidRPr="007C40B4" w:rsidRDefault="00B1351A" w:rsidP="00F07067">
      <w:pPr>
        <w:keepNext/>
        <w:widowControl/>
        <w:spacing w:line="360" w:lineRule="auto"/>
        <w:rPr>
          <w:b/>
          <w:bCs/>
          <w:sz w:val="22"/>
          <w:szCs w:val="24"/>
        </w:rPr>
      </w:pPr>
      <w:proofErr w:type="gramStart"/>
      <w:r w:rsidRPr="007C40B4">
        <w:rPr>
          <w:b/>
          <w:bCs/>
          <w:sz w:val="22"/>
          <w:szCs w:val="24"/>
        </w:rPr>
        <w:t>TABLE 1.</w:t>
      </w:r>
      <w:proofErr w:type="gramEnd"/>
      <w:r w:rsidR="00576C21">
        <w:rPr>
          <w:b/>
          <w:bCs/>
          <w:sz w:val="22"/>
          <w:szCs w:val="24"/>
        </w:rPr>
        <w:t xml:space="preserve"> </w:t>
      </w:r>
      <w:r w:rsidRPr="007C40B4">
        <w:rPr>
          <w:b/>
          <w:bCs/>
          <w:sz w:val="22"/>
          <w:szCs w:val="24"/>
        </w:rPr>
        <w:t>PERSONS CONSULTED ON THE INFORMATION COLLECTION ACTIVITIES</w:t>
      </w:r>
    </w:p>
    <w:tbl>
      <w:tblPr>
        <w:tblW w:w="4984"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3130"/>
        <w:gridCol w:w="4353"/>
        <w:gridCol w:w="2804"/>
      </w:tblGrid>
      <w:tr w:rsidR="00C422FD" w:rsidRPr="00A042D5" w:rsidTr="00F07067">
        <w:tblPrEx>
          <w:tblCellMar>
            <w:top w:w="0" w:type="dxa"/>
            <w:bottom w:w="0" w:type="dxa"/>
          </w:tblCellMar>
        </w:tblPrEx>
        <w:trPr>
          <w:cantSplit/>
          <w:trHeight w:val="360"/>
          <w:tblHeader/>
        </w:trPr>
        <w:tc>
          <w:tcPr>
            <w:tcW w:w="1521" w:type="pct"/>
            <w:vAlign w:val="center"/>
          </w:tcPr>
          <w:p w:rsidR="00C422FD" w:rsidRPr="00A042D5" w:rsidRDefault="00C422FD" w:rsidP="00F07067">
            <w:pPr>
              <w:keepNext/>
              <w:widowControl/>
              <w:jc w:val="center"/>
              <w:rPr>
                <w:b/>
                <w:sz w:val="24"/>
                <w:szCs w:val="24"/>
              </w:rPr>
            </w:pPr>
            <w:r w:rsidRPr="00A042D5">
              <w:rPr>
                <w:b/>
                <w:sz w:val="24"/>
                <w:szCs w:val="24"/>
              </w:rPr>
              <w:t>Contact</w:t>
            </w:r>
          </w:p>
        </w:tc>
        <w:tc>
          <w:tcPr>
            <w:tcW w:w="2116" w:type="pct"/>
            <w:vAlign w:val="center"/>
          </w:tcPr>
          <w:p w:rsidR="00C422FD" w:rsidRPr="00A042D5" w:rsidRDefault="00C422FD" w:rsidP="00F07067">
            <w:pPr>
              <w:keepNext/>
              <w:widowControl/>
              <w:jc w:val="center"/>
              <w:rPr>
                <w:b/>
                <w:sz w:val="24"/>
                <w:szCs w:val="24"/>
              </w:rPr>
            </w:pPr>
            <w:r w:rsidRPr="00A042D5">
              <w:rPr>
                <w:b/>
                <w:sz w:val="24"/>
                <w:szCs w:val="24"/>
              </w:rPr>
              <w:t>Organization</w:t>
            </w:r>
          </w:p>
        </w:tc>
        <w:tc>
          <w:tcPr>
            <w:tcW w:w="1363" w:type="pct"/>
            <w:vAlign w:val="center"/>
          </w:tcPr>
          <w:p w:rsidR="00C422FD" w:rsidRPr="00A042D5" w:rsidRDefault="00C422FD" w:rsidP="00F07067">
            <w:pPr>
              <w:keepNext/>
              <w:widowControl/>
              <w:jc w:val="center"/>
              <w:rPr>
                <w:b/>
                <w:sz w:val="24"/>
                <w:szCs w:val="24"/>
              </w:rPr>
            </w:pPr>
            <w:r w:rsidRPr="00A042D5">
              <w:rPr>
                <w:b/>
                <w:sz w:val="24"/>
                <w:szCs w:val="24"/>
              </w:rPr>
              <w:t>Telephone No.</w:t>
            </w:r>
          </w:p>
        </w:tc>
      </w:tr>
      <w:tr w:rsidR="00623881" w:rsidRPr="00A042D5" w:rsidTr="00F07067">
        <w:tblPrEx>
          <w:tblCellMar>
            <w:top w:w="0" w:type="dxa"/>
            <w:bottom w:w="0" w:type="dxa"/>
          </w:tblCellMar>
        </w:tblPrEx>
        <w:trPr>
          <w:cantSplit/>
          <w:trHeight w:val="360"/>
        </w:trPr>
        <w:tc>
          <w:tcPr>
            <w:tcW w:w="1521" w:type="pct"/>
            <w:vAlign w:val="center"/>
          </w:tcPr>
          <w:p w:rsidR="00623881" w:rsidRPr="00623881" w:rsidRDefault="008D7426" w:rsidP="00F07067">
            <w:pPr>
              <w:ind w:left="180"/>
              <w:rPr>
                <w:sz w:val="24"/>
                <w:szCs w:val="24"/>
              </w:rPr>
            </w:pPr>
            <w:r>
              <w:rPr>
                <w:sz w:val="24"/>
                <w:szCs w:val="24"/>
              </w:rPr>
              <w:t>Charles Johnson, Jr.</w:t>
            </w:r>
          </w:p>
        </w:tc>
        <w:tc>
          <w:tcPr>
            <w:tcW w:w="2116" w:type="pct"/>
            <w:vAlign w:val="center"/>
          </w:tcPr>
          <w:p w:rsidR="00623881" w:rsidRPr="00623881" w:rsidRDefault="008D7426" w:rsidP="00F07067">
            <w:pPr>
              <w:ind w:left="151"/>
              <w:rPr>
                <w:sz w:val="24"/>
                <w:szCs w:val="24"/>
              </w:rPr>
            </w:pPr>
            <w:r>
              <w:rPr>
                <w:sz w:val="24"/>
                <w:szCs w:val="24"/>
              </w:rPr>
              <w:t>The Aluminum Association</w:t>
            </w:r>
            <w:r w:rsidR="005643EB">
              <w:rPr>
                <w:sz w:val="24"/>
                <w:szCs w:val="24"/>
              </w:rPr>
              <w:t>, Inc.</w:t>
            </w:r>
          </w:p>
        </w:tc>
        <w:tc>
          <w:tcPr>
            <w:tcW w:w="1363" w:type="pct"/>
            <w:vAlign w:val="center"/>
          </w:tcPr>
          <w:p w:rsidR="00623881" w:rsidRPr="00623881" w:rsidRDefault="00623881" w:rsidP="008D7426">
            <w:pPr>
              <w:jc w:val="center"/>
              <w:rPr>
                <w:sz w:val="24"/>
                <w:szCs w:val="24"/>
              </w:rPr>
            </w:pPr>
            <w:r w:rsidRPr="00623881">
              <w:rPr>
                <w:sz w:val="24"/>
                <w:szCs w:val="24"/>
              </w:rPr>
              <w:t>703-</w:t>
            </w:r>
            <w:r w:rsidR="008D7426">
              <w:rPr>
                <w:sz w:val="24"/>
                <w:szCs w:val="24"/>
              </w:rPr>
              <w:t>358</w:t>
            </w:r>
            <w:r w:rsidRPr="00623881">
              <w:rPr>
                <w:sz w:val="24"/>
                <w:szCs w:val="24"/>
              </w:rPr>
              <w:t>-</w:t>
            </w:r>
            <w:r w:rsidR="008D7426">
              <w:rPr>
                <w:sz w:val="24"/>
                <w:szCs w:val="24"/>
              </w:rPr>
              <w:t>2981</w:t>
            </w:r>
          </w:p>
        </w:tc>
      </w:tr>
      <w:tr w:rsidR="00623881" w:rsidRPr="00A042D5" w:rsidTr="00F07067">
        <w:tblPrEx>
          <w:tblCellMar>
            <w:top w:w="0" w:type="dxa"/>
            <w:bottom w:w="0" w:type="dxa"/>
          </w:tblCellMar>
        </w:tblPrEx>
        <w:trPr>
          <w:cantSplit/>
          <w:trHeight w:val="360"/>
        </w:trPr>
        <w:tc>
          <w:tcPr>
            <w:tcW w:w="1521" w:type="pct"/>
            <w:vAlign w:val="center"/>
          </w:tcPr>
          <w:p w:rsidR="00623881" w:rsidRPr="00623881" w:rsidRDefault="009A4187" w:rsidP="00F07067">
            <w:pPr>
              <w:ind w:left="180"/>
              <w:rPr>
                <w:sz w:val="24"/>
                <w:szCs w:val="24"/>
              </w:rPr>
            </w:pPr>
            <w:r w:rsidRPr="009A4187">
              <w:rPr>
                <w:sz w:val="24"/>
                <w:szCs w:val="24"/>
              </w:rPr>
              <w:t>Mike P</w:t>
            </w:r>
            <w:r w:rsidR="008D7426">
              <w:rPr>
                <w:sz w:val="24"/>
                <w:szCs w:val="24"/>
              </w:rPr>
              <w:t>alazzolo</w:t>
            </w:r>
          </w:p>
        </w:tc>
        <w:tc>
          <w:tcPr>
            <w:tcW w:w="2116" w:type="pct"/>
            <w:vAlign w:val="center"/>
          </w:tcPr>
          <w:p w:rsidR="00623881" w:rsidRPr="00623881" w:rsidRDefault="008D7426" w:rsidP="00F07067">
            <w:pPr>
              <w:ind w:left="151"/>
              <w:rPr>
                <w:sz w:val="24"/>
                <w:szCs w:val="24"/>
              </w:rPr>
            </w:pPr>
            <w:r>
              <w:rPr>
                <w:sz w:val="24"/>
                <w:szCs w:val="24"/>
              </w:rPr>
              <w:t>Alcoa</w:t>
            </w:r>
            <w:r w:rsidR="00F07067">
              <w:rPr>
                <w:sz w:val="24"/>
                <w:szCs w:val="24"/>
              </w:rPr>
              <w:t>, Inc.</w:t>
            </w:r>
          </w:p>
        </w:tc>
        <w:tc>
          <w:tcPr>
            <w:tcW w:w="1363" w:type="pct"/>
            <w:vAlign w:val="center"/>
          </w:tcPr>
          <w:p w:rsidR="00623881" w:rsidRPr="00623881" w:rsidRDefault="00AE0D09" w:rsidP="00AE0D09">
            <w:pPr>
              <w:jc w:val="center"/>
              <w:rPr>
                <w:sz w:val="24"/>
                <w:szCs w:val="24"/>
              </w:rPr>
            </w:pPr>
            <w:r>
              <w:rPr>
                <w:sz w:val="24"/>
                <w:szCs w:val="24"/>
              </w:rPr>
              <w:t>412</w:t>
            </w:r>
            <w:r w:rsidR="009A4187" w:rsidRPr="009A4187">
              <w:rPr>
                <w:sz w:val="24"/>
                <w:szCs w:val="24"/>
              </w:rPr>
              <w:t>-</w:t>
            </w:r>
            <w:r>
              <w:rPr>
                <w:sz w:val="24"/>
                <w:szCs w:val="24"/>
              </w:rPr>
              <w:t>553</w:t>
            </w:r>
            <w:r w:rsidR="009A4187" w:rsidRPr="009A4187">
              <w:rPr>
                <w:sz w:val="24"/>
                <w:szCs w:val="24"/>
              </w:rPr>
              <w:t>-</w:t>
            </w:r>
            <w:r>
              <w:rPr>
                <w:sz w:val="24"/>
                <w:szCs w:val="24"/>
              </w:rPr>
              <w:t>4832</w:t>
            </w:r>
          </w:p>
        </w:tc>
      </w:tr>
      <w:tr w:rsidR="005643EB" w:rsidRPr="00A042D5" w:rsidTr="00F07067">
        <w:tblPrEx>
          <w:tblCellMar>
            <w:top w:w="0" w:type="dxa"/>
            <w:bottom w:w="0" w:type="dxa"/>
          </w:tblCellMar>
        </w:tblPrEx>
        <w:trPr>
          <w:cantSplit/>
          <w:trHeight w:val="360"/>
        </w:trPr>
        <w:tc>
          <w:tcPr>
            <w:tcW w:w="1521" w:type="pct"/>
            <w:vAlign w:val="center"/>
          </w:tcPr>
          <w:p w:rsidR="005643EB" w:rsidRPr="00916617" w:rsidRDefault="00916617" w:rsidP="00F07067">
            <w:pPr>
              <w:ind w:left="180"/>
              <w:rPr>
                <w:sz w:val="24"/>
                <w:szCs w:val="24"/>
              </w:rPr>
            </w:pPr>
            <w:r w:rsidRPr="00916617">
              <w:rPr>
                <w:sz w:val="24"/>
                <w:szCs w:val="24"/>
              </w:rPr>
              <w:t>Gary Barnett</w:t>
            </w:r>
          </w:p>
        </w:tc>
        <w:tc>
          <w:tcPr>
            <w:tcW w:w="2116" w:type="pct"/>
            <w:vAlign w:val="center"/>
          </w:tcPr>
          <w:p w:rsidR="005643EB" w:rsidRPr="00916617" w:rsidRDefault="00916617" w:rsidP="00F07067">
            <w:pPr>
              <w:ind w:left="151"/>
              <w:rPr>
                <w:sz w:val="24"/>
                <w:szCs w:val="24"/>
              </w:rPr>
            </w:pPr>
            <w:r w:rsidRPr="00916617">
              <w:rPr>
                <w:sz w:val="24"/>
                <w:szCs w:val="24"/>
              </w:rPr>
              <w:t>Aleris International, Inc.</w:t>
            </w:r>
          </w:p>
        </w:tc>
        <w:tc>
          <w:tcPr>
            <w:tcW w:w="1363" w:type="pct"/>
            <w:vAlign w:val="center"/>
          </w:tcPr>
          <w:p w:rsidR="005643EB" w:rsidRPr="00916617" w:rsidRDefault="00916617" w:rsidP="00623881">
            <w:pPr>
              <w:jc w:val="center"/>
              <w:rPr>
                <w:sz w:val="24"/>
                <w:szCs w:val="24"/>
              </w:rPr>
            </w:pPr>
            <w:r w:rsidRPr="00916617">
              <w:rPr>
                <w:sz w:val="24"/>
                <w:szCs w:val="24"/>
              </w:rPr>
              <w:t>216-910-3697</w:t>
            </w:r>
          </w:p>
        </w:tc>
      </w:tr>
      <w:tr w:rsidR="00916617" w:rsidRPr="00A042D5" w:rsidTr="00F07067">
        <w:tblPrEx>
          <w:tblCellMar>
            <w:top w:w="0" w:type="dxa"/>
            <w:bottom w:w="0" w:type="dxa"/>
          </w:tblCellMar>
        </w:tblPrEx>
        <w:trPr>
          <w:cantSplit/>
          <w:trHeight w:val="360"/>
        </w:trPr>
        <w:tc>
          <w:tcPr>
            <w:tcW w:w="1521" w:type="pct"/>
            <w:vAlign w:val="center"/>
          </w:tcPr>
          <w:p w:rsidR="00916617" w:rsidRPr="00916617" w:rsidRDefault="00916617" w:rsidP="00F07067">
            <w:pPr>
              <w:ind w:left="180"/>
              <w:rPr>
                <w:sz w:val="24"/>
                <w:szCs w:val="24"/>
              </w:rPr>
            </w:pPr>
            <w:r w:rsidRPr="00916617">
              <w:rPr>
                <w:sz w:val="24"/>
                <w:szCs w:val="24"/>
              </w:rPr>
              <w:t>Steve Royer</w:t>
            </w:r>
          </w:p>
        </w:tc>
        <w:tc>
          <w:tcPr>
            <w:tcW w:w="2116" w:type="pct"/>
            <w:vAlign w:val="center"/>
          </w:tcPr>
          <w:p w:rsidR="00916617" w:rsidRPr="00916617" w:rsidRDefault="00916617" w:rsidP="00F07067">
            <w:pPr>
              <w:ind w:left="151"/>
              <w:rPr>
                <w:sz w:val="24"/>
                <w:szCs w:val="24"/>
              </w:rPr>
            </w:pPr>
            <w:r w:rsidRPr="00916617">
              <w:rPr>
                <w:sz w:val="24"/>
                <w:szCs w:val="24"/>
              </w:rPr>
              <w:t>Logan Aluminum, Inc.</w:t>
            </w:r>
          </w:p>
        </w:tc>
        <w:tc>
          <w:tcPr>
            <w:tcW w:w="1363" w:type="pct"/>
            <w:vAlign w:val="center"/>
          </w:tcPr>
          <w:p w:rsidR="00916617" w:rsidRPr="00916617" w:rsidRDefault="00916617" w:rsidP="00623881">
            <w:pPr>
              <w:jc w:val="center"/>
              <w:rPr>
                <w:sz w:val="24"/>
                <w:szCs w:val="24"/>
              </w:rPr>
            </w:pPr>
            <w:r w:rsidRPr="00916617">
              <w:rPr>
                <w:sz w:val="24"/>
                <w:szCs w:val="24"/>
              </w:rPr>
              <w:t>270-755-6390</w:t>
            </w:r>
          </w:p>
        </w:tc>
      </w:tr>
    </w:tbl>
    <w:p w:rsidR="00F07067" w:rsidRDefault="00F07067" w:rsidP="00F07067"/>
    <w:p w:rsidR="00B1351A" w:rsidRPr="00F07067" w:rsidRDefault="00B1351A" w:rsidP="00F07067">
      <w:pPr>
        <w:spacing w:line="360" w:lineRule="auto"/>
        <w:rPr>
          <w:i/>
          <w:sz w:val="24"/>
          <w:szCs w:val="24"/>
        </w:rPr>
      </w:pPr>
      <w:r w:rsidRPr="00F07067">
        <w:rPr>
          <w:i/>
          <w:sz w:val="24"/>
          <w:szCs w:val="24"/>
        </w:rPr>
        <w:t>(d)</w:t>
      </w:r>
      <w:r w:rsidRPr="00F07067">
        <w:rPr>
          <w:i/>
          <w:sz w:val="24"/>
          <w:szCs w:val="24"/>
        </w:rPr>
        <w:tab/>
        <w:t>Effects of Less Frequent Collection.</w:t>
      </w:r>
    </w:p>
    <w:p w:rsidR="00B1351A" w:rsidRPr="00F07067" w:rsidRDefault="00B1351A" w:rsidP="00F07067">
      <w:pPr>
        <w:spacing w:line="360" w:lineRule="auto"/>
        <w:rPr>
          <w:sz w:val="24"/>
          <w:szCs w:val="24"/>
        </w:rPr>
      </w:pPr>
      <w:r w:rsidRPr="00F07067">
        <w:rPr>
          <w:sz w:val="24"/>
          <w:szCs w:val="24"/>
        </w:rPr>
        <w:tab/>
        <w:t xml:space="preserve">If the relevant information </w:t>
      </w:r>
      <w:r w:rsidR="006E490B" w:rsidRPr="00F07067">
        <w:rPr>
          <w:sz w:val="24"/>
          <w:szCs w:val="24"/>
        </w:rPr>
        <w:t>was</w:t>
      </w:r>
      <w:r w:rsidR="007C35C5" w:rsidRPr="00F07067">
        <w:rPr>
          <w:sz w:val="24"/>
          <w:szCs w:val="24"/>
        </w:rPr>
        <w:t xml:space="preserve"> collected less frequently, the delegated permitting authority (</w:t>
      </w:r>
      <w:r w:rsidR="005643EB">
        <w:rPr>
          <w:sz w:val="24"/>
          <w:szCs w:val="24"/>
        </w:rPr>
        <w:t>s</w:t>
      </w:r>
      <w:r w:rsidR="005643EB" w:rsidRPr="00F07067">
        <w:rPr>
          <w:sz w:val="24"/>
          <w:szCs w:val="24"/>
        </w:rPr>
        <w:t xml:space="preserve">tate </w:t>
      </w:r>
      <w:r w:rsidR="007C35C5" w:rsidRPr="00F07067">
        <w:rPr>
          <w:sz w:val="24"/>
          <w:szCs w:val="24"/>
        </w:rPr>
        <w:t xml:space="preserve">or </w:t>
      </w:r>
      <w:r w:rsidR="005643EB">
        <w:rPr>
          <w:sz w:val="24"/>
          <w:szCs w:val="24"/>
        </w:rPr>
        <w:t xml:space="preserve">the </w:t>
      </w:r>
      <w:r w:rsidR="007C35C5" w:rsidRPr="00F07067">
        <w:rPr>
          <w:sz w:val="24"/>
          <w:szCs w:val="24"/>
        </w:rPr>
        <w:t xml:space="preserve">EPA) </w:t>
      </w:r>
      <w:r w:rsidRPr="00F07067">
        <w:rPr>
          <w:sz w:val="24"/>
          <w:szCs w:val="24"/>
        </w:rPr>
        <w:t>w</w:t>
      </w:r>
      <w:r w:rsidR="001B3E33" w:rsidRPr="00F07067">
        <w:rPr>
          <w:sz w:val="24"/>
          <w:szCs w:val="24"/>
        </w:rPr>
        <w:t>ill</w:t>
      </w:r>
      <w:r w:rsidRPr="00F07067">
        <w:rPr>
          <w:sz w:val="24"/>
          <w:szCs w:val="24"/>
        </w:rPr>
        <w:t xml:space="preserve"> not be reasonably assured that a </w:t>
      </w:r>
      <w:r w:rsidR="00522875" w:rsidRPr="00F07067">
        <w:rPr>
          <w:sz w:val="24"/>
          <w:szCs w:val="24"/>
        </w:rPr>
        <w:t>facility</w:t>
      </w:r>
      <w:r w:rsidRPr="00F07067">
        <w:rPr>
          <w:sz w:val="24"/>
          <w:szCs w:val="24"/>
        </w:rPr>
        <w:t xml:space="preserve"> is in compliance with the standards.</w:t>
      </w:r>
    </w:p>
    <w:p w:rsidR="00B1351A" w:rsidRPr="00F07067" w:rsidRDefault="00B1351A" w:rsidP="00F07067">
      <w:pPr>
        <w:spacing w:line="360" w:lineRule="auto"/>
        <w:rPr>
          <w:i/>
          <w:sz w:val="24"/>
          <w:szCs w:val="24"/>
        </w:rPr>
      </w:pPr>
      <w:r w:rsidRPr="00F07067">
        <w:rPr>
          <w:i/>
          <w:sz w:val="24"/>
          <w:szCs w:val="24"/>
        </w:rPr>
        <w:t>(e)</w:t>
      </w:r>
      <w:r w:rsidRPr="00F07067">
        <w:rPr>
          <w:i/>
          <w:sz w:val="24"/>
          <w:szCs w:val="24"/>
        </w:rPr>
        <w:tab/>
        <w:t>General Guidelines.</w:t>
      </w:r>
    </w:p>
    <w:p w:rsidR="00B1351A" w:rsidRPr="00F07067" w:rsidRDefault="00B1351A" w:rsidP="00F07067">
      <w:pPr>
        <w:spacing w:line="360" w:lineRule="auto"/>
        <w:rPr>
          <w:sz w:val="24"/>
          <w:szCs w:val="24"/>
        </w:rPr>
      </w:pPr>
      <w:r w:rsidRPr="00F07067">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(g)</w:t>
      </w:r>
      <w:r w:rsidR="00DC4234" w:rsidRPr="007C40B4">
        <w:rPr>
          <w:i/>
          <w:iCs/>
          <w:sz w:val="24"/>
          <w:szCs w:val="24"/>
        </w:rPr>
        <w:tab/>
      </w:r>
      <w:r w:rsidRPr="007C40B4">
        <w:rPr>
          <w:i/>
          <w:iCs/>
          <w:sz w:val="24"/>
          <w:szCs w:val="24"/>
        </w:rPr>
        <w:t>Sensitive Questions.</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lastRenderedPageBreak/>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EB21D5">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17193F">
        <w:rPr>
          <w:sz w:val="24"/>
          <w:szCs w:val="24"/>
        </w:rPr>
        <w:t>RRR</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17193F">
        <w:rPr>
          <w:rFonts w:cs="Courier New"/>
          <w:sz w:val="24"/>
          <w:szCs w:val="24"/>
        </w:rPr>
        <w:t>Secondary</w:t>
      </w:r>
      <w:r w:rsidR="00572F39">
        <w:rPr>
          <w:rFonts w:cs="Courier New"/>
          <w:sz w:val="24"/>
          <w:szCs w:val="24"/>
        </w:rPr>
        <w:t xml:space="preserve"> Aluminum </w:t>
      </w:r>
      <w:r w:rsidR="0017193F">
        <w:rPr>
          <w:rFonts w:cs="Courier New"/>
          <w:sz w:val="24"/>
          <w:szCs w:val="24"/>
        </w:rPr>
        <w:t>Productions</w:t>
      </w:r>
      <w:r w:rsidR="00EC2688">
        <w:rPr>
          <w:rFonts w:cs="Courier New"/>
          <w:sz w:val="24"/>
          <w:szCs w:val="24"/>
        </w:rPr>
        <w:t xml:space="preserve"> operations</w:t>
      </w:r>
      <w:r w:rsidR="007C40B4" w:rsidRPr="007C40B4">
        <w:rPr>
          <w:rFonts w:cs="Courier New"/>
          <w:sz w:val="24"/>
          <w:szCs w:val="24"/>
        </w:rPr>
        <w:t>.</w:t>
      </w:r>
      <w:r w:rsidR="00576C21">
        <w:rPr>
          <w:rFonts w:cs="Courier New"/>
          <w:sz w:val="24"/>
          <w:szCs w:val="24"/>
        </w:rPr>
        <w:t xml:space="preserve"> </w:t>
      </w:r>
      <w:r w:rsidR="0017193F">
        <w:rPr>
          <w:rFonts w:cs="Courier New"/>
          <w:sz w:val="24"/>
          <w:szCs w:val="24"/>
        </w:rPr>
        <w:t>Secondary</w:t>
      </w:r>
      <w:r w:rsidR="00076DB5">
        <w:rPr>
          <w:rFonts w:cs="Courier New"/>
          <w:sz w:val="24"/>
          <w:szCs w:val="24"/>
        </w:rPr>
        <w:t xml:space="preserve"> Aluminum </w:t>
      </w:r>
      <w:r w:rsidR="0017193F">
        <w:rPr>
          <w:rFonts w:cs="Courier New"/>
          <w:sz w:val="24"/>
          <w:szCs w:val="24"/>
        </w:rPr>
        <w:t>Production</w:t>
      </w:r>
      <w:r w:rsidR="00076DB5">
        <w:rPr>
          <w:rFonts w:cs="Courier New"/>
          <w:sz w:val="24"/>
          <w:szCs w:val="24"/>
        </w:rPr>
        <w:t xml:space="preserve"> </w:t>
      </w:r>
      <w:r w:rsidR="00003975" w:rsidRPr="007C40B4">
        <w:rPr>
          <w:rFonts w:cs="Courier New"/>
          <w:sz w:val="24"/>
          <w:szCs w:val="24"/>
        </w:rPr>
        <w:t xml:space="preserve">facilities are primarily classified under NAICS code </w:t>
      </w:r>
      <w:r w:rsidR="00EB21D5" w:rsidRPr="00EB21D5">
        <w:rPr>
          <w:rFonts w:cs="Courier New"/>
          <w:sz w:val="24"/>
          <w:szCs w:val="24"/>
        </w:rPr>
        <w:t>33131</w:t>
      </w:r>
      <w:r w:rsidR="0017193F">
        <w:rPr>
          <w:rFonts w:cs="Courier New"/>
          <w:sz w:val="24"/>
          <w:szCs w:val="24"/>
        </w:rPr>
        <w:t>4</w:t>
      </w:r>
      <w:r w:rsidR="006E61EE">
        <w:rPr>
          <w:rFonts w:cs="Courier New"/>
          <w:sz w:val="24"/>
          <w:szCs w:val="24"/>
        </w:rPr>
        <w:t xml:space="preserve">, </w:t>
      </w:r>
      <w:r w:rsidR="0017193F">
        <w:rPr>
          <w:rFonts w:cs="Courier New"/>
          <w:sz w:val="24"/>
          <w:szCs w:val="24"/>
        </w:rPr>
        <w:t>Secondary</w:t>
      </w:r>
      <w:r w:rsidR="00EB21D5">
        <w:rPr>
          <w:rFonts w:cs="Courier New"/>
          <w:sz w:val="24"/>
          <w:szCs w:val="24"/>
        </w:rPr>
        <w:t xml:space="preserve"> Aluminum Production</w:t>
      </w:r>
      <w:r w:rsidR="00003975" w:rsidRPr="007C40B4">
        <w:rPr>
          <w:rFonts w:cs="Courier New"/>
          <w:sz w:val="24"/>
          <w:szCs w:val="24"/>
        </w:rPr>
        <w:t>.</w:t>
      </w:r>
      <w:r w:rsidR="00D26C71" w:rsidRPr="00D26C71">
        <w:rPr>
          <w:rFonts w:cs="Courier New"/>
          <w:sz w:val="24"/>
          <w:szCs w:val="24"/>
        </w:rPr>
        <w:t xml:space="preserve"> </w:t>
      </w:r>
      <w:r w:rsidR="00D26C71" w:rsidRPr="00107610">
        <w:rPr>
          <w:rFonts w:cs="Courier New"/>
          <w:sz w:val="24"/>
          <w:szCs w:val="24"/>
        </w:rPr>
        <w:t>There are an estimated</w:t>
      </w:r>
      <w:r w:rsidR="00D26C71">
        <w:rPr>
          <w:rFonts w:cs="Courier New"/>
          <w:sz w:val="24"/>
          <w:szCs w:val="24"/>
        </w:rPr>
        <w:t xml:space="preserve"> 161 </w:t>
      </w:r>
      <w:r w:rsidR="00D26C71" w:rsidRPr="00107610">
        <w:rPr>
          <w:rFonts w:cs="Courier New"/>
          <w:sz w:val="24"/>
          <w:szCs w:val="24"/>
        </w:rPr>
        <w:t>facilities that would be subject to the proposed amendments to the NESHAP.</w:t>
      </w:r>
    </w:p>
    <w:p w:rsidR="00B1351A" w:rsidRPr="007C40B4" w:rsidRDefault="00D26C71">
      <w:pPr>
        <w:widowControl/>
        <w:spacing w:line="360" w:lineRule="auto"/>
        <w:rPr>
          <w:sz w:val="24"/>
          <w:szCs w:val="24"/>
        </w:rPr>
      </w:pPr>
      <w:r w:rsidRPr="007C40B4">
        <w:rPr>
          <w:i/>
          <w:iCs/>
          <w:sz w:val="24"/>
          <w:szCs w:val="24"/>
        </w:rPr>
        <w:t xml:space="preserve"> </w:t>
      </w:r>
      <w:r w:rsidR="00B1351A" w:rsidRPr="007C40B4">
        <w:rPr>
          <w:i/>
          <w:iCs/>
          <w:sz w:val="24"/>
          <w:szCs w:val="24"/>
        </w:rPr>
        <w:t>(b)</w:t>
      </w:r>
      <w:r w:rsidR="006A1E41">
        <w:rPr>
          <w:i/>
          <w:iCs/>
          <w:sz w:val="24"/>
          <w:szCs w:val="24"/>
        </w:rPr>
        <w:tab/>
      </w:r>
      <w:r w:rsidR="00B1351A" w:rsidRPr="007C40B4">
        <w:rPr>
          <w:i/>
          <w:iCs/>
          <w:sz w:val="24"/>
          <w:szCs w:val="24"/>
        </w:rPr>
        <w:t>Information Requested.</w:t>
      </w:r>
    </w:p>
    <w:p w:rsidR="00B1351A" w:rsidRPr="00C7625A" w:rsidRDefault="00B1351A" w:rsidP="00EB21D5">
      <w:pPr>
        <w:widowControl/>
        <w:spacing w:line="360" w:lineRule="auto"/>
        <w:rPr>
          <w:sz w:val="24"/>
          <w:szCs w:val="24"/>
        </w:rPr>
      </w:pPr>
      <w:r w:rsidRPr="00C7625A">
        <w:rPr>
          <w:sz w:val="24"/>
          <w:szCs w:val="24"/>
        </w:rPr>
        <w:tab/>
      </w:r>
      <w:r w:rsidRPr="00C7625A">
        <w:rPr>
          <w:i/>
          <w:iCs/>
          <w:sz w:val="24"/>
          <w:szCs w:val="24"/>
        </w:rPr>
        <w:t>(i)</w:t>
      </w:r>
      <w:r w:rsidR="00576C21">
        <w:rPr>
          <w:i/>
          <w:iCs/>
          <w:sz w:val="24"/>
          <w:szCs w:val="24"/>
        </w:rPr>
        <w:t xml:space="preserve"> </w:t>
      </w:r>
      <w:r w:rsidRPr="00C7625A">
        <w:rPr>
          <w:i/>
          <w:iCs/>
          <w:sz w:val="24"/>
          <w:szCs w:val="24"/>
        </w:rPr>
        <w:t>Data Items, Including Recordkeeping Requirements.</w:t>
      </w:r>
      <w:r w:rsidR="00576C21">
        <w:rPr>
          <w:sz w:val="24"/>
          <w:szCs w:val="24"/>
        </w:rPr>
        <w:t xml:space="preserve"> </w:t>
      </w:r>
      <w:r w:rsidRPr="00C7625A">
        <w:rPr>
          <w:sz w:val="24"/>
          <w:szCs w:val="24"/>
        </w:rPr>
        <w:t>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D26C71">
        <w:rPr>
          <w:sz w:val="24"/>
          <w:szCs w:val="24"/>
        </w:rPr>
        <w:t>Secondary</w:t>
      </w:r>
      <w:r w:rsidR="00EB21D5">
        <w:rPr>
          <w:sz w:val="24"/>
          <w:szCs w:val="24"/>
        </w:rPr>
        <w:t xml:space="preserve"> Aluminum </w:t>
      </w:r>
      <w:r w:rsidR="00D26C71">
        <w:rPr>
          <w:sz w:val="24"/>
          <w:szCs w:val="24"/>
        </w:rPr>
        <w:t>Production</w:t>
      </w:r>
      <w:r w:rsidR="00EB21D5">
        <w:rPr>
          <w:sz w:val="24"/>
          <w:szCs w:val="24"/>
        </w:rPr>
        <w:t xml:space="preserve"> </w:t>
      </w:r>
      <w:r w:rsidR="006E490B">
        <w:rPr>
          <w:sz w:val="24"/>
          <w:szCs w:val="24"/>
        </w:rPr>
        <w:t>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Default="00B1351A" w:rsidP="00E72FA9">
      <w:pPr>
        <w:widowControl/>
        <w:spacing w:line="360" w:lineRule="auto"/>
        <w:rPr>
          <w:sz w:val="24"/>
          <w:szCs w:val="24"/>
        </w:rPr>
      </w:pPr>
      <w:r w:rsidRPr="00C7625A">
        <w:rPr>
          <w:sz w:val="24"/>
          <w:szCs w:val="24"/>
        </w:rPr>
        <w:tab/>
      </w:r>
      <w:r w:rsidRPr="00C7625A">
        <w:rPr>
          <w:i/>
          <w:sz w:val="24"/>
          <w:szCs w:val="24"/>
        </w:rPr>
        <w:t>(ii)</w:t>
      </w:r>
      <w:r w:rsidR="00576C21">
        <w:rPr>
          <w:i/>
          <w:sz w:val="24"/>
          <w:szCs w:val="24"/>
        </w:rPr>
        <w:t xml:space="preserve"> </w:t>
      </w:r>
      <w:r w:rsidRPr="00C7625A">
        <w:rPr>
          <w:i/>
          <w:sz w:val="24"/>
          <w:szCs w:val="24"/>
        </w:rPr>
        <w:t>Respondent Activities.</w:t>
      </w:r>
      <w:r w:rsidR="00576C21">
        <w:rPr>
          <w:sz w:val="24"/>
          <w:szCs w:val="24"/>
        </w:rPr>
        <w:t xml:space="preserve"> </w:t>
      </w:r>
      <w:r w:rsidRPr="00C7625A">
        <w:rPr>
          <w:sz w:val="24"/>
          <w:szCs w:val="24"/>
        </w:rPr>
        <w:t xml:space="preserve">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D26C71">
        <w:rPr>
          <w:sz w:val="24"/>
          <w:szCs w:val="24"/>
        </w:rPr>
        <w:t>Secondary</w:t>
      </w:r>
      <w:r w:rsidR="00692A54">
        <w:rPr>
          <w:sz w:val="24"/>
          <w:szCs w:val="24"/>
        </w:rPr>
        <w:t xml:space="preserve"> Aluminum </w:t>
      </w:r>
      <w:r w:rsidR="00D26C71">
        <w:rPr>
          <w:sz w:val="24"/>
          <w:szCs w:val="24"/>
        </w:rPr>
        <w:t>Production</w:t>
      </w:r>
      <w:r w:rsidR="0018203E">
        <w:rPr>
          <w:sz w:val="24"/>
          <w:szCs w:val="24"/>
        </w:rPr>
        <w:t xml:space="preserve"> </w:t>
      </w:r>
      <w:r w:rsidR="00CD1B68">
        <w:rPr>
          <w:sz w:val="24"/>
          <w:szCs w:val="24"/>
        </w:rPr>
        <w:t>NESHAP</w:t>
      </w:r>
      <w:r w:rsidRPr="00C7625A">
        <w:rPr>
          <w:sz w:val="24"/>
          <w:szCs w:val="24"/>
        </w:rPr>
        <w:t xml:space="preserve"> are identified in </w:t>
      </w:r>
      <w:r w:rsidRPr="00107610">
        <w:rPr>
          <w:sz w:val="24"/>
          <w:szCs w:val="24"/>
        </w:rPr>
        <w:t>Table</w:t>
      </w:r>
      <w:r w:rsidR="00692A54">
        <w:rPr>
          <w:sz w:val="24"/>
          <w:szCs w:val="24"/>
        </w:rPr>
        <w:t xml:space="preserve"> </w:t>
      </w:r>
      <w:r w:rsidR="00E72FA9">
        <w:rPr>
          <w:sz w:val="24"/>
          <w:szCs w:val="24"/>
        </w:rPr>
        <w:t>3</w:t>
      </w:r>
      <w:r w:rsidR="00692A54">
        <w:rPr>
          <w:sz w:val="24"/>
          <w:szCs w:val="24"/>
        </w:rPr>
        <w:t xml:space="preserve"> </w:t>
      </w:r>
      <w:r w:rsidR="00001A80" w:rsidRPr="00C7625A">
        <w:rPr>
          <w:sz w:val="24"/>
          <w:szCs w:val="24"/>
        </w:rPr>
        <w:t>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E72FA9" w:rsidRPr="000A7EC6" w:rsidRDefault="000A7EC6" w:rsidP="00E31119">
      <w:pPr>
        <w:spacing w:line="360" w:lineRule="auto"/>
        <w:ind w:firstLine="720"/>
        <w:rPr>
          <w:sz w:val="24"/>
          <w:szCs w:val="24"/>
        </w:rPr>
      </w:pPr>
      <w:r w:rsidRPr="00C7625A">
        <w:rPr>
          <w:i/>
          <w:sz w:val="24"/>
          <w:szCs w:val="24"/>
        </w:rPr>
        <w:t>(i</w:t>
      </w:r>
      <w:r>
        <w:rPr>
          <w:i/>
          <w:sz w:val="24"/>
          <w:szCs w:val="24"/>
        </w:rPr>
        <w:t>i</w:t>
      </w:r>
      <w:r w:rsidRPr="00C7625A">
        <w:rPr>
          <w:i/>
          <w:sz w:val="24"/>
          <w:szCs w:val="24"/>
        </w:rPr>
        <w:t>i)</w:t>
      </w:r>
      <w:r>
        <w:rPr>
          <w:i/>
          <w:sz w:val="24"/>
          <w:szCs w:val="24"/>
        </w:rPr>
        <w:t xml:space="preserve"> Summary of Requirements.</w:t>
      </w:r>
      <w:r w:rsidRPr="002A02C8">
        <w:t xml:space="preserve"> </w:t>
      </w:r>
      <w:r w:rsidR="00E31119" w:rsidRPr="00E31119">
        <w:rPr>
          <w:sz w:val="24"/>
          <w:szCs w:val="24"/>
        </w:rPr>
        <w:t>The</w:t>
      </w:r>
      <w:r w:rsidR="005643EB" w:rsidRPr="002A02C8">
        <w:t xml:space="preserve"> </w:t>
      </w:r>
      <w:r w:rsidR="00E72FA9" w:rsidRPr="000A7EC6">
        <w:rPr>
          <w:sz w:val="24"/>
          <w:szCs w:val="24"/>
        </w:rPr>
        <w:t xml:space="preserve">EPA is including in </w:t>
      </w:r>
      <w:r w:rsidR="00E72FA9">
        <w:rPr>
          <w:sz w:val="24"/>
          <w:szCs w:val="24"/>
        </w:rPr>
        <w:t>T</w:t>
      </w:r>
      <w:r w:rsidR="00E72FA9" w:rsidRPr="000A7EC6">
        <w:rPr>
          <w:sz w:val="24"/>
          <w:szCs w:val="24"/>
        </w:rPr>
        <w:t xml:space="preserve">able </w:t>
      </w:r>
      <w:r w:rsidR="00E72FA9">
        <w:rPr>
          <w:sz w:val="24"/>
          <w:szCs w:val="24"/>
        </w:rPr>
        <w:t xml:space="preserve">2 </w:t>
      </w:r>
      <w:r w:rsidR="00E72FA9" w:rsidRPr="000A7EC6">
        <w:rPr>
          <w:sz w:val="24"/>
          <w:szCs w:val="24"/>
        </w:rPr>
        <w:t xml:space="preserve">an estimate of the burden associated with performing an affirmative defense. </w:t>
      </w:r>
      <w:r w:rsidR="005643EB">
        <w:rPr>
          <w:sz w:val="24"/>
          <w:szCs w:val="24"/>
        </w:rPr>
        <w:t xml:space="preserve">The </w:t>
      </w:r>
      <w:r w:rsidR="00E72FA9" w:rsidRPr="000A7EC6">
        <w:rPr>
          <w:sz w:val="24"/>
          <w:szCs w:val="24"/>
        </w:rPr>
        <w:t>EPA is providing this as an illustrative example of the potential additional administrative burden a source may incur to assert an Affirmative Defense in response to an action to enforce the standards set forth in subpart</w:t>
      </w:r>
      <w:r w:rsidR="00183F9F">
        <w:rPr>
          <w:sz w:val="24"/>
          <w:szCs w:val="24"/>
        </w:rPr>
        <w:t xml:space="preserve"> </w:t>
      </w:r>
      <w:r w:rsidR="00067EF3">
        <w:rPr>
          <w:sz w:val="24"/>
          <w:szCs w:val="24"/>
        </w:rPr>
        <w:t>RRR</w:t>
      </w:r>
      <w:r w:rsidR="00E72FA9" w:rsidRPr="000A7EC6">
        <w:rPr>
          <w:sz w:val="24"/>
          <w:szCs w:val="24"/>
        </w:rPr>
        <w:t>.</w:t>
      </w:r>
    </w:p>
    <w:p w:rsidR="00E72FA9" w:rsidRPr="000A7EC6" w:rsidRDefault="00E72FA9" w:rsidP="00E72FA9">
      <w:pPr>
        <w:spacing w:line="360" w:lineRule="auto"/>
        <w:ind w:firstLine="720"/>
        <w:rPr>
          <w:sz w:val="24"/>
          <w:szCs w:val="24"/>
        </w:rPr>
      </w:pPr>
      <w:r w:rsidRPr="000A7EC6">
        <w:rPr>
          <w:sz w:val="24"/>
          <w:szCs w:val="24"/>
        </w:rPr>
        <w:t xml:space="preserve">This illustrative estimate is not considered a duplicate estimate of cost under the General Duty to Minimize Emissions clause under </w:t>
      </w:r>
      <w:r w:rsidR="002A02C8">
        <w:rPr>
          <w:sz w:val="24"/>
          <w:szCs w:val="24"/>
        </w:rPr>
        <w:t xml:space="preserve">40 CFR </w:t>
      </w:r>
      <w:r w:rsidRPr="000A7EC6">
        <w:rPr>
          <w:sz w:val="24"/>
          <w:szCs w:val="24"/>
        </w:rPr>
        <w:t>63.6(e</w:t>
      </w:r>
      <w:proofErr w:type="gramStart"/>
      <w:r w:rsidRPr="000A7EC6">
        <w:rPr>
          <w:sz w:val="24"/>
          <w:szCs w:val="24"/>
        </w:rPr>
        <w:t>)(</w:t>
      </w:r>
      <w:proofErr w:type="gramEnd"/>
      <w:r w:rsidRPr="000A7EC6">
        <w:rPr>
          <w:sz w:val="24"/>
          <w:szCs w:val="24"/>
        </w:rPr>
        <w:t>1)(i), which states:</w:t>
      </w:r>
      <w:r w:rsidR="00576C21">
        <w:rPr>
          <w:sz w:val="24"/>
          <w:szCs w:val="24"/>
        </w:rPr>
        <w:t xml:space="preserve"> </w:t>
      </w:r>
      <w:r w:rsidRPr="000A7EC6">
        <w:rPr>
          <w:sz w:val="24"/>
          <w:szCs w:val="24"/>
        </w:rPr>
        <w:t>“At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p>
    <w:p w:rsidR="00E72FA9" w:rsidRPr="000A7EC6" w:rsidRDefault="00E72FA9" w:rsidP="00E72FA9">
      <w:pPr>
        <w:spacing w:line="360" w:lineRule="auto"/>
        <w:ind w:firstLine="720"/>
        <w:rPr>
          <w:sz w:val="24"/>
          <w:szCs w:val="24"/>
        </w:rPr>
      </w:pPr>
      <w:r w:rsidRPr="000A7EC6">
        <w:rPr>
          <w:sz w:val="24"/>
          <w:szCs w:val="24"/>
        </w:rPr>
        <w:t xml:space="preserve">To provide the public with an estimate of the relative magnitude of the burden associated with an assertion of the affirmative defense position adopted by a source, </w:t>
      </w:r>
      <w:r w:rsidR="005643EB">
        <w:rPr>
          <w:sz w:val="24"/>
          <w:szCs w:val="24"/>
        </w:rPr>
        <w:t xml:space="preserve">the </w:t>
      </w:r>
      <w:r w:rsidRPr="000A7EC6">
        <w:rPr>
          <w:sz w:val="24"/>
          <w:szCs w:val="24"/>
        </w:rPr>
        <w:t>EPA provides an administrative adjustment to this ICR that estimates the costs of the notification, recordkeeping and reporting requirements associated with the assertion of the affirmative defense.</w:t>
      </w:r>
      <w:r w:rsidR="00576C21">
        <w:rPr>
          <w:sz w:val="24"/>
          <w:szCs w:val="24"/>
        </w:rPr>
        <w:t xml:space="preserve"> </w:t>
      </w:r>
      <w:r w:rsidR="005643EB">
        <w:rPr>
          <w:sz w:val="24"/>
          <w:szCs w:val="24"/>
        </w:rPr>
        <w:t xml:space="preserve">The </w:t>
      </w:r>
      <w:r w:rsidRPr="000A7EC6">
        <w:rPr>
          <w:sz w:val="24"/>
          <w:szCs w:val="24"/>
        </w:rPr>
        <w:t>EPA’s estimate for the required notification, reports and records, including the root cause analysis, associated with a single incident totals approximately $3,</w:t>
      </w:r>
      <w:r w:rsidR="001867DD" w:rsidRPr="000A7EC6">
        <w:rPr>
          <w:sz w:val="24"/>
          <w:szCs w:val="24"/>
        </w:rPr>
        <w:t>14</w:t>
      </w:r>
      <w:r w:rsidR="00154A05">
        <w:rPr>
          <w:sz w:val="24"/>
          <w:szCs w:val="24"/>
        </w:rPr>
        <w:t>2</w:t>
      </w:r>
      <w:r w:rsidR="001867DD" w:rsidRPr="000A7EC6">
        <w:rPr>
          <w:sz w:val="24"/>
          <w:szCs w:val="24"/>
        </w:rPr>
        <w:t xml:space="preserve"> </w:t>
      </w:r>
      <w:r w:rsidRPr="000A7EC6">
        <w:rPr>
          <w:sz w:val="24"/>
          <w:szCs w:val="24"/>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w:t>
      </w:r>
      <w:r w:rsidRPr="000A7EC6">
        <w:rPr>
          <w:sz w:val="24"/>
          <w:szCs w:val="24"/>
        </w:rPr>
        <w:lastRenderedPageBreak/>
        <w:t xml:space="preserve">records and reports for submission to </w:t>
      </w:r>
      <w:r w:rsidR="005643EB">
        <w:rPr>
          <w:sz w:val="24"/>
          <w:szCs w:val="24"/>
        </w:rPr>
        <w:t xml:space="preserve">the </w:t>
      </w:r>
      <w:r w:rsidRPr="000A7EC6">
        <w:rPr>
          <w:sz w:val="24"/>
          <w:szCs w:val="24"/>
        </w:rPr>
        <w:t>EPA.</w:t>
      </w:r>
      <w:r w:rsidR="00576C21">
        <w:rPr>
          <w:sz w:val="24"/>
          <w:szCs w:val="24"/>
        </w:rPr>
        <w:t xml:space="preserve"> </w:t>
      </w:r>
      <w:r w:rsidR="005643EB">
        <w:rPr>
          <w:sz w:val="24"/>
          <w:szCs w:val="24"/>
        </w:rPr>
        <w:t xml:space="preserve">The </w:t>
      </w:r>
      <w:r w:rsidRPr="000A7EC6">
        <w:rPr>
          <w:sz w:val="24"/>
          <w:szCs w:val="24"/>
        </w:rPr>
        <w:t>EPA provides this illustrative estimate of this burden because these costs are only incurred if there has been a violation and a source chooses to take advantage of the affirmative defense.</w:t>
      </w:r>
    </w:p>
    <w:p w:rsidR="00E72FA9" w:rsidRPr="000A7EC6" w:rsidRDefault="00E72FA9" w:rsidP="00E72FA9">
      <w:pPr>
        <w:spacing w:line="360" w:lineRule="auto"/>
        <w:ind w:firstLine="720"/>
        <w:rPr>
          <w:sz w:val="24"/>
          <w:szCs w:val="24"/>
        </w:rPr>
      </w:pPr>
      <w:r w:rsidRPr="0045769F">
        <w:rPr>
          <w:sz w:val="24"/>
          <w:szCs w:val="24"/>
        </w:rPr>
        <w:t xml:space="preserve">In this source category, </w:t>
      </w:r>
      <w:r w:rsidR="00F67EEB">
        <w:rPr>
          <w:sz w:val="24"/>
          <w:szCs w:val="24"/>
        </w:rPr>
        <w:t xml:space="preserve">we estimate that one facility </w:t>
      </w:r>
      <w:r w:rsidR="000A60B3">
        <w:rPr>
          <w:sz w:val="24"/>
          <w:szCs w:val="24"/>
        </w:rPr>
        <w:t>per year will have a</w:t>
      </w:r>
      <w:r w:rsidRPr="0045769F">
        <w:rPr>
          <w:sz w:val="24"/>
          <w:szCs w:val="24"/>
        </w:rPr>
        <w:t xml:space="preserve"> control device malfunction </w:t>
      </w:r>
      <w:r w:rsidR="000A60B3">
        <w:rPr>
          <w:sz w:val="24"/>
          <w:szCs w:val="24"/>
        </w:rPr>
        <w:t xml:space="preserve">that </w:t>
      </w:r>
      <w:r w:rsidRPr="0045769F">
        <w:rPr>
          <w:sz w:val="24"/>
          <w:szCs w:val="24"/>
        </w:rPr>
        <w:t>would cause an exceedence of an emission limit</w:t>
      </w:r>
      <w:r w:rsidR="000A60B3">
        <w:rPr>
          <w:sz w:val="24"/>
          <w:szCs w:val="24"/>
        </w:rPr>
        <w:t xml:space="preserve"> and for which the facility would choose to assert the use of the affirmative defense provisions.</w:t>
      </w:r>
      <w:r w:rsidRPr="0045769F">
        <w:rPr>
          <w:sz w:val="24"/>
          <w:szCs w:val="24"/>
        </w:rPr>
        <w:t xml:space="preserve"> Thus for </w:t>
      </w:r>
      <w:r w:rsidR="00183F9F" w:rsidRPr="0045769F">
        <w:rPr>
          <w:sz w:val="24"/>
          <w:szCs w:val="24"/>
        </w:rPr>
        <w:t xml:space="preserve">this </w:t>
      </w:r>
      <w:r w:rsidRPr="0045769F">
        <w:rPr>
          <w:sz w:val="24"/>
          <w:szCs w:val="24"/>
        </w:rPr>
        <w:t>source categor</w:t>
      </w:r>
      <w:r w:rsidR="00183F9F" w:rsidRPr="0045769F">
        <w:rPr>
          <w:sz w:val="24"/>
          <w:szCs w:val="24"/>
        </w:rPr>
        <w:t>y</w:t>
      </w:r>
      <w:r w:rsidRPr="0045769F">
        <w:rPr>
          <w:sz w:val="24"/>
          <w:szCs w:val="24"/>
        </w:rPr>
        <w:t xml:space="preserve">, </w:t>
      </w:r>
      <w:r w:rsidR="005643EB" w:rsidRPr="0045769F">
        <w:rPr>
          <w:sz w:val="24"/>
          <w:szCs w:val="24"/>
        </w:rPr>
        <w:t xml:space="preserve">the </w:t>
      </w:r>
      <w:r w:rsidRPr="0045769F">
        <w:rPr>
          <w:sz w:val="24"/>
          <w:szCs w:val="24"/>
        </w:rPr>
        <w:t xml:space="preserve">EPA is assigning </w:t>
      </w:r>
      <w:r w:rsidR="000A60B3">
        <w:rPr>
          <w:sz w:val="24"/>
          <w:szCs w:val="24"/>
        </w:rPr>
        <w:t xml:space="preserve">annual </w:t>
      </w:r>
      <w:r w:rsidRPr="0045769F">
        <w:rPr>
          <w:sz w:val="24"/>
          <w:szCs w:val="24"/>
        </w:rPr>
        <w:t xml:space="preserve">burden </w:t>
      </w:r>
      <w:r w:rsidR="000A60B3">
        <w:rPr>
          <w:sz w:val="24"/>
          <w:szCs w:val="24"/>
        </w:rPr>
        <w:t xml:space="preserve">of $3,142 </w:t>
      </w:r>
      <w:r w:rsidRPr="0045769F">
        <w:rPr>
          <w:sz w:val="24"/>
          <w:szCs w:val="24"/>
        </w:rPr>
        <w:t>associated with affirmative defense.</w:t>
      </w:r>
    </w:p>
    <w:p w:rsidR="005F564F" w:rsidRDefault="005F564F" w:rsidP="005F564F">
      <w:pPr>
        <w:rPr>
          <w:b/>
          <w:bCs/>
          <w:sz w:val="22"/>
          <w:szCs w:val="24"/>
        </w:rPr>
      </w:pPr>
      <w:proofErr w:type="gramStart"/>
      <w:r w:rsidRPr="007C40B4">
        <w:rPr>
          <w:b/>
          <w:bCs/>
          <w:sz w:val="22"/>
          <w:szCs w:val="24"/>
        </w:rPr>
        <w:t xml:space="preserve">TABLE </w:t>
      </w:r>
      <w:r>
        <w:rPr>
          <w:b/>
          <w:bCs/>
          <w:sz w:val="22"/>
          <w:szCs w:val="24"/>
        </w:rPr>
        <w:t>2</w:t>
      </w:r>
      <w:r w:rsidRPr="007C40B4">
        <w:rPr>
          <w:b/>
          <w:bCs/>
          <w:sz w:val="22"/>
          <w:szCs w:val="24"/>
        </w:rPr>
        <w:t>.</w:t>
      </w:r>
      <w:proofErr w:type="gramEnd"/>
      <w:r>
        <w:rPr>
          <w:b/>
          <w:bCs/>
          <w:sz w:val="22"/>
          <w:szCs w:val="24"/>
        </w:rPr>
        <w:t xml:space="preserve"> COST ESTIMATE FOR ROOT CAUSE ANALYSIS</w:t>
      </w:r>
    </w:p>
    <w:p w:rsidR="005F564F" w:rsidRPr="00F07067" w:rsidRDefault="005F564F" w:rsidP="005F564F"/>
    <w:tbl>
      <w:tblPr>
        <w:tblW w:w="9555" w:type="dxa"/>
        <w:tblInd w:w="93" w:type="dxa"/>
        <w:tblLook w:val="04A0"/>
      </w:tblPr>
      <w:tblGrid>
        <w:gridCol w:w="1995"/>
        <w:gridCol w:w="1440"/>
        <w:gridCol w:w="1890"/>
        <w:gridCol w:w="1350"/>
        <w:gridCol w:w="1530"/>
        <w:gridCol w:w="1350"/>
      </w:tblGrid>
      <w:tr w:rsidR="005F564F" w:rsidRPr="00073D20" w:rsidTr="005F564F">
        <w:trPr>
          <w:trHeight w:val="432"/>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jc w:val="center"/>
              <w:rPr>
                <w:b/>
                <w:bCs/>
                <w:szCs w:val="22"/>
              </w:rPr>
            </w:pPr>
            <w:r>
              <w:rPr>
                <w:b/>
                <w:bCs/>
                <w:szCs w:val="22"/>
              </w:rPr>
              <w:t>Personnel</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Pr>
                <w:b/>
                <w:bCs/>
                <w:szCs w:val="22"/>
              </w:rPr>
              <w:t>Number of Personnel</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Time Requirement (hours)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Total Hours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Hourly Rate ($/hr)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Total</w:t>
            </w:r>
          </w:p>
        </w:tc>
      </w:tr>
      <w:tr w:rsidR="005F564F" w:rsidRPr="00073D20" w:rsidTr="005F564F">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rPr>
                <w:szCs w:val="22"/>
              </w:rPr>
            </w:pPr>
            <w:r w:rsidRPr="00073D20">
              <w:rPr>
                <w:szCs w:val="22"/>
              </w:rPr>
              <w:t>Technical Personnel</w:t>
            </w:r>
          </w:p>
        </w:tc>
        <w:tc>
          <w:tcPr>
            <w:tcW w:w="144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3</w:t>
            </w:r>
          </w:p>
        </w:tc>
        <w:tc>
          <w:tcPr>
            <w:tcW w:w="189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6</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18</w:t>
            </w:r>
          </w:p>
        </w:tc>
        <w:tc>
          <w:tcPr>
            <w:tcW w:w="153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tabs>
                <w:tab w:val="decimal" w:pos="706"/>
              </w:tabs>
              <w:rPr>
                <w:szCs w:val="22"/>
              </w:rPr>
            </w:pPr>
            <w:r w:rsidRPr="00073D20">
              <w:rPr>
                <w:szCs w:val="22"/>
              </w:rPr>
              <w:t>98.20</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r w:rsidRPr="00073D20">
              <w:rPr>
                <w:szCs w:val="22"/>
              </w:rPr>
              <w:t>$ 1,768</w:t>
            </w:r>
          </w:p>
        </w:tc>
      </w:tr>
      <w:tr w:rsidR="005F564F" w:rsidRPr="00073D20" w:rsidTr="005F564F">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rPr>
                <w:szCs w:val="22"/>
              </w:rPr>
            </w:pPr>
            <w:r w:rsidRPr="00073D20">
              <w:rPr>
                <w:szCs w:val="22"/>
              </w:rPr>
              <w:t>Managerial Personnel</w:t>
            </w:r>
          </w:p>
        </w:tc>
        <w:tc>
          <w:tcPr>
            <w:tcW w:w="144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2</w:t>
            </w:r>
          </w:p>
        </w:tc>
        <w:tc>
          <w:tcPr>
            <w:tcW w:w="189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6</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12</w:t>
            </w:r>
          </w:p>
        </w:tc>
        <w:tc>
          <w:tcPr>
            <w:tcW w:w="153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tabs>
                <w:tab w:val="decimal" w:pos="706"/>
              </w:tabs>
              <w:autoSpaceDE/>
              <w:autoSpaceDN/>
              <w:adjustRightInd/>
              <w:rPr>
                <w:szCs w:val="22"/>
              </w:rPr>
            </w:pPr>
            <w:r w:rsidRPr="00073D20">
              <w:rPr>
                <w:szCs w:val="22"/>
              </w:rPr>
              <w:t>114.49</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r w:rsidRPr="00073D20">
              <w:rPr>
                <w:szCs w:val="22"/>
              </w:rPr>
              <w:t>$ 1,374</w:t>
            </w:r>
          </w:p>
        </w:tc>
      </w:tr>
      <w:tr w:rsidR="005F564F" w:rsidRPr="00073D20" w:rsidTr="005F564F">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rPr>
                <w:szCs w:val="22"/>
              </w:rPr>
            </w:pPr>
            <w:r w:rsidRPr="00073D20">
              <w:rPr>
                <w:szCs w:val="22"/>
              </w:rPr>
              <w:t>Total</w:t>
            </w:r>
          </w:p>
        </w:tc>
        <w:tc>
          <w:tcPr>
            <w:tcW w:w="144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5</w:t>
            </w:r>
          </w:p>
        </w:tc>
        <w:tc>
          <w:tcPr>
            <w:tcW w:w="189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30</w:t>
            </w:r>
          </w:p>
        </w:tc>
        <w:tc>
          <w:tcPr>
            <w:tcW w:w="153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tabs>
                <w:tab w:val="decimal" w:pos="706"/>
              </w:tabs>
              <w:autoSpaceDE/>
              <w:autoSpaceDN/>
              <w:adjustRightInd/>
              <w:rPr>
                <w:szCs w:val="22"/>
              </w:rPr>
            </w:pP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r w:rsidRPr="00073D20">
              <w:rPr>
                <w:szCs w:val="22"/>
              </w:rPr>
              <w:t>$ 3,14</w:t>
            </w:r>
            <w:r>
              <w:rPr>
                <w:szCs w:val="22"/>
              </w:rPr>
              <w:t>2</w:t>
            </w:r>
          </w:p>
        </w:tc>
      </w:tr>
    </w:tbl>
    <w:p w:rsidR="005F564F" w:rsidRPr="000A7EC6" w:rsidRDefault="005F564F" w:rsidP="005F564F">
      <w:pPr>
        <w:widowControl/>
        <w:rPr>
          <w:sz w:val="24"/>
          <w:szCs w:val="24"/>
        </w:rPr>
      </w:pP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E72FA9">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067EF3">
        <w:rPr>
          <w:sz w:val="24"/>
          <w:szCs w:val="24"/>
        </w:rPr>
        <w:t>Secondary</w:t>
      </w:r>
      <w:r w:rsidR="00B11916">
        <w:rPr>
          <w:sz w:val="24"/>
          <w:szCs w:val="24"/>
        </w:rPr>
        <w:t xml:space="preserve"> Aluminum </w:t>
      </w:r>
      <w:r w:rsidR="00067EF3">
        <w:rPr>
          <w:sz w:val="24"/>
          <w:szCs w:val="24"/>
        </w:rPr>
        <w:t>Production</w:t>
      </w:r>
      <w:r w:rsidR="0018203E">
        <w:rPr>
          <w:sz w:val="24"/>
          <w:szCs w:val="24"/>
        </w:rPr>
        <w:t xml:space="preserv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w:t>
      </w:r>
      <w:r w:rsidR="00E72FA9">
        <w:rPr>
          <w:sz w:val="24"/>
          <w:szCs w:val="24"/>
        </w:rPr>
        <w:t>4</w:t>
      </w:r>
      <w:r w:rsidR="00692A54">
        <w:rPr>
          <w:sz w:val="24"/>
          <w:szCs w:val="24"/>
        </w:rPr>
        <w:t xml:space="preserve"> </w:t>
      </w:r>
      <w:r w:rsidRPr="00C7625A">
        <w:rPr>
          <w:sz w:val="24"/>
          <w:szCs w:val="24"/>
        </w:rPr>
        <w:t>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w:t>
      </w:r>
      <w:r w:rsidR="00576C21">
        <w:rPr>
          <w:sz w:val="24"/>
          <w:szCs w:val="24"/>
        </w:rPr>
        <w:t xml:space="preserve"> </w:t>
      </w:r>
      <w:r w:rsidR="005643EB">
        <w:rPr>
          <w:sz w:val="24"/>
          <w:szCs w:val="24"/>
        </w:rPr>
        <w:t xml:space="preserve">The </w:t>
      </w:r>
      <w:r w:rsidR="00443EF9" w:rsidRPr="00C7625A">
        <w:rPr>
          <w:sz w:val="24"/>
          <w:szCs w:val="24"/>
        </w:rPr>
        <w:t xml:space="preserve">EPA is the permitting authority until the </w:t>
      </w:r>
      <w:r w:rsidR="005643EB">
        <w:rPr>
          <w:sz w:val="24"/>
          <w:szCs w:val="24"/>
        </w:rPr>
        <w:t>s</w:t>
      </w:r>
      <w:r w:rsidR="005643EB" w:rsidRPr="00C7625A">
        <w:rPr>
          <w:sz w:val="24"/>
          <w:szCs w:val="24"/>
        </w:rPr>
        <w:t xml:space="preserve">tate </w:t>
      </w:r>
      <w:r w:rsidR="002A02C8">
        <w:rPr>
          <w:sz w:val="24"/>
          <w:szCs w:val="24"/>
        </w:rPr>
        <w:t xml:space="preserve">or local </w:t>
      </w:r>
      <w:r w:rsidR="00443EF9" w:rsidRPr="00C7625A">
        <w:rPr>
          <w:sz w:val="24"/>
          <w:szCs w:val="24"/>
        </w:rPr>
        <w:t xml:space="preserve">agency is delegated authority to implement the final </w:t>
      </w:r>
      <w:r w:rsidR="00CD1B68">
        <w:rPr>
          <w:sz w:val="24"/>
          <w:szCs w:val="24"/>
        </w:rPr>
        <w:t xml:space="preserve">amendments to the </w:t>
      </w:r>
      <w:r w:rsidR="00443EF9" w:rsidRPr="00C7625A">
        <w:rPr>
          <w:sz w:val="24"/>
          <w:szCs w:val="24"/>
        </w:rPr>
        <w:t>rule.</w:t>
      </w:r>
      <w:r w:rsidR="00576C21">
        <w:rPr>
          <w:sz w:val="24"/>
          <w:szCs w:val="24"/>
        </w:rPr>
        <w:t xml:space="preserve"> </w:t>
      </w:r>
      <w:r w:rsidR="00443EF9" w:rsidRPr="00C7625A">
        <w:rPr>
          <w:sz w:val="24"/>
          <w:szCs w:val="24"/>
        </w:rPr>
        <w:t>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 xml:space="preserve">entered into the Air Facility System (AFS), which is operated and maintained by </w:t>
      </w:r>
      <w:r w:rsidR="005643EB">
        <w:rPr>
          <w:sz w:val="24"/>
          <w:szCs w:val="24"/>
        </w:rPr>
        <w:t xml:space="preserve">the </w:t>
      </w:r>
      <w:r w:rsidRPr="00C7625A">
        <w:rPr>
          <w:sz w:val="24"/>
          <w:szCs w:val="24"/>
        </w:rPr>
        <w:t>EPA</w:t>
      </w:r>
      <w:r w:rsidR="00072C20" w:rsidRPr="00C7625A">
        <w:rPr>
          <w:sz w:val="24"/>
          <w:szCs w:val="24"/>
        </w:rPr>
        <w:t>’</w:t>
      </w:r>
      <w:r w:rsidRPr="00C7625A">
        <w:rPr>
          <w:sz w:val="24"/>
          <w:szCs w:val="24"/>
        </w:rPr>
        <w:t>s Office of Compliance.</w:t>
      </w:r>
      <w:r w:rsidR="00576C21">
        <w:rPr>
          <w:sz w:val="24"/>
          <w:szCs w:val="24"/>
        </w:rPr>
        <w:t xml:space="preserve"> </w:t>
      </w:r>
      <w:r w:rsidRPr="00C7625A">
        <w:rPr>
          <w:sz w:val="24"/>
          <w:szCs w:val="24"/>
        </w:rPr>
        <w:t xml:space="preserve">AFS is </w:t>
      </w:r>
      <w:r w:rsidR="005643EB">
        <w:rPr>
          <w:sz w:val="24"/>
          <w:szCs w:val="24"/>
        </w:rPr>
        <w:t xml:space="preserve">the </w:t>
      </w:r>
      <w:r w:rsidRPr="00C7625A">
        <w:rPr>
          <w:sz w:val="24"/>
          <w:szCs w:val="24"/>
        </w:rPr>
        <w:t>EPA’s database for the collection, maintenance and retrieval of compliance data for approximately 125,000 industrial and government-owned facilities.</w:t>
      </w:r>
      <w:r w:rsidR="00576C21">
        <w:rPr>
          <w:sz w:val="24"/>
          <w:szCs w:val="24"/>
        </w:rPr>
        <w:t xml:space="preserve"> </w:t>
      </w:r>
      <w:r w:rsidR="005643EB">
        <w:rPr>
          <w:sz w:val="24"/>
          <w:szCs w:val="24"/>
        </w:rPr>
        <w:t xml:space="preserve">The </w:t>
      </w:r>
      <w:r w:rsidRPr="00C7625A">
        <w:rPr>
          <w:sz w:val="24"/>
          <w:szCs w:val="24"/>
        </w:rPr>
        <w:t xml:space="preserve">EPA uses the AFS for tracking air pollution compliance and enforcement by local and state regulatory agencies, EPA </w:t>
      </w:r>
      <w:r w:rsidR="000306F8" w:rsidRPr="00C7625A">
        <w:rPr>
          <w:sz w:val="24"/>
          <w:szCs w:val="24"/>
        </w:rPr>
        <w:t>r</w:t>
      </w:r>
      <w:r w:rsidRPr="00C7625A">
        <w:rPr>
          <w:sz w:val="24"/>
          <w:szCs w:val="24"/>
        </w:rPr>
        <w:t>egional offices and EPA headquarters.</w:t>
      </w:r>
      <w:r w:rsidR="00576C21">
        <w:rPr>
          <w:sz w:val="24"/>
          <w:szCs w:val="24"/>
        </w:rPr>
        <w:t xml:space="preserve"> </w:t>
      </w:r>
      <w:r w:rsidR="005643EB">
        <w:rPr>
          <w:sz w:val="24"/>
          <w:szCs w:val="24"/>
        </w:rPr>
        <w:t xml:space="preserve">The </w:t>
      </w:r>
      <w:r w:rsidRPr="00C7625A">
        <w:rPr>
          <w:sz w:val="24"/>
          <w:szCs w:val="24"/>
        </w:rPr>
        <w:t xml:space="preserve">EPA and its delegated </w:t>
      </w:r>
      <w:r w:rsidR="002A7221" w:rsidRPr="00C7625A">
        <w:rPr>
          <w:sz w:val="24"/>
          <w:szCs w:val="24"/>
        </w:rPr>
        <w:t>a</w:t>
      </w:r>
      <w:r w:rsidRPr="00C7625A">
        <w:rPr>
          <w:sz w:val="24"/>
          <w:szCs w:val="24"/>
        </w:rPr>
        <w:t xml:space="preserve">uthorities can edit, store, retrieve and analyze the </w:t>
      </w:r>
      <w:r w:rsidR="00663AB0">
        <w:rPr>
          <w:sz w:val="24"/>
          <w:szCs w:val="24"/>
        </w:rPr>
        <w:t xml:space="preserve">compliance </w:t>
      </w:r>
      <w:r w:rsidRPr="00C7625A">
        <w:rPr>
          <w:sz w:val="24"/>
          <w:szCs w:val="24"/>
        </w:rPr>
        <w:t>data.</w:t>
      </w:r>
    </w:p>
    <w:p w:rsidR="00B1351A" w:rsidRPr="00C7625A" w:rsidRDefault="00B1351A" w:rsidP="00BA243C">
      <w:pPr>
        <w:keepNext/>
        <w:widowControl/>
        <w:spacing w:line="360" w:lineRule="auto"/>
        <w:rPr>
          <w:sz w:val="24"/>
          <w:szCs w:val="24"/>
        </w:rPr>
      </w:pPr>
      <w:r w:rsidRPr="00C7625A">
        <w:rPr>
          <w:i/>
          <w:iCs/>
          <w:sz w:val="24"/>
          <w:szCs w:val="24"/>
        </w:rPr>
        <w:t>(c)</w:t>
      </w:r>
      <w:r w:rsidR="00DC4234" w:rsidRPr="00C7625A">
        <w:rPr>
          <w:i/>
          <w:iCs/>
          <w:sz w:val="24"/>
          <w:szCs w:val="24"/>
        </w:rPr>
        <w:tab/>
      </w:r>
      <w:r w:rsidRPr="00C7625A">
        <w:rPr>
          <w:i/>
          <w:iCs/>
          <w:sz w:val="24"/>
          <w:szCs w:val="24"/>
        </w:rPr>
        <w:t>Small Entity Flexibility.</w:t>
      </w:r>
    </w:p>
    <w:p w:rsidR="00B1351A" w:rsidRPr="00C7625A" w:rsidRDefault="00B1351A" w:rsidP="00576C21">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067EF3">
        <w:rPr>
          <w:sz w:val="24"/>
          <w:szCs w:val="24"/>
        </w:rPr>
        <w:t>Secondary</w:t>
      </w:r>
      <w:r w:rsidR="00B11916">
        <w:rPr>
          <w:sz w:val="24"/>
          <w:szCs w:val="24"/>
        </w:rPr>
        <w:t xml:space="preserve"> Aluminum </w:t>
      </w:r>
      <w:r w:rsidR="00067EF3">
        <w:rPr>
          <w:sz w:val="24"/>
          <w:szCs w:val="24"/>
        </w:rPr>
        <w:t>Production</w:t>
      </w:r>
      <w:r w:rsidR="00F25858">
        <w:rPr>
          <w:sz w:val="24"/>
          <w:szCs w:val="24"/>
        </w:rPr>
        <w:t xml:space="preserve"> </w:t>
      </w:r>
      <w:r w:rsidR="00443EF9" w:rsidRPr="00C7625A">
        <w:rPr>
          <w:sz w:val="24"/>
          <w:szCs w:val="24"/>
        </w:rPr>
        <w:t xml:space="preserve">as a firm having no more than </w:t>
      </w:r>
      <w:r w:rsidR="00067EF3">
        <w:rPr>
          <w:sz w:val="24"/>
          <w:szCs w:val="24"/>
        </w:rPr>
        <w:t>750</w:t>
      </w:r>
      <w:r w:rsidR="00CA46DC" w:rsidRPr="00C7625A">
        <w:rPr>
          <w:sz w:val="24"/>
          <w:szCs w:val="24"/>
        </w:rPr>
        <w:t xml:space="preserve"> </w:t>
      </w:r>
      <w:r w:rsidR="00444881">
        <w:rPr>
          <w:sz w:val="24"/>
          <w:szCs w:val="24"/>
        </w:rPr>
        <w:t>employees</w:t>
      </w:r>
      <w:r w:rsidR="00443EF9" w:rsidRPr="00C7625A">
        <w:rPr>
          <w:sz w:val="24"/>
          <w:szCs w:val="24"/>
        </w:rPr>
        <w:t>.</w:t>
      </w:r>
      <w:r w:rsidR="00576C21">
        <w:rPr>
          <w:sz w:val="24"/>
          <w:szCs w:val="24"/>
        </w:rPr>
        <w:t xml:space="preserve"> </w:t>
      </w:r>
      <w:r w:rsidR="00067EF3" w:rsidRPr="00067EF3">
        <w:rPr>
          <w:sz w:val="24"/>
          <w:szCs w:val="24"/>
        </w:rPr>
        <w:t xml:space="preserve">Of the </w:t>
      </w:r>
      <w:r w:rsidR="00C1720F">
        <w:rPr>
          <w:sz w:val="24"/>
          <w:szCs w:val="24"/>
        </w:rPr>
        <w:t>28</w:t>
      </w:r>
      <w:r w:rsidR="00C1720F" w:rsidRPr="00067EF3">
        <w:rPr>
          <w:sz w:val="24"/>
          <w:szCs w:val="24"/>
        </w:rPr>
        <w:t xml:space="preserve"> </w:t>
      </w:r>
      <w:r w:rsidR="00067EF3" w:rsidRPr="00067EF3">
        <w:rPr>
          <w:sz w:val="24"/>
          <w:szCs w:val="24"/>
        </w:rPr>
        <w:t xml:space="preserve">entities affected by this proposed </w:t>
      </w:r>
      <w:r w:rsidR="00067EF3" w:rsidRPr="00067EF3">
        <w:rPr>
          <w:sz w:val="24"/>
          <w:szCs w:val="24"/>
        </w:rPr>
        <w:lastRenderedPageBreak/>
        <w:t xml:space="preserve">rule, </w:t>
      </w:r>
      <w:r w:rsidR="00C1720F">
        <w:rPr>
          <w:sz w:val="24"/>
          <w:szCs w:val="24"/>
        </w:rPr>
        <w:t>nine</w:t>
      </w:r>
      <w:r w:rsidR="00067EF3" w:rsidRPr="00067EF3">
        <w:rPr>
          <w:sz w:val="24"/>
          <w:szCs w:val="24"/>
        </w:rPr>
        <w:t xml:space="preserve"> of them are small.</w:t>
      </w:r>
      <w:r w:rsidR="007A72A0" w:rsidRPr="007A72A0">
        <w:rPr>
          <w:sz w:val="24"/>
          <w:szCs w:val="24"/>
        </w:rPr>
        <w:t xml:space="preserve"> Of these </w:t>
      </w:r>
      <w:r w:rsidR="00C1720F">
        <w:rPr>
          <w:sz w:val="24"/>
          <w:szCs w:val="24"/>
        </w:rPr>
        <w:t>nine</w:t>
      </w:r>
      <w:r w:rsidR="007A72A0" w:rsidRPr="007A72A0">
        <w:rPr>
          <w:sz w:val="24"/>
          <w:szCs w:val="24"/>
        </w:rPr>
        <w:t xml:space="preserve">, </w:t>
      </w:r>
      <w:r w:rsidR="00C1720F">
        <w:rPr>
          <w:sz w:val="24"/>
          <w:szCs w:val="24"/>
        </w:rPr>
        <w:t>all of them are</w:t>
      </w:r>
      <w:r w:rsidR="007A72A0" w:rsidRPr="007A72A0">
        <w:rPr>
          <w:sz w:val="24"/>
          <w:szCs w:val="24"/>
        </w:rPr>
        <w:t xml:space="preserve"> estimated to experience a </w:t>
      </w:r>
      <w:r w:rsidR="00C1720F">
        <w:rPr>
          <w:sz w:val="24"/>
          <w:szCs w:val="24"/>
        </w:rPr>
        <w:t>negative</w:t>
      </w:r>
      <w:r w:rsidR="00C1720F" w:rsidRPr="007A72A0">
        <w:rPr>
          <w:sz w:val="24"/>
          <w:szCs w:val="24"/>
        </w:rPr>
        <w:t xml:space="preserve"> </w:t>
      </w:r>
      <w:r w:rsidR="007A72A0" w:rsidRPr="007A72A0">
        <w:rPr>
          <w:sz w:val="24"/>
          <w:szCs w:val="24"/>
        </w:rPr>
        <w:t xml:space="preserve">cost </w:t>
      </w:r>
      <w:r w:rsidR="00C1720F">
        <w:rPr>
          <w:sz w:val="24"/>
          <w:szCs w:val="24"/>
        </w:rPr>
        <w:t xml:space="preserve">(i.e., a cost savings) </w:t>
      </w:r>
      <w:r w:rsidR="007A72A0" w:rsidRPr="007A72A0">
        <w:rPr>
          <w:sz w:val="24"/>
          <w:szCs w:val="24"/>
        </w:rPr>
        <w:t>as a result of the rule</w:t>
      </w:r>
      <w:r w:rsidR="00C1720F">
        <w:rPr>
          <w:sz w:val="24"/>
          <w:szCs w:val="24"/>
        </w:rPr>
        <w:t>.</w:t>
      </w:r>
      <w:r w:rsidR="007A72A0">
        <w:rPr>
          <w:sz w:val="24"/>
          <w:szCs w:val="24"/>
        </w:rPr>
        <w:t xml:space="preserve"> </w:t>
      </w:r>
      <w:r w:rsidR="007A72A0" w:rsidRPr="007A72A0">
        <w:rPr>
          <w:sz w:val="24"/>
          <w:szCs w:val="24"/>
        </w:rPr>
        <w:t xml:space="preserve">After considering the economic impacts of these proposed changes on small entities, this action will not have a significant economic impact on a substantial number of small entities. </w:t>
      </w:r>
      <w:r w:rsidR="0010147D" w:rsidRPr="0010147D">
        <w:rPr>
          <w:sz w:val="24"/>
          <w:szCs w:val="24"/>
        </w:rPr>
        <w:t>To reduce impacts, we are propos</w:t>
      </w:r>
      <w:r w:rsidR="0010147D">
        <w:rPr>
          <w:sz w:val="24"/>
          <w:szCs w:val="24"/>
        </w:rPr>
        <w:t xml:space="preserve">ing </w:t>
      </w:r>
      <w:r w:rsidR="0010147D" w:rsidRPr="0010147D">
        <w:rPr>
          <w:sz w:val="24"/>
          <w:szCs w:val="24"/>
        </w:rPr>
        <w:t xml:space="preserve">new provisions that </w:t>
      </w:r>
      <w:r w:rsidR="0010147D">
        <w:rPr>
          <w:sz w:val="24"/>
          <w:szCs w:val="24"/>
        </w:rPr>
        <w:t xml:space="preserve">would </w:t>
      </w:r>
      <w:r w:rsidR="0010147D" w:rsidRPr="0010147D">
        <w:rPr>
          <w:sz w:val="24"/>
          <w:szCs w:val="24"/>
        </w:rPr>
        <w:t>increase</w:t>
      </w:r>
      <w:r w:rsidR="0010147D">
        <w:rPr>
          <w:sz w:val="24"/>
          <w:szCs w:val="24"/>
        </w:rPr>
        <w:t xml:space="preserve"> the</w:t>
      </w:r>
      <w:r w:rsidR="0010147D" w:rsidRPr="0010147D">
        <w:rPr>
          <w:sz w:val="24"/>
          <w:szCs w:val="24"/>
        </w:rPr>
        <w:t xml:space="preserve"> industry’s flexibility as to how they operate group 1 furnaces</w:t>
      </w:r>
      <w:r w:rsidR="0010147D">
        <w:rPr>
          <w:sz w:val="24"/>
          <w:szCs w:val="24"/>
        </w:rPr>
        <w:t>. In addition, we are</w:t>
      </w:r>
      <w:r w:rsidR="0010147D" w:rsidRPr="0010147D">
        <w:rPr>
          <w:sz w:val="24"/>
          <w:szCs w:val="24"/>
        </w:rPr>
        <w:t xml:space="preserve"> correcting certain provisions of the rule as well as proposing revisions to help clarify the rule’s intent. </w:t>
      </w:r>
    </w:p>
    <w:p w:rsidR="00B1351A" w:rsidRPr="00C7625A" w:rsidRDefault="00B1351A">
      <w:pPr>
        <w:widowControl/>
        <w:spacing w:line="360" w:lineRule="auto"/>
        <w:rPr>
          <w:sz w:val="24"/>
          <w:szCs w:val="24"/>
        </w:rPr>
      </w:pPr>
      <w:r w:rsidRPr="00C7625A">
        <w:rPr>
          <w:i/>
          <w:iCs/>
          <w:sz w:val="24"/>
          <w:szCs w:val="24"/>
        </w:rPr>
        <w:t>(d)</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E72FA9">
      <w:pPr>
        <w:widowControl/>
        <w:spacing w:line="360" w:lineRule="auto"/>
        <w:rPr>
          <w:sz w:val="24"/>
          <w:szCs w:val="24"/>
        </w:rPr>
      </w:pPr>
      <w:r w:rsidRPr="00C7625A">
        <w:rPr>
          <w:sz w:val="24"/>
          <w:szCs w:val="24"/>
        </w:rPr>
        <w:tab/>
        <w:t xml:space="preserve">The specific frequency for each information collection activity within this request is shown in </w:t>
      </w:r>
      <w:r w:rsidRPr="000377EF">
        <w:rPr>
          <w:sz w:val="24"/>
          <w:szCs w:val="24"/>
        </w:rPr>
        <w:t xml:space="preserve">Table </w:t>
      </w:r>
      <w:r w:rsidR="00E72FA9">
        <w:rPr>
          <w:sz w:val="24"/>
          <w:szCs w:val="24"/>
        </w:rPr>
        <w:t>3</w:t>
      </w:r>
      <w:r w:rsidR="00B11916">
        <w:rPr>
          <w:sz w:val="24"/>
          <w:szCs w:val="24"/>
        </w:rPr>
        <w:t xml:space="preserve"> </w:t>
      </w:r>
      <w:r w:rsidR="00BA243C" w:rsidRPr="00C7625A">
        <w:rPr>
          <w:sz w:val="24"/>
          <w:szCs w:val="24"/>
        </w:rPr>
        <w:t xml:space="preserve">for the </w:t>
      </w:r>
      <w:r w:rsidR="006D7C83">
        <w:rPr>
          <w:sz w:val="24"/>
          <w:szCs w:val="24"/>
        </w:rPr>
        <w:t>Secondary</w:t>
      </w:r>
      <w:r w:rsidR="00B11916" w:rsidRPr="00B11916">
        <w:rPr>
          <w:sz w:val="24"/>
          <w:szCs w:val="24"/>
        </w:rPr>
        <w:t xml:space="preserve"> Aluminum </w:t>
      </w:r>
      <w:r w:rsidR="006D7C83">
        <w:rPr>
          <w:sz w:val="24"/>
          <w:szCs w:val="24"/>
        </w:rPr>
        <w:t>Production</w:t>
      </w:r>
      <w:r w:rsidR="00F25858">
        <w:rPr>
          <w:sz w:val="24"/>
          <w:szCs w:val="24"/>
        </w:rPr>
        <w:t xml:space="preserve"> </w:t>
      </w:r>
      <w:r w:rsidR="006D7C83">
        <w:rPr>
          <w:sz w:val="24"/>
          <w:szCs w:val="24"/>
        </w:rPr>
        <w:t>s</w:t>
      </w:r>
      <w:r w:rsidR="00BA243C" w:rsidRPr="00C7625A">
        <w:rPr>
          <w:sz w:val="24"/>
          <w:szCs w:val="24"/>
        </w:rPr>
        <w:t>ource</w:t>
      </w:r>
      <w:r w:rsidR="00CA46DC" w:rsidRPr="00C7625A">
        <w:rPr>
          <w:sz w:val="24"/>
          <w:szCs w:val="24"/>
        </w:rPr>
        <w:t xml:space="preserve"> </w:t>
      </w:r>
      <w:r w:rsidR="006D7C83">
        <w:rPr>
          <w:sz w:val="24"/>
          <w:szCs w:val="24"/>
        </w:rPr>
        <w:t>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6.</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DC4234" w:rsidRPr="00BD4412">
        <w:rPr>
          <w:i/>
          <w:iCs/>
          <w:sz w:val="24"/>
          <w:szCs w:val="24"/>
        </w:rPr>
        <w:tab/>
      </w:r>
      <w:r w:rsidRPr="00BD4412">
        <w:rPr>
          <w:i/>
          <w:iCs/>
          <w:sz w:val="24"/>
          <w:szCs w:val="24"/>
        </w:rPr>
        <w:t>Estimating Respondent Burden.</w:t>
      </w:r>
    </w:p>
    <w:p w:rsidR="00B1351A" w:rsidRPr="00BD4412" w:rsidRDefault="00B1351A" w:rsidP="00E72FA9">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6D7C83">
        <w:rPr>
          <w:sz w:val="24"/>
          <w:szCs w:val="24"/>
        </w:rPr>
        <w:t>Secondary</w:t>
      </w:r>
      <w:r w:rsidR="006D7C83" w:rsidRPr="00B11916">
        <w:rPr>
          <w:sz w:val="24"/>
          <w:szCs w:val="24"/>
        </w:rPr>
        <w:t xml:space="preserve"> Aluminum </w:t>
      </w:r>
      <w:r w:rsidR="006D7C83">
        <w:rPr>
          <w:sz w:val="24"/>
          <w:szCs w:val="24"/>
        </w:rPr>
        <w:t>Production</w:t>
      </w:r>
      <w:r w:rsidR="00B11916">
        <w:rPr>
          <w:sz w:val="24"/>
          <w:szCs w:val="24"/>
        </w:rPr>
        <w:t xml:space="preserv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 xml:space="preserve">Table </w:t>
      </w:r>
      <w:r w:rsidR="00E72FA9">
        <w:rPr>
          <w:sz w:val="24"/>
          <w:szCs w:val="24"/>
        </w:rPr>
        <w:t>3</w:t>
      </w:r>
      <w:r w:rsidRPr="00BD4412">
        <w:rPr>
          <w:sz w:val="24"/>
          <w:szCs w:val="24"/>
        </w:rPr>
        <w:t>.</w:t>
      </w:r>
      <w:r w:rsidR="00576C21">
        <w:rPr>
          <w:sz w:val="24"/>
          <w:szCs w:val="24"/>
        </w:rPr>
        <w:t xml:space="preserve"> </w:t>
      </w:r>
      <w:r w:rsidRPr="00BD4412">
        <w:rPr>
          <w:sz w:val="24"/>
          <w:szCs w:val="24"/>
        </w:rPr>
        <w:t xml:space="preserve">These numbers were derived from estimates based on </w:t>
      </w:r>
      <w:r w:rsidR="005643EB">
        <w:rPr>
          <w:sz w:val="24"/>
          <w:szCs w:val="24"/>
        </w:rPr>
        <w:t xml:space="preserve">the </w:t>
      </w:r>
      <w:r w:rsidRPr="00BD4412">
        <w:rPr>
          <w:sz w:val="24"/>
          <w:szCs w:val="24"/>
        </w:rPr>
        <w:t>EPA’s experience with other standards.</w:t>
      </w:r>
      <w:r w:rsidR="00576C21">
        <w:rPr>
          <w:sz w:val="24"/>
          <w:szCs w:val="24"/>
        </w:rPr>
        <w:t xml:space="preserve"> </w:t>
      </w:r>
      <w:r w:rsidR="006A68D7" w:rsidRPr="00BD4412">
        <w:rPr>
          <w:sz w:val="24"/>
          <w:szCs w:val="24"/>
        </w:rPr>
        <w:t xml:space="preserve">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 xml:space="preserve">during the </w:t>
      </w:r>
      <w:r w:rsidR="000A60B3">
        <w:rPr>
          <w:sz w:val="24"/>
          <w:szCs w:val="24"/>
        </w:rPr>
        <w:t xml:space="preserve">three-year </w:t>
      </w:r>
      <w:r w:rsidR="006D7C83" w:rsidRPr="000A60B3">
        <w:rPr>
          <w:sz w:val="24"/>
          <w:szCs w:val="24"/>
        </w:rPr>
        <w:t xml:space="preserve">implementation period </w:t>
      </w:r>
      <w:r w:rsidR="006A68D7" w:rsidRPr="00BD4412">
        <w:rPr>
          <w:sz w:val="24"/>
          <w:szCs w:val="24"/>
        </w:rPr>
        <w:t>of this ICR.</w:t>
      </w:r>
      <w:r w:rsidR="000A60B3">
        <w:rPr>
          <w:sz w:val="24"/>
          <w:szCs w:val="24"/>
        </w:rPr>
        <w:t xml:space="preserve">  Because all the proposed amendments to this rule become effective </w:t>
      </w:r>
      <w:r w:rsidR="00C1720F">
        <w:rPr>
          <w:sz w:val="24"/>
          <w:szCs w:val="24"/>
        </w:rPr>
        <w:t>90 days after</w:t>
      </w:r>
      <w:r w:rsidR="000A60B3">
        <w:rPr>
          <w:sz w:val="24"/>
          <w:szCs w:val="24"/>
        </w:rPr>
        <w:t xml:space="preserve"> promulgation of the final rule, </w:t>
      </w:r>
      <w:r w:rsidR="00D13340">
        <w:rPr>
          <w:sz w:val="24"/>
          <w:szCs w:val="24"/>
        </w:rPr>
        <w:t>the burden estimates provided are for annual costs for each year following promulgation.</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DC4234" w:rsidRPr="00BD4412">
        <w:rPr>
          <w:i/>
          <w:iCs/>
          <w:sz w:val="24"/>
          <w:szCs w:val="24"/>
        </w:rPr>
        <w:tab/>
      </w:r>
      <w:r w:rsidRPr="00BD4412">
        <w:rPr>
          <w:i/>
          <w:iCs/>
          <w:sz w:val="24"/>
          <w:szCs w:val="24"/>
        </w:rPr>
        <w:t>Estimating Respondent Costs.</w:t>
      </w:r>
    </w:p>
    <w:p w:rsidR="00B1351A" w:rsidRPr="008E6889" w:rsidRDefault="00B1351A" w:rsidP="00D6616F">
      <w:pPr>
        <w:widowControl/>
        <w:spacing w:line="360" w:lineRule="auto"/>
        <w:rPr>
          <w:sz w:val="24"/>
          <w:szCs w:val="24"/>
        </w:rPr>
      </w:pPr>
      <w:r w:rsidRPr="00A563B4">
        <w:rPr>
          <w:sz w:val="24"/>
          <w:szCs w:val="24"/>
        </w:rPr>
        <w:tab/>
      </w:r>
      <w:r w:rsidRPr="008E6889">
        <w:rPr>
          <w:sz w:val="24"/>
          <w:szCs w:val="24"/>
        </w:rPr>
        <w:t>(i)</w:t>
      </w:r>
      <w:r w:rsidR="00576C21">
        <w:rPr>
          <w:sz w:val="24"/>
          <w:szCs w:val="24"/>
        </w:rPr>
        <w:t xml:space="preserve"> </w:t>
      </w:r>
      <w:r w:rsidRPr="008E6889">
        <w:rPr>
          <w:i/>
          <w:iCs/>
          <w:sz w:val="24"/>
          <w:szCs w:val="24"/>
        </w:rPr>
        <w:t>Estimating Labor Costs</w:t>
      </w:r>
      <w:r w:rsidRPr="008E6889">
        <w:rPr>
          <w:sz w:val="24"/>
          <w:szCs w:val="24"/>
        </w:rPr>
        <w:t>.</w:t>
      </w:r>
      <w:r w:rsidR="00576C21">
        <w:rPr>
          <w:sz w:val="24"/>
          <w:szCs w:val="24"/>
        </w:rPr>
        <w:t xml:space="preserve"> </w:t>
      </w:r>
      <w:r w:rsidR="004D41CD">
        <w:rPr>
          <w:sz w:val="24"/>
          <w:szCs w:val="24"/>
        </w:rPr>
        <w:t>Table</w:t>
      </w:r>
      <w:r w:rsidR="00E72FA9">
        <w:rPr>
          <w:sz w:val="24"/>
          <w:szCs w:val="24"/>
        </w:rPr>
        <w:t xml:space="preserve"> 3</w:t>
      </w:r>
      <w:r w:rsidR="004D41CD" w:rsidRPr="004D41CD">
        <w:rPr>
          <w:sz w:val="24"/>
          <w:szCs w:val="24"/>
        </w:rPr>
        <w:t xml:space="preserve"> presents estimated costs for the required data collection activities.</w:t>
      </w:r>
      <w:r w:rsidR="00576C21">
        <w:rPr>
          <w:sz w:val="24"/>
          <w:szCs w:val="24"/>
        </w:rPr>
        <w:t xml:space="preserve"> </w:t>
      </w:r>
      <w:r w:rsidR="004D41CD" w:rsidRPr="004D41CD">
        <w:rPr>
          <w:sz w:val="24"/>
          <w:szCs w:val="24"/>
        </w:rPr>
        <w:t>Labor rates and associated costs are based on Bureau of Labor Statistics (BLS) data.</w:t>
      </w:r>
      <w:r w:rsidR="00576C21">
        <w:rPr>
          <w:sz w:val="24"/>
          <w:szCs w:val="24"/>
        </w:rPr>
        <w:t xml:space="preserve"> </w:t>
      </w:r>
      <w:r w:rsidR="004D41CD" w:rsidRPr="004D41CD">
        <w:rPr>
          <w:sz w:val="24"/>
          <w:szCs w:val="24"/>
        </w:rPr>
        <w:t>Technical, management and clerical average hourly rates for private industry workers and were taken from the United States Department of Labor, Bureau of Labor Statistics, September 20</w:t>
      </w:r>
      <w:r w:rsidR="00C93A14">
        <w:rPr>
          <w:sz w:val="24"/>
          <w:szCs w:val="24"/>
        </w:rPr>
        <w:t>11</w:t>
      </w:r>
      <w:r w:rsidR="004D41CD" w:rsidRPr="004D41CD">
        <w:rPr>
          <w:sz w:val="24"/>
          <w:szCs w:val="24"/>
        </w:rPr>
        <w:t xml:space="preserve">, “Table 2. </w:t>
      </w:r>
      <w:proofErr w:type="gramStart"/>
      <w:r w:rsidR="004D41CD" w:rsidRPr="004D41CD">
        <w:rPr>
          <w:sz w:val="24"/>
          <w:szCs w:val="24"/>
        </w:rPr>
        <w:t>Civilian Workers, by occupational and industry group,” available at www.bls.gov/news.release/ecec.t02.htm.</w:t>
      </w:r>
      <w:proofErr w:type="gramEnd"/>
      <w:r w:rsidR="00576C21">
        <w:rPr>
          <w:sz w:val="24"/>
          <w:szCs w:val="24"/>
        </w:rPr>
        <w:t xml:space="preserve"> </w:t>
      </w:r>
      <w:r w:rsidR="004D41CD" w:rsidRPr="004D41CD">
        <w:rPr>
          <w:sz w:val="24"/>
          <w:szCs w:val="24"/>
        </w:rPr>
        <w:t>Wages for occupational groups are used as the basis for the labor rates with a total compensation of $</w:t>
      </w:r>
      <w:r w:rsidR="00C93A14">
        <w:rPr>
          <w:sz w:val="24"/>
          <w:szCs w:val="24"/>
        </w:rPr>
        <w:t>47.21</w:t>
      </w:r>
      <w:r w:rsidR="004D41CD" w:rsidRPr="004D41CD">
        <w:rPr>
          <w:sz w:val="24"/>
          <w:szCs w:val="24"/>
        </w:rPr>
        <w:t xml:space="preserve"> per hour for technical, $</w:t>
      </w:r>
      <w:r w:rsidR="00C93A14">
        <w:rPr>
          <w:sz w:val="24"/>
          <w:szCs w:val="24"/>
        </w:rPr>
        <w:t>57.82</w:t>
      </w:r>
      <w:r w:rsidR="004D41CD" w:rsidRPr="004D41CD">
        <w:rPr>
          <w:sz w:val="24"/>
          <w:szCs w:val="24"/>
        </w:rPr>
        <w:t xml:space="preserve"> per hour for managerial and $23.</w:t>
      </w:r>
      <w:r w:rsidR="00C93A14">
        <w:rPr>
          <w:sz w:val="24"/>
          <w:szCs w:val="24"/>
        </w:rPr>
        <w:t>72</w:t>
      </w:r>
      <w:r w:rsidR="004D41CD" w:rsidRPr="004D41CD">
        <w:rPr>
          <w:sz w:val="24"/>
          <w:szCs w:val="24"/>
        </w:rPr>
        <w:t xml:space="preserve"> per hour for clerical.</w:t>
      </w:r>
      <w:r w:rsidR="00576C21">
        <w:rPr>
          <w:sz w:val="24"/>
          <w:szCs w:val="24"/>
        </w:rPr>
        <w:t xml:space="preserve"> </w:t>
      </w:r>
      <w:r w:rsidR="004D41CD" w:rsidRPr="004D41CD">
        <w:rPr>
          <w:sz w:val="24"/>
          <w:szCs w:val="24"/>
        </w:rPr>
        <w:t>These rates represent salaries plus fringe benefits and do not include the cost of overhead.</w:t>
      </w:r>
      <w:r w:rsidR="00576C21">
        <w:rPr>
          <w:sz w:val="24"/>
          <w:szCs w:val="24"/>
        </w:rPr>
        <w:t xml:space="preserve"> </w:t>
      </w:r>
      <w:r w:rsidR="004D41CD" w:rsidRPr="004D41CD">
        <w:rPr>
          <w:sz w:val="24"/>
          <w:szCs w:val="24"/>
        </w:rPr>
        <w:t>An overhead rate of 110 percent is used to account for these costs.</w:t>
      </w:r>
      <w:r w:rsidR="00576C21">
        <w:rPr>
          <w:sz w:val="24"/>
          <w:szCs w:val="24"/>
        </w:rPr>
        <w:t xml:space="preserve"> </w:t>
      </w:r>
      <w:r w:rsidR="004D41CD" w:rsidRPr="004D41CD">
        <w:rPr>
          <w:sz w:val="24"/>
          <w:szCs w:val="24"/>
        </w:rPr>
        <w:t>The fully-burdened hourly wage rates used to represent respondent labor costs are: technical at $</w:t>
      </w:r>
      <w:r w:rsidR="00F67EEB">
        <w:rPr>
          <w:sz w:val="24"/>
          <w:szCs w:val="24"/>
        </w:rPr>
        <w:t>99.14</w:t>
      </w:r>
      <w:r w:rsidR="004D41CD" w:rsidRPr="004D41CD">
        <w:rPr>
          <w:sz w:val="24"/>
          <w:szCs w:val="24"/>
        </w:rPr>
        <w:t>, management at $1</w:t>
      </w:r>
      <w:r w:rsidR="00F67EEB">
        <w:rPr>
          <w:sz w:val="24"/>
          <w:szCs w:val="24"/>
        </w:rPr>
        <w:t>2</w:t>
      </w:r>
      <w:r w:rsidR="00905A7D">
        <w:rPr>
          <w:sz w:val="24"/>
          <w:szCs w:val="24"/>
        </w:rPr>
        <w:t>1</w:t>
      </w:r>
      <w:r w:rsidR="00F67EEB">
        <w:rPr>
          <w:sz w:val="24"/>
          <w:szCs w:val="24"/>
        </w:rPr>
        <w:t>.42</w:t>
      </w:r>
      <w:r w:rsidR="004D41CD" w:rsidRPr="004D41CD">
        <w:rPr>
          <w:sz w:val="24"/>
          <w:szCs w:val="24"/>
        </w:rPr>
        <w:t xml:space="preserve"> and clerical at $4</w:t>
      </w:r>
      <w:r w:rsidR="00F67EEB">
        <w:rPr>
          <w:sz w:val="24"/>
          <w:szCs w:val="24"/>
        </w:rPr>
        <w:t>9.81</w:t>
      </w:r>
      <w:r w:rsidR="004D41CD" w:rsidRPr="004D41CD">
        <w:rPr>
          <w:sz w:val="24"/>
          <w:szCs w:val="24"/>
        </w:rPr>
        <w:t>.</w:t>
      </w:r>
    </w:p>
    <w:p w:rsidR="00282482" w:rsidRDefault="00B1351A" w:rsidP="00180C9F">
      <w:pPr>
        <w:widowControl/>
        <w:spacing w:line="360" w:lineRule="auto"/>
        <w:rPr>
          <w:sz w:val="24"/>
          <w:szCs w:val="24"/>
        </w:rPr>
      </w:pPr>
      <w:r w:rsidRPr="00CF0317">
        <w:rPr>
          <w:sz w:val="24"/>
          <w:szCs w:val="24"/>
        </w:rPr>
        <w:tab/>
      </w:r>
      <w:r w:rsidRPr="00CF0317">
        <w:rPr>
          <w:i/>
          <w:iCs/>
          <w:sz w:val="24"/>
          <w:szCs w:val="24"/>
        </w:rPr>
        <w:t>(ii)</w:t>
      </w:r>
      <w:r w:rsidR="00576C21">
        <w:rPr>
          <w:i/>
          <w:iCs/>
          <w:sz w:val="24"/>
          <w:szCs w:val="24"/>
        </w:rPr>
        <w:t xml:space="preserve"> </w:t>
      </w:r>
      <w:r w:rsidRPr="00CF0317">
        <w:rPr>
          <w:i/>
          <w:iCs/>
          <w:sz w:val="24"/>
          <w:szCs w:val="24"/>
        </w:rPr>
        <w:t>Estimating Capital and Operations and Maintenance (O&amp;M) Costs</w:t>
      </w:r>
      <w:r w:rsidRPr="00CF0317">
        <w:rPr>
          <w:sz w:val="24"/>
          <w:szCs w:val="24"/>
        </w:rPr>
        <w:t>.</w:t>
      </w:r>
      <w:r w:rsidR="00576C21">
        <w:rPr>
          <w:sz w:val="24"/>
          <w:szCs w:val="24"/>
        </w:rPr>
        <w:t xml:space="preserve"> </w:t>
      </w:r>
      <w:r w:rsidR="004D41CD">
        <w:rPr>
          <w:sz w:val="24"/>
          <w:szCs w:val="24"/>
        </w:rPr>
        <w:t>C</w:t>
      </w:r>
      <w:r w:rsidR="0006580C" w:rsidRPr="00CF0317">
        <w:rPr>
          <w:sz w:val="24"/>
          <w:szCs w:val="24"/>
        </w:rPr>
        <w:t xml:space="preserve">apital costs </w:t>
      </w:r>
      <w:r w:rsidR="004D41CD">
        <w:rPr>
          <w:sz w:val="24"/>
          <w:szCs w:val="24"/>
        </w:rPr>
        <w:t>are estimated at $</w:t>
      </w:r>
      <w:r w:rsidR="00EB3608">
        <w:rPr>
          <w:sz w:val="24"/>
          <w:szCs w:val="24"/>
        </w:rPr>
        <w:t>226,000</w:t>
      </w:r>
      <w:r w:rsidR="004D41CD">
        <w:rPr>
          <w:sz w:val="24"/>
          <w:szCs w:val="24"/>
        </w:rPr>
        <w:t xml:space="preserve"> per facility </w:t>
      </w:r>
      <w:r w:rsidR="00EB3608">
        <w:rPr>
          <w:sz w:val="24"/>
          <w:szCs w:val="24"/>
        </w:rPr>
        <w:t xml:space="preserve">at an estimated 27 facilities that would need to install temporary hoods </w:t>
      </w:r>
      <w:r w:rsidR="00EB3608">
        <w:rPr>
          <w:sz w:val="24"/>
          <w:szCs w:val="24"/>
        </w:rPr>
        <w:lastRenderedPageBreak/>
        <w:t xml:space="preserve">and conduct testing </w:t>
      </w:r>
      <w:r w:rsidR="00F559CD">
        <w:rPr>
          <w:sz w:val="24"/>
          <w:szCs w:val="24"/>
        </w:rPr>
        <w:t xml:space="preserve">every 5 years </w:t>
      </w:r>
      <w:r w:rsidR="00EB3608">
        <w:rPr>
          <w:sz w:val="24"/>
          <w:szCs w:val="24"/>
        </w:rPr>
        <w:t>on uncontrolled group 1 furnaces</w:t>
      </w:r>
      <w:r w:rsidR="00F559CD">
        <w:rPr>
          <w:sz w:val="24"/>
          <w:szCs w:val="24"/>
        </w:rPr>
        <w:t xml:space="preserve"> for a total capital cost of $6,102,000.</w:t>
      </w:r>
      <w:r w:rsidR="00EB3608">
        <w:rPr>
          <w:sz w:val="24"/>
          <w:szCs w:val="24"/>
        </w:rPr>
        <w:t xml:space="preserve"> As a result of the proposed requirement to measure HF emissions, 20 affected facilities would incur </w:t>
      </w:r>
      <w:r w:rsidR="00F559CD">
        <w:rPr>
          <w:sz w:val="24"/>
          <w:szCs w:val="24"/>
        </w:rPr>
        <w:t xml:space="preserve">a total </w:t>
      </w:r>
      <w:r w:rsidR="00EB3608">
        <w:rPr>
          <w:sz w:val="24"/>
          <w:szCs w:val="24"/>
        </w:rPr>
        <w:t xml:space="preserve">annual </w:t>
      </w:r>
      <w:r w:rsidR="003A0A15">
        <w:rPr>
          <w:sz w:val="24"/>
          <w:szCs w:val="24"/>
        </w:rPr>
        <w:t xml:space="preserve">O&amp;M </w:t>
      </w:r>
      <w:r w:rsidR="00EB3608">
        <w:rPr>
          <w:sz w:val="24"/>
          <w:szCs w:val="24"/>
        </w:rPr>
        <w:t>cost of $</w:t>
      </w:r>
      <w:r w:rsidR="00F559CD">
        <w:rPr>
          <w:sz w:val="24"/>
          <w:szCs w:val="24"/>
        </w:rPr>
        <w:t>11,000</w:t>
      </w:r>
      <w:r w:rsidR="00EB3608">
        <w:rPr>
          <w:sz w:val="24"/>
          <w:szCs w:val="24"/>
        </w:rPr>
        <w:t xml:space="preserve">. The proposed amendments would also allow owners/operators to switch furnace </w:t>
      </w:r>
      <w:r w:rsidR="00C1720F">
        <w:rPr>
          <w:sz w:val="24"/>
          <w:szCs w:val="24"/>
        </w:rPr>
        <w:t>classifications</w:t>
      </w:r>
      <w:r w:rsidR="00084247">
        <w:rPr>
          <w:sz w:val="24"/>
          <w:szCs w:val="24"/>
        </w:rPr>
        <w:t xml:space="preserve">, which would result in </w:t>
      </w:r>
      <w:r w:rsidR="00F559CD">
        <w:rPr>
          <w:sz w:val="24"/>
          <w:szCs w:val="24"/>
        </w:rPr>
        <w:t xml:space="preserve">total </w:t>
      </w:r>
      <w:r w:rsidR="00084247">
        <w:rPr>
          <w:sz w:val="24"/>
          <w:szCs w:val="24"/>
        </w:rPr>
        <w:t>annual O&amp;M costs for testing</w:t>
      </w:r>
      <w:r w:rsidR="00D52411">
        <w:rPr>
          <w:sz w:val="24"/>
          <w:szCs w:val="24"/>
        </w:rPr>
        <w:t xml:space="preserve"> of $500,000/yr or, for an estimated 50 furnaces, a cost</w:t>
      </w:r>
      <w:r w:rsidR="00084247">
        <w:rPr>
          <w:sz w:val="24"/>
          <w:szCs w:val="24"/>
        </w:rPr>
        <w:t xml:space="preserve"> of $10,000 </w:t>
      </w:r>
      <w:r w:rsidR="00D52411">
        <w:rPr>
          <w:sz w:val="24"/>
          <w:szCs w:val="24"/>
        </w:rPr>
        <w:t xml:space="preserve">per furnace, or $14,706/yr per facility </w:t>
      </w:r>
      <w:r w:rsidR="00084247">
        <w:rPr>
          <w:sz w:val="24"/>
          <w:szCs w:val="24"/>
        </w:rPr>
        <w:t>at</w:t>
      </w:r>
      <w:r w:rsidR="00D52411">
        <w:rPr>
          <w:sz w:val="24"/>
          <w:szCs w:val="24"/>
        </w:rPr>
        <w:t xml:space="preserve"> 34</w:t>
      </w:r>
      <w:r w:rsidR="00084247">
        <w:rPr>
          <w:sz w:val="24"/>
          <w:szCs w:val="24"/>
        </w:rPr>
        <w:t xml:space="preserve"> facilities. </w:t>
      </w:r>
    </w:p>
    <w:p w:rsidR="0006580C" w:rsidRDefault="00B1351A" w:rsidP="004D41CD">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576C21">
        <w:rPr>
          <w:i/>
          <w:iCs/>
          <w:sz w:val="24"/>
          <w:szCs w:val="24"/>
        </w:rPr>
        <w:t xml:space="preserve"> </w:t>
      </w:r>
      <w:r w:rsidRPr="00CF0317">
        <w:rPr>
          <w:i/>
          <w:iCs/>
          <w:sz w:val="24"/>
          <w:szCs w:val="24"/>
        </w:rPr>
        <w:t>Annualizing Capital Costs</w:t>
      </w:r>
      <w:r w:rsidR="00A45132" w:rsidRPr="00CF0317">
        <w:rPr>
          <w:sz w:val="24"/>
          <w:szCs w:val="24"/>
        </w:rPr>
        <w:t>.</w:t>
      </w:r>
      <w:r w:rsidR="00576C21">
        <w:rPr>
          <w:sz w:val="24"/>
          <w:szCs w:val="24"/>
        </w:rPr>
        <w:t xml:space="preserve"> </w:t>
      </w:r>
      <w:r w:rsidR="004D41CD">
        <w:rPr>
          <w:sz w:val="24"/>
          <w:szCs w:val="24"/>
        </w:rPr>
        <w:t>Annualized capital costs are approximately</w:t>
      </w:r>
      <w:r w:rsidR="00E3790A">
        <w:rPr>
          <w:sz w:val="24"/>
          <w:szCs w:val="24"/>
        </w:rPr>
        <w:t xml:space="preserve"> </w:t>
      </w:r>
      <w:r w:rsidR="00B05163">
        <w:rPr>
          <w:sz w:val="24"/>
          <w:szCs w:val="24"/>
        </w:rPr>
        <w:t>$</w:t>
      </w:r>
      <w:r w:rsidR="00C1720F">
        <w:rPr>
          <w:sz w:val="24"/>
          <w:szCs w:val="24"/>
        </w:rPr>
        <w:t>1,200,000</w:t>
      </w:r>
      <w:r w:rsidR="00B05163">
        <w:rPr>
          <w:sz w:val="24"/>
          <w:szCs w:val="24"/>
        </w:rPr>
        <w:t xml:space="preserve"> or $</w:t>
      </w:r>
      <w:r w:rsidR="003A0A15">
        <w:rPr>
          <w:sz w:val="24"/>
          <w:szCs w:val="24"/>
        </w:rPr>
        <w:t>4</w:t>
      </w:r>
      <w:r w:rsidR="00F559CD">
        <w:rPr>
          <w:sz w:val="24"/>
          <w:szCs w:val="24"/>
        </w:rPr>
        <w:t>5</w:t>
      </w:r>
      <w:r w:rsidR="003A0A15">
        <w:rPr>
          <w:sz w:val="24"/>
          <w:szCs w:val="24"/>
        </w:rPr>
        <w:t>,</w:t>
      </w:r>
      <w:r w:rsidR="00F559CD">
        <w:rPr>
          <w:sz w:val="24"/>
          <w:szCs w:val="24"/>
        </w:rPr>
        <w:t>2</w:t>
      </w:r>
      <w:r w:rsidR="003A0A15">
        <w:rPr>
          <w:sz w:val="24"/>
          <w:szCs w:val="24"/>
        </w:rPr>
        <w:t>00</w:t>
      </w:r>
      <w:r w:rsidR="00B05163">
        <w:rPr>
          <w:sz w:val="24"/>
          <w:szCs w:val="24"/>
        </w:rPr>
        <w:t>/facility</w:t>
      </w:r>
      <w:r w:rsidR="00CF0317" w:rsidRPr="00CF0317">
        <w:rPr>
          <w:sz w:val="24"/>
          <w:szCs w:val="24"/>
        </w:rPr>
        <w:t>.</w:t>
      </w:r>
    </w:p>
    <w:p w:rsidR="00561302" w:rsidRDefault="00561302" w:rsidP="00561302">
      <w:pPr>
        <w:spacing w:line="360" w:lineRule="auto"/>
        <w:ind w:firstLine="720"/>
        <w:rPr>
          <w:sz w:val="24"/>
          <w:szCs w:val="24"/>
        </w:rPr>
      </w:pPr>
      <w:r w:rsidRPr="0029487F">
        <w:rPr>
          <w:i/>
          <w:sz w:val="24"/>
          <w:szCs w:val="24"/>
        </w:rPr>
        <w:t>(iv)</w:t>
      </w:r>
      <w:r>
        <w:rPr>
          <w:sz w:val="24"/>
          <w:szCs w:val="24"/>
        </w:rPr>
        <w:t xml:space="preserve"> </w:t>
      </w:r>
      <w:r w:rsidRPr="000A7EC6">
        <w:rPr>
          <w:i/>
          <w:sz w:val="24"/>
          <w:szCs w:val="24"/>
        </w:rPr>
        <w:t xml:space="preserve">Affirmative Defense/Root </w:t>
      </w:r>
      <w:proofErr w:type="gramStart"/>
      <w:r w:rsidRPr="000A7EC6">
        <w:rPr>
          <w:i/>
          <w:sz w:val="24"/>
          <w:szCs w:val="24"/>
        </w:rPr>
        <w:t>Cause</w:t>
      </w:r>
      <w:proofErr w:type="gramEnd"/>
      <w:r w:rsidRPr="000A7EC6">
        <w:rPr>
          <w:i/>
          <w:sz w:val="24"/>
          <w:szCs w:val="24"/>
        </w:rPr>
        <w:t xml:space="preserve"> Anal</w:t>
      </w:r>
      <w:r>
        <w:rPr>
          <w:i/>
          <w:sz w:val="24"/>
          <w:szCs w:val="24"/>
        </w:rPr>
        <w:t>ysis/Malfunction</w:t>
      </w:r>
      <w:r w:rsidRPr="000A7EC6">
        <w:rPr>
          <w:i/>
          <w:sz w:val="24"/>
          <w:szCs w:val="24"/>
        </w:rPr>
        <w:t xml:space="preserve"> Costs</w:t>
      </w:r>
      <w:r>
        <w:rPr>
          <w:i/>
          <w:sz w:val="24"/>
          <w:szCs w:val="24"/>
        </w:rPr>
        <w:t xml:space="preserve">. </w:t>
      </w:r>
      <w:r w:rsidR="005643EB" w:rsidRPr="005643EB">
        <w:rPr>
          <w:sz w:val="24"/>
          <w:szCs w:val="24"/>
        </w:rPr>
        <w:t>The</w:t>
      </w:r>
      <w:r w:rsidR="005643EB">
        <w:rPr>
          <w:i/>
          <w:sz w:val="24"/>
          <w:szCs w:val="24"/>
        </w:rPr>
        <w:t xml:space="preserve"> </w:t>
      </w:r>
      <w:r w:rsidRPr="000A7EC6">
        <w:rPr>
          <w:sz w:val="24"/>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w:t>
      </w:r>
      <w:r w:rsidR="00576C21">
        <w:rPr>
          <w:sz w:val="24"/>
          <w:szCs w:val="24"/>
        </w:rPr>
        <w:t xml:space="preserve"> </w:t>
      </w:r>
      <w:r w:rsidRPr="000A7EC6">
        <w:rPr>
          <w:sz w:val="24"/>
          <w:szCs w:val="24"/>
        </w:rPr>
        <w:t xml:space="preserve">The level of effort also includes time to produce and retain the report in document form so that the source will have it available should </w:t>
      </w:r>
      <w:r w:rsidR="005643EB">
        <w:rPr>
          <w:sz w:val="24"/>
          <w:szCs w:val="24"/>
        </w:rPr>
        <w:t xml:space="preserve">the </w:t>
      </w:r>
      <w:r w:rsidRPr="000A7EC6">
        <w:rPr>
          <w:sz w:val="24"/>
          <w:szCs w:val="24"/>
        </w:rPr>
        <w:t>EPA or state enforcement agencies ever request to review it.</w:t>
      </w:r>
    </w:p>
    <w:p w:rsidR="00B1351A" w:rsidRPr="00CF0317" w:rsidRDefault="00B1351A" w:rsidP="001C5BC0">
      <w:pPr>
        <w:widowControl/>
        <w:spacing w:line="360" w:lineRule="auto"/>
        <w:rPr>
          <w:sz w:val="24"/>
          <w:szCs w:val="24"/>
        </w:rPr>
      </w:pPr>
      <w:r w:rsidRPr="00CF0317">
        <w:rPr>
          <w:i/>
          <w:iCs/>
          <w:sz w:val="24"/>
          <w:szCs w:val="24"/>
        </w:rPr>
        <w:t>(c)</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E72FA9">
      <w:pPr>
        <w:widowControl/>
        <w:spacing w:line="360" w:lineRule="auto"/>
        <w:rPr>
          <w:sz w:val="24"/>
          <w:szCs w:val="24"/>
        </w:rPr>
      </w:pPr>
      <w:r w:rsidRPr="00CF0317">
        <w:rPr>
          <w:sz w:val="24"/>
          <w:szCs w:val="24"/>
        </w:rPr>
        <w:tab/>
        <w:t>Because the information collection requirements were developed as an incidental part of standards development, no costs can be attributed to the development of the information collection requirements.</w:t>
      </w:r>
      <w:r w:rsidR="00576C21">
        <w:rPr>
          <w:sz w:val="24"/>
          <w:szCs w:val="24"/>
        </w:rPr>
        <w:t xml:space="preserve"> </w:t>
      </w:r>
      <w:r w:rsidRPr="00CF0317">
        <w:rPr>
          <w:sz w:val="24"/>
          <w:szCs w:val="24"/>
        </w:rPr>
        <w:t xml:space="preserve">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w:t>
      </w:r>
      <w:r w:rsidR="00576C21">
        <w:rPr>
          <w:sz w:val="24"/>
          <w:szCs w:val="24"/>
        </w:rPr>
        <w:t xml:space="preserve"> </w:t>
      </w:r>
      <w:r w:rsidRPr="00CF0317">
        <w:rPr>
          <w:sz w:val="24"/>
          <w:szCs w:val="24"/>
        </w:rPr>
        <w:t>Publication and distribution of the information are part of the Compliance Data System, with the result that no Federal costs can be directly attributed to the ICR.</w:t>
      </w:r>
      <w:r w:rsidR="00576C21">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 xml:space="preserve">ces that is part of </w:t>
      </w:r>
      <w:r w:rsidR="005643EB">
        <w:rPr>
          <w:sz w:val="24"/>
          <w:szCs w:val="24"/>
        </w:rPr>
        <w:t xml:space="preserve">the </w:t>
      </w:r>
      <w:r w:rsidR="001D08CE" w:rsidRPr="00CF0317">
        <w:rPr>
          <w:sz w:val="24"/>
          <w:szCs w:val="24"/>
        </w:rPr>
        <w:t>EPA’</w:t>
      </w:r>
      <w:r w:rsidRPr="00CF0317">
        <w:rPr>
          <w:sz w:val="24"/>
          <w:szCs w:val="24"/>
        </w:rPr>
        <w:t>s overall compliance and enforcement program, and, therefore, is not attributable to the ICR.</w:t>
      </w:r>
      <w:r w:rsidR="00576C21">
        <w:rPr>
          <w:sz w:val="24"/>
          <w:szCs w:val="24"/>
        </w:rPr>
        <w:t xml:space="preserve"> </w:t>
      </w:r>
      <w:r w:rsidRPr="00CF0317">
        <w:rPr>
          <w:sz w:val="24"/>
          <w:szCs w:val="24"/>
        </w:rPr>
        <w:t>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00E72FA9">
        <w:rPr>
          <w:sz w:val="24"/>
          <w:szCs w:val="24"/>
        </w:rPr>
        <w:t>4</w:t>
      </w:r>
      <w:r w:rsidR="000956BA">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w:t>
      </w:r>
      <w:r w:rsidR="00F67EEB">
        <w:rPr>
          <w:sz w:val="24"/>
          <w:szCs w:val="24"/>
        </w:rPr>
        <w:t>1</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w:t>
      </w:r>
      <w:r w:rsidR="00576C21">
        <w:rPr>
          <w:sz w:val="24"/>
          <w:szCs w:val="24"/>
        </w:rPr>
        <w:t xml:space="preserve"> </w:t>
      </w:r>
      <w:r w:rsidR="00CF0317" w:rsidRPr="00451AED">
        <w:rPr>
          <w:sz w:val="24"/>
          <w:szCs w:val="24"/>
        </w:rPr>
        <w:t>These rates can be obtained from Salary Table 20</w:t>
      </w:r>
      <w:r w:rsidR="00CF0317">
        <w:rPr>
          <w:sz w:val="24"/>
          <w:szCs w:val="24"/>
        </w:rPr>
        <w:t>1</w:t>
      </w:r>
      <w:r w:rsidR="00F67EEB">
        <w:rPr>
          <w:sz w:val="24"/>
          <w:szCs w:val="24"/>
        </w:rPr>
        <w:t>1</w:t>
      </w:r>
      <w:r w:rsidR="00CF0317" w:rsidRPr="00451AED">
        <w:rPr>
          <w:sz w:val="24"/>
          <w:szCs w:val="24"/>
        </w:rPr>
        <w:t xml:space="preserve">-GS available on the OPM website, </w:t>
      </w:r>
      <w:hyperlink r:id="rId9" w:history="1">
        <w:r w:rsidR="00F67EEB" w:rsidRPr="00FB0E80">
          <w:rPr>
            <w:rStyle w:val="Hyperlink"/>
            <w:sz w:val="24"/>
            <w:szCs w:val="24"/>
          </w:rPr>
          <w:t>http://www.opm.g</w:t>
        </w:r>
        <w:r w:rsidR="00F67EEB" w:rsidRPr="00FB0E80">
          <w:rPr>
            <w:rStyle w:val="Hyperlink"/>
            <w:sz w:val="24"/>
            <w:szCs w:val="24"/>
          </w:rPr>
          <w:t>o</w:t>
        </w:r>
        <w:r w:rsidR="00F67EEB" w:rsidRPr="00FB0E80">
          <w:rPr>
            <w:rStyle w:val="Hyperlink"/>
            <w:sz w:val="24"/>
            <w:szCs w:val="24"/>
          </w:rPr>
          <w:t>v/oca/11tables/pdf/gs_h.pdf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w:t>
      </w:r>
      <w:r w:rsidR="00576C21">
        <w:rPr>
          <w:sz w:val="24"/>
          <w:szCs w:val="24"/>
        </w:rPr>
        <w:t xml:space="preserve"> </w:t>
      </w:r>
      <w:r w:rsidR="00CF0317" w:rsidRPr="00451AED">
        <w:rPr>
          <w:sz w:val="24"/>
          <w:szCs w:val="24"/>
        </w:rPr>
        <w:t>These rates were increased by 60 percent to include fringe benefits and overhead.</w:t>
      </w:r>
      <w:r w:rsidR="00576C21">
        <w:rPr>
          <w:sz w:val="24"/>
          <w:szCs w:val="24"/>
        </w:rPr>
        <w:t xml:space="preserve"> </w:t>
      </w:r>
      <w:r w:rsidR="00CF0317" w:rsidRPr="00451AED">
        <w:rPr>
          <w:sz w:val="24"/>
          <w:szCs w:val="24"/>
        </w:rPr>
        <w:t>The fully-burdened wage rates used to represent Agency labor costs are:</w:t>
      </w:r>
      <w:r w:rsidR="00576C21">
        <w:rPr>
          <w:sz w:val="24"/>
          <w:szCs w:val="24"/>
        </w:rPr>
        <w:t xml:space="preserve"> </w:t>
      </w:r>
      <w:r w:rsidR="00CF0317" w:rsidRPr="00451AED">
        <w:rPr>
          <w:sz w:val="24"/>
          <w:szCs w:val="24"/>
        </w:rPr>
        <w:t>clerical at $</w:t>
      </w:r>
      <w:r w:rsidR="00CF0317">
        <w:rPr>
          <w:sz w:val="24"/>
          <w:szCs w:val="24"/>
        </w:rPr>
        <w:t>25.01</w:t>
      </w:r>
      <w:r w:rsidR="000B4288">
        <w:rPr>
          <w:sz w:val="24"/>
          <w:szCs w:val="24"/>
        </w:rPr>
        <w:t>/hour</w:t>
      </w:r>
      <w:r w:rsidR="00D6616F">
        <w:rPr>
          <w:sz w:val="24"/>
          <w:szCs w:val="24"/>
        </w:rPr>
        <w:t>,</w:t>
      </w:r>
      <w:r w:rsidR="00D6616F" w:rsidRPr="00451AED">
        <w:rPr>
          <w:sz w:val="24"/>
          <w:szCs w:val="24"/>
        </w:rPr>
        <w:t xml:space="preserve"> </w:t>
      </w:r>
      <w:r w:rsidR="00CF0317" w:rsidRPr="00451AED">
        <w:rPr>
          <w:sz w:val="24"/>
          <w:szCs w:val="24"/>
        </w:rPr>
        <w:t>technical at $</w:t>
      </w:r>
      <w:r w:rsidR="00CF0317">
        <w:rPr>
          <w:sz w:val="24"/>
          <w:szCs w:val="24"/>
        </w:rPr>
        <w:t>46.21</w:t>
      </w:r>
      <w:r w:rsidR="000B4288">
        <w:rPr>
          <w:sz w:val="24"/>
          <w:szCs w:val="24"/>
        </w:rPr>
        <w:t>/hour</w:t>
      </w:r>
      <w:r w:rsidR="00CF0317" w:rsidRPr="00451AED">
        <w:rPr>
          <w:sz w:val="24"/>
          <w:szCs w:val="24"/>
        </w:rPr>
        <w:t xml:space="preserve"> and management at $</w:t>
      </w:r>
      <w:r w:rsidR="00CF0317">
        <w:rPr>
          <w:sz w:val="24"/>
          <w:szCs w:val="24"/>
        </w:rPr>
        <w:t>62.27</w:t>
      </w:r>
      <w:r w:rsidR="000B4288">
        <w:rPr>
          <w:sz w:val="24"/>
          <w:szCs w:val="24"/>
        </w:rPr>
        <w:t>/hour</w:t>
      </w:r>
      <w:r w:rsidR="006A1E41">
        <w:rPr>
          <w:sz w:val="24"/>
          <w:szCs w:val="24"/>
        </w:rPr>
        <w:t>.</w:t>
      </w:r>
    </w:p>
    <w:p w:rsidR="00B1351A" w:rsidRPr="005726F8" w:rsidRDefault="006A1E41" w:rsidP="00290013">
      <w:pPr>
        <w:keepNext/>
        <w:widowControl/>
        <w:spacing w:line="360" w:lineRule="auto"/>
        <w:rPr>
          <w:sz w:val="24"/>
          <w:szCs w:val="24"/>
        </w:rPr>
      </w:pPr>
      <w:r>
        <w:rPr>
          <w:i/>
          <w:iCs/>
          <w:sz w:val="24"/>
          <w:szCs w:val="24"/>
        </w:rPr>
        <w:lastRenderedPageBreak/>
        <w:t>(d)</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1D178F">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1D178F">
        <w:rPr>
          <w:sz w:val="24"/>
          <w:szCs w:val="24"/>
        </w:rPr>
        <w:t>161</w:t>
      </w:r>
      <w:r w:rsidR="00282482" w:rsidRPr="00476BC3">
        <w:rPr>
          <w:sz w:val="24"/>
          <w:szCs w:val="24"/>
        </w:rPr>
        <w:t xml:space="preserve">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642596">
        <w:rPr>
          <w:sz w:val="24"/>
          <w:szCs w:val="24"/>
        </w:rPr>
        <w:t xml:space="preserve">currently </w:t>
      </w:r>
      <w:r w:rsidR="005F6ED5" w:rsidRPr="00476BC3">
        <w:rPr>
          <w:sz w:val="24"/>
          <w:szCs w:val="24"/>
        </w:rPr>
        <w:t xml:space="preserve">subject to the </w:t>
      </w:r>
      <w:r w:rsidR="001D178F">
        <w:rPr>
          <w:sz w:val="24"/>
          <w:szCs w:val="24"/>
        </w:rPr>
        <w:t>Secondary</w:t>
      </w:r>
      <w:r w:rsidR="001D178F" w:rsidRPr="00B11916">
        <w:rPr>
          <w:sz w:val="24"/>
          <w:szCs w:val="24"/>
        </w:rPr>
        <w:t xml:space="preserve"> Aluminum </w:t>
      </w:r>
      <w:r w:rsidR="001D178F">
        <w:rPr>
          <w:sz w:val="24"/>
          <w:szCs w:val="24"/>
        </w:rPr>
        <w:t>Production</w:t>
      </w:r>
      <w:r w:rsidR="00E40731">
        <w:rPr>
          <w:sz w:val="24"/>
          <w:szCs w:val="24"/>
        </w:rPr>
        <w:t xml:space="preserve"> NESHAP. </w:t>
      </w:r>
      <w:r w:rsidRPr="00476BC3">
        <w:rPr>
          <w:sz w:val="24"/>
          <w:szCs w:val="24"/>
        </w:rPr>
        <w:t xml:space="preserve">No new </w:t>
      </w:r>
      <w:r w:rsidR="00642596">
        <w:rPr>
          <w:sz w:val="24"/>
          <w:szCs w:val="24"/>
        </w:rPr>
        <w:t xml:space="preserve">major </w:t>
      </w:r>
      <w:r w:rsidRPr="00476BC3">
        <w:rPr>
          <w:sz w:val="24"/>
          <w:szCs w:val="24"/>
        </w:rPr>
        <w:t>sources are expected the year</w:t>
      </w:r>
      <w:r w:rsidR="001D178F">
        <w:rPr>
          <w:sz w:val="24"/>
          <w:szCs w:val="24"/>
        </w:rPr>
        <w:t xml:space="preserve"> following promulgation of these amendments</w:t>
      </w:r>
      <w:r w:rsidRPr="00476BC3">
        <w:rPr>
          <w:sz w:val="24"/>
          <w:szCs w:val="24"/>
        </w:rPr>
        <w:t>.</w:t>
      </w:r>
      <w:r w:rsidR="00576C21">
        <w:rPr>
          <w:sz w:val="24"/>
          <w:szCs w:val="24"/>
        </w:rPr>
        <w:t xml:space="preserve"> </w:t>
      </w:r>
      <w:r w:rsidRPr="00476BC3">
        <w:rPr>
          <w:sz w:val="24"/>
          <w:szCs w:val="24"/>
        </w:rPr>
        <w:t xml:space="preserve">Consequently, the number of </w:t>
      </w:r>
      <w:r w:rsidR="001D178F">
        <w:rPr>
          <w:sz w:val="24"/>
          <w:szCs w:val="24"/>
        </w:rPr>
        <w:t>secondary</w:t>
      </w:r>
      <w:r w:rsidR="001D178F" w:rsidRPr="00B11916">
        <w:rPr>
          <w:sz w:val="24"/>
          <w:szCs w:val="24"/>
        </w:rPr>
        <w:t xml:space="preserve"> </w:t>
      </w:r>
      <w:r w:rsidR="001D178F">
        <w:rPr>
          <w:sz w:val="24"/>
          <w:szCs w:val="24"/>
        </w:rPr>
        <w:t>a</w:t>
      </w:r>
      <w:r w:rsidR="001D178F" w:rsidRPr="00B11916">
        <w:rPr>
          <w:sz w:val="24"/>
          <w:szCs w:val="24"/>
        </w:rPr>
        <w:t xml:space="preserve">luminum </w:t>
      </w:r>
      <w:r w:rsidR="005726F8" w:rsidRPr="00476BC3">
        <w:rPr>
          <w:sz w:val="24"/>
          <w:szCs w:val="24"/>
        </w:rPr>
        <w:t xml:space="preserve">respondents </w:t>
      </w:r>
      <w:r w:rsidR="001D178F">
        <w:rPr>
          <w:sz w:val="24"/>
          <w:szCs w:val="24"/>
        </w:rPr>
        <w:t>in the year following promulgation is 161 respondents per year.</w:t>
      </w:r>
    </w:p>
    <w:p w:rsidR="00466BEE" w:rsidRPr="00476BC3" w:rsidRDefault="001646D0" w:rsidP="00E40731">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2330BE" w:rsidRPr="00476BC3">
        <w:rPr>
          <w:sz w:val="24"/>
          <w:szCs w:val="24"/>
        </w:rPr>
        <w:t xml:space="preserve">amendments to the </w:t>
      </w:r>
      <w:r w:rsidR="001D178F">
        <w:rPr>
          <w:sz w:val="24"/>
          <w:szCs w:val="24"/>
        </w:rPr>
        <w:t>Secondary</w:t>
      </w:r>
      <w:r w:rsidR="001D178F" w:rsidRPr="00B11916">
        <w:rPr>
          <w:sz w:val="24"/>
          <w:szCs w:val="24"/>
        </w:rPr>
        <w:t xml:space="preserve"> Aluminum </w:t>
      </w:r>
      <w:r w:rsidR="001D178F">
        <w:rPr>
          <w:sz w:val="24"/>
          <w:szCs w:val="24"/>
        </w:rPr>
        <w:t>Production</w:t>
      </w:r>
      <w:r w:rsidR="00E40731" w:rsidRPr="00E40731">
        <w:rPr>
          <w:sz w:val="24"/>
          <w:szCs w:val="24"/>
        </w:rPr>
        <w:t xml:space="preserve"> 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D00028">
        <w:rPr>
          <w:sz w:val="24"/>
          <w:szCs w:val="24"/>
        </w:rPr>
        <w:t>;</w:t>
      </w:r>
      <w:r w:rsidR="00147008" w:rsidRPr="00476BC3">
        <w:rPr>
          <w:sz w:val="24"/>
          <w:szCs w:val="24"/>
        </w:rPr>
        <w:t xml:space="preserve"> </w:t>
      </w:r>
      <w:r w:rsidR="001D178F">
        <w:rPr>
          <w:sz w:val="24"/>
          <w:szCs w:val="24"/>
        </w:rPr>
        <w:t>monthly verification of lime injection rates</w:t>
      </w:r>
      <w:r w:rsidR="00D00028">
        <w:rPr>
          <w:sz w:val="24"/>
          <w:szCs w:val="24"/>
        </w:rPr>
        <w:t>;</w:t>
      </w:r>
      <w:r w:rsidR="001D178F">
        <w:rPr>
          <w:sz w:val="24"/>
          <w:szCs w:val="24"/>
        </w:rPr>
        <w:t xml:space="preserve"> </w:t>
      </w:r>
      <w:r w:rsidR="00D00028">
        <w:rPr>
          <w:sz w:val="24"/>
          <w:szCs w:val="24"/>
        </w:rPr>
        <w:t>analysis of performance test samples for HF; construction of temporary hooding and performing emissions test</w:t>
      </w:r>
      <w:r w:rsidR="008C0CD1">
        <w:rPr>
          <w:sz w:val="24"/>
          <w:szCs w:val="24"/>
        </w:rPr>
        <w:t>s</w:t>
      </w:r>
      <w:r w:rsidR="00D00028">
        <w:rPr>
          <w:sz w:val="24"/>
          <w:szCs w:val="24"/>
        </w:rPr>
        <w:t xml:space="preserve"> on uncontrolled group 1 furnaces; and when a furnace </w:t>
      </w:r>
      <w:r w:rsidR="00801E29">
        <w:rPr>
          <w:sz w:val="24"/>
          <w:szCs w:val="24"/>
        </w:rPr>
        <w:t xml:space="preserve">classification </w:t>
      </w:r>
      <w:r w:rsidR="00D00028">
        <w:rPr>
          <w:sz w:val="24"/>
          <w:szCs w:val="24"/>
        </w:rPr>
        <w:t>is being changed, the requisite reporting and emissions testing to demonstrate compliance.</w:t>
      </w:r>
      <w:r w:rsidR="00147008">
        <w:rPr>
          <w:sz w:val="24"/>
          <w:szCs w:val="24"/>
        </w:rPr>
        <w:t xml:space="preserve"> A</w:t>
      </w:r>
      <w:r w:rsidR="00CB6CC7" w:rsidRPr="00476BC3">
        <w:rPr>
          <w:sz w:val="24"/>
          <w:szCs w:val="24"/>
        </w:rPr>
        <w:t>ll other recordkeeping and reporting activities are already accounted for in the ICR for the NESHAP.</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B856AD">
      <w:pPr>
        <w:widowControl/>
        <w:spacing w:line="360" w:lineRule="auto"/>
        <w:ind w:firstLine="720"/>
        <w:rPr>
          <w:sz w:val="24"/>
          <w:szCs w:val="24"/>
        </w:rPr>
      </w:pPr>
      <w:r w:rsidRPr="00476BC3">
        <w:rPr>
          <w:i/>
          <w:iCs/>
          <w:sz w:val="24"/>
          <w:szCs w:val="24"/>
        </w:rPr>
        <w:t>(i)</w:t>
      </w:r>
      <w:r w:rsidR="00576C21">
        <w:rPr>
          <w:i/>
          <w:iCs/>
          <w:sz w:val="24"/>
          <w:szCs w:val="24"/>
        </w:rPr>
        <w:t xml:space="preserve"> </w:t>
      </w:r>
      <w:r w:rsidRPr="00476BC3">
        <w:rPr>
          <w:i/>
          <w:iCs/>
          <w:sz w:val="24"/>
          <w:szCs w:val="24"/>
        </w:rPr>
        <w:t>Respondent tally.</w:t>
      </w:r>
      <w:r w:rsidR="00576C21">
        <w:rPr>
          <w:sz w:val="24"/>
          <w:szCs w:val="24"/>
        </w:rPr>
        <w:t xml:space="preserve"> </w:t>
      </w:r>
      <w:r w:rsidRPr="00476BC3">
        <w:rPr>
          <w:sz w:val="24"/>
          <w:szCs w:val="24"/>
        </w:rPr>
        <w:t>The bottom line respondent burden hours and costs presented in Table</w:t>
      </w:r>
      <w:r w:rsidR="00E40731">
        <w:rPr>
          <w:sz w:val="24"/>
          <w:szCs w:val="24"/>
        </w:rPr>
        <w:t xml:space="preserve"> </w:t>
      </w:r>
      <w:r w:rsidR="00E72FA9">
        <w:rPr>
          <w:sz w:val="24"/>
          <w:szCs w:val="24"/>
        </w:rPr>
        <w:t xml:space="preserve">3 </w:t>
      </w:r>
      <w:r w:rsidRPr="00476BC3">
        <w:rPr>
          <w:sz w:val="24"/>
          <w:szCs w:val="24"/>
        </w:rPr>
        <w:t>are calculated by adding person-hours per year down each column for technical, managerial and clerical staff, and by adding down the cost column.</w:t>
      </w:r>
      <w:r w:rsidR="00576C21">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the proposed amendments t</w:t>
      </w:r>
      <w:r w:rsidR="00C368ED" w:rsidRPr="0066798A">
        <w:rPr>
          <w:sz w:val="24"/>
          <w:szCs w:val="24"/>
        </w:rPr>
        <w:t xml:space="preserve">o </w:t>
      </w:r>
      <w:r w:rsidR="00552CF0" w:rsidRPr="0066798A">
        <w:rPr>
          <w:sz w:val="24"/>
          <w:szCs w:val="24"/>
        </w:rPr>
        <w:t xml:space="preserve">subpart </w:t>
      </w:r>
      <w:r w:rsidR="008645EB">
        <w:rPr>
          <w:sz w:val="24"/>
          <w:szCs w:val="24"/>
        </w:rPr>
        <w:t>RRR</w:t>
      </w:r>
      <w:r w:rsidR="00C368ED" w:rsidRPr="0066798A">
        <w:rPr>
          <w:sz w:val="24"/>
          <w:szCs w:val="24"/>
        </w:rPr>
        <w:t xml:space="preserve"> </w:t>
      </w:r>
      <w:r w:rsidR="00552CF0" w:rsidRPr="0066798A">
        <w:rPr>
          <w:sz w:val="24"/>
          <w:szCs w:val="24"/>
        </w:rPr>
        <w:t xml:space="preserve">for </w:t>
      </w:r>
      <w:r w:rsidR="002C5DA3" w:rsidRPr="0066798A">
        <w:rPr>
          <w:sz w:val="24"/>
          <w:szCs w:val="24"/>
        </w:rPr>
        <w:t xml:space="preserve">the </w:t>
      </w:r>
      <w:r w:rsidR="008645EB">
        <w:rPr>
          <w:sz w:val="24"/>
          <w:szCs w:val="24"/>
        </w:rPr>
        <w:t>161</w:t>
      </w:r>
      <w:r w:rsidR="00CF07BB" w:rsidRPr="0066798A">
        <w:rPr>
          <w:sz w:val="24"/>
          <w:szCs w:val="24"/>
        </w:rPr>
        <w:t xml:space="preserve">existing </w:t>
      </w:r>
      <w:r w:rsidR="005F6ED5" w:rsidRPr="0066798A">
        <w:rPr>
          <w:sz w:val="24"/>
          <w:szCs w:val="24"/>
        </w:rPr>
        <w:t xml:space="preserve">facilities </w:t>
      </w:r>
      <w:r w:rsidR="00B53ABC" w:rsidRPr="0066798A">
        <w:rPr>
          <w:sz w:val="24"/>
          <w:szCs w:val="24"/>
        </w:rPr>
        <w:t xml:space="preserve">that </w:t>
      </w:r>
      <w:r w:rsidR="00C368ED" w:rsidRPr="0066798A">
        <w:rPr>
          <w:sz w:val="24"/>
          <w:szCs w:val="24"/>
        </w:rPr>
        <w:t xml:space="preserve">are </w:t>
      </w:r>
      <w:r w:rsidR="005F6ED5" w:rsidRPr="0066798A">
        <w:rPr>
          <w:sz w:val="24"/>
          <w:szCs w:val="24"/>
        </w:rPr>
        <w:t xml:space="preserve">subject to the </w:t>
      </w:r>
      <w:r w:rsidR="008645EB">
        <w:rPr>
          <w:sz w:val="24"/>
          <w:szCs w:val="24"/>
        </w:rPr>
        <w:t>Secondary</w:t>
      </w:r>
      <w:r w:rsidR="008645EB" w:rsidRPr="00B11916">
        <w:rPr>
          <w:sz w:val="24"/>
          <w:szCs w:val="24"/>
        </w:rPr>
        <w:t xml:space="preserve"> Aluminum </w:t>
      </w:r>
      <w:r w:rsidR="008645EB">
        <w:rPr>
          <w:sz w:val="24"/>
          <w:szCs w:val="24"/>
        </w:rPr>
        <w:t>Production</w:t>
      </w:r>
      <w:r w:rsidR="0066798A">
        <w:rPr>
          <w:sz w:val="24"/>
          <w:szCs w:val="24"/>
        </w:rPr>
        <w:t xml:space="preserve"> </w:t>
      </w:r>
      <w:r w:rsidR="005F6ED5" w:rsidRPr="0066798A">
        <w:rPr>
          <w:sz w:val="24"/>
          <w:szCs w:val="24"/>
        </w:rPr>
        <w:t>NESHAP</w:t>
      </w:r>
      <w:r w:rsidR="002C5DA3" w:rsidRPr="0066798A">
        <w:rPr>
          <w:sz w:val="24"/>
          <w:szCs w:val="24"/>
        </w:rPr>
        <w:t xml:space="preserve"> </w:t>
      </w:r>
      <w:r w:rsidR="00E4173F" w:rsidRPr="0066798A">
        <w:rPr>
          <w:sz w:val="24"/>
          <w:szCs w:val="24"/>
        </w:rPr>
        <w:t xml:space="preserve">is </w:t>
      </w:r>
      <w:r w:rsidR="00F7569D" w:rsidRPr="00374E99">
        <w:rPr>
          <w:sz w:val="24"/>
          <w:szCs w:val="24"/>
        </w:rPr>
        <w:t>1,</w:t>
      </w:r>
      <w:r w:rsidR="002368AD">
        <w:rPr>
          <w:sz w:val="24"/>
          <w:szCs w:val="24"/>
        </w:rPr>
        <w:t>725</w:t>
      </w:r>
      <w:r w:rsidR="0066798A" w:rsidRPr="00374E99">
        <w:rPr>
          <w:sz w:val="24"/>
          <w:szCs w:val="24"/>
        </w:rPr>
        <w:t xml:space="preserve"> </w:t>
      </w:r>
      <w:r w:rsidRPr="00374E99">
        <w:rPr>
          <w:sz w:val="24"/>
          <w:szCs w:val="24"/>
        </w:rPr>
        <w:t>person</w:t>
      </w:r>
      <w:r w:rsidR="00AC678A" w:rsidRPr="00374E99">
        <w:rPr>
          <w:sz w:val="24"/>
          <w:szCs w:val="24"/>
        </w:rPr>
        <w:t>-</w:t>
      </w:r>
      <w:r w:rsidRPr="00374E99">
        <w:rPr>
          <w:sz w:val="24"/>
          <w:szCs w:val="24"/>
        </w:rPr>
        <w:t>hours</w:t>
      </w:r>
      <w:r w:rsidR="0011196D" w:rsidRPr="00374E99">
        <w:rPr>
          <w:sz w:val="24"/>
          <w:szCs w:val="24"/>
        </w:rPr>
        <w:t>,</w:t>
      </w:r>
      <w:r w:rsidRPr="0066798A">
        <w:rPr>
          <w:sz w:val="24"/>
          <w:szCs w:val="24"/>
        </w:rPr>
        <w:t xml:space="preserve"> with an annual average cost </w:t>
      </w:r>
      <w:r w:rsidRPr="00374E99">
        <w:rPr>
          <w:sz w:val="24"/>
          <w:szCs w:val="24"/>
        </w:rPr>
        <w:t xml:space="preserve">of </w:t>
      </w:r>
      <w:r w:rsidR="006370D6" w:rsidRPr="00374E99">
        <w:rPr>
          <w:sz w:val="24"/>
          <w:szCs w:val="24"/>
        </w:rPr>
        <w:t>$</w:t>
      </w:r>
      <w:r w:rsidR="00374E99" w:rsidRPr="00374E99">
        <w:rPr>
          <w:sz w:val="24"/>
          <w:szCs w:val="24"/>
        </w:rPr>
        <w:t>165,521</w:t>
      </w:r>
      <w:r w:rsidR="0066798A">
        <w:rPr>
          <w:sz w:val="24"/>
          <w:szCs w:val="24"/>
        </w:rPr>
        <w:t xml:space="preserve">. </w:t>
      </w:r>
      <w:r w:rsidR="00374E99">
        <w:rPr>
          <w:sz w:val="24"/>
          <w:szCs w:val="24"/>
        </w:rPr>
        <w:t>The estimated annual operations and maintenance costs (O&amp;M) as a result of these amendments is $</w:t>
      </w:r>
      <w:r w:rsidR="00F559CD">
        <w:rPr>
          <w:sz w:val="24"/>
          <w:szCs w:val="24"/>
        </w:rPr>
        <w:t>511,000.</w:t>
      </w:r>
      <w:r w:rsidR="00374E99">
        <w:rPr>
          <w:sz w:val="24"/>
          <w:szCs w:val="24"/>
        </w:rPr>
        <w:t xml:space="preserve"> </w:t>
      </w:r>
      <w:r w:rsidR="0066798A">
        <w:rPr>
          <w:sz w:val="24"/>
          <w:szCs w:val="24"/>
        </w:rPr>
        <w:t>Estimate</w:t>
      </w:r>
      <w:r w:rsidR="00073D20">
        <w:rPr>
          <w:sz w:val="24"/>
          <w:szCs w:val="24"/>
        </w:rPr>
        <w:t>d</w:t>
      </w:r>
      <w:r w:rsidR="0066798A">
        <w:rPr>
          <w:sz w:val="24"/>
          <w:szCs w:val="24"/>
        </w:rPr>
        <w:t xml:space="preserve"> </w:t>
      </w:r>
      <w:r w:rsidR="00374E99">
        <w:rPr>
          <w:sz w:val="24"/>
          <w:szCs w:val="24"/>
        </w:rPr>
        <w:t xml:space="preserve">annualized </w:t>
      </w:r>
      <w:r w:rsidR="0066798A">
        <w:rPr>
          <w:sz w:val="24"/>
          <w:szCs w:val="24"/>
        </w:rPr>
        <w:t>c</w:t>
      </w:r>
      <w:r w:rsidR="00C368ED" w:rsidRPr="0066798A">
        <w:rPr>
          <w:sz w:val="24"/>
          <w:szCs w:val="24"/>
        </w:rPr>
        <w:t>apital costs</w:t>
      </w:r>
      <w:r w:rsidR="00E4173F" w:rsidRPr="0066798A">
        <w:rPr>
          <w:sz w:val="24"/>
          <w:szCs w:val="24"/>
        </w:rPr>
        <w:t xml:space="preserve"> </w:t>
      </w:r>
      <w:r w:rsidR="00604032">
        <w:rPr>
          <w:sz w:val="24"/>
          <w:szCs w:val="24"/>
        </w:rPr>
        <w:t xml:space="preserve">to the industry </w:t>
      </w:r>
      <w:r w:rsidR="00282482" w:rsidRPr="0066798A">
        <w:rPr>
          <w:sz w:val="24"/>
          <w:szCs w:val="24"/>
        </w:rPr>
        <w:t>for the proposed amendments</w:t>
      </w:r>
      <w:r w:rsidR="0066798A">
        <w:rPr>
          <w:sz w:val="24"/>
          <w:szCs w:val="24"/>
        </w:rPr>
        <w:t xml:space="preserve"> </w:t>
      </w:r>
      <w:r w:rsidR="00073D20">
        <w:rPr>
          <w:sz w:val="24"/>
          <w:szCs w:val="24"/>
        </w:rPr>
        <w:t>are</w:t>
      </w:r>
      <w:r w:rsidR="0066798A">
        <w:rPr>
          <w:sz w:val="24"/>
          <w:szCs w:val="24"/>
        </w:rPr>
        <w:t xml:space="preserve"> </w:t>
      </w:r>
      <w:r w:rsidR="0066798A" w:rsidRPr="00374E99">
        <w:rPr>
          <w:sz w:val="24"/>
          <w:szCs w:val="24"/>
        </w:rPr>
        <w:t>$</w:t>
      </w:r>
      <w:r w:rsidR="00C1720F">
        <w:rPr>
          <w:sz w:val="24"/>
          <w:szCs w:val="24"/>
        </w:rPr>
        <w:t>1,</w:t>
      </w:r>
      <w:r w:rsidR="00F559CD">
        <w:rPr>
          <w:sz w:val="24"/>
          <w:szCs w:val="24"/>
        </w:rPr>
        <w:t>200,000</w:t>
      </w:r>
      <w:r w:rsidR="00374E99">
        <w:rPr>
          <w:sz w:val="24"/>
          <w:szCs w:val="24"/>
        </w:rPr>
        <w:t xml:space="preserve"> for a total estimated annualized costs (</w:t>
      </w:r>
      <w:r w:rsidR="002D1D88">
        <w:rPr>
          <w:sz w:val="24"/>
          <w:szCs w:val="24"/>
        </w:rPr>
        <w:t xml:space="preserve">annualized </w:t>
      </w:r>
      <w:r w:rsidR="00374E99">
        <w:rPr>
          <w:sz w:val="24"/>
          <w:szCs w:val="24"/>
        </w:rPr>
        <w:t>capital and O&amp;M) of $1,</w:t>
      </w:r>
      <w:r w:rsidR="00F559CD">
        <w:rPr>
          <w:sz w:val="24"/>
          <w:szCs w:val="24"/>
        </w:rPr>
        <w:t>711,000</w:t>
      </w:r>
      <w:r w:rsidR="0066798A">
        <w:rPr>
          <w:sz w:val="24"/>
          <w:szCs w:val="24"/>
        </w:rPr>
        <w:t>.</w:t>
      </w:r>
    </w:p>
    <w:p w:rsidR="00B1351A" w:rsidRPr="00C368ED" w:rsidRDefault="00B1351A" w:rsidP="00746289">
      <w:pPr>
        <w:widowControl/>
        <w:spacing w:line="360" w:lineRule="auto"/>
        <w:rPr>
          <w:sz w:val="24"/>
          <w:szCs w:val="24"/>
        </w:rPr>
      </w:pPr>
      <w:r w:rsidRPr="00476BC3">
        <w:rPr>
          <w:sz w:val="24"/>
          <w:szCs w:val="24"/>
        </w:rPr>
        <w:tab/>
      </w:r>
      <w:r w:rsidRPr="00476BC3">
        <w:rPr>
          <w:i/>
          <w:iCs/>
          <w:sz w:val="24"/>
          <w:szCs w:val="24"/>
        </w:rPr>
        <w:t>(ii)</w:t>
      </w:r>
      <w:r w:rsidR="00576C21">
        <w:rPr>
          <w:i/>
          <w:iCs/>
          <w:sz w:val="24"/>
          <w:szCs w:val="24"/>
        </w:rPr>
        <w:t xml:space="preserve"> </w:t>
      </w:r>
      <w:r w:rsidRPr="00476BC3">
        <w:rPr>
          <w:i/>
          <w:iCs/>
          <w:sz w:val="24"/>
          <w:szCs w:val="24"/>
        </w:rPr>
        <w:t>The Agency tally.</w:t>
      </w:r>
      <w:r w:rsidR="00576C21">
        <w:rPr>
          <w:sz w:val="24"/>
          <w:szCs w:val="24"/>
        </w:rPr>
        <w:t xml:space="preserve"> </w:t>
      </w:r>
      <w:r w:rsidRPr="0066798A">
        <w:rPr>
          <w:sz w:val="24"/>
          <w:szCs w:val="24"/>
        </w:rPr>
        <w:t xml:space="preserve">The </w:t>
      </w:r>
      <w:r w:rsidR="006944FE" w:rsidRPr="0066798A">
        <w:rPr>
          <w:sz w:val="24"/>
          <w:szCs w:val="24"/>
        </w:rPr>
        <w:t>average</w:t>
      </w:r>
      <w:r w:rsidR="004F7032" w:rsidRPr="0066798A">
        <w:rPr>
          <w:sz w:val="24"/>
          <w:szCs w:val="24"/>
        </w:rPr>
        <w:t xml:space="preserve"> </w:t>
      </w:r>
      <w:r w:rsidRPr="0066798A">
        <w:rPr>
          <w:sz w:val="24"/>
          <w:szCs w:val="24"/>
        </w:rPr>
        <w:t>annual Federal Go</w:t>
      </w:r>
      <w:r w:rsidR="003E305D" w:rsidRPr="0066798A">
        <w:rPr>
          <w:sz w:val="24"/>
          <w:szCs w:val="24"/>
        </w:rPr>
        <w:t xml:space="preserve">vernment cost is </w:t>
      </w:r>
      <w:r w:rsidR="003E305D" w:rsidRPr="00374E99">
        <w:rPr>
          <w:sz w:val="24"/>
          <w:szCs w:val="24"/>
        </w:rPr>
        <w:t>$</w:t>
      </w:r>
      <w:r w:rsidR="00374E99" w:rsidRPr="00374E99">
        <w:rPr>
          <w:sz w:val="24"/>
          <w:szCs w:val="24"/>
        </w:rPr>
        <w:t>12,231</w:t>
      </w:r>
      <w:r w:rsidR="0066798A" w:rsidRPr="00374E99">
        <w:rPr>
          <w:sz w:val="24"/>
          <w:szCs w:val="24"/>
        </w:rPr>
        <w:t xml:space="preserve"> </w:t>
      </w:r>
      <w:r w:rsidR="003E305D" w:rsidRPr="00374E99">
        <w:rPr>
          <w:sz w:val="24"/>
          <w:szCs w:val="24"/>
        </w:rPr>
        <w:t xml:space="preserve">for </w:t>
      </w:r>
      <w:r w:rsidR="00374E99">
        <w:rPr>
          <w:sz w:val="24"/>
          <w:szCs w:val="24"/>
        </w:rPr>
        <w:t>271</w:t>
      </w:r>
      <w:r w:rsidR="0066798A" w:rsidRPr="0066798A">
        <w:rPr>
          <w:sz w:val="24"/>
          <w:szCs w:val="24"/>
        </w:rPr>
        <w:t xml:space="preserve"> </w:t>
      </w:r>
      <w:r w:rsidRPr="0066798A">
        <w:rPr>
          <w:sz w:val="24"/>
          <w:szCs w:val="24"/>
        </w:rPr>
        <w:t>hours</w:t>
      </w:r>
      <w:r w:rsidR="006944FE" w:rsidRPr="0066798A">
        <w:rPr>
          <w:sz w:val="24"/>
          <w:szCs w:val="24"/>
        </w:rPr>
        <w:t xml:space="preserve"> for </w:t>
      </w:r>
      <w:r w:rsidR="00586EDE" w:rsidRPr="0066798A">
        <w:rPr>
          <w:sz w:val="24"/>
          <w:szCs w:val="24"/>
        </w:rPr>
        <w:t xml:space="preserve">the proposed amendments to </w:t>
      </w:r>
      <w:r w:rsidR="006944FE" w:rsidRPr="0066798A">
        <w:rPr>
          <w:sz w:val="24"/>
          <w:szCs w:val="24"/>
        </w:rPr>
        <w:t xml:space="preserve">subpart </w:t>
      </w:r>
      <w:r w:rsidR="00374E99">
        <w:rPr>
          <w:sz w:val="24"/>
          <w:szCs w:val="24"/>
        </w:rPr>
        <w:t>RRR</w:t>
      </w:r>
      <w:r w:rsidR="00C368ED" w:rsidRPr="0066798A">
        <w:rPr>
          <w:sz w:val="24"/>
          <w:szCs w:val="24"/>
        </w:rPr>
        <w:t>.</w:t>
      </w:r>
      <w:r w:rsidR="00576C21">
        <w:rPr>
          <w:sz w:val="24"/>
          <w:szCs w:val="24"/>
        </w:rPr>
        <w:t xml:space="preserve"> </w:t>
      </w:r>
      <w:r w:rsidRPr="0066798A">
        <w:rPr>
          <w:sz w:val="24"/>
          <w:szCs w:val="24"/>
        </w:rPr>
        <w:t xml:space="preserve">The bottom line Agency burden hours and costs presented in Table </w:t>
      </w:r>
      <w:r w:rsidR="00E72FA9" w:rsidRPr="0066798A">
        <w:rPr>
          <w:sz w:val="24"/>
          <w:szCs w:val="24"/>
        </w:rPr>
        <w:t xml:space="preserve">4 </w:t>
      </w:r>
      <w:r w:rsidRPr="0066798A">
        <w:rPr>
          <w:sz w:val="24"/>
          <w:szCs w:val="24"/>
        </w:rPr>
        <w:t>are calculated by adding person-hours per year down each column for technical, managerial and clerical staff and by adding down the cost column.</w:t>
      </w:r>
    </w:p>
    <w:p w:rsidR="00B1351A" w:rsidRDefault="00B1351A">
      <w:pPr>
        <w:widowControl/>
        <w:spacing w:line="360" w:lineRule="auto"/>
        <w:rPr>
          <w:sz w:val="24"/>
          <w:szCs w:val="24"/>
        </w:rPr>
      </w:pPr>
      <w:r w:rsidRPr="00C368ED">
        <w:rPr>
          <w:sz w:val="24"/>
          <w:szCs w:val="24"/>
        </w:rPr>
        <w:tab/>
      </w:r>
      <w:r w:rsidRPr="00C368ED">
        <w:rPr>
          <w:i/>
          <w:iCs/>
          <w:sz w:val="24"/>
          <w:szCs w:val="24"/>
        </w:rPr>
        <w:t>(iii)</w:t>
      </w:r>
      <w:r w:rsidR="00576C21">
        <w:rPr>
          <w:i/>
          <w:iCs/>
          <w:sz w:val="24"/>
          <w:szCs w:val="24"/>
        </w:rPr>
        <w:t xml:space="preserve"> </w:t>
      </w:r>
      <w:r w:rsidRPr="00C368ED">
        <w:rPr>
          <w:i/>
          <w:iCs/>
          <w:sz w:val="24"/>
          <w:szCs w:val="24"/>
        </w:rPr>
        <w:t>Variations in the annual bottom line.</w:t>
      </w:r>
      <w:r w:rsidR="00576C21">
        <w:rPr>
          <w:sz w:val="24"/>
          <w:szCs w:val="24"/>
        </w:rPr>
        <w:t xml:space="preserve"> </w:t>
      </w:r>
      <w:r w:rsidRPr="00C368ED">
        <w:rPr>
          <w:sz w:val="24"/>
          <w:szCs w:val="24"/>
        </w:rPr>
        <w:t>This section does not apply since no significant variation is anticipated.</w:t>
      </w:r>
    </w:p>
    <w:p w:rsidR="00B1351A" w:rsidRDefault="00B1351A">
      <w:pPr>
        <w:widowControl/>
        <w:spacing w:line="360" w:lineRule="auto"/>
        <w:rPr>
          <w:i/>
          <w:iCs/>
          <w:sz w:val="24"/>
          <w:szCs w:val="24"/>
        </w:rPr>
      </w:pPr>
      <w:r w:rsidRPr="00C368ED">
        <w:rPr>
          <w:i/>
          <w:iCs/>
          <w:sz w:val="24"/>
          <w:szCs w:val="24"/>
        </w:rPr>
        <w:t>(f)</w:t>
      </w:r>
      <w:r w:rsidRPr="00C368ED">
        <w:rPr>
          <w:i/>
          <w:iCs/>
          <w:sz w:val="24"/>
          <w:szCs w:val="24"/>
        </w:rPr>
        <w:tab/>
        <w:t>Reasons for Change in Burden.</w:t>
      </w:r>
    </w:p>
    <w:p w:rsidR="00DB381C" w:rsidRPr="00DB381C" w:rsidRDefault="00DB381C">
      <w:pPr>
        <w:widowControl/>
        <w:spacing w:line="360" w:lineRule="auto"/>
        <w:rPr>
          <w:sz w:val="24"/>
          <w:szCs w:val="24"/>
        </w:rPr>
      </w:pPr>
      <w:r>
        <w:rPr>
          <w:iCs/>
          <w:sz w:val="24"/>
          <w:szCs w:val="24"/>
        </w:rPr>
        <w:tab/>
      </w:r>
      <w:r w:rsidRPr="00481723">
        <w:rPr>
          <w:sz w:val="24"/>
          <w:szCs w:val="24"/>
        </w:rPr>
        <w:t>This ICR covers information collection requirements i</w:t>
      </w:r>
      <w:r>
        <w:rPr>
          <w:sz w:val="24"/>
          <w:szCs w:val="24"/>
        </w:rPr>
        <w:t xml:space="preserve">n the proposed amendments to the Secondary Aluminum NESHAP </w:t>
      </w:r>
      <w:r w:rsidRPr="00481723">
        <w:rPr>
          <w:sz w:val="24"/>
          <w:szCs w:val="24"/>
        </w:rPr>
        <w:t>(</w:t>
      </w:r>
      <w:r>
        <w:rPr>
          <w:sz w:val="24"/>
          <w:szCs w:val="24"/>
        </w:rPr>
        <w:t xml:space="preserve">40 CFR </w:t>
      </w:r>
      <w:proofErr w:type="gramStart"/>
      <w:r>
        <w:rPr>
          <w:sz w:val="24"/>
          <w:szCs w:val="24"/>
        </w:rPr>
        <w:t>part</w:t>
      </w:r>
      <w:proofErr w:type="gramEnd"/>
      <w:r>
        <w:rPr>
          <w:sz w:val="24"/>
          <w:szCs w:val="24"/>
        </w:rPr>
        <w:t xml:space="preserve"> 63, subpart RRR)</w:t>
      </w:r>
      <w:r w:rsidRPr="00481723">
        <w:rPr>
          <w:sz w:val="24"/>
          <w:szCs w:val="24"/>
        </w:rPr>
        <w:t>.</w:t>
      </w:r>
      <w:r>
        <w:rPr>
          <w:sz w:val="24"/>
          <w:szCs w:val="24"/>
        </w:rPr>
        <w:t xml:space="preserve">  </w:t>
      </w:r>
      <w:r w:rsidRPr="00A3496F">
        <w:rPr>
          <w:rFonts w:cs="Courier New"/>
          <w:sz w:val="24"/>
          <w:szCs w:val="24"/>
        </w:rPr>
        <w:t xml:space="preserve">Specifically, the proposed amendments would </w:t>
      </w:r>
      <w:r>
        <w:rPr>
          <w:rFonts w:cs="Courier New"/>
          <w:sz w:val="24"/>
          <w:szCs w:val="24"/>
        </w:rPr>
        <w:t xml:space="preserve">require selected affected sources to comply with the emissions limits at all times </w:t>
      </w:r>
      <w:r>
        <w:rPr>
          <w:rFonts w:cs="Courier New"/>
          <w:sz w:val="24"/>
          <w:szCs w:val="24"/>
        </w:rPr>
        <w:lastRenderedPageBreak/>
        <w:t>including</w:t>
      </w:r>
      <w:r w:rsidRPr="00A3496F">
        <w:rPr>
          <w:rFonts w:cs="Courier New"/>
          <w:sz w:val="24"/>
          <w:szCs w:val="24"/>
        </w:rPr>
        <w:t xml:space="preserve"> periods of startup and shutdown; add a definition of affirmative defense; add a requirement to report performance testing through the Electronic Reporting Tool (ERT); add provisions allowing owners and operators to change furnaces </w:t>
      </w:r>
      <w:r>
        <w:rPr>
          <w:rFonts w:cs="Courier New"/>
          <w:sz w:val="24"/>
          <w:szCs w:val="24"/>
        </w:rPr>
        <w:t>classifications</w:t>
      </w:r>
      <w:r w:rsidRPr="00A3496F">
        <w:rPr>
          <w:rFonts w:cs="Courier New"/>
          <w:sz w:val="24"/>
          <w:szCs w:val="24"/>
        </w:rPr>
        <w:t>; add requirements to test uncontrolled furnaces; add requirements to test for hydrogen fluoride; add operating requirements such as monitoring of lime injection rates; and make corrections and clarifications to the applicability, definitions, operating, monitoring, and performance testing requirements.</w:t>
      </w:r>
    </w:p>
    <w:p w:rsidR="00561302" w:rsidRPr="00B52025" w:rsidRDefault="005643EB" w:rsidP="00180C9F">
      <w:pPr>
        <w:pBdr>
          <w:top w:val="single" w:sz="6" w:space="0" w:color="FFFFFF"/>
          <w:left w:val="single" w:sz="6" w:space="0" w:color="FFFFFF"/>
          <w:bottom w:val="single" w:sz="6" w:space="0" w:color="FFFFFF"/>
          <w:right w:val="single" w:sz="6" w:space="0" w:color="FFFFFF"/>
        </w:pBdr>
        <w:spacing w:line="360" w:lineRule="auto"/>
        <w:ind w:firstLine="720"/>
        <w:rPr>
          <w:sz w:val="24"/>
          <w:szCs w:val="24"/>
        </w:rPr>
      </w:pPr>
      <w:r>
        <w:rPr>
          <w:sz w:val="24"/>
          <w:szCs w:val="24"/>
        </w:rPr>
        <w:t xml:space="preserve">The </w:t>
      </w:r>
      <w:r w:rsidR="00561302" w:rsidRPr="00B52025">
        <w:rPr>
          <w:sz w:val="24"/>
          <w:szCs w:val="24"/>
        </w:rPr>
        <w:t xml:space="preserve">EPA </w:t>
      </w:r>
      <w:r w:rsidR="00DB381C">
        <w:rPr>
          <w:sz w:val="24"/>
          <w:szCs w:val="24"/>
        </w:rPr>
        <w:t xml:space="preserve">also </w:t>
      </w:r>
      <w:r w:rsidR="00561302" w:rsidRPr="00B52025">
        <w:rPr>
          <w:sz w:val="24"/>
          <w:szCs w:val="24"/>
        </w:rPr>
        <w:t>provides an adjustment to this ICR that estimates the costs of the notification, recordkeeping and reporting requirements associated with the assertion of the affirmative defense.</w:t>
      </w:r>
      <w:r w:rsidR="00576C21">
        <w:rPr>
          <w:sz w:val="24"/>
          <w:szCs w:val="24"/>
        </w:rPr>
        <w:t xml:space="preserve"> </w:t>
      </w:r>
      <w:r>
        <w:rPr>
          <w:sz w:val="24"/>
          <w:szCs w:val="24"/>
        </w:rPr>
        <w:t xml:space="preserve">The </w:t>
      </w:r>
      <w:r w:rsidR="00561302" w:rsidRPr="00B52025">
        <w:rPr>
          <w:sz w:val="24"/>
          <w:szCs w:val="24"/>
        </w:rPr>
        <w:t>EPA’s estimate for the required notification, reports and records, including the root cause analysis, associated with a single incident totals approximately $3,</w:t>
      </w:r>
      <w:r w:rsidR="00604032" w:rsidRPr="00B52025">
        <w:rPr>
          <w:sz w:val="24"/>
          <w:szCs w:val="24"/>
        </w:rPr>
        <w:t>14</w:t>
      </w:r>
      <w:r w:rsidR="00154A05">
        <w:rPr>
          <w:sz w:val="24"/>
          <w:szCs w:val="24"/>
        </w:rPr>
        <w:t>2</w:t>
      </w:r>
      <w:r w:rsidR="00604032" w:rsidRPr="00B52025">
        <w:rPr>
          <w:sz w:val="24"/>
          <w:szCs w:val="24"/>
        </w:rPr>
        <w:t xml:space="preserve"> </w:t>
      </w:r>
      <w:r w:rsidR="00561302" w:rsidRPr="00B52025">
        <w:rPr>
          <w:sz w:val="24"/>
          <w:szCs w:val="24"/>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w:t>
      </w:r>
      <w:r>
        <w:rPr>
          <w:sz w:val="24"/>
          <w:szCs w:val="24"/>
        </w:rPr>
        <w:t xml:space="preserve">the </w:t>
      </w:r>
      <w:r w:rsidR="00561302" w:rsidRPr="00B52025">
        <w:rPr>
          <w:sz w:val="24"/>
          <w:szCs w:val="24"/>
        </w:rPr>
        <w:t>EPA.</w:t>
      </w:r>
    </w:p>
    <w:p w:rsidR="002179D0" w:rsidRPr="00F64D9D" w:rsidRDefault="002D1D88" w:rsidP="00B52025">
      <w:pPr>
        <w:widowControl/>
        <w:spacing w:line="360" w:lineRule="auto"/>
        <w:rPr>
          <w:i/>
          <w:iCs/>
          <w:sz w:val="24"/>
          <w:szCs w:val="24"/>
        </w:rPr>
      </w:pPr>
      <w:r w:rsidRPr="00B52025" w:rsidDel="002D1D88">
        <w:rPr>
          <w:sz w:val="24"/>
          <w:szCs w:val="24"/>
        </w:rPr>
        <w:t xml:space="preserve"> </w:t>
      </w:r>
      <w:r w:rsidR="00B1351A" w:rsidRPr="00F64D9D">
        <w:rPr>
          <w:i/>
          <w:iCs/>
          <w:sz w:val="24"/>
          <w:szCs w:val="24"/>
        </w:rPr>
        <w:t>(g)</w:t>
      </w:r>
      <w:r w:rsidR="00DC4234" w:rsidRPr="00F64D9D">
        <w:rPr>
          <w:i/>
          <w:iCs/>
          <w:sz w:val="24"/>
          <w:szCs w:val="24"/>
        </w:rPr>
        <w:tab/>
      </w:r>
      <w:r w:rsidR="00B1351A" w:rsidRPr="00F64D9D">
        <w:rPr>
          <w:i/>
          <w:iCs/>
          <w:sz w:val="24"/>
          <w:szCs w:val="24"/>
        </w:rPr>
        <w:t>Burden Statement</w:t>
      </w:r>
    </w:p>
    <w:p w:rsidR="009D0C20" w:rsidRPr="00F64D9D" w:rsidRDefault="00B1351A" w:rsidP="00F37A3B">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F34E0D">
        <w:rPr>
          <w:sz w:val="24"/>
          <w:szCs w:val="24"/>
        </w:rPr>
        <w:t>Secondary</w:t>
      </w:r>
      <w:r w:rsidR="00F34E0D" w:rsidRPr="00B11916">
        <w:rPr>
          <w:sz w:val="24"/>
          <w:szCs w:val="24"/>
        </w:rPr>
        <w:t xml:space="preserve"> Aluminum </w:t>
      </w:r>
      <w:r w:rsidR="00F34E0D">
        <w:rPr>
          <w:sz w:val="24"/>
          <w:szCs w:val="24"/>
        </w:rPr>
        <w:t>Production</w:t>
      </w:r>
      <w:r w:rsidR="00E40731" w:rsidRPr="00E40731">
        <w:rPr>
          <w:sz w:val="24"/>
          <w:szCs w:val="24"/>
        </w:rPr>
        <w:t xml:space="preserve"> NESHAP</w:t>
      </w:r>
      <w:r w:rsidR="00552CF0" w:rsidRPr="00476BC3">
        <w:rPr>
          <w:sz w:val="24"/>
          <w:szCs w:val="24"/>
        </w:rPr>
        <w:t xml:space="preserve"> </w:t>
      </w:r>
      <w:r w:rsidRPr="00476BC3">
        <w:rPr>
          <w:sz w:val="24"/>
          <w:szCs w:val="24"/>
        </w:rPr>
        <w:t>is estimated at</w:t>
      </w:r>
      <w:r w:rsidR="0066798A">
        <w:rPr>
          <w:sz w:val="24"/>
          <w:szCs w:val="24"/>
        </w:rPr>
        <w:t xml:space="preserve"> </w:t>
      </w:r>
      <w:r w:rsidR="00374E99">
        <w:rPr>
          <w:sz w:val="24"/>
          <w:szCs w:val="24"/>
        </w:rPr>
        <w:t>11</w:t>
      </w:r>
      <w:r w:rsidR="007C089C">
        <w:rPr>
          <w:sz w:val="24"/>
          <w:szCs w:val="24"/>
        </w:rPr>
        <w:t xml:space="preserve"> </w:t>
      </w:r>
      <w:r w:rsidR="00746289">
        <w:rPr>
          <w:sz w:val="24"/>
          <w:szCs w:val="24"/>
        </w:rPr>
        <w:t>p</w:t>
      </w:r>
      <w:r w:rsidR="00787436">
        <w:rPr>
          <w:sz w:val="24"/>
          <w:szCs w:val="24"/>
        </w:rPr>
        <w:t>erson-hours</w:t>
      </w:r>
      <w:r w:rsidR="0066798A">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w:t>
      </w:r>
      <w:r w:rsidR="00576C21">
        <w:rPr>
          <w:sz w:val="24"/>
          <w:szCs w:val="24"/>
        </w:rPr>
        <w:t xml:space="preserve"> </w:t>
      </w:r>
      <w:r w:rsidRPr="00F64D9D">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w:t>
      </w:r>
      <w:r w:rsidR="00576C21">
        <w:rPr>
          <w:sz w:val="24"/>
          <w:szCs w:val="24"/>
        </w:rPr>
        <w:t xml:space="preserve"> </w:t>
      </w:r>
      <w:r w:rsidRPr="00F64D9D">
        <w:rPr>
          <w:sz w:val="24"/>
          <w:szCs w:val="24"/>
        </w:rPr>
        <w:t xml:space="preserve">The OMB control numbers for </w:t>
      </w:r>
      <w:r w:rsidR="005643EB">
        <w:rPr>
          <w:sz w:val="24"/>
          <w:szCs w:val="24"/>
        </w:rPr>
        <w:t xml:space="preserve">the </w:t>
      </w:r>
      <w:r w:rsidRPr="00F64D9D">
        <w:rPr>
          <w:sz w:val="24"/>
          <w:szCs w:val="24"/>
        </w:rPr>
        <w:t>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180C9F">
      <w:pPr>
        <w:widowControl/>
        <w:spacing w:line="360" w:lineRule="auto"/>
        <w:rPr>
          <w:sz w:val="24"/>
          <w:szCs w:val="24"/>
        </w:rPr>
      </w:pPr>
      <w:r w:rsidRPr="00F64D9D">
        <w:rPr>
          <w:sz w:val="24"/>
          <w:szCs w:val="24"/>
        </w:rPr>
        <w:tab/>
        <w:t>To comment on the Agency’s need for this information</w:t>
      </w:r>
      <w:r w:rsidR="00787436">
        <w:rPr>
          <w:sz w:val="24"/>
          <w:szCs w:val="24"/>
        </w:rPr>
        <w:t>,</w:t>
      </w:r>
      <w:r w:rsidRPr="00F64D9D">
        <w:rPr>
          <w:sz w:val="24"/>
          <w:szCs w:val="24"/>
        </w:rPr>
        <w:t xml:space="preserve"> the accuracy of the provided burden estimates and any suggestions for minimizing respondent burden, including through the use of automated collection techniques, </w:t>
      </w:r>
      <w:r w:rsidR="005643EB">
        <w:rPr>
          <w:sz w:val="24"/>
          <w:szCs w:val="24"/>
        </w:rPr>
        <w:t xml:space="preserve">the </w:t>
      </w:r>
      <w:r w:rsidRPr="00F64D9D">
        <w:rPr>
          <w:sz w:val="24"/>
          <w:szCs w:val="24"/>
        </w:rPr>
        <w:t xml:space="preserve">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w:t>
      </w:r>
      <w:r w:rsidR="00180C9F" w:rsidRPr="00180C9F">
        <w:rPr>
          <w:sz w:val="24"/>
          <w:szCs w:val="24"/>
        </w:rPr>
        <w:t>20</w:t>
      </w:r>
      <w:r w:rsidR="00F34E0D">
        <w:rPr>
          <w:sz w:val="24"/>
          <w:szCs w:val="24"/>
        </w:rPr>
        <w:t>10</w:t>
      </w:r>
      <w:r w:rsidR="00180C9F" w:rsidRPr="00180C9F">
        <w:rPr>
          <w:sz w:val="24"/>
          <w:szCs w:val="24"/>
        </w:rPr>
        <w:t>-</w:t>
      </w:r>
      <w:r w:rsidR="00F34E0D">
        <w:rPr>
          <w:sz w:val="24"/>
          <w:szCs w:val="24"/>
        </w:rPr>
        <w:t>0544</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w:t>
      </w:r>
      <w:r w:rsidRPr="00F64D9D">
        <w:rPr>
          <w:sz w:val="24"/>
          <w:szCs w:val="24"/>
        </w:rPr>
        <w:lastRenderedPageBreak/>
        <w:t xml:space="preserve">(EPA/DC), EPA West, Room </w:t>
      </w:r>
      <w:r w:rsidR="00DB381C">
        <w:rPr>
          <w:sz w:val="24"/>
          <w:szCs w:val="24"/>
        </w:rPr>
        <w:t>3334</w:t>
      </w:r>
      <w:r w:rsidRPr="00F64D9D">
        <w:rPr>
          <w:sz w:val="24"/>
          <w:szCs w:val="24"/>
        </w:rPr>
        <w:t>, 1301 Constitution Ave., NW, Washington, DC.</w:t>
      </w:r>
      <w:r w:rsidR="00576C21">
        <w:rPr>
          <w:sz w:val="24"/>
          <w:szCs w:val="24"/>
        </w:rPr>
        <w:t xml:space="preserve"> </w:t>
      </w:r>
      <w:r w:rsidRPr="00F64D9D">
        <w:rPr>
          <w:sz w:val="24"/>
          <w:szCs w:val="24"/>
        </w:rPr>
        <w:t xml:space="preserve">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w:t>
      </w:r>
      <w:r w:rsidR="00576C21">
        <w:rPr>
          <w:sz w:val="24"/>
          <w:szCs w:val="24"/>
        </w:rPr>
        <w:t xml:space="preserve"> </w:t>
      </w:r>
      <w:r w:rsidRPr="00F64D9D">
        <w:rPr>
          <w:sz w:val="24"/>
          <w:szCs w:val="24"/>
        </w:rPr>
        <w:t>The telephone number for the Reading Room is (202) 566-1744, and the telephone number for the Air Docket is (202) 566-</w:t>
      </w:r>
      <w:r w:rsidR="00B83AB7" w:rsidRPr="00F64D9D">
        <w:rPr>
          <w:sz w:val="24"/>
          <w:szCs w:val="24"/>
        </w:rPr>
        <w:t>1</w:t>
      </w:r>
      <w:r w:rsidR="00DB381C">
        <w:rPr>
          <w:sz w:val="24"/>
          <w:szCs w:val="24"/>
        </w:rPr>
        <w:t>744</w:t>
      </w:r>
      <w:r w:rsidRPr="00F64D9D">
        <w:rPr>
          <w:sz w:val="24"/>
          <w:szCs w:val="24"/>
        </w:rPr>
        <w:t>.</w:t>
      </w:r>
      <w:r w:rsidR="00576C21">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00576C21">
        <w:rPr>
          <w:sz w:val="24"/>
          <w:szCs w:val="24"/>
        </w:rPr>
        <w:t xml:space="preserve"> </w:t>
      </w:r>
      <w:r w:rsidR="00B51173" w:rsidRPr="00F64D9D">
        <w:rPr>
          <w:color w:val="0F0F0F"/>
          <w:sz w:val="24"/>
          <w:szCs w:val="24"/>
        </w:rPr>
        <w:t>This site can be used to submit or view public comments, access the index listing of the contents of the public docket and to access those documents in the public docket that are available electronically.</w:t>
      </w:r>
      <w:r w:rsidR="00576C21">
        <w:rPr>
          <w:color w:val="0F0F0F"/>
          <w:sz w:val="24"/>
          <w:szCs w:val="24"/>
        </w:rPr>
        <w:t xml:space="preserve"> </w:t>
      </w:r>
      <w:r w:rsidR="00B51173" w:rsidRPr="00F64D9D">
        <w:rPr>
          <w:color w:val="0F0F0F"/>
          <w:sz w:val="24"/>
          <w:szCs w:val="24"/>
        </w:rPr>
        <w:t>When in the system, select “search,” then key in the Docket ID Number identified above.</w:t>
      </w:r>
      <w:r w:rsidR="00576C21">
        <w:rPr>
          <w:color w:val="0F0F0F"/>
          <w:sz w:val="24"/>
          <w:szCs w:val="24"/>
        </w:rPr>
        <w:t xml:space="preser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Attention Desk Officer for EPA.</w:t>
      </w:r>
      <w:r w:rsidR="00576C21">
        <w:rPr>
          <w:sz w:val="24"/>
          <w:szCs w:val="24"/>
        </w:rPr>
        <w:t xml:space="preserve"> </w:t>
      </w:r>
      <w:r w:rsidRPr="00F64D9D">
        <w:rPr>
          <w:sz w:val="24"/>
          <w:szCs w:val="24"/>
        </w:rPr>
        <w:t xml:space="preserve">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1B6E9C" w:rsidRPr="00F64D9D">
        <w:rPr>
          <w:sz w:val="24"/>
          <w:szCs w:val="24"/>
        </w:rPr>
        <w:t>(</w:t>
      </w:r>
      <w:r w:rsidR="00083394" w:rsidRPr="00083394">
        <w:rPr>
          <w:sz w:val="24"/>
          <w:szCs w:val="24"/>
        </w:rPr>
        <w:t>EPA-HQ-OAR-</w:t>
      </w:r>
      <w:r w:rsidR="00180C9F" w:rsidRPr="00180C9F">
        <w:rPr>
          <w:sz w:val="24"/>
          <w:szCs w:val="24"/>
        </w:rPr>
        <w:t>201</w:t>
      </w:r>
      <w:r w:rsidR="00DB381C">
        <w:rPr>
          <w:sz w:val="24"/>
          <w:szCs w:val="24"/>
        </w:rPr>
        <w:t>0</w:t>
      </w:r>
      <w:r w:rsidR="00180C9F" w:rsidRPr="00180C9F">
        <w:rPr>
          <w:sz w:val="24"/>
          <w:szCs w:val="24"/>
        </w:rPr>
        <w:t>-0</w:t>
      </w:r>
      <w:r w:rsidR="00DB381C">
        <w:rPr>
          <w:sz w:val="24"/>
          <w:szCs w:val="24"/>
        </w:rPr>
        <w:t>544</w:t>
      </w:r>
      <w:r w:rsidR="00FC51F8" w:rsidRPr="00F64D9D">
        <w:rPr>
          <w:sz w:val="24"/>
        </w:rPr>
        <w:t>)</w:t>
      </w:r>
      <w:r w:rsidR="008151E9" w:rsidRPr="00F64D9D">
        <w:rPr>
          <w:sz w:val="24"/>
        </w:rPr>
        <w:t xml:space="preserve"> </w:t>
      </w:r>
      <w:r w:rsidR="00DB381C">
        <w:rPr>
          <w:sz w:val="24"/>
        </w:rPr>
        <w:t xml:space="preserve">and OMB Control Number (2060-NEW)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Default="00B1351A">
      <w:pPr>
        <w:widowControl/>
        <w:spacing w:line="360" w:lineRule="auto"/>
        <w:rPr>
          <w:sz w:val="24"/>
          <w:szCs w:val="24"/>
        </w:r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6A1E41" w:rsidRDefault="006A1E41">
      <w:pPr>
        <w:widowControl/>
        <w:spacing w:line="360" w:lineRule="auto"/>
        <w:rPr>
          <w:sz w:val="24"/>
          <w:szCs w:val="24"/>
        </w:rPr>
      </w:pPr>
    </w:p>
    <w:p w:rsidR="006A1E41" w:rsidRPr="00F64D9D" w:rsidRDefault="006A1E41">
      <w:pPr>
        <w:widowControl/>
        <w:spacing w:line="360" w:lineRule="auto"/>
        <w:rPr>
          <w:sz w:val="24"/>
          <w:szCs w:val="24"/>
        </w:rPr>
        <w:sectPr w:rsidR="006A1E41" w:rsidRPr="00F64D9D" w:rsidSect="00BD741C">
          <w:headerReference w:type="default" r:id="rId12"/>
          <w:footerReference w:type="even" r:id="rId13"/>
          <w:footerReference w:type="default" r:id="rId14"/>
          <w:footerReference w:type="first" r:id="rId15"/>
          <w:endnotePr>
            <w:numFmt w:val="decimal"/>
          </w:endnotePr>
          <w:pgSz w:w="12240" w:h="15840" w:code="1"/>
          <w:pgMar w:top="1080" w:right="1080" w:bottom="1080" w:left="1080" w:header="576" w:footer="576" w:gutter="0"/>
          <w:cols w:space="720"/>
          <w:noEndnote/>
        </w:sectPr>
      </w:pPr>
    </w:p>
    <w:p w:rsidR="00B1351A" w:rsidRPr="00F64D9D" w:rsidRDefault="009F2CCA" w:rsidP="00515F13">
      <w:pPr>
        <w:widowControl/>
        <w:spacing w:after="240"/>
        <w:rPr>
          <w:b/>
        </w:rPr>
      </w:pPr>
      <w:proofErr w:type="gramStart"/>
      <w:r w:rsidRPr="00F64D9D">
        <w:rPr>
          <w:b/>
        </w:rPr>
        <w:lastRenderedPageBreak/>
        <w:t xml:space="preserve">TABLE </w:t>
      </w:r>
      <w:r w:rsidR="00E72FA9">
        <w:rPr>
          <w:b/>
        </w:rPr>
        <w:t>3</w:t>
      </w:r>
      <w:r w:rsidR="00492F0C" w:rsidRPr="00F64D9D">
        <w:rPr>
          <w:b/>
        </w:rPr>
        <w:t>.</w:t>
      </w:r>
      <w:proofErr w:type="gramEnd"/>
      <w:r w:rsidR="00576C21">
        <w:rPr>
          <w:b/>
        </w:rPr>
        <w:t xml:space="preserve"> </w:t>
      </w:r>
      <w:r w:rsidR="00492F0C" w:rsidRPr="00F64D9D">
        <w:rPr>
          <w:b/>
        </w:rPr>
        <w:t>ANNUAL RESPONDENT BURDEN AND COST</w:t>
      </w:r>
      <w:r w:rsidR="0024165E">
        <w:rPr>
          <w:b/>
        </w:rPr>
        <w:t xml:space="preserve"> </w:t>
      </w:r>
      <w:r w:rsidR="00956636">
        <w:rPr>
          <w:b/>
        </w:rPr>
        <w:t>-</w:t>
      </w:r>
      <w:r w:rsidR="00FE2BE0">
        <w:rPr>
          <w:b/>
        </w:rPr>
        <w:t xml:space="preserve"> </w:t>
      </w:r>
      <w:r w:rsidR="00F64D9D" w:rsidRPr="00F64D9D">
        <w:rPr>
          <w:b/>
        </w:rPr>
        <w:t xml:space="preserve">AMENDMENTS TO </w:t>
      </w:r>
      <w:r w:rsidR="00180C9F">
        <w:rPr>
          <w:b/>
        </w:rPr>
        <w:t>PRIMARY ALUMINUM</w:t>
      </w:r>
      <w:r w:rsidR="00F64D9D" w:rsidRPr="00F64D9D">
        <w:rPr>
          <w:b/>
        </w:rPr>
        <w:t xml:space="preserve"> </w:t>
      </w:r>
      <w:r w:rsidR="00492F0C" w:rsidRPr="00F64D9D">
        <w:rPr>
          <w:b/>
        </w:rPr>
        <w:t>NESHAP</w:t>
      </w:r>
      <w:r w:rsidR="00180C9F" w:rsidRPr="00180C9F">
        <w:rPr>
          <w:rFonts w:ascii="Times New Roman Bold" w:hAnsi="Times New Roman Bold"/>
          <w:b/>
          <w:vertAlign w:val="superscript"/>
        </w:rPr>
        <w:t>a</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3F2241" w:rsidTr="006A1E41">
        <w:tblPrEx>
          <w:tblCellMar>
            <w:top w:w="0" w:type="dxa"/>
            <w:bottom w:w="0" w:type="dxa"/>
          </w:tblCellMar>
        </w:tblPrEx>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3F2241" w:rsidRDefault="00B1351A" w:rsidP="00E648D9">
            <w:pPr>
              <w:widowControl/>
              <w:jc w:val="center"/>
              <w:rPr>
                <w:b/>
                <w:bCs/>
                <w:color w:val="000000"/>
                <w:sz w:val="18"/>
                <w:szCs w:val="18"/>
              </w:rPr>
            </w:pPr>
            <w:bookmarkStart w:id="0" w:name="OLE_LINK1"/>
            <w:bookmarkStart w:id="1" w:name="OLE_LINK2"/>
            <w:bookmarkStart w:id="2" w:name="OLE_LINK3"/>
            <w:r w:rsidRPr="003F2241">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tcPr>
          <w:p w:rsidR="009C542F" w:rsidRPr="003F2241" w:rsidRDefault="006A1E41" w:rsidP="006A1E41">
            <w:pPr>
              <w:widowControl/>
              <w:jc w:val="center"/>
              <w:rPr>
                <w:b/>
                <w:bCs/>
                <w:color w:val="000000"/>
                <w:sz w:val="18"/>
                <w:szCs w:val="18"/>
              </w:rPr>
            </w:pPr>
            <w:r w:rsidRPr="003F2241">
              <w:rPr>
                <w:b/>
                <w:bCs/>
                <w:color w:val="000000"/>
                <w:sz w:val="18"/>
                <w:szCs w:val="18"/>
              </w:rPr>
              <w:t>(A)</w:t>
            </w:r>
          </w:p>
          <w:p w:rsidR="00B1351A" w:rsidRPr="003F2241" w:rsidRDefault="00B1351A" w:rsidP="006A1E41">
            <w:pPr>
              <w:widowControl/>
              <w:jc w:val="center"/>
              <w:rPr>
                <w:b/>
                <w:bCs/>
                <w:color w:val="000000"/>
                <w:sz w:val="18"/>
                <w:szCs w:val="18"/>
              </w:rPr>
            </w:pPr>
            <w:r w:rsidRPr="003F2241">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tcPr>
          <w:p w:rsidR="009C542F" w:rsidRPr="003F2241" w:rsidRDefault="00B1351A" w:rsidP="006A1E41">
            <w:pPr>
              <w:widowControl/>
              <w:jc w:val="center"/>
              <w:rPr>
                <w:b/>
                <w:bCs/>
                <w:color w:val="000000"/>
                <w:sz w:val="18"/>
                <w:szCs w:val="18"/>
              </w:rPr>
            </w:pPr>
            <w:r w:rsidRPr="003F2241">
              <w:rPr>
                <w:b/>
                <w:bCs/>
                <w:color w:val="000000"/>
                <w:sz w:val="18"/>
                <w:szCs w:val="18"/>
              </w:rPr>
              <w:t>(B)</w:t>
            </w:r>
          </w:p>
          <w:p w:rsidR="00B1351A" w:rsidRPr="003F2241" w:rsidRDefault="00B1351A" w:rsidP="006A1E41">
            <w:pPr>
              <w:widowControl/>
              <w:jc w:val="center"/>
              <w:rPr>
                <w:b/>
                <w:bCs/>
                <w:color w:val="000000"/>
                <w:sz w:val="18"/>
                <w:szCs w:val="18"/>
              </w:rPr>
            </w:pPr>
            <w:r w:rsidRPr="003F2241">
              <w:rPr>
                <w:b/>
                <w:bCs/>
                <w:color w:val="000000"/>
                <w:sz w:val="18"/>
                <w:szCs w:val="18"/>
              </w:rPr>
              <w:t xml:space="preserve">No. of </w:t>
            </w:r>
            <w:r w:rsidR="00DA5FD7" w:rsidRPr="003F2241">
              <w:rPr>
                <w:b/>
                <w:bCs/>
                <w:color w:val="000000"/>
                <w:sz w:val="18"/>
                <w:szCs w:val="18"/>
              </w:rPr>
              <w:t>occurrences per</w:t>
            </w:r>
            <w:r w:rsidRPr="003F2241">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tcPr>
          <w:p w:rsidR="009C542F" w:rsidRPr="003F2241" w:rsidRDefault="006A1E41" w:rsidP="006A1E41">
            <w:pPr>
              <w:widowControl/>
              <w:jc w:val="center"/>
              <w:rPr>
                <w:b/>
                <w:bCs/>
                <w:color w:val="000000"/>
                <w:sz w:val="18"/>
                <w:szCs w:val="18"/>
              </w:rPr>
            </w:pPr>
            <w:r w:rsidRPr="003F2241">
              <w:rPr>
                <w:b/>
                <w:bCs/>
                <w:color w:val="000000"/>
                <w:sz w:val="18"/>
                <w:szCs w:val="18"/>
              </w:rPr>
              <w:t>(C)</w:t>
            </w:r>
          </w:p>
          <w:p w:rsidR="00B1351A" w:rsidRPr="003F2241" w:rsidRDefault="00B1351A" w:rsidP="006A1E41">
            <w:pPr>
              <w:widowControl/>
              <w:jc w:val="center"/>
              <w:rPr>
                <w:b/>
                <w:bCs/>
                <w:color w:val="000000"/>
                <w:sz w:val="18"/>
                <w:szCs w:val="18"/>
              </w:rPr>
            </w:pPr>
            <w:r w:rsidRPr="003F2241">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tcPr>
          <w:p w:rsidR="006A1E41" w:rsidRPr="003F2241" w:rsidRDefault="006A1E41" w:rsidP="006A1E41">
            <w:pPr>
              <w:widowControl/>
              <w:jc w:val="center"/>
              <w:rPr>
                <w:b/>
                <w:bCs/>
                <w:color w:val="000000"/>
                <w:sz w:val="18"/>
                <w:szCs w:val="18"/>
              </w:rPr>
            </w:pPr>
            <w:r w:rsidRPr="003F2241">
              <w:rPr>
                <w:b/>
                <w:bCs/>
                <w:color w:val="000000"/>
                <w:sz w:val="18"/>
                <w:szCs w:val="18"/>
              </w:rPr>
              <w:t>(D)</w:t>
            </w:r>
          </w:p>
          <w:p w:rsidR="00B1351A" w:rsidRPr="003F2241" w:rsidRDefault="00B1351A" w:rsidP="006A1E41">
            <w:pPr>
              <w:widowControl/>
              <w:jc w:val="center"/>
              <w:rPr>
                <w:b/>
                <w:bCs/>
                <w:color w:val="000000"/>
                <w:sz w:val="18"/>
                <w:szCs w:val="18"/>
              </w:rPr>
            </w:pPr>
            <w:r w:rsidRPr="003F2241">
              <w:rPr>
                <w:b/>
                <w:bCs/>
                <w:color w:val="000000"/>
                <w:sz w:val="18"/>
                <w:szCs w:val="18"/>
              </w:rPr>
              <w:t>Respondents per year</w:t>
            </w:r>
          </w:p>
        </w:tc>
        <w:tc>
          <w:tcPr>
            <w:tcW w:w="1170" w:type="dxa"/>
            <w:tcBorders>
              <w:top w:val="double" w:sz="6" w:space="0" w:color="auto"/>
              <w:left w:val="single" w:sz="2" w:space="0" w:color="auto"/>
              <w:bottom w:val="single" w:sz="2" w:space="0" w:color="auto"/>
              <w:right w:val="single" w:sz="2" w:space="0" w:color="auto"/>
            </w:tcBorders>
          </w:tcPr>
          <w:p w:rsidR="009C542F" w:rsidRPr="003F2241" w:rsidRDefault="006A1E41" w:rsidP="006A1E41">
            <w:pPr>
              <w:widowControl/>
              <w:jc w:val="center"/>
              <w:rPr>
                <w:b/>
                <w:bCs/>
                <w:color w:val="000000"/>
                <w:sz w:val="18"/>
                <w:szCs w:val="18"/>
              </w:rPr>
            </w:pPr>
            <w:r w:rsidRPr="003F2241">
              <w:rPr>
                <w:b/>
                <w:bCs/>
                <w:color w:val="000000"/>
                <w:sz w:val="18"/>
                <w:szCs w:val="18"/>
              </w:rPr>
              <w:t>(E)</w:t>
            </w:r>
          </w:p>
          <w:p w:rsidR="00B1351A" w:rsidRPr="003F2241" w:rsidRDefault="00B1351A" w:rsidP="006A1E41">
            <w:pPr>
              <w:widowControl/>
              <w:jc w:val="center"/>
              <w:rPr>
                <w:b/>
                <w:bCs/>
                <w:color w:val="000000"/>
                <w:sz w:val="18"/>
                <w:szCs w:val="18"/>
              </w:rPr>
            </w:pPr>
            <w:r w:rsidRPr="003F2241">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tcPr>
          <w:p w:rsidR="009C542F" w:rsidRPr="003F2241" w:rsidRDefault="006A1E41" w:rsidP="006A1E41">
            <w:pPr>
              <w:widowControl/>
              <w:jc w:val="center"/>
              <w:rPr>
                <w:b/>
                <w:bCs/>
                <w:color w:val="000000"/>
                <w:sz w:val="18"/>
                <w:szCs w:val="18"/>
              </w:rPr>
            </w:pPr>
            <w:r w:rsidRPr="003F2241">
              <w:rPr>
                <w:b/>
                <w:bCs/>
                <w:color w:val="000000"/>
                <w:sz w:val="18"/>
                <w:szCs w:val="18"/>
              </w:rPr>
              <w:t>(F)</w:t>
            </w:r>
          </w:p>
          <w:p w:rsidR="00B1351A" w:rsidRPr="003F2241" w:rsidRDefault="00B1351A" w:rsidP="006A1E41">
            <w:pPr>
              <w:widowControl/>
              <w:jc w:val="center"/>
              <w:rPr>
                <w:b/>
                <w:bCs/>
                <w:color w:val="000000"/>
                <w:sz w:val="18"/>
                <w:szCs w:val="18"/>
              </w:rPr>
            </w:pPr>
            <w:r w:rsidRPr="003F2241">
              <w:rPr>
                <w:b/>
                <w:bCs/>
                <w:color w:val="000000"/>
                <w:sz w:val="18"/>
                <w:szCs w:val="18"/>
              </w:rPr>
              <w:t>Management person-hours per year</w:t>
            </w:r>
          </w:p>
          <w:p w:rsidR="00B1351A" w:rsidRPr="003F2241" w:rsidRDefault="00B1351A" w:rsidP="006A1E41">
            <w:pPr>
              <w:widowControl/>
              <w:jc w:val="center"/>
              <w:rPr>
                <w:b/>
                <w:bCs/>
                <w:color w:val="000000"/>
                <w:sz w:val="18"/>
                <w:szCs w:val="18"/>
              </w:rPr>
            </w:pPr>
            <w:r w:rsidRPr="003F2241">
              <w:rPr>
                <w:b/>
                <w:bCs/>
                <w:color w:val="000000"/>
                <w:sz w:val="18"/>
                <w:szCs w:val="18"/>
              </w:rPr>
              <w:t>(E*0.05)</w:t>
            </w:r>
          </w:p>
        </w:tc>
        <w:tc>
          <w:tcPr>
            <w:tcW w:w="1080" w:type="dxa"/>
            <w:tcBorders>
              <w:top w:val="double" w:sz="6" w:space="0" w:color="auto"/>
              <w:left w:val="single" w:sz="2" w:space="0" w:color="auto"/>
              <w:bottom w:val="single" w:sz="2" w:space="0" w:color="auto"/>
              <w:right w:val="single" w:sz="2" w:space="0" w:color="auto"/>
            </w:tcBorders>
          </w:tcPr>
          <w:p w:rsidR="009C542F" w:rsidRPr="003F2241" w:rsidRDefault="006A1E41" w:rsidP="006A1E41">
            <w:pPr>
              <w:widowControl/>
              <w:jc w:val="center"/>
              <w:rPr>
                <w:b/>
                <w:bCs/>
                <w:color w:val="000000"/>
                <w:sz w:val="18"/>
                <w:szCs w:val="18"/>
              </w:rPr>
            </w:pPr>
            <w:r w:rsidRPr="003F2241">
              <w:rPr>
                <w:b/>
                <w:bCs/>
                <w:color w:val="000000"/>
                <w:sz w:val="18"/>
                <w:szCs w:val="18"/>
              </w:rPr>
              <w:t>(G)</w:t>
            </w:r>
          </w:p>
          <w:p w:rsidR="00B1351A" w:rsidRPr="003F2241" w:rsidRDefault="00B1351A" w:rsidP="006A1E41">
            <w:pPr>
              <w:widowControl/>
              <w:jc w:val="center"/>
              <w:rPr>
                <w:b/>
                <w:bCs/>
                <w:color w:val="000000"/>
                <w:sz w:val="18"/>
                <w:szCs w:val="18"/>
              </w:rPr>
            </w:pPr>
            <w:r w:rsidRPr="003F2241">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tcPr>
          <w:p w:rsidR="009C542F" w:rsidRPr="003F2241" w:rsidRDefault="006A1E41" w:rsidP="006A1E41">
            <w:pPr>
              <w:widowControl/>
              <w:ind w:right="-30"/>
              <w:jc w:val="center"/>
              <w:rPr>
                <w:b/>
                <w:bCs/>
                <w:color w:val="000000"/>
                <w:sz w:val="18"/>
                <w:szCs w:val="18"/>
              </w:rPr>
            </w:pPr>
            <w:r w:rsidRPr="003F2241">
              <w:rPr>
                <w:b/>
                <w:bCs/>
                <w:color w:val="000000"/>
                <w:sz w:val="18"/>
                <w:szCs w:val="18"/>
              </w:rPr>
              <w:t>(H)</w:t>
            </w:r>
          </w:p>
          <w:p w:rsidR="00B1351A" w:rsidRPr="003F2241" w:rsidRDefault="00B1351A" w:rsidP="006A1E41">
            <w:pPr>
              <w:widowControl/>
              <w:ind w:right="-30"/>
              <w:jc w:val="center"/>
              <w:rPr>
                <w:b/>
                <w:bCs/>
                <w:color w:val="000000"/>
                <w:sz w:val="18"/>
                <w:szCs w:val="18"/>
              </w:rPr>
            </w:pPr>
            <w:r w:rsidRPr="003F2241">
              <w:rPr>
                <w:b/>
                <w:bCs/>
                <w:color w:val="000000"/>
                <w:sz w:val="18"/>
                <w:szCs w:val="18"/>
              </w:rPr>
              <w:t>Cost</w:t>
            </w:r>
            <w:r w:rsidR="005F05FD" w:rsidRPr="003F2241">
              <w:rPr>
                <w:b/>
                <w:bCs/>
                <w:color w:val="000000"/>
                <w:sz w:val="18"/>
                <w:szCs w:val="18"/>
                <w:vertAlign w:val="superscript"/>
              </w:rPr>
              <w:t>a</w:t>
            </w:r>
            <w:r w:rsidRPr="003F2241">
              <w:rPr>
                <w:b/>
                <w:bCs/>
                <w:color w:val="000000"/>
                <w:sz w:val="18"/>
                <w:szCs w:val="18"/>
              </w:rPr>
              <w:t>, $</w:t>
            </w:r>
          </w:p>
        </w:tc>
      </w:tr>
      <w:tr w:rsidR="00B1351A"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3F2241" w:rsidRDefault="00B1351A" w:rsidP="00515F13">
            <w:pPr>
              <w:widowControl/>
              <w:tabs>
                <w:tab w:val="left" w:pos="270"/>
              </w:tabs>
              <w:ind w:left="270" w:hanging="270"/>
              <w:rPr>
                <w:color w:val="000000"/>
                <w:sz w:val="18"/>
                <w:szCs w:val="18"/>
              </w:rPr>
            </w:pPr>
            <w:r w:rsidRPr="003F2241">
              <w:rPr>
                <w:color w:val="000000"/>
                <w:sz w:val="18"/>
                <w:szCs w:val="18"/>
              </w:rPr>
              <w:t>1.</w:t>
            </w:r>
            <w:r w:rsidR="00515F13" w:rsidRPr="003F2241">
              <w:rPr>
                <w:color w:val="000000"/>
                <w:sz w:val="18"/>
                <w:szCs w:val="18"/>
              </w:rPr>
              <w:tab/>
            </w:r>
            <w:r w:rsidRPr="003F2241">
              <w:rPr>
                <w:color w:val="000000"/>
                <w:sz w:val="18"/>
                <w:szCs w:val="18"/>
              </w:rPr>
              <w:t>Applications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3F2241" w:rsidRDefault="00B1351A" w:rsidP="008172C5">
            <w:pPr>
              <w:widowControl/>
              <w:tabs>
                <w:tab w:val="left" w:pos="60"/>
                <w:tab w:val="right" w:pos="780"/>
              </w:tabs>
              <w:ind w:right="110"/>
              <w:rPr>
                <w:color w:val="000000"/>
                <w:sz w:val="18"/>
                <w:szCs w:val="18"/>
              </w:rPr>
            </w:pPr>
          </w:p>
        </w:tc>
      </w:tr>
      <w:tr w:rsidR="00B1351A"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3F2241" w:rsidRDefault="00B1351A" w:rsidP="00515F13">
            <w:pPr>
              <w:widowControl/>
              <w:tabs>
                <w:tab w:val="left" w:pos="270"/>
              </w:tabs>
              <w:ind w:left="270" w:hanging="270"/>
              <w:rPr>
                <w:color w:val="000000"/>
                <w:sz w:val="18"/>
                <w:szCs w:val="18"/>
              </w:rPr>
            </w:pPr>
            <w:r w:rsidRPr="003F2241">
              <w:rPr>
                <w:color w:val="000000"/>
                <w:sz w:val="18"/>
                <w:szCs w:val="18"/>
              </w:rPr>
              <w:t>2.</w:t>
            </w:r>
            <w:r w:rsidR="00515F13" w:rsidRPr="003F2241">
              <w:rPr>
                <w:color w:val="000000"/>
                <w:sz w:val="18"/>
                <w:szCs w:val="18"/>
              </w:rPr>
              <w:tab/>
            </w:r>
            <w:r w:rsidRPr="003F2241">
              <w:rPr>
                <w:color w:val="000000"/>
                <w:sz w:val="18"/>
                <w:szCs w:val="18"/>
              </w:rPr>
              <w:t>Surveys and Studies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3F2241" w:rsidRDefault="00B1351A" w:rsidP="008172C5">
            <w:pPr>
              <w:widowControl/>
              <w:tabs>
                <w:tab w:val="left" w:pos="60"/>
                <w:tab w:val="right" w:pos="780"/>
              </w:tabs>
              <w:ind w:right="110"/>
              <w:rPr>
                <w:color w:val="000000"/>
                <w:sz w:val="18"/>
                <w:szCs w:val="18"/>
              </w:rPr>
            </w:pPr>
          </w:p>
        </w:tc>
      </w:tr>
      <w:tr w:rsidR="00B1351A"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3F2241" w:rsidRDefault="00B1351A" w:rsidP="00515F13">
            <w:pPr>
              <w:widowControl/>
              <w:tabs>
                <w:tab w:val="left" w:pos="270"/>
              </w:tabs>
              <w:ind w:left="270" w:hanging="270"/>
              <w:rPr>
                <w:color w:val="000000"/>
                <w:sz w:val="18"/>
                <w:szCs w:val="18"/>
              </w:rPr>
            </w:pPr>
            <w:r w:rsidRPr="003F2241">
              <w:rPr>
                <w:color w:val="000000"/>
                <w:sz w:val="18"/>
                <w:szCs w:val="18"/>
              </w:rPr>
              <w:t>3.</w:t>
            </w:r>
            <w:r w:rsidR="00515F13" w:rsidRPr="003F2241">
              <w:rPr>
                <w:color w:val="000000"/>
                <w:sz w:val="18"/>
                <w:szCs w:val="18"/>
              </w:rPr>
              <w:tab/>
            </w:r>
            <w:r w:rsidRPr="003F2241">
              <w:rPr>
                <w:color w:val="000000"/>
                <w:sz w:val="18"/>
                <w:szCs w:val="18"/>
              </w:rPr>
              <w:t>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235A9F"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3F2241" w:rsidRDefault="00B1351A" w:rsidP="008172C5">
            <w:pPr>
              <w:widowControl/>
              <w:tabs>
                <w:tab w:val="left" w:pos="60"/>
                <w:tab w:val="right" w:pos="780"/>
              </w:tabs>
              <w:ind w:right="110"/>
              <w:rPr>
                <w:color w:val="000000"/>
                <w:sz w:val="18"/>
                <w:szCs w:val="18"/>
              </w:rPr>
            </w:pPr>
          </w:p>
        </w:tc>
      </w:tr>
      <w:tr w:rsidR="00B1351A"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3F2241" w:rsidRDefault="00B1351A" w:rsidP="00515F13">
            <w:pPr>
              <w:widowControl/>
              <w:tabs>
                <w:tab w:val="left" w:pos="270"/>
              </w:tabs>
              <w:ind w:left="270" w:hanging="270"/>
              <w:rPr>
                <w:color w:val="000000"/>
                <w:sz w:val="18"/>
                <w:szCs w:val="18"/>
              </w:rPr>
            </w:pPr>
            <w:r w:rsidRPr="003F2241">
              <w:rPr>
                <w:color w:val="000000"/>
                <w:sz w:val="18"/>
                <w:szCs w:val="18"/>
              </w:rPr>
              <w:t>4.</w:t>
            </w:r>
            <w:r w:rsidR="00515F13" w:rsidRPr="003F2241">
              <w:rPr>
                <w:color w:val="000000"/>
                <w:sz w:val="18"/>
                <w:szCs w:val="18"/>
              </w:rPr>
              <w:tab/>
            </w:r>
            <w:r w:rsidRPr="003F2241">
              <w:rPr>
                <w:color w:val="000000"/>
                <w:sz w:val="18"/>
                <w:szCs w:val="18"/>
              </w:rPr>
              <w:t>Reporting Requirements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1B22C1">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1B22C1">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1B22C1">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3F2241"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3F2241" w:rsidRDefault="00B1351A" w:rsidP="008172C5">
            <w:pPr>
              <w:widowControl/>
              <w:tabs>
                <w:tab w:val="left" w:pos="60"/>
                <w:tab w:val="right" w:pos="780"/>
              </w:tabs>
              <w:ind w:right="110"/>
              <w:rPr>
                <w:color w:val="000000"/>
                <w:sz w:val="18"/>
                <w:szCs w:val="18"/>
              </w:rPr>
            </w:pPr>
          </w:p>
        </w:tc>
      </w:tr>
      <w:tr w:rsidR="003E21C7" w:rsidRPr="001B22C1" w:rsidTr="00BF76AB">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3E21C7" w:rsidRPr="003F2241" w:rsidRDefault="003E21C7" w:rsidP="00515F13">
            <w:pPr>
              <w:widowControl/>
              <w:tabs>
                <w:tab w:val="left" w:pos="540"/>
              </w:tabs>
              <w:ind w:left="540" w:hanging="270"/>
              <w:rPr>
                <w:color w:val="000000"/>
                <w:sz w:val="18"/>
                <w:szCs w:val="18"/>
              </w:rPr>
            </w:pPr>
            <w:r w:rsidRPr="003F2241">
              <w:rPr>
                <w:color w:val="000000"/>
                <w:sz w:val="18"/>
                <w:szCs w:val="18"/>
              </w:rPr>
              <w:t>A.</w:t>
            </w:r>
            <w:r w:rsidRPr="003F2241">
              <w:rPr>
                <w:color w:val="000000"/>
                <w:sz w:val="18"/>
                <w:szCs w:val="18"/>
              </w:rPr>
              <w:tab/>
              <w:t>Read instructions</w:t>
            </w:r>
            <w:r w:rsidRPr="003F2241">
              <w:rPr>
                <w:color w:val="000000"/>
                <w:sz w:val="18"/>
                <w:szCs w:val="18"/>
                <w:vertAlign w:val="superscript"/>
              </w:rPr>
              <w:t>b</w:t>
            </w:r>
          </w:p>
        </w:tc>
        <w:tc>
          <w:tcPr>
            <w:tcW w:w="1080" w:type="dxa"/>
            <w:tcBorders>
              <w:top w:val="single" w:sz="2" w:space="0" w:color="auto"/>
              <w:left w:val="single" w:sz="2" w:space="0" w:color="auto"/>
              <w:bottom w:val="single" w:sz="2" w:space="0" w:color="auto"/>
              <w:right w:val="single" w:sz="2" w:space="0" w:color="auto"/>
            </w:tcBorders>
            <w:vAlign w:val="center"/>
          </w:tcPr>
          <w:p w:rsidR="003E21C7" w:rsidRPr="003F2241" w:rsidRDefault="003E21C7" w:rsidP="00FA6A3C">
            <w:pPr>
              <w:widowControl/>
              <w:jc w:val="center"/>
              <w:rPr>
                <w:color w:val="000000"/>
                <w:sz w:val="18"/>
                <w:szCs w:val="18"/>
              </w:rPr>
            </w:pPr>
            <w:r w:rsidRPr="003F2241">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3E21C7" w:rsidRPr="003F2241" w:rsidRDefault="003E21C7" w:rsidP="001B22C1">
            <w:pPr>
              <w:jc w:val="center"/>
              <w:rPr>
                <w:color w:val="000000"/>
                <w:sz w:val="18"/>
                <w:szCs w:val="18"/>
              </w:rPr>
            </w:pPr>
            <w:r w:rsidRPr="003F2241">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rsidR="003E21C7" w:rsidRPr="003F2241" w:rsidRDefault="003E21C7" w:rsidP="001B22C1">
            <w:pPr>
              <w:jc w:val="center"/>
              <w:rPr>
                <w:color w:val="000000"/>
                <w:sz w:val="18"/>
                <w:szCs w:val="18"/>
              </w:rPr>
            </w:pPr>
            <w:r w:rsidRPr="003F2241">
              <w:rPr>
                <w:color w:val="000000"/>
                <w:sz w:val="18"/>
                <w:szCs w:val="18"/>
              </w:rPr>
              <w:t>4</w:t>
            </w:r>
          </w:p>
        </w:tc>
        <w:tc>
          <w:tcPr>
            <w:tcW w:w="1080" w:type="dxa"/>
            <w:tcBorders>
              <w:top w:val="single" w:sz="2" w:space="0" w:color="auto"/>
              <w:left w:val="single" w:sz="2" w:space="0" w:color="auto"/>
              <w:bottom w:val="single" w:sz="2" w:space="0" w:color="auto"/>
              <w:right w:val="single" w:sz="2" w:space="0" w:color="auto"/>
            </w:tcBorders>
            <w:vAlign w:val="bottom"/>
          </w:tcPr>
          <w:p w:rsidR="003E21C7" w:rsidRPr="003F2241" w:rsidRDefault="003E21C7" w:rsidP="001B22C1">
            <w:pPr>
              <w:jc w:val="center"/>
              <w:rPr>
                <w:color w:val="000000"/>
                <w:sz w:val="18"/>
                <w:szCs w:val="18"/>
              </w:rPr>
            </w:pPr>
            <w:r>
              <w:rPr>
                <w:color w:val="000000"/>
                <w:sz w:val="18"/>
                <w:szCs w:val="18"/>
              </w:rPr>
              <w:t>161</w:t>
            </w:r>
          </w:p>
        </w:tc>
        <w:tc>
          <w:tcPr>
            <w:tcW w:w="1170" w:type="dxa"/>
            <w:tcBorders>
              <w:top w:val="single" w:sz="2" w:space="0" w:color="auto"/>
              <w:left w:val="single" w:sz="2" w:space="0" w:color="auto"/>
              <w:bottom w:val="single" w:sz="2" w:space="0" w:color="auto"/>
              <w:right w:val="single" w:sz="2" w:space="0" w:color="auto"/>
            </w:tcBorders>
            <w:vAlign w:val="bottom"/>
          </w:tcPr>
          <w:p w:rsidR="003E21C7" w:rsidRPr="001B22C1" w:rsidRDefault="003E21C7" w:rsidP="001B22C1">
            <w:pPr>
              <w:jc w:val="center"/>
              <w:rPr>
                <w:color w:val="000000"/>
                <w:sz w:val="18"/>
                <w:szCs w:val="18"/>
              </w:rPr>
            </w:pPr>
            <w:r w:rsidRPr="001B22C1">
              <w:rPr>
                <w:color w:val="000000"/>
                <w:sz w:val="18"/>
                <w:szCs w:val="18"/>
              </w:rPr>
              <w:t>644</w:t>
            </w:r>
          </w:p>
        </w:tc>
        <w:tc>
          <w:tcPr>
            <w:tcW w:w="1350" w:type="dxa"/>
            <w:tcBorders>
              <w:top w:val="single" w:sz="2" w:space="0" w:color="auto"/>
              <w:left w:val="single" w:sz="2" w:space="0" w:color="auto"/>
              <w:bottom w:val="single" w:sz="2" w:space="0" w:color="auto"/>
              <w:right w:val="single" w:sz="2" w:space="0" w:color="auto"/>
            </w:tcBorders>
            <w:vAlign w:val="bottom"/>
          </w:tcPr>
          <w:p w:rsidR="003E21C7" w:rsidRPr="001B22C1" w:rsidRDefault="003E21C7" w:rsidP="001B22C1">
            <w:pPr>
              <w:jc w:val="center"/>
              <w:rPr>
                <w:color w:val="000000"/>
                <w:sz w:val="18"/>
                <w:szCs w:val="18"/>
              </w:rPr>
            </w:pPr>
            <w:r w:rsidRPr="001B22C1">
              <w:rPr>
                <w:color w:val="000000"/>
                <w:sz w:val="18"/>
                <w:szCs w:val="18"/>
              </w:rPr>
              <w:t>32.2</w:t>
            </w:r>
          </w:p>
        </w:tc>
        <w:tc>
          <w:tcPr>
            <w:tcW w:w="1080" w:type="dxa"/>
            <w:tcBorders>
              <w:top w:val="single" w:sz="2" w:space="0" w:color="auto"/>
              <w:left w:val="single" w:sz="2" w:space="0" w:color="auto"/>
              <w:bottom w:val="single" w:sz="2" w:space="0" w:color="auto"/>
              <w:right w:val="single" w:sz="2" w:space="0" w:color="auto"/>
            </w:tcBorders>
            <w:vAlign w:val="bottom"/>
          </w:tcPr>
          <w:p w:rsidR="003E21C7" w:rsidRPr="001B22C1" w:rsidRDefault="003E21C7" w:rsidP="001B22C1">
            <w:pPr>
              <w:jc w:val="center"/>
              <w:rPr>
                <w:color w:val="000000"/>
                <w:sz w:val="18"/>
                <w:szCs w:val="18"/>
              </w:rPr>
            </w:pPr>
            <w:r w:rsidRPr="001B22C1">
              <w:rPr>
                <w:color w:val="000000"/>
                <w:sz w:val="18"/>
                <w:szCs w:val="18"/>
              </w:rPr>
              <w:t>64.4</w:t>
            </w:r>
          </w:p>
        </w:tc>
        <w:tc>
          <w:tcPr>
            <w:tcW w:w="990" w:type="dxa"/>
            <w:tcBorders>
              <w:top w:val="single" w:sz="2" w:space="0" w:color="auto"/>
              <w:left w:val="single" w:sz="2" w:space="0" w:color="auto"/>
              <w:bottom w:val="single" w:sz="2" w:space="0" w:color="auto"/>
              <w:right w:val="double" w:sz="6" w:space="0" w:color="auto"/>
            </w:tcBorders>
            <w:vAlign w:val="bottom"/>
          </w:tcPr>
          <w:p w:rsidR="003E21C7" w:rsidRPr="001B22C1" w:rsidRDefault="003E21C7" w:rsidP="001B22C1">
            <w:pPr>
              <w:jc w:val="center"/>
              <w:rPr>
                <w:color w:val="000000"/>
                <w:sz w:val="18"/>
                <w:szCs w:val="18"/>
              </w:rPr>
            </w:pPr>
            <w:r w:rsidRPr="001B22C1">
              <w:rPr>
                <w:color w:val="000000"/>
                <w:sz w:val="18"/>
                <w:szCs w:val="18"/>
              </w:rPr>
              <w:t>$70,</w:t>
            </w:r>
            <w:r w:rsidR="000F4EC0" w:rsidRPr="001B22C1">
              <w:rPr>
                <w:color w:val="000000"/>
                <w:sz w:val="18"/>
                <w:szCs w:val="18"/>
              </w:rPr>
              <w:t xml:space="preserve"> 964</w:t>
            </w:r>
          </w:p>
        </w:tc>
      </w:tr>
      <w:tr w:rsidR="00A20AF8"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3F2241" w:rsidRDefault="00A20AF8" w:rsidP="00515F13">
            <w:pPr>
              <w:widowControl/>
              <w:tabs>
                <w:tab w:val="left" w:pos="540"/>
              </w:tabs>
              <w:ind w:left="540" w:hanging="270"/>
              <w:rPr>
                <w:color w:val="000000"/>
                <w:sz w:val="18"/>
                <w:szCs w:val="18"/>
              </w:rPr>
            </w:pPr>
            <w:r w:rsidRPr="003F2241">
              <w:rPr>
                <w:color w:val="000000"/>
                <w:sz w:val="18"/>
                <w:szCs w:val="18"/>
              </w:rPr>
              <w:t>B.</w:t>
            </w:r>
            <w:r w:rsidR="00515F13" w:rsidRPr="003F2241">
              <w:rPr>
                <w:color w:val="000000"/>
                <w:sz w:val="18"/>
                <w:szCs w:val="18"/>
              </w:rPr>
              <w:tab/>
            </w:r>
            <w:r w:rsidRPr="003F2241">
              <w:rPr>
                <w:color w:val="000000"/>
                <w:sz w:val="18"/>
                <w:szCs w:val="18"/>
              </w:rPr>
              <w:t>Required activities</w:t>
            </w: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A20AF8" w:rsidRPr="003F2241" w:rsidRDefault="00A20AF8" w:rsidP="001B22C1">
            <w:pPr>
              <w:tabs>
                <w:tab w:val="left" w:pos="60"/>
                <w:tab w:val="right" w:pos="780"/>
              </w:tabs>
              <w:ind w:right="110"/>
              <w:jc w:val="center"/>
              <w:rPr>
                <w:color w:val="000000"/>
                <w:sz w:val="18"/>
                <w:szCs w:val="18"/>
              </w:rPr>
            </w:pPr>
          </w:p>
        </w:tc>
      </w:tr>
      <w:tr w:rsidR="00A20AF8"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3F2241" w:rsidRDefault="00A20AF8" w:rsidP="00515F13">
            <w:pPr>
              <w:widowControl/>
              <w:tabs>
                <w:tab w:val="left" w:pos="540"/>
              </w:tabs>
              <w:ind w:left="540" w:hanging="270"/>
              <w:rPr>
                <w:color w:val="000000"/>
                <w:sz w:val="18"/>
                <w:szCs w:val="18"/>
              </w:rPr>
            </w:pPr>
            <w:r w:rsidRPr="003F2241">
              <w:rPr>
                <w:color w:val="000000"/>
                <w:sz w:val="18"/>
                <w:szCs w:val="18"/>
              </w:rPr>
              <w:t>C.</w:t>
            </w:r>
            <w:r w:rsidR="00515F13" w:rsidRPr="003F2241">
              <w:rPr>
                <w:color w:val="000000"/>
                <w:sz w:val="18"/>
                <w:szCs w:val="18"/>
              </w:rPr>
              <w:tab/>
            </w:r>
            <w:r w:rsidRPr="003F2241">
              <w:rPr>
                <w:color w:val="000000"/>
                <w:sz w:val="18"/>
                <w:szCs w:val="18"/>
              </w:rPr>
              <w:t>Create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3F2241" w:rsidRDefault="00F53944"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3F2241" w:rsidRDefault="00A20AF8"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A20AF8" w:rsidRPr="003F2241" w:rsidRDefault="00A20AF8" w:rsidP="001B22C1">
            <w:pPr>
              <w:tabs>
                <w:tab w:val="left" w:pos="60"/>
                <w:tab w:val="right" w:pos="780"/>
              </w:tabs>
              <w:ind w:right="110"/>
              <w:jc w:val="center"/>
              <w:rPr>
                <w:color w:val="000000"/>
                <w:sz w:val="18"/>
                <w:szCs w:val="18"/>
              </w:rPr>
            </w:pPr>
          </w:p>
        </w:tc>
      </w:tr>
      <w:tr w:rsidR="0081784F"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3F2241" w:rsidRDefault="0081784F" w:rsidP="00515F13">
            <w:pPr>
              <w:widowControl/>
              <w:tabs>
                <w:tab w:val="left" w:pos="540"/>
              </w:tabs>
              <w:ind w:left="540" w:hanging="270"/>
              <w:rPr>
                <w:color w:val="000000"/>
                <w:sz w:val="18"/>
                <w:szCs w:val="18"/>
              </w:rPr>
            </w:pPr>
            <w:r w:rsidRPr="003F2241">
              <w:rPr>
                <w:color w:val="000000"/>
                <w:sz w:val="18"/>
                <w:szCs w:val="18"/>
              </w:rPr>
              <w:t>D.</w:t>
            </w:r>
            <w:r w:rsidR="00515F13" w:rsidRPr="003F2241">
              <w:rPr>
                <w:color w:val="000000"/>
                <w:sz w:val="18"/>
                <w:szCs w:val="18"/>
              </w:rPr>
              <w:tab/>
            </w:r>
            <w:r w:rsidRPr="003F2241">
              <w:rPr>
                <w:color w:val="000000"/>
                <w:sz w:val="18"/>
                <w:szCs w:val="18"/>
              </w:rPr>
              <w:t>Gather existing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81784F" w:rsidRPr="003F2241" w:rsidRDefault="0081784F"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81784F" w:rsidRPr="003F2241" w:rsidRDefault="0081784F" w:rsidP="001B22C1">
            <w:pPr>
              <w:tabs>
                <w:tab w:val="left" w:pos="60"/>
                <w:tab w:val="right" w:pos="780"/>
              </w:tabs>
              <w:ind w:right="110"/>
              <w:jc w:val="center"/>
              <w:rPr>
                <w:color w:val="000000"/>
                <w:sz w:val="18"/>
                <w:szCs w:val="18"/>
              </w:rPr>
            </w:pPr>
          </w:p>
        </w:tc>
      </w:tr>
      <w:tr w:rsidR="00FB6336"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FB6336" w:rsidRPr="003F2241" w:rsidRDefault="000F4EC0" w:rsidP="00A01B57">
            <w:pPr>
              <w:ind w:left="540" w:hanging="270"/>
              <w:rPr>
                <w:color w:val="000000"/>
                <w:sz w:val="18"/>
                <w:szCs w:val="18"/>
              </w:rPr>
            </w:pPr>
            <w:r>
              <w:rPr>
                <w:color w:val="000000"/>
                <w:sz w:val="18"/>
                <w:szCs w:val="18"/>
              </w:rPr>
              <w:t xml:space="preserve"> </w:t>
            </w:r>
            <w:r w:rsidR="00FB6336" w:rsidRPr="003F2241">
              <w:rPr>
                <w:color w:val="000000"/>
                <w:sz w:val="18"/>
                <w:szCs w:val="18"/>
              </w:rPr>
              <w:t xml:space="preserve">E. Write report (changing furnace </w:t>
            </w:r>
            <w:r w:rsidR="00A01B57">
              <w:rPr>
                <w:color w:val="000000"/>
                <w:sz w:val="18"/>
                <w:szCs w:val="18"/>
              </w:rPr>
              <w:t>classification</w:t>
            </w:r>
            <w:r w:rsidR="00FB6336" w:rsidRPr="003F2241">
              <w:rPr>
                <w:color w:val="000000"/>
                <w:sz w:val="18"/>
                <w:szCs w:val="18"/>
              </w:rPr>
              <w:t>)</w:t>
            </w:r>
            <w:r w:rsidR="007A7FFD">
              <w:rPr>
                <w:color w:val="000000"/>
                <w:sz w:val="18"/>
                <w:szCs w:val="18"/>
                <w:vertAlign w:val="superscript"/>
              </w:rPr>
              <w:t>c</w:t>
            </w:r>
          </w:p>
        </w:tc>
        <w:tc>
          <w:tcPr>
            <w:tcW w:w="108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pPr>
              <w:jc w:val="center"/>
              <w:rPr>
                <w:color w:val="000000"/>
                <w:sz w:val="18"/>
                <w:szCs w:val="18"/>
              </w:rPr>
            </w:pPr>
            <w:r w:rsidRPr="003F2241">
              <w:rPr>
                <w:color w:val="000000"/>
                <w:sz w:val="18"/>
                <w:szCs w:val="18"/>
              </w:rPr>
              <w:t>2</w:t>
            </w:r>
          </w:p>
        </w:tc>
        <w:tc>
          <w:tcPr>
            <w:tcW w:w="99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rsidP="001B22C1">
            <w:pPr>
              <w:jc w:val="center"/>
              <w:rPr>
                <w:color w:val="000000"/>
                <w:sz w:val="18"/>
                <w:szCs w:val="18"/>
              </w:rPr>
            </w:pPr>
            <w:r w:rsidRPr="003F2241">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rsidP="001B22C1">
            <w:pPr>
              <w:jc w:val="center"/>
              <w:rPr>
                <w:color w:val="000000"/>
                <w:sz w:val="18"/>
                <w:szCs w:val="18"/>
              </w:rPr>
            </w:pPr>
            <w:r w:rsidRPr="003F2241">
              <w:rPr>
                <w:color w:val="000000"/>
                <w:sz w:val="18"/>
                <w:szCs w:val="18"/>
              </w:rPr>
              <w:t>2</w:t>
            </w:r>
          </w:p>
        </w:tc>
        <w:tc>
          <w:tcPr>
            <w:tcW w:w="108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rsidP="001B22C1">
            <w:pPr>
              <w:jc w:val="center"/>
              <w:rPr>
                <w:color w:val="000000"/>
                <w:sz w:val="18"/>
                <w:szCs w:val="18"/>
              </w:rPr>
            </w:pPr>
            <w:r w:rsidRPr="003F2241">
              <w:rPr>
                <w:color w:val="000000"/>
                <w:sz w:val="18"/>
                <w:szCs w:val="18"/>
              </w:rPr>
              <w:t>50</w:t>
            </w:r>
          </w:p>
        </w:tc>
        <w:tc>
          <w:tcPr>
            <w:tcW w:w="117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rsidP="001B22C1">
            <w:pPr>
              <w:jc w:val="center"/>
              <w:rPr>
                <w:color w:val="000000"/>
                <w:sz w:val="18"/>
                <w:szCs w:val="18"/>
              </w:rPr>
            </w:pPr>
            <w:r w:rsidRPr="003F2241">
              <w:rPr>
                <w:color w:val="000000"/>
                <w:sz w:val="18"/>
                <w:szCs w:val="18"/>
              </w:rPr>
              <w:t>100</w:t>
            </w:r>
          </w:p>
        </w:tc>
        <w:tc>
          <w:tcPr>
            <w:tcW w:w="135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rsidP="001B22C1">
            <w:pPr>
              <w:jc w:val="center"/>
              <w:rPr>
                <w:color w:val="000000"/>
                <w:sz w:val="18"/>
                <w:szCs w:val="18"/>
              </w:rPr>
            </w:pPr>
            <w:r w:rsidRPr="003F2241">
              <w:rPr>
                <w:color w:val="000000"/>
                <w:sz w:val="18"/>
                <w:szCs w:val="18"/>
              </w:rPr>
              <w:t>5</w:t>
            </w:r>
          </w:p>
        </w:tc>
        <w:tc>
          <w:tcPr>
            <w:tcW w:w="1080" w:type="dxa"/>
            <w:tcBorders>
              <w:top w:val="single" w:sz="2" w:space="0" w:color="auto"/>
              <w:left w:val="single" w:sz="2" w:space="0" w:color="auto"/>
              <w:bottom w:val="single" w:sz="2" w:space="0" w:color="auto"/>
              <w:right w:val="single" w:sz="2" w:space="0" w:color="auto"/>
            </w:tcBorders>
            <w:vAlign w:val="bottom"/>
          </w:tcPr>
          <w:p w:rsidR="00FB6336" w:rsidRPr="003F2241" w:rsidRDefault="00FB6336" w:rsidP="001B22C1">
            <w:pPr>
              <w:jc w:val="center"/>
              <w:rPr>
                <w:color w:val="000000"/>
                <w:sz w:val="18"/>
                <w:szCs w:val="18"/>
              </w:rPr>
            </w:pPr>
            <w:r w:rsidRPr="003F2241">
              <w:rPr>
                <w:color w:val="000000"/>
                <w:sz w:val="18"/>
                <w:szCs w:val="18"/>
              </w:rPr>
              <w:t>10</w:t>
            </w:r>
          </w:p>
        </w:tc>
        <w:tc>
          <w:tcPr>
            <w:tcW w:w="990" w:type="dxa"/>
            <w:tcBorders>
              <w:top w:val="single" w:sz="2" w:space="0" w:color="auto"/>
              <w:left w:val="single" w:sz="2" w:space="0" w:color="auto"/>
              <w:bottom w:val="single" w:sz="2" w:space="0" w:color="auto"/>
              <w:right w:val="double" w:sz="6" w:space="0" w:color="auto"/>
            </w:tcBorders>
            <w:vAlign w:val="bottom"/>
          </w:tcPr>
          <w:p w:rsidR="00FB6336" w:rsidRPr="003F2241" w:rsidRDefault="00FB6336" w:rsidP="001B22C1">
            <w:pPr>
              <w:jc w:val="center"/>
              <w:rPr>
                <w:color w:val="000000"/>
                <w:sz w:val="18"/>
                <w:szCs w:val="18"/>
              </w:rPr>
            </w:pPr>
            <w:r w:rsidRPr="003F2241">
              <w:rPr>
                <w:color w:val="000000"/>
                <w:sz w:val="18"/>
                <w:szCs w:val="18"/>
              </w:rPr>
              <w:t>$1</w:t>
            </w:r>
            <w:r w:rsidR="000F4EC0">
              <w:rPr>
                <w:color w:val="000000"/>
                <w:sz w:val="18"/>
                <w:szCs w:val="18"/>
              </w:rPr>
              <w:t>1,019</w:t>
            </w:r>
          </w:p>
        </w:tc>
      </w:tr>
      <w:tr w:rsidR="000F4EC0" w:rsidRPr="003F2241" w:rsidTr="000F4EC0">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0F4EC0" w:rsidRPr="003F2241" w:rsidRDefault="000F4EC0" w:rsidP="000F4EC0">
            <w:pPr>
              <w:widowControl/>
              <w:tabs>
                <w:tab w:val="left" w:pos="540"/>
              </w:tabs>
              <w:ind w:left="540" w:hanging="270"/>
              <w:rPr>
                <w:color w:val="000000"/>
                <w:sz w:val="18"/>
                <w:szCs w:val="18"/>
              </w:rPr>
            </w:pPr>
            <w:r>
              <w:rPr>
                <w:color w:val="000000"/>
                <w:sz w:val="18"/>
                <w:szCs w:val="18"/>
              </w:rPr>
              <w:t>F.  Affirmative defense reporting/</w:t>
            </w:r>
            <w:r w:rsidR="00905A7D">
              <w:rPr>
                <w:color w:val="000000"/>
                <w:sz w:val="18"/>
                <w:szCs w:val="18"/>
              </w:rPr>
              <w:t xml:space="preserve">root cause </w:t>
            </w:r>
            <w:r>
              <w:rPr>
                <w:color w:val="000000"/>
                <w:sz w:val="18"/>
                <w:szCs w:val="18"/>
              </w:rPr>
              <w:t>analysis</w:t>
            </w:r>
            <w:r w:rsidRPr="000F4EC0">
              <w:rPr>
                <w:color w:val="000000"/>
                <w:szCs w:val="18"/>
                <w:vertAlign w:val="superscript"/>
              </w:rPr>
              <w:t>d</w:t>
            </w:r>
          </w:p>
        </w:tc>
        <w:tc>
          <w:tcPr>
            <w:tcW w:w="1080" w:type="dxa"/>
            <w:tcBorders>
              <w:top w:val="single" w:sz="2" w:space="0" w:color="auto"/>
              <w:left w:val="single" w:sz="2" w:space="0" w:color="auto"/>
              <w:bottom w:val="single" w:sz="2" w:space="0" w:color="auto"/>
              <w:right w:val="single" w:sz="2" w:space="0" w:color="auto"/>
            </w:tcBorders>
            <w:vAlign w:val="center"/>
          </w:tcPr>
          <w:p w:rsidR="000F4EC0" w:rsidRPr="003F2241" w:rsidRDefault="008C0CD1" w:rsidP="00FA6A3C">
            <w:pPr>
              <w:widowControl/>
              <w:jc w:val="center"/>
              <w:rPr>
                <w:color w:val="000000"/>
                <w:sz w:val="18"/>
                <w:szCs w:val="18"/>
              </w:rPr>
            </w:pPr>
            <w:r>
              <w:rPr>
                <w:color w:val="000000"/>
                <w:sz w:val="18"/>
                <w:szCs w:val="18"/>
              </w:rPr>
              <w:t>6</w:t>
            </w:r>
          </w:p>
        </w:tc>
        <w:tc>
          <w:tcPr>
            <w:tcW w:w="990" w:type="dxa"/>
            <w:tcBorders>
              <w:top w:val="single" w:sz="2" w:space="0" w:color="auto"/>
              <w:left w:val="single" w:sz="2" w:space="0" w:color="auto"/>
              <w:bottom w:val="single" w:sz="2" w:space="0" w:color="auto"/>
              <w:right w:val="single" w:sz="2" w:space="0" w:color="auto"/>
            </w:tcBorders>
            <w:vAlign w:val="center"/>
          </w:tcPr>
          <w:p w:rsidR="000F4EC0" w:rsidRPr="003F2241" w:rsidRDefault="000F4EC0" w:rsidP="001B22C1">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rsidR="000F4EC0" w:rsidRPr="003F2241" w:rsidRDefault="000F4EC0"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0F4EC0" w:rsidRPr="003F2241" w:rsidRDefault="000F4EC0" w:rsidP="001B22C1">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rsidR="000F4EC0" w:rsidRDefault="008C0CD1" w:rsidP="001B22C1">
            <w:pPr>
              <w:jc w:val="center"/>
              <w:rPr>
                <w:color w:val="000000"/>
                <w:sz w:val="18"/>
                <w:szCs w:val="18"/>
              </w:rPr>
            </w:pPr>
            <w:r>
              <w:rPr>
                <w:color w:val="000000"/>
                <w:sz w:val="18"/>
                <w:szCs w:val="18"/>
              </w:rPr>
              <w:t>18</w:t>
            </w:r>
          </w:p>
          <w:p w:rsidR="002368AD" w:rsidRPr="003F2241" w:rsidRDefault="002368AD"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0F4EC0" w:rsidRPr="003F2241" w:rsidRDefault="008C0CD1" w:rsidP="001B22C1">
            <w:pPr>
              <w:jc w:val="center"/>
              <w:rPr>
                <w:color w:val="000000"/>
                <w:sz w:val="18"/>
                <w:szCs w:val="18"/>
              </w:rPr>
            </w:pPr>
            <w:r>
              <w:rPr>
                <w:color w:val="000000"/>
                <w:sz w:val="18"/>
                <w:szCs w:val="18"/>
              </w:rPr>
              <w:t>12</w:t>
            </w:r>
          </w:p>
        </w:tc>
        <w:tc>
          <w:tcPr>
            <w:tcW w:w="1080" w:type="dxa"/>
            <w:tcBorders>
              <w:top w:val="single" w:sz="2" w:space="0" w:color="auto"/>
              <w:left w:val="single" w:sz="2" w:space="0" w:color="auto"/>
              <w:bottom w:val="single" w:sz="2" w:space="0" w:color="auto"/>
              <w:right w:val="single" w:sz="2" w:space="0" w:color="auto"/>
            </w:tcBorders>
            <w:vAlign w:val="center"/>
          </w:tcPr>
          <w:p w:rsidR="000F4EC0" w:rsidRPr="003F2241" w:rsidRDefault="000F4EC0"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bottom"/>
          </w:tcPr>
          <w:p w:rsidR="000F4EC0" w:rsidRPr="003F2241" w:rsidRDefault="000F4EC0" w:rsidP="001B22C1">
            <w:pPr>
              <w:tabs>
                <w:tab w:val="left" w:pos="60"/>
                <w:tab w:val="right" w:pos="780"/>
              </w:tabs>
              <w:ind w:right="110"/>
              <w:jc w:val="center"/>
              <w:rPr>
                <w:color w:val="000000"/>
                <w:sz w:val="18"/>
                <w:szCs w:val="18"/>
              </w:rPr>
            </w:pPr>
            <w:r>
              <w:rPr>
                <w:color w:val="000000"/>
                <w:sz w:val="18"/>
                <w:szCs w:val="18"/>
              </w:rPr>
              <w:t>$3,142</w:t>
            </w: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270"/>
              </w:tabs>
              <w:ind w:left="270" w:hanging="270"/>
              <w:rPr>
                <w:color w:val="000000"/>
                <w:sz w:val="18"/>
                <w:szCs w:val="18"/>
              </w:rPr>
            </w:pPr>
            <w:r w:rsidRPr="003F2241">
              <w:rPr>
                <w:color w:val="000000"/>
                <w:sz w:val="18"/>
                <w:szCs w:val="18"/>
              </w:rPr>
              <w:t>5.</w:t>
            </w:r>
            <w:r w:rsidR="00515F13" w:rsidRPr="003F2241">
              <w:rPr>
                <w:color w:val="000000"/>
                <w:sz w:val="18"/>
                <w:szCs w:val="18"/>
              </w:rPr>
              <w:tab/>
            </w:r>
            <w:r w:rsidRPr="003F2241">
              <w:rPr>
                <w:color w:val="000000"/>
                <w:sz w:val="18"/>
                <w:szCs w:val="18"/>
              </w:rPr>
              <w:t>Recordkeeping Requirements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A.</w:t>
            </w:r>
            <w:r w:rsidR="00515F13" w:rsidRPr="003F2241">
              <w:rPr>
                <w:color w:val="000000"/>
                <w:sz w:val="18"/>
                <w:szCs w:val="18"/>
              </w:rPr>
              <w:tab/>
            </w:r>
            <w:r w:rsidRPr="003F2241">
              <w:rPr>
                <w:color w:val="000000"/>
                <w:sz w:val="18"/>
                <w:szCs w:val="18"/>
              </w:rPr>
              <w:t>Read instructions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B.</w:t>
            </w:r>
            <w:r w:rsidR="00515F13" w:rsidRPr="003F2241">
              <w:rPr>
                <w:color w:val="000000"/>
                <w:sz w:val="18"/>
                <w:szCs w:val="18"/>
              </w:rPr>
              <w:tab/>
            </w:r>
            <w:r w:rsidRPr="003F2241">
              <w:rPr>
                <w:color w:val="000000"/>
                <w:sz w:val="18"/>
                <w:szCs w:val="18"/>
              </w:rPr>
              <w:t>Plan activities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C.</w:t>
            </w:r>
            <w:r w:rsidR="00515F13" w:rsidRPr="003F2241">
              <w:rPr>
                <w:color w:val="000000"/>
                <w:sz w:val="18"/>
                <w:szCs w:val="18"/>
              </w:rPr>
              <w:tab/>
            </w:r>
            <w:r w:rsidRPr="003F2241">
              <w:rPr>
                <w:color w:val="000000"/>
                <w:sz w:val="18"/>
                <w:szCs w:val="18"/>
              </w:rPr>
              <w:t>Implement activities</w:t>
            </w:r>
            <w:r w:rsidR="003F2241" w:rsidRPr="003F2241">
              <w:rPr>
                <w:color w:val="000000"/>
                <w:sz w:val="18"/>
                <w:szCs w:val="18"/>
              </w:rPr>
              <w:t xml:space="preserve"> </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3F2241"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3F2241" w:rsidRPr="003F2241" w:rsidRDefault="003F2241">
            <w:pPr>
              <w:ind w:firstLineChars="400" w:firstLine="720"/>
              <w:rPr>
                <w:color w:val="000000"/>
                <w:sz w:val="18"/>
                <w:szCs w:val="18"/>
              </w:rPr>
            </w:pPr>
            <w:r w:rsidRPr="003F2241">
              <w:rPr>
                <w:color w:val="000000"/>
                <w:sz w:val="18"/>
                <w:szCs w:val="18"/>
              </w:rPr>
              <w:t>Verify lime injection rate</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pPr>
              <w:jc w:val="center"/>
              <w:rPr>
                <w:color w:val="000000"/>
                <w:sz w:val="18"/>
                <w:szCs w:val="18"/>
              </w:rPr>
            </w:pPr>
            <w:r w:rsidRPr="003F2241">
              <w:rPr>
                <w:color w:val="000000"/>
                <w:sz w:val="18"/>
                <w:szCs w:val="18"/>
              </w:rPr>
              <w:t>0.1</w:t>
            </w:r>
          </w:p>
        </w:tc>
        <w:tc>
          <w:tcPr>
            <w:tcW w:w="99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36</w:t>
            </w: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3.6</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161</w:t>
            </w: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579.6</w:t>
            </w:r>
          </w:p>
        </w:tc>
        <w:tc>
          <w:tcPr>
            <w:tcW w:w="135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28.98</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57.96</w:t>
            </w:r>
          </w:p>
        </w:tc>
        <w:tc>
          <w:tcPr>
            <w:tcW w:w="990" w:type="dxa"/>
            <w:tcBorders>
              <w:top w:val="single" w:sz="2" w:space="0" w:color="auto"/>
              <w:left w:val="single" w:sz="2" w:space="0" w:color="auto"/>
              <w:bottom w:val="single" w:sz="2" w:space="0" w:color="auto"/>
              <w:right w:val="double" w:sz="6" w:space="0" w:color="auto"/>
            </w:tcBorders>
            <w:vAlign w:val="bottom"/>
          </w:tcPr>
          <w:p w:rsidR="003F2241" w:rsidRPr="003F2241" w:rsidRDefault="003F2241" w:rsidP="001B22C1">
            <w:pPr>
              <w:jc w:val="center"/>
              <w:rPr>
                <w:color w:val="000000"/>
                <w:sz w:val="18"/>
                <w:szCs w:val="18"/>
              </w:rPr>
            </w:pPr>
            <w:r w:rsidRPr="003F2241">
              <w:rPr>
                <w:color w:val="000000"/>
                <w:sz w:val="18"/>
                <w:szCs w:val="18"/>
              </w:rPr>
              <w:t>$63,</w:t>
            </w:r>
            <w:r w:rsidR="000F4EC0">
              <w:rPr>
                <w:color w:val="000000"/>
                <w:sz w:val="18"/>
                <w:szCs w:val="18"/>
              </w:rPr>
              <w:t>867</w:t>
            </w:r>
          </w:p>
        </w:tc>
      </w:tr>
      <w:tr w:rsidR="003F2241"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3F2241" w:rsidRPr="003F2241" w:rsidRDefault="003F2241" w:rsidP="00A01B57">
            <w:pPr>
              <w:ind w:firstLineChars="400" w:firstLine="720"/>
              <w:rPr>
                <w:color w:val="000000"/>
                <w:sz w:val="18"/>
                <w:szCs w:val="18"/>
              </w:rPr>
            </w:pPr>
            <w:r w:rsidRPr="003F2241">
              <w:rPr>
                <w:color w:val="000000"/>
                <w:sz w:val="18"/>
                <w:szCs w:val="18"/>
              </w:rPr>
              <w:t xml:space="preserve">Changing furnace </w:t>
            </w:r>
            <w:r w:rsidR="00A01B57">
              <w:rPr>
                <w:color w:val="000000"/>
                <w:sz w:val="18"/>
                <w:szCs w:val="18"/>
              </w:rPr>
              <w:t>classification</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pPr>
              <w:jc w:val="center"/>
              <w:rPr>
                <w:color w:val="000000"/>
                <w:sz w:val="18"/>
                <w:szCs w:val="18"/>
              </w:rPr>
            </w:pPr>
            <w:r w:rsidRPr="003F2241">
              <w:rPr>
                <w:color w:val="000000"/>
                <w:sz w:val="18"/>
                <w:szCs w:val="18"/>
              </w:rPr>
              <w:t>2</w:t>
            </w:r>
          </w:p>
        </w:tc>
        <w:tc>
          <w:tcPr>
            <w:tcW w:w="99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2</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50</w:t>
            </w: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100</w:t>
            </w:r>
          </w:p>
        </w:tc>
        <w:tc>
          <w:tcPr>
            <w:tcW w:w="135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10</w:t>
            </w:r>
          </w:p>
        </w:tc>
        <w:tc>
          <w:tcPr>
            <w:tcW w:w="990" w:type="dxa"/>
            <w:tcBorders>
              <w:top w:val="single" w:sz="2" w:space="0" w:color="auto"/>
              <w:left w:val="single" w:sz="2" w:space="0" w:color="auto"/>
              <w:bottom w:val="single" w:sz="2" w:space="0" w:color="auto"/>
              <w:right w:val="double" w:sz="6"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w:t>
            </w:r>
            <w:r w:rsidR="000F4EC0">
              <w:rPr>
                <w:color w:val="000000"/>
                <w:sz w:val="18"/>
                <w:szCs w:val="18"/>
              </w:rPr>
              <w:t>1,019</w:t>
            </w: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D.</w:t>
            </w:r>
            <w:r w:rsidR="00515F13" w:rsidRPr="003F2241">
              <w:rPr>
                <w:color w:val="000000"/>
                <w:sz w:val="18"/>
                <w:szCs w:val="18"/>
              </w:rPr>
              <w:tab/>
            </w:r>
            <w:r w:rsidRPr="003F2241">
              <w:rPr>
                <w:color w:val="000000"/>
                <w:sz w:val="18"/>
                <w:szCs w:val="18"/>
              </w:rPr>
              <w:t>Develop record system</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E.</w:t>
            </w:r>
            <w:r w:rsidR="00515F13" w:rsidRPr="003F2241">
              <w:rPr>
                <w:color w:val="000000"/>
                <w:sz w:val="18"/>
                <w:szCs w:val="18"/>
              </w:rPr>
              <w:tab/>
            </w:r>
            <w:r w:rsidRPr="003F2241">
              <w:rPr>
                <w:color w:val="000000"/>
                <w:sz w:val="18"/>
                <w:szCs w:val="18"/>
              </w:rPr>
              <w:t>Time to enter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F.</w:t>
            </w:r>
            <w:r w:rsidR="00515F13" w:rsidRPr="003F2241">
              <w:rPr>
                <w:color w:val="000000"/>
                <w:sz w:val="18"/>
                <w:szCs w:val="18"/>
              </w:rPr>
              <w:tab/>
            </w:r>
            <w:r w:rsidRPr="003F2241">
              <w:rPr>
                <w:color w:val="000000"/>
                <w:sz w:val="18"/>
                <w:szCs w:val="18"/>
              </w:rPr>
              <w:t>Time to train personnel</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G.</w:t>
            </w:r>
            <w:r w:rsidR="00515F13" w:rsidRPr="003F2241">
              <w:rPr>
                <w:color w:val="000000"/>
                <w:sz w:val="18"/>
                <w:szCs w:val="18"/>
              </w:rPr>
              <w:tab/>
            </w:r>
            <w:r w:rsidRPr="003F2241">
              <w:rPr>
                <w:color w:val="000000"/>
                <w:sz w:val="18"/>
                <w:szCs w:val="18"/>
              </w:rPr>
              <w:t>Time to adjust existing ways to comply with previously applicable requirements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3F2241"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3F2241" w:rsidRPr="003F2241" w:rsidRDefault="003F2241" w:rsidP="00515F13">
            <w:pPr>
              <w:widowControl/>
              <w:tabs>
                <w:tab w:val="left" w:pos="540"/>
              </w:tabs>
              <w:ind w:left="540" w:hanging="270"/>
              <w:rPr>
                <w:color w:val="000000"/>
                <w:sz w:val="18"/>
                <w:szCs w:val="18"/>
              </w:rPr>
            </w:pPr>
            <w:r w:rsidRPr="003F2241">
              <w:rPr>
                <w:color w:val="000000"/>
                <w:sz w:val="18"/>
                <w:szCs w:val="18"/>
              </w:rPr>
              <w:t>H.</w:t>
            </w:r>
            <w:r w:rsidRPr="003F2241">
              <w:rPr>
                <w:color w:val="000000"/>
                <w:sz w:val="18"/>
                <w:szCs w:val="18"/>
              </w:rPr>
              <w:tab/>
              <w:t>Time to transmit or disclose information</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pPr>
              <w:jc w:val="center"/>
              <w:rPr>
                <w:color w:val="000000"/>
                <w:sz w:val="18"/>
                <w:szCs w:val="18"/>
              </w:rPr>
            </w:pPr>
            <w:r w:rsidRPr="003F2241">
              <w:rPr>
                <w:color w:val="000000"/>
                <w:sz w:val="18"/>
                <w:szCs w:val="18"/>
              </w:rPr>
              <w:t>1</w:t>
            </w:r>
          </w:p>
        </w:tc>
        <w:tc>
          <w:tcPr>
            <w:tcW w:w="99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50</w:t>
            </w: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50</w:t>
            </w:r>
          </w:p>
        </w:tc>
        <w:tc>
          <w:tcPr>
            <w:tcW w:w="135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2.5</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w:t>
            </w:r>
          </w:p>
        </w:tc>
        <w:tc>
          <w:tcPr>
            <w:tcW w:w="990" w:type="dxa"/>
            <w:tcBorders>
              <w:top w:val="single" w:sz="2" w:space="0" w:color="auto"/>
              <w:left w:val="single" w:sz="2" w:space="0" w:color="auto"/>
              <w:bottom w:val="single" w:sz="2" w:space="0" w:color="auto"/>
              <w:right w:val="double" w:sz="6" w:space="0" w:color="auto"/>
            </w:tcBorders>
            <w:vAlign w:val="bottom"/>
          </w:tcPr>
          <w:p w:rsidR="003F2241" w:rsidRPr="003F2241" w:rsidRDefault="003F2241" w:rsidP="001B22C1">
            <w:pPr>
              <w:jc w:val="center"/>
              <w:rPr>
                <w:color w:val="000000"/>
                <w:sz w:val="18"/>
                <w:szCs w:val="18"/>
              </w:rPr>
            </w:pPr>
            <w:r w:rsidRPr="003F2241">
              <w:rPr>
                <w:color w:val="000000"/>
                <w:sz w:val="18"/>
                <w:szCs w:val="18"/>
              </w:rPr>
              <w:t>$5,</w:t>
            </w:r>
            <w:r w:rsidR="000F4EC0">
              <w:rPr>
                <w:color w:val="000000"/>
                <w:sz w:val="18"/>
                <w:szCs w:val="18"/>
              </w:rPr>
              <w:t>510</w:t>
            </w:r>
          </w:p>
        </w:tc>
      </w:tr>
      <w:tr w:rsidR="00172F85"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3F2241" w:rsidRDefault="00172F85" w:rsidP="00515F13">
            <w:pPr>
              <w:widowControl/>
              <w:tabs>
                <w:tab w:val="left" w:pos="540"/>
              </w:tabs>
              <w:ind w:left="540" w:hanging="270"/>
              <w:rPr>
                <w:color w:val="000000"/>
                <w:sz w:val="18"/>
                <w:szCs w:val="18"/>
              </w:rPr>
            </w:pPr>
            <w:r w:rsidRPr="003F2241">
              <w:rPr>
                <w:color w:val="000000"/>
                <w:sz w:val="18"/>
                <w:szCs w:val="18"/>
              </w:rPr>
              <w:t>I.</w:t>
            </w:r>
            <w:r w:rsidR="00515F13" w:rsidRPr="003F2241">
              <w:rPr>
                <w:color w:val="000000"/>
                <w:sz w:val="18"/>
                <w:szCs w:val="18"/>
              </w:rPr>
              <w:tab/>
            </w:r>
            <w:r w:rsidRPr="003F2241">
              <w:rPr>
                <w:color w:val="000000"/>
                <w:sz w:val="18"/>
                <w:szCs w:val="18"/>
              </w:rPr>
              <w:t>Time for audits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FA6A3C">
            <w:pPr>
              <w:widowControl/>
              <w:jc w:val="center"/>
              <w:rPr>
                <w:color w:val="000000"/>
                <w:sz w:val="18"/>
                <w:szCs w:val="18"/>
              </w:rPr>
            </w:pPr>
            <w:r w:rsidRPr="003F2241">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3F2241" w:rsidRDefault="00172F85" w:rsidP="001B22C1">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3F2241" w:rsidRDefault="00172F85" w:rsidP="001B22C1">
            <w:pPr>
              <w:tabs>
                <w:tab w:val="left" w:pos="60"/>
                <w:tab w:val="right" w:pos="780"/>
              </w:tabs>
              <w:ind w:right="110"/>
              <w:jc w:val="center"/>
              <w:rPr>
                <w:color w:val="000000"/>
                <w:sz w:val="18"/>
                <w:szCs w:val="18"/>
              </w:rPr>
            </w:pPr>
          </w:p>
        </w:tc>
      </w:tr>
      <w:tr w:rsidR="003F2241"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3F2241" w:rsidRPr="003F2241" w:rsidRDefault="003F2241" w:rsidP="001F1CC9">
            <w:pPr>
              <w:widowControl/>
              <w:rPr>
                <w:color w:val="000000"/>
                <w:sz w:val="18"/>
                <w:szCs w:val="18"/>
              </w:rPr>
            </w:pPr>
            <w:r w:rsidRPr="003F2241">
              <w:rPr>
                <w:b/>
                <w:bCs/>
                <w:color w:val="000000"/>
                <w:sz w:val="18"/>
                <w:szCs w:val="18"/>
              </w:rPr>
              <w:t xml:space="preserve">TOTAL </w:t>
            </w:r>
            <w:r w:rsidR="00595C41">
              <w:rPr>
                <w:b/>
                <w:bCs/>
                <w:color w:val="000000"/>
                <w:sz w:val="18"/>
                <w:szCs w:val="18"/>
              </w:rPr>
              <w:t xml:space="preserve">ANNUAL </w:t>
            </w:r>
            <w:r w:rsidRPr="003F2241">
              <w:rPr>
                <w:b/>
                <w:bCs/>
                <w:color w:val="000000"/>
                <w:sz w:val="18"/>
                <w:szCs w:val="18"/>
              </w:rPr>
              <w:t>LABOR BURDEN AND COST (SALARY)</w:t>
            </w:r>
          </w:p>
        </w:tc>
        <w:tc>
          <w:tcPr>
            <w:tcW w:w="1080" w:type="dxa"/>
            <w:tcBorders>
              <w:top w:val="single" w:sz="2" w:space="0" w:color="auto"/>
              <w:left w:val="single" w:sz="2" w:space="0" w:color="auto"/>
              <w:bottom w:val="single" w:sz="2" w:space="0" w:color="auto"/>
              <w:right w:val="single" w:sz="2" w:space="0" w:color="auto"/>
            </w:tcBorders>
            <w:vAlign w:val="center"/>
          </w:tcPr>
          <w:p w:rsidR="003F2241" w:rsidRPr="003F2241" w:rsidRDefault="003F2241"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3F2241" w:rsidRPr="003F2241" w:rsidRDefault="003F2241"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3F2241" w:rsidRPr="003F2241" w:rsidRDefault="003F2241" w:rsidP="001B22C1">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3F2241" w:rsidRPr="003F2241" w:rsidRDefault="003F2241" w:rsidP="001B22C1">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2368AD">
            <w:pPr>
              <w:jc w:val="center"/>
              <w:rPr>
                <w:color w:val="000000"/>
                <w:sz w:val="18"/>
                <w:szCs w:val="18"/>
              </w:rPr>
            </w:pPr>
            <w:r w:rsidRPr="003F2241">
              <w:rPr>
                <w:color w:val="000000"/>
                <w:sz w:val="18"/>
                <w:szCs w:val="18"/>
              </w:rPr>
              <w:t>1</w:t>
            </w:r>
            <w:r w:rsidR="002368AD">
              <w:rPr>
                <w:color w:val="000000"/>
                <w:sz w:val="18"/>
                <w:szCs w:val="18"/>
              </w:rPr>
              <w:t>503</w:t>
            </w:r>
            <w:r w:rsidRPr="003F2241">
              <w:rPr>
                <w:color w:val="000000"/>
                <w:sz w:val="18"/>
                <w:szCs w:val="18"/>
              </w:rPr>
              <w:t>.6</w:t>
            </w:r>
          </w:p>
        </w:tc>
        <w:tc>
          <w:tcPr>
            <w:tcW w:w="135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73.68</w:t>
            </w:r>
          </w:p>
        </w:tc>
        <w:tc>
          <w:tcPr>
            <w:tcW w:w="1080" w:type="dxa"/>
            <w:tcBorders>
              <w:top w:val="single" w:sz="2" w:space="0" w:color="auto"/>
              <w:left w:val="single" w:sz="2" w:space="0" w:color="auto"/>
              <w:bottom w:val="single" w:sz="2" w:space="0" w:color="auto"/>
              <w:right w:val="single" w:sz="2" w:space="0" w:color="auto"/>
            </w:tcBorders>
            <w:vAlign w:val="bottom"/>
          </w:tcPr>
          <w:p w:rsidR="003F2241" w:rsidRPr="003F2241" w:rsidRDefault="003F2241" w:rsidP="001B22C1">
            <w:pPr>
              <w:jc w:val="center"/>
              <w:rPr>
                <w:color w:val="000000"/>
                <w:sz w:val="18"/>
                <w:szCs w:val="18"/>
              </w:rPr>
            </w:pPr>
            <w:r w:rsidRPr="003F2241">
              <w:rPr>
                <w:color w:val="000000"/>
                <w:sz w:val="18"/>
                <w:szCs w:val="18"/>
              </w:rPr>
              <w:t>147.36</w:t>
            </w:r>
          </w:p>
        </w:tc>
        <w:tc>
          <w:tcPr>
            <w:tcW w:w="990" w:type="dxa"/>
            <w:tcBorders>
              <w:top w:val="single" w:sz="2" w:space="0" w:color="auto"/>
              <w:left w:val="single" w:sz="2" w:space="0" w:color="auto"/>
              <w:bottom w:val="single" w:sz="2" w:space="0" w:color="auto"/>
              <w:right w:val="double" w:sz="6" w:space="0" w:color="auto"/>
            </w:tcBorders>
            <w:vAlign w:val="bottom"/>
          </w:tcPr>
          <w:p w:rsidR="003F2241" w:rsidRPr="003F2241" w:rsidRDefault="003F2241" w:rsidP="001B22C1">
            <w:pPr>
              <w:jc w:val="center"/>
              <w:rPr>
                <w:color w:val="000000"/>
                <w:sz w:val="18"/>
                <w:szCs w:val="18"/>
              </w:rPr>
            </w:pPr>
            <w:r w:rsidRPr="003F2241">
              <w:rPr>
                <w:color w:val="000000"/>
                <w:sz w:val="18"/>
                <w:szCs w:val="18"/>
              </w:rPr>
              <w:t>$</w:t>
            </w:r>
            <w:r w:rsidR="00B06491">
              <w:rPr>
                <w:color w:val="000000"/>
                <w:sz w:val="18"/>
                <w:szCs w:val="18"/>
              </w:rPr>
              <w:t>165,521</w:t>
            </w:r>
          </w:p>
        </w:tc>
      </w:tr>
      <w:tr w:rsidR="00595C41" w:rsidRPr="003F2241" w:rsidTr="00FA6A3C">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595C41" w:rsidRPr="003F2241" w:rsidRDefault="00595C41" w:rsidP="001F1CC9">
            <w:pPr>
              <w:widowControl/>
              <w:rPr>
                <w:color w:val="000000"/>
                <w:sz w:val="18"/>
                <w:szCs w:val="18"/>
              </w:rPr>
            </w:pPr>
            <w:r>
              <w:rPr>
                <w:color w:val="000000"/>
                <w:sz w:val="18"/>
                <w:szCs w:val="18"/>
              </w:rPr>
              <w:t>ANNUAL COSTS</w:t>
            </w:r>
            <w:r w:rsidR="00B06491">
              <w:rPr>
                <w:color w:val="000000"/>
                <w:sz w:val="18"/>
                <w:szCs w:val="18"/>
              </w:rPr>
              <w:t xml:space="preserve"> (O&amp;M)</w:t>
            </w:r>
          </w:p>
        </w:tc>
        <w:tc>
          <w:tcPr>
            <w:tcW w:w="8910" w:type="dxa"/>
            <w:gridSpan w:val="8"/>
            <w:tcBorders>
              <w:top w:val="single" w:sz="2" w:space="0" w:color="auto"/>
              <w:left w:val="single" w:sz="2" w:space="0" w:color="auto"/>
              <w:bottom w:val="single" w:sz="2" w:space="0" w:color="auto"/>
              <w:right w:val="double" w:sz="6" w:space="0" w:color="auto"/>
            </w:tcBorders>
            <w:vAlign w:val="center"/>
          </w:tcPr>
          <w:p w:rsidR="00595C41" w:rsidRPr="003F2241" w:rsidRDefault="00595C41" w:rsidP="00FA6A3C">
            <w:pPr>
              <w:jc w:val="center"/>
              <w:rPr>
                <w:color w:val="000000"/>
                <w:sz w:val="18"/>
                <w:szCs w:val="18"/>
              </w:rPr>
            </w:pPr>
          </w:p>
        </w:tc>
      </w:tr>
      <w:tr w:rsidR="00595C41" w:rsidRPr="003F2241" w:rsidTr="00595C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595C41" w:rsidRPr="003F2241" w:rsidRDefault="00595C41" w:rsidP="003A0A15">
            <w:pPr>
              <w:widowControl/>
              <w:rPr>
                <w:color w:val="000000"/>
                <w:sz w:val="18"/>
                <w:szCs w:val="18"/>
              </w:rPr>
            </w:pPr>
            <w:r>
              <w:rPr>
                <w:color w:val="000000"/>
                <w:sz w:val="18"/>
                <w:szCs w:val="18"/>
              </w:rPr>
              <w:t xml:space="preserve">      HF </w:t>
            </w:r>
            <w:proofErr w:type="spellStart"/>
            <w:r w:rsidR="003A0A15">
              <w:rPr>
                <w:color w:val="000000"/>
                <w:sz w:val="18"/>
                <w:szCs w:val="18"/>
              </w:rPr>
              <w:t>testing</w:t>
            </w:r>
            <w:r w:rsidR="003A0A15">
              <w:rPr>
                <w:color w:val="000000"/>
                <w:sz w:val="18"/>
                <w:szCs w:val="18"/>
                <w:vertAlign w:val="superscript"/>
              </w:rPr>
              <w:t>e</w:t>
            </w:r>
            <w:proofErr w:type="spellEnd"/>
          </w:p>
        </w:tc>
        <w:tc>
          <w:tcPr>
            <w:tcW w:w="8910" w:type="dxa"/>
            <w:gridSpan w:val="8"/>
            <w:tcBorders>
              <w:top w:val="single" w:sz="2" w:space="0" w:color="auto"/>
              <w:left w:val="single" w:sz="2" w:space="0" w:color="auto"/>
              <w:bottom w:val="single" w:sz="2" w:space="0" w:color="auto"/>
              <w:right w:val="double" w:sz="6" w:space="0" w:color="auto"/>
            </w:tcBorders>
            <w:vAlign w:val="bottom"/>
          </w:tcPr>
          <w:p w:rsidR="00595C41" w:rsidRPr="003F2241" w:rsidRDefault="00595C41" w:rsidP="00C1720F">
            <w:pPr>
              <w:jc w:val="right"/>
              <w:rPr>
                <w:color w:val="000000"/>
                <w:sz w:val="18"/>
                <w:szCs w:val="18"/>
              </w:rPr>
            </w:pPr>
            <w:r>
              <w:rPr>
                <w:color w:val="000000"/>
                <w:sz w:val="18"/>
                <w:szCs w:val="18"/>
              </w:rPr>
              <w:t>$1</w:t>
            </w:r>
            <w:r w:rsidR="00C1720F">
              <w:rPr>
                <w:color w:val="000000"/>
                <w:sz w:val="18"/>
                <w:szCs w:val="18"/>
              </w:rPr>
              <w:t>1</w:t>
            </w:r>
            <w:r>
              <w:rPr>
                <w:color w:val="000000"/>
                <w:sz w:val="18"/>
                <w:szCs w:val="18"/>
              </w:rPr>
              <w:t>,000</w:t>
            </w:r>
          </w:p>
        </w:tc>
      </w:tr>
      <w:tr w:rsidR="00595C41" w:rsidRPr="003F2241" w:rsidTr="00595C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595C41" w:rsidRPr="003F2241" w:rsidRDefault="00595C41" w:rsidP="00A01B57">
            <w:pPr>
              <w:widowControl/>
              <w:rPr>
                <w:color w:val="000000"/>
                <w:sz w:val="18"/>
                <w:szCs w:val="18"/>
              </w:rPr>
            </w:pPr>
            <w:r>
              <w:rPr>
                <w:color w:val="000000"/>
                <w:sz w:val="18"/>
                <w:szCs w:val="18"/>
              </w:rPr>
              <w:t xml:space="preserve">      Changing furnace </w:t>
            </w:r>
            <w:r w:rsidR="00A01B57">
              <w:rPr>
                <w:color w:val="000000"/>
                <w:sz w:val="18"/>
                <w:szCs w:val="18"/>
              </w:rPr>
              <w:t>classification</w:t>
            </w:r>
            <w:r>
              <w:rPr>
                <w:color w:val="000000"/>
                <w:sz w:val="18"/>
                <w:szCs w:val="18"/>
              </w:rPr>
              <w:t xml:space="preserve">, </w:t>
            </w:r>
            <w:proofErr w:type="spellStart"/>
            <w:r>
              <w:rPr>
                <w:color w:val="000000"/>
                <w:sz w:val="18"/>
                <w:szCs w:val="18"/>
              </w:rPr>
              <w:t>testing</w:t>
            </w:r>
            <w:r w:rsidR="00F7569D" w:rsidRPr="00F7569D">
              <w:rPr>
                <w:color w:val="000000"/>
                <w:sz w:val="18"/>
                <w:szCs w:val="18"/>
                <w:vertAlign w:val="superscript"/>
              </w:rPr>
              <w:t>c</w:t>
            </w:r>
            <w:proofErr w:type="spellEnd"/>
          </w:p>
        </w:tc>
        <w:tc>
          <w:tcPr>
            <w:tcW w:w="8910" w:type="dxa"/>
            <w:gridSpan w:val="8"/>
            <w:tcBorders>
              <w:top w:val="single" w:sz="2" w:space="0" w:color="auto"/>
              <w:left w:val="single" w:sz="2" w:space="0" w:color="auto"/>
              <w:bottom w:val="single" w:sz="2" w:space="0" w:color="auto"/>
              <w:right w:val="double" w:sz="6" w:space="0" w:color="auto"/>
            </w:tcBorders>
            <w:vAlign w:val="bottom"/>
          </w:tcPr>
          <w:p w:rsidR="00595C41" w:rsidRPr="003F2241" w:rsidRDefault="00595C41" w:rsidP="00595C41">
            <w:pPr>
              <w:jc w:val="right"/>
              <w:rPr>
                <w:color w:val="000000"/>
                <w:sz w:val="18"/>
                <w:szCs w:val="18"/>
              </w:rPr>
            </w:pPr>
            <w:r>
              <w:rPr>
                <w:color w:val="000000"/>
                <w:sz w:val="18"/>
                <w:szCs w:val="18"/>
              </w:rPr>
              <w:t>$500,000</w:t>
            </w:r>
          </w:p>
        </w:tc>
      </w:tr>
      <w:tr w:rsidR="003F2241"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single" w:sz="2" w:space="0" w:color="auto"/>
              <w:right w:val="single" w:sz="2" w:space="0" w:color="auto"/>
            </w:tcBorders>
          </w:tcPr>
          <w:p w:rsidR="003F2241" w:rsidRPr="003F2241" w:rsidRDefault="003F2241" w:rsidP="003A0A15">
            <w:pPr>
              <w:widowControl/>
              <w:rPr>
                <w:color w:val="000000"/>
                <w:sz w:val="18"/>
                <w:szCs w:val="18"/>
              </w:rPr>
            </w:pPr>
            <w:r w:rsidRPr="003F2241">
              <w:rPr>
                <w:color w:val="000000"/>
                <w:sz w:val="18"/>
                <w:szCs w:val="18"/>
              </w:rPr>
              <w:t>ANNUAL</w:t>
            </w:r>
            <w:r w:rsidR="00595C41">
              <w:rPr>
                <w:color w:val="000000"/>
                <w:sz w:val="18"/>
                <w:szCs w:val="18"/>
              </w:rPr>
              <w:t>IZED</w:t>
            </w:r>
            <w:r w:rsidRPr="003F2241">
              <w:rPr>
                <w:color w:val="000000"/>
                <w:sz w:val="18"/>
                <w:szCs w:val="18"/>
              </w:rPr>
              <w:t xml:space="preserve"> CAPITAL </w:t>
            </w:r>
            <w:proofErr w:type="spellStart"/>
            <w:r w:rsidR="003A0A15" w:rsidRPr="003F2241">
              <w:rPr>
                <w:color w:val="000000"/>
                <w:sz w:val="18"/>
                <w:szCs w:val="18"/>
              </w:rPr>
              <w:t>COSTS</w:t>
            </w:r>
            <w:r w:rsidR="003A0A15">
              <w:rPr>
                <w:color w:val="000000"/>
                <w:sz w:val="18"/>
                <w:szCs w:val="18"/>
                <w:vertAlign w:val="superscript"/>
              </w:rPr>
              <w:t>f</w:t>
            </w:r>
            <w:proofErr w:type="spellEnd"/>
          </w:p>
        </w:tc>
        <w:tc>
          <w:tcPr>
            <w:tcW w:w="7920" w:type="dxa"/>
            <w:gridSpan w:val="7"/>
            <w:tcBorders>
              <w:top w:val="single" w:sz="2" w:space="0" w:color="auto"/>
              <w:left w:val="single" w:sz="2" w:space="0" w:color="auto"/>
              <w:bottom w:val="single" w:sz="2" w:space="0" w:color="auto"/>
              <w:right w:val="single" w:sz="2" w:space="0" w:color="auto"/>
            </w:tcBorders>
          </w:tcPr>
          <w:p w:rsidR="003F2241" w:rsidRPr="003F2241" w:rsidRDefault="003F2241" w:rsidP="0094117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bottom"/>
          </w:tcPr>
          <w:p w:rsidR="003F2241" w:rsidRPr="003F2241" w:rsidRDefault="003F2241" w:rsidP="00C1720F">
            <w:pPr>
              <w:jc w:val="right"/>
              <w:rPr>
                <w:color w:val="000000"/>
                <w:sz w:val="18"/>
                <w:szCs w:val="18"/>
              </w:rPr>
            </w:pPr>
            <w:r w:rsidRPr="003F2241">
              <w:rPr>
                <w:color w:val="000000"/>
                <w:sz w:val="18"/>
                <w:szCs w:val="18"/>
              </w:rPr>
              <w:t>$</w:t>
            </w:r>
            <w:r w:rsidR="00C1720F">
              <w:rPr>
                <w:color w:val="000000"/>
                <w:sz w:val="18"/>
                <w:szCs w:val="18"/>
              </w:rPr>
              <w:t>1,200</w:t>
            </w:r>
            <w:r w:rsidRPr="003F2241">
              <w:rPr>
                <w:color w:val="000000"/>
                <w:sz w:val="18"/>
                <w:szCs w:val="18"/>
              </w:rPr>
              <w:t>,</w:t>
            </w:r>
            <w:r w:rsidR="003A0A15">
              <w:rPr>
                <w:color w:val="000000"/>
                <w:sz w:val="18"/>
                <w:szCs w:val="18"/>
              </w:rPr>
              <w:t>0</w:t>
            </w:r>
            <w:r w:rsidRPr="003F2241">
              <w:rPr>
                <w:color w:val="000000"/>
                <w:sz w:val="18"/>
                <w:szCs w:val="18"/>
              </w:rPr>
              <w:t>00</w:t>
            </w:r>
          </w:p>
        </w:tc>
      </w:tr>
      <w:tr w:rsidR="003F2241" w:rsidRPr="003F2241" w:rsidTr="003F2241">
        <w:tblPrEx>
          <w:tblCellMar>
            <w:top w:w="0" w:type="dxa"/>
            <w:bottom w:w="0" w:type="dxa"/>
          </w:tblCellMar>
        </w:tblPrEx>
        <w:trPr>
          <w:trHeight w:val="223"/>
        </w:trPr>
        <w:tc>
          <w:tcPr>
            <w:tcW w:w="4170" w:type="dxa"/>
            <w:tcBorders>
              <w:top w:val="single" w:sz="2" w:space="0" w:color="auto"/>
              <w:left w:val="double" w:sz="6" w:space="0" w:color="auto"/>
              <w:bottom w:val="double" w:sz="6" w:space="0" w:color="auto"/>
              <w:right w:val="single" w:sz="2" w:space="0" w:color="auto"/>
            </w:tcBorders>
          </w:tcPr>
          <w:p w:rsidR="003F2241" w:rsidRPr="003F2241" w:rsidRDefault="003F2241" w:rsidP="001F1CC9">
            <w:pPr>
              <w:widowControl/>
              <w:rPr>
                <w:b/>
                <w:color w:val="000000"/>
                <w:sz w:val="18"/>
                <w:szCs w:val="18"/>
              </w:rPr>
            </w:pPr>
            <w:r w:rsidRPr="003F2241">
              <w:rPr>
                <w:b/>
                <w:color w:val="000000"/>
                <w:sz w:val="18"/>
                <w:szCs w:val="18"/>
              </w:rPr>
              <w:t>TOTAL ANNUALIZED COSTS</w:t>
            </w:r>
            <w:r w:rsidR="00B06491">
              <w:rPr>
                <w:b/>
                <w:color w:val="000000"/>
                <w:sz w:val="18"/>
                <w:szCs w:val="18"/>
              </w:rPr>
              <w:t xml:space="preserve"> (annualized capital cost and annual O&amp;M costs)</w:t>
            </w:r>
          </w:p>
        </w:tc>
        <w:tc>
          <w:tcPr>
            <w:tcW w:w="7920" w:type="dxa"/>
            <w:gridSpan w:val="7"/>
            <w:tcBorders>
              <w:top w:val="single" w:sz="2" w:space="0" w:color="auto"/>
              <w:left w:val="single" w:sz="2" w:space="0" w:color="auto"/>
              <w:bottom w:val="double" w:sz="6" w:space="0" w:color="auto"/>
              <w:right w:val="single" w:sz="2" w:space="0" w:color="auto"/>
            </w:tcBorders>
          </w:tcPr>
          <w:p w:rsidR="003F2241" w:rsidRPr="003F2241" w:rsidRDefault="003F2241"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vAlign w:val="bottom"/>
          </w:tcPr>
          <w:p w:rsidR="003F2241" w:rsidRPr="003F2241" w:rsidRDefault="003F2241" w:rsidP="003A0A15">
            <w:pPr>
              <w:jc w:val="right"/>
              <w:rPr>
                <w:color w:val="000000"/>
                <w:sz w:val="18"/>
                <w:szCs w:val="18"/>
              </w:rPr>
            </w:pPr>
            <w:r w:rsidRPr="003F2241">
              <w:rPr>
                <w:color w:val="000000"/>
                <w:sz w:val="18"/>
                <w:szCs w:val="18"/>
              </w:rPr>
              <w:t>$</w:t>
            </w:r>
            <w:r w:rsidR="00B06491">
              <w:rPr>
                <w:color w:val="000000"/>
                <w:sz w:val="18"/>
                <w:szCs w:val="18"/>
              </w:rPr>
              <w:t>1,</w:t>
            </w:r>
            <w:r w:rsidR="003A0A15">
              <w:rPr>
                <w:color w:val="000000"/>
                <w:sz w:val="18"/>
                <w:szCs w:val="18"/>
              </w:rPr>
              <w:t>711,000</w:t>
            </w:r>
          </w:p>
        </w:tc>
      </w:tr>
    </w:tbl>
    <w:bookmarkEnd w:id="0"/>
    <w:bookmarkEnd w:id="1"/>
    <w:bookmarkEnd w:id="2"/>
    <w:p w:rsidR="00235A9F" w:rsidRPr="0081784F" w:rsidRDefault="00235A9F" w:rsidP="00515F13">
      <w:pPr>
        <w:widowControl/>
        <w:spacing w:before="60" w:after="60"/>
        <w:rPr>
          <w:sz w:val="18"/>
          <w:szCs w:val="18"/>
        </w:rPr>
      </w:pPr>
      <w:r w:rsidRPr="0081784F">
        <w:rPr>
          <w:sz w:val="18"/>
          <w:szCs w:val="18"/>
        </w:rPr>
        <w:t>N/A = not applicable.</w:t>
      </w:r>
    </w:p>
    <w:p w:rsidR="009F2CCA" w:rsidRPr="0081784F" w:rsidRDefault="005F05FD" w:rsidP="00515F13">
      <w:pPr>
        <w:widowControl/>
        <w:tabs>
          <w:tab w:val="left" w:pos="180"/>
        </w:tabs>
        <w:spacing w:after="60"/>
        <w:ind w:left="180" w:hanging="180"/>
        <w:rPr>
          <w:bCs/>
          <w:sz w:val="18"/>
          <w:szCs w:val="18"/>
        </w:rPr>
      </w:pPr>
      <w:proofErr w:type="gramStart"/>
      <w:r w:rsidRPr="0081784F">
        <w:rPr>
          <w:bCs/>
          <w:sz w:val="18"/>
          <w:szCs w:val="18"/>
          <w:vertAlign w:val="superscript"/>
        </w:rPr>
        <w:lastRenderedPageBreak/>
        <w:t>a</w:t>
      </w:r>
      <w:proofErr w:type="gramEnd"/>
      <w:r w:rsidR="00515F13">
        <w:rPr>
          <w:bCs/>
          <w:sz w:val="18"/>
          <w:szCs w:val="18"/>
        </w:rPr>
        <w:tab/>
      </w:r>
      <w:r w:rsidR="00FE1041" w:rsidRPr="0081784F">
        <w:rPr>
          <w:bCs/>
          <w:sz w:val="18"/>
          <w:szCs w:val="18"/>
        </w:rPr>
        <w:t>T</w:t>
      </w:r>
      <w:r w:rsidR="009F2CCA" w:rsidRPr="0081784F">
        <w:rPr>
          <w:bCs/>
          <w:sz w:val="18"/>
          <w:szCs w:val="18"/>
        </w:rPr>
        <w:t>his ICR uses the following labor rates</w:t>
      </w:r>
      <w:r w:rsidR="009F2CCA" w:rsidRPr="00D720BF">
        <w:rPr>
          <w:bCs/>
          <w:sz w:val="18"/>
          <w:szCs w:val="18"/>
        </w:rPr>
        <w:t>: $</w:t>
      </w:r>
      <w:r w:rsidR="00F53944">
        <w:rPr>
          <w:bCs/>
          <w:sz w:val="18"/>
          <w:szCs w:val="18"/>
        </w:rPr>
        <w:t>1</w:t>
      </w:r>
      <w:r w:rsidR="001B22C1">
        <w:rPr>
          <w:bCs/>
          <w:sz w:val="18"/>
          <w:szCs w:val="18"/>
        </w:rPr>
        <w:t>21.42</w:t>
      </w:r>
      <w:r w:rsidR="00741706" w:rsidRPr="00D720BF">
        <w:rPr>
          <w:bCs/>
          <w:sz w:val="18"/>
          <w:szCs w:val="18"/>
        </w:rPr>
        <w:t xml:space="preserve"> </w:t>
      </w:r>
      <w:r w:rsidR="009F2CCA" w:rsidRPr="00D720BF">
        <w:rPr>
          <w:bCs/>
          <w:sz w:val="18"/>
          <w:szCs w:val="18"/>
        </w:rPr>
        <w:t xml:space="preserve">for managerial labor, </w:t>
      </w:r>
      <w:r w:rsidR="00741706" w:rsidRPr="00D720BF">
        <w:rPr>
          <w:bCs/>
          <w:sz w:val="18"/>
          <w:szCs w:val="18"/>
        </w:rPr>
        <w:t>$</w:t>
      </w:r>
      <w:r w:rsidR="00F53944">
        <w:rPr>
          <w:bCs/>
          <w:sz w:val="18"/>
          <w:szCs w:val="18"/>
        </w:rPr>
        <w:t>9</w:t>
      </w:r>
      <w:r w:rsidR="001B22C1">
        <w:rPr>
          <w:bCs/>
          <w:sz w:val="18"/>
          <w:szCs w:val="18"/>
        </w:rPr>
        <w:t>9.14</w:t>
      </w:r>
      <w:r w:rsidR="00F53944">
        <w:rPr>
          <w:bCs/>
          <w:sz w:val="18"/>
          <w:szCs w:val="18"/>
        </w:rPr>
        <w:t xml:space="preserve"> </w:t>
      </w:r>
      <w:r w:rsidR="009F2CCA" w:rsidRPr="00D720BF">
        <w:rPr>
          <w:bCs/>
          <w:sz w:val="18"/>
          <w:szCs w:val="18"/>
        </w:rPr>
        <w:t xml:space="preserve">for technical labor, and </w:t>
      </w:r>
      <w:r w:rsidR="00741706" w:rsidRPr="00D720BF">
        <w:rPr>
          <w:bCs/>
          <w:sz w:val="18"/>
          <w:szCs w:val="18"/>
        </w:rPr>
        <w:t>$</w:t>
      </w:r>
      <w:r w:rsidR="001B22C1">
        <w:rPr>
          <w:bCs/>
          <w:sz w:val="18"/>
          <w:szCs w:val="18"/>
        </w:rPr>
        <w:t>49.81</w:t>
      </w:r>
      <w:r w:rsidR="00F53944">
        <w:rPr>
          <w:bCs/>
          <w:sz w:val="18"/>
          <w:szCs w:val="18"/>
        </w:rPr>
        <w:t xml:space="preserve"> </w:t>
      </w:r>
      <w:r w:rsidR="009F2CCA" w:rsidRPr="00D720BF">
        <w:rPr>
          <w:bCs/>
          <w:sz w:val="18"/>
          <w:szCs w:val="18"/>
        </w:rPr>
        <w:t>for clerical labor.</w:t>
      </w:r>
      <w:r w:rsidR="00576C21">
        <w:rPr>
          <w:bCs/>
          <w:sz w:val="18"/>
          <w:szCs w:val="18"/>
        </w:rPr>
        <w:t xml:space="preserve"> </w:t>
      </w:r>
      <w:r w:rsidR="009F2CCA" w:rsidRPr="00D720BF">
        <w:rPr>
          <w:bCs/>
          <w:sz w:val="18"/>
          <w:szCs w:val="18"/>
        </w:rPr>
        <w:t xml:space="preserve">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w:t>
      </w:r>
      <w:r w:rsidR="001B22C1">
        <w:rPr>
          <w:bCs/>
          <w:sz w:val="18"/>
          <w:szCs w:val="18"/>
        </w:rPr>
        <w:t>September, 2011</w:t>
      </w:r>
      <w:r w:rsidR="0081784F" w:rsidRPr="00D720BF">
        <w:rPr>
          <w:bCs/>
          <w:sz w:val="18"/>
          <w:szCs w:val="18"/>
        </w:rPr>
        <w:t>.</w:t>
      </w:r>
    </w:p>
    <w:p w:rsidR="009B2C09" w:rsidRDefault="009B0A88" w:rsidP="00515F13">
      <w:pPr>
        <w:widowControl/>
        <w:tabs>
          <w:tab w:val="left" w:pos="180"/>
        </w:tabs>
        <w:spacing w:after="60"/>
        <w:ind w:left="180" w:hanging="180"/>
        <w:rPr>
          <w:bCs/>
          <w:sz w:val="18"/>
          <w:szCs w:val="18"/>
        </w:rPr>
      </w:pPr>
      <w:proofErr w:type="gramStart"/>
      <w:r w:rsidRPr="0081784F">
        <w:rPr>
          <w:bCs/>
          <w:sz w:val="18"/>
          <w:szCs w:val="18"/>
          <w:vertAlign w:val="superscript"/>
        </w:rPr>
        <w:t>b</w:t>
      </w:r>
      <w:proofErr w:type="gramEnd"/>
      <w:r w:rsidR="00515F13">
        <w:rPr>
          <w:bCs/>
          <w:sz w:val="18"/>
          <w:szCs w:val="18"/>
          <w:vertAlign w:val="superscript"/>
        </w:rPr>
        <w:tab/>
      </w:r>
      <w:r w:rsidR="0081784F" w:rsidRPr="0081784F">
        <w:rPr>
          <w:bCs/>
          <w:sz w:val="18"/>
          <w:szCs w:val="18"/>
        </w:rPr>
        <w:t xml:space="preserve">There </w:t>
      </w:r>
      <w:r w:rsidR="00801E29">
        <w:rPr>
          <w:bCs/>
          <w:sz w:val="18"/>
          <w:szCs w:val="18"/>
        </w:rPr>
        <w:t>is</w:t>
      </w:r>
      <w:r w:rsidR="00801E29" w:rsidRPr="0081784F">
        <w:rPr>
          <w:bCs/>
          <w:sz w:val="18"/>
          <w:szCs w:val="18"/>
        </w:rPr>
        <w:t xml:space="preserve"> </w:t>
      </w:r>
      <w:r w:rsidR="0081784F" w:rsidRPr="0081784F">
        <w:rPr>
          <w:bCs/>
          <w:sz w:val="18"/>
          <w:szCs w:val="18"/>
        </w:rPr>
        <w:t xml:space="preserve">an estimated </w:t>
      </w:r>
      <w:r w:rsidR="00F8330F">
        <w:rPr>
          <w:bCs/>
          <w:sz w:val="18"/>
          <w:szCs w:val="18"/>
        </w:rPr>
        <w:t>1</w:t>
      </w:r>
      <w:r w:rsidR="003F2241">
        <w:rPr>
          <w:bCs/>
          <w:sz w:val="18"/>
          <w:szCs w:val="18"/>
        </w:rPr>
        <w:t>61</w:t>
      </w:r>
      <w:r w:rsidR="0081784F" w:rsidRPr="0081784F">
        <w:rPr>
          <w:bCs/>
          <w:sz w:val="18"/>
          <w:szCs w:val="18"/>
        </w:rPr>
        <w:t xml:space="preserve"> existing </w:t>
      </w:r>
      <w:r w:rsidR="009C542F">
        <w:rPr>
          <w:bCs/>
          <w:sz w:val="18"/>
          <w:szCs w:val="18"/>
        </w:rPr>
        <w:t>facilities;</w:t>
      </w:r>
      <w:r w:rsidR="0081784F" w:rsidRPr="0081784F">
        <w:rPr>
          <w:bCs/>
          <w:sz w:val="18"/>
          <w:szCs w:val="18"/>
        </w:rPr>
        <w:t xml:space="preserve"> no new facilities are expected</w:t>
      </w:r>
      <w:r w:rsidR="009B2C09" w:rsidRPr="0081784F">
        <w:rPr>
          <w:bCs/>
          <w:sz w:val="18"/>
          <w:szCs w:val="18"/>
        </w:rPr>
        <w:t>.</w:t>
      </w:r>
    </w:p>
    <w:p w:rsidR="00F7569D" w:rsidRDefault="00F7569D" w:rsidP="00F7569D">
      <w:pPr>
        <w:widowControl/>
        <w:tabs>
          <w:tab w:val="left" w:pos="180"/>
        </w:tabs>
        <w:spacing w:after="60"/>
        <w:ind w:left="180" w:hanging="180"/>
        <w:rPr>
          <w:bCs/>
          <w:sz w:val="18"/>
          <w:szCs w:val="18"/>
        </w:rPr>
      </w:pPr>
      <w:proofErr w:type="gramStart"/>
      <w:r w:rsidRPr="009C542F">
        <w:rPr>
          <w:bCs/>
          <w:sz w:val="18"/>
          <w:szCs w:val="18"/>
          <w:vertAlign w:val="superscript"/>
        </w:rPr>
        <w:t>c</w:t>
      </w:r>
      <w:proofErr w:type="gramEnd"/>
      <w:r>
        <w:rPr>
          <w:bCs/>
          <w:sz w:val="18"/>
          <w:szCs w:val="18"/>
        </w:rPr>
        <w:t xml:space="preserve">   An estimated 50 facilities would change furnace </w:t>
      </w:r>
      <w:r w:rsidR="00A01B57">
        <w:rPr>
          <w:bCs/>
          <w:sz w:val="18"/>
          <w:szCs w:val="18"/>
        </w:rPr>
        <w:t>classifications</w:t>
      </w:r>
      <w:r>
        <w:rPr>
          <w:bCs/>
          <w:sz w:val="18"/>
          <w:szCs w:val="18"/>
        </w:rPr>
        <w:t xml:space="preserve"> once per year. Testing for furnace changing is estimated at a cost of $10,000 per facility.</w:t>
      </w:r>
    </w:p>
    <w:p w:rsidR="000F4EC0" w:rsidRDefault="00F7569D" w:rsidP="00515F13">
      <w:pPr>
        <w:widowControl/>
        <w:tabs>
          <w:tab w:val="left" w:pos="180"/>
        </w:tabs>
        <w:spacing w:after="60"/>
        <w:ind w:left="180" w:hanging="180"/>
        <w:rPr>
          <w:bCs/>
          <w:sz w:val="18"/>
          <w:szCs w:val="18"/>
        </w:rPr>
      </w:pPr>
      <w:proofErr w:type="gramStart"/>
      <w:r>
        <w:rPr>
          <w:bCs/>
          <w:sz w:val="18"/>
          <w:szCs w:val="18"/>
          <w:vertAlign w:val="superscript"/>
        </w:rPr>
        <w:t>d</w:t>
      </w:r>
      <w:proofErr w:type="gramEnd"/>
      <w:r w:rsidR="000F4EC0">
        <w:rPr>
          <w:bCs/>
          <w:sz w:val="18"/>
          <w:szCs w:val="18"/>
        </w:rPr>
        <w:t xml:space="preserve">  </w:t>
      </w:r>
      <w:r w:rsidR="00905A7D">
        <w:rPr>
          <w:bCs/>
          <w:sz w:val="18"/>
          <w:szCs w:val="18"/>
        </w:rPr>
        <w:t xml:space="preserve"> </w:t>
      </w:r>
      <w:r w:rsidR="000F4EC0">
        <w:rPr>
          <w:bCs/>
          <w:sz w:val="18"/>
          <w:szCs w:val="18"/>
        </w:rPr>
        <w:t xml:space="preserve">See Section </w:t>
      </w:r>
      <w:r w:rsidR="00905A7D">
        <w:rPr>
          <w:bCs/>
          <w:sz w:val="18"/>
          <w:szCs w:val="18"/>
        </w:rPr>
        <w:t xml:space="preserve">4(b)(iii) </w:t>
      </w:r>
      <w:r w:rsidR="000F4EC0">
        <w:rPr>
          <w:bCs/>
          <w:sz w:val="18"/>
          <w:szCs w:val="18"/>
        </w:rPr>
        <w:t>above for breakdown of affirmative defense burden.</w:t>
      </w:r>
    </w:p>
    <w:p w:rsidR="00F7569D" w:rsidRDefault="003A0A15" w:rsidP="00515F13">
      <w:pPr>
        <w:widowControl/>
        <w:tabs>
          <w:tab w:val="left" w:pos="180"/>
        </w:tabs>
        <w:spacing w:after="60"/>
        <w:ind w:left="180" w:hanging="180"/>
        <w:rPr>
          <w:bCs/>
          <w:sz w:val="18"/>
          <w:szCs w:val="18"/>
        </w:rPr>
      </w:pPr>
      <w:proofErr w:type="gramStart"/>
      <w:r>
        <w:rPr>
          <w:bCs/>
          <w:sz w:val="18"/>
          <w:szCs w:val="18"/>
          <w:vertAlign w:val="superscript"/>
        </w:rPr>
        <w:t>e</w:t>
      </w:r>
      <w:proofErr w:type="gramEnd"/>
      <w:r>
        <w:rPr>
          <w:bCs/>
          <w:sz w:val="18"/>
          <w:szCs w:val="18"/>
        </w:rPr>
        <w:t xml:space="preserve">   </w:t>
      </w:r>
      <w:r w:rsidR="00F7569D">
        <w:rPr>
          <w:bCs/>
          <w:sz w:val="18"/>
          <w:szCs w:val="18"/>
        </w:rPr>
        <w:t>An estimated 20 facilities would be required to test HF</w:t>
      </w:r>
      <w:r w:rsidR="001B22C1">
        <w:rPr>
          <w:bCs/>
          <w:sz w:val="18"/>
          <w:szCs w:val="18"/>
        </w:rPr>
        <w:t xml:space="preserve"> with a total cost of $1</w:t>
      </w:r>
      <w:r w:rsidR="00C1720F">
        <w:rPr>
          <w:bCs/>
          <w:sz w:val="18"/>
          <w:szCs w:val="18"/>
        </w:rPr>
        <w:t>1</w:t>
      </w:r>
      <w:r w:rsidR="001B22C1">
        <w:rPr>
          <w:bCs/>
          <w:sz w:val="18"/>
          <w:szCs w:val="18"/>
        </w:rPr>
        <w:t>,000.</w:t>
      </w:r>
    </w:p>
    <w:p w:rsidR="00CD74BC" w:rsidRDefault="003A0A15" w:rsidP="00CD74BC">
      <w:pPr>
        <w:widowControl/>
        <w:tabs>
          <w:tab w:val="left" w:pos="180"/>
        </w:tabs>
        <w:ind w:left="180" w:hanging="180"/>
        <w:rPr>
          <w:bCs/>
          <w:sz w:val="18"/>
          <w:szCs w:val="18"/>
        </w:rPr>
      </w:pPr>
      <w:proofErr w:type="gramStart"/>
      <w:r>
        <w:rPr>
          <w:bCs/>
          <w:sz w:val="18"/>
          <w:szCs w:val="18"/>
          <w:vertAlign w:val="superscript"/>
        </w:rPr>
        <w:t>f</w:t>
      </w:r>
      <w:proofErr w:type="gramEnd"/>
      <w:r w:rsidR="00515F13">
        <w:rPr>
          <w:bCs/>
          <w:sz w:val="18"/>
          <w:szCs w:val="18"/>
        </w:rPr>
        <w:tab/>
      </w:r>
      <w:r w:rsidR="007A7FFD">
        <w:rPr>
          <w:bCs/>
          <w:sz w:val="18"/>
          <w:szCs w:val="18"/>
        </w:rPr>
        <w:t>27</w:t>
      </w:r>
      <w:r w:rsidR="00B610BC" w:rsidRPr="00B610BC">
        <w:rPr>
          <w:bCs/>
          <w:sz w:val="18"/>
          <w:szCs w:val="18"/>
        </w:rPr>
        <w:t xml:space="preserve"> </w:t>
      </w:r>
      <w:r w:rsidR="00ED542A" w:rsidRPr="00B610BC">
        <w:rPr>
          <w:bCs/>
          <w:sz w:val="18"/>
          <w:szCs w:val="18"/>
        </w:rPr>
        <w:t>facilities</w:t>
      </w:r>
      <w:r w:rsidR="00B610BC" w:rsidRPr="00B610BC">
        <w:rPr>
          <w:bCs/>
          <w:sz w:val="18"/>
          <w:szCs w:val="18"/>
        </w:rPr>
        <w:t xml:space="preserve"> would be required to </w:t>
      </w:r>
      <w:r w:rsidR="007A7FFD">
        <w:rPr>
          <w:bCs/>
          <w:sz w:val="18"/>
          <w:szCs w:val="18"/>
        </w:rPr>
        <w:t xml:space="preserve">construct temporary hoods for testing </w:t>
      </w:r>
      <w:r w:rsidR="00B610BC" w:rsidRPr="00B610BC">
        <w:rPr>
          <w:bCs/>
          <w:sz w:val="18"/>
          <w:szCs w:val="18"/>
        </w:rPr>
        <w:t>at $</w:t>
      </w:r>
      <w:r w:rsidR="007A7FFD">
        <w:rPr>
          <w:bCs/>
          <w:sz w:val="18"/>
          <w:szCs w:val="18"/>
        </w:rPr>
        <w:t>226,000</w:t>
      </w:r>
      <w:r w:rsidR="00B610BC" w:rsidRPr="00B610BC">
        <w:rPr>
          <w:bCs/>
          <w:sz w:val="18"/>
          <w:szCs w:val="18"/>
        </w:rPr>
        <w:t>/facility</w:t>
      </w:r>
      <w:r w:rsidR="00C1720F">
        <w:rPr>
          <w:bCs/>
          <w:sz w:val="18"/>
          <w:szCs w:val="18"/>
        </w:rPr>
        <w:t xml:space="preserve"> every 5 years</w:t>
      </w:r>
      <w:r w:rsidR="00B610BC" w:rsidRPr="00B610BC">
        <w:rPr>
          <w:bCs/>
          <w:sz w:val="18"/>
          <w:szCs w:val="18"/>
        </w:rPr>
        <w:t>.</w:t>
      </w:r>
    </w:p>
    <w:p w:rsidR="00B1351A" w:rsidRPr="009C542F" w:rsidRDefault="00897A68" w:rsidP="00515F13">
      <w:pPr>
        <w:widowControl/>
        <w:tabs>
          <w:tab w:val="left" w:pos="180"/>
        </w:tabs>
        <w:spacing w:after="240"/>
        <w:ind w:left="180" w:hanging="180"/>
        <w:rPr>
          <w:b/>
        </w:rPr>
      </w:pPr>
      <w:r w:rsidRPr="0074385D">
        <w:rPr>
          <w:bCs/>
          <w:sz w:val="18"/>
          <w:szCs w:val="18"/>
          <w:highlight w:val="yellow"/>
        </w:rPr>
        <w:br w:type="page"/>
      </w:r>
      <w:proofErr w:type="gramStart"/>
      <w:r w:rsidR="00F92CB7">
        <w:rPr>
          <w:b/>
          <w:bCs/>
        </w:rPr>
        <w:lastRenderedPageBreak/>
        <w:t>TABLE 4</w:t>
      </w:r>
      <w:r w:rsidR="00B1351A" w:rsidRPr="009C542F">
        <w:rPr>
          <w:b/>
          <w:bCs/>
        </w:rPr>
        <w:t>.</w:t>
      </w:r>
      <w:proofErr w:type="gramEnd"/>
      <w:r w:rsidR="00576C21">
        <w:rPr>
          <w:b/>
          <w:bCs/>
        </w:rPr>
        <w:t xml:space="preserve"> </w:t>
      </w:r>
      <w:r w:rsidR="00B1351A" w:rsidRPr="009C542F">
        <w:rPr>
          <w:b/>
          <w:bCs/>
        </w:rPr>
        <w:t xml:space="preserve">ANNUAL BURDEN AND COST TO THE </w:t>
      </w:r>
      <w:r w:rsidR="00A0364B" w:rsidRPr="009C542F">
        <w:rPr>
          <w:b/>
          <w:bCs/>
        </w:rPr>
        <w:t>AGENCY</w:t>
      </w:r>
      <w:r w:rsidR="00FE2BE0">
        <w:rPr>
          <w:b/>
          <w:bCs/>
        </w:rPr>
        <w:t xml:space="preserve"> </w:t>
      </w:r>
      <w:r w:rsidR="00956636">
        <w:rPr>
          <w:b/>
          <w:bCs/>
        </w:rPr>
        <w:t>-</w:t>
      </w:r>
      <w:r w:rsidR="00FE2BE0">
        <w:rPr>
          <w:b/>
        </w:rPr>
        <w:t xml:space="preserve"> </w:t>
      </w:r>
      <w:r w:rsidR="0081784F" w:rsidRPr="009C542F">
        <w:rPr>
          <w:b/>
        </w:rPr>
        <w:t>AMENDMENTS TO</w:t>
      </w:r>
      <w:r w:rsidR="00B610BC">
        <w:rPr>
          <w:b/>
        </w:rPr>
        <w:t xml:space="preserve"> PRIMARY ALUMINUM</w:t>
      </w:r>
      <w:r w:rsidR="00B610BC" w:rsidRPr="00F64D9D">
        <w:rPr>
          <w:b/>
        </w:rPr>
        <w:t xml:space="preserve"> NESHAP</w:t>
      </w:r>
    </w:p>
    <w:tbl>
      <w:tblPr>
        <w:tblW w:w="13530" w:type="dxa"/>
        <w:tblLayout w:type="fixed"/>
        <w:tblCellMar>
          <w:left w:w="30" w:type="dxa"/>
          <w:right w:w="30" w:type="dxa"/>
        </w:tblCellMar>
        <w:tblLook w:val="0000"/>
      </w:tblPr>
      <w:tblGrid>
        <w:gridCol w:w="3270"/>
        <w:gridCol w:w="1260"/>
        <w:gridCol w:w="1260"/>
        <w:gridCol w:w="1260"/>
        <w:gridCol w:w="900"/>
        <w:gridCol w:w="1440"/>
        <w:gridCol w:w="1530"/>
        <w:gridCol w:w="1350"/>
        <w:gridCol w:w="1260"/>
      </w:tblGrid>
      <w:tr w:rsidR="00570406" w:rsidRPr="009C542F" w:rsidTr="00515F13">
        <w:tblPrEx>
          <w:tblCellMar>
            <w:top w:w="0" w:type="dxa"/>
            <w:bottom w:w="0" w:type="dxa"/>
          </w:tblCellMar>
        </w:tblPrEx>
        <w:trPr>
          <w:trHeight w:val="576"/>
        </w:trPr>
        <w:tc>
          <w:tcPr>
            <w:tcW w:w="3270" w:type="dxa"/>
            <w:tcBorders>
              <w:top w:val="double" w:sz="6" w:space="0" w:color="auto"/>
              <w:left w:val="double" w:sz="6" w:space="0" w:color="auto"/>
              <w:bottom w:val="single" w:sz="6" w:space="0" w:color="auto"/>
              <w:right w:val="single" w:sz="6" w:space="0" w:color="auto"/>
            </w:tcBorders>
            <w:vAlign w:val="center"/>
          </w:tcPr>
          <w:p w:rsidR="00570406" w:rsidRPr="009C542F" w:rsidRDefault="00570406" w:rsidP="00515F13">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(A)</w:t>
            </w:r>
          </w:p>
          <w:p w:rsidR="00570406" w:rsidRPr="009C542F" w:rsidRDefault="00570406" w:rsidP="00515F13">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tcPr>
          <w:p w:rsidR="00515F13" w:rsidRDefault="00515F13" w:rsidP="00515F13">
            <w:pPr>
              <w:widowControl/>
              <w:jc w:val="center"/>
              <w:rPr>
                <w:b/>
                <w:bCs/>
                <w:color w:val="000000"/>
                <w:sz w:val="18"/>
                <w:szCs w:val="18"/>
              </w:rPr>
            </w:pPr>
            <w:r>
              <w:rPr>
                <w:b/>
                <w:bCs/>
                <w:color w:val="000000"/>
                <w:sz w:val="18"/>
                <w:szCs w:val="18"/>
              </w:rPr>
              <w:t>(B)</w:t>
            </w:r>
          </w:p>
          <w:p w:rsidR="00570406" w:rsidRPr="009C542F" w:rsidRDefault="00570406" w:rsidP="00515F13">
            <w:pPr>
              <w:widowControl/>
              <w:jc w:val="center"/>
              <w:rPr>
                <w:b/>
                <w:bCs/>
                <w:color w:val="000000"/>
                <w:sz w:val="18"/>
                <w:szCs w:val="18"/>
              </w:rPr>
            </w:pPr>
            <w:r w:rsidRPr="009C542F">
              <w:rPr>
                <w:b/>
                <w:bCs/>
                <w:color w:val="000000"/>
                <w:sz w:val="18"/>
                <w:szCs w:val="18"/>
              </w:rPr>
              <w:t>Occurrences per respondent</w:t>
            </w:r>
          </w:p>
        </w:tc>
        <w:tc>
          <w:tcPr>
            <w:tcW w:w="126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(C)</w:t>
            </w:r>
          </w:p>
          <w:p w:rsidR="00570406" w:rsidRPr="009C542F" w:rsidRDefault="00570406" w:rsidP="00515F13">
            <w:pPr>
              <w:widowControl/>
              <w:jc w:val="center"/>
              <w:rPr>
                <w:b/>
                <w:bCs/>
                <w:color w:val="000000"/>
                <w:sz w:val="18"/>
                <w:szCs w:val="18"/>
              </w:rPr>
            </w:pPr>
            <w:r w:rsidRPr="009C542F">
              <w:rPr>
                <w:b/>
                <w:bCs/>
                <w:color w:val="000000"/>
                <w:sz w:val="18"/>
                <w:szCs w:val="18"/>
              </w:rPr>
              <w:t>EPA person-hours/year (C=A*B)</w:t>
            </w:r>
          </w:p>
        </w:tc>
        <w:tc>
          <w:tcPr>
            <w:tcW w:w="90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(D)</w:t>
            </w:r>
          </w:p>
          <w:p w:rsidR="00570406" w:rsidRPr="009C542F" w:rsidRDefault="00570406" w:rsidP="00515F13">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(E)</w:t>
            </w:r>
          </w:p>
          <w:p w:rsidR="00570406" w:rsidRPr="009C542F" w:rsidRDefault="00570406" w:rsidP="00515F13">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(F)</w:t>
            </w:r>
          </w:p>
          <w:p w:rsidR="00570406" w:rsidRPr="009C542F" w:rsidRDefault="00570406" w:rsidP="00515F13">
            <w:pPr>
              <w:widowControl/>
              <w:jc w:val="center"/>
              <w:rPr>
                <w:b/>
                <w:bCs/>
                <w:color w:val="000000"/>
                <w:sz w:val="18"/>
                <w:szCs w:val="18"/>
              </w:rPr>
            </w:pPr>
            <w:r w:rsidRPr="009C542F">
              <w:rPr>
                <w:b/>
                <w:bCs/>
                <w:color w:val="000000"/>
                <w:sz w:val="18"/>
                <w:szCs w:val="18"/>
              </w:rPr>
              <w:t>Management</w:t>
            </w:r>
            <w:r w:rsidR="00576C21">
              <w:rPr>
                <w:b/>
                <w:bCs/>
                <w:color w:val="000000"/>
                <w:sz w:val="18"/>
                <w:szCs w:val="18"/>
              </w:rPr>
              <w:t xml:space="preserve"> </w:t>
            </w:r>
            <w:r w:rsidRPr="009C542F">
              <w:rPr>
                <w:b/>
                <w:bCs/>
                <w:color w:val="000000"/>
                <w:sz w:val="18"/>
                <w:szCs w:val="18"/>
              </w:rPr>
              <w:t>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(G)</w:t>
            </w:r>
          </w:p>
          <w:p w:rsidR="00570406" w:rsidRPr="009C542F" w:rsidRDefault="00570406" w:rsidP="00515F13">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1260" w:type="dxa"/>
            <w:tcBorders>
              <w:top w:val="double" w:sz="6" w:space="0" w:color="auto"/>
              <w:left w:val="single" w:sz="6" w:space="0" w:color="auto"/>
              <w:bottom w:val="single" w:sz="6" w:space="0" w:color="auto"/>
              <w:right w:val="double" w:sz="6" w:space="0" w:color="auto"/>
            </w:tcBorders>
          </w:tcPr>
          <w:p w:rsidR="00E84CC2" w:rsidRDefault="00570406" w:rsidP="00515F13">
            <w:pPr>
              <w:widowControl/>
              <w:jc w:val="center"/>
              <w:rPr>
                <w:b/>
                <w:bCs/>
                <w:color w:val="000000"/>
                <w:sz w:val="18"/>
                <w:szCs w:val="18"/>
              </w:rPr>
            </w:pPr>
            <w:r w:rsidRPr="009C542F">
              <w:rPr>
                <w:b/>
                <w:bCs/>
                <w:color w:val="000000"/>
                <w:sz w:val="18"/>
                <w:szCs w:val="18"/>
              </w:rPr>
              <w:t>(H)</w:t>
            </w:r>
          </w:p>
          <w:p w:rsidR="00570406" w:rsidRPr="009C542F" w:rsidRDefault="00570406" w:rsidP="00515F13">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515F13">
        <w:tblPrEx>
          <w:tblCellMar>
            <w:top w:w="0" w:type="dxa"/>
            <w:bottom w:w="0" w:type="dxa"/>
          </w:tblCellMar>
        </w:tblPrEx>
        <w:trPr>
          <w:trHeight w:val="576"/>
        </w:trPr>
        <w:tc>
          <w:tcPr>
            <w:tcW w:w="3270" w:type="dxa"/>
            <w:tcBorders>
              <w:top w:val="single" w:sz="6" w:space="0" w:color="auto"/>
              <w:left w:val="double" w:sz="6" w:space="0" w:color="auto"/>
              <w:bottom w:val="single" w:sz="6" w:space="0" w:color="auto"/>
              <w:right w:val="single" w:sz="6" w:space="0" w:color="auto"/>
            </w:tcBorders>
            <w:vAlign w:val="center"/>
          </w:tcPr>
          <w:p w:rsidR="00570406" w:rsidRPr="009C542F" w:rsidRDefault="00570406" w:rsidP="00515F13">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0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515F13">
        <w:tblPrEx>
          <w:tblCellMar>
            <w:top w:w="0" w:type="dxa"/>
            <w:bottom w:w="0" w:type="dxa"/>
          </w:tblCellMar>
        </w:tblPrEx>
        <w:trPr>
          <w:trHeight w:val="576"/>
        </w:trPr>
        <w:tc>
          <w:tcPr>
            <w:tcW w:w="3270" w:type="dxa"/>
            <w:tcBorders>
              <w:top w:val="single" w:sz="6" w:space="0" w:color="auto"/>
              <w:left w:val="double" w:sz="6" w:space="0" w:color="auto"/>
              <w:bottom w:val="single" w:sz="6" w:space="0" w:color="auto"/>
              <w:right w:val="single" w:sz="6" w:space="0" w:color="auto"/>
            </w:tcBorders>
            <w:vAlign w:val="center"/>
          </w:tcPr>
          <w:p w:rsidR="00570406" w:rsidRPr="009C542F" w:rsidRDefault="00B610BC" w:rsidP="00801E29">
            <w:pPr>
              <w:widowControl/>
              <w:ind w:left="180"/>
              <w:rPr>
                <w:color w:val="000000"/>
                <w:sz w:val="18"/>
                <w:szCs w:val="18"/>
              </w:rPr>
            </w:pPr>
            <w:r>
              <w:rPr>
                <w:color w:val="000000"/>
                <w:sz w:val="18"/>
                <w:szCs w:val="18"/>
              </w:rPr>
              <w:t xml:space="preserve">Review performance test </w:t>
            </w:r>
            <w:r w:rsidR="00ED542A">
              <w:rPr>
                <w:color w:val="000000"/>
                <w:sz w:val="18"/>
                <w:szCs w:val="18"/>
              </w:rPr>
              <w:t>reports</w:t>
            </w:r>
            <w:r>
              <w:rPr>
                <w:color w:val="000000"/>
                <w:sz w:val="18"/>
                <w:szCs w:val="18"/>
              </w:rPr>
              <w:t xml:space="preserve"> and </w:t>
            </w:r>
            <w:r w:rsidR="003E21C7">
              <w:rPr>
                <w:color w:val="000000"/>
                <w:sz w:val="18"/>
                <w:szCs w:val="18"/>
              </w:rPr>
              <w:t xml:space="preserve">reports from facilities changing furnace  </w:t>
            </w:r>
            <w:proofErr w:type="spellStart"/>
            <w:r w:rsidR="00801E29">
              <w:rPr>
                <w:color w:val="000000"/>
                <w:sz w:val="18"/>
                <w:szCs w:val="18"/>
              </w:rPr>
              <w:t>classification</w:t>
            </w:r>
            <w:r w:rsidR="006F602E">
              <w:rPr>
                <w:color w:val="000000"/>
                <w:sz w:val="18"/>
                <w:szCs w:val="18"/>
                <w:vertAlign w:val="superscript"/>
              </w:rPr>
              <w:t>b</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386343">
            <w:pPr>
              <w:widowControl/>
              <w:jc w:val="center"/>
              <w:rPr>
                <w:color w:val="000000"/>
                <w:sz w:val="18"/>
                <w:szCs w:val="18"/>
              </w:rPr>
            </w:pPr>
            <w:r>
              <w:rPr>
                <w:color w:val="000000"/>
                <w:sz w:val="18"/>
                <w:szCs w:val="18"/>
              </w:rPr>
              <w:t>4</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386343">
            <w:pPr>
              <w:widowControl/>
              <w:jc w:val="center"/>
              <w:rPr>
                <w:color w:val="000000"/>
                <w:sz w:val="18"/>
                <w:szCs w:val="18"/>
              </w:rPr>
            </w:pPr>
            <w:r>
              <w:rPr>
                <w:color w:val="000000"/>
                <w:sz w:val="18"/>
                <w:szCs w:val="18"/>
              </w:rPr>
              <w:t>4</w:t>
            </w:r>
          </w:p>
        </w:tc>
        <w:tc>
          <w:tcPr>
            <w:tcW w:w="900" w:type="dxa"/>
            <w:tcBorders>
              <w:top w:val="single" w:sz="6" w:space="0" w:color="auto"/>
              <w:left w:val="single" w:sz="6" w:space="0" w:color="auto"/>
              <w:bottom w:val="single" w:sz="6" w:space="0" w:color="auto"/>
              <w:right w:val="single" w:sz="6" w:space="0" w:color="auto"/>
            </w:tcBorders>
            <w:vAlign w:val="center"/>
          </w:tcPr>
          <w:p w:rsidR="00570406" w:rsidRPr="009C542F" w:rsidRDefault="006F3545" w:rsidP="005666F8">
            <w:pPr>
              <w:widowControl/>
              <w:jc w:val="center"/>
              <w:rPr>
                <w:color w:val="000000"/>
                <w:sz w:val="18"/>
                <w:szCs w:val="18"/>
              </w:rPr>
            </w:pPr>
            <w:r>
              <w:rPr>
                <w:color w:val="000000"/>
                <w:sz w:val="18"/>
                <w:szCs w:val="18"/>
              </w:rPr>
              <w:t>59</w:t>
            </w:r>
          </w:p>
        </w:tc>
        <w:tc>
          <w:tcPr>
            <w:tcW w:w="1440" w:type="dxa"/>
            <w:tcBorders>
              <w:top w:val="single" w:sz="6" w:space="0" w:color="auto"/>
              <w:left w:val="single" w:sz="6" w:space="0" w:color="auto"/>
              <w:bottom w:val="single" w:sz="6" w:space="0" w:color="auto"/>
              <w:right w:val="single" w:sz="6" w:space="0" w:color="auto"/>
            </w:tcBorders>
            <w:vAlign w:val="center"/>
          </w:tcPr>
          <w:p w:rsidR="00570406" w:rsidRPr="009C542F" w:rsidRDefault="006F3545" w:rsidP="005666F8">
            <w:pPr>
              <w:widowControl/>
              <w:jc w:val="center"/>
              <w:rPr>
                <w:color w:val="000000"/>
                <w:sz w:val="18"/>
                <w:szCs w:val="18"/>
              </w:rPr>
            </w:pPr>
            <w:r>
              <w:rPr>
                <w:color w:val="000000"/>
                <w:sz w:val="18"/>
                <w:szCs w:val="18"/>
              </w:rPr>
              <w:t>236</w:t>
            </w:r>
          </w:p>
        </w:tc>
        <w:tc>
          <w:tcPr>
            <w:tcW w:w="1530" w:type="dxa"/>
            <w:tcBorders>
              <w:top w:val="single" w:sz="6" w:space="0" w:color="auto"/>
              <w:left w:val="single" w:sz="6" w:space="0" w:color="auto"/>
              <w:bottom w:val="single" w:sz="6" w:space="0" w:color="auto"/>
              <w:right w:val="single" w:sz="6" w:space="0" w:color="auto"/>
            </w:tcBorders>
            <w:vAlign w:val="center"/>
          </w:tcPr>
          <w:p w:rsidR="00570406" w:rsidRPr="009C542F" w:rsidRDefault="006F3545" w:rsidP="005666F8">
            <w:pPr>
              <w:widowControl/>
              <w:jc w:val="center"/>
              <w:rPr>
                <w:color w:val="000000"/>
                <w:sz w:val="18"/>
                <w:szCs w:val="18"/>
              </w:rPr>
            </w:pPr>
            <w:r>
              <w:rPr>
                <w:color w:val="000000"/>
                <w:sz w:val="18"/>
                <w:szCs w:val="18"/>
              </w:rPr>
              <w:t>11.8</w:t>
            </w:r>
          </w:p>
        </w:tc>
        <w:tc>
          <w:tcPr>
            <w:tcW w:w="1350" w:type="dxa"/>
            <w:tcBorders>
              <w:top w:val="single" w:sz="6" w:space="0" w:color="auto"/>
              <w:left w:val="single" w:sz="6" w:space="0" w:color="auto"/>
              <w:bottom w:val="single" w:sz="6" w:space="0" w:color="auto"/>
              <w:right w:val="single" w:sz="6" w:space="0" w:color="auto"/>
            </w:tcBorders>
            <w:vAlign w:val="center"/>
          </w:tcPr>
          <w:p w:rsidR="00570406" w:rsidRPr="009C542F" w:rsidRDefault="006F3545" w:rsidP="005666F8">
            <w:pPr>
              <w:widowControl/>
              <w:jc w:val="center"/>
              <w:rPr>
                <w:color w:val="000000"/>
                <w:sz w:val="18"/>
                <w:szCs w:val="18"/>
              </w:rPr>
            </w:pPr>
            <w:r>
              <w:rPr>
                <w:color w:val="000000"/>
                <w:sz w:val="18"/>
                <w:szCs w:val="18"/>
              </w:rPr>
              <w:t>23.6</w:t>
            </w:r>
          </w:p>
        </w:tc>
        <w:tc>
          <w:tcPr>
            <w:tcW w:w="1260" w:type="dxa"/>
            <w:tcBorders>
              <w:top w:val="single" w:sz="6" w:space="0" w:color="auto"/>
              <w:left w:val="single" w:sz="6" w:space="0" w:color="auto"/>
              <w:bottom w:val="single" w:sz="6" w:space="0" w:color="auto"/>
              <w:right w:val="double" w:sz="6" w:space="0" w:color="auto"/>
            </w:tcBorders>
            <w:vAlign w:val="center"/>
          </w:tcPr>
          <w:p w:rsidR="00570406" w:rsidRPr="009C542F" w:rsidRDefault="00E84CC2" w:rsidP="006F3545">
            <w:pPr>
              <w:widowControl/>
              <w:jc w:val="center"/>
              <w:rPr>
                <w:color w:val="000000"/>
                <w:sz w:val="18"/>
                <w:szCs w:val="18"/>
              </w:rPr>
            </w:pPr>
            <w:r>
              <w:rPr>
                <w:color w:val="000000"/>
                <w:sz w:val="18"/>
                <w:szCs w:val="18"/>
              </w:rPr>
              <w:t>$</w:t>
            </w:r>
            <w:r w:rsidR="006F3545">
              <w:rPr>
                <w:color w:val="000000"/>
                <w:sz w:val="18"/>
                <w:szCs w:val="18"/>
              </w:rPr>
              <w:t>12,231</w:t>
            </w:r>
          </w:p>
        </w:tc>
      </w:tr>
      <w:tr w:rsidR="00570406" w:rsidRPr="009C542F" w:rsidTr="00320068">
        <w:tblPrEx>
          <w:tblCellMar>
            <w:top w:w="0" w:type="dxa"/>
            <w:bottom w:w="0" w:type="dxa"/>
          </w:tblCellMar>
        </w:tblPrEx>
        <w:trPr>
          <w:cantSplit/>
          <w:trHeight w:val="576"/>
        </w:trPr>
        <w:tc>
          <w:tcPr>
            <w:tcW w:w="3270" w:type="dxa"/>
            <w:tcBorders>
              <w:top w:val="single" w:sz="6" w:space="0" w:color="auto"/>
              <w:left w:val="double" w:sz="6" w:space="0" w:color="auto"/>
              <w:bottom w:val="double" w:sz="6" w:space="0" w:color="auto"/>
              <w:right w:val="single" w:sz="6" w:space="0" w:color="auto"/>
            </w:tcBorders>
            <w:vAlign w:val="center"/>
          </w:tcPr>
          <w:p w:rsidR="00570406" w:rsidRPr="009C542F" w:rsidRDefault="00570406" w:rsidP="00515F13">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0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double" w:sz="6" w:space="0" w:color="auto"/>
            </w:tcBorders>
            <w:vAlign w:val="center"/>
          </w:tcPr>
          <w:p w:rsidR="00570406" w:rsidRPr="009C542F" w:rsidRDefault="0004658A" w:rsidP="006F3545">
            <w:pPr>
              <w:widowControl/>
              <w:jc w:val="center"/>
              <w:rPr>
                <w:b/>
                <w:bCs/>
                <w:color w:val="000000"/>
                <w:sz w:val="18"/>
                <w:szCs w:val="18"/>
              </w:rPr>
            </w:pPr>
            <w:r>
              <w:rPr>
                <w:b/>
                <w:bCs/>
                <w:color w:val="000000"/>
                <w:sz w:val="18"/>
                <w:szCs w:val="18"/>
              </w:rPr>
              <w:t>$</w:t>
            </w:r>
            <w:r w:rsidR="006F3545">
              <w:rPr>
                <w:b/>
                <w:bCs/>
                <w:color w:val="000000"/>
                <w:sz w:val="18"/>
                <w:szCs w:val="18"/>
              </w:rPr>
              <w:t>12,231</w:t>
            </w:r>
          </w:p>
        </w:tc>
      </w:tr>
    </w:tbl>
    <w:p w:rsidR="009C0965" w:rsidRPr="00E84CC2" w:rsidRDefault="00B1351A" w:rsidP="00515F13">
      <w:pPr>
        <w:keepNext/>
        <w:keepLines/>
        <w:widowControl/>
        <w:tabs>
          <w:tab w:val="left" w:pos="180"/>
        </w:tabs>
        <w:spacing w:before="120" w:after="120"/>
        <w:ind w:left="180" w:hanging="180"/>
        <w:rPr>
          <w:sz w:val="18"/>
          <w:szCs w:val="18"/>
        </w:rPr>
      </w:pPr>
      <w:proofErr w:type="gramStart"/>
      <w:r w:rsidRPr="009C542F">
        <w:rPr>
          <w:sz w:val="18"/>
          <w:szCs w:val="18"/>
          <w:vertAlign w:val="superscript"/>
        </w:rPr>
        <w:t>a</w:t>
      </w:r>
      <w:proofErr w:type="gramEnd"/>
      <w:r w:rsidR="00515F13">
        <w:rPr>
          <w:sz w:val="18"/>
          <w:szCs w:val="18"/>
          <w:vertAlign w:val="superscript"/>
        </w:rPr>
        <w:tab/>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lerical.</w:t>
      </w:r>
      <w:r w:rsidR="00576C21">
        <w:rPr>
          <w:sz w:val="18"/>
          <w:szCs w:val="18"/>
        </w:rPr>
        <w:t xml:space="preserve"> </w:t>
      </w:r>
      <w:r w:rsidRPr="00E84CC2">
        <w:rPr>
          <w:sz w:val="18"/>
          <w:szCs w:val="18"/>
        </w:rPr>
        <w:t xml:space="preserve">These rates are from the Office of Personnel Management (OPM) </w:t>
      </w:r>
      <w:r w:rsidR="00E04F28" w:rsidRPr="00E84CC2">
        <w:rPr>
          <w:sz w:val="18"/>
          <w:szCs w:val="18"/>
        </w:rPr>
        <w:t>20</w:t>
      </w:r>
      <w:r w:rsidR="00E84CC2" w:rsidRPr="00E84CC2">
        <w:rPr>
          <w:sz w:val="18"/>
          <w:szCs w:val="18"/>
        </w:rPr>
        <w:t>1</w:t>
      </w:r>
      <w:r w:rsidR="001B22C1">
        <w:rPr>
          <w:sz w:val="18"/>
          <w:szCs w:val="18"/>
        </w:rPr>
        <w:t>1</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515F13" w:rsidRDefault="00E84CC2" w:rsidP="00515F13">
      <w:pPr>
        <w:widowControl/>
        <w:tabs>
          <w:tab w:val="left" w:pos="180"/>
        </w:tabs>
        <w:ind w:left="180" w:right="-90" w:hanging="180"/>
        <w:rPr>
          <w:sz w:val="18"/>
          <w:szCs w:val="18"/>
        </w:rPr>
      </w:pPr>
      <w:proofErr w:type="gramStart"/>
      <w:r w:rsidRPr="00E84CC2">
        <w:rPr>
          <w:sz w:val="18"/>
          <w:szCs w:val="18"/>
          <w:vertAlign w:val="superscript"/>
        </w:rPr>
        <w:t>b</w:t>
      </w:r>
      <w:proofErr w:type="gramEnd"/>
      <w:r w:rsidR="00515F13">
        <w:rPr>
          <w:sz w:val="18"/>
          <w:szCs w:val="18"/>
        </w:rPr>
        <w:tab/>
      </w:r>
      <w:r w:rsidRPr="00E84CC2">
        <w:rPr>
          <w:sz w:val="18"/>
          <w:szCs w:val="18"/>
        </w:rPr>
        <w:t xml:space="preserve">Assumes </w:t>
      </w:r>
      <w:r w:rsidR="00801E29">
        <w:rPr>
          <w:sz w:val="18"/>
          <w:szCs w:val="18"/>
        </w:rPr>
        <w:t>a</w:t>
      </w:r>
      <w:r w:rsidRPr="00E84CC2">
        <w:rPr>
          <w:sz w:val="18"/>
          <w:szCs w:val="18"/>
        </w:rPr>
        <w:t xml:space="preserve">gency will review </w:t>
      </w:r>
      <w:r w:rsidR="006F602E">
        <w:rPr>
          <w:sz w:val="18"/>
          <w:szCs w:val="18"/>
        </w:rPr>
        <w:t>all of the annual reports</w:t>
      </w:r>
      <w:r w:rsidR="00576C21">
        <w:rPr>
          <w:sz w:val="18"/>
          <w:szCs w:val="18"/>
        </w:rPr>
        <w:t xml:space="preserve"> </w:t>
      </w:r>
      <w:r w:rsidR="006F602E">
        <w:rPr>
          <w:sz w:val="18"/>
          <w:szCs w:val="18"/>
        </w:rPr>
        <w:t xml:space="preserve">- including </w:t>
      </w:r>
      <w:r w:rsidR="00BF579C">
        <w:rPr>
          <w:sz w:val="18"/>
          <w:szCs w:val="18"/>
        </w:rPr>
        <w:t>the 4</w:t>
      </w:r>
      <w:r w:rsidR="006F3545">
        <w:rPr>
          <w:sz w:val="18"/>
          <w:szCs w:val="18"/>
        </w:rPr>
        <w:t xml:space="preserve"> </w:t>
      </w:r>
      <w:r w:rsidR="00BF579C">
        <w:rPr>
          <w:sz w:val="18"/>
          <w:szCs w:val="18"/>
        </w:rPr>
        <w:t>H</w:t>
      </w:r>
      <w:r w:rsidR="006F3545">
        <w:rPr>
          <w:sz w:val="18"/>
          <w:szCs w:val="18"/>
        </w:rPr>
        <w:t xml:space="preserve">F tests/yr, 5 tests/yr for uncontrolled furnaces and 50 reports/yr for changing furnace </w:t>
      </w:r>
      <w:r w:rsidR="00801E29">
        <w:rPr>
          <w:sz w:val="18"/>
          <w:szCs w:val="18"/>
        </w:rPr>
        <w:t>classification</w:t>
      </w:r>
      <w:r w:rsidR="00B610BC">
        <w:rPr>
          <w:sz w:val="18"/>
          <w:szCs w:val="18"/>
        </w:rPr>
        <w:t>.</w:t>
      </w:r>
    </w:p>
    <w:p w:rsidR="00765573" w:rsidRPr="006F602E" w:rsidRDefault="008027B4" w:rsidP="00956636">
      <w:pPr>
        <w:widowControl/>
        <w:spacing w:after="240"/>
        <w:ind w:right="-90"/>
        <w:rPr>
          <w:sz w:val="18"/>
          <w:szCs w:val="18"/>
        </w:rPr>
      </w:pPr>
      <w:r w:rsidRPr="00E84CC2">
        <w:rPr>
          <w:sz w:val="18"/>
          <w:szCs w:val="18"/>
        </w:rPr>
        <w:br w:type="page"/>
      </w:r>
      <w:proofErr w:type="gramStart"/>
      <w:r w:rsidR="00765573" w:rsidRPr="00B4111D">
        <w:rPr>
          <w:b/>
        </w:rPr>
        <w:lastRenderedPageBreak/>
        <w:t>ATTACHMENT 1.</w:t>
      </w:r>
      <w:proofErr w:type="gramEnd"/>
      <w:r w:rsidR="00576C21">
        <w:rPr>
          <w:b/>
        </w:rPr>
        <w:t xml:space="preserve"> </w:t>
      </w:r>
      <w:r w:rsidR="00765573" w:rsidRPr="00B4111D">
        <w:rPr>
          <w:b/>
        </w:rPr>
        <w:t>INFORMATION REQUIREMENTS</w:t>
      </w:r>
      <w:r w:rsidR="00FE2BE0">
        <w:rPr>
          <w:b/>
        </w:rPr>
        <w:t xml:space="preserve"> </w:t>
      </w:r>
      <w:r w:rsidR="00956636">
        <w:rPr>
          <w:b/>
        </w:rPr>
        <w:t>-</w:t>
      </w:r>
      <w:r w:rsidR="00FE2BE0">
        <w:rPr>
          <w:b/>
        </w:rPr>
        <w:t xml:space="preserve"> </w:t>
      </w:r>
      <w:r w:rsidR="0081784F" w:rsidRPr="00F64D9D">
        <w:rPr>
          <w:b/>
        </w:rPr>
        <w:t xml:space="preserve">AMENDMENTS TO </w:t>
      </w:r>
      <w:r w:rsidR="00ED542A">
        <w:rPr>
          <w:b/>
        </w:rPr>
        <w:t>PRIMARY ALUMINUM</w:t>
      </w:r>
      <w:r w:rsidR="00ED542A"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3060"/>
        <w:gridCol w:w="2790"/>
        <w:gridCol w:w="2970"/>
      </w:tblGrid>
      <w:tr w:rsidR="00765573" w:rsidRPr="006A5C85" w:rsidTr="00956636">
        <w:trPr>
          <w:trHeight w:val="576"/>
        </w:trPr>
        <w:tc>
          <w:tcPr>
            <w:tcW w:w="3888" w:type="dxa"/>
            <w:vAlign w:val="center"/>
          </w:tcPr>
          <w:p w:rsidR="00765573" w:rsidRPr="006A5C85" w:rsidRDefault="00765573" w:rsidP="00956636">
            <w:pPr>
              <w:widowControl/>
              <w:ind w:right="-90"/>
              <w:jc w:val="center"/>
              <w:rPr>
                <w:b/>
              </w:rPr>
            </w:pPr>
            <w:r w:rsidRPr="006A5C85">
              <w:rPr>
                <w:b/>
              </w:rPr>
              <w:t>Requirement</w:t>
            </w:r>
          </w:p>
        </w:tc>
        <w:tc>
          <w:tcPr>
            <w:tcW w:w="3060" w:type="dxa"/>
            <w:vAlign w:val="center"/>
          </w:tcPr>
          <w:p w:rsidR="00765573" w:rsidRPr="006A5C85" w:rsidRDefault="00765573" w:rsidP="00956636">
            <w:pPr>
              <w:widowControl/>
              <w:ind w:right="-90"/>
              <w:jc w:val="center"/>
              <w:rPr>
                <w:b/>
              </w:rPr>
            </w:pPr>
            <w:r w:rsidRPr="006A5C85">
              <w:rPr>
                <w:b/>
              </w:rPr>
              <w:t>Citation for existing sources</w:t>
            </w:r>
          </w:p>
        </w:tc>
        <w:tc>
          <w:tcPr>
            <w:tcW w:w="2790" w:type="dxa"/>
            <w:vAlign w:val="center"/>
          </w:tcPr>
          <w:p w:rsidR="00765573" w:rsidRPr="006A5C85" w:rsidRDefault="00765573" w:rsidP="00956636">
            <w:pPr>
              <w:widowControl/>
              <w:ind w:right="-90"/>
              <w:jc w:val="center"/>
              <w:rPr>
                <w:b/>
              </w:rPr>
            </w:pPr>
            <w:r w:rsidRPr="006A5C85">
              <w:rPr>
                <w:b/>
              </w:rPr>
              <w:t>Citation for new sources</w:t>
            </w:r>
          </w:p>
        </w:tc>
        <w:tc>
          <w:tcPr>
            <w:tcW w:w="2970" w:type="dxa"/>
            <w:vAlign w:val="center"/>
          </w:tcPr>
          <w:p w:rsidR="00765573" w:rsidRPr="006A5C85" w:rsidRDefault="00765573" w:rsidP="00956636">
            <w:pPr>
              <w:widowControl/>
              <w:ind w:right="-90"/>
              <w:jc w:val="center"/>
              <w:rPr>
                <w:b/>
              </w:rPr>
            </w:pPr>
            <w:r w:rsidRPr="006A5C85">
              <w:rPr>
                <w:b/>
              </w:rPr>
              <w:t>General Provisions citation</w:t>
            </w:r>
          </w:p>
        </w:tc>
      </w:tr>
      <w:tr w:rsidR="002639A0" w:rsidRPr="006A5C85" w:rsidTr="00956636">
        <w:trPr>
          <w:trHeight w:val="576"/>
        </w:trPr>
        <w:tc>
          <w:tcPr>
            <w:tcW w:w="3888" w:type="dxa"/>
            <w:vAlign w:val="center"/>
          </w:tcPr>
          <w:p w:rsidR="002639A0" w:rsidRPr="006A5C85" w:rsidRDefault="001B22C1" w:rsidP="00AD374C">
            <w:pPr>
              <w:widowControl/>
              <w:ind w:right="-90"/>
              <w:rPr>
                <w:b/>
                <w:i/>
              </w:rPr>
            </w:pPr>
            <w:r>
              <w:t>Lime injection rate v</w:t>
            </w:r>
            <w:r w:rsidR="00AD374C" w:rsidRPr="00985F12">
              <w:t>erificatio</w:t>
            </w:r>
            <w:r w:rsidR="00AD374C">
              <w:t xml:space="preserve">n </w:t>
            </w:r>
          </w:p>
        </w:tc>
        <w:tc>
          <w:tcPr>
            <w:tcW w:w="3060" w:type="dxa"/>
            <w:vAlign w:val="center"/>
          </w:tcPr>
          <w:p w:rsidR="002639A0" w:rsidRPr="006A5C85" w:rsidRDefault="00AD374C" w:rsidP="00AD374C">
            <w:pPr>
              <w:widowControl/>
              <w:ind w:left="162" w:right="-90"/>
              <w:rPr>
                <w:bCs/>
              </w:rPr>
            </w:pPr>
            <w:r w:rsidRPr="006A5C85">
              <w:rPr>
                <w:bCs/>
              </w:rPr>
              <w:t>§</w:t>
            </w:r>
            <w:r>
              <w:t>63.1510(i)(4)</w:t>
            </w:r>
          </w:p>
        </w:tc>
        <w:tc>
          <w:tcPr>
            <w:tcW w:w="2790" w:type="dxa"/>
            <w:vAlign w:val="center"/>
          </w:tcPr>
          <w:p w:rsidR="002639A0" w:rsidRPr="006A5C85" w:rsidRDefault="00AD374C" w:rsidP="00956636">
            <w:pPr>
              <w:widowControl/>
              <w:ind w:left="162" w:right="-90"/>
              <w:rPr>
                <w:bCs/>
              </w:rPr>
            </w:pPr>
            <w:r w:rsidRPr="006A5C85">
              <w:rPr>
                <w:bCs/>
              </w:rPr>
              <w:t>§</w:t>
            </w:r>
            <w:r>
              <w:t>63.1510(i)(4)</w:t>
            </w:r>
          </w:p>
        </w:tc>
        <w:tc>
          <w:tcPr>
            <w:tcW w:w="2970" w:type="dxa"/>
            <w:vAlign w:val="center"/>
          </w:tcPr>
          <w:p w:rsidR="002639A0" w:rsidRPr="006A5C85" w:rsidRDefault="002639A0" w:rsidP="00956636">
            <w:pPr>
              <w:widowControl/>
              <w:ind w:right="-90"/>
            </w:pPr>
          </w:p>
        </w:tc>
      </w:tr>
      <w:tr w:rsidR="00C80461" w:rsidRPr="006A5C85" w:rsidTr="00956636">
        <w:trPr>
          <w:trHeight w:val="576"/>
        </w:trPr>
        <w:tc>
          <w:tcPr>
            <w:tcW w:w="3888" w:type="dxa"/>
            <w:vAlign w:val="center"/>
          </w:tcPr>
          <w:p w:rsidR="00C80461" w:rsidRDefault="001B22C1" w:rsidP="00956636">
            <w:pPr>
              <w:widowControl/>
              <w:ind w:right="-90"/>
              <w:rPr>
                <w:b/>
                <w:i/>
              </w:rPr>
            </w:pPr>
            <w:r>
              <w:t>Measurements of HF in a</w:t>
            </w:r>
            <w:r w:rsidR="00AD374C" w:rsidRPr="00985F12">
              <w:t>ddition to HCl</w:t>
            </w:r>
          </w:p>
        </w:tc>
        <w:tc>
          <w:tcPr>
            <w:tcW w:w="3060" w:type="dxa"/>
            <w:vAlign w:val="center"/>
          </w:tcPr>
          <w:p w:rsidR="00C80461" w:rsidRPr="006A5C85" w:rsidRDefault="00C80461" w:rsidP="00AD374C">
            <w:pPr>
              <w:widowControl/>
              <w:ind w:left="162" w:right="-90"/>
              <w:rPr>
                <w:bCs/>
              </w:rPr>
            </w:pPr>
            <w:r w:rsidRPr="006A5C85">
              <w:rPr>
                <w:bCs/>
              </w:rPr>
              <w:t>§</w:t>
            </w:r>
            <w:r w:rsidR="00AD374C" w:rsidRPr="00985F12">
              <w:t>63.1503, 63.1505, 63.1511(c)(9), 63.1513</w:t>
            </w:r>
          </w:p>
        </w:tc>
        <w:tc>
          <w:tcPr>
            <w:tcW w:w="2790" w:type="dxa"/>
            <w:vAlign w:val="center"/>
          </w:tcPr>
          <w:p w:rsidR="00C80461" w:rsidRPr="006A5C85" w:rsidRDefault="00AD374C" w:rsidP="00956636">
            <w:pPr>
              <w:widowControl/>
              <w:ind w:left="162" w:right="-90"/>
              <w:rPr>
                <w:bCs/>
              </w:rPr>
            </w:pPr>
            <w:r w:rsidRPr="006A5C85">
              <w:rPr>
                <w:bCs/>
              </w:rPr>
              <w:t>§</w:t>
            </w:r>
            <w:r w:rsidRPr="00985F12">
              <w:t>63.1503, 63.1505, 63.1511(c)(9), 63.1513</w:t>
            </w:r>
          </w:p>
        </w:tc>
        <w:tc>
          <w:tcPr>
            <w:tcW w:w="2970" w:type="dxa"/>
            <w:vAlign w:val="center"/>
          </w:tcPr>
          <w:p w:rsidR="00C80461" w:rsidRPr="006A5C85" w:rsidRDefault="00C80461" w:rsidP="00956636">
            <w:pPr>
              <w:widowControl/>
              <w:ind w:right="-90"/>
            </w:pPr>
          </w:p>
        </w:tc>
      </w:tr>
      <w:tr w:rsidR="00827EBD" w:rsidRPr="006A5C85" w:rsidTr="00956636">
        <w:trPr>
          <w:trHeight w:val="576"/>
        </w:trPr>
        <w:tc>
          <w:tcPr>
            <w:tcW w:w="3888" w:type="dxa"/>
            <w:vAlign w:val="center"/>
          </w:tcPr>
          <w:p w:rsidR="00827EBD" w:rsidRDefault="00AD374C" w:rsidP="001B22C1">
            <w:pPr>
              <w:widowControl/>
              <w:ind w:right="-90"/>
              <w:rPr>
                <w:b/>
                <w:i/>
              </w:rPr>
            </w:pPr>
            <w:r w:rsidRPr="00985F12">
              <w:t>Uncontrolled furnaces that do</w:t>
            </w:r>
            <w:r>
              <w:t xml:space="preserve"> </w:t>
            </w:r>
            <w:r w:rsidR="001B22C1">
              <w:t>not comply with ACGIH hooding g</w:t>
            </w:r>
            <w:r w:rsidRPr="00985F12">
              <w:t>uidelines</w:t>
            </w:r>
          </w:p>
        </w:tc>
        <w:tc>
          <w:tcPr>
            <w:tcW w:w="3060" w:type="dxa"/>
            <w:vAlign w:val="center"/>
          </w:tcPr>
          <w:p w:rsidR="00827EBD" w:rsidRPr="006A5C85" w:rsidRDefault="00827EBD" w:rsidP="00AD374C">
            <w:pPr>
              <w:widowControl/>
              <w:ind w:left="162" w:right="-90"/>
              <w:rPr>
                <w:bCs/>
              </w:rPr>
            </w:pPr>
            <w:r w:rsidRPr="006A5C85">
              <w:rPr>
                <w:bCs/>
              </w:rPr>
              <w:t>§</w:t>
            </w:r>
            <w:r w:rsidR="00AD374C" w:rsidRPr="00985F12">
              <w:t>63.1512(e)(4)</w:t>
            </w:r>
          </w:p>
        </w:tc>
        <w:tc>
          <w:tcPr>
            <w:tcW w:w="2790" w:type="dxa"/>
            <w:vAlign w:val="center"/>
          </w:tcPr>
          <w:p w:rsidR="00827EBD" w:rsidRDefault="00AD374C" w:rsidP="00827EBD">
            <w:pPr>
              <w:widowControl/>
              <w:ind w:left="162" w:right="-90"/>
              <w:rPr>
                <w:bCs/>
              </w:rPr>
            </w:pPr>
            <w:r w:rsidRPr="006A5C85">
              <w:rPr>
                <w:bCs/>
              </w:rPr>
              <w:t>§</w:t>
            </w:r>
            <w:r w:rsidRPr="00985F12">
              <w:t>63.1512(e)(4)</w:t>
            </w:r>
          </w:p>
        </w:tc>
        <w:tc>
          <w:tcPr>
            <w:tcW w:w="2970" w:type="dxa"/>
            <w:vAlign w:val="center"/>
          </w:tcPr>
          <w:p w:rsidR="00827EBD" w:rsidRPr="006A5C85" w:rsidRDefault="00827EBD" w:rsidP="00956636">
            <w:pPr>
              <w:widowControl/>
              <w:ind w:right="-90"/>
            </w:pPr>
          </w:p>
        </w:tc>
      </w:tr>
      <w:tr w:rsidR="00AD374C" w:rsidRPr="006A5C85" w:rsidTr="00956636">
        <w:trPr>
          <w:trHeight w:val="576"/>
        </w:trPr>
        <w:tc>
          <w:tcPr>
            <w:tcW w:w="3888" w:type="dxa"/>
            <w:vAlign w:val="center"/>
          </w:tcPr>
          <w:p w:rsidR="00AD374C" w:rsidRPr="00985F12" w:rsidRDefault="001B22C1" w:rsidP="00801E29">
            <w:pPr>
              <w:widowControl/>
              <w:ind w:right="-90"/>
            </w:pPr>
            <w:r>
              <w:t xml:space="preserve">Changing furnace </w:t>
            </w:r>
            <w:r w:rsidR="00801E29">
              <w:t>classification</w:t>
            </w:r>
          </w:p>
        </w:tc>
        <w:tc>
          <w:tcPr>
            <w:tcW w:w="3060" w:type="dxa"/>
            <w:vAlign w:val="center"/>
          </w:tcPr>
          <w:p w:rsidR="00AD374C" w:rsidRPr="006A5C85" w:rsidRDefault="00AD374C" w:rsidP="00AD374C">
            <w:pPr>
              <w:widowControl/>
              <w:ind w:left="162" w:right="-90"/>
              <w:rPr>
                <w:bCs/>
              </w:rPr>
            </w:pPr>
            <w:r w:rsidRPr="006A5C85">
              <w:rPr>
                <w:bCs/>
              </w:rPr>
              <w:t>§</w:t>
            </w:r>
            <w:r w:rsidRPr="00985F12">
              <w:t>63.1514</w:t>
            </w:r>
          </w:p>
        </w:tc>
        <w:tc>
          <w:tcPr>
            <w:tcW w:w="2790" w:type="dxa"/>
            <w:vAlign w:val="center"/>
          </w:tcPr>
          <w:p w:rsidR="00AD374C" w:rsidRPr="006A5C85" w:rsidRDefault="00AD374C" w:rsidP="00827EBD">
            <w:pPr>
              <w:widowControl/>
              <w:ind w:left="162" w:right="-90"/>
              <w:rPr>
                <w:bCs/>
              </w:rPr>
            </w:pPr>
            <w:r w:rsidRPr="006A5C85">
              <w:rPr>
                <w:bCs/>
              </w:rPr>
              <w:t>§</w:t>
            </w:r>
            <w:r w:rsidRPr="00985F12">
              <w:t>63.1514</w:t>
            </w:r>
          </w:p>
        </w:tc>
        <w:tc>
          <w:tcPr>
            <w:tcW w:w="2970" w:type="dxa"/>
            <w:vAlign w:val="center"/>
          </w:tcPr>
          <w:p w:rsidR="00AD374C" w:rsidRPr="006A5C85" w:rsidRDefault="00AD374C" w:rsidP="00956636">
            <w:pPr>
              <w:widowControl/>
              <w:ind w:right="-90"/>
            </w:pPr>
          </w:p>
        </w:tc>
      </w:tr>
    </w:tbl>
    <w:p w:rsidR="004B437A" w:rsidRDefault="004B437A" w:rsidP="00956636">
      <w:pPr>
        <w:widowControl/>
        <w:ind w:right="-90"/>
      </w:pPr>
    </w:p>
    <w:sectPr w:rsidR="004B437A" w:rsidSect="00515F13">
      <w:footerReference w:type="default" r:id="rId16"/>
      <w:footnotePr>
        <w:numRestart w:val="eachPage"/>
      </w:footnotePr>
      <w:endnotePr>
        <w:numFmt w:val="decimal"/>
      </w:endnotePr>
      <w:pgSz w:w="15840" w:h="12240" w:orient="landscape" w:code="1"/>
      <w:pgMar w:top="1152" w:right="1152" w:bottom="1296" w:left="1152" w:header="1152"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739" w:rsidRDefault="00C05739">
      <w:r>
        <w:separator/>
      </w:r>
    </w:p>
  </w:endnote>
  <w:endnote w:type="continuationSeparator" w:id="0">
    <w:p w:rsidR="00C05739" w:rsidRDefault="00C057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15" w:rsidRDefault="003A0A15"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A15" w:rsidRDefault="003A0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15" w:rsidRPr="004646DE" w:rsidRDefault="003A0A15" w:rsidP="004646DE">
    <w:pPr>
      <w:ind w:right="288"/>
      <w:jc w:val="center"/>
      <w:rPr>
        <w:sz w:val="22"/>
        <w:szCs w:val="22"/>
      </w:rPr>
    </w:pPr>
    <w:r w:rsidRPr="004646DE">
      <w:rPr>
        <w:sz w:val="22"/>
        <w:szCs w:val="22"/>
      </w:rPr>
      <w:fldChar w:fldCharType="begin"/>
    </w:r>
    <w:r w:rsidRPr="004646DE">
      <w:rPr>
        <w:sz w:val="22"/>
        <w:szCs w:val="22"/>
      </w:rPr>
      <w:instrText xml:space="preserve"> PAGE   \* MERGEFORMAT </w:instrText>
    </w:r>
    <w:r w:rsidRPr="004646DE">
      <w:rPr>
        <w:sz w:val="22"/>
        <w:szCs w:val="22"/>
      </w:rPr>
      <w:fldChar w:fldCharType="separate"/>
    </w:r>
    <w:r w:rsidR="00DB381C">
      <w:rPr>
        <w:noProof/>
        <w:sz w:val="22"/>
        <w:szCs w:val="22"/>
      </w:rPr>
      <w:t>10</w:t>
    </w:r>
    <w:r w:rsidRPr="004646DE">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15" w:rsidRPr="00113107" w:rsidRDefault="003A0A15"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DB381C">
      <w:rPr>
        <w:rStyle w:val="PageNumber"/>
        <w:noProof/>
        <w:sz w:val="24"/>
        <w:szCs w:val="24"/>
      </w:rPr>
      <w:t>12</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15" w:rsidRDefault="003A0A15">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DB381C">
      <w:rPr>
        <w:noProof/>
        <w:sz w:val="24"/>
        <w:szCs w:val="24"/>
      </w:rPr>
      <w:t>13</w:t>
    </w:r>
    <w:r>
      <w:rPr>
        <w:sz w:val="24"/>
        <w:szCs w:val="24"/>
      </w:rPr>
      <w:fldChar w:fldCharType="end"/>
    </w:r>
  </w:p>
  <w:p w:rsidR="003A0A15" w:rsidRDefault="003A0A15">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739" w:rsidRDefault="00C05739">
      <w:r>
        <w:separator/>
      </w:r>
    </w:p>
  </w:footnote>
  <w:footnote w:type="continuationSeparator" w:id="0">
    <w:p w:rsidR="00C05739" w:rsidRDefault="00C05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DC" w:rsidRDefault="003816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NotTrackFormatting/>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AFE"/>
    <w:rsid w:val="00016B33"/>
    <w:rsid w:val="00016D9C"/>
    <w:rsid w:val="00016E32"/>
    <w:rsid w:val="00021FC5"/>
    <w:rsid w:val="00023D9E"/>
    <w:rsid w:val="000306F8"/>
    <w:rsid w:val="00031FE4"/>
    <w:rsid w:val="00034A54"/>
    <w:rsid w:val="00034F3C"/>
    <w:rsid w:val="00036137"/>
    <w:rsid w:val="000377EF"/>
    <w:rsid w:val="000402D6"/>
    <w:rsid w:val="000414DE"/>
    <w:rsid w:val="00041EB2"/>
    <w:rsid w:val="00043114"/>
    <w:rsid w:val="000434CC"/>
    <w:rsid w:val="00045A80"/>
    <w:rsid w:val="0004658A"/>
    <w:rsid w:val="00047BA5"/>
    <w:rsid w:val="00053A89"/>
    <w:rsid w:val="00053AF3"/>
    <w:rsid w:val="00053C3C"/>
    <w:rsid w:val="00056629"/>
    <w:rsid w:val="0005666C"/>
    <w:rsid w:val="00061A97"/>
    <w:rsid w:val="000636FB"/>
    <w:rsid w:val="000641FD"/>
    <w:rsid w:val="00064BEF"/>
    <w:rsid w:val="00064CAB"/>
    <w:rsid w:val="00064D8B"/>
    <w:rsid w:val="0006580C"/>
    <w:rsid w:val="00065C8B"/>
    <w:rsid w:val="00066496"/>
    <w:rsid w:val="0006733F"/>
    <w:rsid w:val="00067EB9"/>
    <w:rsid w:val="00067EF3"/>
    <w:rsid w:val="000715E2"/>
    <w:rsid w:val="000717FC"/>
    <w:rsid w:val="000724BA"/>
    <w:rsid w:val="0007297E"/>
    <w:rsid w:val="00072A4A"/>
    <w:rsid w:val="00072C20"/>
    <w:rsid w:val="00073241"/>
    <w:rsid w:val="00073B9C"/>
    <w:rsid w:val="00073D20"/>
    <w:rsid w:val="000742C5"/>
    <w:rsid w:val="00076DB5"/>
    <w:rsid w:val="00077133"/>
    <w:rsid w:val="000802A9"/>
    <w:rsid w:val="00083394"/>
    <w:rsid w:val="00084141"/>
    <w:rsid w:val="00084247"/>
    <w:rsid w:val="0008449E"/>
    <w:rsid w:val="000854B5"/>
    <w:rsid w:val="00085D37"/>
    <w:rsid w:val="00087908"/>
    <w:rsid w:val="00091880"/>
    <w:rsid w:val="00091EA0"/>
    <w:rsid w:val="000923FE"/>
    <w:rsid w:val="000956BA"/>
    <w:rsid w:val="00097AA6"/>
    <w:rsid w:val="00097D10"/>
    <w:rsid w:val="000A295C"/>
    <w:rsid w:val="000A4216"/>
    <w:rsid w:val="000A60B3"/>
    <w:rsid w:val="000A6143"/>
    <w:rsid w:val="000A7EC6"/>
    <w:rsid w:val="000B0C33"/>
    <w:rsid w:val="000B1753"/>
    <w:rsid w:val="000B3A70"/>
    <w:rsid w:val="000B4288"/>
    <w:rsid w:val="000B552F"/>
    <w:rsid w:val="000B66AC"/>
    <w:rsid w:val="000B72F3"/>
    <w:rsid w:val="000B7551"/>
    <w:rsid w:val="000C1F43"/>
    <w:rsid w:val="000C3B9C"/>
    <w:rsid w:val="000C5540"/>
    <w:rsid w:val="000C60F1"/>
    <w:rsid w:val="000C7EA5"/>
    <w:rsid w:val="000D12CC"/>
    <w:rsid w:val="000D30EF"/>
    <w:rsid w:val="000D7100"/>
    <w:rsid w:val="000E0093"/>
    <w:rsid w:val="000E5208"/>
    <w:rsid w:val="000E6EF0"/>
    <w:rsid w:val="000E77FC"/>
    <w:rsid w:val="000F279A"/>
    <w:rsid w:val="000F2895"/>
    <w:rsid w:val="000F2E6E"/>
    <w:rsid w:val="000F2FC5"/>
    <w:rsid w:val="000F4EC0"/>
    <w:rsid w:val="000F62E0"/>
    <w:rsid w:val="000F79D3"/>
    <w:rsid w:val="00100121"/>
    <w:rsid w:val="0010072D"/>
    <w:rsid w:val="0010147D"/>
    <w:rsid w:val="0010701D"/>
    <w:rsid w:val="00107610"/>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47008"/>
    <w:rsid w:val="00151344"/>
    <w:rsid w:val="00153D7B"/>
    <w:rsid w:val="00154A05"/>
    <w:rsid w:val="00154E9E"/>
    <w:rsid w:val="00155EC6"/>
    <w:rsid w:val="0016114B"/>
    <w:rsid w:val="00161F58"/>
    <w:rsid w:val="00162837"/>
    <w:rsid w:val="00162A70"/>
    <w:rsid w:val="00164194"/>
    <w:rsid w:val="001646D0"/>
    <w:rsid w:val="001717C2"/>
    <w:rsid w:val="0017193F"/>
    <w:rsid w:val="00172F85"/>
    <w:rsid w:val="00174CAF"/>
    <w:rsid w:val="0017590E"/>
    <w:rsid w:val="00176584"/>
    <w:rsid w:val="00176615"/>
    <w:rsid w:val="00180148"/>
    <w:rsid w:val="00180C9F"/>
    <w:rsid w:val="0018203E"/>
    <w:rsid w:val="001826BD"/>
    <w:rsid w:val="00182B04"/>
    <w:rsid w:val="00183697"/>
    <w:rsid w:val="00183F9F"/>
    <w:rsid w:val="001867DD"/>
    <w:rsid w:val="00186BDE"/>
    <w:rsid w:val="001902E6"/>
    <w:rsid w:val="00191CDD"/>
    <w:rsid w:val="00191DBD"/>
    <w:rsid w:val="001966FA"/>
    <w:rsid w:val="00196B8B"/>
    <w:rsid w:val="00197049"/>
    <w:rsid w:val="001A1439"/>
    <w:rsid w:val="001A157C"/>
    <w:rsid w:val="001A2FBF"/>
    <w:rsid w:val="001A6139"/>
    <w:rsid w:val="001A751F"/>
    <w:rsid w:val="001B22C1"/>
    <w:rsid w:val="001B2579"/>
    <w:rsid w:val="001B380B"/>
    <w:rsid w:val="001B3E33"/>
    <w:rsid w:val="001B535C"/>
    <w:rsid w:val="001B6837"/>
    <w:rsid w:val="001B6CCA"/>
    <w:rsid w:val="001B6E9C"/>
    <w:rsid w:val="001B6FE2"/>
    <w:rsid w:val="001C0F58"/>
    <w:rsid w:val="001C15C1"/>
    <w:rsid w:val="001C25E1"/>
    <w:rsid w:val="001C2973"/>
    <w:rsid w:val="001C5A60"/>
    <w:rsid w:val="001C5BC0"/>
    <w:rsid w:val="001C7C77"/>
    <w:rsid w:val="001D08CE"/>
    <w:rsid w:val="001D0CA6"/>
    <w:rsid w:val="001D1038"/>
    <w:rsid w:val="001D178F"/>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D1B"/>
    <w:rsid w:val="001F7E95"/>
    <w:rsid w:val="0020115C"/>
    <w:rsid w:val="002017F2"/>
    <w:rsid w:val="0020244E"/>
    <w:rsid w:val="00202A3A"/>
    <w:rsid w:val="00206C0F"/>
    <w:rsid w:val="00207F3D"/>
    <w:rsid w:val="00207F8E"/>
    <w:rsid w:val="00211720"/>
    <w:rsid w:val="0021648C"/>
    <w:rsid w:val="002179D0"/>
    <w:rsid w:val="00222001"/>
    <w:rsid w:val="00224B92"/>
    <w:rsid w:val="00224C87"/>
    <w:rsid w:val="00224FCA"/>
    <w:rsid w:val="00226399"/>
    <w:rsid w:val="002330BE"/>
    <w:rsid w:val="00233D13"/>
    <w:rsid w:val="00235A9F"/>
    <w:rsid w:val="002368AD"/>
    <w:rsid w:val="00236945"/>
    <w:rsid w:val="002379F4"/>
    <w:rsid w:val="00241223"/>
    <w:rsid w:val="002412BB"/>
    <w:rsid w:val="0024165E"/>
    <w:rsid w:val="00242368"/>
    <w:rsid w:val="002445F2"/>
    <w:rsid w:val="002451E7"/>
    <w:rsid w:val="00247306"/>
    <w:rsid w:val="002528C8"/>
    <w:rsid w:val="00252C4E"/>
    <w:rsid w:val="00260AD8"/>
    <w:rsid w:val="0026255D"/>
    <w:rsid w:val="0026286B"/>
    <w:rsid w:val="002639A0"/>
    <w:rsid w:val="002648AC"/>
    <w:rsid w:val="00267B8A"/>
    <w:rsid w:val="00267CBF"/>
    <w:rsid w:val="002726ED"/>
    <w:rsid w:val="00272FCA"/>
    <w:rsid w:val="002742BC"/>
    <w:rsid w:val="00277299"/>
    <w:rsid w:val="0027747A"/>
    <w:rsid w:val="00277705"/>
    <w:rsid w:val="002818D5"/>
    <w:rsid w:val="002823B3"/>
    <w:rsid w:val="00282482"/>
    <w:rsid w:val="00283659"/>
    <w:rsid w:val="00284E0D"/>
    <w:rsid w:val="00285215"/>
    <w:rsid w:val="00285BEC"/>
    <w:rsid w:val="00290013"/>
    <w:rsid w:val="002904F5"/>
    <w:rsid w:val="002920B7"/>
    <w:rsid w:val="00293682"/>
    <w:rsid w:val="00293F1D"/>
    <w:rsid w:val="002A02C8"/>
    <w:rsid w:val="002A08C9"/>
    <w:rsid w:val="002A25E2"/>
    <w:rsid w:val="002A3CAA"/>
    <w:rsid w:val="002A7221"/>
    <w:rsid w:val="002A7FB0"/>
    <w:rsid w:val="002B1D7D"/>
    <w:rsid w:val="002B6534"/>
    <w:rsid w:val="002B754E"/>
    <w:rsid w:val="002C0FB9"/>
    <w:rsid w:val="002C12AD"/>
    <w:rsid w:val="002C1B63"/>
    <w:rsid w:val="002C5DA3"/>
    <w:rsid w:val="002D038C"/>
    <w:rsid w:val="002D1D88"/>
    <w:rsid w:val="002D4252"/>
    <w:rsid w:val="002D7B65"/>
    <w:rsid w:val="002E01FC"/>
    <w:rsid w:val="002E0524"/>
    <w:rsid w:val="002E06AF"/>
    <w:rsid w:val="002E1358"/>
    <w:rsid w:val="002E1650"/>
    <w:rsid w:val="002E72AA"/>
    <w:rsid w:val="002F0F46"/>
    <w:rsid w:val="002F5889"/>
    <w:rsid w:val="002F6869"/>
    <w:rsid w:val="002F6DBA"/>
    <w:rsid w:val="0030079F"/>
    <w:rsid w:val="00300E65"/>
    <w:rsid w:val="00301ABE"/>
    <w:rsid w:val="00302B64"/>
    <w:rsid w:val="0030309D"/>
    <w:rsid w:val="00303303"/>
    <w:rsid w:val="00305ADD"/>
    <w:rsid w:val="00307C88"/>
    <w:rsid w:val="00307EDF"/>
    <w:rsid w:val="00310247"/>
    <w:rsid w:val="0031307B"/>
    <w:rsid w:val="00314D67"/>
    <w:rsid w:val="00316CB8"/>
    <w:rsid w:val="00320068"/>
    <w:rsid w:val="003216A7"/>
    <w:rsid w:val="00321D07"/>
    <w:rsid w:val="0032303C"/>
    <w:rsid w:val="00324740"/>
    <w:rsid w:val="003255A3"/>
    <w:rsid w:val="003256B4"/>
    <w:rsid w:val="00327684"/>
    <w:rsid w:val="003277E2"/>
    <w:rsid w:val="003305D5"/>
    <w:rsid w:val="0033361B"/>
    <w:rsid w:val="00336216"/>
    <w:rsid w:val="00340928"/>
    <w:rsid w:val="0034108E"/>
    <w:rsid w:val="003427CE"/>
    <w:rsid w:val="0034370D"/>
    <w:rsid w:val="003437C1"/>
    <w:rsid w:val="00343B4F"/>
    <w:rsid w:val="0034664A"/>
    <w:rsid w:val="00347017"/>
    <w:rsid w:val="003502AC"/>
    <w:rsid w:val="00352368"/>
    <w:rsid w:val="0035349A"/>
    <w:rsid w:val="003541C8"/>
    <w:rsid w:val="00355013"/>
    <w:rsid w:val="00355AA2"/>
    <w:rsid w:val="0035655C"/>
    <w:rsid w:val="003649C2"/>
    <w:rsid w:val="00365C7E"/>
    <w:rsid w:val="003719D2"/>
    <w:rsid w:val="00371BE1"/>
    <w:rsid w:val="003747E1"/>
    <w:rsid w:val="00374E99"/>
    <w:rsid w:val="003764D8"/>
    <w:rsid w:val="003816DC"/>
    <w:rsid w:val="003841CE"/>
    <w:rsid w:val="00386343"/>
    <w:rsid w:val="00390B6F"/>
    <w:rsid w:val="00393D6E"/>
    <w:rsid w:val="00395FD8"/>
    <w:rsid w:val="003A08D3"/>
    <w:rsid w:val="003A0A15"/>
    <w:rsid w:val="003A14DC"/>
    <w:rsid w:val="003A41E9"/>
    <w:rsid w:val="003A6E3D"/>
    <w:rsid w:val="003A79F6"/>
    <w:rsid w:val="003B1097"/>
    <w:rsid w:val="003B1392"/>
    <w:rsid w:val="003B23EE"/>
    <w:rsid w:val="003B2915"/>
    <w:rsid w:val="003B3BE4"/>
    <w:rsid w:val="003B3D3C"/>
    <w:rsid w:val="003B4227"/>
    <w:rsid w:val="003B5276"/>
    <w:rsid w:val="003B62F8"/>
    <w:rsid w:val="003B6F86"/>
    <w:rsid w:val="003C152B"/>
    <w:rsid w:val="003C2FB7"/>
    <w:rsid w:val="003C3074"/>
    <w:rsid w:val="003C3802"/>
    <w:rsid w:val="003C42FB"/>
    <w:rsid w:val="003D3685"/>
    <w:rsid w:val="003D4106"/>
    <w:rsid w:val="003E1E2A"/>
    <w:rsid w:val="003E21C7"/>
    <w:rsid w:val="003E305D"/>
    <w:rsid w:val="003E6C0D"/>
    <w:rsid w:val="003E7675"/>
    <w:rsid w:val="003E770D"/>
    <w:rsid w:val="003F2241"/>
    <w:rsid w:val="003F2E98"/>
    <w:rsid w:val="003F3833"/>
    <w:rsid w:val="003F3A68"/>
    <w:rsid w:val="003F495A"/>
    <w:rsid w:val="003F523A"/>
    <w:rsid w:val="004000BC"/>
    <w:rsid w:val="00404876"/>
    <w:rsid w:val="004107C1"/>
    <w:rsid w:val="00411CAB"/>
    <w:rsid w:val="004120C5"/>
    <w:rsid w:val="00412393"/>
    <w:rsid w:val="004132C2"/>
    <w:rsid w:val="0041368F"/>
    <w:rsid w:val="004162DC"/>
    <w:rsid w:val="004167B4"/>
    <w:rsid w:val="004206E1"/>
    <w:rsid w:val="004209C0"/>
    <w:rsid w:val="0042177C"/>
    <w:rsid w:val="00431B8B"/>
    <w:rsid w:val="00432747"/>
    <w:rsid w:val="00434AEB"/>
    <w:rsid w:val="0043583F"/>
    <w:rsid w:val="00435EBF"/>
    <w:rsid w:val="00437198"/>
    <w:rsid w:val="00437660"/>
    <w:rsid w:val="00443EF9"/>
    <w:rsid w:val="00444881"/>
    <w:rsid w:val="00445F67"/>
    <w:rsid w:val="004502FC"/>
    <w:rsid w:val="00451123"/>
    <w:rsid w:val="00452185"/>
    <w:rsid w:val="00453A1C"/>
    <w:rsid w:val="00453E4A"/>
    <w:rsid w:val="0045449E"/>
    <w:rsid w:val="0045492C"/>
    <w:rsid w:val="0045553D"/>
    <w:rsid w:val="00456FA3"/>
    <w:rsid w:val="0045769F"/>
    <w:rsid w:val="00461212"/>
    <w:rsid w:val="004646DE"/>
    <w:rsid w:val="00465408"/>
    <w:rsid w:val="00466BEE"/>
    <w:rsid w:val="004675BC"/>
    <w:rsid w:val="00472F03"/>
    <w:rsid w:val="00473634"/>
    <w:rsid w:val="004745BB"/>
    <w:rsid w:val="0047471D"/>
    <w:rsid w:val="00474752"/>
    <w:rsid w:val="00476479"/>
    <w:rsid w:val="00476BC3"/>
    <w:rsid w:val="00481723"/>
    <w:rsid w:val="004822CC"/>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25F7"/>
    <w:rsid w:val="004B3619"/>
    <w:rsid w:val="004B3D7F"/>
    <w:rsid w:val="004B437A"/>
    <w:rsid w:val="004B5814"/>
    <w:rsid w:val="004B7536"/>
    <w:rsid w:val="004B7583"/>
    <w:rsid w:val="004C18EE"/>
    <w:rsid w:val="004C1937"/>
    <w:rsid w:val="004C1EE7"/>
    <w:rsid w:val="004C3B7A"/>
    <w:rsid w:val="004C4B7D"/>
    <w:rsid w:val="004D0811"/>
    <w:rsid w:val="004D1B07"/>
    <w:rsid w:val="004D41CD"/>
    <w:rsid w:val="004D5F49"/>
    <w:rsid w:val="004D6A7E"/>
    <w:rsid w:val="004D6C42"/>
    <w:rsid w:val="004E38A3"/>
    <w:rsid w:val="004E3B65"/>
    <w:rsid w:val="004E5819"/>
    <w:rsid w:val="004F0D32"/>
    <w:rsid w:val="004F1E12"/>
    <w:rsid w:val="004F25B7"/>
    <w:rsid w:val="004F42CC"/>
    <w:rsid w:val="004F54F4"/>
    <w:rsid w:val="004F627F"/>
    <w:rsid w:val="004F7032"/>
    <w:rsid w:val="00502D10"/>
    <w:rsid w:val="00502F01"/>
    <w:rsid w:val="00503C8A"/>
    <w:rsid w:val="00503FE1"/>
    <w:rsid w:val="00505151"/>
    <w:rsid w:val="0051060D"/>
    <w:rsid w:val="00512E0E"/>
    <w:rsid w:val="00514B4C"/>
    <w:rsid w:val="00515458"/>
    <w:rsid w:val="00515F13"/>
    <w:rsid w:val="00515FFE"/>
    <w:rsid w:val="00516849"/>
    <w:rsid w:val="00522875"/>
    <w:rsid w:val="00530A1E"/>
    <w:rsid w:val="00530DAF"/>
    <w:rsid w:val="0053228A"/>
    <w:rsid w:val="005322BE"/>
    <w:rsid w:val="00532416"/>
    <w:rsid w:val="005325C7"/>
    <w:rsid w:val="00533099"/>
    <w:rsid w:val="00535DAE"/>
    <w:rsid w:val="00536637"/>
    <w:rsid w:val="00537F4D"/>
    <w:rsid w:val="00540AD1"/>
    <w:rsid w:val="00545201"/>
    <w:rsid w:val="00545719"/>
    <w:rsid w:val="005477AA"/>
    <w:rsid w:val="00551C75"/>
    <w:rsid w:val="00552CF0"/>
    <w:rsid w:val="00554ACC"/>
    <w:rsid w:val="00555977"/>
    <w:rsid w:val="00556743"/>
    <w:rsid w:val="00561302"/>
    <w:rsid w:val="00562646"/>
    <w:rsid w:val="00563E25"/>
    <w:rsid w:val="005643EB"/>
    <w:rsid w:val="00565B84"/>
    <w:rsid w:val="005666F8"/>
    <w:rsid w:val="00566BC9"/>
    <w:rsid w:val="00570406"/>
    <w:rsid w:val="00571C8A"/>
    <w:rsid w:val="005726F8"/>
    <w:rsid w:val="00572F39"/>
    <w:rsid w:val="0057300A"/>
    <w:rsid w:val="005738C7"/>
    <w:rsid w:val="00576C21"/>
    <w:rsid w:val="00577F21"/>
    <w:rsid w:val="00580D00"/>
    <w:rsid w:val="00580F46"/>
    <w:rsid w:val="00581858"/>
    <w:rsid w:val="00586EDE"/>
    <w:rsid w:val="005920D6"/>
    <w:rsid w:val="0059292E"/>
    <w:rsid w:val="00593E83"/>
    <w:rsid w:val="00595C41"/>
    <w:rsid w:val="005972BC"/>
    <w:rsid w:val="005A2021"/>
    <w:rsid w:val="005A24EA"/>
    <w:rsid w:val="005A4552"/>
    <w:rsid w:val="005A4D56"/>
    <w:rsid w:val="005A5A00"/>
    <w:rsid w:val="005A7367"/>
    <w:rsid w:val="005B0FD0"/>
    <w:rsid w:val="005B2089"/>
    <w:rsid w:val="005B445F"/>
    <w:rsid w:val="005C4CE6"/>
    <w:rsid w:val="005C4D37"/>
    <w:rsid w:val="005C7003"/>
    <w:rsid w:val="005D0CDA"/>
    <w:rsid w:val="005D3226"/>
    <w:rsid w:val="005D7431"/>
    <w:rsid w:val="005D7E2D"/>
    <w:rsid w:val="005E116D"/>
    <w:rsid w:val="005E370B"/>
    <w:rsid w:val="005E4416"/>
    <w:rsid w:val="005E5EA8"/>
    <w:rsid w:val="005E77C8"/>
    <w:rsid w:val="005F05FD"/>
    <w:rsid w:val="005F1058"/>
    <w:rsid w:val="005F14D5"/>
    <w:rsid w:val="005F34CC"/>
    <w:rsid w:val="005F42EE"/>
    <w:rsid w:val="005F5017"/>
    <w:rsid w:val="005F564F"/>
    <w:rsid w:val="005F6ED5"/>
    <w:rsid w:val="006017B7"/>
    <w:rsid w:val="006019DF"/>
    <w:rsid w:val="0060384D"/>
    <w:rsid w:val="00604032"/>
    <w:rsid w:val="00605AEC"/>
    <w:rsid w:val="006067D4"/>
    <w:rsid w:val="00606AEB"/>
    <w:rsid w:val="00610217"/>
    <w:rsid w:val="00610536"/>
    <w:rsid w:val="0061083F"/>
    <w:rsid w:val="00610DD5"/>
    <w:rsid w:val="00610F2A"/>
    <w:rsid w:val="00611998"/>
    <w:rsid w:val="0061332F"/>
    <w:rsid w:val="00615802"/>
    <w:rsid w:val="00616442"/>
    <w:rsid w:val="00616A1B"/>
    <w:rsid w:val="0061784F"/>
    <w:rsid w:val="006211CC"/>
    <w:rsid w:val="00623206"/>
    <w:rsid w:val="00623881"/>
    <w:rsid w:val="006248FA"/>
    <w:rsid w:val="00626201"/>
    <w:rsid w:val="006262F7"/>
    <w:rsid w:val="00626A54"/>
    <w:rsid w:val="00630D43"/>
    <w:rsid w:val="0063264F"/>
    <w:rsid w:val="006341F3"/>
    <w:rsid w:val="00636564"/>
    <w:rsid w:val="00636996"/>
    <w:rsid w:val="00636CC2"/>
    <w:rsid w:val="006370D6"/>
    <w:rsid w:val="00637BF2"/>
    <w:rsid w:val="00640165"/>
    <w:rsid w:val="006417BC"/>
    <w:rsid w:val="00642596"/>
    <w:rsid w:val="00642B2D"/>
    <w:rsid w:val="006434F0"/>
    <w:rsid w:val="006448C3"/>
    <w:rsid w:val="00646850"/>
    <w:rsid w:val="0065029C"/>
    <w:rsid w:val="00651390"/>
    <w:rsid w:val="006520D1"/>
    <w:rsid w:val="006525FA"/>
    <w:rsid w:val="006529F3"/>
    <w:rsid w:val="006533A1"/>
    <w:rsid w:val="0065363E"/>
    <w:rsid w:val="0065477A"/>
    <w:rsid w:val="006568AF"/>
    <w:rsid w:val="00657AD8"/>
    <w:rsid w:val="00663AB0"/>
    <w:rsid w:val="00664BA0"/>
    <w:rsid w:val="006662EE"/>
    <w:rsid w:val="0066798A"/>
    <w:rsid w:val="00670128"/>
    <w:rsid w:val="00670D51"/>
    <w:rsid w:val="00671F9B"/>
    <w:rsid w:val="0067242C"/>
    <w:rsid w:val="00675E70"/>
    <w:rsid w:val="006761F7"/>
    <w:rsid w:val="00680628"/>
    <w:rsid w:val="006861DF"/>
    <w:rsid w:val="00690D6C"/>
    <w:rsid w:val="00691C71"/>
    <w:rsid w:val="00692A54"/>
    <w:rsid w:val="00693E67"/>
    <w:rsid w:val="006944FE"/>
    <w:rsid w:val="00695CFC"/>
    <w:rsid w:val="006A1E41"/>
    <w:rsid w:val="006A272E"/>
    <w:rsid w:val="006A4F53"/>
    <w:rsid w:val="006A5ACE"/>
    <w:rsid w:val="006A5C85"/>
    <w:rsid w:val="006A68D7"/>
    <w:rsid w:val="006A743A"/>
    <w:rsid w:val="006A78C3"/>
    <w:rsid w:val="006B0A74"/>
    <w:rsid w:val="006B15AD"/>
    <w:rsid w:val="006B488B"/>
    <w:rsid w:val="006C1F11"/>
    <w:rsid w:val="006C2AA0"/>
    <w:rsid w:val="006C2FC2"/>
    <w:rsid w:val="006C4365"/>
    <w:rsid w:val="006D013F"/>
    <w:rsid w:val="006D1818"/>
    <w:rsid w:val="006D28CE"/>
    <w:rsid w:val="006D2FD8"/>
    <w:rsid w:val="006D41E2"/>
    <w:rsid w:val="006D53FE"/>
    <w:rsid w:val="006D5F17"/>
    <w:rsid w:val="006D7C83"/>
    <w:rsid w:val="006E09FD"/>
    <w:rsid w:val="006E12F6"/>
    <w:rsid w:val="006E1CAC"/>
    <w:rsid w:val="006E3538"/>
    <w:rsid w:val="006E490B"/>
    <w:rsid w:val="006E61EE"/>
    <w:rsid w:val="006E68EB"/>
    <w:rsid w:val="006E6C69"/>
    <w:rsid w:val="006E78B5"/>
    <w:rsid w:val="006F07B6"/>
    <w:rsid w:val="006F0CD1"/>
    <w:rsid w:val="006F1FFD"/>
    <w:rsid w:val="006F250E"/>
    <w:rsid w:val="006F2A25"/>
    <w:rsid w:val="006F3545"/>
    <w:rsid w:val="006F602E"/>
    <w:rsid w:val="006F631A"/>
    <w:rsid w:val="0070052A"/>
    <w:rsid w:val="007031C4"/>
    <w:rsid w:val="0070417A"/>
    <w:rsid w:val="00705601"/>
    <w:rsid w:val="00707563"/>
    <w:rsid w:val="00707617"/>
    <w:rsid w:val="00707C9F"/>
    <w:rsid w:val="00707E70"/>
    <w:rsid w:val="0071527B"/>
    <w:rsid w:val="0071599C"/>
    <w:rsid w:val="0071656A"/>
    <w:rsid w:val="00716721"/>
    <w:rsid w:val="007201E3"/>
    <w:rsid w:val="00721C26"/>
    <w:rsid w:val="00723664"/>
    <w:rsid w:val="00724FA8"/>
    <w:rsid w:val="00726CD7"/>
    <w:rsid w:val="00727739"/>
    <w:rsid w:val="00730127"/>
    <w:rsid w:val="007304DF"/>
    <w:rsid w:val="00730E31"/>
    <w:rsid w:val="00730FC7"/>
    <w:rsid w:val="00734BB3"/>
    <w:rsid w:val="00741706"/>
    <w:rsid w:val="00741BC1"/>
    <w:rsid w:val="00742371"/>
    <w:rsid w:val="00742F04"/>
    <w:rsid w:val="0074385D"/>
    <w:rsid w:val="00743A57"/>
    <w:rsid w:val="00746289"/>
    <w:rsid w:val="007468B5"/>
    <w:rsid w:val="007469E2"/>
    <w:rsid w:val="00746A53"/>
    <w:rsid w:val="0074739F"/>
    <w:rsid w:val="0074792D"/>
    <w:rsid w:val="00750C24"/>
    <w:rsid w:val="00753118"/>
    <w:rsid w:val="0075320D"/>
    <w:rsid w:val="00757084"/>
    <w:rsid w:val="007600B6"/>
    <w:rsid w:val="00761749"/>
    <w:rsid w:val="00764D73"/>
    <w:rsid w:val="00765573"/>
    <w:rsid w:val="007655F2"/>
    <w:rsid w:val="00770217"/>
    <w:rsid w:val="00772E9D"/>
    <w:rsid w:val="00777675"/>
    <w:rsid w:val="00781B86"/>
    <w:rsid w:val="0078323B"/>
    <w:rsid w:val="00783D31"/>
    <w:rsid w:val="00785C78"/>
    <w:rsid w:val="00787436"/>
    <w:rsid w:val="0078775E"/>
    <w:rsid w:val="007938C8"/>
    <w:rsid w:val="007941DD"/>
    <w:rsid w:val="00795ABD"/>
    <w:rsid w:val="00795F8C"/>
    <w:rsid w:val="007A34F0"/>
    <w:rsid w:val="007A389F"/>
    <w:rsid w:val="007A4CA8"/>
    <w:rsid w:val="007A518F"/>
    <w:rsid w:val="007A72A0"/>
    <w:rsid w:val="007A7FFD"/>
    <w:rsid w:val="007B1799"/>
    <w:rsid w:val="007B1B22"/>
    <w:rsid w:val="007B1EA6"/>
    <w:rsid w:val="007B2569"/>
    <w:rsid w:val="007B357E"/>
    <w:rsid w:val="007B3B98"/>
    <w:rsid w:val="007C0470"/>
    <w:rsid w:val="007C089C"/>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1E29"/>
    <w:rsid w:val="0080266D"/>
    <w:rsid w:val="008027B4"/>
    <w:rsid w:val="00803246"/>
    <w:rsid w:val="00807073"/>
    <w:rsid w:val="00810A52"/>
    <w:rsid w:val="00810EE1"/>
    <w:rsid w:val="00811301"/>
    <w:rsid w:val="00811376"/>
    <w:rsid w:val="0081292C"/>
    <w:rsid w:val="008133D2"/>
    <w:rsid w:val="00814259"/>
    <w:rsid w:val="008151E9"/>
    <w:rsid w:val="008172C5"/>
    <w:rsid w:val="0081784F"/>
    <w:rsid w:val="008219C1"/>
    <w:rsid w:val="00821FF1"/>
    <w:rsid w:val="00822BB0"/>
    <w:rsid w:val="0082337A"/>
    <w:rsid w:val="00827586"/>
    <w:rsid w:val="00827EBD"/>
    <w:rsid w:val="008304F4"/>
    <w:rsid w:val="00831568"/>
    <w:rsid w:val="00832724"/>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645EB"/>
    <w:rsid w:val="00881ECA"/>
    <w:rsid w:val="0088244E"/>
    <w:rsid w:val="008840D8"/>
    <w:rsid w:val="008860C1"/>
    <w:rsid w:val="0089126B"/>
    <w:rsid w:val="008922DE"/>
    <w:rsid w:val="00893D8F"/>
    <w:rsid w:val="00895D49"/>
    <w:rsid w:val="00896560"/>
    <w:rsid w:val="00897A68"/>
    <w:rsid w:val="008A299D"/>
    <w:rsid w:val="008A2B67"/>
    <w:rsid w:val="008A5BDA"/>
    <w:rsid w:val="008A7DBB"/>
    <w:rsid w:val="008B15B2"/>
    <w:rsid w:val="008B1B0A"/>
    <w:rsid w:val="008B460A"/>
    <w:rsid w:val="008C0CD1"/>
    <w:rsid w:val="008C2CCF"/>
    <w:rsid w:val="008C3BA3"/>
    <w:rsid w:val="008C50D0"/>
    <w:rsid w:val="008C621A"/>
    <w:rsid w:val="008D041F"/>
    <w:rsid w:val="008D0F3F"/>
    <w:rsid w:val="008D57BC"/>
    <w:rsid w:val="008D5869"/>
    <w:rsid w:val="008D72A9"/>
    <w:rsid w:val="008D7426"/>
    <w:rsid w:val="008D799F"/>
    <w:rsid w:val="008E05EB"/>
    <w:rsid w:val="008E0A0F"/>
    <w:rsid w:val="008E0D43"/>
    <w:rsid w:val="008E12CB"/>
    <w:rsid w:val="008E20DC"/>
    <w:rsid w:val="008E325E"/>
    <w:rsid w:val="008E35BD"/>
    <w:rsid w:val="008E6889"/>
    <w:rsid w:val="008F0C29"/>
    <w:rsid w:val="008F285E"/>
    <w:rsid w:val="008F28CF"/>
    <w:rsid w:val="008F3290"/>
    <w:rsid w:val="008F3C00"/>
    <w:rsid w:val="008F69AC"/>
    <w:rsid w:val="008F6E53"/>
    <w:rsid w:val="00901E09"/>
    <w:rsid w:val="00903006"/>
    <w:rsid w:val="00905A7D"/>
    <w:rsid w:val="00905B23"/>
    <w:rsid w:val="00907DE1"/>
    <w:rsid w:val="00910ECB"/>
    <w:rsid w:val="00911D02"/>
    <w:rsid w:val="0091241D"/>
    <w:rsid w:val="0091519C"/>
    <w:rsid w:val="00915FBB"/>
    <w:rsid w:val="00916617"/>
    <w:rsid w:val="00916688"/>
    <w:rsid w:val="00926859"/>
    <w:rsid w:val="009338FA"/>
    <w:rsid w:val="009368AD"/>
    <w:rsid w:val="009401FD"/>
    <w:rsid w:val="0094117C"/>
    <w:rsid w:val="00943BD8"/>
    <w:rsid w:val="00946FDD"/>
    <w:rsid w:val="009479DE"/>
    <w:rsid w:val="00955C77"/>
    <w:rsid w:val="00956636"/>
    <w:rsid w:val="009568C4"/>
    <w:rsid w:val="00956F75"/>
    <w:rsid w:val="00957578"/>
    <w:rsid w:val="00960D6D"/>
    <w:rsid w:val="00961C5D"/>
    <w:rsid w:val="0096303F"/>
    <w:rsid w:val="00964C42"/>
    <w:rsid w:val="0096551A"/>
    <w:rsid w:val="00966ED5"/>
    <w:rsid w:val="00967F36"/>
    <w:rsid w:val="00970368"/>
    <w:rsid w:val="009718B9"/>
    <w:rsid w:val="00971966"/>
    <w:rsid w:val="00971DF3"/>
    <w:rsid w:val="00972A8D"/>
    <w:rsid w:val="00974CDF"/>
    <w:rsid w:val="009752DD"/>
    <w:rsid w:val="0097549E"/>
    <w:rsid w:val="00975EA3"/>
    <w:rsid w:val="00982349"/>
    <w:rsid w:val="0098297D"/>
    <w:rsid w:val="00985202"/>
    <w:rsid w:val="0098627C"/>
    <w:rsid w:val="00986D1D"/>
    <w:rsid w:val="00990042"/>
    <w:rsid w:val="00990762"/>
    <w:rsid w:val="00993E53"/>
    <w:rsid w:val="00993EC3"/>
    <w:rsid w:val="009940E3"/>
    <w:rsid w:val="00994D60"/>
    <w:rsid w:val="00995BFD"/>
    <w:rsid w:val="00996476"/>
    <w:rsid w:val="00996655"/>
    <w:rsid w:val="00997168"/>
    <w:rsid w:val="009A04BC"/>
    <w:rsid w:val="009A3EC5"/>
    <w:rsid w:val="009A4187"/>
    <w:rsid w:val="009A434B"/>
    <w:rsid w:val="009A6145"/>
    <w:rsid w:val="009B0A88"/>
    <w:rsid w:val="009B1649"/>
    <w:rsid w:val="009B27DB"/>
    <w:rsid w:val="009B2C09"/>
    <w:rsid w:val="009B4ADD"/>
    <w:rsid w:val="009B51A2"/>
    <w:rsid w:val="009B61A6"/>
    <w:rsid w:val="009B6B30"/>
    <w:rsid w:val="009C0965"/>
    <w:rsid w:val="009C542F"/>
    <w:rsid w:val="009D0C20"/>
    <w:rsid w:val="009D29E4"/>
    <w:rsid w:val="009D3150"/>
    <w:rsid w:val="009D5BA0"/>
    <w:rsid w:val="009E2DC6"/>
    <w:rsid w:val="009E3399"/>
    <w:rsid w:val="009E39F9"/>
    <w:rsid w:val="009E3E20"/>
    <w:rsid w:val="009E5198"/>
    <w:rsid w:val="009E7791"/>
    <w:rsid w:val="009F0308"/>
    <w:rsid w:val="009F0A90"/>
    <w:rsid w:val="009F1552"/>
    <w:rsid w:val="009F15D1"/>
    <w:rsid w:val="009F2CCA"/>
    <w:rsid w:val="009F2D8F"/>
    <w:rsid w:val="009F4A88"/>
    <w:rsid w:val="009F5D85"/>
    <w:rsid w:val="00A011E5"/>
    <w:rsid w:val="00A01B57"/>
    <w:rsid w:val="00A0364B"/>
    <w:rsid w:val="00A03B0A"/>
    <w:rsid w:val="00A042D5"/>
    <w:rsid w:val="00A07EA7"/>
    <w:rsid w:val="00A10716"/>
    <w:rsid w:val="00A20AF8"/>
    <w:rsid w:val="00A215E6"/>
    <w:rsid w:val="00A21D56"/>
    <w:rsid w:val="00A25125"/>
    <w:rsid w:val="00A27934"/>
    <w:rsid w:val="00A30C5E"/>
    <w:rsid w:val="00A31ED1"/>
    <w:rsid w:val="00A33BDD"/>
    <w:rsid w:val="00A3496F"/>
    <w:rsid w:val="00A36B4F"/>
    <w:rsid w:val="00A41724"/>
    <w:rsid w:val="00A417EA"/>
    <w:rsid w:val="00A422CB"/>
    <w:rsid w:val="00A42E8E"/>
    <w:rsid w:val="00A4439D"/>
    <w:rsid w:val="00A45132"/>
    <w:rsid w:val="00A47C58"/>
    <w:rsid w:val="00A51DBB"/>
    <w:rsid w:val="00A563B4"/>
    <w:rsid w:val="00A609B9"/>
    <w:rsid w:val="00A610C0"/>
    <w:rsid w:val="00A62797"/>
    <w:rsid w:val="00A635F5"/>
    <w:rsid w:val="00A6394E"/>
    <w:rsid w:val="00A64B8E"/>
    <w:rsid w:val="00A64CD2"/>
    <w:rsid w:val="00A6557C"/>
    <w:rsid w:val="00A66143"/>
    <w:rsid w:val="00A700C0"/>
    <w:rsid w:val="00A7054D"/>
    <w:rsid w:val="00A73050"/>
    <w:rsid w:val="00A749EB"/>
    <w:rsid w:val="00A77AA7"/>
    <w:rsid w:val="00A82060"/>
    <w:rsid w:val="00A86C99"/>
    <w:rsid w:val="00A9476B"/>
    <w:rsid w:val="00A950FA"/>
    <w:rsid w:val="00A95FC7"/>
    <w:rsid w:val="00A96E1E"/>
    <w:rsid w:val="00AA2010"/>
    <w:rsid w:val="00AA4EB2"/>
    <w:rsid w:val="00AA5DCE"/>
    <w:rsid w:val="00AA757D"/>
    <w:rsid w:val="00AB0246"/>
    <w:rsid w:val="00AB090B"/>
    <w:rsid w:val="00AB30AB"/>
    <w:rsid w:val="00AB4C2B"/>
    <w:rsid w:val="00AB594E"/>
    <w:rsid w:val="00AB789E"/>
    <w:rsid w:val="00AC11D0"/>
    <w:rsid w:val="00AC390B"/>
    <w:rsid w:val="00AC3ABC"/>
    <w:rsid w:val="00AC5590"/>
    <w:rsid w:val="00AC678A"/>
    <w:rsid w:val="00AC6E17"/>
    <w:rsid w:val="00AD0C59"/>
    <w:rsid w:val="00AD237A"/>
    <w:rsid w:val="00AD374C"/>
    <w:rsid w:val="00AD55F1"/>
    <w:rsid w:val="00AD66DD"/>
    <w:rsid w:val="00AD717E"/>
    <w:rsid w:val="00AD7806"/>
    <w:rsid w:val="00AE0775"/>
    <w:rsid w:val="00AE0D09"/>
    <w:rsid w:val="00AE1B64"/>
    <w:rsid w:val="00AE2379"/>
    <w:rsid w:val="00AE4EBF"/>
    <w:rsid w:val="00AF0068"/>
    <w:rsid w:val="00AF1E46"/>
    <w:rsid w:val="00AF2615"/>
    <w:rsid w:val="00AF2C98"/>
    <w:rsid w:val="00AF671B"/>
    <w:rsid w:val="00AF7B10"/>
    <w:rsid w:val="00B0090E"/>
    <w:rsid w:val="00B0463D"/>
    <w:rsid w:val="00B05056"/>
    <w:rsid w:val="00B05163"/>
    <w:rsid w:val="00B06306"/>
    <w:rsid w:val="00B06491"/>
    <w:rsid w:val="00B07187"/>
    <w:rsid w:val="00B108A8"/>
    <w:rsid w:val="00B11916"/>
    <w:rsid w:val="00B11A2B"/>
    <w:rsid w:val="00B12E06"/>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2025"/>
    <w:rsid w:val="00B5246D"/>
    <w:rsid w:val="00B52CFA"/>
    <w:rsid w:val="00B53ABC"/>
    <w:rsid w:val="00B554CA"/>
    <w:rsid w:val="00B55EDA"/>
    <w:rsid w:val="00B55F6E"/>
    <w:rsid w:val="00B56350"/>
    <w:rsid w:val="00B56528"/>
    <w:rsid w:val="00B610BC"/>
    <w:rsid w:val="00B658C4"/>
    <w:rsid w:val="00B664ED"/>
    <w:rsid w:val="00B67EDA"/>
    <w:rsid w:val="00B67F81"/>
    <w:rsid w:val="00B7022F"/>
    <w:rsid w:val="00B71E5D"/>
    <w:rsid w:val="00B71F89"/>
    <w:rsid w:val="00B72906"/>
    <w:rsid w:val="00B72B63"/>
    <w:rsid w:val="00B77940"/>
    <w:rsid w:val="00B83A7C"/>
    <w:rsid w:val="00B83AB7"/>
    <w:rsid w:val="00B852D0"/>
    <w:rsid w:val="00B856AD"/>
    <w:rsid w:val="00B85A39"/>
    <w:rsid w:val="00B861FD"/>
    <w:rsid w:val="00B8681D"/>
    <w:rsid w:val="00B87560"/>
    <w:rsid w:val="00B926CC"/>
    <w:rsid w:val="00B93322"/>
    <w:rsid w:val="00B93C00"/>
    <w:rsid w:val="00B96876"/>
    <w:rsid w:val="00BA19DC"/>
    <w:rsid w:val="00BA243C"/>
    <w:rsid w:val="00BA4703"/>
    <w:rsid w:val="00BA4985"/>
    <w:rsid w:val="00BA4F3A"/>
    <w:rsid w:val="00BA5B01"/>
    <w:rsid w:val="00BA6990"/>
    <w:rsid w:val="00BA7A5D"/>
    <w:rsid w:val="00BB0F5A"/>
    <w:rsid w:val="00BB186F"/>
    <w:rsid w:val="00BB1AA0"/>
    <w:rsid w:val="00BB1D13"/>
    <w:rsid w:val="00BB2E14"/>
    <w:rsid w:val="00BB35C4"/>
    <w:rsid w:val="00BC05A5"/>
    <w:rsid w:val="00BC2A81"/>
    <w:rsid w:val="00BC5215"/>
    <w:rsid w:val="00BD174A"/>
    <w:rsid w:val="00BD20D1"/>
    <w:rsid w:val="00BD4412"/>
    <w:rsid w:val="00BD741C"/>
    <w:rsid w:val="00BE064E"/>
    <w:rsid w:val="00BE4456"/>
    <w:rsid w:val="00BE69BF"/>
    <w:rsid w:val="00BF0021"/>
    <w:rsid w:val="00BF089B"/>
    <w:rsid w:val="00BF3796"/>
    <w:rsid w:val="00BF3B19"/>
    <w:rsid w:val="00BF45AC"/>
    <w:rsid w:val="00BF579C"/>
    <w:rsid w:val="00BF76AB"/>
    <w:rsid w:val="00C025B5"/>
    <w:rsid w:val="00C0383A"/>
    <w:rsid w:val="00C03F5D"/>
    <w:rsid w:val="00C05436"/>
    <w:rsid w:val="00C05739"/>
    <w:rsid w:val="00C0770E"/>
    <w:rsid w:val="00C077C5"/>
    <w:rsid w:val="00C12946"/>
    <w:rsid w:val="00C13F4A"/>
    <w:rsid w:val="00C1509B"/>
    <w:rsid w:val="00C1720F"/>
    <w:rsid w:val="00C216E6"/>
    <w:rsid w:val="00C23876"/>
    <w:rsid w:val="00C26D59"/>
    <w:rsid w:val="00C303BB"/>
    <w:rsid w:val="00C309A3"/>
    <w:rsid w:val="00C30E79"/>
    <w:rsid w:val="00C3427A"/>
    <w:rsid w:val="00C3474C"/>
    <w:rsid w:val="00C368ED"/>
    <w:rsid w:val="00C4180C"/>
    <w:rsid w:val="00C422FD"/>
    <w:rsid w:val="00C478C1"/>
    <w:rsid w:val="00C50D65"/>
    <w:rsid w:val="00C52602"/>
    <w:rsid w:val="00C64D04"/>
    <w:rsid w:val="00C677C3"/>
    <w:rsid w:val="00C67934"/>
    <w:rsid w:val="00C70B61"/>
    <w:rsid w:val="00C7152F"/>
    <w:rsid w:val="00C72CC0"/>
    <w:rsid w:val="00C75C90"/>
    <w:rsid w:val="00C75D17"/>
    <w:rsid w:val="00C7625A"/>
    <w:rsid w:val="00C80461"/>
    <w:rsid w:val="00C81498"/>
    <w:rsid w:val="00C83CC9"/>
    <w:rsid w:val="00C83ECF"/>
    <w:rsid w:val="00C9276F"/>
    <w:rsid w:val="00C93A14"/>
    <w:rsid w:val="00C93CFD"/>
    <w:rsid w:val="00C93FE4"/>
    <w:rsid w:val="00C9494C"/>
    <w:rsid w:val="00C97E0F"/>
    <w:rsid w:val="00CA3D6B"/>
    <w:rsid w:val="00CA3F2E"/>
    <w:rsid w:val="00CA46DC"/>
    <w:rsid w:val="00CA5103"/>
    <w:rsid w:val="00CA56CA"/>
    <w:rsid w:val="00CA5A1C"/>
    <w:rsid w:val="00CA6F85"/>
    <w:rsid w:val="00CA7E4F"/>
    <w:rsid w:val="00CB1BEA"/>
    <w:rsid w:val="00CB1BF8"/>
    <w:rsid w:val="00CB45F9"/>
    <w:rsid w:val="00CB5C93"/>
    <w:rsid w:val="00CB6189"/>
    <w:rsid w:val="00CB6CC7"/>
    <w:rsid w:val="00CC101C"/>
    <w:rsid w:val="00CC148C"/>
    <w:rsid w:val="00CC5CB9"/>
    <w:rsid w:val="00CC68EA"/>
    <w:rsid w:val="00CD1B68"/>
    <w:rsid w:val="00CD3641"/>
    <w:rsid w:val="00CD439C"/>
    <w:rsid w:val="00CD503D"/>
    <w:rsid w:val="00CD74BC"/>
    <w:rsid w:val="00CD755F"/>
    <w:rsid w:val="00CE1688"/>
    <w:rsid w:val="00CE7B15"/>
    <w:rsid w:val="00CF0317"/>
    <w:rsid w:val="00CF07BB"/>
    <w:rsid w:val="00CF2BC1"/>
    <w:rsid w:val="00CF3362"/>
    <w:rsid w:val="00CF5B5C"/>
    <w:rsid w:val="00D00028"/>
    <w:rsid w:val="00D0069D"/>
    <w:rsid w:val="00D072BD"/>
    <w:rsid w:val="00D10F6D"/>
    <w:rsid w:val="00D13340"/>
    <w:rsid w:val="00D15E82"/>
    <w:rsid w:val="00D22F13"/>
    <w:rsid w:val="00D24F5C"/>
    <w:rsid w:val="00D26C71"/>
    <w:rsid w:val="00D26C78"/>
    <w:rsid w:val="00D26D5D"/>
    <w:rsid w:val="00D330A9"/>
    <w:rsid w:val="00D379A7"/>
    <w:rsid w:val="00D40F57"/>
    <w:rsid w:val="00D411AF"/>
    <w:rsid w:val="00D416F0"/>
    <w:rsid w:val="00D43488"/>
    <w:rsid w:val="00D45773"/>
    <w:rsid w:val="00D46860"/>
    <w:rsid w:val="00D52263"/>
    <w:rsid w:val="00D52411"/>
    <w:rsid w:val="00D524F0"/>
    <w:rsid w:val="00D53932"/>
    <w:rsid w:val="00D55026"/>
    <w:rsid w:val="00D564EB"/>
    <w:rsid w:val="00D57826"/>
    <w:rsid w:val="00D602FF"/>
    <w:rsid w:val="00D6030B"/>
    <w:rsid w:val="00D60407"/>
    <w:rsid w:val="00D61092"/>
    <w:rsid w:val="00D626E3"/>
    <w:rsid w:val="00D6324D"/>
    <w:rsid w:val="00D638BD"/>
    <w:rsid w:val="00D63BEE"/>
    <w:rsid w:val="00D65A2C"/>
    <w:rsid w:val="00D6616F"/>
    <w:rsid w:val="00D720BF"/>
    <w:rsid w:val="00D7245C"/>
    <w:rsid w:val="00D741D9"/>
    <w:rsid w:val="00D75F90"/>
    <w:rsid w:val="00D76688"/>
    <w:rsid w:val="00D772E5"/>
    <w:rsid w:val="00D77691"/>
    <w:rsid w:val="00D77BE6"/>
    <w:rsid w:val="00D77E07"/>
    <w:rsid w:val="00D81617"/>
    <w:rsid w:val="00D82398"/>
    <w:rsid w:val="00D834C5"/>
    <w:rsid w:val="00D85131"/>
    <w:rsid w:val="00D86F6D"/>
    <w:rsid w:val="00DA0C66"/>
    <w:rsid w:val="00DA18DA"/>
    <w:rsid w:val="00DA5FD7"/>
    <w:rsid w:val="00DA745C"/>
    <w:rsid w:val="00DB0C99"/>
    <w:rsid w:val="00DB0CEA"/>
    <w:rsid w:val="00DB381C"/>
    <w:rsid w:val="00DB6B8D"/>
    <w:rsid w:val="00DB7B5B"/>
    <w:rsid w:val="00DB7E17"/>
    <w:rsid w:val="00DC0C94"/>
    <w:rsid w:val="00DC408C"/>
    <w:rsid w:val="00DC4234"/>
    <w:rsid w:val="00DC482B"/>
    <w:rsid w:val="00DC5E2E"/>
    <w:rsid w:val="00DC76A4"/>
    <w:rsid w:val="00DD105F"/>
    <w:rsid w:val="00DD2378"/>
    <w:rsid w:val="00DD28E1"/>
    <w:rsid w:val="00DE09C3"/>
    <w:rsid w:val="00DE175D"/>
    <w:rsid w:val="00DE1924"/>
    <w:rsid w:val="00DE4D9D"/>
    <w:rsid w:val="00DE5032"/>
    <w:rsid w:val="00DE5CB3"/>
    <w:rsid w:val="00DE72EE"/>
    <w:rsid w:val="00DE7A9F"/>
    <w:rsid w:val="00DF1ECA"/>
    <w:rsid w:val="00DF6ED7"/>
    <w:rsid w:val="00DF734C"/>
    <w:rsid w:val="00E00045"/>
    <w:rsid w:val="00E00728"/>
    <w:rsid w:val="00E00EC8"/>
    <w:rsid w:val="00E018F4"/>
    <w:rsid w:val="00E01B5E"/>
    <w:rsid w:val="00E04F28"/>
    <w:rsid w:val="00E07085"/>
    <w:rsid w:val="00E07755"/>
    <w:rsid w:val="00E11B69"/>
    <w:rsid w:val="00E14BA7"/>
    <w:rsid w:val="00E17DE0"/>
    <w:rsid w:val="00E23386"/>
    <w:rsid w:val="00E23EE6"/>
    <w:rsid w:val="00E2714E"/>
    <w:rsid w:val="00E27DC4"/>
    <w:rsid w:val="00E30F33"/>
    <w:rsid w:val="00E31119"/>
    <w:rsid w:val="00E33792"/>
    <w:rsid w:val="00E351AB"/>
    <w:rsid w:val="00E37074"/>
    <w:rsid w:val="00E3790A"/>
    <w:rsid w:val="00E40731"/>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2FA9"/>
    <w:rsid w:val="00E730EA"/>
    <w:rsid w:val="00E75061"/>
    <w:rsid w:val="00E75105"/>
    <w:rsid w:val="00E760C6"/>
    <w:rsid w:val="00E77018"/>
    <w:rsid w:val="00E816D7"/>
    <w:rsid w:val="00E81F7A"/>
    <w:rsid w:val="00E827D0"/>
    <w:rsid w:val="00E82891"/>
    <w:rsid w:val="00E82D67"/>
    <w:rsid w:val="00E846A7"/>
    <w:rsid w:val="00E84CC2"/>
    <w:rsid w:val="00E85289"/>
    <w:rsid w:val="00E86173"/>
    <w:rsid w:val="00E8747C"/>
    <w:rsid w:val="00E9204A"/>
    <w:rsid w:val="00E94638"/>
    <w:rsid w:val="00E94D64"/>
    <w:rsid w:val="00E94DC5"/>
    <w:rsid w:val="00E962F4"/>
    <w:rsid w:val="00E97ECC"/>
    <w:rsid w:val="00EA6A61"/>
    <w:rsid w:val="00EB0653"/>
    <w:rsid w:val="00EB190A"/>
    <w:rsid w:val="00EB19E0"/>
    <w:rsid w:val="00EB21D5"/>
    <w:rsid w:val="00EB3608"/>
    <w:rsid w:val="00EB6B78"/>
    <w:rsid w:val="00EC0B4F"/>
    <w:rsid w:val="00EC2688"/>
    <w:rsid w:val="00EC2C88"/>
    <w:rsid w:val="00EC5C30"/>
    <w:rsid w:val="00EC62A4"/>
    <w:rsid w:val="00EC6F96"/>
    <w:rsid w:val="00EC7A8A"/>
    <w:rsid w:val="00ED2E4A"/>
    <w:rsid w:val="00ED542A"/>
    <w:rsid w:val="00ED55AB"/>
    <w:rsid w:val="00EE18CF"/>
    <w:rsid w:val="00EE2116"/>
    <w:rsid w:val="00EE216B"/>
    <w:rsid w:val="00EE3B37"/>
    <w:rsid w:val="00EE474A"/>
    <w:rsid w:val="00EE57A9"/>
    <w:rsid w:val="00EE5AAD"/>
    <w:rsid w:val="00EE752C"/>
    <w:rsid w:val="00EE7795"/>
    <w:rsid w:val="00EF1688"/>
    <w:rsid w:val="00EF330F"/>
    <w:rsid w:val="00EF47BD"/>
    <w:rsid w:val="00EF5DB6"/>
    <w:rsid w:val="00F00D54"/>
    <w:rsid w:val="00F02178"/>
    <w:rsid w:val="00F06076"/>
    <w:rsid w:val="00F07067"/>
    <w:rsid w:val="00F1074A"/>
    <w:rsid w:val="00F1081D"/>
    <w:rsid w:val="00F143F9"/>
    <w:rsid w:val="00F15C18"/>
    <w:rsid w:val="00F166EC"/>
    <w:rsid w:val="00F2193A"/>
    <w:rsid w:val="00F21C11"/>
    <w:rsid w:val="00F22E5A"/>
    <w:rsid w:val="00F25858"/>
    <w:rsid w:val="00F31543"/>
    <w:rsid w:val="00F32482"/>
    <w:rsid w:val="00F32504"/>
    <w:rsid w:val="00F34E0D"/>
    <w:rsid w:val="00F37A3B"/>
    <w:rsid w:val="00F4174C"/>
    <w:rsid w:val="00F42FB2"/>
    <w:rsid w:val="00F43F47"/>
    <w:rsid w:val="00F471C4"/>
    <w:rsid w:val="00F52005"/>
    <w:rsid w:val="00F52134"/>
    <w:rsid w:val="00F538F7"/>
    <w:rsid w:val="00F53944"/>
    <w:rsid w:val="00F53B5C"/>
    <w:rsid w:val="00F54EE1"/>
    <w:rsid w:val="00F559CD"/>
    <w:rsid w:val="00F55D18"/>
    <w:rsid w:val="00F579D6"/>
    <w:rsid w:val="00F62317"/>
    <w:rsid w:val="00F636CF"/>
    <w:rsid w:val="00F64A06"/>
    <w:rsid w:val="00F64D9D"/>
    <w:rsid w:val="00F655E7"/>
    <w:rsid w:val="00F65C06"/>
    <w:rsid w:val="00F67EEB"/>
    <w:rsid w:val="00F70949"/>
    <w:rsid w:val="00F70C97"/>
    <w:rsid w:val="00F70ED2"/>
    <w:rsid w:val="00F7191E"/>
    <w:rsid w:val="00F736E1"/>
    <w:rsid w:val="00F741F7"/>
    <w:rsid w:val="00F747BE"/>
    <w:rsid w:val="00F74896"/>
    <w:rsid w:val="00F7569D"/>
    <w:rsid w:val="00F75C26"/>
    <w:rsid w:val="00F8330F"/>
    <w:rsid w:val="00F83AEB"/>
    <w:rsid w:val="00F84143"/>
    <w:rsid w:val="00F8478E"/>
    <w:rsid w:val="00F859ED"/>
    <w:rsid w:val="00F914F8"/>
    <w:rsid w:val="00F92CB7"/>
    <w:rsid w:val="00F93BB0"/>
    <w:rsid w:val="00F954D9"/>
    <w:rsid w:val="00FA4D54"/>
    <w:rsid w:val="00FA6A3C"/>
    <w:rsid w:val="00FB1D51"/>
    <w:rsid w:val="00FB5EA8"/>
    <w:rsid w:val="00FB6336"/>
    <w:rsid w:val="00FC49F7"/>
    <w:rsid w:val="00FC51F8"/>
    <w:rsid w:val="00FD2478"/>
    <w:rsid w:val="00FD3421"/>
    <w:rsid w:val="00FD551D"/>
    <w:rsid w:val="00FD6560"/>
    <w:rsid w:val="00FD6796"/>
    <w:rsid w:val="00FE094F"/>
    <w:rsid w:val="00FE1041"/>
    <w:rsid w:val="00FE1F51"/>
    <w:rsid w:val="00FE2458"/>
    <w:rsid w:val="00FE2BE0"/>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A1B23"/>
    <w:rPr>
      <w:color w:val="0000FF"/>
      <w:u w:val="single"/>
    </w:rPr>
  </w:style>
  <w:style w:type="paragraph" w:styleId="FootnoteText">
    <w:name w:val="footnote text"/>
    <w:basedOn w:val="Normal"/>
    <w:semiHidden/>
    <w:rsid w:val="00552CF0"/>
  </w:style>
  <w:style w:type="character" w:styleId="FootnoteReference">
    <w:name w:val="footnote reference"/>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paragraph" w:styleId="Revision">
    <w:name w:val="Revision"/>
    <w:hidden/>
    <w:uiPriority w:val="99"/>
    <w:semiHidden/>
    <w:rsid w:val="005643EB"/>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30487836">
      <w:bodyDiv w:val="1"/>
      <w:marLeft w:val="0"/>
      <w:marRight w:val="0"/>
      <w:marTop w:val="0"/>
      <w:marBottom w:val="0"/>
      <w:divBdr>
        <w:top w:val="none" w:sz="0" w:space="0" w:color="auto"/>
        <w:left w:val="none" w:sz="0" w:space="0" w:color="auto"/>
        <w:bottom w:val="none" w:sz="0" w:space="0" w:color="auto"/>
        <w:right w:val="none" w:sz="0" w:space="0" w:color="auto"/>
      </w:divBdr>
    </w:div>
    <w:div w:id="293021385">
      <w:bodyDiv w:val="1"/>
      <w:marLeft w:val="0"/>
      <w:marRight w:val="0"/>
      <w:marTop w:val="0"/>
      <w:marBottom w:val="0"/>
      <w:divBdr>
        <w:top w:val="none" w:sz="0" w:space="0" w:color="auto"/>
        <w:left w:val="none" w:sz="0" w:space="0" w:color="auto"/>
        <w:bottom w:val="none" w:sz="0" w:space="0" w:color="auto"/>
        <w:right w:val="none" w:sz="0" w:space="0" w:color="auto"/>
      </w:divBdr>
    </w:div>
    <w:div w:id="5678812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30620807">
      <w:bodyDiv w:val="1"/>
      <w:marLeft w:val="0"/>
      <w:marRight w:val="0"/>
      <w:marTop w:val="0"/>
      <w:marBottom w:val="0"/>
      <w:divBdr>
        <w:top w:val="none" w:sz="0" w:space="0" w:color="auto"/>
        <w:left w:val="none" w:sz="0" w:space="0" w:color="auto"/>
        <w:bottom w:val="none" w:sz="0" w:space="0" w:color="auto"/>
        <w:right w:val="none" w:sz="0" w:space="0" w:color="auto"/>
      </w:divBdr>
    </w:div>
    <w:div w:id="835002746">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regulations.gov" TargetMode="External"/><Relationship Id="rId4" Type="http://schemas.openxmlformats.org/officeDocument/2006/relationships/styles" Target="styles.xml"/><Relationship Id="rId9" Type="http://schemas.openxmlformats.org/officeDocument/2006/relationships/hyperlink" Target="http://www.opm.gov/oca/11tables/pdf/gs_h.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D4C1-39F9-4942-82EC-62024E81CB5F}">
  <ds:schemaRefs>
    <ds:schemaRef ds:uri="http://schemas.openxmlformats.org/officeDocument/2006/bibliography"/>
  </ds:schemaRefs>
</ds:datastoreItem>
</file>

<file path=customXml/itemProps2.xml><?xml version="1.0" encoding="utf-8"?>
<ds:datastoreItem xmlns:ds="http://schemas.openxmlformats.org/officeDocument/2006/customXml" ds:itemID="{F9D242AC-9165-4C36-B405-029086CF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4362</Words>
  <Characters>24865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SUPPORTING STAte PRIMAL</vt:lpstr>
    </vt:vector>
  </TitlesOfParts>
  <Company>Research Triangle Institute</Company>
  <LinksUpToDate>false</LinksUpToDate>
  <CharactersWithSpaces>29169</CharactersWithSpaces>
  <SharedDoc>false</SharedDoc>
  <HLinks>
    <vt:vector size="18" baseType="variant">
      <vt:variant>
        <vt:i4>262217</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1900585</vt:i4>
      </vt:variant>
      <vt:variant>
        <vt:i4>2</vt:i4>
      </vt:variant>
      <vt:variant>
        <vt:i4>0</vt:i4>
      </vt:variant>
      <vt:variant>
        <vt:i4>5</vt:i4>
      </vt:variant>
      <vt:variant>
        <vt:lpwstr>http://www.opm.gov/oca/11tables/pdf/gs_h.pdf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 PRIMAL</dc:title>
  <dc:subject/>
  <dc:creator>dg</dc:creator>
  <cp:keywords/>
  <dc:description>sup statement primal draft, based on wool fiberglass; corrections based on dp markup 11/2/2011</dc:description>
  <cp:lastModifiedBy>ckerwin</cp:lastModifiedBy>
  <cp:revision>2</cp:revision>
  <cp:lastPrinted>2011-12-28T13:56:00Z</cp:lastPrinted>
  <dcterms:created xsi:type="dcterms:W3CDTF">2012-02-14T13:45:00Z</dcterms:created>
  <dcterms:modified xsi:type="dcterms:W3CDTF">2012-02-14T13:45:00Z</dcterms:modified>
</cp:coreProperties>
</file>