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D874EC" w:rsidRDefault="00386054" w:rsidP="00B578F4">
      <w:pPr>
        <w:pStyle w:val="Title"/>
        <w:rPr>
          <w:rFonts w:asciiTheme="minorHAnsi" w:hAnsiTheme="minorHAnsi" w:cstheme="minorHAnsi"/>
        </w:rPr>
      </w:pPr>
      <w:bookmarkStart w:id="0" w:name="_GoBack"/>
      <w:bookmarkEnd w:id="0"/>
      <w:r w:rsidRPr="00D874EC">
        <w:rPr>
          <w:rFonts w:asciiTheme="minorHAnsi" w:hAnsiTheme="minorHAnsi" w:cstheme="minorHAnsi"/>
        </w:rPr>
        <w:t>SUPPORTING STATEMENT</w:t>
      </w:r>
    </w:p>
    <w:p w:rsidR="00BA13A2" w:rsidRPr="00D874EC" w:rsidRDefault="00386054" w:rsidP="00B578F4">
      <w:pPr>
        <w:pStyle w:val="Title"/>
        <w:rPr>
          <w:rFonts w:asciiTheme="minorHAnsi" w:hAnsiTheme="minorHAnsi" w:cstheme="minorHAnsi"/>
        </w:rPr>
      </w:pPr>
      <w:r w:rsidRPr="00D874EC">
        <w:rPr>
          <w:rFonts w:asciiTheme="minorHAnsi" w:hAnsiTheme="minorHAnsi" w:cstheme="minorHAnsi"/>
        </w:rPr>
        <w:t>FOR PAPERWORK REDUCTION ACT SUBMISSION</w:t>
      </w:r>
    </w:p>
    <w:p w:rsidR="00A4084E" w:rsidRPr="00D874EC" w:rsidRDefault="00016E14">
      <w:pPr>
        <w:jc w:val="center"/>
        <w:rPr>
          <w:rFonts w:asciiTheme="minorHAnsi" w:hAnsiTheme="minorHAnsi" w:cstheme="minorHAnsi"/>
        </w:rPr>
      </w:pPr>
      <w:r w:rsidRPr="00D874EC">
        <w:rPr>
          <w:rFonts w:asciiTheme="minorHAnsi" w:hAnsiTheme="minorHAnsi" w:cstheme="minorHAnsi"/>
        </w:rPr>
        <w:t>EDICS Tracking and OMB Number: (</w:t>
      </w:r>
      <w:r w:rsidR="00D874EC" w:rsidRPr="00D874EC">
        <w:rPr>
          <w:rFonts w:asciiTheme="minorHAnsi" w:hAnsiTheme="minorHAnsi" w:cstheme="minorHAnsi"/>
        </w:rPr>
        <w:t>04806</w:t>
      </w:r>
      <w:r w:rsidRPr="00D874EC">
        <w:rPr>
          <w:rFonts w:asciiTheme="minorHAnsi" w:hAnsiTheme="minorHAnsi" w:cstheme="minorHAnsi"/>
        </w:rPr>
        <w:t xml:space="preserve">) </w:t>
      </w:r>
      <w:r w:rsidR="00D874EC" w:rsidRPr="00D874EC">
        <w:rPr>
          <w:rFonts w:asciiTheme="minorHAnsi" w:hAnsiTheme="minorHAnsi" w:cstheme="minorHAnsi"/>
        </w:rPr>
        <w:t>1845-NEW v.1</w:t>
      </w:r>
    </w:p>
    <w:p w:rsidR="00A4084E" w:rsidRPr="00D874EC" w:rsidRDefault="00016E14">
      <w:pPr>
        <w:jc w:val="center"/>
        <w:rPr>
          <w:rFonts w:asciiTheme="minorHAnsi" w:hAnsiTheme="minorHAnsi" w:cstheme="minorHAnsi"/>
        </w:rPr>
      </w:pPr>
      <w:r w:rsidRPr="00D874EC">
        <w:rPr>
          <w:rFonts w:asciiTheme="minorHAnsi" w:hAnsiTheme="minorHAnsi" w:cstheme="minorHAnsi"/>
        </w:rPr>
        <w:t xml:space="preserve">Revised </w:t>
      </w:r>
      <w:r w:rsidR="00D874EC" w:rsidRPr="00D874EC">
        <w:rPr>
          <w:rFonts w:asciiTheme="minorHAnsi" w:hAnsiTheme="minorHAnsi" w:cstheme="minorHAnsi"/>
        </w:rPr>
        <w:t>02</w:t>
      </w:r>
      <w:r w:rsidRPr="00D874EC">
        <w:rPr>
          <w:rFonts w:asciiTheme="minorHAnsi" w:hAnsiTheme="minorHAnsi" w:cstheme="minorHAnsi"/>
        </w:rPr>
        <w:t>/</w:t>
      </w:r>
      <w:r w:rsidR="00D874EC" w:rsidRPr="00D874EC">
        <w:rPr>
          <w:rFonts w:asciiTheme="minorHAnsi" w:hAnsiTheme="minorHAnsi" w:cstheme="minorHAnsi"/>
        </w:rPr>
        <w:t>28</w:t>
      </w:r>
      <w:r w:rsidRPr="00D874EC">
        <w:rPr>
          <w:rFonts w:asciiTheme="minorHAnsi" w:hAnsiTheme="minorHAnsi" w:cstheme="minorHAnsi"/>
        </w:rPr>
        <w:t>/</w:t>
      </w:r>
      <w:r w:rsidR="00D874EC" w:rsidRPr="00D874EC">
        <w:rPr>
          <w:rFonts w:asciiTheme="minorHAnsi" w:hAnsiTheme="minorHAnsi" w:cstheme="minorHAnsi"/>
        </w:rPr>
        <w:t>2012</w:t>
      </w:r>
    </w:p>
    <w:p w:rsidR="00386054" w:rsidRPr="00D874EC" w:rsidRDefault="00016E14" w:rsidP="00C9556E">
      <w:pPr>
        <w:pStyle w:val="Heading1"/>
        <w:rPr>
          <w:rFonts w:asciiTheme="minorHAnsi" w:hAnsiTheme="minorHAnsi" w:cstheme="minorHAnsi"/>
          <w:szCs w:val="28"/>
        </w:rPr>
      </w:pPr>
      <w:r w:rsidRPr="00D874EC">
        <w:rPr>
          <w:rFonts w:asciiTheme="minorHAnsi" w:hAnsiTheme="minorHAnsi" w:cstheme="minorHAnsi"/>
          <w:szCs w:val="28"/>
        </w:rPr>
        <w:t xml:space="preserve">A. Justification </w:t>
      </w:r>
    </w:p>
    <w:p w:rsidR="00E27977" w:rsidRDefault="00E27977" w:rsidP="00E27977">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w:t>
      </w:r>
      <w:r>
        <w:t xml:space="preserve">Please limit pasted text to no longer than 3 pages. </w:t>
      </w:r>
      <w:r w:rsidRPr="00431228">
        <w:t>Specify the review type of the collection (new, revision, extension, reinstatement with change, reinstatement without change). If revised, briefly specify the changes.  If a rulemaking is involved, make note of the sections or changed sections, if applicable.</w:t>
      </w:r>
    </w:p>
    <w:p w:rsidR="000C6614" w:rsidRDefault="000C6614" w:rsidP="00E27977">
      <w:pPr>
        <w:pStyle w:val="ListParagraph"/>
        <w:spacing w:before="0" w:after="200" w:line="276" w:lineRule="auto"/>
        <w:ind w:left="1080"/>
        <w:rPr>
          <w:rFonts w:asciiTheme="minorHAnsi" w:hAnsiTheme="minorHAnsi" w:cstheme="minorHAnsi"/>
          <w:i/>
        </w:rPr>
      </w:pPr>
    </w:p>
    <w:p w:rsidR="00D874EC" w:rsidRPr="00E27977" w:rsidRDefault="00D874EC" w:rsidP="00E27977">
      <w:pPr>
        <w:pStyle w:val="ListParagraph"/>
        <w:spacing w:before="0" w:after="200" w:line="276" w:lineRule="auto"/>
        <w:ind w:left="1080"/>
        <w:rPr>
          <w:rFonts w:asciiTheme="minorHAnsi" w:hAnsiTheme="minorHAnsi" w:cstheme="minorHAnsi"/>
          <w:i/>
        </w:rPr>
      </w:pPr>
      <w:r w:rsidRPr="00E27977">
        <w:rPr>
          <w:rFonts w:asciiTheme="minorHAnsi" w:hAnsiTheme="minorHAnsi" w:cstheme="minorHAnsi"/>
          <w:i/>
        </w:rPr>
        <w:t>The Department of Education (ED) is submitting for approval the FFEL LIBOR Waiver.</w:t>
      </w:r>
    </w:p>
    <w:p w:rsidR="00D874EC" w:rsidRPr="00E27977" w:rsidRDefault="00D874EC" w:rsidP="00E27977">
      <w:pPr>
        <w:pStyle w:val="ListParagraph"/>
        <w:ind w:left="1080"/>
        <w:rPr>
          <w:rFonts w:asciiTheme="minorHAnsi" w:hAnsiTheme="minorHAnsi" w:cstheme="minorHAnsi"/>
          <w:i/>
        </w:rPr>
      </w:pPr>
      <w:r w:rsidRPr="00E27977">
        <w:rPr>
          <w:rFonts w:asciiTheme="minorHAnsi" w:hAnsiTheme="minorHAnsi" w:cstheme="minorHAnsi"/>
          <w:i/>
        </w:rPr>
        <w:t>On December 23, 2011, the President signed the Consolidated Appropriations Act, 2012 (Public Law 112-74), which directs that FFEL lenders be given the option of having their special allowance payments calculated using the 1-month LIBOR rate for the calendar quarter beginning April 1, 2012 and each subsequent quarter if they file the required waiver no later than April 1, 2012.  The waiver will be a one-time collection.</w:t>
      </w:r>
    </w:p>
    <w:p w:rsidR="00D874EC" w:rsidRPr="00E27977" w:rsidRDefault="00D874EC" w:rsidP="00E27977">
      <w:pPr>
        <w:pStyle w:val="ListParagraph"/>
        <w:ind w:left="1080"/>
        <w:rPr>
          <w:rFonts w:asciiTheme="minorHAnsi" w:hAnsiTheme="minorHAnsi" w:cstheme="minorHAnsi"/>
          <w:i/>
        </w:rPr>
      </w:pPr>
      <w:r w:rsidRPr="00E27977">
        <w:rPr>
          <w:rFonts w:asciiTheme="minorHAnsi" w:hAnsiTheme="minorHAnsi" w:cstheme="minorHAnsi"/>
          <w:i/>
        </w:rPr>
        <w:t xml:space="preserve"> Lenders electing to have all loans calculated using LIBOR will only be required to sign a waiver; no data will be collected.  However, if certain conditions are met, the lender may designate some loans as LIBOR loans, while others remain tied to the commercial paper (CP) rate.  Those lenders will be required to provide additional documentation to prove that they meet the requirements of the exception.</w:t>
      </w:r>
    </w:p>
    <w:p w:rsidR="00D874EC" w:rsidRDefault="00D874EC" w:rsidP="00E27977">
      <w:pPr>
        <w:pStyle w:val="ListParagraph"/>
        <w:ind w:left="1080"/>
        <w:rPr>
          <w:rFonts w:asciiTheme="minorHAnsi" w:hAnsiTheme="minorHAnsi" w:cstheme="minorHAnsi"/>
          <w:i/>
        </w:rPr>
      </w:pPr>
      <w:r w:rsidRPr="00E27977">
        <w:rPr>
          <w:rFonts w:asciiTheme="minorHAnsi" w:hAnsiTheme="minorHAnsi" w:cstheme="minorHAnsi"/>
          <w:i/>
        </w:rPr>
        <w:t>The legal authority for collecting this information is Section 438(b)(2)(I) of the Higher Education Act of 1965, as amended by Public Law 112-74.</w:t>
      </w:r>
    </w:p>
    <w:p w:rsidR="000C6614" w:rsidRPr="00E27977" w:rsidRDefault="000C6614" w:rsidP="00E27977">
      <w:pPr>
        <w:pStyle w:val="ListParagraph"/>
        <w:ind w:left="1080"/>
        <w:rPr>
          <w:rFonts w:asciiTheme="minorHAnsi" w:hAnsiTheme="minorHAnsi" w:cstheme="minorHAnsi"/>
          <w:i/>
        </w:rPr>
      </w:pPr>
    </w:p>
    <w:p w:rsidR="000C6614" w:rsidRDefault="000C6614">
      <w:pPr>
        <w:spacing w:after="0"/>
      </w:pPr>
      <w:r>
        <w:br w:type="page"/>
      </w:r>
    </w:p>
    <w:p w:rsidR="00E27977" w:rsidRDefault="00E27977" w:rsidP="00E27977">
      <w:pPr>
        <w:pStyle w:val="ListParagraph"/>
        <w:numPr>
          <w:ilvl w:val="0"/>
          <w:numId w:val="20"/>
        </w:numPr>
      </w:pPr>
      <w:r w:rsidRPr="00431228">
        <w:lastRenderedPageBreak/>
        <w:t>Indicate how, by whom, and for what purpose the information is to be used.  Except for a new collection, indicate the actual use the agency has made of the information received from the current collection.</w:t>
      </w:r>
    </w:p>
    <w:p w:rsidR="000C6614" w:rsidRDefault="000C6614" w:rsidP="00E27977">
      <w:pPr>
        <w:pStyle w:val="ListParagraph"/>
        <w:spacing w:before="0" w:after="200" w:line="276" w:lineRule="auto"/>
        <w:ind w:left="1080"/>
        <w:rPr>
          <w:rFonts w:asciiTheme="minorHAnsi" w:hAnsiTheme="minorHAnsi" w:cstheme="minorHAnsi"/>
          <w:i/>
        </w:rPr>
      </w:pPr>
    </w:p>
    <w:p w:rsidR="00D874EC" w:rsidRDefault="00D874EC" w:rsidP="00E27977">
      <w:pPr>
        <w:pStyle w:val="ListParagraph"/>
        <w:spacing w:before="0" w:after="200" w:line="276" w:lineRule="auto"/>
        <w:ind w:left="1080"/>
        <w:rPr>
          <w:rFonts w:asciiTheme="minorHAnsi" w:hAnsiTheme="minorHAnsi" w:cstheme="minorHAnsi"/>
          <w:i/>
        </w:rPr>
      </w:pPr>
      <w:r w:rsidRPr="00E27977">
        <w:rPr>
          <w:rFonts w:asciiTheme="minorHAnsi" w:hAnsiTheme="minorHAnsi" w:cstheme="minorHAnsi"/>
          <w:i/>
        </w:rPr>
        <w:t>Lenders are required to file a quarterly report known as the Lender’s Interest and Special Allowance Request and Report (OMB NO. 1845-0013) in order to claim subsidized interest payments and special allowance payments on qualifying FFEL loans.  The waiver will give lenders the opportunity to request the LIBOR rate, and will identify those lenders to ED to ensure that the calculations of special allowance are accurate.</w:t>
      </w:r>
    </w:p>
    <w:p w:rsidR="000C6614" w:rsidRPr="00E27977" w:rsidRDefault="000C6614" w:rsidP="00E27977">
      <w:pPr>
        <w:pStyle w:val="ListParagraph"/>
        <w:spacing w:before="0" w:after="200" w:line="276" w:lineRule="auto"/>
        <w:ind w:left="1080"/>
        <w:rPr>
          <w:rFonts w:asciiTheme="minorHAnsi" w:hAnsiTheme="minorHAnsi" w:cstheme="minorHAnsi"/>
          <w:i/>
        </w:rPr>
      </w:pPr>
    </w:p>
    <w:p w:rsidR="00E27977" w:rsidRPr="00E27977" w:rsidRDefault="00E27977" w:rsidP="00E27977">
      <w:pPr>
        <w:pStyle w:val="ListParagraph"/>
        <w:numPr>
          <w:ilvl w:val="0"/>
          <w:numId w:val="20"/>
        </w:numPr>
        <w:spacing w:before="0" w:after="200" w:line="276" w:lineRule="auto"/>
        <w:rPr>
          <w:rFonts w:asciiTheme="minorHAnsi" w:hAnsiTheme="minorHAnsi" w:cstheme="minorHAnsi"/>
          <w:i/>
        </w:r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0C6614" w:rsidRDefault="000C6614" w:rsidP="00E27977">
      <w:pPr>
        <w:pStyle w:val="ListParagraph"/>
        <w:spacing w:before="0" w:after="200" w:line="276" w:lineRule="auto"/>
        <w:ind w:left="1170"/>
        <w:rPr>
          <w:rFonts w:asciiTheme="minorHAnsi" w:hAnsiTheme="minorHAnsi" w:cstheme="minorHAnsi"/>
          <w:i/>
        </w:rPr>
      </w:pPr>
    </w:p>
    <w:p w:rsidR="00D874EC" w:rsidRDefault="00D874EC" w:rsidP="00E27977">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ED will allow lenders to submit their waivers and supporting documentation electronically.</w:t>
      </w:r>
    </w:p>
    <w:p w:rsidR="000C6614" w:rsidRPr="00E27977" w:rsidRDefault="000C6614" w:rsidP="00E27977">
      <w:pPr>
        <w:pStyle w:val="ListParagraph"/>
        <w:spacing w:before="0" w:after="200" w:line="276" w:lineRule="auto"/>
        <w:ind w:left="1170"/>
        <w:rPr>
          <w:rFonts w:asciiTheme="minorHAnsi" w:hAnsiTheme="minorHAnsi" w:cstheme="minorHAnsi"/>
          <w:i/>
        </w:rPr>
      </w:pPr>
    </w:p>
    <w:p w:rsidR="00E27977" w:rsidRDefault="00E27977" w:rsidP="00E27977">
      <w:pPr>
        <w:pStyle w:val="ListParagraph"/>
        <w:numPr>
          <w:ilvl w:val="0"/>
          <w:numId w:val="20"/>
        </w:numPr>
        <w:ind w:left="720"/>
      </w:pPr>
      <w:r w:rsidRPr="00431228">
        <w:t>Describe ef</w:t>
      </w:r>
      <w:r>
        <w:t xml:space="preserve">forts to identify duplication. </w:t>
      </w:r>
      <w:r w:rsidRPr="00431228">
        <w:t>Show specifically why any similar information already available cannot be used or modified for use for the purposes described in Item 2</w:t>
      </w:r>
      <w:r>
        <w:t xml:space="preserve"> </w:t>
      </w:r>
      <w:r w:rsidRPr="00431228">
        <w:t>above.</w:t>
      </w:r>
    </w:p>
    <w:p w:rsidR="000C6614" w:rsidRDefault="000C6614" w:rsidP="00E27977">
      <w:pPr>
        <w:pStyle w:val="ListParagraph"/>
        <w:spacing w:before="0" w:after="200" w:line="276" w:lineRule="auto"/>
        <w:ind w:left="1170"/>
        <w:rPr>
          <w:rFonts w:asciiTheme="minorHAnsi" w:hAnsiTheme="minorHAnsi" w:cstheme="minorHAnsi"/>
          <w:i/>
        </w:rPr>
      </w:pPr>
    </w:p>
    <w:p w:rsidR="00E27977" w:rsidRDefault="00E27977" w:rsidP="00E27977">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The information collected here is not available elsewhere due to the uniqueness of the collection.</w:t>
      </w:r>
    </w:p>
    <w:p w:rsidR="000C6614" w:rsidRPr="00E27977" w:rsidRDefault="000C6614" w:rsidP="00E27977">
      <w:pPr>
        <w:pStyle w:val="ListParagraph"/>
        <w:spacing w:before="0" w:after="200" w:line="276" w:lineRule="auto"/>
        <w:ind w:left="1170"/>
        <w:rPr>
          <w:rFonts w:asciiTheme="minorHAnsi" w:hAnsiTheme="minorHAnsi" w:cstheme="minorHAnsi"/>
          <w:i/>
        </w:rPr>
      </w:pPr>
    </w:p>
    <w:p w:rsidR="000C6614" w:rsidRDefault="000C6614">
      <w:pPr>
        <w:spacing w:after="0"/>
      </w:pPr>
      <w:r>
        <w:br w:type="page"/>
      </w:r>
    </w:p>
    <w:p w:rsidR="00E27977" w:rsidRDefault="00E27977" w:rsidP="00E27977">
      <w:pPr>
        <w:pStyle w:val="ListParagraph"/>
        <w:numPr>
          <w:ilvl w:val="0"/>
          <w:numId w:val="20"/>
        </w:numPr>
        <w:ind w:left="720"/>
      </w:pPr>
      <w:r w:rsidRPr="00431228">
        <w:lastRenderedPageBreak/>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0C6614" w:rsidRDefault="000C6614" w:rsidP="00E27977">
      <w:pPr>
        <w:pStyle w:val="ListParagraph"/>
        <w:spacing w:before="0" w:after="200" w:line="276" w:lineRule="auto"/>
        <w:ind w:left="1170"/>
        <w:rPr>
          <w:rFonts w:asciiTheme="minorHAnsi" w:hAnsiTheme="minorHAnsi" w:cstheme="minorHAnsi"/>
          <w:i/>
        </w:rPr>
      </w:pPr>
    </w:p>
    <w:p w:rsidR="00E27977" w:rsidRDefault="00E27977" w:rsidP="00E27977">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Collection of this information does not impact small business.</w:t>
      </w:r>
    </w:p>
    <w:p w:rsidR="000C6614" w:rsidRPr="00E27977" w:rsidRDefault="000C6614" w:rsidP="00E27977">
      <w:pPr>
        <w:pStyle w:val="ListParagraph"/>
        <w:spacing w:before="0" w:after="200" w:line="276" w:lineRule="auto"/>
        <w:ind w:left="1170"/>
        <w:rPr>
          <w:rFonts w:asciiTheme="minorHAnsi" w:hAnsiTheme="minorHAnsi" w:cstheme="minorHAnsi"/>
          <w:i/>
        </w:rPr>
      </w:pPr>
    </w:p>
    <w:p w:rsidR="00E27977" w:rsidRDefault="00E27977" w:rsidP="00E27977">
      <w:pPr>
        <w:pStyle w:val="ListParagraph"/>
        <w:numPr>
          <w:ilvl w:val="0"/>
          <w:numId w:val="20"/>
        </w:numPr>
        <w:ind w:left="720"/>
      </w:pPr>
      <w:r w:rsidRPr="00431228">
        <w:t>Describe the consequences to Federal program or policy activities if the collection is not conducted or is conducted less frequently, as well as any technical or legal obstacles to reducing burden.</w:t>
      </w:r>
    </w:p>
    <w:p w:rsidR="000C6614" w:rsidRDefault="000C6614" w:rsidP="00E27977">
      <w:pPr>
        <w:pStyle w:val="ListParagraph"/>
        <w:spacing w:before="0" w:after="200" w:line="276" w:lineRule="auto"/>
        <w:ind w:left="1170"/>
        <w:rPr>
          <w:rFonts w:asciiTheme="minorHAnsi" w:hAnsiTheme="minorHAnsi" w:cstheme="minorHAnsi"/>
          <w:i/>
        </w:rPr>
      </w:pPr>
    </w:p>
    <w:p w:rsidR="00E27977" w:rsidRDefault="00E27977" w:rsidP="00E27977">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This is a one-time collection.  If the information is not collected ED will not be able to calculate the special allowance payments as mandated by law.</w:t>
      </w:r>
    </w:p>
    <w:p w:rsidR="000C6614" w:rsidRDefault="000C6614" w:rsidP="00E27977">
      <w:pPr>
        <w:pStyle w:val="ListParagraph"/>
        <w:spacing w:before="0" w:after="200" w:line="276" w:lineRule="auto"/>
        <w:ind w:left="1170"/>
        <w:rPr>
          <w:rFonts w:asciiTheme="minorHAnsi" w:hAnsiTheme="minorHAnsi" w:cstheme="minorHAnsi"/>
          <w:i/>
        </w:rPr>
      </w:pPr>
    </w:p>
    <w:p w:rsidR="00E27977" w:rsidRPr="00431228" w:rsidRDefault="00E27977" w:rsidP="00E27977">
      <w:pPr>
        <w:pStyle w:val="ListParagraph"/>
        <w:numPr>
          <w:ilvl w:val="0"/>
          <w:numId w:val="20"/>
        </w:numPr>
        <w:ind w:left="720"/>
      </w:pPr>
      <w:r w:rsidRPr="00431228">
        <w:t>Explain any special circumstances that would cause an information collection to be conducted in a manner:</w:t>
      </w:r>
    </w:p>
    <w:p w:rsidR="00E27977" w:rsidRPr="00431228" w:rsidRDefault="00E27977" w:rsidP="00E27977">
      <w:pPr>
        <w:pStyle w:val="ListParagraph"/>
        <w:numPr>
          <w:ilvl w:val="0"/>
          <w:numId w:val="21"/>
        </w:numPr>
      </w:pPr>
      <w:r w:rsidRPr="00431228">
        <w:t>requiring respondents to report information to the agency more often than quarterly;</w:t>
      </w:r>
    </w:p>
    <w:p w:rsidR="00E27977" w:rsidRPr="00EF7FF5" w:rsidRDefault="00E27977" w:rsidP="00E27977">
      <w:pPr>
        <w:pStyle w:val="ListParagraph"/>
        <w:numPr>
          <w:ilvl w:val="0"/>
          <w:numId w:val="21"/>
        </w:numPr>
      </w:pPr>
      <w:r w:rsidRPr="00EF7FF5">
        <w:t>requiring respondents to prepare a written response to a collection of information in fewer than 30 days after receipt of it;</w:t>
      </w:r>
    </w:p>
    <w:p w:rsidR="00E27977" w:rsidRPr="00EF7FF5" w:rsidRDefault="00E27977" w:rsidP="00E27977">
      <w:pPr>
        <w:pStyle w:val="ListParagraph"/>
        <w:numPr>
          <w:ilvl w:val="0"/>
          <w:numId w:val="21"/>
        </w:numPr>
      </w:pPr>
      <w:r w:rsidRPr="00EF7FF5">
        <w:t>requiring respondents to submit more than an original and two copies of any document;</w:t>
      </w:r>
    </w:p>
    <w:p w:rsidR="00E27977" w:rsidRPr="00EF7FF5" w:rsidRDefault="00E27977" w:rsidP="00E27977">
      <w:pPr>
        <w:pStyle w:val="ListParagraph"/>
        <w:numPr>
          <w:ilvl w:val="0"/>
          <w:numId w:val="21"/>
        </w:numPr>
      </w:pPr>
      <w:r w:rsidRPr="00EF7FF5">
        <w:t>requiring respondents to retain records, other than health, medical, government contract, grant-in-aid, or tax records for more than three years;</w:t>
      </w:r>
    </w:p>
    <w:p w:rsidR="00E27977" w:rsidRPr="00EF7FF5" w:rsidRDefault="00E27977" w:rsidP="00E27977">
      <w:pPr>
        <w:pStyle w:val="ListParagraph"/>
        <w:numPr>
          <w:ilvl w:val="0"/>
          <w:numId w:val="21"/>
        </w:numPr>
      </w:pPr>
      <w:r w:rsidRPr="00EF7FF5">
        <w:t>in connection with a statistical survey, that is not designed to produce valid and reliable results than can be generalized to the universe of study;</w:t>
      </w:r>
    </w:p>
    <w:p w:rsidR="00E27977" w:rsidRPr="00EF7FF5" w:rsidRDefault="00E27977" w:rsidP="00E27977">
      <w:pPr>
        <w:pStyle w:val="ListParagraph"/>
        <w:numPr>
          <w:ilvl w:val="0"/>
          <w:numId w:val="21"/>
        </w:numPr>
      </w:pPr>
      <w:r w:rsidRPr="00EF7FF5">
        <w:t>requiring the use of a statistical data classification that has not been reviewed and approved by OMB;</w:t>
      </w:r>
    </w:p>
    <w:p w:rsidR="00E27977" w:rsidRPr="00EF7FF5" w:rsidRDefault="00E27977" w:rsidP="00E27977">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E27977" w:rsidRPr="00E27977" w:rsidRDefault="00E27977" w:rsidP="00E27977">
      <w:pPr>
        <w:spacing w:after="200" w:line="276" w:lineRule="auto"/>
        <w:rPr>
          <w:rFonts w:asciiTheme="minorHAnsi" w:hAnsiTheme="minorHAnsi" w:cstheme="minorHAnsi"/>
          <w:i/>
        </w:rPr>
      </w:pPr>
      <w:r w:rsidRPr="00EF7FF5">
        <w:lastRenderedPageBreak/>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D874EC" w:rsidRPr="00E27977" w:rsidRDefault="00D874EC" w:rsidP="00E27977">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There are no special circumstances.  The collection of this information will be conducted in accordance with the guidelines in 5 CFR 1320.6.</w:t>
      </w:r>
    </w:p>
    <w:p w:rsidR="00E27977" w:rsidRPr="00322E02" w:rsidRDefault="00E27977" w:rsidP="00E27977">
      <w:pPr>
        <w:pStyle w:val="ListParagraph"/>
        <w:numPr>
          <w:ilvl w:val="0"/>
          <w:numId w:val="20"/>
        </w:numPr>
      </w:pPr>
      <w:r w:rsidRPr="00322E02">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27977" w:rsidRPr="00EF7FF5" w:rsidRDefault="00E27977" w:rsidP="00E27977">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27977" w:rsidRDefault="00E27977" w:rsidP="00E27977">
      <w:pPr>
        <w:spacing w:after="200" w:line="276" w:lineRule="auto"/>
        <w:ind w:left="720"/>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D874EC" w:rsidRPr="00E27977" w:rsidRDefault="00D874EC" w:rsidP="00E27977">
      <w:pPr>
        <w:spacing w:after="200" w:line="276" w:lineRule="auto"/>
        <w:ind w:left="1170"/>
        <w:rPr>
          <w:rFonts w:asciiTheme="minorHAnsi" w:hAnsiTheme="minorHAnsi" w:cstheme="minorHAnsi"/>
          <w:i/>
        </w:rPr>
      </w:pPr>
      <w:r w:rsidRPr="00E27977">
        <w:rPr>
          <w:rFonts w:asciiTheme="minorHAnsi" w:hAnsiTheme="minorHAnsi" w:cstheme="minorHAnsi"/>
          <w:i/>
        </w:rPr>
        <w:t xml:space="preserve">ED partnered with the banking community to solicit questions that aided in the development of the waiver.  The appropriate </w:t>
      </w:r>
      <w:r w:rsidR="004136A9" w:rsidRPr="00E27977">
        <w:rPr>
          <w:rFonts w:asciiTheme="minorHAnsi" w:hAnsiTheme="minorHAnsi" w:cstheme="minorHAnsi"/>
          <w:i/>
        </w:rPr>
        <w:t>emergency/60-day Federal Register notice published for public comments</w:t>
      </w:r>
      <w:r w:rsidR="004136A9" w:rsidRPr="00E27977">
        <w:rPr>
          <w:i/>
        </w:rPr>
        <w:t xml:space="preserve">. </w:t>
      </w:r>
    </w:p>
    <w:p w:rsidR="00E27977" w:rsidRPr="00322E02" w:rsidRDefault="00E27977" w:rsidP="00E27977">
      <w:pPr>
        <w:pStyle w:val="ListParagraph"/>
        <w:numPr>
          <w:ilvl w:val="0"/>
          <w:numId w:val="20"/>
        </w:numPr>
        <w:ind w:left="720"/>
      </w:pPr>
      <w:r w:rsidRPr="00322E02">
        <w:rPr>
          <w:rStyle w:val="a"/>
        </w:rPr>
        <w:t>Explain any decision to provide any payment or gift to respondents, other than remuneration of contractors or grantees with meaningful justification.</w:t>
      </w:r>
    </w:p>
    <w:p w:rsidR="000C6614" w:rsidRDefault="000C6614" w:rsidP="00E27977">
      <w:pPr>
        <w:pStyle w:val="ListParagraph"/>
        <w:spacing w:before="0" w:after="200" w:line="276" w:lineRule="auto"/>
        <w:ind w:left="1170"/>
        <w:rPr>
          <w:rFonts w:asciiTheme="minorHAnsi" w:hAnsiTheme="minorHAnsi" w:cstheme="minorHAnsi"/>
          <w:i/>
        </w:rPr>
      </w:pPr>
    </w:p>
    <w:p w:rsidR="00D874EC" w:rsidRDefault="00D874EC" w:rsidP="00E27977">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There are no plans to provide any payment or gift to respondents.</w:t>
      </w:r>
    </w:p>
    <w:p w:rsidR="000C6614" w:rsidRPr="00E27977" w:rsidRDefault="000C6614" w:rsidP="00E27977">
      <w:pPr>
        <w:pStyle w:val="ListParagraph"/>
        <w:spacing w:before="0" w:after="200" w:line="276" w:lineRule="auto"/>
        <w:ind w:left="1170"/>
        <w:rPr>
          <w:rFonts w:asciiTheme="minorHAnsi" w:hAnsiTheme="minorHAnsi" w:cstheme="minorHAnsi"/>
          <w:i/>
        </w:rPr>
      </w:pPr>
    </w:p>
    <w:p w:rsidR="000C6614" w:rsidRDefault="000C6614">
      <w:pPr>
        <w:spacing w:after="0"/>
      </w:pPr>
      <w:r>
        <w:br w:type="page"/>
      </w:r>
    </w:p>
    <w:p w:rsidR="00E27977" w:rsidRDefault="00E27977" w:rsidP="00E27977">
      <w:pPr>
        <w:pStyle w:val="ListParagraph"/>
        <w:numPr>
          <w:ilvl w:val="0"/>
          <w:numId w:val="20"/>
        </w:numPr>
        <w:ind w:left="720"/>
      </w:pPr>
      <w:r w:rsidRPr="00322E02">
        <w:lastRenderedPageBreak/>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t xml:space="preserve"> </w:t>
      </w:r>
      <w:r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t xml:space="preserve">. </w:t>
      </w:r>
      <w:r w:rsidRPr="00322E02">
        <w:t>If the collection is subject to the Privacy Act, the Privacy Act statement is deemed sufficient with respect to confidentiality. If there is no expectation of confidentiality, simply state that the Department makes no pledge about the confidentially of the data.</w:t>
      </w:r>
    </w:p>
    <w:p w:rsidR="000C6614" w:rsidRDefault="000C6614" w:rsidP="000C6614">
      <w:pPr>
        <w:pStyle w:val="ListParagraph"/>
      </w:pPr>
    </w:p>
    <w:p w:rsidR="00D874EC" w:rsidRDefault="00D874EC" w:rsidP="00E27977">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No assurance of confidentiality has been provided to respondents.  The information collected here is available to the public under the Privacy Act of 1974 and the Freedom of Information Act.</w:t>
      </w:r>
    </w:p>
    <w:p w:rsidR="000C6614" w:rsidRPr="00E27977" w:rsidRDefault="000C6614" w:rsidP="00E27977">
      <w:pPr>
        <w:pStyle w:val="ListParagraph"/>
        <w:spacing w:before="0" w:after="200" w:line="276" w:lineRule="auto"/>
        <w:ind w:left="1170"/>
        <w:rPr>
          <w:rFonts w:asciiTheme="minorHAnsi" w:hAnsiTheme="minorHAnsi" w:cstheme="minorHAnsi"/>
          <w:i/>
        </w:rPr>
      </w:pPr>
    </w:p>
    <w:p w:rsidR="00E27977" w:rsidRPr="00E27977" w:rsidRDefault="00E27977" w:rsidP="00E27977">
      <w:pPr>
        <w:pStyle w:val="ListParagraph"/>
        <w:numPr>
          <w:ilvl w:val="0"/>
          <w:numId w:val="20"/>
        </w:numPr>
        <w:spacing w:before="0" w:after="200" w:line="276" w:lineRule="auto"/>
        <w:rPr>
          <w:rFonts w:asciiTheme="minorHAnsi" w:hAnsiTheme="minorHAnsi" w:cstheme="minorHAnsi"/>
          <w:i/>
        </w:rPr>
      </w:pPr>
      <w:r w:rsidRPr="00322E02">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C6614" w:rsidRDefault="000C6614" w:rsidP="00E27977">
      <w:pPr>
        <w:pStyle w:val="ListParagraph"/>
        <w:spacing w:before="0" w:after="200" w:line="276" w:lineRule="auto"/>
        <w:ind w:left="1440"/>
        <w:rPr>
          <w:rFonts w:asciiTheme="minorHAnsi" w:hAnsiTheme="minorHAnsi" w:cstheme="minorHAnsi"/>
          <w:i/>
        </w:rPr>
      </w:pPr>
    </w:p>
    <w:p w:rsidR="00D874EC" w:rsidRDefault="00D874EC" w:rsidP="00E27977">
      <w:pPr>
        <w:pStyle w:val="ListParagraph"/>
        <w:spacing w:before="0" w:after="200" w:line="276" w:lineRule="auto"/>
        <w:ind w:left="1440"/>
        <w:rPr>
          <w:rFonts w:asciiTheme="minorHAnsi" w:hAnsiTheme="minorHAnsi" w:cstheme="minorHAnsi"/>
          <w:i/>
        </w:rPr>
      </w:pPr>
      <w:r w:rsidRPr="00E27977">
        <w:rPr>
          <w:rFonts w:asciiTheme="minorHAnsi" w:hAnsiTheme="minorHAnsi" w:cstheme="minorHAnsi"/>
          <w:i/>
        </w:rPr>
        <w:t>There are no questions of a sensitive or private nature in this information collection activity.</w:t>
      </w:r>
    </w:p>
    <w:p w:rsidR="000C6614" w:rsidRPr="00E27977" w:rsidRDefault="000C6614" w:rsidP="00E27977">
      <w:pPr>
        <w:pStyle w:val="ListParagraph"/>
        <w:spacing w:before="0" w:after="200" w:line="276" w:lineRule="auto"/>
        <w:ind w:left="1440"/>
        <w:rPr>
          <w:rFonts w:asciiTheme="minorHAnsi" w:hAnsiTheme="minorHAnsi" w:cstheme="minorHAnsi"/>
          <w:i/>
        </w:rPr>
      </w:pPr>
    </w:p>
    <w:p w:rsidR="00E27977" w:rsidRPr="00322E02" w:rsidRDefault="00E27977" w:rsidP="00E27977">
      <w:pPr>
        <w:pStyle w:val="ListParagraph"/>
        <w:numPr>
          <w:ilvl w:val="0"/>
          <w:numId w:val="20"/>
        </w:numPr>
        <w:ind w:left="720"/>
        <w:rPr>
          <w:rStyle w:val="a"/>
        </w:rPr>
      </w:pPr>
      <w:r w:rsidRPr="00322E02">
        <w:rPr>
          <w:rStyle w:val="a"/>
        </w:rPr>
        <w:t>Provide estimates of the hour burden of the collection of information.  The statement should:</w:t>
      </w:r>
    </w:p>
    <w:p w:rsidR="00E27977" w:rsidRPr="00322E02" w:rsidRDefault="00E27977" w:rsidP="00E27977">
      <w:pPr>
        <w:pStyle w:val="ListParagraph"/>
        <w:numPr>
          <w:ilvl w:val="0"/>
          <w:numId w:val="22"/>
        </w:numPr>
        <w:rPr>
          <w:rStyle w:val="a"/>
        </w:rPr>
      </w:pPr>
      <w:r w:rsidRPr="00322E02">
        <w:rPr>
          <w:rStyle w:val="a"/>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322E02">
        <w:rPr>
          <w:rStyle w:val="a"/>
        </w:rPr>
        <w:lastRenderedPageBreak/>
        <w:t>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27977" w:rsidRPr="00322E02" w:rsidRDefault="00E27977" w:rsidP="00E27977">
      <w:pPr>
        <w:pStyle w:val="ListParagraph"/>
        <w:numPr>
          <w:ilvl w:val="0"/>
          <w:numId w:val="22"/>
        </w:numPr>
        <w:rPr>
          <w:rStyle w:val="a"/>
        </w:rPr>
      </w:pPr>
      <w:r w:rsidRPr="00322E02">
        <w:rPr>
          <w:rStyle w:val="a"/>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rsidR="00E27977" w:rsidRPr="00322E02" w:rsidRDefault="00E27977" w:rsidP="00E27977">
      <w:pPr>
        <w:pStyle w:val="ListParagraph"/>
        <w:numPr>
          <w:ilvl w:val="0"/>
          <w:numId w:val="22"/>
        </w:num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874EC" w:rsidRPr="00E27977" w:rsidRDefault="00D874EC" w:rsidP="00E27977">
      <w:pPr>
        <w:pStyle w:val="ListParagraph"/>
        <w:spacing w:before="0" w:after="200" w:line="276" w:lineRule="auto"/>
        <w:ind w:left="2070"/>
        <w:rPr>
          <w:rFonts w:asciiTheme="minorHAnsi" w:hAnsiTheme="minorHAnsi" w:cstheme="minorHAnsi"/>
          <w:i/>
        </w:rPr>
      </w:pPr>
      <w:r w:rsidRPr="00E27977">
        <w:rPr>
          <w:rFonts w:asciiTheme="minorHAnsi" w:hAnsiTheme="minorHAnsi" w:cstheme="minorHAnsi"/>
          <w:i/>
        </w:rPr>
        <w:t>The total annual burden has been determined to be approximately 3,000 hours.  This was determined by multiplying the estimated number of annual respondents (75) times the number of responses per respondent (1) times the amount of time needed to collect, complete and review the information for accuracy (40 hours).</w:t>
      </w:r>
    </w:p>
    <w:p w:rsidR="00D874EC" w:rsidRPr="00E27977" w:rsidRDefault="00D874EC" w:rsidP="00E27977">
      <w:pPr>
        <w:pStyle w:val="NoSpacing"/>
        <w:ind w:left="1980" w:firstLine="720"/>
        <w:rPr>
          <w:rFonts w:asciiTheme="minorHAnsi" w:hAnsiTheme="minorHAnsi" w:cstheme="minorHAnsi"/>
          <w:i/>
        </w:rPr>
      </w:pPr>
      <w:r w:rsidRPr="00E27977">
        <w:rPr>
          <w:rFonts w:asciiTheme="minorHAnsi" w:hAnsiTheme="minorHAnsi" w:cstheme="minorHAnsi"/>
          <w:i/>
        </w:rPr>
        <w:t>Number of Respondents</w:t>
      </w:r>
      <w:r w:rsidRPr="00E27977">
        <w:rPr>
          <w:rFonts w:asciiTheme="minorHAnsi" w:hAnsiTheme="minorHAnsi" w:cstheme="minorHAnsi"/>
          <w:i/>
        </w:rPr>
        <w:tab/>
        <w:t>75</w:t>
      </w:r>
    </w:p>
    <w:p w:rsidR="00D874EC" w:rsidRPr="00E27977" w:rsidRDefault="00D874EC" w:rsidP="00E27977">
      <w:pPr>
        <w:pStyle w:val="NoSpacing"/>
        <w:ind w:left="1980" w:firstLine="720"/>
        <w:rPr>
          <w:rFonts w:asciiTheme="minorHAnsi" w:hAnsiTheme="minorHAnsi" w:cstheme="minorHAnsi"/>
          <w:i/>
        </w:rPr>
      </w:pPr>
      <w:r w:rsidRPr="00E27977">
        <w:rPr>
          <w:rFonts w:asciiTheme="minorHAnsi" w:hAnsiTheme="minorHAnsi" w:cstheme="minorHAnsi"/>
          <w:i/>
        </w:rPr>
        <w:t xml:space="preserve">Frequency of Response </w:t>
      </w:r>
      <w:r w:rsidRPr="00E27977">
        <w:rPr>
          <w:rFonts w:asciiTheme="minorHAnsi" w:hAnsiTheme="minorHAnsi" w:cstheme="minorHAnsi"/>
          <w:i/>
        </w:rPr>
        <w:tab/>
      </w:r>
      <w:r w:rsidRPr="00E27977">
        <w:rPr>
          <w:rFonts w:asciiTheme="minorHAnsi" w:hAnsiTheme="minorHAnsi" w:cstheme="minorHAnsi"/>
          <w:i/>
        </w:rPr>
        <w:tab/>
      </w:r>
      <w:r w:rsidRPr="00E27977">
        <w:rPr>
          <w:rFonts w:asciiTheme="minorHAnsi" w:hAnsiTheme="minorHAnsi" w:cstheme="minorHAnsi"/>
          <w:i/>
          <w:u w:val="single"/>
        </w:rPr>
        <w:t>x1</w:t>
      </w:r>
    </w:p>
    <w:p w:rsidR="00D874EC" w:rsidRPr="00E27977" w:rsidRDefault="00D874EC" w:rsidP="00E27977">
      <w:pPr>
        <w:pStyle w:val="NoSpacing"/>
        <w:ind w:left="1980" w:firstLine="720"/>
        <w:rPr>
          <w:rFonts w:asciiTheme="minorHAnsi" w:hAnsiTheme="minorHAnsi" w:cstheme="minorHAnsi"/>
          <w:i/>
        </w:rPr>
      </w:pPr>
      <w:r w:rsidRPr="00E27977">
        <w:rPr>
          <w:rFonts w:asciiTheme="minorHAnsi" w:hAnsiTheme="minorHAnsi" w:cstheme="minorHAnsi"/>
          <w:i/>
        </w:rPr>
        <w:t>Total Annual Responses</w:t>
      </w:r>
      <w:r w:rsidRPr="00E27977">
        <w:rPr>
          <w:rFonts w:asciiTheme="minorHAnsi" w:hAnsiTheme="minorHAnsi" w:cstheme="minorHAnsi"/>
          <w:i/>
        </w:rPr>
        <w:tab/>
      </w:r>
      <w:r w:rsidRPr="00E27977">
        <w:rPr>
          <w:rFonts w:asciiTheme="minorHAnsi" w:hAnsiTheme="minorHAnsi" w:cstheme="minorHAnsi"/>
          <w:i/>
        </w:rPr>
        <w:tab/>
        <w:t>75</w:t>
      </w:r>
    </w:p>
    <w:p w:rsidR="00D874EC" w:rsidRPr="00E27977" w:rsidRDefault="00D874EC" w:rsidP="00E27977">
      <w:pPr>
        <w:pStyle w:val="NoSpacing"/>
        <w:ind w:left="1260"/>
        <w:rPr>
          <w:rFonts w:asciiTheme="minorHAnsi" w:hAnsiTheme="minorHAnsi" w:cstheme="minorHAnsi"/>
          <w:i/>
        </w:rPr>
      </w:pPr>
    </w:p>
    <w:p w:rsidR="00D874EC" w:rsidRPr="00E27977" w:rsidRDefault="00D874EC" w:rsidP="00E27977">
      <w:pPr>
        <w:pStyle w:val="NoSpacing"/>
        <w:ind w:left="1260" w:firstLine="1440"/>
        <w:rPr>
          <w:rFonts w:asciiTheme="minorHAnsi" w:hAnsiTheme="minorHAnsi" w:cstheme="minorHAnsi"/>
          <w:i/>
        </w:rPr>
      </w:pPr>
      <w:r w:rsidRPr="00E27977">
        <w:rPr>
          <w:rFonts w:asciiTheme="minorHAnsi" w:hAnsiTheme="minorHAnsi" w:cstheme="minorHAnsi"/>
          <w:i/>
        </w:rPr>
        <w:t>Hours per response</w:t>
      </w:r>
      <w:r w:rsidRPr="00E27977">
        <w:rPr>
          <w:rFonts w:asciiTheme="minorHAnsi" w:hAnsiTheme="minorHAnsi" w:cstheme="minorHAnsi"/>
          <w:i/>
        </w:rPr>
        <w:tab/>
      </w:r>
      <w:r w:rsidRPr="00E27977">
        <w:rPr>
          <w:rFonts w:asciiTheme="minorHAnsi" w:hAnsiTheme="minorHAnsi" w:cstheme="minorHAnsi"/>
          <w:i/>
        </w:rPr>
        <w:tab/>
      </w:r>
      <w:r w:rsidRPr="00E27977">
        <w:rPr>
          <w:rFonts w:asciiTheme="minorHAnsi" w:hAnsiTheme="minorHAnsi" w:cstheme="minorHAnsi"/>
          <w:i/>
          <w:u w:val="single"/>
        </w:rPr>
        <w:t>x40</w:t>
      </w:r>
      <w:r w:rsidRPr="00E27977">
        <w:rPr>
          <w:rFonts w:asciiTheme="minorHAnsi" w:hAnsiTheme="minorHAnsi" w:cstheme="minorHAnsi"/>
          <w:i/>
        </w:rPr>
        <w:tab/>
      </w:r>
    </w:p>
    <w:p w:rsidR="00D874EC" w:rsidRPr="00E27977" w:rsidRDefault="00D874EC" w:rsidP="00E27977">
      <w:pPr>
        <w:pStyle w:val="ListParagraph"/>
        <w:ind w:left="2700"/>
        <w:rPr>
          <w:rFonts w:asciiTheme="minorHAnsi" w:hAnsiTheme="minorHAnsi" w:cstheme="minorHAnsi"/>
          <w:i/>
        </w:rPr>
      </w:pPr>
      <w:r w:rsidRPr="00E27977">
        <w:rPr>
          <w:rFonts w:asciiTheme="minorHAnsi" w:hAnsiTheme="minorHAnsi" w:cstheme="minorHAnsi"/>
          <w:i/>
        </w:rPr>
        <w:t>Total Burden Hours</w:t>
      </w:r>
      <w:r w:rsidRPr="00E27977">
        <w:rPr>
          <w:rFonts w:asciiTheme="minorHAnsi" w:hAnsiTheme="minorHAnsi" w:cstheme="minorHAnsi"/>
          <w:i/>
        </w:rPr>
        <w:tab/>
      </w:r>
      <w:r w:rsidRPr="00E27977">
        <w:rPr>
          <w:rFonts w:asciiTheme="minorHAnsi" w:hAnsiTheme="minorHAnsi" w:cstheme="minorHAnsi"/>
          <w:i/>
        </w:rPr>
        <w:tab/>
        <w:t>3,000</w:t>
      </w:r>
    </w:p>
    <w:p w:rsidR="00D874EC" w:rsidRDefault="00D874EC" w:rsidP="00E27977">
      <w:pPr>
        <w:pStyle w:val="ListParagraph"/>
        <w:ind w:left="1980"/>
        <w:rPr>
          <w:rFonts w:asciiTheme="minorHAnsi" w:hAnsiTheme="minorHAnsi" w:cstheme="minorHAnsi"/>
          <w:i/>
        </w:rPr>
      </w:pPr>
      <w:r w:rsidRPr="00E27977">
        <w:rPr>
          <w:rFonts w:asciiTheme="minorHAnsi" w:hAnsiTheme="minorHAnsi" w:cstheme="minorHAnsi"/>
          <w:i/>
        </w:rPr>
        <w:t>The estimated cost to the public will be approximately $450,000.  This was determined by multiplying the number of respondents (75) times the amount of hours it will take to collect, complete, review, submit, and maintain the waivers (40 hours), times an average hourly wage of $150 per hour.</w:t>
      </w:r>
    </w:p>
    <w:p w:rsidR="000C6614" w:rsidRPr="00E27977" w:rsidRDefault="000C6614" w:rsidP="00E27977">
      <w:pPr>
        <w:pStyle w:val="ListParagraph"/>
        <w:ind w:left="1980"/>
        <w:rPr>
          <w:rFonts w:asciiTheme="minorHAnsi" w:hAnsiTheme="minorHAnsi" w:cstheme="minorHAnsi"/>
          <w:i/>
        </w:rPr>
      </w:pPr>
    </w:p>
    <w:p w:rsidR="000C6614" w:rsidRPr="00322E02" w:rsidRDefault="000C6614" w:rsidP="000C6614">
      <w:pPr>
        <w:pStyle w:val="ListParagraph"/>
        <w:numPr>
          <w:ilvl w:val="0"/>
          <w:numId w:val="20"/>
        </w:numPr>
        <w:ind w:left="720"/>
      </w:pPr>
      <w:r w:rsidRPr="00322E02">
        <w:rPr>
          <w:rStyle w:val="a"/>
        </w:rPr>
        <w:t>Provide an estimate of the total annual cost burden to respondents or record keepers resulting from the collection of information.  (Do not include the cost of any hour burden shown in Items 12 and 14.)</w:t>
      </w:r>
    </w:p>
    <w:p w:rsidR="000C6614" w:rsidRPr="000C6614" w:rsidRDefault="000C6614" w:rsidP="000C6614">
      <w:pPr>
        <w:spacing w:after="200" w:line="276" w:lineRule="auto"/>
        <w:rPr>
          <w:rFonts w:asciiTheme="minorHAnsi" w:hAnsiTheme="minorHAnsi" w:cstheme="minorHAnsi"/>
          <w:i/>
        </w:rPr>
      </w:pPr>
    </w:p>
    <w:p w:rsidR="00D874EC" w:rsidRDefault="00D874EC" w:rsidP="000C6614">
      <w:pPr>
        <w:pStyle w:val="ListParagraph"/>
        <w:spacing w:before="0" w:after="200" w:line="276" w:lineRule="auto"/>
        <w:ind w:left="1440"/>
        <w:rPr>
          <w:rFonts w:asciiTheme="minorHAnsi" w:hAnsiTheme="minorHAnsi" w:cstheme="minorHAnsi"/>
          <w:i/>
        </w:rPr>
      </w:pPr>
      <w:r w:rsidRPr="00E27977">
        <w:rPr>
          <w:rFonts w:asciiTheme="minorHAnsi" w:hAnsiTheme="minorHAnsi" w:cstheme="minorHAnsi"/>
          <w:i/>
        </w:rPr>
        <w:t>There is no additional annual cost burden to respondents or record keepers resulting from the collection of information.</w:t>
      </w:r>
    </w:p>
    <w:p w:rsidR="000C6614" w:rsidRPr="00E27977" w:rsidRDefault="000C6614" w:rsidP="000C6614">
      <w:pPr>
        <w:pStyle w:val="ListParagraph"/>
        <w:spacing w:before="0" w:after="200" w:line="276" w:lineRule="auto"/>
        <w:ind w:left="1440"/>
        <w:rPr>
          <w:rFonts w:asciiTheme="minorHAnsi" w:hAnsiTheme="minorHAnsi" w:cstheme="minorHAnsi"/>
          <w:i/>
        </w:rPr>
      </w:pPr>
    </w:p>
    <w:p w:rsidR="000C6614" w:rsidRDefault="000C6614" w:rsidP="000C6614">
      <w:pPr>
        <w:pStyle w:val="ListParagraph"/>
        <w:numPr>
          <w:ilvl w:val="0"/>
          <w:numId w:val="20"/>
        </w:numPr>
        <w:ind w:left="720"/>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0C6614" w:rsidRDefault="000C6614" w:rsidP="000C6614">
      <w:pPr>
        <w:pStyle w:val="ListParagraph"/>
        <w:spacing w:before="0" w:after="200" w:line="276" w:lineRule="auto"/>
        <w:ind w:left="1170"/>
        <w:rPr>
          <w:rFonts w:asciiTheme="minorHAnsi" w:hAnsiTheme="minorHAnsi" w:cstheme="minorHAnsi"/>
          <w:i/>
        </w:rPr>
      </w:pPr>
    </w:p>
    <w:p w:rsidR="00D874EC" w:rsidRPr="00E27977" w:rsidRDefault="00D874EC" w:rsidP="000C6614">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This collection will be processed by ED staff.  It is estimated that cost to the Federal Government to review and maintain the submitted documentation will be $11,250.</w:t>
      </w:r>
    </w:p>
    <w:p w:rsidR="000C6614" w:rsidRDefault="000C6614" w:rsidP="000C6614">
      <w:pPr>
        <w:pStyle w:val="ListParagraph"/>
        <w:numPr>
          <w:ilvl w:val="0"/>
          <w:numId w:val="20"/>
        </w:numPr>
        <w:ind w:left="720"/>
      </w:pPr>
      <w:r w:rsidRPr="00322E02">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0C6614" w:rsidRDefault="000C6614" w:rsidP="000C6614">
      <w:pPr>
        <w:pStyle w:val="ListParagraph"/>
        <w:spacing w:before="0" w:after="200" w:line="276" w:lineRule="auto"/>
        <w:ind w:left="1170"/>
        <w:rPr>
          <w:rFonts w:asciiTheme="minorHAnsi" w:hAnsiTheme="minorHAnsi" w:cstheme="minorHAnsi"/>
          <w:i/>
        </w:rPr>
      </w:pPr>
    </w:p>
    <w:p w:rsidR="00D874EC" w:rsidRPr="00E27977" w:rsidRDefault="00D874EC" w:rsidP="000C6614">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This is a one-time collection; there are no changes or adjustments.</w:t>
      </w:r>
    </w:p>
    <w:p w:rsidR="000C6614" w:rsidRDefault="000C6614" w:rsidP="000C6614">
      <w:pPr>
        <w:pStyle w:val="ListParagraph"/>
        <w:numPr>
          <w:ilvl w:val="0"/>
          <w:numId w:val="20"/>
        </w:numPr>
        <w:ind w:left="720"/>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C6614" w:rsidRDefault="000C6614" w:rsidP="000C6614">
      <w:pPr>
        <w:pStyle w:val="ListParagraph"/>
        <w:spacing w:before="0" w:after="200" w:line="276" w:lineRule="auto"/>
        <w:ind w:left="1170"/>
        <w:rPr>
          <w:rFonts w:asciiTheme="minorHAnsi" w:hAnsiTheme="minorHAnsi" w:cstheme="minorHAnsi"/>
          <w:i/>
        </w:rPr>
      </w:pPr>
    </w:p>
    <w:p w:rsidR="00D874EC" w:rsidRPr="00E27977" w:rsidRDefault="00D874EC" w:rsidP="000C6614">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ED does not plan to publish for statistical use the results of the information being collected.  Management reports, however, will be prepared.</w:t>
      </w:r>
    </w:p>
    <w:p w:rsidR="000C6614" w:rsidRDefault="000C6614" w:rsidP="000C6614">
      <w:pPr>
        <w:pStyle w:val="ListParagraph"/>
        <w:numPr>
          <w:ilvl w:val="0"/>
          <w:numId w:val="20"/>
        </w:numPr>
        <w:ind w:left="720"/>
        <w:rPr>
          <w:rStyle w:val="a"/>
        </w:rPr>
      </w:pPr>
      <w:r w:rsidRPr="00322E02">
        <w:rPr>
          <w:rStyle w:val="a"/>
        </w:rPr>
        <w:t>If seeking approval to not display the expiration date for OMB approval of the information collection, explain the reasons that display would be inappropriate.</w:t>
      </w:r>
    </w:p>
    <w:p w:rsidR="000C6614" w:rsidRDefault="000C6614" w:rsidP="000C6614">
      <w:pPr>
        <w:pStyle w:val="ListParagraph"/>
        <w:spacing w:before="0" w:after="200" w:line="276" w:lineRule="auto"/>
        <w:ind w:left="1170"/>
        <w:rPr>
          <w:rFonts w:asciiTheme="minorHAnsi" w:hAnsiTheme="minorHAnsi" w:cstheme="minorHAnsi"/>
          <w:i/>
        </w:rPr>
      </w:pPr>
    </w:p>
    <w:p w:rsidR="00D874EC" w:rsidRPr="00E27977" w:rsidRDefault="00D874EC" w:rsidP="000C6614">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The expiration date for OMB approval of the information collection will be displayed.</w:t>
      </w:r>
    </w:p>
    <w:p w:rsidR="000C6614" w:rsidRPr="00322E02" w:rsidRDefault="000C6614" w:rsidP="000C6614">
      <w:pPr>
        <w:pStyle w:val="ListParagraph"/>
        <w:numPr>
          <w:ilvl w:val="0"/>
          <w:numId w:val="20"/>
        </w:numPr>
        <w:ind w:left="720"/>
      </w:pPr>
      <w:r w:rsidRPr="00322E02">
        <w:rPr>
          <w:rStyle w:val="a"/>
        </w:rPr>
        <w:lastRenderedPageBreak/>
        <w:t>Explain each exception to the certification statement identified in the Certification of Paperwork Reduction Act.</w:t>
      </w:r>
    </w:p>
    <w:p w:rsidR="000C6614" w:rsidRDefault="000C6614" w:rsidP="000C6614">
      <w:pPr>
        <w:pStyle w:val="ListParagraph"/>
        <w:spacing w:before="0" w:after="200" w:line="276" w:lineRule="auto"/>
        <w:ind w:left="1170"/>
        <w:rPr>
          <w:rFonts w:asciiTheme="minorHAnsi" w:hAnsiTheme="minorHAnsi" w:cstheme="minorHAnsi"/>
          <w:i/>
        </w:rPr>
      </w:pPr>
    </w:p>
    <w:p w:rsidR="00D874EC" w:rsidRPr="00E27977" w:rsidRDefault="00D874EC" w:rsidP="000C6614">
      <w:pPr>
        <w:pStyle w:val="ListParagraph"/>
        <w:spacing w:before="0" w:after="200" w:line="276" w:lineRule="auto"/>
        <w:ind w:left="1170"/>
        <w:rPr>
          <w:rFonts w:asciiTheme="minorHAnsi" w:hAnsiTheme="minorHAnsi" w:cstheme="minorHAnsi"/>
          <w:i/>
        </w:rPr>
      </w:pPr>
      <w:r w:rsidRPr="00E27977">
        <w:rPr>
          <w:rFonts w:asciiTheme="minorHAnsi" w:hAnsiTheme="minorHAnsi" w:cstheme="minorHAnsi"/>
          <w:i/>
        </w:rPr>
        <w:t>The collection of information complies with 5 CFR 1320.9</w:t>
      </w:r>
    </w:p>
    <w:sectPr w:rsidR="00D874EC" w:rsidRPr="00E27977"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51D" w:rsidRDefault="0053551D">
      <w:pPr>
        <w:spacing w:line="20" w:lineRule="exact"/>
      </w:pPr>
    </w:p>
  </w:endnote>
  <w:endnote w:type="continuationSeparator" w:id="0">
    <w:p w:rsidR="0053551D" w:rsidRDefault="0053551D">
      <w:r>
        <w:t xml:space="preserve"> </w:t>
      </w:r>
    </w:p>
  </w:endnote>
  <w:endnote w:type="continuationNotice" w:id="1">
    <w:p w:rsidR="0053551D" w:rsidRDefault="0053551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3A2" w:rsidRDefault="00D874EC">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BA13A2" w:rsidRDefault="00B71678" w:rsidP="00431228">
                          <w:pPr>
                            <w:tabs>
                              <w:tab w:val="center" w:pos="4650"/>
                            </w:tabs>
                            <w:suppressAutoHyphens/>
                            <w:jc w:val="center"/>
                          </w:pPr>
                          <w:r>
                            <w:fldChar w:fldCharType="begin"/>
                          </w:r>
                          <w:r>
                            <w:instrText>page \* arabic</w:instrText>
                          </w:r>
                          <w:r>
                            <w:fldChar w:fldCharType="separate"/>
                          </w:r>
                          <w:r w:rsidR="00C7607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BA13A2" w:rsidRDefault="00B71678" w:rsidP="00431228">
                    <w:pPr>
                      <w:tabs>
                        <w:tab w:val="center" w:pos="4650"/>
                      </w:tabs>
                      <w:suppressAutoHyphens/>
                      <w:jc w:val="center"/>
                    </w:pPr>
                    <w:r>
                      <w:fldChar w:fldCharType="begin"/>
                    </w:r>
                    <w:r>
                      <w:instrText>page \* arabic</w:instrText>
                    </w:r>
                    <w:r>
                      <w:fldChar w:fldCharType="separate"/>
                    </w:r>
                    <w:r w:rsidR="00C76075">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51D" w:rsidRDefault="0053551D">
      <w:r>
        <w:separator/>
      </w:r>
    </w:p>
  </w:footnote>
  <w:footnote w:type="continuationSeparator" w:id="0">
    <w:p w:rsidR="0053551D" w:rsidRDefault="005355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84E" w:rsidRDefault="00016E14" w:rsidP="000C6614">
    <w:pPr>
      <w:spacing w:after="0"/>
    </w:pPr>
    <w:r w:rsidRPr="00016E14">
      <w:t>EDICS Tracking and OMB Number: (</w:t>
    </w:r>
    <w:r w:rsidR="00D874EC">
      <w:t>04806)</w:t>
    </w:r>
    <w:r w:rsidRPr="00016E14">
      <w:t xml:space="preserve"> </w:t>
    </w:r>
    <w:r w:rsidR="00D874EC">
      <w:t>1845-NEW v.1</w:t>
    </w:r>
    <w:r w:rsidR="000C6614">
      <w:tab/>
    </w:r>
    <w:r w:rsidR="000C6614">
      <w:tab/>
    </w:r>
    <w:r w:rsidRPr="00016E14">
      <w:t xml:space="preserve">Revised: </w:t>
    </w:r>
    <w:r w:rsidR="00D874EC">
      <w:t>02/28/2012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A6C2B3E"/>
    <w:multiLevelType w:val="hybridMultilevel"/>
    <w:tmpl w:val="CCDE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8">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93962CC"/>
    <w:multiLevelType w:val="hybridMultilevel"/>
    <w:tmpl w:val="C8FC20EC"/>
    <w:lvl w:ilvl="0" w:tplc="7C3EB660">
      <w:start w:val="1"/>
      <w:numFmt w:val="decimal"/>
      <w:lvlText w:val="%1."/>
      <w:lvlJc w:val="left"/>
      <w:pPr>
        <w:ind w:left="810" w:hanging="360"/>
      </w:pPr>
      <w:rPr>
        <w:rFonts w:asciiTheme="minorHAnsi" w:eastAsia="Times New Roman" w:hAnsiTheme="minorHAnsi" w:cstheme="minorHAns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19"/>
  </w:num>
  <w:num w:numId="5">
    <w:abstractNumId w:val="1"/>
  </w:num>
  <w:num w:numId="6">
    <w:abstractNumId w:val="2"/>
  </w:num>
  <w:num w:numId="7">
    <w:abstractNumId w:val="16"/>
  </w:num>
  <w:num w:numId="8">
    <w:abstractNumId w:val="15"/>
  </w:num>
  <w:num w:numId="9">
    <w:abstractNumId w:val="17"/>
  </w:num>
  <w:num w:numId="10">
    <w:abstractNumId w:val="20"/>
  </w:num>
  <w:num w:numId="11">
    <w:abstractNumId w:val="10"/>
  </w:num>
  <w:num w:numId="12">
    <w:abstractNumId w:val="4"/>
  </w:num>
  <w:num w:numId="13">
    <w:abstractNumId w:val="13"/>
  </w:num>
  <w:num w:numId="14">
    <w:abstractNumId w:val="12"/>
  </w:num>
  <w:num w:numId="15">
    <w:abstractNumId w:val="3"/>
  </w:num>
  <w:num w:numId="16">
    <w:abstractNumId w:val="23"/>
  </w:num>
  <w:num w:numId="17">
    <w:abstractNumId w:val="14"/>
  </w:num>
  <w:num w:numId="18">
    <w:abstractNumId w:val="6"/>
  </w:num>
  <w:num w:numId="19">
    <w:abstractNumId w:val="18"/>
  </w:num>
  <w:num w:numId="20">
    <w:abstractNumId w:val="22"/>
  </w:num>
  <w:num w:numId="21">
    <w:abstractNumId w:val="5"/>
  </w:num>
  <w:num w:numId="22">
    <w:abstractNumId w:val="9"/>
  </w:num>
  <w:num w:numId="23">
    <w:abstractNumId w:val="2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50CBE"/>
    <w:rsid w:val="000909E0"/>
    <w:rsid w:val="000A2965"/>
    <w:rsid w:val="000B14D8"/>
    <w:rsid w:val="000C6614"/>
    <w:rsid w:val="000E592D"/>
    <w:rsid w:val="000F175B"/>
    <w:rsid w:val="0014500F"/>
    <w:rsid w:val="00153F20"/>
    <w:rsid w:val="001743A5"/>
    <w:rsid w:val="0018279C"/>
    <w:rsid w:val="002473CE"/>
    <w:rsid w:val="002B0412"/>
    <w:rsid w:val="002B0A95"/>
    <w:rsid w:val="00322E02"/>
    <w:rsid w:val="00386054"/>
    <w:rsid w:val="003C29C2"/>
    <w:rsid w:val="003C7F70"/>
    <w:rsid w:val="003E285A"/>
    <w:rsid w:val="003E539A"/>
    <w:rsid w:val="004136A9"/>
    <w:rsid w:val="00431228"/>
    <w:rsid w:val="004A2DBB"/>
    <w:rsid w:val="004D6005"/>
    <w:rsid w:val="004E23D9"/>
    <w:rsid w:val="004F692A"/>
    <w:rsid w:val="00512598"/>
    <w:rsid w:val="0053551D"/>
    <w:rsid w:val="00563CCF"/>
    <w:rsid w:val="005A1566"/>
    <w:rsid w:val="005A1DFC"/>
    <w:rsid w:val="005A4185"/>
    <w:rsid w:val="005D2E7B"/>
    <w:rsid w:val="00617A98"/>
    <w:rsid w:val="0063484C"/>
    <w:rsid w:val="00654305"/>
    <w:rsid w:val="006737C0"/>
    <w:rsid w:val="00677BC2"/>
    <w:rsid w:val="006A3B5C"/>
    <w:rsid w:val="006C01D0"/>
    <w:rsid w:val="007661D9"/>
    <w:rsid w:val="00787B58"/>
    <w:rsid w:val="007B14E8"/>
    <w:rsid w:val="007C12B5"/>
    <w:rsid w:val="007E77FA"/>
    <w:rsid w:val="008011B6"/>
    <w:rsid w:val="008F08FE"/>
    <w:rsid w:val="008F3062"/>
    <w:rsid w:val="00921CB1"/>
    <w:rsid w:val="009544A3"/>
    <w:rsid w:val="009949A8"/>
    <w:rsid w:val="00A01331"/>
    <w:rsid w:val="00A4084E"/>
    <w:rsid w:val="00A41F2C"/>
    <w:rsid w:val="00A87940"/>
    <w:rsid w:val="00A94CCB"/>
    <w:rsid w:val="00AB0D7D"/>
    <w:rsid w:val="00B23EC0"/>
    <w:rsid w:val="00B578F4"/>
    <w:rsid w:val="00B71678"/>
    <w:rsid w:val="00B83FB3"/>
    <w:rsid w:val="00BA13A2"/>
    <w:rsid w:val="00BC244F"/>
    <w:rsid w:val="00BD1325"/>
    <w:rsid w:val="00C641E9"/>
    <w:rsid w:val="00C71525"/>
    <w:rsid w:val="00C723C2"/>
    <w:rsid w:val="00C76075"/>
    <w:rsid w:val="00C9556E"/>
    <w:rsid w:val="00CE72AF"/>
    <w:rsid w:val="00CF7053"/>
    <w:rsid w:val="00D004BE"/>
    <w:rsid w:val="00D115BF"/>
    <w:rsid w:val="00D269C3"/>
    <w:rsid w:val="00D874EC"/>
    <w:rsid w:val="00E023B7"/>
    <w:rsid w:val="00E07290"/>
    <w:rsid w:val="00E27977"/>
    <w:rsid w:val="00E52F91"/>
    <w:rsid w:val="00EA3C1F"/>
    <w:rsid w:val="00EC2CC4"/>
    <w:rsid w:val="00EF7FF5"/>
    <w:rsid w:val="00F313DF"/>
    <w:rsid w:val="00F65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D874E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NoSpacing">
    <w:name w:val="No Spacing"/>
    <w:uiPriority w:val="1"/>
    <w:qFormat/>
    <w:rsid w:val="00D874E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50555-E7CA-4802-8D43-C2E9316C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2234</Words>
  <Characters>12451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2012-02-28T20:21:00Z</cp:lastPrinted>
  <dcterms:created xsi:type="dcterms:W3CDTF">2012-02-28T20:21:00Z</dcterms:created>
  <dcterms:modified xsi:type="dcterms:W3CDTF">2012-02-28T20:21:00Z</dcterms:modified>
</cp:coreProperties>
</file>