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C52482">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4607B9" w:rsidRDefault="00386054">
      <w:pPr>
        <w:tabs>
          <w:tab w:val="left" w:pos="0"/>
        </w:tabs>
        <w:suppressAutoHyphens/>
        <w:rPr>
          <w:rFonts w:ascii="Times New Roman" w:hAnsi="Times New Roman"/>
          <w:b/>
          <w:szCs w:val="24"/>
        </w:rPr>
      </w:pPr>
      <w:r w:rsidRPr="004607B9">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4607B9">
        <w:rPr>
          <w:rFonts w:ascii="Times New Roman" w:hAnsi="Times New Roman"/>
          <w:b/>
          <w:szCs w:val="24"/>
        </w:rPr>
        <w:t xml:space="preserve">hard </w:t>
      </w:r>
      <w:r w:rsidRPr="004607B9">
        <w:rPr>
          <w:rFonts w:ascii="Times New Roman" w:hAnsi="Times New Roman"/>
          <w:b/>
          <w:szCs w:val="24"/>
        </w:rPr>
        <w:t>copy of the appropriate section of each statute and regulation mandating or authorizing the collection of information</w:t>
      </w:r>
      <w:r w:rsidR="003C7F70" w:rsidRPr="004607B9">
        <w:rPr>
          <w:rFonts w:ascii="Times New Roman" w:hAnsi="Times New Roman"/>
          <w:b/>
          <w:szCs w:val="24"/>
        </w:rPr>
        <w:t>,</w:t>
      </w:r>
      <w:r w:rsidR="00050CBE" w:rsidRPr="004607B9">
        <w:rPr>
          <w:rFonts w:ascii="Times New Roman" w:hAnsi="Times New Roman"/>
          <w:b/>
          <w:szCs w:val="24"/>
        </w:rPr>
        <w:t xml:space="preserve"> or </w:t>
      </w:r>
      <w:r w:rsidR="003C7F70" w:rsidRPr="004607B9">
        <w:rPr>
          <w:rFonts w:ascii="Times New Roman" w:hAnsi="Times New Roman"/>
          <w:b/>
          <w:szCs w:val="24"/>
        </w:rPr>
        <w:t xml:space="preserve">you may </w:t>
      </w:r>
      <w:r w:rsidR="00050CBE" w:rsidRPr="004607B9">
        <w:rPr>
          <w:rFonts w:ascii="Times New Roman" w:hAnsi="Times New Roman"/>
          <w:b/>
          <w:szCs w:val="24"/>
        </w:rPr>
        <w:t xml:space="preserve">provide a valid </w:t>
      </w:r>
      <w:r w:rsidR="003C7F70" w:rsidRPr="004607B9">
        <w:rPr>
          <w:rFonts w:ascii="Times New Roman" w:hAnsi="Times New Roman"/>
          <w:b/>
          <w:szCs w:val="24"/>
        </w:rPr>
        <w:t>URL</w:t>
      </w:r>
      <w:r w:rsidR="00050CBE" w:rsidRPr="004607B9">
        <w:rPr>
          <w:rFonts w:ascii="Times New Roman" w:hAnsi="Times New Roman"/>
          <w:b/>
          <w:szCs w:val="24"/>
        </w:rPr>
        <w:t xml:space="preserve"> link or paste the applicable section</w:t>
      </w:r>
      <w:r w:rsidR="003C7F70" w:rsidRPr="004607B9">
        <w:rPr>
          <w:rStyle w:val="FootnoteReference"/>
          <w:b/>
          <w:szCs w:val="24"/>
        </w:rPr>
        <w:footnoteReference w:id="1"/>
      </w:r>
      <w:r w:rsidRPr="004607B9">
        <w:rPr>
          <w:rFonts w:ascii="Times New Roman" w:hAnsi="Times New Roman"/>
          <w:b/>
          <w:szCs w:val="24"/>
        </w:rPr>
        <w:t>. Specify the review type of the collection (new, revision, extension, reinstatement with change, reinstatement without change)</w:t>
      </w:r>
      <w:r w:rsidR="00050CBE" w:rsidRPr="004607B9">
        <w:rPr>
          <w:rFonts w:ascii="Times New Roman" w:hAnsi="Times New Roman"/>
          <w:b/>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4607B9" w:rsidRPr="00944260" w:rsidRDefault="004607B9" w:rsidP="004607B9">
      <w:pPr>
        <w:tabs>
          <w:tab w:val="left" w:pos="0"/>
        </w:tabs>
        <w:suppressAutoHyphens/>
        <w:rPr>
          <w:rFonts w:ascii="Arial" w:hAnsi="Arial" w:cs="Arial"/>
          <w:u w:val="single"/>
        </w:rPr>
      </w:pPr>
      <w:r w:rsidRPr="00944260">
        <w:rPr>
          <w:rFonts w:ascii="Arial" w:hAnsi="Arial" w:cs="Arial"/>
          <w:u w:val="single"/>
        </w:rPr>
        <w:t>Administrative Requirements and Legislative Authority for the Fiscal Operations Report and Application to Participate (FISAP) and the Reallocation Form</w:t>
      </w:r>
    </w:p>
    <w:p w:rsidR="004607B9" w:rsidRPr="00944260" w:rsidRDefault="004607B9" w:rsidP="004607B9">
      <w:pPr>
        <w:tabs>
          <w:tab w:val="left" w:pos="0"/>
        </w:tabs>
        <w:suppressAutoHyphens/>
        <w:rPr>
          <w:rFonts w:ascii="Arial" w:hAnsi="Arial" w:cs="Arial"/>
          <w:u w:val="single"/>
        </w:rPr>
      </w:pPr>
    </w:p>
    <w:p w:rsidR="004607B9" w:rsidRPr="00944260" w:rsidRDefault="004607B9" w:rsidP="004607B9">
      <w:pPr>
        <w:tabs>
          <w:tab w:val="left" w:pos="0"/>
        </w:tabs>
        <w:suppressAutoHyphens/>
        <w:rPr>
          <w:rFonts w:ascii="Arial" w:hAnsi="Arial" w:cs="Arial"/>
        </w:rPr>
      </w:pPr>
      <w:r w:rsidRPr="00944260">
        <w:rPr>
          <w:rFonts w:ascii="Arial" w:hAnsi="Arial" w:cs="Arial"/>
        </w:rPr>
        <w:t>FISAP</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The Higher Education Opportunity Act (HEOA) (P.L. 110-315) was enacted on August 14, 2008 and reauthorizes the Higher Education Act of 1965 (HEA), as amended.  It requires participating Title IV institutions to apply for funds and report expenditures for the Federal Perkins Loan (Perkins), the Federal Supplemental Educational Opportunity Grant (FSEOG) and the Federal Work-Study (FWS) Programs on an annual basis.</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 xml:space="preserve">The data submitted electronically in the Fiscal Operations Report and Application to Participate (FISAP) is used by the Department of Education (the Department) to determine the institution’s funding need for the award year and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8" w:history="1">
        <w:r w:rsidRPr="00944260">
          <w:rPr>
            <w:rStyle w:val="Hyperlink"/>
            <w:rFonts w:ascii="Arial" w:hAnsi="Arial" w:cs="Arial"/>
          </w:rPr>
          <w:t>http://www2.ed.gov/about/offices/list/ope/library.html</w:t>
        </w:r>
      </w:hyperlink>
      <w:r w:rsidRPr="00944260">
        <w:rPr>
          <w:rFonts w:ascii="Arial" w:hAnsi="Arial" w:cs="Arial"/>
        </w:rPr>
        <w:t xml:space="preserve">. </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The legislative authority governing the application for the distribution of Perkins funds is 20 U.S.C. 1087bb (34 CFR 673.3); for FWS funds it is 42 U.S.C. 2752 (34 CFR 673.3); and for FSEOG funds it is 20 U.S.C. 107b-3 (34 CFR 673.3).</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lastRenderedPageBreak/>
        <w:t>The legislative authority governing the annual report on the uses made of funds provided under the previous sections is (20 U.S. C. 1094) enacted October 3, 1980, P.L. 96-374, sec. 451(a), 94 Stat. 1451; amended April 7, 1986, P.L. 99-272, sec. 16034, 100 Stat.356; amended October 17, 1986, P.L. 99-498, sec. 487(a), 100 Stat. 1486.</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Reallocation Form</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The HEA requires that if an institution anticipates not using all of its allocated funds for the Perkins, FWS, and FSEOG programs by the end of an award year, it must specify the anticipated remaining unused amount to the Secretary, who reduces the institution’s allocation accordingly.  Unused amounts are reported in Section A of the Reallocation Form.</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 xml:space="preserve">The HEA also requires the Secretary to reallocate these unexpended funds before the appropriations expire on September 30, immediately following their release in this form.  The data collected in Section B provides the minimum information needed by the Secretary to determine a fair and equitable distribution of supplemental FWS allocations for the purpose of furthering the program’s community service goals. </w:t>
      </w:r>
    </w:p>
    <w:p w:rsidR="004607B9" w:rsidRPr="00944260" w:rsidRDefault="004607B9" w:rsidP="004607B9">
      <w:pPr>
        <w:suppressAutoHyphens/>
        <w:rPr>
          <w:rFonts w:ascii="Arial" w:hAnsi="Arial" w:cs="Arial"/>
        </w:rPr>
      </w:pPr>
    </w:p>
    <w:p w:rsidR="004607B9" w:rsidRPr="00944260" w:rsidRDefault="004607B9" w:rsidP="004607B9">
      <w:pPr>
        <w:suppressAutoHyphens/>
        <w:rPr>
          <w:rFonts w:ascii="Arial" w:hAnsi="Arial" w:cs="Arial"/>
          <w:u w:val="single"/>
        </w:rPr>
      </w:pPr>
      <w:r w:rsidRPr="00944260">
        <w:rPr>
          <w:rFonts w:ascii="Arial" w:hAnsi="Arial" w:cs="Arial"/>
          <w:u w:val="single"/>
        </w:rPr>
        <w:t>Changes being made to the FISAP and Reallocation Form Collections</w:t>
      </w:r>
    </w:p>
    <w:p w:rsidR="004607B9" w:rsidRPr="00944260" w:rsidRDefault="004607B9" w:rsidP="004607B9">
      <w:pPr>
        <w:suppressAutoHyphens/>
        <w:rPr>
          <w:rFonts w:ascii="Arial" w:hAnsi="Arial" w:cs="Arial"/>
          <w:u w:val="single"/>
        </w:rPr>
      </w:pPr>
    </w:p>
    <w:p w:rsidR="004607B9" w:rsidRDefault="004607B9" w:rsidP="004607B9">
      <w:pPr>
        <w:suppressAutoHyphens/>
        <w:rPr>
          <w:rFonts w:ascii="Arial" w:hAnsi="Arial" w:cs="Arial"/>
        </w:rPr>
      </w:pPr>
      <w:r w:rsidRPr="00944260">
        <w:rPr>
          <w:rFonts w:ascii="Arial" w:hAnsi="Arial" w:cs="Arial"/>
        </w:rPr>
        <w:t>The forms and instructions are rolled over annually to accommodate the next cycle.  The deadline dates and award year references are being updated.</w:t>
      </w:r>
      <w:r>
        <w:rPr>
          <w:rFonts w:ascii="Arial" w:hAnsi="Arial" w:cs="Arial"/>
        </w:rPr>
        <w:t xml:space="preserve">  </w:t>
      </w:r>
    </w:p>
    <w:p w:rsidR="004607B9" w:rsidRDefault="004607B9" w:rsidP="004607B9">
      <w:pPr>
        <w:suppressAutoHyphens/>
        <w:rPr>
          <w:rFonts w:ascii="Arial" w:hAnsi="Arial" w:cs="Arial"/>
        </w:rPr>
      </w:pPr>
    </w:p>
    <w:p w:rsidR="004607B9" w:rsidRDefault="004607B9" w:rsidP="004607B9">
      <w:pPr>
        <w:suppressAutoHyphens/>
        <w:rPr>
          <w:rFonts w:ascii="Arial" w:hAnsi="Arial" w:cs="Arial"/>
        </w:rPr>
      </w:pPr>
      <w:r>
        <w:rPr>
          <w:rFonts w:ascii="Arial" w:hAnsi="Arial" w:cs="Arial"/>
        </w:rPr>
        <w:t>The data items being changed are on the FISAP form are at Part II, Section E, fields 23(a), 23(b), and 23(c) are being removed because the ACG and National SMART Grant programs have been eliminated.  The data collection now only pertains to Pell and field 23 has been reverted back to the single data item as it was before ACG and SMART.</w:t>
      </w:r>
    </w:p>
    <w:p w:rsidR="004607B9" w:rsidRDefault="004607B9" w:rsidP="004607B9">
      <w:pPr>
        <w:suppressAutoHyphens/>
        <w:rPr>
          <w:rFonts w:ascii="Arial" w:hAnsi="Arial" w:cs="Arial"/>
        </w:rPr>
      </w:pPr>
    </w:p>
    <w:p w:rsidR="004607B9" w:rsidRPr="00944260" w:rsidRDefault="004607B9" w:rsidP="004607B9">
      <w:pPr>
        <w:suppressAutoHyphens/>
        <w:rPr>
          <w:rFonts w:ascii="Arial" w:hAnsi="Arial" w:cs="Arial"/>
        </w:rPr>
      </w:pPr>
      <w:r>
        <w:rPr>
          <w:rFonts w:ascii="Arial" w:hAnsi="Arial" w:cs="Arial"/>
        </w:rPr>
        <w:t>There are no data items being changed on the Reallocation Form.</w:t>
      </w:r>
    </w:p>
    <w:p w:rsidR="004607B9" w:rsidRPr="00944260" w:rsidRDefault="004607B9" w:rsidP="004607B9">
      <w:pPr>
        <w:suppressAutoHyphens/>
        <w:rPr>
          <w:rFonts w:ascii="Arial" w:hAnsi="Arial" w:cs="Arial"/>
        </w:rPr>
      </w:pPr>
    </w:p>
    <w:p w:rsidR="004607B9" w:rsidRPr="00944260" w:rsidRDefault="004607B9" w:rsidP="004607B9">
      <w:pPr>
        <w:suppressAutoHyphens/>
        <w:rPr>
          <w:rFonts w:ascii="Arial" w:hAnsi="Arial" w:cs="Arial"/>
        </w:rPr>
      </w:pPr>
      <w:r w:rsidRPr="00944260">
        <w:rPr>
          <w:rFonts w:ascii="Arial" w:hAnsi="Arial" w:cs="Arial"/>
        </w:rPr>
        <w:t>Additionally, the FISAP Instructions are being updated to correct some minor typographical errors and clarify instructions as described by part:</w:t>
      </w:r>
    </w:p>
    <w:p w:rsidR="004607B9" w:rsidRPr="00944260" w:rsidRDefault="004607B9" w:rsidP="004607B9">
      <w:pPr>
        <w:suppressAutoHyphen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8028"/>
      </w:tblGrid>
      <w:tr w:rsidR="004607B9" w:rsidRPr="00944260" w:rsidTr="0063671C">
        <w:tc>
          <w:tcPr>
            <w:tcW w:w="1548" w:type="dxa"/>
          </w:tcPr>
          <w:p w:rsidR="004607B9" w:rsidRPr="00944260" w:rsidRDefault="004607B9" w:rsidP="0063671C">
            <w:pPr>
              <w:suppressAutoHyphens/>
              <w:rPr>
                <w:rFonts w:ascii="Arial" w:hAnsi="Arial" w:cs="Arial"/>
              </w:rPr>
            </w:pPr>
            <w:r w:rsidRPr="00944260">
              <w:rPr>
                <w:rFonts w:ascii="Arial" w:hAnsi="Arial" w:cs="Arial"/>
              </w:rPr>
              <w:t>FISAP Part</w:t>
            </w:r>
          </w:p>
        </w:tc>
        <w:tc>
          <w:tcPr>
            <w:tcW w:w="8028" w:type="dxa"/>
          </w:tcPr>
          <w:p w:rsidR="004607B9" w:rsidRPr="00944260" w:rsidRDefault="004607B9" w:rsidP="0063671C">
            <w:pPr>
              <w:suppressAutoHyphens/>
              <w:rPr>
                <w:rFonts w:ascii="Arial" w:hAnsi="Arial" w:cs="Arial"/>
              </w:rPr>
            </w:pPr>
            <w:r w:rsidRPr="00944260">
              <w:rPr>
                <w:rFonts w:ascii="Arial" w:hAnsi="Arial" w:cs="Arial"/>
              </w:rPr>
              <w:t>Description</w:t>
            </w:r>
          </w:p>
        </w:tc>
      </w:tr>
      <w:tr w:rsidR="004607B9" w:rsidRPr="00944260" w:rsidTr="0063671C">
        <w:tc>
          <w:tcPr>
            <w:tcW w:w="1548" w:type="dxa"/>
          </w:tcPr>
          <w:p w:rsidR="004607B9" w:rsidRPr="00944260" w:rsidRDefault="004607B9" w:rsidP="0063671C">
            <w:pPr>
              <w:suppressAutoHyphens/>
              <w:rPr>
                <w:rFonts w:ascii="Arial" w:hAnsi="Arial" w:cs="Arial"/>
              </w:rPr>
            </w:pPr>
            <w:r w:rsidRPr="00944260">
              <w:rPr>
                <w:rFonts w:ascii="Arial" w:hAnsi="Arial" w:cs="Arial"/>
              </w:rPr>
              <w:t>Introduction</w:t>
            </w:r>
          </w:p>
        </w:tc>
        <w:tc>
          <w:tcPr>
            <w:tcW w:w="8028" w:type="dxa"/>
          </w:tcPr>
          <w:p w:rsidR="004607B9" w:rsidRDefault="004607B9" w:rsidP="0063671C">
            <w:pPr>
              <w:numPr>
                <w:ilvl w:val="0"/>
                <w:numId w:val="11"/>
              </w:numPr>
              <w:suppressAutoHyphens/>
              <w:rPr>
                <w:rFonts w:ascii="Arial" w:hAnsi="Arial" w:cs="Arial"/>
              </w:rPr>
            </w:pPr>
            <w:r w:rsidRPr="00944260">
              <w:rPr>
                <w:rFonts w:ascii="Arial" w:hAnsi="Arial" w:cs="Arial"/>
              </w:rPr>
              <w:t xml:space="preserve">Updated deadline dates.  </w:t>
            </w:r>
          </w:p>
          <w:p w:rsidR="004607B9" w:rsidRDefault="004607B9" w:rsidP="0063671C">
            <w:pPr>
              <w:numPr>
                <w:ilvl w:val="0"/>
                <w:numId w:val="11"/>
              </w:numPr>
              <w:suppressAutoHyphens/>
              <w:rPr>
                <w:rFonts w:ascii="Arial" w:hAnsi="Arial" w:cs="Arial"/>
              </w:rPr>
            </w:pPr>
            <w:r w:rsidRPr="00944260">
              <w:rPr>
                <w:rFonts w:ascii="Arial" w:hAnsi="Arial" w:cs="Arial"/>
              </w:rPr>
              <w:t>Updated the Paperwork Burden Statement.</w:t>
            </w:r>
            <w:r>
              <w:rPr>
                <w:rFonts w:ascii="Arial" w:hAnsi="Arial" w:cs="Arial"/>
              </w:rPr>
              <w:t xml:space="preserve">  </w:t>
            </w:r>
          </w:p>
          <w:p w:rsidR="004607B9" w:rsidRPr="00944260" w:rsidRDefault="004607B9" w:rsidP="0063671C">
            <w:pPr>
              <w:numPr>
                <w:ilvl w:val="0"/>
                <w:numId w:val="11"/>
              </w:numPr>
              <w:suppressAutoHyphens/>
              <w:rPr>
                <w:rFonts w:ascii="Arial" w:hAnsi="Arial" w:cs="Arial"/>
              </w:rPr>
            </w:pPr>
            <w:r>
              <w:rPr>
                <w:rFonts w:ascii="Arial" w:hAnsi="Arial" w:cs="Arial"/>
              </w:rPr>
              <w:t xml:space="preserve">Added a </w:t>
            </w:r>
            <w:r w:rsidRPr="006B52C2">
              <w:rPr>
                <w:rFonts w:ascii="Arial" w:hAnsi="Arial" w:cs="Arial"/>
              </w:rPr>
              <w:t>paragraph explaining how cross-over payment periods</w:t>
            </w:r>
            <w:r>
              <w:rPr>
                <w:rFonts w:ascii="Arial" w:hAnsi="Arial" w:cs="Arial"/>
              </w:rPr>
              <w:t xml:space="preserve"> affect FISAP reporting</w:t>
            </w:r>
            <w:r w:rsidRPr="006B52C2">
              <w:rPr>
                <w:rFonts w:ascii="Arial" w:hAnsi="Arial" w:cs="Arial"/>
              </w:rPr>
              <w:t>.</w:t>
            </w:r>
          </w:p>
        </w:tc>
      </w:tr>
      <w:tr w:rsidR="004607B9" w:rsidRPr="00944260" w:rsidTr="0063671C">
        <w:tc>
          <w:tcPr>
            <w:tcW w:w="1548" w:type="dxa"/>
          </w:tcPr>
          <w:p w:rsidR="004607B9" w:rsidRPr="00944260" w:rsidRDefault="004607B9" w:rsidP="0063671C">
            <w:pPr>
              <w:suppressAutoHyphens/>
              <w:rPr>
                <w:rFonts w:ascii="Arial" w:hAnsi="Arial" w:cs="Arial"/>
              </w:rPr>
            </w:pPr>
            <w:r w:rsidRPr="00944260">
              <w:rPr>
                <w:rFonts w:ascii="Arial" w:hAnsi="Arial" w:cs="Arial"/>
              </w:rPr>
              <w:t>Part I</w:t>
            </w:r>
          </w:p>
        </w:tc>
        <w:tc>
          <w:tcPr>
            <w:tcW w:w="8028" w:type="dxa"/>
          </w:tcPr>
          <w:p w:rsidR="004607B9" w:rsidRPr="00944260" w:rsidRDefault="004607B9" w:rsidP="0063671C">
            <w:pPr>
              <w:suppressAutoHyphens/>
              <w:rPr>
                <w:rFonts w:ascii="Arial" w:hAnsi="Arial" w:cs="Arial"/>
              </w:rPr>
            </w:pPr>
            <w:r>
              <w:rPr>
                <w:rFonts w:ascii="Arial" w:hAnsi="Arial" w:cs="Arial"/>
              </w:rPr>
              <w:t>No changes.</w:t>
            </w:r>
          </w:p>
        </w:tc>
      </w:tr>
      <w:tr w:rsidR="004607B9" w:rsidRPr="00944260" w:rsidTr="0063671C">
        <w:tc>
          <w:tcPr>
            <w:tcW w:w="1548" w:type="dxa"/>
          </w:tcPr>
          <w:p w:rsidR="004607B9" w:rsidRPr="00944260" w:rsidRDefault="004607B9" w:rsidP="0063671C">
            <w:pPr>
              <w:suppressAutoHyphens/>
              <w:rPr>
                <w:rFonts w:ascii="Arial" w:hAnsi="Arial" w:cs="Arial"/>
              </w:rPr>
            </w:pPr>
            <w:r w:rsidRPr="00944260">
              <w:rPr>
                <w:rFonts w:ascii="Arial" w:hAnsi="Arial" w:cs="Arial"/>
              </w:rPr>
              <w:t>Part II</w:t>
            </w:r>
          </w:p>
        </w:tc>
        <w:tc>
          <w:tcPr>
            <w:tcW w:w="8028" w:type="dxa"/>
          </w:tcPr>
          <w:p w:rsidR="004607B9" w:rsidRDefault="004607B9" w:rsidP="0063671C">
            <w:pPr>
              <w:numPr>
                <w:ilvl w:val="0"/>
                <w:numId w:val="12"/>
              </w:numPr>
              <w:suppressAutoHyphens/>
              <w:rPr>
                <w:rFonts w:ascii="Arial" w:hAnsi="Arial" w:cs="Arial"/>
              </w:rPr>
            </w:pPr>
            <w:r>
              <w:rPr>
                <w:rFonts w:ascii="Arial" w:hAnsi="Arial" w:cs="Arial"/>
              </w:rPr>
              <w:t>A</w:t>
            </w:r>
            <w:r w:rsidRPr="006B52C2">
              <w:rPr>
                <w:rFonts w:ascii="Arial" w:hAnsi="Arial" w:cs="Arial"/>
              </w:rPr>
              <w:t xml:space="preserve">dded </w:t>
            </w:r>
            <w:r>
              <w:rPr>
                <w:rFonts w:ascii="Arial" w:hAnsi="Arial" w:cs="Arial"/>
              </w:rPr>
              <w:t xml:space="preserve">a note </w:t>
            </w:r>
            <w:r w:rsidRPr="006B52C2">
              <w:rPr>
                <w:rFonts w:ascii="Arial" w:hAnsi="Arial" w:cs="Arial"/>
              </w:rPr>
              <w:t>to provide a reference for further explanation concerning “full time and less than full time” enrollment.</w:t>
            </w:r>
            <w:r>
              <w:rPr>
                <w:rFonts w:ascii="Arial" w:hAnsi="Arial" w:cs="Arial"/>
              </w:rPr>
              <w:t xml:space="preserve">  </w:t>
            </w:r>
          </w:p>
          <w:p w:rsidR="004607B9" w:rsidRDefault="004607B9" w:rsidP="0063671C">
            <w:pPr>
              <w:numPr>
                <w:ilvl w:val="0"/>
                <w:numId w:val="12"/>
              </w:numPr>
              <w:suppressAutoHyphens/>
              <w:rPr>
                <w:rFonts w:ascii="Arial" w:hAnsi="Arial" w:cs="Arial"/>
              </w:rPr>
            </w:pPr>
            <w:r>
              <w:rPr>
                <w:rFonts w:ascii="Arial" w:hAnsi="Arial" w:cs="Arial"/>
              </w:rPr>
              <w:t xml:space="preserve">Removed ACG and SMART references.  </w:t>
            </w:r>
          </w:p>
          <w:p w:rsidR="004607B9" w:rsidRDefault="004607B9" w:rsidP="0063671C">
            <w:pPr>
              <w:numPr>
                <w:ilvl w:val="0"/>
                <w:numId w:val="12"/>
              </w:numPr>
              <w:suppressAutoHyphens/>
              <w:rPr>
                <w:rFonts w:ascii="Arial" w:hAnsi="Arial" w:cs="Arial"/>
              </w:rPr>
            </w:pPr>
            <w:r>
              <w:rPr>
                <w:rFonts w:ascii="Arial" w:hAnsi="Arial" w:cs="Arial"/>
              </w:rPr>
              <w:t xml:space="preserve">Removed references to LEAP/SLEAP as those programs are no </w:t>
            </w:r>
            <w:r>
              <w:rPr>
                <w:rFonts w:ascii="Arial" w:hAnsi="Arial" w:cs="Arial"/>
              </w:rPr>
              <w:lastRenderedPageBreak/>
              <w:t xml:space="preserve">longer funded.  </w:t>
            </w:r>
          </w:p>
          <w:p w:rsidR="004607B9" w:rsidRPr="00944260" w:rsidRDefault="004607B9" w:rsidP="0063671C">
            <w:pPr>
              <w:numPr>
                <w:ilvl w:val="0"/>
                <w:numId w:val="12"/>
              </w:numPr>
              <w:suppressAutoHyphens/>
              <w:rPr>
                <w:rFonts w:ascii="Arial" w:hAnsi="Arial" w:cs="Arial"/>
              </w:rPr>
            </w:pPr>
            <w:r>
              <w:rPr>
                <w:rFonts w:ascii="Arial" w:hAnsi="Arial" w:cs="Arial"/>
              </w:rPr>
              <w:t>Updated instructions for accessing EDExpress FISAP Dependent and Eligible Independent student reports.</w:t>
            </w:r>
          </w:p>
        </w:tc>
      </w:tr>
      <w:tr w:rsidR="004607B9" w:rsidRPr="00944260" w:rsidTr="0063671C">
        <w:tc>
          <w:tcPr>
            <w:tcW w:w="1548" w:type="dxa"/>
          </w:tcPr>
          <w:p w:rsidR="004607B9" w:rsidRPr="00944260" w:rsidRDefault="004607B9" w:rsidP="0063671C">
            <w:pPr>
              <w:suppressAutoHyphens/>
              <w:rPr>
                <w:rFonts w:ascii="Arial" w:hAnsi="Arial" w:cs="Arial"/>
              </w:rPr>
            </w:pPr>
            <w:r w:rsidRPr="00944260">
              <w:rPr>
                <w:rFonts w:ascii="Arial" w:hAnsi="Arial" w:cs="Arial"/>
              </w:rPr>
              <w:lastRenderedPageBreak/>
              <w:t>Part III</w:t>
            </w:r>
          </w:p>
        </w:tc>
        <w:tc>
          <w:tcPr>
            <w:tcW w:w="8028" w:type="dxa"/>
          </w:tcPr>
          <w:p w:rsidR="004607B9" w:rsidRDefault="004607B9" w:rsidP="0063671C">
            <w:pPr>
              <w:numPr>
                <w:ilvl w:val="0"/>
                <w:numId w:val="13"/>
              </w:numPr>
              <w:suppressAutoHyphens/>
              <w:rPr>
                <w:rFonts w:ascii="Arial" w:hAnsi="Arial" w:cs="Arial"/>
              </w:rPr>
            </w:pPr>
            <w:r>
              <w:rPr>
                <w:rFonts w:ascii="Arial" w:hAnsi="Arial" w:cs="Arial"/>
              </w:rPr>
              <w:t>Added a note to reference the most</w:t>
            </w:r>
            <w:r w:rsidRPr="006B52C2">
              <w:rPr>
                <w:rFonts w:ascii="Arial" w:hAnsi="Arial" w:cs="Arial"/>
              </w:rPr>
              <w:t xml:space="preserve"> recent Electronic Announcement concerning the Federal Perkins Loan portfolio liquidation and P</w:t>
            </w:r>
            <w:r>
              <w:rPr>
                <w:rFonts w:ascii="Arial" w:hAnsi="Arial" w:cs="Arial"/>
              </w:rPr>
              <w:t xml:space="preserve">erkins Loan assignment process.  </w:t>
            </w:r>
          </w:p>
          <w:p w:rsidR="004607B9" w:rsidRDefault="004607B9" w:rsidP="0063671C">
            <w:pPr>
              <w:numPr>
                <w:ilvl w:val="0"/>
                <w:numId w:val="13"/>
              </w:numPr>
              <w:suppressAutoHyphens/>
              <w:rPr>
                <w:rFonts w:ascii="Arial" w:hAnsi="Arial" w:cs="Arial"/>
              </w:rPr>
            </w:pPr>
            <w:r>
              <w:rPr>
                <w:rFonts w:ascii="Arial" w:hAnsi="Arial" w:cs="Arial"/>
              </w:rPr>
              <w:t xml:space="preserve">Added a note </w:t>
            </w:r>
            <w:r w:rsidRPr="006B52C2">
              <w:rPr>
                <w:rFonts w:ascii="Arial" w:hAnsi="Arial" w:cs="Arial"/>
              </w:rPr>
              <w:t>concerning Federal Perkins loan Service cancellation reimbursement for 2010-2011 in the event that they are not funded in the current budget.</w:t>
            </w:r>
            <w:r>
              <w:rPr>
                <w:rFonts w:ascii="Arial" w:hAnsi="Arial" w:cs="Arial"/>
              </w:rPr>
              <w:t xml:space="preserve">  </w:t>
            </w:r>
          </w:p>
          <w:p w:rsidR="004607B9" w:rsidRDefault="004607B9" w:rsidP="0063671C">
            <w:pPr>
              <w:numPr>
                <w:ilvl w:val="0"/>
                <w:numId w:val="13"/>
              </w:numPr>
              <w:suppressAutoHyphens/>
              <w:rPr>
                <w:rFonts w:ascii="Arial" w:hAnsi="Arial" w:cs="Arial"/>
              </w:rPr>
            </w:pPr>
            <w:r>
              <w:rPr>
                <w:rFonts w:ascii="Arial" w:hAnsi="Arial" w:cs="Arial"/>
              </w:rPr>
              <w:t>Updated Total and Permanent Disability Servicer information.</w:t>
            </w:r>
          </w:p>
          <w:p w:rsidR="004607B9" w:rsidRDefault="004607B9" w:rsidP="0063671C">
            <w:pPr>
              <w:numPr>
                <w:ilvl w:val="0"/>
                <w:numId w:val="13"/>
              </w:numPr>
              <w:suppressAutoHyphens/>
              <w:rPr>
                <w:rFonts w:ascii="Arial" w:hAnsi="Arial" w:cs="Arial"/>
              </w:rPr>
            </w:pPr>
            <w:r>
              <w:rPr>
                <w:rFonts w:ascii="Arial" w:hAnsi="Arial" w:cs="Arial"/>
              </w:rPr>
              <w:t xml:space="preserve">Added a note </w:t>
            </w:r>
            <w:r w:rsidRPr="006B52C2">
              <w:rPr>
                <w:rFonts w:ascii="Arial" w:hAnsi="Arial" w:cs="Arial"/>
              </w:rPr>
              <w:t>to remind schools that they must have a Perkins Loan Level of Expenditure from the Department for the award year in order to transfer FWS funds to the Federal Perkins Loan Program</w:t>
            </w:r>
            <w:r>
              <w:rPr>
                <w:rFonts w:ascii="Arial" w:hAnsi="Arial" w:cs="Arial"/>
              </w:rPr>
              <w:t>.</w:t>
            </w:r>
          </w:p>
          <w:p w:rsidR="004607B9" w:rsidRPr="00C816F5" w:rsidRDefault="004607B9" w:rsidP="0063671C">
            <w:pPr>
              <w:numPr>
                <w:ilvl w:val="0"/>
                <w:numId w:val="13"/>
              </w:numPr>
              <w:suppressAutoHyphens/>
              <w:rPr>
                <w:rFonts w:ascii="Arial" w:hAnsi="Arial" w:cs="Arial"/>
              </w:rPr>
            </w:pPr>
            <w:r>
              <w:rPr>
                <w:rFonts w:ascii="Arial" w:hAnsi="Arial" w:cs="Arial"/>
              </w:rPr>
              <w:t xml:space="preserve">Added information to </w:t>
            </w:r>
            <w:r w:rsidRPr="006B52C2">
              <w:rPr>
                <w:rFonts w:ascii="Arial" w:hAnsi="Arial" w:cs="Arial"/>
              </w:rPr>
              <w:t>assist with questions concerning payments received after a Perkins loan has been assigned to the Department due to a Total and Permanent disability Discharge.</w:t>
            </w:r>
          </w:p>
        </w:tc>
      </w:tr>
      <w:tr w:rsidR="004607B9" w:rsidRPr="00944260" w:rsidTr="0063671C">
        <w:tc>
          <w:tcPr>
            <w:tcW w:w="1548" w:type="dxa"/>
          </w:tcPr>
          <w:p w:rsidR="004607B9" w:rsidRPr="00944260" w:rsidRDefault="004607B9" w:rsidP="0063671C">
            <w:pPr>
              <w:suppressAutoHyphens/>
              <w:rPr>
                <w:rFonts w:ascii="Arial" w:hAnsi="Arial" w:cs="Arial"/>
              </w:rPr>
            </w:pPr>
            <w:r w:rsidRPr="00944260">
              <w:rPr>
                <w:rFonts w:ascii="Arial" w:hAnsi="Arial" w:cs="Arial"/>
              </w:rPr>
              <w:t xml:space="preserve">Part </w:t>
            </w:r>
            <w:r>
              <w:rPr>
                <w:rFonts w:ascii="Arial" w:hAnsi="Arial" w:cs="Arial"/>
              </w:rPr>
              <w:t>I</w:t>
            </w:r>
            <w:r w:rsidRPr="00944260">
              <w:rPr>
                <w:rFonts w:ascii="Arial" w:hAnsi="Arial" w:cs="Arial"/>
              </w:rPr>
              <w:t>V</w:t>
            </w:r>
          </w:p>
        </w:tc>
        <w:tc>
          <w:tcPr>
            <w:tcW w:w="8028" w:type="dxa"/>
          </w:tcPr>
          <w:p w:rsidR="004607B9" w:rsidRPr="00944260" w:rsidRDefault="004607B9" w:rsidP="0063671C">
            <w:pPr>
              <w:numPr>
                <w:ilvl w:val="0"/>
                <w:numId w:val="14"/>
              </w:numPr>
              <w:suppressAutoHyphens/>
              <w:rPr>
                <w:rFonts w:ascii="Arial" w:hAnsi="Arial" w:cs="Arial"/>
              </w:rPr>
            </w:pPr>
            <w:r>
              <w:rPr>
                <w:rFonts w:ascii="Arial" w:hAnsi="Arial" w:cs="Arial"/>
              </w:rPr>
              <w:t xml:space="preserve">Added a note </w:t>
            </w:r>
            <w:r w:rsidRPr="006B52C2">
              <w:rPr>
                <w:rFonts w:ascii="Arial" w:hAnsi="Arial" w:cs="Arial"/>
              </w:rPr>
              <w:t>to remind schools that they must award FSEOG funds to students before you may transfer FSEOG funds to FWS.</w:t>
            </w:r>
          </w:p>
        </w:tc>
      </w:tr>
      <w:tr w:rsidR="004607B9" w:rsidRPr="00944260" w:rsidTr="0063671C">
        <w:tc>
          <w:tcPr>
            <w:tcW w:w="1548" w:type="dxa"/>
          </w:tcPr>
          <w:p w:rsidR="004607B9" w:rsidRPr="00944260" w:rsidRDefault="004607B9" w:rsidP="0063671C">
            <w:pPr>
              <w:suppressAutoHyphens/>
              <w:rPr>
                <w:rFonts w:ascii="Arial" w:hAnsi="Arial" w:cs="Arial"/>
              </w:rPr>
            </w:pPr>
            <w:r>
              <w:rPr>
                <w:rFonts w:ascii="Arial" w:hAnsi="Arial" w:cs="Arial"/>
              </w:rPr>
              <w:t>Part V</w:t>
            </w:r>
          </w:p>
        </w:tc>
        <w:tc>
          <w:tcPr>
            <w:tcW w:w="8028" w:type="dxa"/>
          </w:tcPr>
          <w:p w:rsidR="004607B9" w:rsidRPr="00944260" w:rsidRDefault="004607B9" w:rsidP="0063671C">
            <w:pPr>
              <w:numPr>
                <w:ilvl w:val="0"/>
                <w:numId w:val="14"/>
              </w:numPr>
              <w:suppressAutoHyphens/>
              <w:rPr>
                <w:rFonts w:ascii="Arial" w:hAnsi="Arial" w:cs="Arial"/>
              </w:rPr>
            </w:pPr>
            <w:r>
              <w:rPr>
                <w:rFonts w:ascii="Arial" w:hAnsi="Arial" w:cs="Arial"/>
              </w:rPr>
              <w:t xml:space="preserve">Added a note </w:t>
            </w:r>
            <w:r w:rsidRPr="006B52C2">
              <w:rPr>
                <w:rFonts w:ascii="Arial" w:hAnsi="Arial" w:cs="Arial"/>
              </w:rPr>
              <w:t>to remind schools that they must award FWS funds to students before you may transfer funds to FSEOG or Perkins.</w:t>
            </w:r>
          </w:p>
        </w:tc>
      </w:tr>
      <w:tr w:rsidR="004607B9" w:rsidRPr="00944260" w:rsidTr="0063671C">
        <w:tc>
          <w:tcPr>
            <w:tcW w:w="1548" w:type="dxa"/>
          </w:tcPr>
          <w:p w:rsidR="004607B9" w:rsidRDefault="004607B9" w:rsidP="0063671C">
            <w:pPr>
              <w:suppressAutoHyphens/>
              <w:rPr>
                <w:rFonts w:ascii="Arial" w:hAnsi="Arial" w:cs="Arial"/>
              </w:rPr>
            </w:pPr>
            <w:r>
              <w:rPr>
                <w:rFonts w:ascii="Arial" w:hAnsi="Arial" w:cs="Arial"/>
              </w:rPr>
              <w:t>Part VI</w:t>
            </w:r>
          </w:p>
        </w:tc>
        <w:tc>
          <w:tcPr>
            <w:tcW w:w="8028" w:type="dxa"/>
          </w:tcPr>
          <w:p w:rsidR="004607B9" w:rsidRPr="00944260" w:rsidRDefault="004607B9" w:rsidP="0063671C">
            <w:pPr>
              <w:numPr>
                <w:ilvl w:val="0"/>
                <w:numId w:val="14"/>
              </w:numPr>
              <w:suppressAutoHyphens/>
              <w:rPr>
                <w:rFonts w:ascii="Arial" w:hAnsi="Arial" w:cs="Arial"/>
              </w:rPr>
            </w:pPr>
            <w:r>
              <w:rPr>
                <w:rFonts w:ascii="Arial" w:hAnsi="Arial" w:cs="Arial"/>
              </w:rPr>
              <w:t xml:space="preserve">Added a note </w:t>
            </w:r>
            <w:r w:rsidRPr="006B52C2">
              <w:rPr>
                <w:rFonts w:ascii="Arial" w:hAnsi="Arial" w:cs="Arial"/>
              </w:rPr>
              <w:t>to provide a reference for further explanation concerning “full time and less than full time” enrollment.</w:t>
            </w:r>
          </w:p>
        </w:tc>
      </w:tr>
    </w:tbl>
    <w:p w:rsidR="004607B9" w:rsidRPr="00EF7FF5" w:rsidRDefault="004607B9">
      <w:pPr>
        <w:suppressAutoHyphens/>
        <w:rPr>
          <w:rFonts w:ascii="Times New Roman" w:hAnsi="Times New Roman"/>
          <w:szCs w:val="24"/>
        </w:rPr>
      </w:pPr>
    </w:p>
    <w:p w:rsidR="00386054" w:rsidRPr="004607B9" w:rsidRDefault="00386054">
      <w:pPr>
        <w:tabs>
          <w:tab w:val="left" w:pos="-720"/>
        </w:tabs>
        <w:suppressAutoHyphens/>
        <w:rPr>
          <w:rFonts w:ascii="Times New Roman" w:hAnsi="Times New Roman"/>
          <w:b/>
          <w:szCs w:val="24"/>
        </w:rPr>
      </w:pPr>
      <w:r w:rsidRPr="004607B9">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4607B9">
        <w:rPr>
          <w:rFonts w:ascii="Times New Roman" w:hAnsi="Times New Roman"/>
          <w:b/>
          <w:szCs w:val="24"/>
        </w:rPr>
        <w:t xml:space="preserve"> </w:t>
      </w:r>
    </w:p>
    <w:p w:rsidR="00386054" w:rsidRPr="004607B9" w:rsidRDefault="00386054">
      <w:pPr>
        <w:tabs>
          <w:tab w:val="left" w:pos="-720"/>
        </w:tabs>
        <w:suppressAutoHyphens/>
        <w:rPr>
          <w:rFonts w:ascii="Times New Roman" w:hAnsi="Times New Roman"/>
          <w:b/>
          <w:szCs w:val="24"/>
        </w:rPr>
      </w:pPr>
    </w:p>
    <w:p w:rsidR="004607B9" w:rsidRPr="00944260" w:rsidRDefault="004607B9" w:rsidP="004607B9">
      <w:pPr>
        <w:tabs>
          <w:tab w:val="left" w:pos="-720"/>
        </w:tabs>
        <w:suppressAutoHyphens/>
        <w:rPr>
          <w:rFonts w:ascii="Arial" w:hAnsi="Arial" w:cs="Arial"/>
        </w:rPr>
      </w:pPr>
      <w:r w:rsidRPr="00944260">
        <w:rPr>
          <w:rFonts w:ascii="Arial" w:hAnsi="Arial" w:cs="Arial"/>
          <w:u w:val="single"/>
        </w:rPr>
        <w:t>FISAP</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The relative institutional financial need, which is the basis for computing by formula the amount of funds needed by each institution to operate one or more of the Campus-Based Programs during the application year, is determined by the data reported in the form.  The data is used to assess program effectiveness and accountability of fund expenditures under the previously cited authority.  In addition, the data is used in conjunction with institutional program re</w:t>
      </w:r>
      <w:r>
        <w:rPr>
          <w:rFonts w:ascii="Arial" w:hAnsi="Arial" w:cs="Arial"/>
        </w:rPr>
        <w:t>view</w:t>
      </w:r>
      <w:r w:rsidRPr="00944260">
        <w:rPr>
          <w:rFonts w:ascii="Arial" w:hAnsi="Arial" w:cs="Arial"/>
        </w:rPr>
        <w:t>s to help assess the administrative capability of the applicant and enforce compliance.</w:t>
      </w:r>
    </w:p>
    <w:p w:rsidR="004607B9" w:rsidRPr="00944260" w:rsidRDefault="004607B9" w:rsidP="004607B9">
      <w:pPr>
        <w:tabs>
          <w:tab w:val="left" w:pos="-720"/>
        </w:tabs>
        <w:suppressAutoHyphens/>
        <w:rPr>
          <w:rFonts w:ascii="Arial" w:hAnsi="Arial" w:cs="Arial"/>
        </w:rPr>
      </w:pP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Application data provides a standard measure of institutional need used to distribute a level of funds for institutions requesting participation in one or more of the Campus-Based Programs.</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Application data provides a data base that is sufficient, comprehensive and reliable to calculate annual funding formulas based on verifiable data input.</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lastRenderedPageBreak/>
        <w:t>Expenditure data is used to calculate past utilization of funds awarded for assessment of penalties, recovery of unexpended funds, and close-out of awards.</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Data regarding Perkins Lo</w:t>
      </w:r>
      <w:r>
        <w:rPr>
          <w:rFonts w:ascii="Arial" w:hAnsi="Arial" w:cs="Arial"/>
        </w:rPr>
        <w:t>an collection activities are used to</w:t>
      </w:r>
      <w:r w:rsidRPr="00944260">
        <w:rPr>
          <w:rFonts w:ascii="Arial" w:hAnsi="Arial" w:cs="Arial"/>
        </w:rPr>
        <w:t xml:space="preserve"> compute institutional cohort default rates, compile the Federal Perkins Loan Status of Default (Orange Book), and to track issuance of Perkins Loan cancellations for teaching; military; volunteer; law enforcement and corrections officer; child, family and early intervention; nurse and medical technician; pre-K or child care; public defender; fire fighter; Tribal College faculty; librarian; and speech pathology services.</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Data is maintained and made readily available to Department staff and other agencies for analysis, historical research, budget evaluations, audits, program revi</w:t>
      </w:r>
      <w:r>
        <w:rPr>
          <w:rFonts w:ascii="Arial" w:hAnsi="Arial" w:cs="Arial"/>
        </w:rPr>
        <w:t xml:space="preserve">ews, and </w:t>
      </w:r>
      <w:r w:rsidRPr="00944260">
        <w:rPr>
          <w:rFonts w:ascii="Arial" w:hAnsi="Arial" w:cs="Arial"/>
        </w:rPr>
        <w:t>OIG inquiries.</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Pr>
          <w:rFonts w:ascii="Arial" w:hAnsi="Arial" w:cs="Arial"/>
        </w:rPr>
        <w:t xml:space="preserve">The eCB system </w:t>
      </w:r>
      <w:r w:rsidRPr="00944260">
        <w:rPr>
          <w:rFonts w:ascii="Arial" w:hAnsi="Arial" w:cs="Arial"/>
        </w:rPr>
        <w:t xml:space="preserve"> processes all FISAP on the Web information in real-time into the database.  Institutions with outstanding (required) hard-copy signature forms are automatically identified to withhold funding until the forms have been received and validated.</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The data collected is used to identify poorly administered operations that may require on-site monitoring, additional training of staff, or termination of funding in extreme cases.</w:t>
      </w:r>
      <w:r w:rsidRPr="00944260">
        <w:rPr>
          <w:rFonts w:ascii="Arial" w:hAnsi="Arial" w:cs="Arial"/>
        </w:rPr>
        <w:br/>
      </w:r>
    </w:p>
    <w:p w:rsidR="004607B9" w:rsidRPr="00944260" w:rsidRDefault="004607B9" w:rsidP="004607B9">
      <w:pPr>
        <w:tabs>
          <w:tab w:val="left" w:pos="-720"/>
        </w:tabs>
        <w:suppressAutoHyphens/>
        <w:rPr>
          <w:rFonts w:ascii="Arial" w:hAnsi="Arial" w:cs="Arial"/>
        </w:rPr>
      </w:pPr>
      <w:r w:rsidRPr="00944260">
        <w:rPr>
          <w:rFonts w:ascii="Arial" w:hAnsi="Arial" w:cs="Arial"/>
        </w:rPr>
        <w:t>The information collected in this submission enables the Department to comply with legislation that authorizes and appropriates funds for the Campus-Based Programs.</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u w:val="single"/>
        </w:rPr>
        <w:t>Reallocation Form</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The unexpended funds reported in the Reallocation Form are distributed by the Department as supplemental awards to qualifying institutions in accordance with provisions of the HEA.  FWS funds will be awarded to eligible institutions that used at least seven percent of their total FWS funds to compensate students employed as reading tutors to children or in family literacy activities as part of their community-service activities.  Because FWS reallocated funds are distributed on a fair-share basis, institutions must have a fair-share shortfall to receive these funds.  Institutions use the reallocated (supplemental) funds to compensate students employed in community service.  Legislation requires the unexpended funds to be reported and redistributed.  Collection of this information maximizes utilization of the appropriated funds, provides financial aid to needy students, and results in the Department’s compliance with the reallocation provisions of the HEA.</w:t>
      </w:r>
    </w:p>
    <w:p w:rsidR="00386054" w:rsidRPr="00EF7FF5" w:rsidRDefault="00386054">
      <w:pPr>
        <w:tabs>
          <w:tab w:val="left" w:pos="-720"/>
        </w:tabs>
        <w:suppressAutoHyphens/>
        <w:rPr>
          <w:rFonts w:ascii="Times New Roman" w:hAnsi="Times New Roman"/>
          <w:szCs w:val="24"/>
        </w:rPr>
      </w:pPr>
    </w:p>
    <w:p w:rsidR="00386054" w:rsidRPr="004607B9" w:rsidRDefault="00386054">
      <w:pPr>
        <w:tabs>
          <w:tab w:val="left" w:pos="-720"/>
        </w:tabs>
        <w:suppressAutoHyphens/>
        <w:rPr>
          <w:rFonts w:ascii="Times New Roman" w:hAnsi="Times New Roman"/>
          <w:b/>
          <w:szCs w:val="24"/>
        </w:rPr>
      </w:pPr>
      <w:r w:rsidRPr="004607B9">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w:t>
      </w:r>
      <w:r w:rsidRPr="004607B9">
        <w:rPr>
          <w:rFonts w:ascii="Times New Roman" w:hAnsi="Times New Roman"/>
          <w:b/>
          <w:szCs w:val="24"/>
        </w:rPr>
        <w:lastRenderedPageBreak/>
        <w:t>for the decision of adopting this means of collection.  Also describe any consideration given to using technology to reduce burden.</w:t>
      </w:r>
      <w:r w:rsidR="003E285A" w:rsidRPr="004607B9">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For the upcoming award year, institutions will continue to use the Department’s electronic services to participate in the Title IV Programs.  Institutions participating in the Campus-Based Programs must submit FISAP and campus-based funds reallocation data through eCB at </w:t>
      </w:r>
      <w:hyperlink r:id="rId9" w:history="1">
        <w:r w:rsidRPr="00944260">
          <w:rPr>
            <w:rStyle w:val="Hyperlink"/>
            <w:rFonts w:ascii="Arial" w:hAnsi="Arial" w:cs="Arial"/>
          </w:rPr>
          <w:t>https://cbfisap.ed.gov</w:t>
        </w:r>
      </w:hyperlink>
      <w:r w:rsidRPr="00944260">
        <w:rPr>
          <w:rFonts w:ascii="Arial" w:hAnsi="Arial" w:cs="Arial"/>
        </w:rPr>
        <w:t>. The certification signature page is printed locally from eCB.</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eCB processing of both the FISAP and the Reallocation Form has eliminated printing costs, distribution, expense, data entry time, and reduced the cycle time and input errors.  This process reduces institutional burden by using three years of information already contained in the database to provide institutional characteristics to verify funding levels and reduce the number of staff necessary to process the information.</w:t>
      </w:r>
    </w:p>
    <w:p w:rsidR="00386054" w:rsidRPr="00EF7FF5" w:rsidRDefault="00386054">
      <w:pPr>
        <w:tabs>
          <w:tab w:val="left" w:pos="-720"/>
        </w:tabs>
        <w:suppressAutoHyphens/>
        <w:rPr>
          <w:rFonts w:ascii="Times New Roman" w:hAnsi="Times New Roman"/>
          <w:szCs w:val="24"/>
        </w:rPr>
      </w:pPr>
    </w:p>
    <w:p w:rsidR="00386054" w:rsidRPr="004607B9" w:rsidRDefault="00386054">
      <w:pPr>
        <w:tabs>
          <w:tab w:val="left" w:pos="-720"/>
        </w:tabs>
        <w:suppressAutoHyphens/>
        <w:rPr>
          <w:rFonts w:ascii="Times New Roman" w:hAnsi="Times New Roman"/>
          <w:b/>
          <w:szCs w:val="24"/>
        </w:rPr>
      </w:pPr>
      <w:r w:rsidRPr="004607B9">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4607B9" w:rsidRPr="00944260" w:rsidRDefault="004607B9" w:rsidP="004607B9">
      <w:pPr>
        <w:tabs>
          <w:tab w:val="left" w:pos="-720"/>
        </w:tabs>
        <w:suppressAutoHyphens/>
        <w:rPr>
          <w:rFonts w:ascii="Arial" w:hAnsi="Arial" w:cs="Arial"/>
        </w:rPr>
      </w:pPr>
      <w:r w:rsidRPr="00944260">
        <w:rPr>
          <w:rFonts w:ascii="Arial" w:hAnsi="Arial" w:cs="Arial"/>
          <w:u w:val="single"/>
        </w:rPr>
        <w:t>FISAP</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No other agency or system collects the information needed to determine the allocation of campus-based funds.  </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It had been anticipated that some Perkins data could be retrieved from NSLDS.  However, as currently designed, it does not collect Perkins interest data and the timing of the submission of Perkins data to the Department through NSLDS  and the manner in which it is collected limit its use as a substitute for Perkins reporting on the FISAP.   </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Section A of the Perkins Loan Report (FISAP, Part III) contains 89 cells of data.  Section C contains 28 data cells.  NSLDS does not contain sufficient historical information to populate the cells in these two sections which require data to be cumulative from the beginning of an institution’s participation in Perkins.  Section B of the Perkins Loan Report has 15 data cells.  Two cells (loans advanced to students during the report year and principal and interest repaid by the borrowers for the same year) could conceivably be populated with data from NSLDS.  Sections D and E contain Perkins cohort default rate data, which is not currently available from NSLDS. Review of the data needed for completion of the five sections of the Perkins Loan Report and the data available in NSLDS concludes that NSLDS data will not currently provide data that is compatible with either the historical or annual data collected on the FISAP.    </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FSEOG overpayment data is collected in NSLDS, but no FSEOG disbursement data is collected.  No FWS data is collected in NSLDS.  </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NSLDS does not and cannot collect data that would sufficiently correspond to the type of data required from the FISAP for items such as annual award calculations, cohort </w:t>
      </w:r>
      <w:r w:rsidRPr="00944260">
        <w:rPr>
          <w:rFonts w:ascii="Arial" w:hAnsi="Arial" w:cs="Arial"/>
        </w:rPr>
        <w:lastRenderedPageBreak/>
        <w:t>default rate calculations, cumulative collections data, prior year account reconciliation data. At this time, institutions will continue to be required to provide FISAP data in order for the Department to carry out required functions such as the calculation of allocations and Perkins cancellation reimbursements.</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u w:val="single"/>
        </w:rPr>
        <w:t>Reallocation Form</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Similar information as is collected on the Reallocation Form is not available at the time it is needed.  The Department must rely on the information being required by institutions at the end of each award year (June 30).  The reporting and redistribution must be complete prior to September 30, or the authority to obligate these funds will expire.  </w:t>
      </w:r>
    </w:p>
    <w:p w:rsidR="00386054" w:rsidRPr="00EF7FF5" w:rsidRDefault="00386054">
      <w:pPr>
        <w:tabs>
          <w:tab w:val="left" w:pos="-720"/>
        </w:tabs>
        <w:suppressAutoHyphens/>
        <w:rPr>
          <w:rFonts w:ascii="Times New Roman" w:hAnsi="Times New Roman"/>
          <w:szCs w:val="24"/>
        </w:rPr>
      </w:pPr>
    </w:p>
    <w:p w:rsidR="00386054" w:rsidRPr="004607B9" w:rsidRDefault="00386054" w:rsidP="00BD1325">
      <w:pPr>
        <w:rPr>
          <w:rFonts w:ascii="Times New Roman" w:hAnsi="Times New Roman"/>
          <w:b/>
          <w:szCs w:val="24"/>
        </w:rPr>
      </w:pPr>
      <w:r w:rsidRPr="004607B9">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2A0C67" w:rsidRPr="00944260" w:rsidRDefault="002A0C67" w:rsidP="002A0C67">
      <w:pPr>
        <w:tabs>
          <w:tab w:val="left" w:pos="-720"/>
        </w:tabs>
        <w:suppressAutoHyphens/>
        <w:rPr>
          <w:rFonts w:ascii="Arial" w:hAnsi="Arial" w:cs="Arial"/>
        </w:rPr>
      </w:pPr>
      <w:r w:rsidRPr="00944260">
        <w:rPr>
          <w:rFonts w:ascii="Arial" w:hAnsi="Arial" w:cs="Arial"/>
        </w:rPr>
        <w:t>The collection of this information does not involve small businesses or other small entities.  Information is collected from Title IV eligible schools only.</w:t>
      </w:r>
    </w:p>
    <w:p w:rsidR="00386054" w:rsidRPr="00EF7FF5" w:rsidRDefault="00386054">
      <w:pPr>
        <w:pStyle w:val="EndnoteText"/>
        <w:rPr>
          <w:rFonts w:ascii="Times New Roman" w:hAnsi="Times New Roman"/>
          <w:szCs w:val="24"/>
        </w:rPr>
      </w:pPr>
    </w:p>
    <w:p w:rsidR="00386054" w:rsidRPr="002A0C67" w:rsidRDefault="00386054">
      <w:pPr>
        <w:tabs>
          <w:tab w:val="left" w:pos="-720"/>
        </w:tabs>
        <w:suppressAutoHyphens/>
        <w:rPr>
          <w:rFonts w:ascii="Times New Roman" w:hAnsi="Times New Roman"/>
          <w:b/>
          <w:szCs w:val="24"/>
        </w:rPr>
      </w:pPr>
      <w:r w:rsidRPr="002A0C67">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63671C" w:rsidRPr="00944260" w:rsidRDefault="0063671C" w:rsidP="0063671C">
      <w:pPr>
        <w:tabs>
          <w:tab w:val="left" w:pos="-720"/>
        </w:tabs>
        <w:suppressAutoHyphens/>
        <w:rPr>
          <w:rFonts w:ascii="Arial" w:hAnsi="Arial" w:cs="Arial"/>
        </w:rPr>
      </w:pPr>
      <w:r w:rsidRPr="00944260">
        <w:rPr>
          <w:rFonts w:ascii="Arial" w:hAnsi="Arial" w:cs="Arial"/>
          <w:u w:val="single"/>
        </w:rPr>
        <w:t>FISAP</w:t>
      </w:r>
    </w:p>
    <w:p w:rsidR="0063671C" w:rsidRPr="00944260" w:rsidRDefault="0063671C" w:rsidP="0063671C">
      <w:pPr>
        <w:tabs>
          <w:tab w:val="left" w:pos="-720"/>
        </w:tabs>
        <w:suppressAutoHyphens/>
        <w:rPr>
          <w:rFonts w:ascii="Arial" w:hAnsi="Arial" w:cs="Arial"/>
        </w:rPr>
      </w:pPr>
    </w:p>
    <w:p w:rsidR="0063671C" w:rsidRPr="00944260" w:rsidRDefault="0063671C" w:rsidP="0063671C">
      <w:pPr>
        <w:tabs>
          <w:tab w:val="left" w:pos="-720"/>
        </w:tabs>
        <w:suppressAutoHyphens/>
        <w:rPr>
          <w:rFonts w:ascii="Arial" w:hAnsi="Arial" w:cs="Arial"/>
        </w:rPr>
      </w:pPr>
      <w:r w:rsidRPr="00944260">
        <w:rPr>
          <w:rFonts w:ascii="Arial" w:hAnsi="Arial" w:cs="Arial"/>
        </w:rPr>
        <w:t>If the FISAP data collection were not conducted or conducted less frequently, the Department would not be in compliance with authorizing legislation or appropriation legislation which requires annual distribution of appropriated funds on the basis of an annual application from eligible institutions.</w:t>
      </w:r>
    </w:p>
    <w:p w:rsidR="0063671C" w:rsidRPr="00944260" w:rsidRDefault="0063671C" w:rsidP="0063671C">
      <w:pPr>
        <w:tabs>
          <w:tab w:val="left" w:pos="-720"/>
        </w:tabs>
        <w:suppressAutoHyphens/>
        <w:rPr>
          <w:rFonts w:ascii="Arial" w:hAnsi="Arial" w:cs="Arial"/>
        </w:rPr>
      </w:pPr>
    </w:p>
    <w:p w:rsidR="0063671C" w:rsidRPr="00944260" w:rsidRDefault="0063671C" w:rsidP="0063671C">
      <w:pPr>
        <w:tabs>
          <w:tab w:val="left" w:pos="-720"/>
        </w:tabs>
        <w:suppressAutoHyphens/>
        <w:rPr>
          <w:rFonts w:ascii="Arial" w:hAnsi="Arial" w:cs="Arial"/>
        </w:rPr>
      </w:pPr>
      <w:r w:rsidRPr="00944260">
        <w:rPr>
          <w:rFonts w:ascii="Arial" w:hAnsi="Arial" w:cs="Arial"/>
          <w:u w:val="single"/>
        </w:rPr>
        <w:t>Reallocation Form</w:t>
      </w:r>
    </w:p>
    <w:p w:rsidR="0063671C" w:rsidRPr="00944260" w:rsidRDefault="0063671C" w:rsidP="0063671C">
      <w:pPr>
        <w:tabs>
          <w:tab w:val="left" w:pos="-720"/>
        </w:tabs>
        <w:suppressAutoHyphens/>
        <w:rPr>
          <w:rFonts w:ascii="Arial" w:hAnsi="Arial" w:cs="Arial"/>
        </w:rPr>
      </w:pPr>
    </w:p>
    <w:p w:rsidR="00386054" w:rsidRPr="00EF7FF5" w:rsidRDefault="0063671C" w:rsidP="0063671C">
      <w:pPr>
        <w:tabs>
          <w:tab w:val="left" w:pos="-720"/>
        </w:tabs>
        <w:suppressAutoHyphens/>
        <w:rPr>
          <w:rFonts w:ascii="Times New Roman" w:hAnsi="Times New Roman"/>
          <w:szCs w:val="24"/>
        </w:rPr>
      </w:pPr>
      <w:r w:rsidRPr="00944260">
        <w:rPr>
          <w:rFonts w:ascii="Arial" w:hAnsi="Arial" w:cs="Arial"/>
        </w:rPr>
        <w:t>If the data collection on the Reallocation Form were not conducted or conducted less frequently, the authority to redistribute the excess funds would expire on September 30 and the Department would not meet the legislative requirement to reallocate funds.</w:t>
      </w:r>
    </w:p>
    <w:p w:rsidR="00386054" w:rsidRPr="00EF7FF5" w:rsidRDefault="00386054">
      <w:pPr>
        <w:tabs>
          <w:tab w:val="left" w:pos="-720"/>
        </w:tabs>
        <w:suppressAutoHyphens/>
        <w:rPr>
          <w:rFonts w:ascii="Times New Roman" w:hAnsi="Times New Roman"/>
          <w:szCs w:val="24"/>
        </w:rPr>
      </w:pPr>
    </w:p>
    <w:p w:rsidR="00386054" w:rsidRPr="00EE2BCC" w:rsidRDefault="00386054">
      <w:pPr>
        <w:tabs>
          <w:tab w:val="left" w:pos="-720"/>
        </w:tabs>
        <w:suppressAutoHyphens/>
        <w:rPr>
          <w:rFonts w:ascii="Times New Roman" w:hAnsi="Times New Roman"/>
          <w:b/>
          <w:szCs w:val="24"/>
        </w:rPr>
      </w:pPr>
      <w:r w:rsidRPr="00EE2BCC">
        <w:rPr>
          <w:rFonts w:ascii="Times New Roman" w:hAnsi="Times New Roman"/>
          <w:b/>
          <w:szCs w:val="24"/>
        </w:rPr>
        <w:t>7. Explain any special circumstances that would cause an information collection to be conducted in a manner:</w:t>
      </w:r>
    </w:p>
    <w:p w:rsidR="00386054" w:rsidRPr="00EE2BCC" w:rsidRDefault="00386054">
      <w:p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report information to the agency more often than quarterly;</w:t>
      </w:r>
    </w:p>
    <w:p w:rsidR="00386054" w:rsidRPr="00EE2BCC" w:rsidRDefault="00386054">
      <w:pPr>
        <w:numPr>
          <w:ilvl w:val="12"/>
          <w:numId w:val="0"/>
        </w:numPr>
        <w:tabs>
          <w:tab w:val="left" w:pos="-720"/>
        </w:tabs>
        <w:suppressAutoHyphens/>
        <w:ind w:left="340"/>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lastRenderedPageBreak/>
        <w:t>requiring respondents to prepare a written response to a collection of information in fewer than 30 days after receipt of it;</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submit more than an original and two copies of any document;</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retain records, other than health, medical, government contract, grant-in-aid, or tax records for more than three years;</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in connection with a statistical survey, that is not designed to produce valid and reliable results than can be generalized to the universe of study;</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the use of a statistical data classification that has not been reviewed and approved by OMB;</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5322EC" w:rsidRPr="00944260" w:rsidRDefault="005322EC" w:rsidP="005322EC">
      <w:pPr>
        <w:tabs>
          <w:tab w:val="left" w:pos="-720"/>
          <w:tab w:val="left" w:pos="1247"/>
        </w:tabs>
        <w:suppressAutoHyphens/>
        <w:rPr>
          <w:rFonts w:ascii="Arial" w:hAnsi="Arial" w:cs="Arial"/>
        </w:rPr>
      </w:pPr>
      <w:r w:rsidRPr="00944260">
        <w:rPr>
          <w:rFonts w:ascii="Arial" w:hAnsi="Arial" w:cs="Arial"/>
        </w:rPr>
        <w:t>There are no special circumstances inconsistent with these guidelines.</w:t>
      </w:r>
    </w:p>
    <w:p w:rsidR="00386054" w:rsidRPr="00EF7FF5" w:rsidRDefault="00386054">
      <w:pPr>
        <w:tabs>
          <w:tab w:val="left" w:pos="-720"/>
        </w:tabs>
        <w:suppressAutoHyphens/>
        <w:rPr>
          <w:rFonts w:ascii="Times New Roman" w:hAnsi="Times New Roman"/>
          <w:szCs w:val="24"/>
        </w:rPr>
      </w:pPr>
    </w:p>
    <w:p w:rsidR="00386054" w:rsidRPr="005322EC" w:rsidRDefault="001743A5">
      <w:pPr>
        <w:numPr>
          <w:ilvl w:val="0"/>
          <w:numId w:val="2"/>
        </w:numPr>
        <w:tabs>
          <w:tab w:val="left" w:pos="-720"/>
          <w:tab w:val="left" w:pos="375"/>
        </w:tabs>
        <w:suppressAutoHyphens/>
        <w:rPr>
          <w:rFonts w:ascii="Times New Roman" w:hAnsi="Times New Roman"/>
          <w:b/>
          <w:szCs w:val="24"/>
        </w:rPr>
      </w:pPr>
      <w:r w:rsidRPr="005322EC">
        <w:rPr>
          <w:rFonts w:ascii="Times New Roman" w:hAnsi="Times New Roman"/>
          <w:b/>
          <w:szCs w:val="24"/>
        </w:rPr>
        <w:t xml:space="preserve">As </w:t>
      </w:r>
      <w:r w:rsidR="00386054" w:rsidRPr="005322EC">
        <w:rPr>
          <w:rFonts w:ascii="Times New Roman" w:hAnsi="Times New Roman"/>
          <w:b/>
          <w:szCs w:val="24"/>
        </w:rPr>
        <w:t xml:space="preserve">applicable, </w:t>
      </w:r>
      <w:r w:rsidRPr="005322EC">
        <w:rPr>
          <w:rFonts w:ascii="Times New Roman" w:hAnsi="Times New Roman"/>
          <w:b/>
          <w:szCs w:val="24"/>
        </w:rPr>
        <w:t xml:space="preserve">state that the Department has published the 60 and 30 Federal Register notices as </w:t>
      </w:r>
      <w:r w:rsidR="00386054" w:rsidRPr="005322EC">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322EC" w:rsidRDefault="00386054">
      <w:pPr>
        <w:tabs>
          <w:tab w:val="left" w:pos="-720"/>
        </w:tabs>
        <w:suppressAutoHyphens/>
        <w:rPr>
          <w:rStyle w:val="a"/>
          <w:rFonts w:ascii="Times New Roman" w:hAnsi="Times New Roman"/>
          <w:b/>
          <w:szCs w:val="24"/>
        </w:rPr>
      </w:pPr>
    </w:p>
    <w:p w:rsidR="00386054" w:rsidRPr="005322EC" w:rsidRDefault="00386054" w:rsidP="003C29C2">
      <w:pPr>
        <w:tabs>
          <w:tab w:val="left" w:pos="-720"/>
        </w:tabs>
        <w:suppressAutoHyphens/>
        <w:ind w:left="360"/>
        <w:rPr>
          <w:rStyle w:val="a"/>
          <w:rFonts w:ascii="Times New Roman" w:hAnsi="Times New Roman"/>
          <w:b/>
          <w:szCs w:val="24"/>
        </w:rPr>
      </w:pPr>
      <w:r w:rsidRPr="005322EC">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322EC" w:rsidRDefault="00386054">
      <w:pPr>
        <w:tabs>
          <w:tab w:val="left" w:pos="-720"/>
        </w:tabs>
        <w:suppressAutoHyphens/>
        <w:rPr>
          <w:rStyle w:val="a"/>
          <w:rFonts w:ascii="Times New Roman" w:hAnsi="Times New Roman"/>
          <w:b/>
          <w:szCs w:val="24"/>
        </w:rPr>
      </w:pPr>
    </w:p>
    <w:p w:rsidR="00386054" w:rsidRPr="005322EC" w:rsidRDefault="00386054" w:rsidP="003C29C2">
      <w:pPr>
        <w:tabs>
          <w:tab w:val="left" w:pos="-720"/>
        </w:tabs>
        <w:suppressAutoHyphens/>
        <w:ind w:left="360"/>
        <w:rPr>
          <w:rFonts w:ascii="Times New Roman" w:hAnsi="Times New Roman"/>
          <w:b/>
          <w:szCs w:val="24"/>
        </w:rPr>
      </w:pPr>
      <w:r w:rsidRPr="005322EC">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B10A99" w:rsidRDefault="00B10A99">
      <w:pPr>
        <w:rPr>
          <w:rFonts w:ascii="Arial" w:hAnsi="Arial" w:cs="Arial"/>
          <w:u w:val="single"/>
        </w:rPr>
      </w:pPr>
      <w:r>
        <w:rPr>
          <w:rFonts w:ascii="Arial" w:hAnsi="Arial" w:cs="Arial"/>
          <w:u w:val="single"/>
        </w:rPr>
        <w:br w:type="page"/>
      </w:r>
    </w:p>
    <w:p w:rsidR="005322EC" w:rsidRPr="00944260" w:rsidRDefault="005322EC" w:rsidP="005322EC">
      <w:pPr>
        <w:tabs>
          <w:tab w:val="left" w:pos="-720"/>
        </w:tabs>
        <w:suppressAutoHyphens/>
        <w:rPr>
          <w:rFonts w:ascii="Arial" w:hAnsi="Arial" w:cs="Arial"/>
        </w:rPr>
      </w:pPr>
      <w:r w:rsidRPr="00944260">
        <w:rPr>
          <w:rFonts w:ascii="Arial" w:hAnsi="Arial" w:cs="Arial"/>
          <w:u w:val="single"/>
        </w:rPr>
        <w:lastRenderedPageBreak/>
        <w:t>FISAP</w:t>
      </w:r>
    </w:p>
    <w:p w:rsidR="00B10A99" w:rsidRDefault="00B10A99" w:rsidP="005322EC">
      <w:pPr>
        <w:tabs>
          <w:tab w:val="left" w:pos="-720"/>
        </w:tabs>
        <w:suppressAutoHyphens/>
        <w:rPr>
          <w:rFonts w:ascii="Arial" w:hAnsi="Arial" w:cs="Arial"/>
        </w:rPr>
      </w:pPr>
    </w:p>
    <w:p w:rsidR="005322EC" w:rsidRPr="00944260" w:rsidRDefault="005322EC" w:rsidP="005322EC">
      <w:pPr>
        <w:tabs>
          <w:tab w:val="left" w:pos="-720"/>
        </w:tabs>
        <w:suppressAutoHyphens/>
        <w:rPr>
          <w:rFonts w:ascii="Arial" w:hAnsi="Arial" w:cs="Arial"/>
        </w:rPr>
      </w:pPr>
      <w:r w:rsidRPr="00944260">
        <w:rPr>
          <w:rFonts w:ascii="Arial" w:hAnsi="Arial" w:cs="Arial"/>
        </w:rPr>
        <w:t>Campus-Based staff members in both operations and policy areas provide presentations and support for a number of national and regional conferences.  During these activities, staff members take all comments, recommendations, and suggestions made by institutions for use in determining the need for improvement or change to existing policies and procedures.</w:t>
      </w:r>
    </w:p>
    <w:p w:rsidR="005322EC" w:rsidRPr="00944260" w:rsidRDefault="005322EC" w:rsidP="005322EC">
      <w:pPr>
        <w:tabs>
          <w:tab w:val="left" w:pos="-720"/>
        </w:tabs>
        <w:suppressAutoHyphens/>
        <w:rPr>
          <w:rFonts w:ascii="Arial" w:hAnsi="Arial" w:cs="Arial"/>
        </w:rPr>
      </w:pPr>
    </w:p>
    <w:p w:rsidR="005322EC" w:rsidRPr="00944260" w:rsidRDefault="005322EC" w:rsidP="005322EC">
      <w:pPr>
        <w:tabs>
          <w:tab w:val="left" w:pos="-720"/>
        </w:tabs>
        <w:suppressAutoHyphens/>
        <w:rPr>
          <w:rFonts w:ascii="Arial" w:hAnsi="Arial" w:cs="Arial"/>
        </w:rPr>
      </w:pPr>
      <w:r w:rsidRPr="00944260">
        <w:rPr>
          <w:rFonts w:ascii="Arial" w:hAnsi="Arial" w:cs="Arial"/>
        </w:rPr>
        <w:t>Frequent communication with institutions by our Call Center and Campus-Based staff provides additional information on the data being collected and on problems with electronic processing requirements.  Comments from schools are shared with staff members and frequently included as possible upgrades to existing procedures.  Institutions continue to report favorably about the ease in completing and submitting the data electronically.</w:t>
      </w:r>
    </w:p>
    <w:p w:rsidR="005322EC" w:rsidRPr="00944260" w:rsidRDefault="005322EC" w:rsidP="005322EC">
      <w:pPr>
        <w:tabs>
          <w:tab w:val="left" w:pos="-720"/>
        </w:tabs>
        <w:suppressAutoHyphens/>
        <w:rPr>
          <w:rFonts w:ascii="Arial" w:hAnsi="Arial" w:cs="Arial"/>
        </w:rPr>
      </w:pPr>
    </w:p>
    <w:p w:rsidR="005322EC" w:rsidRPr="00944260" w:rsidRDefault="005322EC" w:rsidP="005322EC">
      <w:pPr>
        <w:tabs>
          <w:tab w:val="left" w:pos="-720"/>
        </w:tabs>
        <w:suppressAutoHyphens/>
        <w:rPr>
          <w:rFonts w:ascii="Arial" w:hAnsi="Arial" w:cs="Arial"/>
        </w:rPr>
      </w:pPr>
      <w:r w:rsidRPr="00944260">
        <w:rPr>
          <w:rFonts w:ascii="Arial" w:hAnsi="Arial" w:cs="Arial"/>
        </w:rPr>
        <w:t xml:space="preserve">The Department’s OMB clearance process allows further opportunity for comment on the FISAP through an announcement in the Federal Register at the onset of the clearance process. </w:t>
      </w:r>
      <w:r w:rsidR="00EE1913">
        <w:rPr>
          <w:rFonts w:ascii="Arial" w:hAnsi="Arial" w:cs="Arial"/>
        </w:rPr>
        <w:t xml:space="preserve">The 60 day notice for public comment was published in the Federal Register on December 20, 2011 (Vo. 76, FR 78907). No public comments were received. </w:t>
      </w:r>
      <w:r w:rsidRPr="00944260">
        <w:rPr>
          <w:rFonts w:ascii="Arial" w:hAnsi="Arial" w:cs="Arial"/>
        </w:rPr>
        <w:t>An additional 30-day comment period is provided through another announcement in the Federal Register.  Historically, institutions rarely submit comments on the FISAP.  The Campus-Based Programs have been in operation for more than 40 years, and completion of the annual FISAP is a common practice for institutions.</w:t>
      </w:r>
    </w:p>
    <w:p w:rsidR="005322EC" w:rsidRPr="00944260" w:rsidRDefault="005322EC" w:rsidP="005322EC">
      <w:pPr>
        <w:tabs>
          <w:tab w:val="left" w:pos="-720"/>
        </w:tabs>
        <w:suppressAutoHyphens/>
        <w:rPr>
          <w:rFonts w:ascii="Arial" w:hAnsi="Arial" w:cs="Arial"/>
        </w:rPr>
      </w:pPr>
    </w:p>
    <w:p w:rsidR="005322EC" w:rsidRPr="00944260" w:rsidRDefault="005322EC" w:rsidP="005322EC">
      <w:pPr>
        <w:tabs>
          <w:tab w:val="left" w:pos="-720"/>
        </w:tabs>
        <w:suppressAutoHyphens/>
        <w:rPr>
          <w:rFonts w:ascii="Arial" w:hAnsi="Arial" w:cs="Arial"/>
        </w:rPr>
      </w:pPr>
      <w:r w:rsidRPr="00944260">
        <w:rPr>
          <w:rFonts w:ascii="Arial" w:hAnsi="Arial" w:cs="Arial"/>
          <w:u w:val="single"/>
        </w:rPr>
        <w:t>Reallocation Form</w:t>
      </w:r>
    </w:p>
    <w:p w:rsidR="005322EC" w:rsidRPr="00944260" w:rsidRDefault="005322EC" w:rsidP="005322EC">
      <w:pPr>
        <w:tabs>
          <w:tab w:val="left" w:pos="-720"/>
        </w:tabs>
        <w:suppressAutoHyphens/>
        <w:rPr>
          <w:rFonts w:ascii="Arial" w:hAnsi="Arial" w:cs="Arial"/>
        </w:rPr>
      </w:pPr>
    </w:p>
    <w:p w:rsidR="005322EC" w:rsidRPr="00944260" w:rsidRDefault="005322EC" w:rsidP="005322EC">
      <w:pPr>
        <w:tabs>
          <w:tab w:val="left" w:pos="-720"/>
        </w:tabs>
        <w:suppressAutoHyphens/>
        <w:rPr>
          <w:rFonts w:ascii="Arial" w:hAnsi="Arial" w:cs="Arial"/>
        </w:rPr>
      </w:pPr>
      <w:r w:rsidRPr="00944260">
        <w:rPr>
          <w:rFonts w:ascii="Arial" w:hAnsi="Arial" w:cs="Arial"/>
        </w:rPr>
        <w:t>The reporting of unexpended funds by institutions participating in the Campus-Based Program is required by the HEA.  Institutions submit part of this information annually in the FISAP at a later date.  The collection of this data is frequently discussed a financial aid conferences, and the financial aid community provides unsolicited comments through their contacts with our Call Center and Campus-Based staff members.</w:t>
      </w:r>
    </w:p>
    <w:p w:rsidR="00386054" w:rsidRPr="00EF7FF5" w:rsidRDefault="00386054">
      <w:pPr>
        <w:tabs>
          <w:tab w:val="left" w:pos="-720"/>
        </w:tabs>
        <w:suppressAutoHyphens/>
        <w:rPr>
          <w:rFonts w:ascii="Times New Roman" w:hAnsi="Times New Roman"/>
          <w:szCs w:val="24"/>
        </w:rPr>
      </w:pPr>
    </w:p>
    <w:p w:rsidR="00386054" w:rsidRPr="005322EC" w:rsidRDefault="00386054">
      <w:pPr>
        <w:tabs>
          <w:tab w:val="left" w:pos="-720"/>
        </w:tabs>
        <w:suppressAutoHyphens/>
        <w:rPr>
          <w:rFonts w:ascii="Times New Roman" w:hAnsi="Times New Roman"/>
          <w:b/>
          <w:szCs w:val="24"/>
        </w:rPr>
      </w:pPr>
      <w:r w:rsidRPr="005322EC">
        <w:rPr>
          <w:rFonts w:ascii="Times New Roman" w:hAnsi="Times New Roman"/>
          <w:b/>
          <w:szCs w:val="24"/>
        </w:rPr>
        <w:t xml:space="preserve">9. </w:t>
      </w:r>
      <w:r w:rsidRPr="005322EC">
        <w:rPr>
          <w:rStyle w:val="a"/>
          <w:rFonts w:ascii="Times New Roman" w:hAnsi="Times New Roman"/>
          <w:b/>
          <w:szCs w:val="24"/>
        </w:rPr>
        <w:t>Explain any decision to provide any payment or gift to respondents, other than remuneration of contractors or grantees</w:t>
      </w:r>
      <w:r w:rsidR="003E285A" w:rsidRPr="005322EC">
        <w:rPr>
          <w:rStyle w:val="a"/>
          <w:rFonts w:ascii="Times New Roman" w:hAnsi="Times New Roman"/>
          <w:b/>
          <w:szCs w:val="24"/>
        </w:rPr>
        <w:t xml:space="preserve"> with meaningful justification</w:t>
      </w:r>
      <w:r w:rsidRPr="005322EC">
        <w:rPr>
          <w:rStyle w:val="a"/>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F17976" w:rsidRPr="00944260" w:rsidRDefault="00F17976" w:rsidP="00F17976">
      <w:pPr>
        <w:tabs>
          <w:tab w:val="left" w:pos="-720"/>
        </w:tabs>
        <w:suppressAutoHyphens/>
        <w:rPr>
          <w:rFonts w:ascii="Arial" w:hAnsi="Arial" w:cs="Arial"/>
        </w:rPr>
      </w:pPr>
      <w:r w:rsidRPr="00944260">
        <w:rPr>
          <w:rFonts w:ascii="Arial" w:hAnsi="Arial" w:cs="Arial"/>
        </w:rPr>
        <w:t>There are no payments or gifts to respondents other than the allocation of Federal funds that result from the information collected.</w:t>
      </w:r>
    </w:p>
    <w:p w:rsidR="00386054" w:rsidRPr="00EF7FF5" w:rsidRDefault="00386054">
      <w:pPr>
        <w:tabs>
          <w:tab w:val="left" w:pos="-720"/>
        </w:tabs>
        <w:suppressAutoHyphens/>
        <w:rPr>
          <w:rFonts w:ascii="Times New Roman" w:hAnsi="Times New Roman"/>
          <w:szCs w:val="24"/>
        </w:rPr>
      </w:pPr>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17976">
        <w:rPr>
          <w:rFonts w:ascii="Times New Roman" w:hAnsi="Times New Roman"/>
          <w:b/>
          <w:szCs w:val="24"/>
        </w:rPr>
        <w:t xml:space="preserve"> as indicated on the IC Data Form</w:t>
      </w:r>
      <w:r w:rsidRPr="00F17976">
        <w:rPr>
          <w:rFonts w:ascii="Times New Roman" w:hAnsi="Times New Roman"/>
          <w:b/>
          <w:szCs w:val="24"/>
        </w:rPr>
        <w:t xml:space="preserve">. A confidentiality statement </w:t>
      </w:r>
      <w:r w:rsidRPr="00F17976">
        <w:rPr>
          <w:rFonts w:ascii="Times New Roman" w:hAnsi="Times New Roman"/>
          <w:b/>
          <w:szCs w:val="24"/>
        </w:rPr>
        <w:lastRenderedPageBreak/>
        <w:t xml:space="preserve">with a legal citation that authorizes the </w:t>
      </w:r>
      <w:r w:rsidR="001743A5" w:rsidRPr="00F17976">
        <w:rPr>
          <w:rFonts w:ascii="Times New Roman" w:hAnsi="Times New Roman"/>
          <w:b/>
          <w:szCs w:val="24"/>
        </w:rPr>
        <w:t xml:space="preserve">pledge </w:t>
      </w:r>
      <w:r w:rsidRPr="00F17976">
        <w:rPr>
          <w:rFonts w:ascii="Times New Roman" w:hAnsi="Times New Roman"/>
          <w:b/>
          <w:szCs w:val="24"/>
        </w:rPr>
        <w:t xml:space="preserve">of </w:t>
      </w:r>
      <w:r w:rsidR="001743A5" w:rsidRPr="00F17976">
        <w:rPr>
          <w:rFonts w:ascii="Times New Roman" w:hAnsi="Times New Roman"/>
          <w:b/>
          <w:szCs w:val="24"/>
        </w:rPr>
        <w:t xml:space="preserve">confidentiality </w:t>
      </w:r>
      <w:r w:rsidRPr="00F17976">
        <w:rPr>
          <w:rFonts w:ascii="Times New Roman" w:hAnsi="Times New Roman"/>
          <w:b/>
          <w:szCs w:val="24"/>
        </w:rPr>
        <w:t>should be provided.</w:t>
      </w:r>
      <w:r w:rsidRPr="00F17976">
        <w:rPr>
          <w:rStyle w:val="FootnoteReference"/>
          <w:b/>
          <w:szCs w:val="24"/>
        </w:rPr>
        <w:footnoteReference w:id="2"/>
      </w:r>
      <w:r w:rsidR="001743A5" w:rsidRPr="00F17976">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17976">
        <w:rPr>
          <w:rFonts w:ascii="Times New Roman" w:hAnsi="Times New Roman"/>
          <w:b/>
          <w:szCs w:val="24"/>
        </w:rPr>
        <w:t>s</w:t>
      </w:r>
      <w:r w:rsidR="001743A5" w:rsidRPr="00F17976">
        <w:rPr>
          <w:rFonts w:ascii="Times New Roman" w:hAnsi="Times New Roman"/>
          <w:b/>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F17976" w:rsidRPr="00944260" w:rsidRDefault="00F17976" w:rsidP="00F17976">
      <w:pPr>
        <w:tabs>
          <w:tab w:val="left" w:pos="-720"/>
        </w:tabs>
        <w:suppressAutoHyphens/>
        <w:rPr>
          <w:rFonts w:ascii="Arial" w:hAnsi="Arial" w:cs="Arial"/>
        </w:rPr>
      </w:pPr>
      <w:r>
        <w:rPr>
          <w:rFonts w:ascii="Arial" w:hAnsi="Arial" w:cs="Arial"/>
        </w:rPr>
        <w:t>The Department makes no pledge about the confidentiality of the data</w:t>
      </w:r>
      <w:r w:rsidR="00FD474F">
        <w:rPr>
          <w:rFonts w:ascii="Arial" w:hAnsi="Arial" w:cs="Arial"/>
        </w:rPr>
        <w:t>.</w:t>
      </w:r>
    </w:p>
    <w:p w:rsidR="00386054" w:rsidRPr="00EF7FF5" w:rsidRDefault="00386054">
      <w:pPr>
        <w:tabs>
          <w:tab w:val="left" w:pos="-720"/>
        </w:tabs>
        <w:suppressAutoHyphens/>
        <w:rPr>
          <w:rFonts w:ascii="Times New Roman" w:hAnsi="Times New Roman"/>
          <w:szCs w:val="24"/>
        </w:rPr>
      </w:pPr>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F17976" w:rsidRPr="00944260" w:rsidRDefault="00F17976" w:rsidP="00F17976">
      <w:pPr>
        <w:tabs>
          <w:tab w:val="left" w:pos="-720"/>
        </w:tabs>
        <w:suppressAutoHyphens/>
        <w:rPr>
          <w:rFonts w:ascii="Arial" w:hAnsi="Arial" w:cs="Arial"/>
        </w:rPr>
      </w:pPr>
      <w:r w:rsidRPr="00944260">
        <w:rPr>
          <w:rFonts w:ascii="Arial" w:hAnsi="Arial" w:cs="Arial"/>
        </w:rPr>
        <w:t>No questions of a sensitive nature are asked.</w:t>
      </w:r>
    </w:p>
    <w:p w:rsidR="00F17976" w:rsidRPr="00EF7FF5" w:rsidRDefault="00F17976">
      <w:pPr>
        <w:tabs>
          <w:tab w:val="left" w:pos="-720"/>
        </w:tabs>
        <w:suppressAutoHyphens/>
        <w:rPr>
          <w:rFonts w:ascii="Times New Roman" w:hAnsi="Times New Roman"/>
          <w:szCs w:val="24"/>
        </w:rPr>
      </w:pPr>
    </w:p>
    <w:p w:rsidR="00386054" w:rsidRPr="00F17976" w:rsidRDefault="00386054">
      <w:pPr>
        <w:tabs>
          <w:tab w:val="left" w:pos="-720"/>
        </w:tabs>
        <w:suppressAutoHyphens/>
        <w:rPr>
          <w:rStyle w:val="a"/>
          <w:rFonts w:ascii="Times New Roman" w:hAnsi="Times New Roman"/>
          <w:b/>
          <w:szCs w:val="24"/>
        </w:rPr>
      </w:pPr>
      <w:r w:rsidRPr="00F17976">
        <w:rPr>
          <w:rFonts w:ascii="Times New Roman" w:hAnsi="Times New Roman"/>
          <w:b/>
          <w:szCs w:val="24"/>
        </w:rPr>
        <w:t xml:space="preserve">12. </w:t>
      </w:r>
      <w:r w:rsidRPr="00F17976">
        <w:rPr>
          <w:rStyle w:val="a"/>
          <w:rFonts w:ascii="Times New Roman" w:hAnsi="Times New Roman"/>
          <w:b/>
          <w:szCs w:val="24"/>
        </w:rPr>
        <w:t>Provide estimates of the hour burden of the collection of information.  The statement should:</w:t>
      </w:r>
    </w:p>
    <w:p w:rsidR="00386054" w:rsidRPr="00F17976" w:rsidRDefault="00386054">
      <w:pPr>
        <w:tabs>
          <w:tab w:val="left" w:pos="-720"/>
        </w:tabs>
        <w:suppressAutoHyphens/>
        <w:rPr>
          <w:rStyle w:val="a"/>
          <w:rFonts w:ascii="Times New Roman" w:hAnsi="Times New Roman"/>
          <w:b/>
          <w:szCs w:val="24"/>
        </w:rPr>
      </w:pPr>
    </w:p>
    <w:p w:rsidR="00386054" w:rsidRPr="00F17976" w:rsidRDefault="00386054" w:rsidP="003C29C2">
      <w:pPr>
        <w:numPr>
          <w:ilvl w:val="0"/>
          <w:numId w:val="7"/>
        </w:numPr>
        <w:tabs>
          <w:tab w:val="left" w:pos="-720"/>
          <w:tab w:val="left" w:pos="1247"/>
        </w:tabs>
        <w:suppressAutoHyphens/>
        <w:rPr>
          <w:rStyle w:val="a"/>
          <w:rFonts w:ascii="Times New Roman" w:hAnsi="Times New Roman"/>
          <w:b/>
          <w:szCs w:val="24"/>
        </w:rPr>
      </w:pPr>
      <w:r w:rsidRPr="00F17976">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17976" w:rsidRDefault="00386054" w:rsidP="003C29C2">
      <w:pPr>
        <w:tabs>
          <w:tab w:val="left" w:pos="-720"/>
          <w:tab w:val="left" w:pos="1247"/>
        </w:tabs>
        <w:suppressAutoHyphens/>
        <w:ind w:left="700"/>
        <w:rPr>
          <w:rStyle w:val="a"/>
          <w:rFonts w:ascii="Times New Roman" w:hAnsi="Times New Roman"/>
          <w:b/>
          <w:szCs w:val="24"/>
        </w:rPr>
      </w:pPr>
    </w:p>
    <w:p w:rsidR="00386054" w:rsidRPr="00F17976" w:rsidRDefault="00386054" w:rsidP="003C29C2">
      <w:pPr>
        <w:numPr>
          <w:ilvl w:val="0"/>
          <w:numId w:val="7"/>
        </w:numPr>
        <w:tabs>
          <w:tab w:val="left" w:pos="-720"/>
          <w:tab w:val="left" w:pos="1247"/>
        </w:tabs>
        <w:suppressAutoHyphens/>
        <w:rPr>
          <w:rStyle w:val="a"/>
          <w:rFonts w:ascii="Times New Roman" w:hAnsi="Times New Roman"/>
          <w:b/>
          <w:szCs w:val="24"/>
        </w:rPr>
      </w:pPr>
      <w:r w:rsidRPr="00F17976">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F17976">
        <w:rPr>
          <w:rStyle w:val="a"/>
          <w:rFonts w:ascii="Times New Roman" w:hAnsi="Times New Roman"/>
          <w:b/>
          <w:szCs w:val="24"/>
        </w:rPr>
        <w:t xml:space="preserve">ROCIS </w:t>
      </w:r>
      <w:r w:rsidRPr="00F17976">
        <w:rPr>
          <w:rStyle w:val="a"/>
          <w:rFonts w:ascii="Times New Roman" w:hAnsi="Times New Roman"/>
          <w:b/>
          <w:szCs w:val="24"/>
        </w:rPr>
        <w:t>IC Burden Analysis Table.</w:t>
      </w:r>
      <w:r w:rsidR="00CE72AF" w:rsidRPr="00F17976">
        <w:rPr>
          <w:rStyle w:val="a"/>
          <w:rFonts w:ascii="Times New Roman" w:hAnsi="Times New Roman"/>
          <w:b/>
          <w:szCs w:val="24"/>
        </w:rPr>
        <w:t xml:space="preserve">  (The table should at </w:t>
      </w:r>
      <w:r w:rsidR="003C7F70" w:rsidRPr="00F17976">
        <w:rPr>
          <w:rStyle w:val="a"/>
          <w:rFonts w:ascii="Times New Roman" w:hAnsi="Times New Roman"/>
          <w:b/>
          <w:szCs w:val="24"/>
        </w:rPr>
        <w:t>minimum</w:t>
      </w:r>
      <w:r w:rsidR="00CE72AF" w:rsidRPr="00F17976">
        <w:rPr>
          <w:rStyle w:val="a"/>
          <w:rFonts w:ascii="Times New Roman" w:hAnsi="Times New Roman"/>
          <w:b/>
          <w:szCs w:val="24"/>
        </w:rPr>
        <w:t xml:space="preserve"> include Respondent types, IC activity, Respondent and Responses, Hours/Response, and Total Hours)</w:t>
      </w:r>
    </w:p>
    <w:p w:rsidR="00386054" w:rsidRPr="00F17976" w:rsidRDefault="00386054" w:rsidP="003C29C2">
      <w:pPr>
        <w:tabs>
          <w:tab w:val="left" w:pos="-720"/>
          <w:tab w:val="left" w:pos="1247"/>
        </w:tabs>
        <w:suppressAutoHyphens/>
        <w:rPr>
          <w:rStyle w:val="a"/>
          <w:rFonts w:ascii="Times New Roman" w:hAnsi="Times New Roman"/>
          <w:b/>
          <w:szCs w:val="24"/>
        </w:rPr>
      </w:pPr>
    </w:p>
    <w:p w:rsidR="00386054" w:rsidRPr="00F17976" w:rsidRDefault="00386054" w:rsidP="003C29C2">
      <w:pPr>
        <w:tabs>
          <w:tab w:val="left" w:pos="-720"/>
          <w:tab w:val="left" w:pos="1247"/>
        </w:tabs>
        <w:suppressAutoHyphens/>
        <w:ind w:left="700"/>
        <w:rPr>
          <w:rStyle w:val="a"/>
          <w:rFonts w:ascii="Times New Roman" w:hAnsi="Times New Roman"/>
          <w:b/>
          <w:szCs w:val="24"/>
        </w:rPr>
      </w:pPr>
    </w:p>
    <w:p w:rsidR="00386054" w:rsidRPr="00F17976" w:rsidRDefault="00386054" w:rsidP="008F3062">
      <w:pPr>
        <w:numPr>
          <w:ilvl w:val="0"/>
          <w:numId w:val="7"/>
        </w:numPr>
        <w:tabs>
          <w:tab w:val="left" w:pos="-720"/>
          <w:tab w:val="left" w:pos="1247"/>
        </w:tabs>
        <w:suppressAutoHyphens/>
        <w:rPr>
          <w:rFonts w:ascii="Times New Roman" w:hAnsi="Times New Roman"/>
          <w:b/>
          <w:szCs w:val="24"/>
        </w:rPr>
      </w:pPr>
      <w:r w:rsidRPr="00F17976">
        <w:rPr>
          <w:rStyle w:val="a"/>
          <w:rFonts w:ascii="Times New Roman" w:hAnsi="Times New Roman"/>
          <w:b/>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17976" w:rsidRPr="00944260" w:rsidRDefault="00F17976" w:rsidP="00F17976">
      <w:pPr>
        <w:suppressAutoHyphens/>
        <w:rPr>
          <w:rFonts w:ascii="Arial" w:hAnsi="Arial" w:cs="Arial"/>
        </w:rPr>
      </w:pPr>
      <w:r w:rsidRPr="00944260">
        <w:rPr>
          <w:rFonts w:ascii="Arial" w:hAnsi="Arial" w:cs="Arial"/>
          <w:u w:val="single"/>
        </w:rPr>
        <w:t>FISAP</w:t>
      </w:r>
    </w:p>
    <w:p w:rsidR="00F17976" w:rsidRPr="00944260" w:rsidRDefault="00F17976" w:rsidP="00F17976">
      <w:pPr>
        <w:suppressAutoHyphens/>
        <w:rPr>
          <w:rFonts w:ascii="Arial" w:hAnsi="Arial" w:cs="Arial"/>
        </w:rPr>
      </w:pPr>
    </w:p>
    <w:p w:rsidR="00F17976" w:rsidRPr="00944260" w:rsidRDefault="00F17976" w:rsidP="00F17976">
      <w:pPr>
        <w:suppressAutoHyphens/>
        <w:rPr>
          <w:rFonts w:ascii="Arial" w:hAnsi="Arial" w:cs="Arial"/>
        </w:rPr>
      </w:pPr>
      <w:r w:rsidRPr="00944260">
        <w:rPr>
          <w:rFonts w:ascii="Arial" w:hAnsi="Arial" w:cs="Arial"/>
        </w:rPr>
        <w:t>The FISAP data collection is composed of six parts.  Parts I and II are the application.  Part III is the Federal Perkins Loan Report.  Part IV is the FSEOG Report.  Part V is the FWS Report.  Part VI is the Program Summary.  The range of time required to complete the various parts of the form depends on several variables:  (1) the number of programs in which respondents are currently participating; (2) whether the respondent is a “first-time” or “continuing” applicant; and (3) the type of institution.</w:t>
      </w:r>
    </w:p>
    <w:p w:rsidR="00F17976" w:rsidRPr="00944260" w:rsidRDefault="00F17976" w:rsidP="00F17976">
      <w:pPr>
        <w:suppressAutoHyphens/>
        <w:rPr>
          <w:rFonts w:ascii="Arial" w:hAnsi="Arial" w:cs="Arial"/>
        </w:rPr>
      </w:pPr>
    </w:p>
    <w:p w:rsidR="00F17976" w:rsidRPr="00944260" w:rsidRDefault="00F17976" w:rsidP="00F17976">
      <w:pPr>
        <w:suppressAutoHyphens/>
        <w:rPr>
          <w:rFonts w:ascii="Arial" w:hAnsi="Arial" w:cs="Arial"/>
        </w:rPr>
      </w:pPr>
      <w:r>
        <w:rPr>
          <w:rFonts w:ascii="Arial" w:hAnsi="Arial" w:cs="Arial"/>
        </w:rPr>
        <w:t>We estimate a total of 4081</w:t>
      </w:r>
      <w:r w:rsidRPr="00944260">
        <w:rPr>
          <w:rFonts w:ascii="Arial" w:hAnsi="Arial" w:cs="Arial"/>
        </w:rPr>
        <w:t xml:space="preserve"> FISAP respondents, approximately 100 being “first-time” applicants, with an estimated average response time of </w:t>
      </w:r>
      <w:r>
        <w:rPr>
          <w:rFonts w:ascii="Arial" w:hAnsi="Arial" w:cs="Arial"/>
        </w:rPr>
        <w:t>9.61 hours and a total of 32,943</w:t>
      </w:r>
      <w:r w:rsidRPr="00944260">
        <w:rPr>
          <w:rFonts w:ascii="Arial" w:hAnsi="Arial" w:cs="Arial"/>
        </w:rPr>
        <w:t xml:space="preserve"> hours for all institutions.  Burden hours for new schools are minimal since they are only required to complete the first two parts (Identifying Information, Certification and Warning; and the Application to Participate).</w:t>
      </w:r>
    </w:p>
    <w:p w:rsidR="00F17976" w:rsidRPr="00944260" w:rsidRDefault="00F17976" w:rsidP="00F17976">
      <w:pPr>
        <w:suppressAutoHyphens/>
        <w:rPr>
          <w:rFonts w:ascii="Arial" w:hAnsi="Arial" w:cs="Arial"/>
        </w:rPr>
      </w:pPr>
    </w:p>
    <w:p w:rsidR="00F17976" w:rsidRPr="00944260" w:rsidRDefault="00F17976" w:rsidP="00F17976">
      <w:pPr>
        <w:suppressAutoHyphens/>
        <w:rPr>
          <w:rFonts w:ascii="Arial" w:hAnsi="Arial" w:cs="Arial"/>
        </w:rPr>
      </w:pPr>
      <w:r w:rsidRPr="00944260">
        <w:rPr>
          <w:rFonts w:ascii="Arial" w:hAnsi="Arial" w:cs="Arial"/>
        </w:rPr>
        <w:t xml:space="preserve">Proprietary institutions use less time to prepare the FISAP than public and </w:t>
      </w:r>
      <w:r>
        <w:rPr>
          <w:rFonts w:ascii="Arial" w:hAnsi="Arial" w:cs="Arial"/>
        </w:rPr>
        <w:t xml:space="preserve">private institutions.  A </w:t>
      </w:r>
      <w:r w:rsidRPr="00944260">
        <w:rPr>
          <w:rFonts w:ascii="Arial" w:hAnsi="Arial" w:cs="Arial"/>
        </w:rPr>
        <w:t>random sampling of institutions revealed that proprietary institutions were more likely to use servicers to prepare their FISAP.  Since servicers prepare FISAPS in volume, they tend to keep their computerized data systems updated, and have totally encompassed the Department’s electronic processes into their systems which results in less FISAP preparation time.</w:t>
      </w:r>
    </w:p>
    <w:p w:rsidR="00F17976" w:rsidRPr="00944260" w:rsidRDefault="00F17976" w:rsidP="00F17976">
      <w:pPr>
        <w:suppressAutoHyphens/>
        <w:rPr>
          <w:rFonts w:ascii="Arial" w:hAnsi="Arial" w:cs="Arial"/>
        </w:rPr>
      </w:pPr>
    </w:p>
    <w:p w:rsidR="00F17976" w:rsidRPr="00944260" w:rsidRDefault="00F17976" w:rsidP="00F17976">
      <w:pPr>
        <w:suppressAutoHyphens/>
        <w:rPr>
          <w:rFonts w:ascii="Arial" w:hAnsi="Arial" w:cs="Arial"/>
        </w:rPr>
      </w:pPr>
      <w:r w:rsidRPr="00944260">
        <w:rPr>
          <w:rFonts w:ascii="Arial" w:hAnsi="Arial" w:cs="Arial"/>
        </w:rPr>
        <w:t>Most public and private institutions have restructured their data collection processes so that information is readily accessible to complete the FISAP electronically.  Identifying information is pre-populated on the FISAP from prior year data and common mathematical computations are automatically displayed, which reduces institutional burden.  Data entry and process edits notify users of erroneous data entry or potential data issues.  This assists the data entry, reduces review time, and also reduces institutional burden.</w:t>
      </w:r>
    </w:p>
    <w:p w:rsidR="00F17976" w:rsidRPr="00944260" w:rsidRDefault="00F17976" w:rsidP="00F17976">
      <w:pPr>
        <w:suppressAutoHyphens/>
        <w:rPr>
          <w:rFonts w:ascii="Arial" w:hAnsi="Arial" w:cs="Arial"/>
        </w:rPr>
      </w:pPr>
    </w:p>
    <w:p w:rsidR="00F17976" w:rsidRPr="00944260" w:rsidRDefault="00F17976" w:rsidP="00F17976">
      <w:pPr>
        <w:suppressAutoHyphens/>
        <w:rPr>
          <w:rFonts w:ascii="Arial" w:hAnsi="Arial" w:cs="Arial"/>
        </w:rPr>
      </w:pPr>
      <w:r w:rsidRPr="00944260">
        <w:rPr>
          <w:rFonts w:ascii="Arial" w:hAnsi="Arial" w:cs="Arial"/>
        </w:rPr>
        <w:t>The matrix below shows the respondent participation in the various parts of the submission.  The total amounts shown by institutional type are unduplicated counts.  The part breakdowns under each category of Institution are duplicated counts, based on the variables described above.</w:t>
      </w:r>
    </w:p>
    <w:p w:rsidR="00B10A99" w:rsidRDefault="00B10A99">
      <w:pPr>
        <w:rPr>
          <w:rFonts w:ascii="Arial" w:hAnsi="Arial" w:cs="Arial"/>
        </w:rPr>
      </w:pPr>
      <w:r>
        <w:rPr>
          <w:rFonts w:ascii="Arial" w:hAnsi="Arial" w:cs="Arial"/>
        </w:rPr>
        <w:br w:type="page"/>
      </w:r>
    </w:p>
    <w:p w:rsidR="00F17976" w:rsidRPr="00944260" w:rsidRDefault="00F17976" w:rsidP="00F17976">
      <w:pPr>
        <w:suppressAutoHyphens/>
        <w:rPr>
          <w:rFonts w:ascii="Arial" w:hAnsi="Arial" w:cs="Arial"/>
        </w:rPr>
      </w:pPr>
    </w:p>
    <w:tbl>
      <w:tblPr>
        <w:tblW w:w="0" w:type="auto"/>
        <w:jc w:val="right"/>
        <w:tblInd w:w="-2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8"/>
        <w:gridCol w:w="2172"/>
        <w:gridCol w:w="1710"/>
        <w:gridCol w:w="1638"/>
      </w:tblGrid>
      <w:tr w:rsidR="00F17976" w:rsidRPr="00944260" w:rsidTr="001F2C06">
        <w:trPr>
          <w:jc w:val="right"/>
        </w:trPr>
        <w:tc>
          <w:tcPr>
            <w:tcW w:w="3948" w:type="dxa"/>
            <w:vAlign w:val="bottom"/>
          </w:tcPr>
          <w:p w:rsidR="00F17976" w:rsidRPr="00944260" w:rsidRDefault="00F17976" w:rsidP="001F2C06">
            <w:pPr>
              <w:tabs>
                <w:tab w:val="left" w:pos="0"/>
                <w:tab w:val="left" w:pos="720"/>
              </w:tabs>
              <w:suppressAutoHyphens/>
              <w:rPr>
                <w:b/>
                <w:spacing w:val="-3"/>
              </w:rPr>
            </w:pPr>
            <w:r w:rsidRPr="00944260">
              <w:rPr>
                <w:b/>
                <w:spacing w:val="-3"/>
              </w:rPr>
              <w:t>FISAP Respondent Type by Part</w:t>
            </w:r>
          </w:p>
        </w:tc>
        <w:tc>
          <w:tcPr>
            <w:tcW w:w="2172" w:type="dxa"/>
            <w:vAlign w:val="bottom"/>
          </w:tcPr>
          <w:p w:rsidR="00F17976" w:rsidRPr="00944260" w:rsidRDefault="00F17976" w:rsidP="001F2C06">
            <w:pPr>
              <w:tabs>
                <w:tab w:val="left" w:pos="0"/>
                <w:tab w:val="left" w:pos="720"/>
              </w:tabs>
              <w:suppressAutoHyphens/>
              <w:jc w:val="right"/>
              <w:rPr>
                <w:b/>
                <w:spacing w:val="-3"/>
              </w:rPr>
            </w:pPr>
            <w:r w:rsidRPr="00944260">
              <w:rPr>
                <w:b/>
                <w:spacing w:val="-3"/>
              </w:rPr>
              <w:t>Estimated Number of Respondents</w:t>
            </w:r>
          </w:p>
        </w:tc>
        <w:tc>
          <w:tcPr>
            <w:tcW w:w="1710" w:type="dxa"/>
            <w:vAlign w:val="bottom"/>
          </w:tcPr>
          <w:p w:rsidR="00F17976" w:rsidRPr="00944260" w:rsidRDefault="00F17976" w:rsidP="001F2C06">
            <w:pPr>
              <w:tabs>
                <w:tab w:val="left" w:pos="0"/>
                <w:tab w:val="left" w:pos="720"/>
              </w:tabs>
              <w:suppressAutoHyphens/>
              <w:jc w:val="right"/>
              <w:rPr>
                <w:b/>
                <w:spacing w:val="-3"/>
              </w:rPr>
            </w:pPr>
            <w:r w:rsidRPr="00944260">
              <w:rPr>
                <w:b/>
                <w:spacing w:val="-3"/>
              </w:rPr>
              <w:t>Estimated Person Hours per Respondent</w:t>
            </w:r>
          </w:p>
        </w:tc>
        <w:tc>
          <w:tcPr>
            <w:tcW w:w="1638" w:type="dxa"/>
            <w:vAlign w:val="bottom"/>
          </w:tcPr>
          <w:p w:rsidR="00F17976" w:rsidRPr="00944260" w:rsidRDefault="00F17976" w:rsidP="001F2C06">
            <w:pPr>
              <w:tabs>
                <w:tab w:val="left" w:pos="0"/>
                <w:tab w:val="left" w:pos="720"/>
              </w:tabs>
              <w:suppressAutoHyphens/>
              <w:jc w:val="right"/>
              <w:rPr>
                <w:b/>
                <w:spacing w:val="-3"/>
              </w:rPr>
            </w:pPr>
            <w:r w:rsidRPr="00944260">
              <w:rPr>
                <w:b/>
                <w:spacing w:val="-3"/>
              </w:rPr>
              <w:t>Total Hours</w:t>
            </w:r>
          </w:p>
        </w:tc>
      </w:tr>
      <w:tr w:rsidR="00F17976" w:rsidRPr="00944260" w:rsidTr="001F2C06">
        <w:trPr>
          <w:jc w:val="right"/>
        </w:trPr>
        <w:tc>
          <w:tcPr>
            <w:tcW w:w="3948" w:type="dxa"/>
          </w:tcPr>
          <w:p w:rsidR="00F17976" w:rsidRPr="00944260" w:rsidRDefault="00F17976" w:rsidP="001F2C06">
            <w:pPr>
              <w:tabs>
                <w:tab w:val="left" w:pos="720"/>
              </w:tabs>
              <w:suppressAutoHyphens/>
              <w:ind w:left="-1371"/>
              <w:rPr>
                <w:spacing w:val="-3"/>
              </w:rPr>
            </w:pPr>
          </w:p>
        </w:tc>
        <w:tc>
          <w:tcPr>
            <w:tcW w:w="2172"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r w:rsidRPr="00944260">
              <w:rPr>
                <w:b/>
                <w:spacing w:val="-3"/>
              </w:rPr>
              <w:t>Proprietary</w:t>
            </w:r>
          </w:p>
        </w:tc>
        <w:tc>
          <w:tcPr>
            <w:tcW w:w="2172"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Application</w:t>
            </w:r>
          </w:p>
        </w:tc>
        <w:tc>
          <w:tcPr>
            <w:tcW w:w="2172" w:type="dxa"/>
          </w:tcPr>
          <w:p w:rsidR="00F17976" w:rsidRPr="00944260" w:rsidRDefault="00F17976" w:rsidP="001F2C06">
            <w:pPr>
              <w:tabs>
                <w:tab w:val="left" w:pos="0"/>
                <w:tab w:val="left" w:pos="720"/>
              </w:tabs>
              <w:suppressAutoHyphens/>
              <w:jc w:val="right"/>
              <w:rPr>
                <w:spacing w:val="-3"/>
              </w:rPr>
            </w:pPr>
            <w:r>
              <w:rPr>
                <w:spacing w:val="-3"/>
              </w:rPr>
              <w:t>1073</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1.65</w:t>
            </w:r>
          </w:p>
        </w:tc>
        <w:tc>
          <w:tcPr>
            <w:tcW w:w="1638" w:type="dxa"/>
          </w:tcPr>
          <w:p w:rsidR="00F17976" w:rsidRPr="00944260" w:rsidRDefault="00F17976" w:rsidP="00EC6CC5">
            <w:pPr>
              <w:tabs>
                <w:tab w:val="left" w:pos="0"/>
                <w:tab w:val="left" w:pos="720"/>
              </w:tabs>
              <w:suppressAutoHyphens/>
              <w:jc w:val="right"/>
              <w:rPr>
                <w:spacing w:val="-3"/>
              </w:rPr>
            </w:pPr>
            <w:r>
              <w:rPr>
                <w:spacing w:val="-3"/>
              </w:rPr>
              <w:t>1770</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Federal Perkins Loan</w:t>
            </w:r>
          </w:p>
        </w:tc>
        <w:tc>
          <w:tcPr>
            <w:tcW w:w="2172" w:type="dxa"/>
          </w:tcPr>
          <w:p w:rsidR="00F17976" w:rsidRPr="00944260" w:rsidRDefault="00F17976" w:rsidP="001F2C06">
            <w:pPr>
              <w:tabs>
                <w:tab w:val="left" w:pos="0"/>
                <w:tab w:val="left" w:pos="720"/>
              </w:tabs>
              <w:suppressAutoHyphens/>
              <w:jc w:val="right"/>
              <w:rPr>
                <w:spacing w:val="-3"/>
              </w:rPr>
            </w:pPr>
            <w:r>
              <w:rPr>
                <w:spacing w:val="-3"/>
              </w:rPr>
              <w:t>228</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2.34</w:t>
            </w:r>
          </w:p>
        </w:tc>
        <w:tc>
          <w:tcPr>
            <w:tcW w:w="1638" w:type="dxa"/>
          </w:tcPr>
          <w:p w:rsidR="00F17976" w:rsidRPr="00944260" w:rsidRDefault="00F17976" w:rsidP="00EC6CC5">
            <w:pPr>
              <w:tabs>
                <w:tab w:val="left" w:pos="0"/>
                <w:tab w:val="left" w:pos="720"/>
              </w:tabs>
              <w:suppressAutoHyphens/>
              <w:jc w:val="right"/>
              <w:rPr>
                <w:spacing w:val="-3"/>
              </w:rPr>
            </w:pPr>
            <w:r>
              <w:rPr>
                <w:spacing w:val="-3"/>
              </w:rPr>
              <w:t>533</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FSEOG</w:t>
            </w:r>
          </w:p>
        </w:tc>
        <w:tc>
          <w:tcPr>
            <w:tcW w:w="2172" w:type="dxa"/>
          </w:tcPr>
          <w:p w:rsidR="00F17976" w:rsidRPr="00944260" w:rsidRDefault="00F17976" w:rsidP="001F2C06">
            <w:pPr>
              <w:tabs>
                <w:tab w:val="left" w:pos="0"/>
                <w:tab w:val="left" w:pos="720"/>
              </w:tabs>
              <w:suppressAutoHyphens/>
              <w:jc w:val="right"/>
              <w:rPr>
                <w:spacing w:val="-3"/>
              </w:rPr>
            </w:pPr>
            <w:r>
              <w:rPr>
                <w:spacing w:val="-3"/>
              </w:rPr>
              <w:t>982</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1.35</w:t>
            </w:r>
          </w:p>
        </w:tc>
        <w:tc>
          <w:tcPr>
            <w:tcW w:w="1638" w:type="dxa"/>
          </w:tcPr>
          <w:p w:rsidR="00F17976" w:rsidRPr="00944260" w:rsidRDefault="00F17976" w:rsidP="00EC6CC5">
            <w:pPr>
              <w:tabs>
                <w:tab w:val="left" w:pos="0"/>
                <w:tab w:val="left" w:pos="720"/>
              </w:tabs>
              <w:suppressAutoHyphens/>
              <w:jc w:val="right"/>
              <w:rPr>
                <w:spacing w:val="-3"/>
              </w:rPr>
            </w:pPr>
            <w:r>
              <w:rPr>
                <w:spacing w:val="-3"/>
              </w:rPr>
              <w:t>132</w:t>
            </w:r>
            <w:r w:rsidR="00EC6CC5">
              <w:rPr>
                <w:spacing w:val="-3"/>
              </w:rPr>
              <w:t>6</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FWS</w:t>
            </w:r>
          </w:p>
        </w:tc>
        <w:tc>
          <w:tcPr>
            <w:tcW w:w="2172" w:type="dxa"/>
          </w:tcPr>
          <w:p w:rsidR="00F17976" w:rsidRPr="00944260" w:rsidRDefault="00F17976" w:rsidP="001F2C06">
            <w:pPr>
              <w:tabs>
                <w:tab w:val="left" w:pos="0"/>
                <w:tab w:val="left" w:pos="720"/>
              </w:tabs>
              <w:suppressAutoHyphens/>
              <w:jc w:val="right"/>
              <w:rPr>
                <w:spacing w:val="-3"/>
              </w:rPr>
            </w:pPr>
            <w:r>
              <w:rPr>
                <w:spacing w:val="-3"/>
              </w:rPr>
              <w:t>515</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1.05</w:t>
            </w:r>
          </w:p>
        </w:tc>
        <w:tc>
          <w:tcPr>
            <w:tcW w:w="1638" w:type="dxa"/>
          </w:tcPr>
          <w:p w:rsidR="00F17976" w:rsidRPr="00944260" w:rsidRDefault="00F17976" w:rsidP="00EC6CC5">
            <w:pPr>
              <w:tabs>
                <w:tab w:val="left" w:pos="0"/>
                <w:tab w:val="left" w:pos="720"/>
              </w:tabs>
              <w:suppressAutoHyphens/>
              <w:jc w:val="right"/>
              <w:rPr>
                <w:spacing w:val="-3"/>
              </w:rPr>
            </w:pPr>
            <w:r>
              <w:rPr>
                <w:spacing w:val="-3"/>
              </w:rPr>
              <w:t>54</w:t>
            </w:r>
            <w:r w:rsidR="00EC6CC5">
              <w:rPr>
                <w:spacing w:val="-3"/>
              </w:rPr>
              <w:t>1</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Summary</w:t>
            </w:r>
          </w:p>
        </w:tc>
        <w:tc>
          <w:tcPr>
            <w:tcW w:w="2172" w:type="dxa"/>
          </w:tcPr>
          <w:p w:rsidR="00F17976" w:rsidRPr="00944260" w:rsidRDefault="00F17976" w:rsidP="001F2C06">
            <w:pPr>
              <w:tabs>
                <w:tab w:val="left" w:pos="0"/>
                <w:tab w:val="left" w:pos="720"/>
              </w:tabs>
              <w:suppressAutoHyphens/>
              <w:jc w:val="right"/>
              <w:rPr>
                <w:spacing w:val="-3"/>
              </w:rPr>
            </w:pPr>
            <w:r>
              <w:rPr>
                <w:spacing w:val="-3"/>
              </w:rPr>
              <w:t>978</w:t>
            </w:r>
          </w:p>
        </w:tc>
        <w:tc>
          <w:tcPr>
            <w:tcW w:w="1710" w:type="dxa"/>
            <w:tcBorders>
              <w:bottom w:val="single" w:sz="4" w:space="0" w:color="auto"/>
            </w:tcBorders>
          </w:tcPr>
          <w:p w:rsidR="00F17976" w:rsidRPr="00944260" w:rsidRDefault="00F17976" w:rsidP="001F2C06">
            <w:pPr>
              <w:tabs>
                <w:tab w:val="left" w:pos="0"/>
                <w:tab w:val="left" w:pos="720"/>
              </w:tabs>
              <w:suppressAutoHyphens/>
              <w:jc w:val="right"/>
              <w:rPr>
                <w:spacing w:val="-3"/>
              </w:rPr>
            </w:pPr>
            <w:r w:rsidRPr="00944260">
              <w:rPr>
                <w:spacing w:val="-3"/>
              </w:rPr>
              <w:t>0.45</w:t>
            </w:r>
          </w:p>
        </w:tc>
        <w:tc>
          <w:tcPr>
            <w:tcW w:w="1638" w:type="dxa"/>
          </w:tcPr>
          <w:p w:rsidR="00F17976" w:rsidRPr="00944260" w:rsidRDefault="00F17976" w:rsidP="00EC6CC5">
            <w:pPr>
              <w:tabs>
                <w:tab w:val="left" w:pos="0"/>
                <w:tab w:val="left" w:pos="720"/>
              </w:tabs>
              <w:suppressAutoHyphens/>
              <w:jc w:val="right"/>
              <w:rPr>
                <w:spacing w:val="-3"/>
              </w:rPr>
            </w:pPr>
            <w:r>
              <w:rPr>
                <w:spacing w:val="-3"/>
              </w:rPr>
              <w:t>440</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r w:rsidRPr="00944260">
              <w:rPr>
                <w:b/>
                <w:spacing w:val="-3"/>
              </w:rPr>
              <w:t>Total Proprietary Schools</w:t>
            </w:r>
          </w:p>
        </w:tc>
        <w:tc>
          <w:tcPr>
            <w:tcW w:w="2172" w:type="dxa"/>
          </w:tcPr>
          <w:p w:rsidR="00F17976" w:rsidRPr="00944260" w:rsidRDefault="00F17976" w:rsidP="001F2C06">
            <w:pPr>
              <w:tabs>
                <w:tab w:val="left" w:pos="0"/>
                <w:tab w:val="left" w:pos="720"/>
              </w:tabs>
              <w:suppressAutoHyphens/>
              <w:jc w:val="right"/>
              <w:rPr>
                <w:b/>
                <w:spacing w:val="-3"/>
              </w:rPr>
            </w:pPr>
            <w:r>
              <w:rPr>
                <w:b/>
                <w:spacing w:val="-3"/>
              </w:rPr>
              <w:t>1074</w:t>
            </w:r>
          </w:p>
        </w:tc>
        <w:tc>
          <w:tcPr>
            <w:tcW w:w="1710" w:type="dxa"/>
            <w:shd w:val="clear" w:color="auto" w:fill="D9D9D9"/>
          </w:tcPr>
          <w:p w:rsidR="00F17976" w:rsidRPr="00944260" w:rsidRDefault="00F17976" w:rsidP="001F2C06">
            <w:pPr>
              <w:tabs>
                <w:tab w:val="left" w:pos="0"/>
                <w:tab w:val="left" w:pos="720"/>
              </w:tabs>
              <w:suppressAutoHyphens/>
              <w:jc w:val="right"/>
              <w:rPr>
                <w:b/>
                <w:spacing w:val="-3"/>
              </w:rPr>
            </w:pPr>
            <w:r w:rsidRPr="00944260">
              <w:rPr>
                <w:b/>
                <w:spacing w:val="-3"/>
              </w:rPr>
              <w:t>6.84</w:t>
            </w:r>
          </w:p>
        </w:tc>
        <w:tc>
          <w:tcPr>
            <w:tcW w:w="1638" w:type="dxa"/>
          </w:tcPr>
          <w:p w:rsidR="00F17976" w:rsidRPr="00944260" w:rsidRDefault="00F17976" w:rsidP="00EC6CC5">
            <w:pPr>
              <w:tabs>
                <w:tab w:val="left" w:pos="0"/>
                <w:tab w:val="left" w:pos="720"/>
              </w:tabs>
              <w:suppressAutoHyphens/>
              <w:jc w:val="right"/>
              <w:rPr>
                <w:b/>
                <w:spacing w:val="-3"/>
              </w:rPr>
            </w:pPr>
            <w:r>
              <w:rPr>
                <w:b/>
                <w:spacing w:val="-3"/>
              </w:rPr>
              <w:t>4610</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p>
        </w:tc>
        <w:tc>
          <w:tcPr>
            <w:tcW w:w="2172"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r w:rsidRPr="00944260">
              <w:rPr>
                <w:b/>
                <w:spacing w:val="-3"/>
              </w:rPr>
              <w:t>Public</w:t>
            </w:r>
          </w:p>
        </w:tc>
        <w:tc>
          <w:tcPr>
            <w:tcW w:w="2172"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Application</w:t>
            </w:r>
          </w:p>
        </w:tc>
        <w:tc>
          <w:tcPr>
            <w:tcW w:w="2172" w:type="dxa"/>
          </w:tcPr>
          <w:p w:rsidR="00F17976" w:rsidRPr="00944260" w:rsidRDefault="00F17976" w:rsidP="001F2C06">
            <w:pPr>
              <w:tabs>
                <w:tab w:val="left" w:pos="0"/>
                <w:tab w:val="left" w:pos="720"/>
              </w:tabs>
              <w:suppressAutoHyphens/>
              <w:jc w:val="right"/>
              <w:rPr>
                <w:spacing w:val="-3"/>
              </w:rPr>
            </w:pPr>
            <w:r>
              <w:rPr>
                <w:spacing w:val="-3"/>
              </w:rPr>
              <w:t>1547</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2.88</w:t>
            </w:r>
          </w:p>
        </w:tc>
        <w:tc>
          <w:tcPr>
            <w:tcW w:w="1638" w:type="dxa"/>
          </w:tcPr>
          <w:p w:rsidR="00F17976" w:rsidRPr="00944260" w:rsidRDefault="00F17976" w:rsidP="00EC6CC5">
            <w:pPr>
              <w:tabs>
                <w:tab w:val="left" w:pos="0"/>
                <w:tab w:val="left" w:pos="720"/>
              </w:tabs>
              <w:suppressAutoHyphens/>
              <w:jc w:val="right"/>
              <w:rPr>
                <w:spacing w:val="-3"/>
              </w:rPr>
            </w:pPr>
            <w:r>
              <w:rPr>
                <w:spacing w:val="-3"/>
              </w:rPr>
              <w:t>4455</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Federal Perkins Loan</w:t>
            </w:r>
          </w:p>
        </w:tc>
        <w:tc>
          <w:tcPr>
            <w:tcW w:w="2172" w:type="dxa"/>
          </w:tcPr>
          <w:p w:rsidR="00F17976" w:rsidRPr="00944260" w:rsidRDefault="00F17976" w:rsidP="001F2C06">
            <w:pPr>
              <w:tabs>
                <w:tab w:val="left" w:pos="0"/>
                <w:tab w:val="left" w:pos="720"/>
              </w:tabs>
              <w:suppressAutoHyphens/>
              <w:jc w:val="right"/>
              <w:rPr>
                <w:spacing w:val="-3"/>
              </w:rPr>
            </w:pPr>
            <w:r>
              <w:rPr>
                <w:spacing w:val="-3"/>
              </w:rPr>
              <w:t>763</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3.58</w:t>
            </w:r>
          </w:p>
        </w:tc>
        <w:tc>
          <w:tcPr>
            <w:tcW w:w="1638" w:type="dxa"/>
          </w:tcPr>
          <w:p w:rsidR="00F17976" w:rsidRPr="00944260" w:rsidRDefault="00F17976" w:rsidP="00EC6CC5">
            <w:pPr>
              <w:tabs>
                <w:tab w:val="left" w:pos="0"/>
                <w:tab w:val="left" w:pos="720"/>
              </w:tabs>
              <w:suppressAutoHyphens/>
              <w:jc w:val="right"/>
              <w:rPr>
                <w:spacing w:val="-3"/>
              </w:rPr>
            </w:pPr>
            <w:r>
              <w:rPr>
                <w:spacing w:val="-3"/>
              </w:rPr>
              <w:t>2731</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FSEOG</w:t>
            </w:r>
          </w:p>
        </w:tc>
        <w:tc>
          <w:tcPr>
            <w:tcW w:w="2172" w:type="dxa"/>
          </w:tcPr>
          <w:p w:rsidR="00F17976" w:rsidRPr="00944260" w:rsidRDefault="00F17976" w:rsidP="001F2C06">
            <w:pPr>
              <w:tabs>
                <w:tab w:val="left" w:pos="0"/>
                <w:tab w:val="left" w:pos="720"/>
              </w:tabs>
              <w:suppressAutoHyphens/>
              <w:jc w:val="right"/>
              <w:rPr>
                <w:spacing w:val="-3"/>
              </w:rPr>
            </w:pPr>
            <w:r>
              <w:rPr>
                <w:spacing w:val="-3"/>
              </w:rPr>
              <w:t>1518</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1.90</w:t>
            </w:r>
          </w:p>
        </w:tc>
        <w:tc>
          <w:tcPr>
            <w:tcW w:w="1638" w:type="dxa"/>
          </w:tcPr>
          <w:p w:rsidR="00F17976" w:rsidRPr="00944260" w:rsidRDefault="00F17976" w:rsidP="00EC6CC5">
            <w:pPr>
              <w:tabs>
                <w:tab w:val="left" w:pos="0"/>
                <w:tab w:val="left" w:pos="720"/>
              </w:tabs>
              <w:suppressAutoHyphens/>
              <w:jc w:val="right"/>
              <w:rPr>
                <w:spacing w:val="-3"/>
              </w:rPr>
            </w:pPr>
            <w:r>
              <w:rPr>
                <w:spacing w:val="-3"/>
              </w:rPr>
              <w:t>2884</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FWS</w:t>
            </w:r>
          </w:p>
        </w:tc>
        <w:tc>
          <w:tcPr>
            <w:tcW w:w="2172" w:type="dxa"/>
          </w:tcPr>
          <w:p w:rsidR="00F17976" w:rsidRPr="00944260" w:rsidRDefault="00F17976" w:rsidP="001F2C06">
            <w:pPr>
              <w:tabs>
                <w:tab w:val="left" w:pos="0"/>
                <w:tab w:val="left" w:pos="720"/>
              </w:tabs>
              <w:suppressAutoHyphens/>
              <w:jc w:val="right"/>
              <w:rPr>
                <w:spacing w:val="-3"/>
              </w:rPr>
            </w:pPr>
            <w:r>
              <w:rPr>
                <w:spacing w:val="-3"/>
              </w:rPr>
              <w:t>1495</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2.59</w:t>
            </w:r>
          </w:p>
        </w:tc>
        <w:tc>
          <w:tcPr>
            <w:tcW w:w="1638" w:type="dxa"/>
          </w:tcPr>
          <w:p w:rsidR="00F17976" w:rsidRPr="00944260" w:rsidRDefault="00F17976" w:rsidP="00EC6CC5">
            <w:pPr>
              <w:tabs>
                <w:tab w:val="left" w:pos="0"/>
                <w:tab w:val="left" w:pos="720"/>
              </w:tabs>
              <w:suppressAutoHyphens/>
              <w:jc w:val="right"/>
              <w:rPr>
                <w:spacing w:val="-3"/>
              </w:rPr>
            </w:pPr>
            <w:r>
              <w:rPr>
                <w:spacing w:val="-3"/>
              </w:rPr>
              <w:t>3872</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Summary</w:t>
            </w:r>
          </w:p>
        </w:tc>
        <w:tc>
          <w:tcPr>
            <w:tcW w:w="2172" w:type="dxa"/>
          </w:tcPr>
          <w:p w:rsidR="00F17976" w:rsidRPr="00944260" w:rsidRDefault="00F17976" w:rsidP="001F2C06">
            <w:pPr>
              <w:tabs>
                <w:tab w:val="left" w:pos="0"/>
                <w:tab w:val="left" w:pos="720"/>
              </w:tabs>
              <w:suppressAutoHyphens/>
              <w:jc w:val="right"/>
              <w:rPr>
                <w:spacing w:val="-3"/>
              </w:rPr>
            </w:pPr>
            <w:r>
              <w:rPr>
                <w:spacing w:val="-3"/>
              </w:rPr>
              <w:t>1532</w:t>
            </w:r>
          </w:p>
        </w:tc>
        <w:tc>
          <w:tcPr>
            <w:tcW w:w="1710" w:type="dxa"/>
            <w:tcBorders>
              <w:bottom w:val="single" w:sz="4" w:space="0" w:color="auto"/>
            </w:tcBorders>
          </w:tcPr>
          <w:p w:rsidR="00F17976" w:rsidRPr="00944260" w:rsidRDefault="00F17976" w:rsidP="001F2C06">
            <w:pPr>
              <w:tabs>
                <w:tab w:val="left" w:pos="0"/>
                <w:tab w:val="left" w:pos="720"/>
              </w:tabs>
              <w:suppressAutoHyphens/>
              <w:jc w:val="right"/>
              <w:rPr>
                <w:spacing w:val="-3"/>
              </w:rPr>
            </w:pPr>
            <w:r w:rsidRPr="00944260">
              <w:rPr>
                <w:spacing w:val="-3"/>
              </w:rPr>
              <w:t>1.52</w:t>
            </w:r>
          </w:p>
        </w:tc>
        <w:tc>
          <w:tcPr>
            <w:tcW w:w="1638" w:type="dxa"/>
          </w:tcPr>
          <w:p w:rsidR="00F17976" w:rsidRPr="00944260" w:rsidRDefault="00F17976" w:rsidP="00EC6CC5">
            <w:pPr>
              <w:tabs>
                <w:tab w:val="left" w:pos="0"/>
                <w:tab w:val="left" w:pos="720"/>
              </w:tabs>
              <w:suppressAutoHyphens/>
              <w:jc w:val="right"/>
              <w:rPr>
                <w:spacing w:val="-3"/>
              </w:rPr>
            </w:pPr>
            <w:r>
              <w:rPr>
                <w:spacing w:val="-3"/>
              </w:rPr>
              <w:t>232</w:t>
            </w:r>
            <w:r w:rsidR="00EC6CC5">
              <w:rPr>
                <w:spacing w:val="-3"/>
              </w:rPr>
              <w:t>9</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r w:rsidRPr="00944260">
              <w:rPr>
                <w:b/>
                <w:spacing w:val="-3"/>
              </w:rPr>
              <w:t>Total Public Schools</w:t>
            </w:r>
          </w:p>
        </w:tc>
        <w:tc>
          <w:tcPr>
            <w:tcW w:w="2172" w:type="dxa"/>
          </w:tcPr>
          <w:p w:rsidR="00F17976" w:rsidRPr="00944260" w:rsidRDefault="00F17976" w:rsidP="001F2C06">
            <w:pPr>
              <w:tabs>
                <w:tab w:val="left" w:pos="0"/>
                <w:tab w:val="left" w:pos="720"/>
              </w:tabs>
              <w:suppressAutoHyphens/>
              <w:jc w:val="right"/>
              <w:rPr>
                <w:b/>
                <w:spacing w:val="-3"/>
              </w:rPr>
            </w:pPr>
            <w:r>
              <w:rPr>
                <w:b/>
                <w:spacing w:val="-3"/>
              </w:rPr>
              <w:t>1547</w:t>
            </w:r>
          </w:p>
        </w:tc>
        <w:tc>
          <w:tcPr>
            <w:tcW w:w="1710" w:type="dxa"/>
            <w:shd w:val="clear" w:color="auto" w:fill="D9D9D9"/>
          </w:tcPr>
          <w:p w:rsidR="00F17976" w:rsidRPr="00944260" w:rsidRDefault="00F17976" w:rsidP="001F2C06">
            <w:pPr>
              <w:tabs>
                <w:tab w:val="left" w:pos="0"/>
                <w:tab w:val="left" w:pos="720"/>
              </w:tabs>
              <w:suppressAutoHyphens/>
              <w:jc w:val="right"/>
              <w:rPr>
                <w:b/>
                <w:spacing w:val="-3"/>
              </w:rPr>
            </w:pPr>
            <w:r w:rsidRPr="00944260">
              <w:rPr>
                <w:b/>
                <w:spacing w:val="-3"/>
              </w:rPr>
              <w:t>12.47</w:t>
            </w:r>
          </w:p>
        </w:tc>
        <w:tc>
          <w:tcPr>
            <w:tcW w:w="1638" w:type="dxa"/>
          </w:tcPr>
          <w:p w:rsidR="00F17976" w:rsidRPr="00944260" w:rsidRDefault="00F17976" w:rsidP="00EC6CC5">
            <w:pPr>
              <w:tabs>
                <w:tab w:val="left" w:pos="0"/>
                <w:tab w:val="left" w:pos="720"/>
              </w:tabs>
              <w:suppressAutoHyphens/>
              <w:jc w:val="right"/>
              <w:rPr>
                <w:b/>
                <w:spacing w:val="-3"/>
              </w:rPr>
            </w:pPr>
            <w:r>
              <w:rPr>
                <w:b/>
                <w:spacing w:val="-3"/>
              </w:rPr>
              <w:t>16271</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p>
        </w:tc>
        <w:tc>
          <w:tcPr>
            <w:tcW w:w="2172"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r w:rsidRPr="00944260">
              <w:rPr>
                <w:b/>
                <w:spacing w:val="-3"/>
              </w:rPr>
              <w:t>Private</w:t>
            </w:r>
          </w:p>
        </w:tc>
        <w:tc>
          <w:tcPr>
            <w:tcW w:w="2172"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Application</w:t>
            </w:r>
          </w:p>
        </w:tc>
        <w:tc>
          <w:tcPr>
            <w:tcW w:w="2172" w:type="dxa"/>
          </w:tcPr>
          <w:p w:rsidR="00F17976" w:rsidRPr="00944260" w:rsidRDefault="00F17976" w:rsidP="001F2C06">
            <w:pPr>
              <w:tabs>
                <w:tab w:val="left" w:pos="0"/>
                <w:tab w:val="left" w:pos="720"/>
              </w:tabs>
              <w:suppressAutoHyphens/>
              <w:jc w:val="right"/>
              <w:rPr>
                <w:spacing w:val="-3"/>
              </w:rPr>
            </w:pPr>
            <w:r>
              <w:rPr>
                <w:spacing w:val="-3"/>
              </w:rPr>
              <w:t>1460</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2.45</w:t>
            </w:r>
          </w:p>
        </w:tc>
        <w:tc>
          <w:tcPr>
            <w:tcW w:w="1638" w:type="dxa"/>
          </w:tcPr>
          <w:p w:rsidR="00F17976" w:rsidRPr="00944260" w:rsidRDefault="00F17976" w:rsidP="00EC6CC5">
            <w:pPr>
              <w:tabs>
                <w:tab w:val="left" w:pos="0"/>
                <w:tab w:val="left" w:pos="720"/>
              </w:tabs>
              <w:suppressAutoHyphens/>
              <w:jc w:val="right"/>
              <w:rPr>
                <w:spacing w:val="-3"/>
              </w:rPr>
            </w:pPr>
            <w:r>
              <w:rPr>
                <w:spacing w:val="-3"/>
              </w:rPr>
              <w:t>3577</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Federal Perkins Loan</w:t>
            </w:r>
          </w:p>
        </w:tc>
        <w:tc>
          <w:tcPr>
            <w:tcW w:w="2172" w:type="dxa"/>
          </w:tcPr>
          <w:p w:rsidR="00F17976" w:rsidRPr="00944260" w:rsidRDefault="00F17976" w:rsidP="001F2C06">
            <w:pPr>
              <w:tabs>
                <w:tab w:val="left" w:pos="0"/>
                <w:tab w:val="left" w:pos="720"/>
              </w:tabs>
              <w:suppressAutoHyphens/>
              <w:jc w:val="right"/>
              <w:rPr>
                <w:spacing w:val="-3"/>
              </w:rPr>
            </w:pPr>
            <w:r>
              <w:rPr>
                <w:spacing w:val="-3"/>
              </w:rPr>
              <w:t>1004</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3.15</w:t>
            </w:r>
          </w:p>
        </w:tc>
        <w:tc>
          <w:tcPr>
            <w:tcW w:w="1638" w:type="dxa"/>
          </w:tcPr>
          <w:p w:rsidR="00F17976" w:rsidRPr="00944260" w:rsidRDefault="00F17976" w:rsidP="00EC6CC5">
            <w:pPr>
              <w:tabs>
                <w:tab w:val="left" w:pos="0"/>
                <w:tab w:val="left" w:pos="720"/>
              </w:tabs>
              <w:suppressAutoHyphens/>
              <w:jc w:val="right"/>
              <w:rPr>
                <w:spacing w:val="-3"/>
              </w:rPr>
            </w:pPr>
            <w:r>
              <w:rPr>
                <w:spacing w:val="-3"/>
              </w:rPr>
              <w:t>316</w:t>
            </w:r>
            <w:r w:rsidR="00EC6CC5">
              <w:rPr>
                <w:spacing w:val="-3"/>
              </w:rPr>
              <w:t>3</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FSEOG</w:t>
            </w:r>
          </w:p>
        </w:tc>
        <w:tc>
          <w:tcPr>
            <w:tcW w:w="2172" w:type="dxa"/>
          </w:tcPr>
          <w:p w:rsidR="00F17976" w:rsidRPr="00944260" w:rsidRDefault="00F17976" w:rsidP="001F2C06">
            <w:pPr>
              <w:tabs>
                <w:tab w:val="left" w:pos="0"/>
                <w:tab w:val="left" w:pos="720"/>
              </w:tabs>
              <w:suppressAutoHyphens/>
              <w:jc w:val="right"/>
              <w:rPr>
                <w:spacing w:val="-3"/>
              </w:rPr>
            </w:pPr>
            <w:r>
              <w:rPr>
                <w:spacing w:val="-3"/>
              </w:rPr>
              <w:t>1314</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1.31</w:t>
            </w:r>
          </w:p>
        </w:tc>
        <w:tc>
          <w:tcPr>
            <w:tcW w:w="1638" w:type="dxa"/>
          </w:tcPr>
          <w:p w:rsidR="00F17976" w:rsidRPr="00944260" w:rsidRDefault="00F17976" w:rsidP="00EC6CC5">
            <w:pPr>
              <w:tabs>
                <w:tab w:val="left" w:pos="0"/>
                <w:tab w:val="left" w:pos="720"/>
              </w:tabs>
              <w:suppressAutoHyphens/>
              <w:jc w:val="right"/>
              <w:rPr>
                <w:spacing w:val="-3"/>
              </w:rPr>
            </w:pPr>
            <w:r>
              <w:rPr>
                <w:spacing w:val="-3"/>
              </w:rPr>
              <w:t>1721</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FWS</w:t>
            </w:r>
          </w:p>
        </w:tc>
        <w:tc>
          <w:tcPr>
            <w:tcW w:w="2172" w:type="dxa"/>
          </w:tcPr>
          <w:p w:rsidR="00F17976" w:rsidRPr="00944260" w:rsidRDefault="00F17976" w:rsidP="001F2C06">
            <w:pPr>
              <w:tabs>
                <w:tab w:val="left" w:pos="0"/>
                <w:tab w:val="left" w:pos="720"/>
              </w:tabs>
              <w:suppressAutoHyphens/>
              <w:jc w:val="right"/>
              <w:rPr>
                <w:spacing w:val="-3"/>
              </w:rPr>
            </w:pPr>
            <w:r>
              <w:rPr>
                <w:spacing w:val="-3"/>
              </w:rPr>
              <w:t>1354</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1.69</w:t>
            </w:r>
          </w:p>
        </w:tc>
        <w:tc>
          <w:tcPr>
            <w:tcW w:w="1638" w:type="dxa"/>
          </w:tcPr>
          <w:p w:rsidR="00F17976" w:rsidRPr="00944260" w:rsidRDefault="00F17976" w:rsidP="00EC6CC5">
            <w:pPr>
              <w:tabs>
                <w:tab w:val="left" w:pos="0"/>
                <w:tab w:val="left" w:pos="720"/>
              </w:tabs>
              <w:suppressAutoHyphens/>
              <w:jc w:val="right"/>
              <w:rPr>
                <w:spacing w:val="-3"/>
              </w:rPr>
            </w:pPr>
            <w:r>
              <w:rPr>
                <w:spacing w:val="-3"/>
              </w:rPr>
              <w:t>2288</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spacing w:val="-3"/>
              </w:rPr>
            </w:pPr>
            <w:r w:rsidRPr="00944260">
              <w:rPr>
                <w:spacing w:val="-3"/>
              </w:rPr>
              <w:t>Summary</w:t>
            </w:r>
          </w:p>
        </w:tc>
        <w:tc>
          <w:tcPr>
            <w:tcW w:w="2172" w:type="dxa"/>
          </w:tcPr>
          <w:p w:rsidR="00F17976" w:rsidRPr="00944260" w:rsidRDefault="00F17976" w:rsidP="001F2C06">
            <w:pPr>
              <w:tabs>
                <w:tab w:val="left" w:pos="0"/>
                <w:tab w:val="left" w:pos="720"/>
              </w:tabs>
              <w:suppressAutoHyphens/>
              <w:jc w:val="right"/>
              <w:rPr>
                <w:spacing w:val="-3"/>
              </w:rPr>
            </w:pPr>
            <w:r>
              <w:rPr>
                <w:spacing w:val="-3"/>
              </w:rPr>
              <w:t>1410</w:t>
            </w:r>
          </w:p>
        </w:tc>
        <w:tc>
          <w:tcPr>
            <w:tcW w:w="1710" w:type="dxa"/>
            <w:tcBorders>
              <w:bottom w:val="single" w:sz="4" w:space="0" w:color="auto"/>
            </w:tcBorders>
          </w:tcPr>
          <w:p w:rsidR="00F17976" w:rsidRPr="00944260" w:rsidRDefault="00F17976" w:rsidP="001F2C06">
            <w:pPr>
              <w:tabs>
                <w:tab w:val="left" w:pos="0"/>
                <w:tab w:val="left" w:pos="720"/>
              </w:tabs>
              <w:suppressAutoHyphens/>
              <w:jc w:val="right"/>
              <w:rPr>
                <w:spacing w:val="-3"/>
              </w:rPr>
            </w:pPr>
            <w:r w:rsidRPr="00944260">
              <w:rPr>
                <w:spacing w:val="-3"/>
              </w:rPr>
              <w:t>0.93</w:t>
            </w:r>
          </w:p>
        </w:tc>
        <w:tc>
          <w:tcPr>
            <w:tcW w:w="1638" w:type="dxa"/>
          </w:tcPr>
          <w:p w:rsidR="00F17976" w:rsidRPr="00944260" w:rsidRDefault="00F17976" w:rsidP="00EC6CC5">
            <w:pPr>
              <w:tabs>
                <w:tab w:val="left" w:pos="0"/>
                <w:tab w:val="left" w:pos="720"/>
              </w:tabs>
              <w:suppressAutoHyphens/>
              <w:jc w:val="right"/>
              <w:rPr>
                <w:spacing w:val="-3"/>
              </w:rPr>
            </w:pPr>
            <w:r>
              <w:rPr>
                <w:spacing w:val="-3"/>
              </w:rPr>
              <w:t>1311</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r w:rsidRPr="00944260">
              <w:rPr>
                <w:b/>
                <w:spacing w:val="-3"/>
              </w:rPr>
              <w:t>Total Private Schools</w:t>
            </w:r>
          </w:p>
        </w:tc>
        <w:tc>
          <w:tcPr>
            <w:tcW w:w="2172" w:type="dxa"/>
          </w:tcPr>
          <w:p w:rsidR="00F17976" w:rsidRPr="00944260" w:rsidRDefault="00F17976" w:rsidP="001F2C06">
            <w:pPr>
              <w:tabs>
                <w:tab w:val="left" w:pos="0"/>
                <w:tab w:val="left" w:pos="720"/>
              </w:tabs>
              <w:suppressAutoHyphens/>
              <w:jc w:val="right"/>
              <w:rPr>
                <w:b/>
                <w:spacing w:val="-3"/>
              </w:rPr>
            </w:pPr>
            <w:r>
              <w:rPr>
                <w:b/>
                <w:spacing w:val="-3"/>
              </w:rPr>
              <w:t>1460</w:t>
            </w:r>
          </w:p>
        </w:tc>
        <w:tc>
          <w:tcPr>
            <w:tcW w:w="1710" w:type="dxa"/>
            <w:shd w:val="clear" w:color="auto" w:fill="D9D9D9"/>
          </w:tcPr>
          <w:p w:rsidR="00F17976" w:rsidRPr="00944260" w:rsidRDefault="00F17976" w:rsidP="001F2C06">
            <w:pPr>
              <w:tabs>
                <w:tab w:val="left" w:pos="0"/>
                <w:tab w:val="left" w:pos="720"/>
              </w:tabs>
              <w:suppressAutoHyphens/>
              <w:jc w:val="right"/>
              <w:rPr>
                <w:b/>
                <w:spacing w:val="-3"/>
              </w:rPr>
            </w:pPr>
            <w:r w:rsidRPr="00944260">
              <w:rPr>
                <w:b/>
                <w:spacing w:val="-3"/>
              </w:rPr>
              <w:t>9.53</w:t>
            </w:r>
          </w:p>
        </w:tc>
        <w:tc>
          <w:tcPr>
            <w:tcW w:w="1638" w:type="dxa"/>
          </w:tcPr>
          <w:p w:rsidR="00F17976" w:rsidRPr="00944260" w:rsidRDefault="00F17976" w:rsidP="00EC6CC5">
            <w:pPr>
              <w:tabs>
                <w:tab w:val="left" w:pos="0"/>
                <w:tab w:val="left" w:pos="720"/>
              </w:tabs>
              <w:suppressAutoHyphens/>
              <w:jc w:val="right"/>
              <w:rPr>
                <w:b/>
                <w:spacing w:val="-3"/>
              </w:rPr>
            </w:pPr>
            <w:r>
              <w:rPr>
                <w:b/>
                <w:spacing w:val="-3"/>
              </w:rPr>
              <w:t>12060</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p>
        </w:tc>
        <w:tc>
          <w:tcPr>
            <w:tcW w:w="2172" w:type="dxa"/>
          </w:tcPr>
          <w:p w:rsidR="00F17976" w:rsidRPr="00944260" w:rsidRDefault="00F17976" w:rsidP="001F2C06">
            <w:pPr>
              <w:tabs>
                <w:tab w:val="left" w:pos="0"/>
                <w:tab w:val="left" w:pos="720"/>
              </w:tabs>
              <w:suppressAutoHyphens/>
              <w:jc w:val="right"/>
              <w:rPr>
                <w:b/>
                <w:spacing w:val="-3"/>
              </w:rPr>
            </w:pPr>
          </w:p>
        </w:tc>
        <w:tc>
          <w:tcPr>
            <w:tcW w:w="1710" w:type="dxa"/>
          </w:tcPr>
          <w:p w:rsidR="00F17976" w:rsidRPr="00944260" w:rsidRDefault="00F17976" w:rsidP="001F2C06">
            <w:pPr>
              <w:tabs>
                <w:tab w:val="left" w:pos="0"/>
                <w:tab w:val="left" w:pos="720"/>
              </w:tabs>
              <w:suppressAutoHyphens/>
              <w:jc w:val="right"/>
              <w:rPr>
                <w:b/>
                <w:spacing w:val="-3"/>
              </w:rPr>
            </w:pPr>
          </w:p>
        </w:tc>
        <w:tc>
          <w:tcPr>
            <w:tcW w:w="1638" w:type="dxa"/>
          </w:tcPr>
          <w:p w:rsidR="00F17976" w:rsidRPr="00944260" w:rsidRDefault="00F17976" w:rsidP="001F2C06">
            <w:pPr>
              <w:tabs>
                <w:tab w:val="left" w:pos="0"/>
                <w:tab w:val="left" w:pos="720"/>
              </w:tabs>
              <w:suppressAutoHyphens/>
              <w:jc w:val="right"/>
              <w:rPr>
                <w:b/>
                <w:spacing w:val="-3"/>
              </w:rPr>
            </w:pP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r w:rsidRPr="00944260">
              <w:rPr>
                <w:b/>
                <w:spacing w:val="-3"/>
              </w:rPr>
              <w:t>FISAP Grand Total</w:t>
            </w:r>
          </w:p>
        </w:tc>
        <w:tc>
          <w:tcPr>
            <w:tcW w:w="2172" w:type="dxa"/>
          </w:tcPr>
          <w:p w:rsidR="00F17976" w:rsidRPr="00944260" w:rsidRDefault="00F17976" w:rsidP="001F2C06">
            <w:pPr>
              <w:tabs>
                <w:tab w:val="left" w:pos="0"/>
                <w:tab w:val="left" w:pos="720"/>
              </w:tabs>
              <w:suppressAutoHyphens/>
              <w:jc w:val="right"/>
              <w:rPr>
                <w:b/>
                <w:spacing w:val="-3"/>
              </w:rPr>
            </w:pPr>
            <w:r>
              <w:rPr>
                <w:b/>
                <w:spacing w:val="-3"/>
              </w:rPr>
              <w:t>4081</w:t>
            </w:r>
          </w:p>
        </w:tc>
        <w:tc>
          <w:tcPr>
            <w:tcW w:w="1710" w:type="dxa"/>
          </w:tcPr>
          <w:p w:rsidR="00F17976" w:rsidRPr="00944260" w:rsidRDefault="00F17976" w:rsidP="001F2C06">
            <w:pPr>
              <w:tabs>
                <w:tab w:val="left" w:pos="0"/>
                <w:tab w:val="left" w:pos="720"/>
              </w:tabs>
              <w:suppressAutoHyphens/>
              <w:jc w:val="right"/>
              <w:rPr>
                <w:b/>
                <w:spacing w:val="-3"/>
              </w:rPr>
            </w:pPr>
          </w:p>
        </w:tc>
        <w:tc>
          <w:tcPr>
            <w:tcW w:w="1638" w:type="dxa"/>
          </w:tcPr>
          <w:p w:rsidR="00F17976" w:rsidRPr="00944260" w:rsidRDefault="00F17976" w:rsidP="00EC6CC5">
            <w:pPr>
              <w:tabs>
                <w:tab w:val="left" w:pos="0"/>
                <w:tab w:val="left" w:pos="720"/>
              </w:tabs>
              <w:suppressAutoHyphens/>
              <w:jc w:val="right"/>
              <w:rPr>
                <w:b/>
                <w:spacing w:val="-3"/>
              </w:rPr>
            </w:pPr>
            <w:r>
              <w:rPr>
                <w:b/>
                <w:spacing w:val="-3"/>
              </w:rPr>
              <w:t>32941</w:t>
            </w:r>
          </w:p>
        </w:tc>
      </w:tr>
      <w:tr w:rsidR="00F17976" w:rsidRPr="00944260" w:rsidTr="001F2C06">
        <w:trPr>
          <w:jc w:val="right"/>
        </w:trPr>
        <w:tc>
          <w:tcPr>
            <w:tcW w:w="3948" w:type="dxa"/>
          </w:tcPr>
          <w:p w:rsidR="00F17976" w:rsidRPr="00944260" w:rsidRDefault="00F17976" w:rsidP="001F2C06">
            <w:pPr>
              <w:tabs>
                <w:tab w:val="left" w:pos="0"/>
                <w:tab w:val="left" w:pos="720"/>
              </w:tabs>
              <w:suppressAutoHyphens/>
              <w:rPr>
                <w:b/>
                <w:spacing w:val="-3"/>
              </w:rPr>
            </w:pPr>
            <w:r w:rsidRPr="00944260">
              <w:rPr>
                <w:b/>
                <w:spacing w:val="-3"/>
              </w:rPr>
              <w:t>FISAP Avg. Person Hours per Respondent</w:t>
            </w:r>
          </w:p>
        </w:tc>
        <w:tc>
          <w:tcPr>
            <w:tcW w:w="2172" w:type="dxa"/>
          </w:tcPr>
          <w:p w:rsidR="00F17976" w:rsidRPr="00944260" w:rsidRDefault="00F17976" w:rsidP="001F2C06">
            <w:pPr>
              <w:tabs>
                <w:tab w:val="left" w:pos="0"/>
                <w:tab w:val="left" w:pos="720"/>
              </w:tabs>
              <w:suppressAutoHyphens/>
              <w:jc w:val="right"/>
              <w:rPr>
                <w:b/>
                <w:spacing w:val="-3"/>
              </w:rPr>
            </w:pPr>
          </w:p>
        </w:tc>
        <w:tc>
          <w:tcPr>
            <w:tcW w:w="1710" w:type="dxa"/>
          </w:tcPr>
          <w:p w:rsidR="00F17976" w:rsidRPr="00944260" w:rsidRDefault="00F17976" w:rsidP="001F2C06">
            <w:pPr>
              <w:tabs>
                <w:tab w:val="left" w:pos="0"/>
                <w:tab w:val="left" w:pos="720"/>
              </w:tabs>
              <w:suppressAutoHyphens/>
              <w:jc w:val="right"/>
              <w:rPr>
                <w:b/>
                <w:spacing w:val="-3"/>
              </w:rPr>
            </w:pPr>
            <w:r w:rsidRPr="00944260">
              <w:rPr>
                <w:b/>
                <w:spacing w:val="-3"/>
              </w:rPr>
              <w:t>9.61</w:t>
            </w:r>
          </w:p>
        </w:tc>
        <w:tc>
          <w:tcPr>
            <w:tcW w:w="1638" w:type="dxa"/>
          </w:tcPr>
          <w:p w:rsidR="00F17976" w:rsidRPr="00944260" w:rsidRDefault="00F17976" w:rsidP="001F2C06">
            <w:pPr>
              <w:tabs>
                <w:tab w:val="left" w:pos="0"/>
                <w:tab w:val="left" w:pos="720"/>
              </w:tabs>
              <w:suppressAutoHyphens/>
              <w:jc w:val="right"/>
              <w:rPr>
                <w:b/>
                <w:spacing w:val="-3"/>
              </w:rPr>
            </w:pPr>
          </w:p>
        </w:tc>
      </w:tr>
    </w:tbl>
    <w:p w:rsidR="00F17976" w:rsidRPr="00944260" w:rsidRDefault="00F17976" w:rsidP="00F17976">
      <w:pPr>
        <w:tabs>
          <w:tab w:val="left" w:pos="-720"/>
        </w:tabs>
        <w:suppressAutoHyphens/>
        <w:rPr>
          <w:rFonts w:ascii="Arial" w:hAnsi="Arial" w:cs="Arial"/>
        </w:rPr>
      </w:pPr>
    </w:p>
    <w:p w:rsidR="00F17976" w:rsidRPr="00944260" w:rsidRDefault="00F17976" w:rsidP="00F17976">
      <w:pPr>
        <w:tabs>
          <w:tab w:val="left" w:pos="-720"/>
        </w:tabs>
        <w:suppressAutoHyphens/>
        <w:rPr>
          <w:rFonts w:ascii="Arial" w:hAnsi="Arial" w:cs="Arial"/>
        </w:rPr>
      </w:pPr>
      <w:r w:rsidRPr="00944260">
        <w:rPr>
          <w:rFonts w:ascii="Arial" w:hAnsi="Arial" w:cs="Arial"/>
          <w:u w:val="single"/>
        </w:rPr>
        <w:t>Reallocation Form</w:t>
      </w:r>
    </w:p>
    <w:p w:rsidR="00F17976" w:rsidRPr="00944260" w:rsidRDefault="00F17976" w:rsidP="00F17976">
      <w:pPr>
        <w:tabs>
          <w:tab w:val="left" w:pos="-720"/>
        </w:tabs>
        <w:suppressAutoHyphens/>
        <w:rPr>
          <w:rFonts w:ascii="Arial" w:hAnsi="Arial" w:cs="Arial"/>
        </w:rPr>
      </w:pPr>
    </w:p>
    <w:p w:rsidR="00F17976" w:rsidRPr="00944260" w:rsidRDefault="00F17976" w:rsidP="00F17976">
      <w:pPr>
        <w:tabs>
          <w:tab w:val="left" w:pos="-720"/>
        </w:tabs>
        <w:suppressAutoHyphens/>
        <w:rPr>
          <w:rFonts w:ascii="Arial" w:hAnsi="Arial" w:cs="Arial"/>
        </w:rPr>
      </w:pPr>
      <w:r w:rsidRPr="00944260">
        <w:rPr>
          <w:rFonts w:ascii="Arial" w:hAnsi="Arial" w:cs="Arial"/>
        </w:rPr>
        <w:t>The Reallocation Form data collection is composed of two sections.  Section A requests unexpended allocation figures for the Campus-Based Programs.  Section B requests information regarding supplemental FWS funds.  The range of time required to complete the two sections of the form depends on these variables:  (1) the number of programs in which respondents are currently participating; and (2) whether or not an institution requests supplemental funds for community service activities.</w:t>
      </w:r>
    </w:p>
    <w:p w:rsidR="00F17976" w:rsidRPr="00944260" w:rsidRDefault="00F17976" w:rsidP="00F17976">
      <w:pPr>
        <w:tabs>
          <w:tab w:val="left" w:pos="-720"/>
        </w:tabs>
        <w:suppressAutoHyphens/>
        <w:rPr>
          <w:rFonts w:ascii="Arial" w:hAnsi="Arial" w:cs="Arial"/>
        </w:rPr>
      </w:pPr>
    </w:p>
    <w:p w:rsidR="00F17976" w:rsidRPr="00944260" w:rsidRDefault="00F17976" w:rsidP="00F17976">
      <w:pPr>
        <w:tabs>
          <w:tab w:val="left" w:pos="-720"/>
        </w:tabs>
        <w:suppressAutoHyphens/>
        <w:rPr>
          <w:rFonts w:ascii="Arial" w:hAnsi="Arial" w:cs="Arial"/>
        </w:rPr>
      </w:pPr>
      <w:r>
        <w:rPr>
          <w:rFonts w:ascii="Arial" w:hAnsi="Arial" w:cs="Arial"/>
        </w:rPr>
        <w:t>We estimate a total of 177</w:t>
      </w:r>
      <w:r w:rsidRPr="00944260">
        <w:rPr>
          <w:rFonts w:ascii="Arial" w:hAnsi="Arial" w:cs="Arial"/>
        </w:rPr>
        <w:t xml:space="preserve"> Reallocation Form respondents, with an estimated average response time of </w:t>
      </w:r>
      <w:r>
        <w:rPr>
          <w:rFonts w:ascii="Arial" w:hAnsi="Arial" w:cs="Arial"/>
        </w:rPr>
        <w:t>0.20 hours and a total of 19.95</w:t>
      </w:r>
      <w:r w:rsidRPr="00944260">
        <w:rPr>
          <w:rFonts w:ascii="Arial" w:hAnsi="Arial" w:cs="Arial"/>
        </w:rPr>
        <w:t xml:space="preserve"> hours for all institutions.  </w:t>
      </w:r>
    </w:p>
    <w:p w:rsidR="00F17976" w:rsidRPr="00944260" w:rsidRDefault="00F17976" w:rsidP="00F17976">
      <w:pPr>
        <w:tabs>
          <w:tab w:val="left" w:pos="-720"/>
        </w:tabs>
        <w:suppressAutoHyphens/>
        <w:rPr>
          <w:rFonts w:ascii="Arial" w:hAnsi="Arial" w:cs="Arial"/>
        </w:rPr>
      </w:pPr>
    </w:p>
    <w:p w:rsidR="00F17976" w:rsidRPr="00944260" w:rsidRDefault="00F17976" w:rsidP="00F17976">
      <w:pPr>
        <w:tabs>
          <w:tab w:val="left" w:pos="-720"/>
        </w:tabs>
        <w:suppressAutoHyphens/>
        <w:rPr>
          <w:rFonts w:ascii="Arial" w:hAnsi="Arial" w:cs="Arial"/>
        </w:rPr>
      </w:pPr>
      <w:r w:rsidRPr="00944260">
        <w:rPr>
          <w:rFonts w:ascii="Arial" w:hAnsi="Arial" w:cs="Arial"/>
        </w:rPr>
        <w:lastRenderedPageBreak/>
        <w:t xml:space="preserve">The following matrix shows the respondent participation in the two </w:t>
      </w:r>
      <w:r>
        <w:rPr>
          <w:rFonts w:ascii="Arial" w:hAnsi="Arial" w:cs="Arial"/>
        </w:rPr>
        <w:t xml:space="preserve">sections of the form. </w:t>
      </w:r>
      <w:r w:rsidRPr="00944260">
        <w:rPr>
          <w:rFonts w:ascii="Arial" w:hAnsi="Arial" w:cs="Arial"/>
        </w:rPr>
        <w:t xml:space="preserve">The amounts shown are unduplicated counts.  </w:t>
      </w:r>
    </w:p>
    <w:p w:rsidR="00F17976" w:rsidRPr="00944260" w:rsidRDefault="00F17976" w:rsidP="00F17976">
      <w:pPr>
        <w:tabs>
          <w:tab w:val="left" w:pos="-720"/>
        </w:tabs>
        <w:suppressAutoHyphens/>
        <w:rPr>
          <w:rFonts w:ascii="Arial" w:hAnsi="Arial" w:cs="Arial"/>
        </w:rPr>
      </w:pPr>
    </w:p>
    <w:tbl>
      <w:tblPr>
        <w:tblW w:w="0" w:type="auto"/>
        <w:jc w:val="right"/>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2160"/>
        <w:gridCol w:w="1710"/>
        <w:gridCol w:w="1638"/>
      </w:tblGrid>
      <w:tr w:rsidR="00F17976" w:rsidRPr="00944260" w:rsidTr="001F2C06">
        <w:trPr>
          <w:jc w:val="right"/>
        </w:trPr>
        <w:tc>
          <w:tcPr>
            <w:tcW w:w="3960" w:type="dxa"/>
            <w:vAlign w:val="bottom"/>
          </w:tcPr>
          <w:p w:rsidR="00F17976" w:rsidRPr="00944260" w:rsidRDefault="00F17976" w:rsidP="001F2C06">
            <w:pPr>
              <w:tabs>
                <w:tab w:val="left" w:pos="0"/>
                <w:tab w:val="left" w:pos="720"/>
              </w:tabs>
              <w:suppressAutoHyphens/>
              <w:rPr>
                <w:b/>
                <w:spacing w:val="-3"/>
              </w:rPr>
            </w:pPr>
            <w:r w:rsidRPr="00944260">
              <w:rPr>
                <w:b/>
                <w:spacing w:val="-3"/>
              </w:rPr>
              <w:t>Reallocation Form Respondent Type by Section</w:t>
            </w:r>
          </w:p>
        </w:tc>
        <w:tc>
          <w:tcPr>
            <w:tcW w:w="2160" w:type="dxa"/>
            <w:vAlign w:val="bottom"/>
          </w:tcPr>
          <w:p w:rsidR="00F17976" w:rsidRPr="00944260" w:rsidRDefault="00F17976" w:rsidP="001F2C06">
            <w:pPr>
              <w:tabs>
                <w:tab w:val="left" w:pos="0"/>
                <w:tab w:val="left" w:pos="720"/>
              </w:tabs>
              <w:suppressAutoHyphens/>
              <w:jc w:val="right"/>
              <w:rPr>
                <w:b/>
                <w:spacing w:val="-3"/>
              </w:rPr>
            </w:pPr>
            <w:r w:rsidRPr="00944260">
              <w:rPr>
                <w:b/>
                <w:spacing w:val="-3"/>
              </w:rPr>
              <w:t>Estimated Number of Respondents</w:t>
            </w:r>
          </w:p>
        </w:tc>
        <w:tc>
          <w:tcPr>
            <w:tcW w:w="1710" w:type="dxa"/>
            <w:vAlign w:val="bottom"/>
          </w:tcPr>
          <w:p w:rsidR="00F17976" w:rsidRPr="00944260" w:rsidRDefault="00F17976" w:rsidP="001F2C06">
            <w:pPr>
              <w:tabs>
                <w:tab w:val="left" w:pos="0"/>
                <w:tab w:val="left" w:pos="720"/>
              </w:tabs>
              <w:suppressAutoHyphens/>
              <w:jc w:val="right"/>
              <w:rPr>
                <w:b/>
                <w:spacing w:val="-3"/>
              </w:rPr>
            </w:pPr>
            <w:r w:rsidRPr="00944260">
              <w:rPr>
                <w:b/>
                <w:spacing w:val="-3"/>
              </w:rPr>
              <w:t>Estimated Person Hours per Respondent</w:t>
            </w:r>
          </w:p>
        </w:tc>
        <w:tc>
          <w:tcPr>
            <w:tcW w:w="1638" w:type="dxa"/>
            <w:vAlign w:val="bottom"/>
          </w:tcPr>
          <w:p w:rsidR="00F17976" w:rsidRPr="00944260" w:rsidRDefault="00F17976" w:rsidP="001F2C06">
            <w:pPr>
              <w:tabs>
                <w:tab w:val="left" w:pos="0"/>
                <w:tab w:val="left" w:pos="720"/>
              </w:tabs>
              <w:suppressAutoHyphens/>
              <w:jc w:val="right"/>
              <w:rPr>
                <w:b/>
                <w:spacing w:val="-3"/>
              </w:rPr>
            </w:pPr>
            <w:r w:rsidRPr="00944260">
              <w:rPr>
                <w:b/>
                <w:spacing w:val="-3"/>
              </w:rPr>
              <w:t>Total Hours</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p>
        </w:tc>
        <w:tc>
          <w:tcPr>
            <w:tcW w:w="2160"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b/>
                <w:spacing w:val="-3"/>
              </w:rPr>
            </w:pPr>
            <w:r w:rsidRPr="00944260">
              <w:rPr>
                <w:b/>
                <w:spacing w:val="-3"/>
              </w:rPr>
              <w:t>Section A</w:t>
            </w:r>
          </w:p>
        </w:tc>
        <w:tc>
          <w:tcPr>
            <w:tcW w:w="2160"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r w:rsidRPr="00944260">
              <w:rPr>
                <w:spacing w:val="-3"/>
              </w:rPr>
              <w:t>Proprietary</w:t>
            </w:r>
          </w:p>
        </w:tc>
        <w:tc>
          <w:tcPr>
            <w:tcW w:w="2160" w:type="dxa"/>
          </w:tcPr>
          <w:p w:rsidR="00F17976" w:rsidRPr="00944260" w:rsidRDefault="00F17976" w:rsidP="001F2C06">
            <w:pPr>
              <w:tabs>
                <w:tab w:val="left" w:pos="0"/>
                <w:tab w:val="left" w:pos="720"/>
              </w:tabs>
              <w:suppressAutoHyphens/>
              <w:jc w:val="right"/>
              <w:rPr>
                <w:spacing w:val="-3"/>
              </w:rPr>
            </w:pPr>
            <w:r>
              <w:rPr>
                <w:spacing w:val="-3"/>
              </w:rPr>
              <w:t>51</w:t>
            </w:r>
            <w:r w:rsidRPr="00944260">
              <w:rPr>
                <w:spacing w:val="-3"/>
              </w:rPr>
              <w:t xml:space="preserve">.00 </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0.15</w:t>
            </w:r>
          </w:p>
        </w:tc>
        <w:tc>
          <w:tcPr>
            <w:tcW w:w="1638" w:type="dxa"/>
          </w:tcPr>
          <w:p w:rsidR="00F17976" w:rsidRPr="00944260" w:rsidRDefault="00FD474F" w:rsidP="001F2C06">
            <w:pPr>
              <w:tabs>
                <w:tab w:val="left" w:pos="0"/>
                <w:tab w:val="left" w:pos="720"/>
              </w:tabs>
              <w:suppressAutoHyphens/>
              <w:jc w:val="right"/>
              <w:rPr>
                <w:spacing w:val="-3"/>
              </w:rPr>
            </w:pPr>
            <w:r>
              <w:rPr>
                <w:spacing w:val="-3"/>
              </w:rPr>
              <w:t>8</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r w:rsidRPr="00944260">
              <w:rPr>
                <w:spacing w:val="-3"/>
              </w:rPr>
              <w:t>Public</w:t>
            </w:r>
          </w:p>
        </w:tc>
        <w:tc>
          <w:tcPr>
            <w:tcW w:w="2160" w:type="dxa"/>
          </w:tcPr>
          <w:p w:rsidR="00F17976" w:rsidRPr="00944260" w:rsidRDefault="00F17976" w:rsidP="001F2C06">
            <w:pPr>
              <w:tabs>
                <w:tab w:val="left" w:pos="0"/>
                <w:tab w:val="left" w:pos="720"/>
              </w:tabs>
              <w:suppressAutoHyphens/>
              <w:jc w:val="right"/>
              <w:rPr>
                <w:spacing w:val="-3"/>
              </w:rPr>
            </w:pPr>
            <w:r>
              <w:rPr>
                <w:spacing w:val="-3"/>
              </w:rPr>
              <w:t>33.00</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0.15</w:t>
            </w:r>
          </w:p>
        </w:tc>
        <w:tc>
          <w:tcPr>
            <w:tcW w:w="1638" w:type="dxa"/>
          </w:tcPr>
          <w:p w:rsidR="00F17976" w:rsidRPr="00944260" w:rsidRDefault="00F17976" w:rsidP="001F2C06">
            <w:pPr>
              <w:tabs>
                <w:tab w:val="left" w:pos="0"/>
                <w:tab w:val="left" w:pos="720"/>
              </w:tabs>
              <w:suppressAutoHyphens/>
              <w:jc w:val="right"/>
              <w:rPr>
                <w:spacing w:val="-3"/>
              </w:rPr>
            </w:pPr>
            <w:r>
              <w:rPr>
                <w:spacing w:val="-3"/>
              </w:rPr>
              <w:t>5</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r w:rsidRPr="00944260">
              <w:rPr>
                <w:spacing w:val="-3"/>
              </w:rPr>
              <w:t>Private</w:t>
            </w:r>
          </w:p>
        </w:tc>
        <w:tc>
          <w:tcPr>
            <w:tcW w:w="2160" w:type="dxa"/>
          </w:tcPr>
          <w:p w:rsidR="00F17976" w:rsidRPr="00944260" w:rsidRDefault="00F17976" w:rsidP="001F2C06">
            <w:pPr>
              <w:tabs>
                <w:tab w:val="left" w:pos="0"/>
                <w:tab w:val="left" w:pos="720"/>
              </w:tabs>
              <w:suppressAutoHyphens/>
              <w:jc w:val="right"/>
              <w:rPr>
                <w:spacing w:val="-3"/>
              </w:rPr>
            </w:pPr>
            <w:r>
              <w:rPr>
                <w:spacing w:val="-3"/>
              </w:rPr>
              <w:t>27.00</w:t>
            </w:r>
          </w:p>
        </w:tc>
        <w:tc>
          <w:tcPr>
            <w:tcW w:w="1710" w:type="dxa"/>
            <w:tcBorders>
              <w:bottom w:val="single" w:sz="4" w:space="0" w:color="auto"/>
            </w:tcBorders>
          </w:tcPr>
          <w:p w:rsidR="00F17976" w:rsidRPr="00944260" w:rsidRDefault="00F17976" w:rsidP="001F2C06">
            <w:pPr>
              <w:tabs>
                <w:tab w:val="left" w:pos="0"/>
                <w:tab w:val="left" w:pos="720"/>
              </w:tabs>
              <w:suppressAutoHyphens/>
              <w:jc w:val="right"/>
              <w:rPr>
                <w:spacing w:val="-3"/>
              </w:rPr>
            </w:pPr>
            <w:r w:rsidRPr="00944260">
              <w:rPr>
                <w:spacing w:val="-3"/>
              </w:rPr>
              <w:t>0.15</w:t>
            </w:r>
          </w:p>
        </w:tc>
        <w:tc>
          <w:tcPr>
            <w:tcW w:w="1638" w:type="dxa"/>
          </w:tcPr>
          <w:p w:rsidR="00F17976" w:rsidRPr="00944260" w:rsidRDefault="00F17976" w:rsidP="00FD474F">
            <w:pPr>
              <w:tabs>
                <w:tab w:val="left" w:pos="0"/>
                <w:tab w:val="left" w:pos="720"/>
              </w:tabs>
              <w:suppressAutoHyphens/>
              <w:jc w:val="right"/>
              <w:rPr>
                <w:spacing w:val="-3"/>
              </w:rPr>
            </w:pPr>
            <w:r>
              <w:rPr>
                <w:spacing w:val="-3"/>
              </w:rPr>
              <w:t>4</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b/>
                <w:spacing w:val="-3"/>
              </w:rPr>
            </w:pPr>
            <w:r w:rsidRPr="00944260">
              <w:rPr>
                <w:b/>
                <w:spacing w:val="-3"/>
              </w:rPr>
              <w:t>Total Section A</w:t>
            </w:r>
          </w:p>
        </w:tc>
        <w:tc>
          <w:tcPr>
            <w:tcW w:w="2160" w:type="dxa"/>
          </w:tcPr>
          <w:p w:rsidR="00F17976" w:rsidRPr="00944260" w:rsidRDefault="00F17976" w:rsidP="001F2C06">
            <w:pPr>
              <w:tabs>
                <w:tab w:val="left" w:pos="0"/>
                <w:tab w:val="left" w:pos="720"/>
              </w:tabs>
              <w:suppressAutoHyphens/>
              <w:jc w:val="right"/>
              <w:rPr>
                <w:b/>
                <w:spacing w:val="-3"/>
              </w:rPr>
            </w:pPr>
            <w:r>
              <w:rPr>
                <w:b/>
                <w:spacing w:val="-3"/>
              </w:rPr>
              <w:t>111.00</w:t>
            </w:r>
          </w:p>
        </w:tc>
        <w:tc>
          <w:tcPr>
            <w:tcW w:w="1710" w:type="dxa"/>
            <w:shd w:val="clear" w:color="auto" w:fill="D9D9D9"/>
          </w:tcPr>
          <w:p w:rsidR="00F17976" w:rsidRPr="00944260" w:rsidRDefault="00F17976" w:rsidP="001F2C06">
            <w:pPr>
              <w:tabs>
                <w:tab w:val="left" w:pos="0"/>
                <w:tab w:val="left" w:pos="720"/>
              </w:tabs>
              <w:suppressAutoHyphens/>
              <w:jc w:val="right"/>
              <w:rPr>
                <w:b/>
                <w:spacing w:val="-3"/>
              </w:rPr>
            </w:pPr>
            <w:r w:rsidRPr="00944260">
              <w:rPr>
                <w:b/>
                <w:spacing w:val="-3"/>
              </w:rPr>
              <w:t>0.15</w:t>
            </w:r>
          </w:p>
        </w:tc>
        <w:tc>
          <w:tcPr>
            <w:tcW w:w="1638" w:type="dxa"/>
          </w:tcPr>
          <w:p w:rsidR="00F17976" w:rsidRPr="00944260" w:rsidRDefault="00F17976" w:rsidP="00FD474F">
            <w:pPr>
              <w:tabs>
                <w:tab w:val="left" w:pos="0"/>
                <w:tab w:val="left" w:pos="720"/>
              </w:tabs>
              <w:suppressAutoHyphens/>
              <w:jc w:val="right"/>
              <w:rPr>
                <w:b/>
                <w:spacing w:val="-3"/>
              </w:rPr>
            </w:pPr>
            <w:r>
              <w:rPr>
                <w:b/>
                <w:spacing w:val="-3"/>
              </w:rPr>
              <w:t>1</w:t>
            </w:r>
            <w:r w:rsidR="00FD474F">
              <w:rPr>
                <w:b/>
                <w:spacing w:val="-3"/>
              </w:rPr>
              <w:t>7</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b/>
                <w:spacing w:val="-3"/>
              </w:rPr>
            </w:pPr>
          </w:p>
        </w:tc>
        <w:tc>
          <w:tcPr>
            <w:tcW w:w="2160"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b/>
                <w:spacing w:val="-3"/>
              </w:rPr>
            </w:pPr>
            <w:r w:rsidRPr="00944260">
              <w:rPr>
                <w:b/>
                <w:spacing w:val="-3"/>
              </w:rPr>
              <w:t>Section B</w:t>
            </w:r>
          </w:p>
        </w:tc>
        <w:tc>
          <w:tcPr>
            <w:tcW w:w="2160"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r w:rsidRPr="00944260">
              <w:rPr>
                <w:spacing w:val="-3"/>
              </w:rPr>
              <w:t>Proprietary</w:t>
            </w:r>
          </w:p>
        </w:tc>
        <w:tc>
          <w:tcPr>
            <w:tcW w:w="2160" w:type="dxa"/>
          </w:tcPr>
          <w:p w:rsidR="00F17976" w:rsidRPr="00944260" w:rsidRDefault="00F17976" w:rsidP="001F2C06">
            <w:pPr>
              <w:tabs>
                <w:tab w:val="left" w:pos="0"/>
                <w:tab w:val="left" w:pos="720"/>
              </w:tabs>
              <w:suppressAutoHyphens/>
              <w:jc w:val="right"/>
              <w:rPr>
                <w:spacing w:val="-3"/>
              </w:rPr>
            </w:pPr>
            <w:r>
              <w:rPr>
                <w:spacing w:val="-3"/>
              </w:rPr>
              <w:t>6.00</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0.05</w:t>
            </w:r>
          </w:p>
        </w:tc>
        <w:tc>
          <w:tcPr>
            <w:tcW w:w="1638" w:type="dxa"/>
          </w:tcPr>
          <w:p w:rsidR="00F17976" w:rsidRPr="00944260" w:rsidRDefault="00F17976" w:rsidP="001F2C06">
            <w:pPr>
              <w:tabs>
                <w:tab w:val="left" w:pos="0"/>
                <w:tab w:val="left" w:pos="720"/>
              </w:tabs>
              <w:suppressAutoHyphens/>
              <w:jc w:val="right"/>
              <w:rPr>
                <w:spacing w:val="-3"/>
              </w:rPr>
            </w:pPr>
            <w:r>
              <w:rPr>
                <w:spacing w:val="-3"/>
              </w:rPr>
              <w:t>.30</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r w:rsidRPr="00944260">
              <w:rPr>
                <w:spacing w:val="-3"/>
              </w:rPr>
              <w:t>Public</w:t>
            </w:r>
          </w:p>
        </w:tc>
        <w:tc>
          <w:tcPr>
            <w:tcW w:w="2160" w:type="dxa"/>
          </w:tcPr>
          <w:p w:rsidR="00F17976" w:rsidRPr="00944260" w:rsidRDefault="00F17976" w:rsidP="001F2C06">
            <w:pPr>
              <w:tabs>
                <w:tab w:val="left" w:pos="0"/>
                <w:tab w:val="left" w:pos="720"/>
              </w:tabs>
              <w:suppressAutoHyphens/>
              <w:jc w:val="right"/>
              <w:rPr>
                <w:spacing w:val="-3"/>
              </w:rPr>
            </w:pPr>
            <w:r>
              <w:rPr>
                <w:spacing w:val="-3"/>
              </w:rPr>
              <w:t>37.00</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0.05</w:t>
            </w:r>
          </w:p>
        </w:tc>
        <w:tc>
          <w:tcPr>
            <w:tcW w:w="1638" w:type="dxa"/>
          </w:tcPr>
          <w:p w:rsidR="00F17976" w:rsidRPr="00944260" w:rsidRDefault="00FD474F" w:rsidP="001F2C06">
            <w:pPr>
              <w:tabs>
                <w:tab w:val="left" w:pos="0"/>
                <w:tab w:val="left" w:pos="720"/>
              </w:tabs>
              <w:suppressAutoHyphens/>
              <w:jc w:val="right"/>
              <w:rPr>
                <w:spacing w:val="-3"/>
              </w:rPr>
            </w:pPr>
            <w:r>
              <w:rPr>
                <w:spacing w:val="-3"/>
              </w:rPr>
              <w:t>2</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r w:rsidRPr="00944260">
              <w:rPr>
                <w:spacing w:val="-3"/>
              </w:rPr>
              <w:t>Private</w:t>
            </w:r>
          </w:p>
        </w:tc>
        <w:tc>
          <w:tcPr>
            <w:tcW w:w="2160" w:type="dxa"/>
          </w:tcPr>
          <w:p w:rsidR="00F17976" w:rsidRPr="00944260" w:rsidRDefault="00F17976" w:rsidP="001F2C06">
            <w:pPr>
              <w:tabs>
                <w:tab w:val="left" w:pos="0"/>
                <w:tab w:val="left" w:pos="720"/>
              </w:tabs>
              <w:suppressAutoHyphens/>
              <w:jc w:val="right"/>
              <w:rPr>
                <w:spacing w:val="-3"/>
              </w:rPr>
            </w:pPr>
            <w:r>
              <w:rPr>
                <w:spacing w:val="-3"/>
              </w:rPr>
              <w:t>23.00</w:t>
            </w:r>
          </w:p>
        </w:tc>
        <w:tc>
          <w:tcPr>
            <w:tcW w:w="1710" w:type="dxa"/>
            <w:tcBorders>
              <w:bottom w:val="single" w:sz="4" w:space="0" w:color="auto"/>
            </w:tcBorders>
          </w:tcPr>
          <w:p w:rsidR="00F17976" w:rsidRPr="00944260" w:rsidRDefault="00F17976" w:rsidP="001F2C06">
            <w:pPr>
              <w:tabs>
                <w:tab w:val="left" w:pos="0"/>
                <w:tab w:val="left" w:pos="720"/>
              </w:tabs>
              <w:suppressAutoHyphens/>
              <w:jc w:val="right"/>
              <w:rPr>
                <w:spacing w:val="-3"/>
              </w:rPr>
            </w:pPr>
            <w:r w:rsidRPr="00944260">
              <w:rPr>
                <w:spacing w:val="-3"/>
              </w:rPr>
              <w:t>0.05</w:t>
            </w:r>
          </w:p>
        </w:tc>
        <w:tc>
          <w:tcPr>
            <w:tcW w:w="1638" w:type="dxa"/>
          </w:tcPr>
          <w:p w:rsidR="00F17976" w:rsidRPr="00944260" w:rsidRDefault="00F17976" w:rsidP="00FD474F">
            <w:pPr>
              <w:tabs>
                <w:tab w:val="left" w:pos="0"/>
                <w:tab w:val="left" w:pos="720"/>
              </w:tabs>
              <w:suppressAutoHyphens/>
              <w:jc w:val="right"/>
              <w:rPr>
                <w:spacing w:val="-3"/>
              </w:rPr>
            </w:pPr>
            <w:r>
              <w:rPr>
                <w:spacing w:val="-3"/>
              </w:rPr>
              <w:t>1</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b/>
                <w:spacing w:val="-3"/>
              </w:rPr>
            </w:pPr>
            <w:r w:rsidRPr="00944260">
              <w:rPr>
                <w:b/>
                <w:spacing w:val="-3"/>
              </w:rPr>
              <w:t>Total Section B</w:t>
            </w:r>
          </w:p>
        </w:tc>
        <w:tc>
          <w:tcPr>
            <w:tcW w:w="2160" w:type="dxa"/>
          </w:tcPr>
          <w:p w:rsidR="00F17976" w:rsidRPr="00944260" w:rsidRDefault="00F17976" w:rsidP="001F2C06">
            <w:pPr>
              <w:tabs>
                <w:tab w:val="left" w:pos="0"/>
                <w:tab w:val="left" w:pos="720"/>
              </w:tabs>
              <w:suppressAutoHyphens/>
              <w:jc w:val="right"/>
              <w:rPr>
                <w:b/>
                <w:spacing w:val="-3"/>
              </w:rPr>
            </w:pPr>
            <w:r>
              <w:rPr>
                <w:b/>
                <w:spacing w:val="-3"/>
              </w:rPr>
              <w:t>66.00</w:t>
            </w:r>
          </w:p>
        </w:tc>
        <w:tc>
          <w:tcPr>
            <w:tcW w:w="1710" w:type="dxa"/>
            <w:shd w:val="clear" w:color="auto" w:fill="D9D9D9"/>
          </w:tcPr>
          <w:p w:rsidR="00F17976" w:rsidRPr="00944260" w:rsidRDefault="00F17976" w:rsidP="001F2C06">
            <w:pPr>
              <w:tabs>
                <w:tab w:val="left" w:pos="0"/>
                <w:tab w:val="left" w:pos="720"/>
              </w:tabs>
              <w:suppressAutoHyphens/>
              <w:jc w:val="right"/>
              <w:rPr>
                <w:b/>
                <w:spacing w:val="-3"/>
              </w:rPr>
            </w:pPr>
            <w:r w:rsidRPr="00944260">
              <w:rPr>
                <w:b/>
                <w:spacing w:val="-3"/>
              </w:rPr>
              <w:t>0.05</w:t>
            </w:r>
          </w:p>
        </w:tc>
        <w:tc>
          <w:tcPr>
            <w:tcW w:w="1638" w:type="dxa"/>
          </w:tcPr>
          <w:p w:rsidR="00F17976" w:rsidRPr="00944260" w:rsidRDefault="00F17976" w:rsidP="00FD474F">
            <w:pPr>
              <w:tabs>
                <w:tab w:val="left" w:pos="0"/>
                <w:tab w:val="left" w:pos="720"/>
              </w:tabs>
              <w:suppressAutoHyphens/>
              <w:jc w:val="right"/>
              <w:rPr>
                <w:b/>
                <w:spacing w:val="-3"/>
              </w:rPr>
            </w:pPr>
            <w:r>
              <w:rPr>
                <w:b/>
                <w:spacing w:val="-3"/>
              </w:rPr>
              <w:t>3</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b/>
                <w:spacing w:val="-3"/>
              </w:rPr>
            </w:pPr>
          </w:p>
        </w:tc>
        <w:tc>
          <w:tcPr>
            <w:tcW w:w="2160" w:type="dxa"/>
          </w:tcPr>
          <w:p w:rsidR="00F17976" w:rsidRPr="00944260" w:rsidRDefault="00F17976" w:rsidP="001F2C06">
            <w:pPr>
              <w:tabs>
                <w:tab w:val="left" w:pos="0"/>
                <w:tab w:val="left" w:pos="720"/>
              </w:tabs>
              <w:suppressAutoHyphens/>
              <w:jc w:val="right"/>
              <w:rPr>
                <w:b/>
                <w:spacing w:val="-3"/>
              </w:rPr>
            </w:pPr>
          </w:p>
        </w:tc>
        <w:tc>
          <w:tcPr>
            <w:tcW w:w="1710" w:type="dxa"/>
          </w:tcPr>
          <w:p w:rsidR="00F17976" w:rsidRPr="00944260" w:rsidRDefault="00F17976" w:rsidP="001F2C06">
            <w:pPr>
              <w:tabs>
                <w:tab w:val="left" w:pos="0"/>
                <w:tab w:val="left" w:pos="720"/>
              </w:tabs>
              <w:suppressAutoHyphens/>
              <w:jc w:val="right"/>
              <w:rPr>
                <w:b/>
                <w:spacing w:val="-3"/>
              </w:rPr>
            </w:pPr>
          </w:p>
        </w:tc>
        <w:tc>
          <w:tcPr>
            <w:tcW w:w="1638" w:type="dxa"/>
          </w:tcPr>
          <w:p w:rsidR="00F17976" w:rsidRPr="00944260" w:rsidRDefault="00F17976" w:rsidP="001F2C06">
            <w:pPr>
              <w:tabs>
                <w:tab w:val="left" w:pos="0"/>
                <w:tab w:val="left" w:pos="720"/>
              </w:tabs>
              <w:suppressAutoHyphens/>
              <w:jc w:val="right"/>
              <w:rPr>
                <w:b/>
                <w:spacing w:val="-3"/>
              </w:rPr>
            </w:pP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b/>
                <w:spacing w:val="-3"/>
              </w:rPr>
            </w:pPr>
            <w:r w:rsidRPr="00944260">
              <w:rPr>
                <w:b/>
                <w:spacing w:val="-3"/>
              </w:rPr>
              <w:t xml:space="preserve">Reallocation  Form Totals </w:t>
            </w:r>
          </w:p>
          <w:p w:rsidR="00F17976" w:rsidRPr="00944260" w:rsidRDefault="00F17976" w:rsidP="001F2C06">
            <w:pPr>
              <w:tabs>
                <w:tab w:val="left" w:pos="0"/>
                <w:tab w:val="left" w:pos="720"/>
              </w:tabs>
              <w:suppressAutoHyphens/>
              <w:rPr>
                <w:b/>
                <w:spacing w:val="-3"/>
              </w:rPr>
            </w:pPr>
            <w:r w:rsidRPr="00944260">
              <w:rPr>
                <w:b/>
                <w:spacing w:val="-3"/>
              </w:rPr>
              <w:t>for Sections A &amp;B</w:t>
            </w:r>
          </w:p>
        </w:tc>
        <w:tc>
          <w:tcPr>
            <w:tcW w:w="2160" w:type="dxa"/>
          </w:tcPr>
          <w:p w:rsidR="00F17976" w:rsidRPr="00944260" w:rsidRDefault="00F17976" w:rsidP="001F2C06">
            <w:pPr>
              <w:tabs>
                <w:tab w:val="left" w:pos="0"/>
                <w:tab w:val="left" w:pos="720"/>
              </w:tabs>
              <w:suppressAutoHyphens/>
              <w:jc w:val="right"/>
              <w:rPr>
                <w:b/>
                <w:spacing w:val="-3"/>
              </w:rPr>
            </w:pPr>
            <w:r>
              <w:rPr>
                <w:b/>
                <w:spacing w:val="-3"/>
              </w:rPr>
              <w:t>177.00</w:t>
            </w:r>
          </w:p>
        </w:tc>
        <w:tc>
          <w:tcPr>
            <w:tcW w:w="1710" w:type="dxa"/>
          </w:tcPr>
          <w:p w:rsidR="00F17976" w:rsidRPr="00944260" w:rsidRDefault="00F17976" w:rsidP="001F2C06">
            <w:pPr>
              <w:tabs>
                <w:tab w:val="left" w:pos="0"/>
                <w:tab w:val="left" w:pos="720"/>
              </w:tabs>
              <w:suppressAutoHyphens/>
              <w:jc w:val="right"/>
              <w:rPr>
                <w:b/>
                <w:spacing w:val="-3"/>
              </w:rPr>
            </w:pPr>
          </w:p>
        </w:tc>
        <w:tc>
          <w:tcPr>
            <w:tcW w:w="1638" w:type="dxa"/>
          </w:tcPr>
          <w:p w:rsidR="00F17976" w:rsidRPr="00944260" w:rsidRDefault="00FD474F" w:rsidP="001F2C06">
            <w:pPr>
              <w:tabs>
                <w:tab w:val="left" w:pos="0"/>
                <w:tab w:val="left" w:pos="720"/>
              </w:tabs>
              <w:suppressAutoHyphens/>
              <w:jc w:val="right"/>
              <w:rPr>
                <w:b/>
                <w:spacing w:val="-3"/>
              </w:rPr>
            </w:pPr>
            <w:r>
              <w:rPr>
                <w:b/>
                <w:spacing w:val="-3"/>
              </w:rPr>
              <w:t>20</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b/>
                <w:spacing w:val="-3"/>
              </w:rPr>
            </w:pPr>
            <w:r w:rsidRPr="00944260">
              <w:rPr>
                <w:b/>
                <w:spacing w:val="-3"/>
              </w:rPr>
              <w:t>Reallocation Form Avg. Person Hours per Respondent</w:t>
            </w:r>
          </w:p>
        </w:tc>
        <w:tc>
          <w:tcPr>
            <w:tcW w:w="2160" w:type="dxa"/>
          </w:tcPr>
          <w:p w:rsidR="00F17976" w:rsidRPr="00944260" w:rsidRDefault="00F17976" w:rsidP="001F2C06">
            <w:pPr>
              <w:tabs>
                <w:tab w:val="left" w:pos="0"/>
                <w:tab w:val="left" w:pos="720"/>
              </w:tabs>
              <w:suppressAutoHyphens/>
              <w:jc w:val="right"/>
              <w:rPr>
                <w:b/>
                <w:spacing w:val="-3"/>
              </w:rPr>
            </w:pPr>
          </w:p>
        </w:tc>
        <w:tc>
          <w:tcPr>
            <w:tcW w:w="1710" w:type="dxa"/>
          </w:tcPr>
          <w:p w:rsidR="00F17976" w:rsidRPr="00944260" w:rsidRDefault="00F17976" w:rsidP="001F2C06">
            <w:pPr>
              <w:tabs>
                <w:tab w:val="left" w:pos="0"/>
                <w:tab w:val="left" w:pos="720"/>
              </w:tabs>
              <w:suppressAutoHyphens/>
              <w:jc w:val="right"/>
              <w:rPr>
                <w:b/>
                <w:spacing w:val="-3"/>
              </w:rPr>
            </w:pPr>
            <w:r w:rsidRPr="00944260">
              <w:rPr>
                <w:b/>
                <w:spacing w:val="-3"/>
              </w:rPr>
              <w:t>0.20</w:t>
            </w:r>
          </w:p>
        </w:tc>
        <w:tc>
          <w:tcPr>
            <w:tcW w:w="1638" w:type="dxa"/>
          </w:tcPr>
          <w:p w:rsidR="00F17976" w:rsidRPr="00944260" w:rsidRDefault="00F17976" w:rsidP="001F2C06">
            <w:pPr>
              <w:tabs>
                <w:tab w:val="left" w:pos="0"/>
                <w:tab w:val="left" w:pos="720"/>
              </w:tabs>
              <w:suppressAutoHyphens/>
              <w:jc w:val="right"/>
              <w:rPr>
                <w:b/>
                <w:spacing w:val="-3"/>
              </w:rPr>
            </w:pPr>
          </w:p>
        </w:tc>
      </w:tr>
    </w:tbl>
    <w:p w:rsidR="00F17976" w:rsidRPr="00944260" w:rsidRDefault="00F17976" w:rsidP="00F17976">
      <w:pPr>
        <w:tabs>
          <w:tab w:val="left" w:pos="-720"/>
        </w:tabs>
        <w:suppressAutoHyphens/>
        <w:rPr>
          <w:rFonts w:ascii="Arial" w:hAnsi="Arial" w:cs="Arial"/>
        </w:rPr>
      </w:pPr>
    </w:p>
    <w:p w:rsidR="00F17976" w:rsidRPr="00944260" w:rsidRDefault="00F17976" w:rsidP="00F17976">
      <w:pPr>
        <w:tabs>
          <w:tab w:val="left" w:pos="-720"/>
        </w:tabs>
        <w:suppressAutoHyphens/>
        <w:rPr>
          <w:rFonts w:ascii="Arial" w:hAnsi="Arial" w:cs="Arial"/>
        </w:rPr>
      </w:pPr>
      <w:r w:rsidRPr="00944260">
        <w:rPr>
          <w:rFonts w:ascii="Arial" w:hAnsi="Arial" w:cs="Arial"/>
          <w:u w:val="single"/>
        </w:rPr>
        <w:t>Total for FISAP and Reallocation Form</w:t>
      </w:r>
    </w:p>
    <w:p w:rsidR="00F17976" w:rsidRPr="00944260" w:rsidRDefault="00F17976" w:rsidP="00F17976">
      <w:pPr>
        <w:tabs>
          <w:tab w:val="left" w:pos="-720"/>
        </w:tabs>
        <w:suppressAutoHyphens/>
        <w:rPr>
          <w:rFonts w:ascii="Arial" w:hAnsi="Arial" w:cs="Arial"/>
        </w:rPr>
      </w:pPr>
    </w:p>
    <w:p w:rsidR="00F17976" w:rsidRPr="00944260" w:rsidRDefault="00F17976" w:rsidP="00F17976">
      <w:pPr>
        <w:tabs>
          <w:tab w:val="left" w:pos="-720"/>
        </w:tabs>
        <w:suppressAutoHyphens/>
        <w:rPr>
          <w:rFonts w:ascii="Arial" w:hAnsi="Arial" w:cs="Arial"/>
        </w:rPr>
      </w:pPr>
      <w:r w:rsidRPr="00944260">
        <w:rPr>
          <w:rFonts w:ascii="Arial" w:hAnsi="Arial" w:cs="Arial"/>
        </w:rPr>
        <w:t>The combined total for the FISAP and Reallocation Form has an estimated total of 5,862 respondents with an estimated response time of 9.81 hours for a total of 33,233 hours for all institutions.  Using the Census Bureau National Industry-Specific Occupational Employment Wage Estimate for Educational Services (NAICS 611000) of $23.09 per hour, the estimated total cost to respondents is $1,328,270.</w:t>
      </w:r>
    </w:p>
    <w:p w:rsidR="00F17976" w:rsidRPr="00944260" w:rsidRDefault="00F17976" w:rsidP="00F17976">
      <w:pPr>
        <w:tabs>
          <w:tab w:val="left" w:pos="-720"/>
        </w:tabs>
        <w:suppressAutoHyphens/>
        <w:rPr>
          <w:rFonts w:ascii="Arial" w:hAnsi="Arial" w:cs="Arial"/>
        </w:rPr>
      </w:pPr>
    </w:p>
    <w:tbl>
      <w:tblPr>
        <w:tblW w:w="0" w:type="auto"/>
        <w:jc w:val="right"/>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2160"/>
        <w:gridCol w:w="1710"/>
        <w:gridCol w:w="1638"/>
      </w:tblGrid>
      <w:tr w:rsidR="00F17976" w:rsidRPr="00944260" w:rsidTr="001F2C06">
        <w:trPr>
          <w:jc w:val="right"/>
        </w:trPr>
        <w:tc>
          <w:tcPr>
            <w:tcW w:w="3960" w:type="dxa"/>
            <w:vAlign w:val="bottom"/>
          </w:tcPr>
          <w:p w:rsidR="00F17976" w:rsidRPr="00944260" w:rsidRDefault="00F17976" w:rsidP="001F2C06">
            <w:pPr>
              <w:tabs>
                <w:tab w:val="left" w:pos="0"/>
                <w:tab w:val="left" w:pos="720"/>
              </w:tabs>
              <w:suppressAutoHyphens/>
              <w:rPr>
                <w:b/>
                <w:spacing w:val="-3"/>
              </w:rPr>
            </w:pPr>
            <w:r w:rsidRPr="00944260">
              <w:rPr>
                <w:b/>
                <w:spacing w:val="-3"/>
              </w:rPr>
              <w:t>Total Respondents for FISAP and Reallocation Form</w:t>
            </w:r>
          </w:p>
        </w:tc>
        <w:tc>
          <w:tcPr>
            <w:tcW w:w="2160" w:type="dxa"/>
            <w:vAlign w:val="bottom"/>
          </w:tcPr>
          <w:p w:rsidR="00F17976" w:rsidRPr="00944260" w:rsidRDefault="00F17976" w:rsidP="001F2C06">
            <w:pPr>
              <w:tabs>
                <w:tab w:val="left" w:pos="0"/>
                <w:tab w:val="left" w:pos="720"/>
              </w:tabs>
              <w:suppressAutoHyphens/>
              <w:jc w:val="right"/>
              <w:rPr>
                <w:b/>
                <w:spacing w:val="-3"/>
              </w:rPr>
            </w:pPr>
            <w:r w:rsidRPr="00944260">
              <w:rPr>
                <w:b/>
                <w:spacing w:val="-3"/>
              </w:rPr>
              <w:t>Estimated Number of Respondents</w:t>
            </w:r>
          </w:p>
        </w:tc>
        <w:tc>
          <w:tcPr>
            <w:tcW w:w="1710" w:type="dxa"/>
            <w:vAlign w:val="bottom"/>
          </w:tcPr>
          <w:p w:rsidR="00F17976" w:rsidRPr="00944260" w:rsidRDefault="00F17976" w:rsidP="001F2C06">
            <w:pPr>
              <w:tabs>
                <w:tab w:val="left" w:pos="0"/>
                <w:tab w:val="left" w:pos="720"/>
              </w:tabs>
              <w:suppressAutoHyphens/>
              <w:jc w:val="right"/>
              <w:rPr>
                <w:b/>
                <w:spacing w:val="-3"/>
              </w:rPr>
            </w:pPr>
            <w:r w:rsidRPr="00944260">
              <w:rPr>
                <w:b/>
                <w:spacing w:val="-3"/>
              </w:rPr>
              <w:t xml:space="preserve">Estimated Person Hours per Respondent </w:t>
            </w:r>
          </w:p>
        </w:tc>
        <w:tc>
          <w:tcPr>
            <w:tcW w:w="1638" w:type="dxa"/>
            <w:vAlign w:val="bottom"/>
          </w:tcPr>
          <w:p w:rsidR="00F17976" w:rsidRPr="00944260" w:rsidRDefault="00F17976" w:rsidP="001F2C06">
            <w:pPr>
              <w:tabs>
                <w:tab w:val="left" w:pos="0"/>
                <w:tab w:val="left" w:pos="720"/>
              </w:tabs>
              <w:suppressAutoHyphens/>
              <w:jc w:val="right"/>
              <w:rPr>
                <w:b/>
                <w:spacing w:val="-3"/>
              </w:rPr>
            </w:pPr>
            <w:r w:rsidRPr="00944260">
              <w:rPr>
                <w:b/>
                <w:spacing w:val="-3"/>
              </w:rPr>
              <w:t>Total Hours</w:t>
            </w: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p>
        </w:tc>
        <w:tc>
          <w:tcPr>
            <w:tcW w:w="2160" w:type="dxa"/>
          </w:tcPr>
          <w:p w:rsidR="00F17976" w:rsidRPr="00944260" w:rsidRDefault="00F17976" w:rsidP="001F2C06">
            <w:pPr>
              <w:tabs>
                <w:tab w:val="left" w:pos="0"/>
                <w:tab w:val="left" w:pos="720"/>
              </w:tabs>
              <w:suppressAutoHyphens/>
              <w:jc w:val="right"/>
              <w:rPr>
                <w:spacing w:val="-3"/>
              </w:rPr>
            </w:pP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r w:rsidRPr="00944260">
              <w:rPr>
                <w:spacing w:val="-3"/>
              </w:rPr>
              <w:t>FISAP</w:t>
            </w:r>
          </w:p>
        </w:tc>
        <w:tc>
          <w:tcPr>
            <w:tcW w:w="2160" w:type="dxa"/>
          </w:tcPr>
          <w:p w:rsidR="00F17976" w:rsidRPr="00944260" w:rsidRDefault="00F17976" w:rsidP="001F2C06">
            <w:pPr>
              <w:tabs>
                <w:tab w:val="left" w:pos="0"/>
                <w:tab w:val="left" w:pos="720"/>
              </w:tabs>
              <w:suppressAutoHyphens/>
              <w:jc w:val="right"/>
              <w:rPr>
                <w:spacing w:val="-3"/>
              </w:rPr>
            </w:pPr>
            <w:r>
              <w:rPr>
                <w:spacing w:val="-3"/>
              </w:rPr>
              <w:t>4081</w:t>
            </w:r>
          </w:p>
        </w:tc>
        <w:tc>
          <w:tcPr>
            <w:tcW w:w="1710" w:type="dxa"/>
          </w:tcPr>
          <w:p w:rsidR="00F17976" w:rsidRPr="00944260" w:rsidRDefault="00F17976" w:rsidP="001F2C06">
            <w:pPr>
              <w:tabs>
                <w:tab w:val="left" w:pos="0"/>
                <w:tab w:val="left" w:pos="720"/>
              </w:tabs>
              <w:suppressAutoHyphens/>
              <w:jc w:val="right"/>
              <w:rPr>
                <w:spacing w:val="-3"/>
              </w:rPr>
            </w:pPr>
            <w:r w:rsidRPr="00944260">
              <w:rPr>
                <w:spacing w:val="-3"/>
              </w:rPr>
              <w:t>9.61</w:t>
            </w:r>
          </w:p>
        </w:tc>
        <w:tc>
          <w:tcPr>
            <w:tcW w:w="1638" w:type="dxa"/>
          </w:tcPr>
          <w:p w:rsidR="00F17976" w:rsidRPr="00944260" w:rsidRDefault="00F17976" w:rsidP="00FD474F">
            <w:pPr>
              <w:tabs>
                <w:tab w:val="left" w:pos="0"/>
                <w:tab w:val="left" w:pos="720"/>
              </w:tabs>
              <w:suppressAutoHyphens/>
              <w:jc w:val="right"/>
              <w:rPr>
                <w:spacing w:val="-3"/>
              </w:rPr>
            </w:pPr>
            <w:r>
              <w:rPr>
                <w:spacing w:val="-3"/>
              </w:rPr>
              <w:t>32941</w:t>
            </w:r>
          </w:p>
        </w:tc>
      </w:tr>
      <w:tr w:rsidR="00F17976" w:rsidRPr="00944260" w:rsidTr="001F2C06">
        <w:trPr>
          <w:jc w:val="right"/>
        </w:trPr>
        <w:tc>
          <w:tcPr>
            <w:tcW w:w="3960" w:type="dxa"/>
            <w:tcBorders>
              <w:bottom w:val="single" w:sz="4" w:space="0" w:color="auto"/>
            </w:tcBorders>
          </w:tcPr>
          <w:p w:rsidR="00F17976" w:rsidRPr="00944260" w:rsidRDefault="00F17976" w:rsidP="001F2C06">
            <w:pPr>
              <w:tabs>
                <w:tab w:val="left" w:pos="0"/>
                <w:tab w:val="left" w:pos="720"/>
              </w:tabs>
              <w:suppressAutoHyphens/>
              <w:rPr>
                <w:spacing w:val="-3"/>
              </w:rPr>
            </w:pPr>
            <w:r w:rsidRPr="00944260">
              <w:rPr>
                <w:spacing w:val="-3"/>
              </w:rPr>
              <w:t>Reallocation Form</w:t>
            </w:r>
          </w:p>
        </w:tc>
        <w:tc>
          <w:tcPr>
            <w:tcW w:w="2160" w:type="dxa"/>
            <w:tcBorders>
              <w:bottom w:val="single" w:sz="4" w:space="0" w:color="auto"/>
            </w:tcBorders>
          </w:tcPr>
          <w:p w:rsidR="00F17976" w:rsidRPr="00944260" w:rsidRDefault="00F17976" w:rsidP="001F2C06">
            <w:pPr>
              <w:tabs>
                <w:tab w:val="left" w:pos="0"/>
                <w:tab w:val="left" w:pos="720"/>
              </w:tabs>
              <w:suppressAutoHyphens/>
              <w:jc w:val="right"/>
              <w:rPr>
                <w:spacing w:val="-3"/>
              </w:rPr>
            </w:pPr>
            <w:r>
              <w:rPr>
                <w:spacing w:val="-3"/>
              </w:rPr>
              <w:t>177</w:t>
            </w:r>
            <w:r w:rsidRPr="00944260">
              <w:rPr>
                <w:spacing w:val="-3"/>
              </w:rPr>
              <w:t xml:space="preserve"> </w:t>
            </w:r>
          </w:p>
        </w:tc>
        <w:tc>
          <w:tcPr>
            <w:tcW w:w="1710" w:type="dxa"/>
            <w:tcBorders>
              <w:bottom w:val="single" w:sz="4" w:space="0" w:color="auto"/>
            </w:tcBorders>
          </w:tcPr>
          <w:p w:rsidR="00F17976" w:rsidRPr="00944260" w:rsidRDefault="00F17976" w:rsidP="001F2C06">
            <w:pPr>
              <w:tabs>
                <w:tab w:val="left" w:pos="0"/>
                <w:tab w:val="left" w:pos="720"/>
              </w:tabs>
              <w:suppressAutoHyphens/>
              <w:jc w:val="right"/>
              <w:rPr>
                <w:spacing w:val="-3"/>
              </w:rPr>
            </w:pPr>
            <w:r w:rsidRPr="00944260">
              <w:rPr>
                <w:spacing w:val="-3"/>
              </w:rPr>
              <w:t>0.20</w:t>
            </w:r>
          </w:p>
        </w:tc>
        <w:tc>
          <w:tcPr>
            <w:tcW w:w="1638" w:type="dxa"/>
            <w:tcBorders>
              <w:bottom w:val="single" w:sz="4" w:space="0" w:color="auto"/>
            </w:tcBorders>
          </w:tcPr>
          <w:p w:rsidR="00F17976" w:rsidRPr="00944260" w:rsidRDefault="00FD474F" w:rsidP="001F2C06">
            <w:pPr>
              <w:tabs>
                <w:tab w:val="left" w:pos="0"/>
                <w:tab w:val="left" w:pos="720"/>
              </w:tabs>
              <w:suppressAutoHyphens/>
              <w:jc w:val="right"/>
              <w:rPr>
                <w:spacing w:val="-3"/>
              </w:rPr>
            </w:pPr>
            <w:r>
              <w:rPr>
                <w:spacing w:val="-3"/>
              </w:rPr>
              <w:t>20</w:t>
            </w:r>
          </w:p>
        </w:tc>
      </w:tr>
      <w:tr w:rsidR="00F17976" w:rsidRPr="00944260" w:rsidTr="001F2C06">
        <w:trPr>
          <w:jc w:val="right"/>
        </w:trPr>
        <w:tc>
          <w:tcPr>
            <w:tcW w:w="3960" w:type="dxa"/>
            <w:tcBorders>
              <w:bottom w:val="single" w:sz="4" w:space="0" w:color="auto"/>
            </w:tcBorders>
          </w:tcPr>
          <w:p w:rsidR="00F17976" w:rsidRPr="00944260" w:rsidRDefault="00F17976" w:rsidP="001F2C06">
            <w:pPr>
              <w:tabs>
                <w:tab w:val="left" w:pos="0"/>
                <w:tab w:val="left" w:pos="720"/>
              </w:tabs>
              <w:suppressAutoHyphens/>
              <w:rPr>
                <w:b/>
                <w:spacing w:val="-3"/>
              </w:rPr>
            </w:pPr>
            <w:r w:rsidRPr="00944260">
              <w:rPr>
                <w:b/>
                <w:spacing w:val="-3"/>
              </w:rPr>
              <w:t>Total</w:t>
            </w:r>
          </w:p>
        </w:tc>
        <w:tc>
          <w:tcPr>
            <w:tcW w:w="2160" w:type="dxa"/>
            <w:tcBorders>
              <w:bottom w:val="single" w:sz="4" w:space="0" w:color="auto"/>
            </w:tcBorders>
          </w:tcPr>
          <w:p w:rsidR="00F17976" w:rsidRPr="00944260" w:rsidRDefault="00F17976" w:rsidP="00FD474F">
            <w:pPr>
              <w:tabs>
                <w:tab w:val="left" w:pos="0"/>
                <w:tab w:val="left" w:pos="720"/>
              </w:tabs>
              <w:suppressAutoHyphens/>
              <w:jc w:val="right"/>
              <w:rPr>
                <w:b/>
                <w:spacing w:val="-3"/>
              </w:rPr>
            </w:pPr>
            <w:r>
              <w:rPr>
                <w:b/>
                <w:spacing w:val="-3"/>
              </w:rPr>
              <w:t>42</w:t>
            </w:r>
            <w:r w:rsidR="00FD474F">
              <w:rPr>
                <w:b/>
                <w:spacing w:val="-3"/>
              </w:rPr>
              <w:t>5</w:t>
            </w:r>
            <w:r>
              <w:rPr>
                <w:b/>
                <w:spacing w:val="-3"/>
              </w:rPr>
              <w:t>8</w:t>
            </w:r>
          </w:p>
        </w:tc>
        <w:tc>
          <w:tcPr>
            <w:tcW w:w="1710" w:type="dxa"/>
            <w:tcBorders>
              <w:bottom w:val="single" w:sz="4" w:space="0" w:color="auto"/>
            </w:tcBorders>
          </w:tcPr>
          <w:p w:rsidR="00F17976" w:rsidRPr="00944260" w:rsidRDefault="00F17976" w:rsidP="001F2C06">
            <w:pPr>
              <w:tabs>
                <w:tab w:val="left" w:pos="0"/>
                <w:tab w:val="left" w:pos="720"/>
              </w:tabs>
              <w:suppressAutoHyphens/>
              <w:jc w:val="right"/>
              <w:rPr>
                <w:b/>
                <w:spacing w:val="-3"/>
              </w:rPr>
            </w:pPr>
          </w:p>
        </w:tc>
        <w:tc>
          <w:tcPr>
            <w:tcW w:w="1638" w:type="dxa"/>
            <w:tcBorders>
              <w:bottom w:val="single" w:sz="4" w:space="0" w:color="auto"/>
            </w:tcBorders>
          </w:tcPr>
          <w:p w:rsidR="00F17976" w:rsidRPr="00944260" w:rsidRDefault="00EC6CC5" w:rsidP="00EC6CC5">
            <w:pPr>
              <w:tabs>
                <w:tab w:val="left" w:pos="0"/>
                <w:tab w:val="left" w:pos="720"/>
              </w:tabs>
              <w:suppressAutoHyphens/>
              <w:jc w:val="right"/>
              <w:rPr>
                <w:b/>
                <w:spacing w:val="-3"/>
              </w:rPr>
            </w:pPr>
            <w:r>
              <w:rPr>
                <w:b/>
                <w:spacing w:val="-3"/>
              </w:rPr>
              <w:t>32</w:t>
            </w:r>
            <w:r w:rsidR="00F17976" w:rsidRPr="00944260">
              <w:rPr>
                <w:b/>
                <w:spacing w:val="-3"/>
              </w:rPr>
              <w:t>,</w:t>
            </w:r>
            <w:r>
              <w:rPr>
                <w:b/>
                <w:spacing w:val="-3"/>
              </w:rPr>
              <w:t>961</w:t>
            </w:r>
          </w:p>
        </w:tc>
      </w:tr>
      <w:tr w:rsidR="00F17976" w:rsidRPr="00944260" w:rsidTr="001F2C06">
        <w:trPr>
          <w:jc w:val="right"/>
        </w:trPr>
        <w:tc>
          <w:tcPr>
            <w:tcW w:w="3960" w:type="dxa"/>
            <w:tcBorders>
              <w:top w:val="single" w:sz="4" w:space="0" w:color="auto"/>
            </w:tcBorders>
          </w:tcPr>
          <w:p w:rsidR="00F17976" w:rsidRPr="00944260" w:rsidRDefault="00F17976" w:rsidP="001F2C06">
            <w:pPr>
              <w:tabs>
                <w:tab w:val="left" w:pos="0"/>
                <w:tab w:val="left" w:pos="720"/>
              </w:tabs>
              <w:suppressAutoHyphens/>
              <w:rPr>
                <w:b/>
                <w:spacing w:val="-3"/>
              </w:rPr>
            </w:pPr>
            <w:r w:rsidRPr="00944260">
              <w:rPr>
                <w:b/>
                <w:spacing w:val="-3"/>
              </w:rPr>
              <w:t>Total Avg. Person Hours for FISAP and Reallocation Form</w:t>
            </w:r>
          </w:p>
        </w:tc>
        <w:tc>
          <w:tcPr>
            <w:tcW w:w="2160" w:type="dxa"/>
            <w:tcBorders>
              <w:top w:val="single" w:sz="4" w:space="0" w:color="auto"/>
            </w:tcBorders>
          </w:tcPr>
          <w:p w:rsidR="00F17976" w:rsidRPr="00944260" w:rsidRDefault="00F17976" w:rsidP="001F2C06">
            <w:pPr>
              <w:tabs>
                <w:tab w:val="left" w:pos="0"/>
                <w:tab w:val="left" w:pos="720"/>
              </w:tabs>
              <w:suppressAutoHyphens/>
              <w:jc w:val="right"/>
              <w:rPr>
                <w:spacing w:val="-3"/>
              </w:rPr>
            </w:pPr>
          </w:p>
        </w:tc>
        <w:tc>
          <w:tcPr>
            <w:tcW w:w="1710" w:type="dxa"/>
            <w:tcBorders>
              <w:top w:val="single" w:sz="4" w:space="0" w:color="auto"/>
            </w:tcBorders>
          </w:tcPr>
          <w:p w:rsidR="00F17976" w:rsidRPr="00944260" w:rsidRDefault="00F17976" w:rsidP="001F2C06">
            <w:pPr>
              <w:tabs>
                <w:tab w:val="left" w:pos="0"/>
                <w:tab w:val="left" w:pos="720"/>
              </w:tabs>
              <w:suppressAutoHyphens/>
              <w:jc w:val="right"/>
              <w:rPr>
                <w:spacing w:val="-3"/>
              </w:rPr>
            </w:pPr>
            <w:r w:rsidRPr="00944260">
              <w:rPr>
                <w:b/>
                <w:spacing w:val="-3"/>
              </w:rPr>
              <w:t>9.81</w:t>
            </w:r>
          </w:p>
        </w:tc>
        <w:tc>
          <w:tcPr>
            <w:tcW w:w="1638" w:type="dxa"/>
            <w:tcBorders>
              <w:top w:val="single" w:sz="4" w:space="0" w:color="auto"/>
            </w:tcBorders>
          </w:tcPr>
          <w:p w:rsidR="00F17976" w:rsidRPr="00944260" w:rsidRDefault="00F17976" w:rsidP="001F2C06">
            <w:pPr>
              <w:tabs>
                <w:tab w:val="left" w:pos="0"/>
                <w:tab w:val="left" w:pos="720"/>
              </w:tabs>
              <w:suppressAutoHyphens/>
              <w:jc w:val="right"/>
              <w:rPr>
                <w:spacing w:val="-3"/>
              </w:rPr>
            </w:pPr>
          </w:p>
        </w:tc>
      </w:tr>
    </w:tbl>
    <w:p w:rsidR="00B10A99" w:rsidRDefault="00B10A99">
      <w:r>
        <w:br w:type="page"/>
      </w:r>
    </w:p>
    <w:tbl>
      <w:tblPr>
        <w:tblW w:w="0" w:type="auto"/>
        <w:jc w:val="right"/>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2160"/>
        <w:gridCol w:w="1710"/>
        <w:gridCol w:w="1638"/>
      </w:tblGrid>
      <w:tr w:rsidR="00F17976" w:rsidRPr="00944260" w:rsidTr="001F2C06">
        <w:trPr>
          <w:jc w:val="right"/>
        </w:trPr>
        <w:tc>
          <w:tcPr>
            <w:tcW w:w="3960" w:type="dxa"/>
            <w:tcBorders>
              <w:top w:val="single" w:sz="36" w:space="0" w:color="auto"/>
            </w:tcBorders>
          </w:tcPr>
          <w:p w:rsidR="00F17976" w:rsidRPr="00944260" w:rsidRDefault="00F17976" w:rsidP="001F2C06">
            <w:pPr>
              <w:tabs>
                <w:tab w:val="left" w:pos="0"/>
                <w:tab w:val="left" w:pos="720"/>
              </w:tabs>
              <w:suppressAutoHyphens/>
              <w:rPr>
                <w:b/>
                <w:spacing w:val="-3"/>
              </w:rPr>
            </w:pPr>
            <w:r w:rsidRPr="00944260">
              <w:rPr>
                <w:b/>
                <w:spacing w:val="-3"/>
              </w:rPr>
              <w:lastRenderedPageBreak/>
              <w:t xml:space="preserve">Total Hour-Burden Cost </w:t>
            </w:r>
          </w:p>
        </w:tc>
        <w:tc>
          <w:tcPr>
            <w:tcW w:w="2160" w:type="dxa"/>
            <w:tcBorders>
              <w:top w:val="single" w:sz="36" w:space="0" w:color="auto"/>
            </w:tcBorders>
          </w:tcPr>
          <w:p w:rsidR="00F17976" w:rsidRPr="00944260" w:rsidRDefault="00F17976" w:rsidP="001F2C06">
            <w:pPr>
              <w:tabs>
                <w:tab w:val="left" w:pos="0"/>
                <w:tab w:val="left" w:pos="720"/>
              </w:tabs>
              <w:suppressAutoHyphens/>
              <w:jc w:val="right"/>
              <w:rPr>
                <w:spacing w:val="-3"/>
              </w:rPr>
            </w:pPr>
          </w:p>
        </w:tc>
        <w:tc>
          <w:tcPr>
            <w:tcW w:w="1710" w:type="dxa"/>
            <w:tcBorders>
              <w:top w:val="single" w:sz="36" w:space="0" w:color="auto"/>
            </w:tcBorders>
          </w:tcPr>
          <w:p w:rsidR="00F17976" w:rsidRPr="00944260" w:rsidRDefault="00F17976" w:rsidP="001F2C06">
            <w:pPr>
              <w:tabs>
                <w:tab w:val="left" w:pos="0"/>
                <w:tab w:val="left" w:pos="720"/>
              </w:tabs>
              <w:suppressAutoHyphens/>
              <w:jc w:val="right"/>
              <w:rPr>
                <w:spacing w:val="-3"/>
              </w:rPr>
            </w:pPr>
          </w:p>
        </w:tc>
        <w:tc>
          <w:tcPr>
            <w:tcW w:w="1638" w:type="dxa"/>
            <w:tcBorders>
              <w:top w:val="single" w:sz="36" w:space="0" w:color="auto"/>
            </w:tcBorders>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r w:rsidRPr="00944260">
              <w:rPr>
                <w:spacing w:val="-3"/>
              </w:rPr>
              <w:t>Total Respondents</w:t>
            </w:r>
          </w:p>
        </w:tc>
        <w:tc>
          <w:tcPr>
            <w:tcW w:w="2160" w:type="dxa"/>
          </w:tcPr>
          <w:p w:rsidR="00F17976" w:rsidRPr="00944260" w:rsidRDefault="00F17976" w:rsidP="001F2C06">
            <w:pPr>
              <w:tabs>
                <w:tab w:val="left" w:pos="0"/>
                <w:tab w:val="left" w:pos="720"/>
              </w:tabs>
              <w:suppressAutoHyphens/>
              <w:jc w:val="right"/>
              <w:rPr>
                <w:spacing w:val="-3"/>
              </w:rPr>
            </w:pPr>
            <w:r>
              <w:rPr>
                <w:spacing w:val="-3"/>
              </w:rPr>
              <w:t>425</w:t>
            </w:r>
            <w:r w:rsidR="00B10A99">
              <w:rPr>
                <w:spacing w:val="-3"/>
              </w:rPr>
              <w:t>8</w:t>
            </w: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r w:rsidRPr="00944260">
              <w:rPr>
                <w:spacing w:val="-3"/>
              </w:rPr>
              <w:t>Total Estimated Response Time (hrs.)</w:t>
            </w:r>
          </w:p>
        </w:tc>
        <w:tc>
          <w:tcPr>
            <w:tcW w:w="2160" w:type="dxa"/>
          </w:tcPr>
          <w:p w:rsidR="00F17976" w:rsidRPr="00944260" w:rsidRDefault="00F17976" w:rsidP="001F2C06">
            <w:pPr>
              <w:tabs>
                <w:tab w:val="left" w:pos="0"/>
                <w:tab w:val="left" w:pos="720"/>
              </w:tabs>
              <w:suppressAutoHyphens/>
              <w:jc w:val="right"/>
              <w:rPr>
                <w:spacing w:val="-3"/>
              </w:rPr>
            </w:pPr>
            <w:r w:rsidRPr="00944260">
              <w:rPr>
                <w:spacing w:val="-3"/>
              </w:rPr>
              <w:t>9.81</w:t>
            </w: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spacing w:val="-3"/>
              </w:rPr>
            </w:pPr>
            <w:r w:rsidRPr="00944260">
              <w:rPr>
                <w:spacing w:val="-3"/>
              </w:rPr>
              <w:t>Estimated hourly wage</w:t>
            </w:r>
          </w:p>
        </w:tc>
        <w:tc>
          <w:tcPr>
            <w:tcW w:w="2160" w:type="dxa"/>
          </w:tcPr>
          <w:p w:rsidR="00F17976" w:rsidRPr="00944260" w:rsidRDefault="00F17976" w:rsidP="001F2C06">
            <w:pPr>
              <w:tabs>
                <w:tab w:val="left" w:pos="0"/>
                <w:tab w:val="left" w:pos="720"/>
              </w:tabs>
              <w:suppressAutoHyphens/>
              <w:jc w:val="right"/>
              <w:rPr>
                <w:spacing w:val="-3"/>
              </w:rPr>
            </w:pPr>
            <w:r>
              <w:rPr>
                <w:spacing w:val="-3"/>
              </w:rPr>
              <w:t>$22.86</w:t>
            </w: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r w:rsidR="00B10A99" w:rsidRPr="00B10A99" w:rsidTr="001F2C06">
        <w:trPr>
          <w:jc w:val="right"/>
        </w:trPr>
        <w:tc>
          <w:tcPr>
            <w:tcW w:w="3960" w:type="dxa"/>
          </w:tcPr>
          <w:p w:rsidR="00B10A99" w:rsidRDefault="00B10A99" w:rsidP="001F2C06">
            <w:pPr>
              <w:tabs>
                <w:tab w:val="left" w:pos="0"/>
                <w:tab w:val="left" w:pos="720"/>
              </w:tabs>
              <w:suppressAutoHyphens/>
              <w:rPr>
                <w:spacing w:val="-3"/>
              </w:rPr>
            </w:pPr>
            <w:r w:rsidRPr="00B10A99">
              <w:rPr>
                <w:spacing w:val="-3"/>
              </w:rPr>
              <w:t>Cost per Respondent</w:t>
            </w:r>
          </w:p>
          <w:p w:rsidR="00B10A99" w:rsidRPr="00B10A99" w:rsidRDefault="00B10A99" w:rsidP="001F2C06">
            <w:pPr>
              <w:tabs>
                <w:tab w:val="left" w:pos="0"/>
                <w:tab w:val="left" w:pos="720"/>
              </w:tabs>
              <w:suppressAutoHyphens/>
              <w:rPr>
                <w:spacing w:val="-3"/>
              </w:rPr>
            </w:pPr>
            <w:r>
              <w:rPr>
                <w:spacing w:val="-3"/>
              </w:rPr>
              <w:t>(9.81 x 22.86)</w:t>
            </w:r>
          </w:p>
        </w:tc>
        <w:tc>
          <w:tcPr>
            <w:tcW w:w="2160" w:type="dxa"/>
          </w:tcPr>
          <w:p w:rsidR="00B10A99" w:rsidRPr="00B10A99" w:rsidRDefault="00B10A99" w:rsidP="001F2C06">
            <w:pPr>
              <w:tabs>
                <w:tab w:val="left" w:pos="0"/>
                <w:tab w:val="left" w:pos="720"/>
              </w:tabs>
              <w:suppressAutoHyphens/>
              <w:jc w:val="right"/>
              <w:rPr>
                <w:spacing w:val="-3"/>
              </w:rPr>
            </w:pPr>
            <w:r>
              <w:rPr>
                <w:spacing w:val="-3"/>
              </w:rPr>
              <w:t xml:space="preserve"> $224.26</w:t>
            </w:r>
          </w:p>
        </w:tc>
        <w:tc>
          <w:tcPr>
            <w:tcW w:w="1710" w:type="dxa"/>
          </w:tcPr>
          <w:p w:rsidR="00B10A99" w:rsidRPr="00B10A99" w:rsidRDefault="00B10A99" w:rsidP="001F2C06">
            <w:pPr>
              <w:tabs>
                <w:tab w:val="left" w:pos="0"/>
                <w:tab w:val="left" w:pos="720"/>
              </w:tabs>
              <w:suppressAutoHyphens/>
              <w:jc w:val="right"/>
              <w:rPr>
                <w:spacing w:val="-3"/>
              </w:rPr>
            </w:pPr>
          </w:p>
        </w:tc>
        <w:tc>
          <w:tcPr>
            <w:tcW w:w="1638" w:type="dxa"/>
          </w:tcPr>
          <w:p w:rsidR="00B10A99" w:rsidRPr="00B10A99" w:rsidRDefault="00B10A99" w:rsidP="001F2C06">
            <w:pPr>
              <w:tabs>
                <w:tab w:val="left" w:pos="0"/>
                <w:tab w:val="left" w:pos="720"/>
              </w:tabs>
              <w:suppressAutoHyphens/>
              <w:jc w:val="right"/>
              <w:rPr>
                <w:spacing w:val="-3"/>
              </w:rPr>
            </w:pPr>
          </w:p>
        </w:tc>
      </w:tr>
      <w:tr w:rsidR="00F17976" w:rsidRPr="00944260" w:rsidTr="001F2C06">
        <w:trPr>
          <w:jc w:val="right"/>
        </w:trPr>
        <w:tc>
          <w:tcPr>
            <w:tcW w:w="3960" w:type="dxa"/>
          </w:tcPr>
          <w:p w:rsidR="00F17976" w:rsidRPr="00944260" w:rsidRDefault="00F17976" w:rsidP="001F2C06">
            <w:pPr>
              <w:tabs>
                <w:tab w:val="left" w:pos="0"/>
                <w:tab w:val="left" w:pos="720"/>
              </w:tabs>
              <w:suppressAutoHyphens/>
              <w:rPr>
                <w:b/>
                <w:spacing w:val="-3"/>
              </w:rPr>
            </w:pPr>
            <w:r w:rsidRPr="00944260">
              <w:rPr>
                <w:b/>
                <w:spacing w:val="-3"/>
              </w:rPr>
              <w:t>Estimated Total Hour-Burden Cost – all respondents</w:t>
            </w:r>
          </w:p>
          <w:p w:rsidR="00F17976" w:rsidRPr="00280308" w:rsidRDefault="00F17976" w:rsidP="00B10A99">
            <w:pPr>
              <w:tabs>
                <w:tab w:val="left" w:pos="0"/>
                <w:tab w:val="left" w:pos="720"/>
              </w:tabs>
              <w:suppressAutoHyphens/>
              <w:rPr>
                <w:spacing w:val="-3"/>
              </w:rPr>
            </w:pPr>
            <w:r w:rsidRPr="00280308">
              <w:rPr>
                <w:spacing w:val="-3"/>
              </w:rPr>
              <w:t>(</w:t>
            </w:r>
            <w:r w:rsidR="00280308" w:rsidRPr="00280308">
              <w:rPr>
                <w:spacing w:val="-3"/>
              </w:rPr>
              <w:t>224.26 x 4258</w:t>
            </w:r>
            <w:r w:rsidRPr="00280308">
              <w:rPr>
                <w:spacing w:val="-3"/>
              </w:rPr>
              <w:t>)</w:t>
            </w:r>
          </w:p>
        </w:tc>
        <w:tc>
          <w:tcPr>
            <w:tcW w:w="2160" w:type="dxa"/>
          </w:tcPr>
          <w:p w:rsidR="00F17976" w:rsidRPr="00944260" w:rsidRDefault="00F17976" w:rsidP="001F2C06">
            <w:pPr>
              <w:tabs>
                <w:tab w:val="left" w:pos="0"/>
                <w:tab w:val="left" w:pos="720"/>
              </w:tabs>
              <w:suppressAutoHyphens/>
              <w:jc w:val="right"/>
              <w:rPr>
                <w:b/>
                <w:spacing w:val="-3"/>
              </w:rPr>
            </w:pPr>
            <w:r>
              <w:rPr>
                <w:b/>
                <w:spacing w:val="-3"/>
              </w:rPr>
              <w:t>$95</w:t>
            </w:r>
            <w:r w:rsidR="00B10A99">
              <w:rPr>
                <w:b/>
                <w:spacing w:val="-3"/>
              </w:rPr>
              <w:t>4,884.60</w:t>
            </w:r>
          </w:p>
        </w:tc>
        <w:tc>
          <w:tcPr>
            <w:tcW w:w="1710" w:type="dxa"/>
          </w:tcPr>
          <w:p w:rsidR="00F17976" w:rsidRPr="00944260" w:rsidRDefault="00F17976" w:rsidP="001F2C06">
            <w:pPr>
              <w:tabs>
                <w:tab w:val="left" w:pos="0"/>
                <w:tab w:val="left" w:pos="720"/>
              </w:tabs>
              <w:suppressAutoHyphens/>
              <w:jc w:val="right"/>
              <w:rPr>
                <w:spacing w:val="-3"/>
              </w:rPr>
            </w:pPr>
          </w:p>
        </w:tc>
        <w:tc>
          <w:tcPr>
            <w:tcW w:w="1638" w:type="dxa"/>
          </w:tcPr>
          <w:p w:rsidR="00F17976" w:rsidRPr="00944260" w:rsidRDefault="00F17976" w:rsidP="001F2C06">
            <w:pPr>
              <w:tabs>
                <w:tab w:val="left" w:pos="0"/>
                <w:tab w:val="left" w:pos="720"/>
              </w:tabs>
              <w:suppressAutoHyphens/>
              <w:jc w:val="right"/>
              <w:rPr>
                <w:spacing w:val="-3"/>
              </w:rPr>
            </w:pPr>
          </w:p>
        </w:tc>
      </w:tr>
    </w:tbl>
    <w:p w:rsidR="00386054" w:rsidRPr="00EF7FF5" w:rsidRDefault="00386054">
      <w:pPr>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 xml:space="preserve">13.  </w:t>
      </w:r>
      <w:r w:rsidRPr="00F17976">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F17976" w:rsidRDefault="00386054">
      <w:pPr>
        <w:tabs>
          <w:tab w:val="left" w:pos="-720"/>
        </w:tabs>
        <w:suppressAutoHyphens/>
        <w:rPr>
          <w:rFonts w:ascii="Times New Roman" w:hAnsi="Times New Roman"/>
          <w:b/>
          <w:szCs w:val="24"/>
        </w:rPr>
      </w:pPr>
    </w:p>
    <w:p w:rsidR="00386054" w:rsidRPr="00F17976" w:rsidRDefault="00386054">
      <w:pPr>
        <w:tabs>
          <w:tab w:val="left" w:pos="-720"/>
        </w:tabs>
        <w:suppressAutoHyphens/>
        <w:rPr>
          <w:rFonts w:ascii="Times New Roman" w:hAnsi="Times New Roman"/>
          <w:b/>
          <w:szCs w:val="24"/>
        </w:rPr>
      </w:pPr>
    </w:p>
    <w:p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17976" w:rsidRDefault="00386054">
      <w:pPr>
        <w:numPr>
          <w:ilvl w:val="12"/>
          <w:numId w:val="0"/>
        </w:numPr>
        <w:tabs>
          <w:tab w:val="left" w:pos="-720"/>
        </w:tabs>
        <w:suppressAutoHyphens/>
        <w:ind w:left="340"/>
        <w:rPr>
          <w:rFonts w:ascii="Times New Roman" w:hAnsi="Times New Roman"/>
          <w:b/>
          <w:szCs w:val="24"/>
        </w:rPr>
      </w:pPr>
    </w:p>
    <w:p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17976" w:rsidRDefault="00386054" w:rsidP="003C29C2">
      <w:pPr>
        <w:tabs>
          <w:tab w:val="left" w:pos="-720"/>
          <w:tab w:val="left" w:pos="1247"/>
        </w:tabs>
        <w:suppressAutoHyphens/>
        <w:rPr>
          <w:rFonts w:ascii="Times New Roman" w:hAnsi="Times New Roman"/>
          <w:b/>
          <w:szCs w:val="24"/>
        </w:rPr>
      </w:pPr>
    </w:p>
    <w:p w:rsidR="00386054" w:rsidRPr="00F17976" w:rsidRDefault="00386054" w:rsidP="003C29C2">
      <w:pPr>
        <w:tabs>
          <w:tab w:val="left" w:pos="-720"/>
          <w:tab w:val="left" w:pos="1247"/>
        </w:tabs>
        <w:suppressAutoHyphens/>
        <w:ind w:left="340"/>
        <w:rPr>
          <w:rFonts w:ascii="Times New Roman" w:hAnsi="Times New Roman"/>
          <w:b/>
          <w:szCs w:val="24"/>
        </w:rPr>
      </w:pPr>
    </w:p>
    <w:p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17976">
        <w:rPr>
          <w:rFonts w:ascii="Times New Roman" w:hAnsi="Times New Roman"/>
          <w:b/>
          <w:szCs w:val="24"/>
        </w:rPr>
        <w:t>government</w:t>
      </w:r>
      <w:r w:rsidRPr="00F17976">
        <w:rPr>
          <w:rFonts w:ascii="Times New Roman" w:hAnsi="Times New Roman"/>
          <w:b/>
          <w:szCs w:val="24"/>
        </w:rPr>
        <w:t xml:space="preserve"> or (4) as part of customary and usual business or private practices.</w:t>
      </w:r>
      <w:r w:rsidR="001743A5" w:rsidRPr="00F17976">
        <w:rPr>
          <w:rFonts w:ascii="Times New Roman" w:hAnsi="Times New Roman"/>
          <w:b/>
          <w:szCs w:val="24"/>
        </w:rPr>
        <w:t xml:space="preserve"> Also, these estimates should not include the hourly costs (i.e., the monetization of the hours) captured above in Item 12</w:t>
      </w:r>
    </w:p>
    <w:p w:rsidR="00386054" w:rsidRPr="00F17976" w:rsidRDefault="00386054">
      <w:pPr>
        <w:tabs>
          <w:tab w:val="left" w:pos="-720"/>
        </w:tabs>
        <w:suppressAutoHyphens/>
        <w:rPr>
          <w:rFonts w:ascii="Times New Roman" w:hAnsi="Times New Roman"/>
          <w:b/>
          <w:szCs w:val="24"/>
        </w:rPr>
      </w:pPr>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t>Total Annualized Capital/Startup Cost</w:t>
      </w:r>
      <w:r w:rsidRPr="00F17976">
        <w:rPr>
          <w:rFonts w:ascii="Times New Roman" w:hAnsi="Times New Roman"/>
          <w:b/>
          <w:szCs w:val="24"/>
        </w:rPr>
        <w:tab/>
        <w:t xml:space="preserve">: </w:t>
      </w:r>
      <w:bookmarkStart w:id="1" w:name="Startup"/>
      <w:r w:rsidR="00C52482" w:rsidRPr="00F17976">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17976">
        <w:rPr>
          <w:rFonts w:ascii="Times New Roman" w:hAnsi="Times New Roman"/>
          <w:b/>
          <w:szCs w:val="24"/>
        </w:rPr>
        <w:instrText xml:space="preserve"> FORMTEXT </w:instrText>
      </w:r>
      <w:r w:rsidR="00C52482" w:rsidRPr="00F17976">
        <w:rPr>
          <w:rFonts w:ascii="Times New Roman" w:hAnsi="Times New Roman"/>
          <w:b/>
          <w:szCs w:val="24"/>
        </w:rPr>
      </w:r>
      <w:r w:rsidR="00C52482" w:rsidRPr="00F17976">
        <w:rPr>
          <w:rFonts w:ascii="Times New Roman" w:hAnsi="Times New Roman"/>
          <w:b/>
          <w:szCs w:val="24"/>
        </w:rPr>
        <w:fldChar w:fldCharType="separate"/>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00C52482" w:rsidRPr="00F17976">
        <w:rPr>
          <w:rFonts w:ascii="Times New Roman" w:hAnsi="Times New Roman"/>
          <w:b/>
          <w:szCs w:val="24"/>
        </w:rPr>
        <w:fldChar w:fldCharType="end"/>
      </w:r>
      <w:bookmarkEnd w:id="1"/>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t>Total Annual Costs (O&amp;M)</w:t>
      </w:r>
      <w:r w:rsidRPr="00F17976">
        <w:rPr>
          <w:rFonts w:ascii="Times New Roman" w:hAnsi="Times New Roman"/>
          <w:b/>
          <w:szCs w:val="24"/>
        </w:rPr>
        <w:tab/>
      </w:r>
      <w:r w:rsidRPr="00F17976">
        <w:rPr>
          <w:rFonts w:ascii="Times New Roman" w:hAnsi="Times New Roman"/>
          <w:b/>
          <w:szCs w:val="24"/>
        </w:rPr>
        <w:tab/>
        <w:t xml:space="preserve">: </w:t>
      </w:r>
      <w:bookmarkStart w:id="2" w:name="OM"/>
      <w:r w:rsidR="00C52482" w:rsidRPr="00F17976">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F17976">
        <w:rPr>
          <w:rFonts w:ascii="Times New Roman" w:hAnsi="Times New Roman"/>
          <w:b/>
          <w:szCs w:val="24"/>
        </w:rPr>
        <w:instrText xml:space="preserve"> FORMTEXT </w:instrText>
      </w:r>
      <w:r w:rsidR="00C52482" w:rsidRPr="00F17976">
        <w:rPr>
          <w:rFonts w:ascii="Times New Roman" w:hAnsi="Times New Roman"/>
          <w:b/>
          <w:szCs w:val="24"/>
        </w:rPr>
      </w:r>
      <w:r w:rsidR="00C52482" w:rsidRPr="00F17976">
        <w:rPr>
          <w:rFonts w:ascii="Times New Roman" w:hAnsi="Times New Roman"/>
          <w:b/>
          <w:szCs w:val="24"/>
        </w:rPr>
        <w:fldChar w:fldCharType="separate"/>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00C52482" w:rsidRPr="00F17976">
        <w:rPr>
          <w:rFonts w:ascii="Times New Roman" w:hAnsi="Times New Roman"/>
          <w:b/>
          <w:szCs w:val="24"/>
        </w:rPr>
        <w:fldChar w:fldCharType="end"/>
      </w:r>
      <w:bookmarkEnd w:id="2"/>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t xml:space="preserve"> ____________________</w:t>
      </w:r>
    </w:p>
    <w:p w:rsidR="00386054" w:rsidRPr="00EF7FF5" w:rsidRDefault="00386054">
      <w:pPr>
        <w:tabs>
          <w:tab w:val="left" w:pos="-720"/>
        </w:tabs>
        <w:suppressAutoHyphens/>
        <w:rPr>
          <w:rFonts w:ascii="Times New Roman" w:hAnsi="Times New Roman"/>
          <w:szCs w:val="24"/>
        </w:rPr>
      </w:pPr>
      <w:r w:rsidRPr="00F17976">
        <w:rPr>
          <w:rFonts w:ascii="Times New Roman" w:hAnsi="Times New Roman"/>
          <w:b/>
          <w:szCs w:val="24"/>
        </w:rPr>
        <w:tab/>
        <w:t>Total Annualized Costs Requested</w:t>
      </w:r>
      <w:r w:rsidRPr="00F17976">
        <w:rPr>
          <w:rFonts w:ascii="Times New Roman" w:hAnsi="Times New Roman"/>
          <w:b/>
          <w:szCs w:val="24"/>
        </w:rPr>
        <w:tab/>
        <w:t xml:space="preserve">: </w:t>
      </w:r>
      <w:bookmarkStart w:id="3" w:name="Total_Cost"/>
      <w:r w:rsidR="00C52482"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C52482" w:rsidRPr="00EF7FF5">
        <w:rPr>
          <w:rFonts w:ascii="Times New Roman" w:hAnsi="Times New Roman"/>
          <w:szCs w:val="24"/>
        </w:rPr>
      </w:r>
      <w:r w:rsidR="00C52482"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C52482"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1F2C06" w:rsidRPr="00944260" w:rsidRDefault="001F2C06" w:rsidP="001F2C06">
      <w:pPr>
        <w:tabs>
          <w:tab w:val="left" w:pos="-720"/>
        </w:tabs>
        <w:suppressAutoHyphens/>
        <w:rPr>
          <w:rFonts w:ascii="Arial" w:hAnsi="Arial" w:cs="Arial"/>
        </w:rPr>
      </w:pPr>
      <w:r w:rsidRPr="00944260">
        <w:rPr>
          <w:rFonts w:ascii="Arial" w:hAnsi="Arial" w:cs="Arial"/>
        </w:rPr>
        <w:t>The nature of business for Title IV institutions (the respondents) is such that purchases of equipment and provision of services that are required for electronic processing of the FISAP and Reallocation form are a part of their customary and usual business practice. They are the type of equipment and services normally necessary to successfully operate any educational entity.</w:t>
      </w:r>
    </w:p>
    <w:p w:rsidR="001F2C06" w:rsidRPr="00944260" w:rsidRDefault="001F2C06" w:rsidP="001F2C06">
      <w:pPr>
        <w:tabs>
          <w:tab w:val="left" w:pos="-720"/>
        </w:tabs>
        <w:suppressAutoHyphens/>
        <w:rPr>
          <w:rFonts w:ascii="Arial" w:hAnsi="Arial" w:cs="Arial"/>
        </w:rPr>
      </w:pPr>
    </w:p>
    <w:p w:rsidR="001F2C06" w:rsidRPr="00944260" w:rsidRDefault="001F2C06" w:rsidP="001F2C06">
      <w:pPr>
        <w:tabs>
          <w:tab w:val="left" w:pos="-720"/>
        </w:tabs>
        <w:suppressAutoHyphens/>
        <w:rPr>
          <w:rFonts w:ascii="Arial" w:hAnsi="Arial" w:cs="Arial"/>
        </w:rPr>
      </w:pPr>
      <w:r w:rsidRPr="00944260">
        <w:rPr>
          <w:rFonts w:ascii="Arial" w:hAnsi="Arial" w:cs="Arial"/>
        </w:rPr>
        <w:t>The requirement to transmit the FISAP and Reallocation Form data electronically through eCB is not considered an increase in burden for most institutions.  Because thousands of institutions are already participating in other Title IV, they would have access to the Internet (web) in order to do business with the Department.</w:t>
      </w:r>
    </w:p>
    <w:p w:rsidR="00F17976" w:rsidRPr="00EF7FF5" w:rsidRDefault="00F17976">
      <w:pPr>
        <w:tabs>
          <w:tab w:val="left" w:pos="-720"/>
        </w:tabs>
        <w:suppressAutoHyphens/>
        <w:rPr>
          <w:rFonts w:ascii="Times New Roman" w:hAnsi="Times New Roman"/>
          <w:szCs w:val="24"/>
        </w:rPr>
      </w:pPr>
    </w:p>
    <w:p w:rsidR="00386054" w:rsidRPr="001F2C06" w:rsidRDefault="00386054">
      <w:pPr>
        <w:tabs>
          <w:tab w:val="left" w:pos="-720"/>
        </w:tabs>
        <w:suppressAutoHyphens/>
        <w:rPr>
          <w:rFonts w:ascii="Times New Roman" w:hAnsi="Times New Roman"/>
          <w:b/>
          <w:szCs w:val="24"/>
        </w:rPr>
      </w:pPr>
      <w:r w:rsidRPr="001F2C06">
        <w:rPr>
          <w:rFonts w:ascii="Times New Roman" w:hAnsi="Times New Roman"/>
          <w:b/>
          <w:szCs w:val="24"/>
        </w:rPr>
        <w:t xml:space="preserve">14. </w:t>
      </w:r>
      <w:r w:rsidRPr="001F2C06">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1F2C06" w:rsidRPr="00944260" w:rsidRDefault="001F2C06" w:rsidP="001F2C06">
      <w:pPr>
        <w:tabs>
          <w:tab w:val="left" w:pos="-720"/>
        </w:tabs>
        <w:suppressAutoHyphens/>
        <w:rPr>
          <w:rFonts w:ascii="Arial" w:hAnsi="Arial" w:cs="Arial"/>
        </w:rPr>
      </w:pPr>
      <w:r w:rsidRPr="00944260">
        <w:rPr>
          <w:rFonts w:ascii="Arial" w:hAnsi="Arial" w:cs="Arial"/>
        </w:rPr>
        <w:t xml:space="preserve">The matrix below describes the separate costs for the FISAP and the Reallocation Form and the combined total annual cost to the Federal Government of </w:t>
      </w:r>
      <w:r>
        <w:rPr>
          <w:rFonts w:ascii="Arial" w:hAnsi="Arial" w:cs="Arial"/>
          <w:spacing w:val="-3"/>
        </w:rPr>
        <w:t>$1,622,131.24.</w:t>
      </w:r>
    </w:p>
    <w:p w:rsidR="001F2C06" w:rsidRPr="00944260" w:rsidRDefault="001F2C06" w:rsidP="001F2C06">
      <w:pPr>
        <w:tabs>
          <w:tab w:val="left" w:pos="-720"/>
        </w:tabs>
        <w:suppressAutoHyphen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3"/>
        <w:gridCol w:w="2675"/>
      </w:tblGrid>
      <w:tr w:rsidR="001F2C06" w:rsidRPr="00944260" w:rsidTr="001F2C06">
        <w:trPr>
          <w:trHeight w:val="368"/>
        </w:trPr>
        <w:tc>
          <w:tcPr>
            <w:tcW w:w="9468" w:type="dxa"/>
            <w:gridSpan w:val="2"/>
            <w:tcBorders>
              <w:bottom w:val="single" w:sz="4" w:space="0" w:color="auto"/>
            </w:tcBorders>
            <w:vAlign w:val="center"/>
          </w:tcPr>
          <w:p w:rsidR="001F2C06" w:rsidRPr="00944260" w:rsidRDefault="001F2C06" w:rsidP="001F2C06">
            <w:pPr>
              <w:tabs>
                <w:tab w:val="left" w:pos="1440"/>
              </w:tabs>
              <w:suppressAutoHyphens/>
              <w:jc w:val="center"/>
              <w:rPr>
                <w:b/>
                <w:spacing w:val="-3"/>
              </w:rPr>
            </w:pPr>
            <w:r w:rsidRPr="00944260">
              <w:rPr>
                <w:b/>
                <w:spacing w:val="-3"/>
              </w:rPr>
              <w:t>FISAP</w:t>
            </w:r>
          </w:p>
        </w:tc>
      </w:tr>
      <w:tr w:rsidR="001F2C06" w:rsidRPr="00944260" w:rsidTr="001F2C06">
        <w:tc>
          <w:tcPr>
            <w:tcW w:w="9468" w:type="dxa"/>
            <w:gridSpan w:val="2"/>
          </w:tcPr>
          <w:p w:rsidR="001F2C06" w:rsidRPr="001D7691" w:rsidRDefault="001F2C06" w:rsidP="001F2C06">
            <w:pPr>
              <w:tabs>
                <w:tab w:val="left" w:pos="1440"/>
              </w:tabs>
              <w:suppressAutoHyphens/>
              <w:rPr>
                <w:spacing w:val="-3"/>
                <w:szCs w:val="24"/>
              </w:rPr>
            </w:pPr>
            <w:r w:rsidRPr="001D7691">
              <w:rPr>
                <w:b/>
                <w:spacing w:val="-3"/>
                <w:szCs w:val="24"/>
              </w:rPr>
              <w:t>FISAP Cost for Development of eCampus-Based FISAP on the Web</w:t>
            </w:r>
          </w:p>
          <w:p w:rsidR="001F2C06" w:rsidRPr="001D7691" w:rsidRDefault="001F2C06" w:rsidP="001F2C06">
            <w:pPr>
              <w:tabs>
                <w:tab w:val="left" w:pos="1440"/>
              </w:tabs>
              <w:suppressAutoHyphens/>
              <w:rPr>
                <w:spacing w:val="-3"/>
                <w:szCs w:val="24"/>
              </w:rPr>
            </w:pPr>
            <w:r w:rsidRPr="001D7691">
              <w:rPr>
                <w:spacing w:val="-3"/>
                <w:szCs w:val="24"/>
              </w:rPr>
              <w:t xml:space="preserve">Many tasks must be performed in order to develop the FISAP on the Web and make it available to campus-based participants.  Some of the major costs include the costs for contractor services, the development of web server programs, the Technical Reference, documents for posting on the web (i.e. Dear Partner Letters), and the FISAP Form and Instructions Booklet. The amount below reflects all of these campus-based programs cost to the Department.  </w:t>
            </w:r>
            <w:r w:rsidR="001D7691" w:rsidRPr="001D7691">
              <w:rPr>
                <w:spacing w:val="-3"/>
                <w:szCs w:val="24"/>
              </w:rPr>
              <w:t>There are no funds designated for Development at this time.</w:t>
            </w:r>
          </w:p>
        </w:tc>
      </w:tr>
      <w:tr w:rsidR="001F2C06" w:rsidRPr="00944260" w:rsidTr="001F2C06">
        <w:tc>
          <w:tcPr>
            <w:tcW w:w="6793" w:type="dxa"/>
            <w:tcBorders>
              <w:bottom w:val="single" w:sz="4" w:space="0" w:color="auto"/>
            </w:tcBorders>
          </w:tcPr>
          <w:p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Borders>
              <w:bottom w:val="single" w:sz="4" w:space="0" w:color="auto"/>
            </w:tcBorders>
          </w:tcPr>
          <w:p w:rsidR="001F2C06" w:rsidRPr="00944260" w:rsidRDefault="001D7691" w:rsidP="001F2C06">
            <w:pPr>
              <w:tabs>
                <w:tab w:val="left" w:pos="1440"/>
              </w:tabs>
              <w:suppressAutoHyphens/>
              <w:rPr>
                <w:spacing w:val="-3"/>
              </w:rPr>
            </w:pPr>
            <w:r>
              <w:rPr>
                <w:spacing w:val="-3"/>
              </w:rPr>
              <w:t>$0</w:t>
            </w:r>
          </w:p>
        </w:tc>
      </w:tr>
      <w:tr w:rsidR="001F2C06" w:rsidRPr="001D7691" w:rsidTr="001F2C06">
        <w:tc>
          <w:tcPr>
            <w:tcW w:w="9468" w:type="dxa"/>
            <w:gridSpan w:val="2"/>
          </w:tcPr>
          <w:p w:rsidR="001F2C06" w:rsidRPr="001D7691" w:rsidRDefault="001F2C06" w:rsidP="001F2C06">
            <w:pPr>
              <w:tabs>
                <w:tab w:val="left" w:pos="1440"/>
              </w:tabs>
              <w:suppressAutoHyphens/>
              <w:rPr>
                <w:rFonts w:ascii="Courier New" w:hAnsi="Courier New" w:cs="Courier New"/>
                <w:spacing w:val="-3"/>
              </w:rPr>
            </w:pPr>
            <w:r w:rsidRPr="001D7691">
              <w:rPr>
                <w:rFonts w:ascii="Courier New" w:hAnsi="Courier New" w:cs="Courier New"/>
                <w:b/>
                <w:spacing w:val="-3"/>
              </w:rPr>
              <w:t>FISAP Publication and Distribution Costs</w:t>
            </w:r>
          </w:p>
          <w:p w:rsidR="001F2C06" w:rsidRPr="001D7691" w:rsidRDefault="001F2C06" w:rsidP="001F2C06">
            <w:pPr>
              <w:pStyle w:val="BodyTextIndent2"/>
              <w:tabs>
                <w:tab w:val="left" w:pos="1540"/>
              </w:tabs>
              <w:ind w:left="0"/>
              <w:jc w:val="left"/>
              <w:rPr>
                <w:rFonts w:ascii="Courier New" w:hAnsi="Courier New" w:cs="Courier New"/>
                <w:spacing w:val="-3"/>
              </w:rPr>
            </w:pPr>
            <w:r w:rsidRPr="001D7691">
              <w:rPr>
                <w:rFonts w:ascii="Courier New" w:hAnsi="Courier New" w:cs="Courier New"/>
                <w:spacing w:val="-3"/>
              </w:rPr>
              <w:t>The FISAP on the Web cost is replacing the old Publication &amp; Distribution Cost calculation because it is no longer needed.</w:t>
            </w:r>
          </w:p>
        </w:tc>
      </w:tr>
      <w:tr w:rsidR="001F2C06" w:rsidRPr="00944260" w:rsidTr="001F2C06">
        <w:trPr>
          <w:trHeight w:val="377"/>
        </w:trPr>
        <w:tc>
          <w:tcPr>
            <w:tcW w:w="6793" w:type="dxa"/>
          </w:tcPr>
          <w:p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Pr>
          <w:p w:rsidR="001F2C06" w:rsidRPr="00944260" w:rsidRDefault="001F2C06" w:rsidP="001F2C06">
            <w:pPr>
              <w:tabs>
                <w:tab w:val="left" w:pos="1440"/>
              </w:tabs>
              <w:suppressAutoHyphens/>
              <w:rPr>
                <w:spacing w:val="-3"/>
              </w:rPr>
            </w:pPr>
            <w:r w:rsidRPr="00944260">
              <w:rPr>
                <w:spacing w:val="-3"/>
              </w:rPr>
              <w:t>$0</w:t>
            </w:r>
          </w:p>
        </w:tc>
      </w:tr>
    </w:tbl>
    <w:p w:rsidR="003958A5" w:rsidRDefault="003958A5">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3"/>
        <w:gridCol w:w="2675"/>
      </w:tblGrid>
      <w:tr w:rsidR="001F2C06" w:rsidRPr="00944260" w:rsidTr="001F2C06">
        <w:tc>
          <w:tcPr>
            <w:tcW w:w="9468" w:type="dxa"/>
            <w:gridSpan w:val="2"/>
          </w:tcPr>
          <w:p w:rsidR="001F2C06" w:rsidRPr="001D7691" w:rsidRDefault="001F2C06" w:rsidP="001F2C06">
            <w:pPr>
              <w:tabs>
                <w:tab w:val="left" w:pos="1440"/>
              </w:tabs>
              <w:suppressAutoHyphens/>
              <w:rPr>
                <w:b/>
                <w:spacing w:val="-3"/>
                <w:szCs w:val="24"/>
              </w:rPr>
            </w:pPr>
            <w:r w:rsidRPr="001D7691">
              <w:rPr>
                <w:b/>
                <w:spacing w:val="-3"/>
                <w:szCs w:val="24"/>
              </w:rPr>
              <w:lastRenderedPageBreak/>
              <w:t>FISAP Operations &amp; Maintenance Contract Costs</w:t>
            </w:r>
          </w:p>
          <w:p w:rsidR="001F2C06" w:rsidRPr="001D7691" w:rsidRDefault="001F2C06" w:rsidP="001F2C06">
            <w:pPr>
              <w:autoSpaceDE w:val="0"/>
              <w:autoSpaceDN w:val="0"/>
              <w:adjustRightInd w:val="0"/>
              <w:rPr>
                <w:szCs w:val="24"/>
              </w:rPr>
            </w:pPr>
            <w:r w:rsidRPr="001D7691">
              <w:rPr>
                <w:szCs w:val="24"/>
              </w:rPr>
              <w:t>2020, LLC</w:t>
            </w:r>
          </w:p>
          <w:p w:rsidR="001F2C06" w:rsidRPr="001D7691" w:rsidRDefault="001F2C06" w:rsidP="001F2C06">
            <w:pPr>
              <w:autoSpaceDE w:val="0"/>
              <w:autoSpaceDN w:val="0"/>
              <w:adjustRightInd w:val="0"/>
              <w:rPr>
                <w:szCs w:val="24"/>
              </w:rPr>
            </w:pPr>
            <w:r w:rsidRPr="001D7691">
              <w:rPr>
                <w:szCs w:val="24"/>
              </w:rPr>
              <w:t>3110 Fairview Park Drive</w:t>
            </w:r>
          </w:p>
          <w:p w:rsidR="001F2C06" w:rsidRPr="001D7691" w:rsidRDefault="001F2C06" w:rsidP="001F2C06">
            <w:pPr>
              <w:autoSpaceDE w:val="0"/>
              <w:autoSpaceDN w:val="0"/>
              <w:adjustRightInd w:val="0"/>
              <w:rPr>
                <w:szCs w:val="24"/>
              </w:rPr>
            </w:pPr>
            <w:r w:rsidRPr="001D7691">
              <w:rPr>
                <w:szCs w:val="24"/>
              </w:rPr>
              <w:t>Suite 950</w:t>
            </w:r>
          </w:p>
          <w:p w:rsidR="001F2C06" w:rsidRPr="001D7691" w:rsidRDefault="001F2C06" w:rsidP="001F2C06">
            <w:pPr>
              <w:tabs>
                <w:tab w:val="left" w:pos="0"/>
                <w:tab w:val="left" w:pos="720"/>
                <w:tab w:val="left" w:pos="1440"/>
              </w:tabs>
              <w:suppressAutoHyphens/>
              <w:ind w:left="2160" w:hanging="2160"/>
              <w:rPr>
                <w:spacing w:val="-3"/>
                <w:szCs w:val="24"/>
              </w:rPr>
            </w:pPr>
            <w:r w:rsidRPr="001D7691">
              <w:rPr>
                <w:szCs w:val="24"/>
              </w:rPr>
              <w:t xml:space="preserve">Falls Church, VA  22042   </w:t>
            </w:r>
          </w:p>
          <w:p w:rsidR="001F2C06" w:rsidRPr="001D7691" w:rsidRDefault="001F2C06" w:rsidP="001F2C06">
            <w:pPr>
              <w:tabs>
                <w:tab w:val="left" w:pos="1440"/>
              </w:tabs>
              <w:suppressAutoHyphens/>
              <w:rPr>
                <w:spacing w:val="-3"/>
                <w:szCs w:val="24"/>
              </w:rPr>
            </w:pPr>
          </w:p>
          <w:p w:rsidR="001F2C06" w:rsidRPr="001D7691" w:rsidRDefault="001F2C06" w:rsidP="001F2C06">
            <w:pPr>
              <w:tabs>
                <w:tab w:val="left" w:pos="1440"/>
              </w:tabs>
              <w:suppressAutoHyphens/>
              <w:rPr>
                <w:spacing w:val="-3"/>
                <w:szCs w:val="24"/>
              </w:rPr>
            </w:pPr>
            <w:r w:rsidRPr="001D7691">
              <w:rPr>
                <w:spacing w:val="-3"/>
                <w:szCs w:val="24"/>
              </w:rPr>
              <w:t>The cost of collecting and maintaining the data is justified because FISAP data is made available to, and widely used, throughout the Department for analysis, historical research, budget evaluations, audits, program reviews, OIG inquiries, etc.  In addition, the information collected justifies institutional funding for the next award period.</w:t>
            </w:r>
          </w:p>
          <w:p w:rsidR="001F2C06" w:rsidRPr="001D7691" w:rsidRDefault="001F2C06" w:rsidP="001F2C06">
            <w:pPr>
              <w:tabs>
                <w:tab w:val="left" w:pos="1440"/>
              </w:tabs>
              <w:suppressAutoHyphens/>
              <w:rPr>
                <w:spacing w:val="-3"/>
                <w:szCs w:val="24"/>
              </w:rPr>
            </w:pPr>
          </w:p>
          <w:p w:rsidR="001F2C06" w:rsidRPr="001D7691" w:rsidRDefault="001F2C06" w:rsidP="001F2C06">
            <w:pPr>
              <w:tabs>
                <w:tab w:val="left" w:pos="1440"/>
              </w:tabs>
              <w:suppressAutoHyphens/>
              <w:rPr>
                <w:spacing w:val="-3"/>
                <w:szCs w:val="24"/>
              </w:rPr>
            </w:pPr>
            <w:r w:rsidRPr="001D7691">
              <w:rPr>
                <w:spacing w:val="-3"/>
                <w:szCs w:val="24"/>
              </w:rPr>
              <w:t>The current annual O&amp;M costs for the eCB system include the FISAP and Reallocation forms as well as the TCLI Directory</w:t>
            </w:r>
            <w:r w:rsidR="003958A5" w:rsidRPr="001D7691">
              <w:rPr>
                <w:spacing w:val="-3"/>
                <w:szCs w:val="24"/>
              </w:rPr>
              <w:t>*</w:t>
            </w:r>
            <w:r w:rsidRPr="001D7691">
              <w:rPr>
                <w:spacing w:val="-3"/>
                <w:szCs w:val="24"/>
              </w:rPr>
              <w:t>, Work Colleges Application and Expenditure forms</w:t>
            </w:r>
            <w:r w:rsidR="003958A5" w:rsidRPr="001D7691">
              <w:rPr>
                <w:spacing w:val="-3"/>
                <w:szCs w:val="24"/>
              </w:rPr>
              <w:t>**</w:t>
            </w:r>
            <w:r w:rsidRPr="001D7691">
              <w:rPr>
                <w:spacing w:val="-3"/>
                <w:szCs w:val="24"/>
              </w:rPr>
              <w:t>, and the CTP-Intellectual disabilities form</w:t>
            </w:r>
            <w:r w:rsidR="003958A5" w:rsidRPr="001D7691">
              <w:rPr>
                <w:spacing w:val="-3"/>
                <w:szCs w:val="24"/>
              </w:rPr>
              <w:t>***</w:t>
            </w:r>
            <w:r w:rsidRPr="001D7691">
              <w:rPr>
                <w:spacing w:val="-3"/>
                <w:szCs w:val="24"/>
              </w:rPr>
              <w:t xml:space="preserve">.  </w:t>
            </w:r>
          </w:p>
          <w:p w:rsidR="003958A5" w:rsidRPr="001D7691" w:rsidRDefault="003958A5" w:rsidP="001F2C06">
            <w:pPr>
              <w:tabs>
                <w:tab w:val="left" w:pos="1440"/>
              </w:tabs>
              <w:suppressAutoHyphens/>
              <w:rPr>
                <w:spacing w:val="-3"/>
                <w:szCs w:val="24"/>
              </w:rPr>
            </w:pPr>
          </w:p>
          <w:p w:rsidR="003958A5" w:rsidRPr="001D7691" w:rsidRDefault="003958A5" w:rsidP="003958A5">
            <w:pPr>
              <w:tabs>
                <w:tab w:val="left" w:pos="1440"/>
              </w:tabs>
              <w:suppressAutoHyphens/>
              <w:rPr>
                <w:i/>
                <w:spacing w:val="-3"/>
                <w:szCs w:val="24"/>
              </w:rPr>
            </w:pPr>
            <w:r w:rsidRPr="001D7691">
              <w:rPr>
                <w:spacing w:val="-3"/>
                <w:szCs w:val="24"/>
              </w:rPr>
              <w:t>*</w:t>
            </w:r>
            <w:r w:rsidRPr="001D7691">
              <w:rPr>
                <w:i/>
                <w:spacing w:val="-3"/>
                <w:szCs w:val="24"/>
              </w:rPr>
              <w:t>The TCLI Directory is a separate data collection with OMB control number 1845-0077.</w:t>
            </w:r>
          </w:p>
          <w:p w:rsidR="003958A5" w:rsidRPr="001D7691" w:rsidRDefault="003958A5" w:rsidP="003958A5">
            <w:pPr>
              <w:tabs>
                <w:tab w:val="left" w:pos="1440"/>
              </w:tabs>
              <w:suppressAutoHyphens/>
              <w:rPr>
                <w:spacing w:val="-3"/>
                <w:szCs w:val="24"/>
              </w:rPr>
            </w:pPr>
          </w:p>
          <w:p w:rsidR="003958A5" w:rsidRPr="001D7691" w:rsidRDefault="003958A5" w:rsidP="003958A5">
            <w:pPr>
              <w:tabs>
                <w:tab w:val="left" w:pos="1440"/>
              </w:tabs>
              <w:suppressAutoHyphens/>
              <w:rPr>
                <w:i/>
                <w:spacing w:val="-3"/>
                <w:szCs w:val="24"/>
              </w:rPr>
            </w:pPr>
            <w:r w:rsidRPr="001D7691">
              <w:rPr>
                <w:spacing w:val="-3"/>
                <w:szCs w:val="24"/>
              </w:rPr>
              <w:t>**</w:t>
            </w:r>
            <w:r w:rsidRPr="001D7691">
              <w:rPr>
                <w:i/>
                <w:spacing w:val="-3"/>
                <w:szCs w:val="24"/>
              </w:rPr>
              <w:t>The number of schools participating in the Work Colleges program is static at 7 participants.  There is no OMB control number for this data collection.</w:t>
            </w:r>
          </w:p>
          <w:p w:rsidR="003958A5" w:rsidRPr="001D7691" w:rsidRDefault="003958A5" w:rsidP="003958A5">
            <w:pPr>
              <w:tabs>
                <w:tab w:val="left" w:pos="1440"/>
              </w:tabs>
              <w:suppressAutoHyphens/>
              <w:rPr>
                <w:spacing w:val="-3"/>
                <w:szCs w:val="24"/>
              </w:rPr>
            </w:pPr>
          </w:p>
          <w:p w:rsidR="003958A5" w:rsidRPr="001D7691" w:rsidRDefault="003958A5" w:rsidP="003958A5">
            <w:pPr>
              <w:tabs>
                <w:tab w:val="left" w:pos="1440"/>
              </w:tabs>
              <w:suppressAutoHyphens/>
              <w:rPr>
                <w:spacing w:val="-3"/>
                <w:szCs w:val="24"/>
              </w:rPr>
            </w:pPr>
            <w:r w:rsidRPr="001D7691">
              <w:rPr>
                <w:spacing w:val="-3"/>
                <w:szCs w:val="24"/>
              </w:rPr>
              <w:t>***</w:t>
            </w:r>
            <w:r w:rsidRPr="001D7691">
              <w:rPr>
                <w:i/>
                <w:spacing w:val="-3"/>
                <w:szCs w:val="24"/>
              </w:rPr>
              <w:t>The CTP is a new data collection that is being submitted under separate cover for a separate/new OMB control number.</w:t>
            </w:r>
          </w:p>
          <w:p w:rsidR="001F2C06" w:rsidRPr="001D7691" w:rsidRDefault="001F2C06" w:rsidP="001F2C06">
            <w:pPr>
              <w:tabs>
                <w:tab w:val="left" w:pos="1440"/>
              </w:tabs>
              <w:suppressAutoHyphens/>
              <w:rPr>
                <w:spacing w:val="-3"/>
                <w:szCs w:val="24"/>
              </w:rPr>
            </w:pPr>
          </w:p>
          <w:p w:rsidR="001F2C06" w:rsidRPr="001D7691" w:rsidRDefault="001F2C06" w:rsidP="001F2C06">
            <w:pPr>
              <w:tabs>
                <w:tab w:val="left" w:pos="1440"/>
              </w:tabs>
              <w:suppressAutoHyphens/>
              <w:rPr>
                <w:spacing w:val="-3"/>
                <w:szCs w:val="24"/>
              </w:rPr>
            </w:pPr>
            <w:r w:rsidRPr="001D7691">
              <w:rPr>
                <w:spacing w:val="-3"/>
                <w:szCs w:val="24"/>
              </w:rPr>
              <w:t>Note:</w:t>
            </w:r>
          </w:p>
          <w:p w:rsidR="001F2C06" w:rsidRPr="001D7691" w:rsidRDefault="001F2C06" w:rsidP="001F2C06">
            <w:pPr>
              <w:tabs>
                <w:tab w:val="left" w:pos="1440"/>
              </w:tabs>
              <w:suppressAutoHyphens/>
              <w:rPr>
                <w:spacing w:val="-3"/>
                <w:szCs w:val="24"/>
              </w:rPr>
            </w:pPr>
            <w:r w:rsidRPr="001D7691">
              <w:rPr>
                <w:spacing w:val="-3"/>
                <w:szCs w:val="24"/>
              </w:rPr>
              <w:t>Annual O&amp;M Contract cost - $1,576,390 = monthly cost $131,366 allotted as:</w:t>
            </w:r>
          </w:p>
          <w:p w:rsidR="001F2C06" w:rsidRPr="001D7691" w:rsidRDefault="001F2C06" w:rsidP="001F2C06">
            <w:pPr>
              <w:tabs>
                <w:tab w:val="left" w:pos="1440"/>
              </w:tabs>
              <w:suppressAutoHyphens/>
              <w:rPr>
                <w:spacing w:val="-3"/>
                <w:szCs w:val="24"/>
              </w:rPr>
            </w:pPr>
            <w:r w:rsidRPr="001D7691">
              <w:rPr>
                <w:spacing w:val="-3"/>
                <w:szCs w:val="24"/>
              </w:rPr>
              <w:t>FISAP (9 months) = $1,050,926</w:t>
            </w:r>
          </w:p>
          <w:p w:rsidR="001F2C06" w:rsidRPr="001D7691" w:rsidRDefault="001F2C06" w:rsidP="001F2C06">
            <w:pPr>
              <w:tabs>
                <w:tab w:val="left" w:pos="1440"/>
              </w:tabs>
              <w:suppressAutoHyphens/>
              <w:rPr>
                <w:spacing w:val="-3"/>
                <w:szCs w:val="24"/>
              </w:rPr>
            </w:pPr>
            <w:r w:rsidRPr="001D7691">
              <w:rPr>
                <w:spacing w:val="-3"/>
                <w:szCs w:val="24"/>
              </w:rPr>
              <w:t>Reallocation (1 month) = $131,366</w:t>
            </w:r>
          </w:p>
          <w:p w:rsidR="001F2C06" w:rsidRPr="001D7691" w:rsidRDefault="001F2C06" w:rsidP="001F2C06">
            <w:pPr>
              <w:tabs>
                <w:tab w:val="left" w:pos="1440"/>
              </w:tabs>
              <w:suppressAutoHyphens/>
              <w:rPr>
                <w:spacing w:val="-3"/>
                <w:szCs w:val="24"/>
              </w:rPr>
            </w:pPr>
            <w:r w:rsidRPr="001D7691">
              <w:rPr>
                <w:spacing w:val="-3"/>
                <w:szCs w:val="24"/>
              </w:rPr>
              <w:t>TCLI Directory (1 month) = $131,366</w:t>
            </w:r>
          </w:p>
          <w:p w:rsidR="001F2C06" w:rsidRPr="001D7691" w:rsidRDefault="001F2C06" w:rsidP="001F2C06">
            <w:pPr>
              <w:tabs>
                <w:tab w:val="left" w:pos="1440"/>
              </w:tabs>
              <w:suppressAutoHyphens/>
              <w:rPr>
                <w:spacing w:val="-3"/>
                <w:szCs w:val="24"/>
              </w:rPr>
            </w:pPr>
            <w:r w:rsidRPr="001D7691">
              <w:rPr>
                <w:spacing w:val="-3"/>
                <w:szCs w:val="24"/>
              </w:rPr>
              <w:t>Work Colleges (1 month) = $131,366</w:t>
            </w:r>
          </w:p>
          <w:p w:rsidR="001F2C06" w:rsidRPr="001D7691" w:rsidRDefault="001F2C06" w:rsidP="001F2C06">
            <w:pPr>
              <w:tabs>
                <w:tab w:val="left" w:pos="1440"/>
              </w:tabs>
              <w:suppressAutoHyphens/>
              <w:rPr>
                <w:spacing w:val="-3"/>
                <w:szCs w:val="24"/>
              </w:rPr>
            </w:pPr>
            <w:r w:rsidRPr="001D7691">
              <w:rPr>
                <w:spacing w:val="-3"/>
                <w:szCs w:val="24"/>
              </w:rPr>
              <w:t>CTP-Intellectual Disabilities (1 month) = $131,366</w:t>
            </w:r>
          </w:p>
          <w:p w:rsidR="001F2C06" w:rsidRPr="001D7691" w:rsidRDefault="001F2C06" w:rsidP="001F2C06">
            <w:pPr>
              <w:tabs>
                <w:tab w:val="left" w:pos="1440"/>
              </w:tabs>
              <w:suppressAutoHyphens/>
              <w:rPr>
                <w:spacing w:val="-3"/>
                <w:szCs w:val="24"/>
              </w:rPr>
            </w:pP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Pr>
                <w:b/>
                <w:spacing w:val="-3"/>
              </w:rPr>
              <w:t>Total (9</w:t>
            </w:r>
            <w:r w:rsidRPr="00944260">
              <w:rPr>
                <w:b/>
                <w:spacing w:val="-3"/>
              </w:rPr>
              <w:t xml:space="preserve"> months)</w:t>
            </w:r>
          </w:p>
        </w:tc>
        <w:tc>
          <w:tcPr>
            <w:tcW w:w="2675" w:type="dxa"/>
          </w:tcPr>
          <w:p w:rsidR="001F2C06" w:rsidRPr="00944260" w:rsidRDefault="001F2C06" w:rsidP="001F2C06">
            <w:pPr>
              <w:tabs>
                <w:tab w:val="left" w:pos="1440"/>
              </w:tabs>
              <w:suppressAutoHyphens/>
              <w:rPr>
                <w:spacing w:val="-3"/>
              </w:rPr>
            </w:pPr>
            <w:r w:rsidRPr="00944260">
              <w:rPr>
                <w:spacing w:val="-3"/>
              </w:rPr>
              <w:t>$</w:t>
            </w:r>
            <w:r>
              <w:rPr>
                <w:spacing w:val="-3"/>
              </w:rPr>
              <w:t>1,050,926.00</w:t>
            </w:r>
          </w:p>
        </w:tc>
      </w:tr>
    </w:tbl>
    <w:p w:rsidR="001F2C06" w:rsidRDefault="001F2C06" w:rsidP="001F2C06">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3"/>
        <w:gridCol w:w="2675"/>
      </w:tblGrid>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lastRenderedPageBreak/>
              <w:t>FISAP Staffing Operations and Overhead Costs</w:t>
            </w:r>
          </w:p>
          <w:p w:rsidR="001F2C06" w:rsidRPr="00944260" w:rsidRDefault="001F2C06" w:rsidP="001F2C06">
            <w:pPr>
              <w:tabs>
                <w:tab w:val="left" w:pos="1440"/>
              </w:tabs>
              <w:suppressAutoHyphens/>
              <w:rPr>
                <w:spacing w:val="-3"/>
              </w:rPr>
            </w:pPr>
            <w:r w:rsidRPr="00944260">
              <w:rPr>
                <w:spacing w:val="-3"/>
              </w:rPr>
              <w:t xml:space="preserve">A staff of </w:t>
            </w:r>
            <w:r>
              <w:rPr>
                <w:spacing w:val="-3"/>
              </w:rPr>
              <w:t>9 FTE’s</w:t>
            </w:r>
            <w:r w:rsidRPr="00944260">
              <w:rPr>
                <w:spacing w:val="-3"/>
              </w:rPr>
              <w:t xml:space="preserve"> is required for the effective and complete operation of the campus-based programs</w:t>
            </w:r>
            <w:r>
              <w:rPr>
                <w:spacing w:val="-3"/>
              </w:rPr>
              <w:t xml:space="preserve"> and the eCB system.  This includes the FISAP </w:t>
            </w:r>
            <w:r w:rsidRPr="0085344F">
              <w:rPr>
                <w:spacing w:val="-3"/>
              </w:rPr>
              <w:t>and Reallocation form</w:t>
            </w:r>
            <w:r w:rsidR="003958A5">
              <w:rPr>
                <w:spacing w:val="-3"/>
              </w:rPr>
              <w:t>s as well as the TCLI Directory</w:t>
            </w:r>
            <w:r w:rsidRPr="0085344F">
              <w:rPr>
                <w:spacing w:val="-3"/>
              </w:rPr>
              <w:t>, Work Colleges Application and Expenditure forms , and the CTP-In</w:t>
            </w:r>
            <w:r>
              <w:rPr>
                <w:spacing w:val="-3"/>
              </w:rPr>
              <w:t xml:space="preserve">tellectual disabilities form as footnoted on page 18.  </w:t>
            </w:r>
            <w:r w:rsidRPr="00944260">
              <w:rPr>
                <w:spacing w:val="-3"/>
              </w:rPr>
              <w:t xml:space="preserve">As the driving force in these operations, the FISAP is the instrument by which institutions request campus-based funding and report program expenditures.  The FISAP provides the data that is required to perform a variety of processes such as funding calculations, program compliance, analysis, customer service, information publication and distribution, accounting and fund control, etc. The types of program staff include managers, accountants, financial management specialists, technicians, systems analysts, and clerical staff.  The total amount of annual salaries devoted to eCampus-Based activities </w:t>
            </w:r>
            <w:r>
              <w:rPr>
                <w:spacing w:val="-3"/>
              </w:rPr>
              <w:t>is $1,417,77</w:t>
            </w:r>
            <w:r w:rsidRPr="00944260">
              <w:rPr>
                <w:spacing w:val="-3"/>
              </w:rPr>
              <w:t>3.00.</w:t>
            </w:r>
          </w:p>
          <w:p w:rsidR="001F2C06" w:rsidRPr="00944260" w:rsidRDefault="001F2C06" w:rsidP="001F2C06">
            <w:pPr>
              <w:tabs>
                <w:tab w:val="left" w:pos="1440"/>
              </w:tabs>
              <w:suppressAutoHyphens/>
              <w:rPr>
                <w:spacing w:val="-3"/>
              </w:rPr>
            </w:pPr>
          </w:p>
          <w:p w:rsidR="001F2C06" w:rsidRPr="00944260" w:rsidRDefault="001F2C06" w:rsidP="001F2C06">
            <w:pPr>
              <w:tabs>
                <w:tab w:val="left" w:pos="0"/>
                <w:tab w:val="left" w:pos="720"/>
              </w:tabs>
              <w:suppressAutoHyphens/>
              <w:rPr>
                <w:b/>
                <w:spacing w:val="-3"/>
              </w:rPr>
            </w:pPr>
            <w:r w:rsidRPr="00944260">
              <w:rPr>
                <w:spacing w:val="-3"/>
              </w:rPr>
              <w:t>Using the Salary Table 2011-DCB Effective January 2011, the average hourly wage of the cur</w:t>
            </w:r>
            <w:r>
              <w:rPr>
                <w:spacing w:val="-3"/>
              </w:rPr>
              <w:t>rent staff composition is $48.46</w:t>
            </w:r>
            <w:r w:rsidRPr="00944260">
              <w:rPr>
                <w:spacing w:val="-3"/>
              </w:rPr>
              <w:t xml:space="preserve">.  </w:t>
            </w:r>
          </w:p>
          <w:p w:rsidR="001F2C06" w:rsidRPr="00944260" w:rsidRDefault="001F2C06" w:rsidP="001F2C06">
            <w:pPr>
              <w:tabs>
                <w:tab w:val="left" w:pos="0"/>
                <w:tab w:val="left" w:pos="720"/>
              </w:tabs>
              <w:suppressAutoHyphens/>
              <w:rPr>
                <w:b/>
                <w:spacing w:val="-3"/>
              </w:rPr>
            </w:pPr>
          </w:p>
          <w:p w:rsidR="001F2C06" w:rsidRDefault="001F2C06" w:rsidP="001F2C06">
            <w:pPr>
              <w:tabs>
                <w:tab w:val="left" w:pos="0"/>
                <w:tab w:val="left" w:pos="720"/>
              </w:tabs>
              <w:suppressAutoHyphens/>
              <w:rPr>
                <w:spacing w:val="-3"/>
              </w:rPr>
            </w:pPr>
            <w:r>
              <w:rPr>
                <w:spacing w:val="-3"/>
              </w:rPr>
              <w:t>Note:</w:t>
            </w:r>
          </w:p>
          <w:p w:rsidR="001F2C06" w:rsidRDefault="001F2C06" w:rsidP="001F2C06">
            <w:pPr>
              <w:tabs>
                <w:tab w:val="left" w:pos="0"/>
                <w:tab w:val="left" w:pos="720"/>
              </w:tabs>
              <w:suppressAutoHyphens/>
              <w:rPr>
                <w:spacing w:val="-3"/>
              </w:rPr>
            </w:pPr>
            <w:r w:rsidRPr="00944260">
              <w:rPr>
                <w:spacing w:val="-3"/>
              </w:rPr>
              <w:t xml:space="preserve">The total amount of annual salaries devoted </w:t>
            </w:r>
            <w:r>
              <w:rPr>
                <w:spacing w:val="-3"/>
              </w:rPr>
              <w:t>eCB activities is divided as:</w:t>
            </w:r>
          </w:p>
          <w:p w:rsidR="001F2C06" w:rsidRDefault="001F2C06" w:rsidP="001F2C06">
            <w:pPr>
              <w:tabs>
                <w:tab w:val="left" w:pos="0"/>
                <w:tab w:val="left" w:pos="720"/>
              </w:tabs>
              <w:suppressAutoHyphens/>
              <w:rPr>
                <w:spacing w:val="-3"/>
              </w:rPr>
            </w:pPr>
            <w:r>
              <w:rPr>
                <w:spacing w:val="-3"/>
              </w:rPr>
              <w:t>Reallocation (3 staff @ 120 hrs ea x $48.46) = $17,445.60</w:t>
            </w:r>
          </w:p>
          <w:p w:rsidR="001F2C06" w:rsidRDefault="001F2C06" w:rsidP="001F2C06">
            <w:pPr>
              <w:tabs>
                <w:tab w:val="left" w:pos="0"/>
                <w:tab w:val="left" w:pos="720"/>
              </w:tabs>
              <w:suppressAutoHyphens/>
              <w:rPr>
                <w:spacing w:val="-3"/>
              </w:rPr>
            </w:pPr>
            <w:r>
              <w:rPr>
                <w:spacing w:val="-3"/>
              </w:rPr>
              <w:t>TCLI Directory (1 staff @ 80 hrs x $48.46) = $3,876.80</w:t>
            </w:r>
          </w:p>
          <w:p w:rsidR="001F2C06" w:rsidRDefault="001F2C06" w:rsidP="001F2C06">
            <w:pPr>
              <w:tabs>
                <w:tab w:val="left" w:pos="0"/>
                <w:tab w:val="left" w:pos="720"/>
              </w:tabs>
              <w:suppressAutoHyphens/>
              <w:rPr>
                <w:spacing w:val="-3"/>
              </w:rPr>
            </w:pPr>
            <w:r>
              <w:rPr>
                <w:spacing w:val="-3"/>
              </w:rPr>
              <w:t>Work Colleges (1 staff @ 160 hrs x $48.46) = $7,753.60</w:t>
            </w:r>
          </w:p>
          <w:p w:rsidR="001F2C06" w:rsidRDefault="001F2C06" w:rsidP="001F2C06">
            <w:pPr>
              <w:tabs>
                <w:tab w:val="left" w:pos="0"/>
                <w:tab w:val="left" w:pos="720"/>
              </w:tabs>
              <w:suppressAutoHyphens/>
              <w:rPr>
                <w:spacing w:val="-3"/>
              </w:rPr>
            </w:pPr>
            <w:r>
              <w:rPr>
                <w:spacing w:val="-3"/>
              </w:rPr>
              <w:t>CTP-Intellectual Disabilities (1 staff @ 160 hrs x $48.46) = $7,753.60</w:t>
            </w:r>
          </w:p>
          <w:p w:rsidR="001F2C06" w:rsidRDefault="001F2C06" w:rsidP="001F2C06">
            <w:pPr>
              <w:tabs>
                <w:tab w:val="left" w:pos="0"/>
                <w:tab w:val="left" w:pos="720"/>
              </w:tabs>
              <w:suppressAutoHyphens/>
              <w:rPr>
                <w:spacing w:val="-3"/>
              </w:rPr>
            </w:pPr>
            <w:r>
              <w:rPr>
                <w:spacing w:val="-3"/>
              </w:rPr>
              <w:t>FISAP (Total salaries less Reallocation, TCLI Directory, Work Colleges, CTP-Intellectual Disabilities) = $1,380,943.40</w:t>
            </w:r>
          </w:p>
          <w:p w:rsidR="001F2C06" w:rsidRPr="00944260" w:rsidRDefault="001F2C06" w:rsidP="001F2C06">
            <w:pPr>
              <w:tabs>
                <w:tab w:val="left" w:pos="0"/>
                <w:tab w:val="left" w:pos="720"/>
              </w:tabs>
              <w:suppressAutoHyphens/>
              <w:rPr>
                <w:spacing w:val="-3"/>
              </w:rPr>
            </w:pP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Yearly Staff Costs</w:t>
            </w:r>
          </w:p>
        </w:tc>
        <w:tc>
          <w:tcPr>
            <w:tcW w:w="2675" w:type="dxa"/>
          </w:tcPr>
          <w:p w:rsidR="001F2C06" w:rsidRPr="00944260" w:rsidRDefault="001F2C06" w:rsidP="001F2C06">
            <w:pPr>
              <w:tabs>
                <w:tab w:val="left" w:pos="1440"/>
              </w:tabs>
              <w:suppressAutoHyphens/>
              <w:rPr>
                <w:spacing w:val="-3"/>
              </w:rPr>
            </w:pPr>
            <w:r w:rsidRPr="00944260">
              <w:rPr>
                <w:spacing w:val="-3"/>
              </w:rPr>
              <w:t>$1,</w:t>
            </w:r>
            <w:r>
              <w:rPr>
                <w:spacing w:val="-3"/>
              </w:rPr>
              <w:t>380,943.40</w:t>
            </w:r>
          </w:p>
        </w:tc>
      </w:tr>
      <w:tr w:rsidR="001F2C06" w:rsidRPr="00944260" w:rsidTr="001F2C06">
        <w:tc>
          <w:tcPr>
            <w:tcW w:w="9468" w:type="dxa"/>
            <w:gridSpan w:val="2"/>
          </w:tcPr>
          <w:p w:rsidR="001F2C06" w:rsidRPr="00944260" w:rsidRDefault="001F2C06" w:rsidP="001F2C06">
            <w:pPr>
              <w:tabs>
                <w:tab w:val="left" w:pos="0"/>
                <w:tab w:val="left" w:pos="720"/>
              </w:tabs>
              <w:suppressAutoHyphens/>
              <w:rPr>
                <w:b/>
                <w:spacing w:val="-3"/>
              </w:rPr>
            </w:pPr>
            <w:r w:rsidRPr="00944260">
              <w:rPr>
                <w:b/>
                <w:spacing w:val="-3"/>
              </w:rPr>
              <w:t>FISAP Yearly Overhead Costs</w:t>
            </w:r>
          </w:p>
          <w:p w:rsidR="001F2C06" w:rsidRPr="00944260" w:rsidRDefault="001F2C06" w:rsidP="001F2C06">
            <w:pPr>
              <w:tabs>
                <w:tab w:val="left" w:pos="0"/>
                <w:tab w:val="left" w:pos="720"/>
              </w:tabs>
              <w:suppressAutoHyphens/>
              <w:rPr>
                <w:spacing w:val="-3"/>
              </w:rPr>
            </w:pPr>
            <w:r w:rsidRPr="00944260">
              <w:rPr>
                <w:spacing w:val="-3"/>
              </w:rPr>
              <w:t>A standard budget estimate of 16% was used to determine the overhead costs of staff operations including such items as equipment, utilities, work materials, etc.</w:t>
            </w:r>
            <w:r>
              <w:rPr>
                <w:spacing w:val="-3"/>
              </w:rPr>
              <w:t xml:space="preserve"> ($1,380,943.40 x 16% = $220,950.94</w:t>
            </w:r>
            <w:r w:rsidRPr="00944260">
              <w:rPr>
                <w:spacing w:val="-3"/>
              </w:rPr>
              <w:t>)</w:t>
            </w:r>
          </w:p>
        </w:tc>
      </w:tr>
      <w:tr w:rsidR="001F2C06" w:rsidRPr="00944260" w:rsidTr="001F2C06">
        <w:tc>
          <w:tcPr>
            <w:tcW w:w="6793" w:type="dxa"/>
            <w:tcBorders>
              <w:bottom w:val="single" w:sz="4" w:space="0" w:color="auto"/>
            </w:tcBorders>
          </w:tcPr>
          <w:p w:rsidR="001F2C06" w:rsidRPr="00944260" w:rsidRDefault="001F2C06" w:rsidP="001F2C06">
            <w:pPr>
              <w:tabs>
                <w:tab w:val="left" w:pos="1440"/>
              </w:tabs>
              <w:suppressAutoHyphens/>
              <w:jc w:val="right"/>
              <w:rPr>
                <w:b/>
                <w:spacing w:val="-3"/>
              </w:rPr>
            </w:pPr>
            <w:r w:rsidRPr="00944260">
              <w:rPr>
                <w:b/>
                <w:spacing w:val="-3"/>
              </w:rPr>
              <w:t>Yearly Overhead Costs</w:t>
            </w:r>
          </w:p>
        </w:tc>
        <w:tc>
          <w:tcPr>
            <w:tcW w:w="2675" w:type="dxa"/>
            <w:tcBorders>
              <w:bottom w:val="single" w:sz="4" w:space="0" w:color="auto"/>
            </w:tcBorders>
          </w:tcPr>
          <w:p w:rsidR="001F2C06" w:rsidRPr="00944260" w:rsidRDefault="001F2C06" w:rsidP="001F2C06">
            <w:pPr>
              <w:tabs>
                <w:tab w:val="left" w:pos="1440"/>
              </w:tabs>
              <w:suppressAutoHyphens/>
              <w:rPr>
                <w:spacing w:val="-3"/>
              </w:rPr>
            </w:pPr>
            <w:r w:rsidRPr="00944260">
              <w:rPr>
                <w:spacing w:val="-3"/>
              </w:rPr>
              <w:t>$   2</w:t>
            </w:r>
            <w:r>
              <w:rPr>
                <w:spacing w:val="-3"/>
              </w:rPr>
              <w:t>20,950.94</w:t>
            </w:r>
          </w:p>
        </w:tc>
      </w:tr>
      <w:tr w:rsidR="001F2C06" w:rsidRPr="00944260" w:rsidTr="001F2C06">
        <w:tc>
          <w:tcPr>
            <w:tcW w:w="6793" w:type="dxa"/>
            <w:tcBorders>
              <w:bottom w:val="single" w:sz="24" w:space="0" w:color="auto"/>
            </w:tcBorders>
          </w:tcPr>
          <w:p w:rsidR="001F2C06" w:rsidRPr="00944260" w:rsidRDefault="001F2C06" w:rsidP="001F2C06">
            <w:pPr>
              <w:tabs>
                <w:tab w:val="left" w:pos="1440"/>
              </w:tabs>
              <w:suppressAutoHyphens/>
              <w:jc w:val="right"/>
              <w:rPr>
                <w:b/>
                <w:spacing w:val="-3"/>
              </w:rPr>
            </w:pPr>
            <w:r w:rsidRPr="00944260">
              <w:rPr>
                <w:b/>
                <w:spacing w:val="-3"/>
              </w:rPr>
              <w:t>Total Staff and Overhead Costs</w:t>
            </w:r>
          </w:p>
        </w:tc>
        <w:tc>
          <w:tcPr>
            <w:tcW w:w="2675" w:type="dxa"/>
            <w:tcBorders>
              <w:bottom w:val="single" w:sz="24" w:space="0" w:color="auto"/>
            </w:tcBorders>
          </w:tcPr>
          <w:p w:rsidR="001F2C06" w:rsidRPr="00944260" w:rsidRDefault="001F2C06" w:rsidP="001F2C06">
            <w:pPr>
              <w:tabs>
                <w:tab w:val="left" w:pos="1440"/>
              </w:tabs>
              <w:suppressAutoHyphens/>
              <w:rPr>
                <w:spacing w:val="-3"/>
              </w:rPr>
            </w:pPr>
            <w:r w:rsidRPr="00944260">
              <w:rPr>
                <w:spacing w:val="-3"/>
              </w:rPr>
              <w:t>$1,</w:t>
            </w:r>
            <w:r>
              <w:rPr>
                <w:spacing w:val="-3"/>
              </w:rPr>
              <w:t>601,894.34</w:t>
            </w:r>
          </w:p>
        </w:tc>
      </w:tr>
    </w:tbl>
    <w:p w:rsidR="001F2C06" w:rsidRPr="00944260" w:rsidRDefault="001F2C06" w:rsidP="001F2C06">
      <w:r w:rsidRPr="00944260">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3"/>
        <w:gridCol w:w="2675"/>
      </w:tblGrid>
      <w:tr w:rsidR="001F2C06" w:rsidRPr="00944260" w:rsidTr="001F2C06">
        <w:trPr>
          <w:trHeight w:val="350"/>
        </w:trPr>
        <w:tc>
          <w:tcPr>
            <w:tcW w:w="9468" w:type="dxa"/>
            <w:gridSpan w:val="2"/>
            <w:tcBorders>
              <w:top w:val="single" w:sz="4" w:space="0" w:color="auto"/>
            </w:tcBorders>
            <w:vAlign w:val="center"/>
          </w:tcPr>
          <w:p w:rsidR="001F2C06" w:rsidRPr="00944260" w:rsidRDefault="001F2C06" w:rsidP="001F2C06">
            <w:pPr>
              <w:tabs>
                <w:tab w:val="left" w:pos="1440"/>
              </w:tabs>
              <w:suppressAutoHyphens/>
              <w:jc w:val="center"/>
              <w:rPr>
                <w:b/>
                <w:spacing w:val="-3"/>
              </w:rPr>
            </w:pPr>
            <w:r w:rsidRPr="00944260">
              <w:rPr>
                <w:b/>
                <w:spacing w:val="-3"/>
              </w:rPr>
              <w:lastRenderedPageBreak/>
              <w:t>Reallocation Form</w:t>
            </w:r>
          </w:p>
        </w:tc>
      </w:tr>
      <w:tr w:rsidR="001F2C06" w:rsidRPr="00944260" w:rsidTr="001F2C06">
        <w:tc>
          <w:tcPr>
            <w:tcW w:w="9468" w:type="dxa"/>
            <w:gridSpan w:val="2"/>
          </w:tcPr>
          <w:p w:rsidR="001F2C06" w:rsidRPr="00944260" w:rsidRDefault="001F2C06" w:rsidP="001F2C06">
            <w:pPr>
              <w:tabs>
                <w:tab w:val="left" w:pos="0"/>
              </w:tabs>
              <w:suppressAutoHyphens/>
              <w:rPr>
                <w:b/>
                <w:spacing w:val="-3"/>
              </w:rPr>
            </w:pPr>
            <w:r w:rsidRPr="00944260">
              <w:rPr>
                <w:b/>
                <w:spacing w:val="-3"/>
              </w:rPr>
              <w:t>Reallocation Form Publication and Distribution</w:t>
            </w:r>
          </w:p>
          <w:p w:rsidR="001F2C06" w:rsidRPr="00944260" w:rsidRDefault="001F2C06" w:rsidP="001F2C06">
            <w:pPr>
              <w:tabs>
                <w:tab w:val="left" w:pos="0"/>
                <w:tab w:val="left" w:pos="720"/>
              </w:tabs>
              <w:suppressAutoHyphens/>
              <w:rPr>
                <w:spacing w:val="-3"/>
              </w:rPr>
            </w:pPr>
            <w:r w:rsidRPr="00944260">
              <w:rPr>
                <w:spacing w:val="-3"/>
              </w:rPr>
              <w:t>Publication and distribution cost to the campus-based programs has been eliminated. The conversion to the eCampus-Based FISAP on the web has transferred all costs, including software production and distribution, into the overall contract for services made by the Department.</w:t>
            </w: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Pr>
          <w:p w:rsidR="001F2C06" w:rsidRPr="00944260" w:rsidRDefault="001F2C06" w:rsidP="001F2C06">
            <w:pPr>
              <w:tabs>
                <w:tab w:val="left" w:pos="1440"/>
              </w:tabs>
              <w:suppressAutoHyphens/>
              <w:rPr>
                <w:spacing w:val="-3"/>
              </w:rPr>
            </w:pPr>
            <w:r w:rsidRPr="00944260">
              <w:rPr>
                <w:spacing w:val="-3"/>
              </w:rPr>
              <w:t>$0</w:t>
            </w:r>
          </w:p>
        </w:tc>
      </w:tr>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t>Reallocation Form Operations &amp; Maintenance Contract Costs</w:t>
            </w:r>
          </w:p>
          <w:p w:rsidR="001F2C06" w:rsidRPr="00944260" w:rsidRDefault="001F2C06" w:rsidP="001F2C06">
            <w:pPr>
              <w:autoSpaceDE w:val="0"/>
              <w:autoSpaceDN w:val="0"/>
              <w:adjustRightInd w:val="0"/>
            </w:pPr>
            <w:r w:rsidRPr="00944260">
              <w:t>2020, LLC</w:t>
            </w:r>
          </w:p>
          <w:p w:rsidR="001F2C06" w:rsidRPr="00944260" w:rsidRDefault="001F2C06" w:rsidP="001F2C06">
            <w:pPr>
              <w:autoSpaceDE w:val="0"/>
              <w:autoSpaceDN w:val="0"/>
              <w:adjustRightInd w:val="0"/>
            </w:pPr>
            <w:r w:rsidRPr="00944260">
              <w:t>3110 Fairview Park Drive</w:t>
            </w:r>
          </w:p>
          <w:p w:rsidR="001F2C06" w:rsidRPr="00944260" w:rsidRDefault="001F2C06" w:rsidP="001F2C06">
            <w:pPr>
              <w:autoSpaceDE w:val="0"/>
              <w:autoSpaceDN w:val="0"/>
              <w:adjustRightInd w:val="0"/>
            </w:pPr>
            <w:r w:rsidRPr="00944260">
              <w:t>Suite 950</w:t>
            </w:r>
          </w:p>
          <w:p w:rsidR="001F2C06" w:rsidRPr="00944260" w:rsidRDefault="001F2C06" w:rsidP="001F2C06">
            <w:pPr>
              <w:tabs>
                <w:tab w:val="left" w:pos="0"/>
                <w:tab w:val="left" w:pos="720"/>
                <w:tab w:val="left" w:pos="1440"/>
              </w:tabs>
              <w:suppressAutoHyphens/>
              <w:ind w:left="2160" w:hanging="2160"/>
              <w:rPr>
                <w:spacing w:val="-3"/>
              </w:rPr>
            </w:pPr>
            <w:r w:rsidRPr="00944260">
              <w:t xml:space="preserve">Falls Church, VA  22042   </w:t>
            </w:r>
          </w:p>
          <w:p w:rsidR="001F2C06" w:rsidRPr="00944260" w:rsidRDefault="001F2C06" w:rsidP="001F2C06">
            <w:pPr>
              <w:tabs>
                <w:tab w:val="left" w:pos="1440"/>
              </w:tabs>
              <w:suppressAutoHyphens/>
              <w:rPr>
                <w:spacing w:val="-3"/>
              </w:rPr>
            </w:pP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Total (1 month)</w:t>
            </w:r>
          </w:p>
        </w:tc>
        <w:tc>
          <w:tcPr>
            <w:tcW w:w="2675" w:type="dxa"/>
          </w:tcPr>
          <w:p w:rsidR="001F2C06" w:rsidRPr="00944260" w:rsidRDefault="001F2C06" w:rsidP="001F2C06">
            <w:pPr>
              <w:tabs>
                <w:tab w:val="left" w:pos="1440"/>
              </w:tabs>
              <w:suppressAutoHyphens/>
              <w:rPr>
                <w:spacing w:val="-3"/>
              </w:rPr>
            </w:pPr>
            <w:r w:rsidRPr="00944260">
              <w:rPr>
                <w:spacing w:val="-3"/>
              </w:rPr>
              <w:t>$</w:t>
            </w:r>
            <w:r>
              <w:rPr>
                <w:spacing w:val="-3"/>
              </w:rPr>
              <w:t xml:space="preserve"> </w:t>
            </w:r>
            <w:r w:rsidRPr="00060156">
              <w:rPr>
                <w:spacing w:val="-3"/>
              </w:rPr>
              <w:t>131,366</w:t>
            </w:r>
            <w:r>
              <w:rPr>
                <w:spacing w:val="-3"/>
              </w:rPr>
              <w:t xml:space="preserve">.00 </w:t>
            </w:r>
          </w:p>
        </w:tc>
      </w:tr>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t>Reallocation Form Staffing Operations and Overhead Costs</w:t>
            </w:r>
          </w:p>
          <w:p w:rsidR="001F2C06" w:rsidRPr="00944260" w:rsidRDefault="001F2C06" w:rsidP="001F2C06">
            <w:pPr>
              <w:tabs>
                <w:tab w:val="left" w:pos="1440"/>
              </w:tabs>
              <w:suppressAutoHyphens/>
              <w:rPr>
                <w:spacing w:val="-3"/>
              </w:rPr>
            </w:pPr>
            <w:r w:rsidRPr="00944260">
              <w:rPr>
                <w:spacing w:val="-3"/>
              </w:rPr>
              <w:t xml:space="preserve">A staff of 3 is required for the effective and complete operation of the campus-based programs Reallocation process.  While the FISAP is the instrument by which institutions request campus-based funding and report program expenditures, the Campus-Based Reallocation Form is used to provide information that is needed prior to the annual submission of the FISAP.  </w:t>
            </w:r>
          </w:p>
          <w:p w:rsidR="001F2C06" w:rsidRPr="00944260" w:rsidRDefault="001F2C06" w:rsidP="001F2C06">
            <w:pPr>
              <w:tabs>
                <w:tab w:val="left" w:pos="1440"/>
              </w:tabs>
              <w:suppressAutoHyphens/>
              <w:rPr>
                <w:spacing w:val="-3"/>
              </w:rPr>
            </w:pPr>
          </w:p>
          <w:p w:rsidR="001F2C06" w:rsidRPr="00944260" w:rsidRDefault="001F2C06" w:rsidP="001F2C06">
            <w:pPr>
              <w:tabs>
                <w:tab w:val="left" w:pos="1440"/>
              </w:tabs>
              <w:suppressAutoHyphens/>
              <w:rPr>
                <w:spacing w:val="-3"/>
              </w:rPr>
            </w:pPr>
            <w:r w:rsidRPr="00944260">
              <w:rPr>
                <w:spacing w:val="-3"/>
              </w:rPr>
              <w:t xml:space="preserve">The 3 program staff members include managers, accountants and systems analysts.  Of that staff, each </w:t>
            </w:r>
            <w:r>
              <w:rPr>
                <w:spacing w:val="-3"/>
              </w:rPr>
              <w:t>of the three employees worked 120</w:t>
            </w:r>
            <w:r w:rsidRPr="00944260">
              <w:rPr>
                <w:spacing w:val="-3"/>
              </w:rPr>
              <w:t xml:space="preserve"> hours per year on the Realloc</w:t>
            </w:r>
            <w:r>
              <w:rPr>
                <w:spacing w:val="-3"/>
              </w:rPr>
              <w:t>ation process for a total of 360</w:t>
            </w:r>
            <w:r w:rsidRPr="00944260">
              <w:rPr>
                <w:spacing w:val="-3"/>
              </w:rPr>
              <w:t xml:space="preserve"> hours worked for the office.  This process takes approximately two half-months to complete for a yearly cost of $17,348.40 (</w:t>
            </w:r>
            <w:r>
              <w:rPr>
                <w:spacing w:val="-3"/>
              </w:rPr>
              <w:t>120 hours x 3 employees x $48.46</w:t>
            </w:r>
            <w:r w:rsidRPr="00944260">
              <w:rPr>
                <w:spacing w:val="-3"/>
              </w:rPr>
              <w:t xml:space="preserve"> average hourly rate).   </w:t>
            </w: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Yearly Staff Costs</w:t>
            </w:r>
          </w:p>
        </w:tc>
        <w:tc>
          <w:tcPr>
            <w:tcW w:w="2675" w:type="dxa"/>
          </w:tcPr>
          <w:p w:rsidR="001F2C06" w:rsidRPr="00944260" w:rsidRDefault="001F2C06" w:rsidP="001F2C06">
            <w:pPr>
              <w:tabs>
                <w:tab w:val="left" w:pos="1440"/>
              </w:tabs>
              <w:suppressAutoHyphens/>
              <w:rPr>
                <w:spacing w:val="-3"/>
              </w:rPr>
            </w:pPr>
            <w:r>
              <w:rPr>
                <w:spacing w:val="-3"/>
              </w:rPr>
              <w:t xml:space="preserve">$ </w:t>
            </w:r>
            <w:r w:rsidRPr="00060156">
              <w:rPr>
                <w:spacing w:val="-3"/>
              </w:rPr>
              <w:t>17</w:t>
            </w:r>
            <w:r>
              <w:rPr>
                <w:spacing w:val="-3"/>
              </w:rPr>
              <w:t>,</w:t>
            </w:r>
            <w:r w:rsidRPr="00060156">
              <w:rPr>
                <w:spacing w:val="-3"/>
              </w:rPr>
              <w:t>445.6</w:t>
            </w:r>
            <w:r>
              <w:rPr>
                <w:spacing w:val="-3"/>
              </w:rPr>
              <w:t>0</w:t>
            </w:r>
          </w:p>
        </w:tc>
      </w:tr>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t>Reallocation Form Yearly Overhead Costs</w:t>
            </w:r>
          </w:p>
          <w:p w:rsidR="001F2C06" w:rsidRPr="00944260" w:rsidRDefault="001F2C06" w:rsidP="001F2C06">
            <w:pPr>
              <w:tabs>
                <w:tab w:val="left" w:pos="1440"/>
              </w:tabs>
              <w:suppressAutoHyphens/>
              <w:rPr>
                <w:spacing w:val="-3"/>
              </w:rPr>
            </w:pPr>
            <w:r w:rsidRPr="00944260">
              <w:rPr>
                <w:spacing w:val="-3"/>
              </w:rPr>
              <w:t xml:space="preserve">A standard budget estimate of 16% was used to determine the overhead costs of staff operations including such items as equipment, utilities, work materials, etc. </w:t>
            </w:r>
            <w:r>
              <w:rPr>
                <w:spacing w:val="-3"/>
              </w:rPr>
              <w:t xml:space="preserve"> ($17,445.60 x 16% = $</w:t>
            </w:r>
            <w:r w:rsidRPr="00D9726E">
              <w:rPr>
                <w:spacing w:val="-3"/>
              </w:rPr>
              <w:t>2,791.30</w:t>
            </w:r>
            <w:r w:rsidRPr="00944260">
              <w:rPr>
                <w:spacing w:val="-3"/>
              </w:rPr>
              <w:t>)</w:t>
            </w:r>
          </w:p>
        </w:tc>
      </w:tr>
      <w:tr w:rsidR="001F2C06" w:rsidRPr="00944260" w:rsidTr="001F2C06">
        <w:tc>
          <w:tcPr>
            <w:tcW w:w="6793" w:type="dxa"/>
            <w:tcBorders>
              <w:bottom w:val="single" w:sz="4" w:space="0" w:color="auto"/>
            </w:tcBorders>
          </w:tcPr>
          <w:p w:rsidR="001F2C06" w:rsidRPr="00944260" w:rsidRDefault="001F2C06" w:rsidP="001F2C06">
            <w:pPr>
              <w:tabs>
                <w:tab w:val="left" w:pos="1440"/>
              </w:tabs>
              <w:suppressAutoHyphens/>
              <w:jc w:val="right"/>
              <w:rPr>
                <w:b/>
                <w:spacing w:val="-3"/>
              </w:rPr>
            </w:pPr>
            <w:r w:rsidRPr="00944260">
              <w:rPr>
                <w:b/>
                <w:spacing w:val="-3"/>
              </w:rPr>
              <w:t>Yearly Overhead Costs</w:t>
            </w:r>
          </w:p>
        </w:tc>
        <w:tc>
          <w:tcPr>
            <w:tcW w:w="2675" w:type="dxa"/>
            <w:tcBorders>
              <w:bottom w:val="single" w:sz="4" w:space="0" w:color="auto"/>
            </w:tcBorders>
          </w:tcPr>
          <w:p w:rsidR="001F2C06" w:rsidRPr="00944260" w:rsidRDefault="001F2C06" w:rsidP="001F2C06">
            <w:pPr>
              <w:tabs>
                <w:tab w:val="left" w:pos="1440"/>
              </w:tabs>
              <w:suppressAutoHyphens/>
              <w:rPr>
                <w:spacing w:val="-3"/>
              </w:rPr>
            </w:pPr>
            <w:r w:rsidRPr="00944260">
              <w:rPr>
                <w:spacing w:val="-3"/>
              </w:rPr>
              <w:t xml:space="preserve">$  </w:t>
            </w:r>
            <w:r>
              <w:rPr>
                <w:spacing w:val="-3"/>
              </w:rPr>
              <w:t xml:space="preserve"> </w:t>
            </w:r>
            <w:r w:rsidRPr="00944260">
              <w:rPr>
                <w:spacing w:val="-3"/>
              </w:rPr>
              <w:t>2,</w:t>
            </w:r>
            <w:r>
              <w:rPr>
                <w:spacing w:val="-3"/>
              </w:rPr>
              <w:t>791.30</w:t>
            </w:r>
          </w:p>
        </w:tc>
      </w:tr>
      <w:tr w:rsidR="001F2C06" w:rsidRPr="00944260" w:rsidTr="001F2C06">
        <w:tc>
          <w:tcPr>
            <w:tcW w:w="6793" w:type="dxa"/>
            <w:tcBorders>
              <w:bottom w:val="single" w:sz="24" w:space="0" w:color="auto"/>
            </w:tcBorders>
          </w:tcPr>
          <w:p w:rsidR="001F2C06" w:rsidRPr="00944260" w:rsidRDefault="001F2C06" w:rsidP="001F2C06">
            <w:pPr>
              <w:tabs>
                <w:tab w:val="left" w:pos="1440"/>
              </w:tabs>
              <w:suppressAutoHyphens/>
              <w:jc w:val="right"/>
              <w:rPr>
                <w:b/>
                <w:spacing w:val="-3"/>
              </w:rPr>
            </w:pPr>
            <w:r w:rsidRPr="00944260">
              <w:rPr>
                <w:b/>
                <w:spacing w:val="-3"/>
              </w:rPr>
              <w:t>Total Staff and Overhead Costs</w:t>
            </w:r>
          </w:p>
        </w:tc>
        <w:tc>
          <w:tcPr>
            <w:tcW w:w="2675" w:type="dxa"/>
            <w:tcBorders>
              <w:bottom w:val="single" w:sz="24" w:space="0" w:color="auto"/>
            </w:tcBorders>
          </w:tcPr>
          <w:p w:rsidR="001F2C06" w:rsidRPr="00944260" w:rsidRDefault="001F2C06" w:rsidP="001F2C06">
            <w:pPr>
              <w:tabs>
                <w:tab w:val="left" w:pos="1440"/>
              </w:tabs>
              <w:suppressAutoHyphens/>
              <w:rPr>
                <w:spacing w:val="-3"/>
              </w:rPr>
            </w:pPr>
            <w:r w:rsidRPr="00944260">
              <w:rPr>
                <w:spacing w:val="-3"/>
              </w:rPr>
              <w:t>$</w:t>
            </w:r>
            <w:r>
              <w:rPr>
                <w:spacing w:val="-3"/>
              </w:rPr>
              <w:t xml:space="preserve"> </w:t>
            </w:r>
            <w:r w:rsidRPr="00D9726E">
              <w:rPr>
                <w:spacing w:val="-3"/>
              </w:rPr>
              <w:t>20,236.90</w:t>
            </w:r>
          </w:p>
        </w:tc>
      </w:tr>
    </w:tbl>
    <w:p w:rsidR="001F2C06" w:rsidRPr="00944260" w:rsidRDefault="001F2C06" w:rsidP="001F2C06">
      <w:r w:rsidRPr="00944260">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3"/>
        <w:gridCol w:w="2675"/>
      </w:tblGrid>
      <w:tr w:rsidR="001F2C06" w:rsidRPr="00944260" w:rsidTr="001F2C06">
        <w:trPr>
          <w:trHeight w:val="512"/>
        </w:trPr>
        <w:tc>
          <w:tcPr>
            <w:tcW w:w="9468" w:type="dxa"/>
            <w:gridSpan w:val="2"/>
            <w:vAlign w:val="center"/>
          </w:tcPr>
          <w:p w:rsidR="001F2C06" w:rsidRPr="00944260" w:rsidRDefault="001F2C06" w:rsidP="001F2C06">
            <w:pPr>
              <w:tabs>
                <w:tab w:val="left" w:pos="1440"/>
              </w:tabs>
              <w:suppressAutoHyphens/>
              <w:jc w:val="center"/>
              <w:rPr>
                <w:b/>
                <w:spacing w:val="-3"/>
                <w:sz w:val="28"/>
                <w:szCs w:val="28"/>
              </w:rPr>
            </w:pPr>
            <w:r w:rsidRPr="00944260">
              <w:rPr>
                <w:b/>
                <w:spacing w:val="-3"/>
                <w:sz w:val="28"/>
                <w:szCs w:val="28"/>
              </w:rPr>
              <w:lastRenderedPageBreak/>
              <w:t>FISAP and Reallocation Form</w:t>
            </w:r>
            <w:r w:rsidRPr="00944260">
              <w:rPr>
                <w:spacing w:val="-3"/>
                <w:sz w:val="28"/>
                <w:szCs w:val="28"/>
              </w:rPr>
              <w:t xml:space="preserve"> </w:t>
            </w:r>
            <w:r w:rsidRPr="00944260">
              <w:rPr>
                <w:b/>
                <w:spacing w:val="-3"/>
                <w:sz w:val="28"/>
                <w:szCs w:val="28"/>
              </w:rPr>
              <w:t>Combined Total Cost to Federal Government</w:t>
            </w:r>
          </w:p>
        </w:tc>
      </w:tr>
      <w:tr w:rsidR="001F2C06" w:rsidRPr="00944260" w:rsidTr="001F2C06">
        <w:tc>
          <w:tcPr>
            <w:tcW w:w="6793" w:type="dxa"/>
          </w:tcPr>
          <w:p w:rsidR="001F2C06" w:rsidRPr="00944260" w:rsidRDefault="001F2C06" w:rsidP="001F2C06">
            <w:pPr>
              <w:tabs>
                <w:tab w:val="left" w:pos="1440"/>
              </w:tabs>
              <w:suppressAutoHyphens/>
              <w:rPr>
                <w:spacing w:val="-3"/>
              </w:rPr>
            </w:pPr>
            <w:r w:rsidRPr="00944260">
              <w:rPr>
                <w:spacing w:val="-3"/>
              </w:rPr>
              <w:t>Cost for Development of eCB FISAP on the Web</w:t>
            </w:r>
          </w:p>
        </w:tc>
        <w:tc>
          <w:tcPr>
            <w:tcW w:w="2675" w:type="dxa"/>
          </w:tcPr>
          <w:p w:rsidR="001F2C06" w:rsidRPr="00944260" w:rsidRDefault="001F2C06" w:rsidP="001D7691">
            <w:pPr>
              <w:tabs>
                <w:tab w:val="left" w:pos="1440"/>
              </w:tabs>
              <w:suppressAutoHyphens/>
              <w:rPr>
                <w:spacing w:val="-3"/>
              </w:rPr>
            </w:pPr>
            <w:r w:rsidRPr="00944260">
              <w:rPr>
                <w:spacing w:val="-3"/>
              </w:rPr>
              <w:t xml:space="preserve">$   </w:t>
            </w:r>
            <w:r w:rsidR="001D7691">
              <w:rPr>
                <w:spacing w:val="-3"/>
              </w:rPr>
              <w:t xml:space="preserve">     0.00</w:t>
            </w:r>
          </w:p>
        </w:tc>
      </w:tr>
      <w:tr w:rsidR="001F2C06" w:rsidRPr="00944260" w:rsidTr="001F2C06">
        <w:tc>
          <w:tcPr>
            <w:tcW w:w="6793" w:type="dxa"/>
          </w:tcPr>
          <w:p w:rsidR="001F2C06" w:rsidRPr="00944260" w:rsidRDefault="001F2C06" w:rsidP="001F2C06">
            <w:pPr>
              <w:tabs>
                <w:tab w:val="left" w:pos="1440"/>
              </w:tabs>
              <w:suppressAutoHyphens/>
              <w:rPr>
                <w:spacing w:val="-3"/>
              </w:rPr>
            </w:pPr>
            <w:r w:rsidRPr="00944260">
              <w:rPr>
                <w:spacing w:val="-3"/>
              </w:rPr>
              <w:t>O&amp;M Costs to the Federal Government</w:t>
            </w:r>
          </w:p>
        </w:tc>
        <w:tc>
          <w:tcPr>
            <w:tcW w:w="2675" w:type="dxa"/>
          </w:tcPr>
          <w:p w:rsidR="001F2C06" w:rsidRPr="00944260" w:rsidRDefault="001F2C06" w:rsidP="001F2C06">
            <w:pPr>
              <w:tabs>
                <w:tab w:val="left" w:pos="1440"/>
              </w:tabs>
              <w:suppressAutoHyphens/>
              <w:rPr>
                <w:spacing w:val="-3"/>
              </w:rPr>
            </w:pPr>
            <w:r w:rsidRPr="00944260">
              <w:rPr>
                <w:spacing w:val="-3"/>
              </w:rPr>
              <w:t>$</w:t>
            </w:r>
            <w:r w:rsidRPr="00A82D0E">
              <w:rPr>
                <w:spacing w:val="-3"/>
              </w:rPr>
              <w:t>1,182,292.00</w:t>
            </w:r>
          </w:p>
        </w:tc>
      </w:tr>
      <w:tr w:rsidR="001F2C06" w:rsidRPr="00944260" w:rsidTr="001F2C06">
        <w:tc>
          <w:tcPr>
            <w:tcW w:w="6793" w:type="dxa"/>
          </w:tcPr>
          <w:p w:rsidR="001F2C06" w:rsidRPr="00944260" w:rsidRDefault="001F2C06" w:rsidP="001F2C06">
            <w:pPr>
              <w:tabs>
                <w:tab w:val="left" w:pos="1440"/>
              </w:tabs>
              <w:suppressAutoHyphens/>
              <w:rPr>
                <w:spacing w:val="-3"/>
              </w:rPr>
            </w:pPr>
            <w:r w:rsidRPr="00944260">
              <w:rPr>
                <w:spacing w:val="-3"/>
              </w:rPr>
              <w:t>Staff Operations and Overhead Costs</w:t>
            </w:r>
          </w:p>
        </w:tc>
        <w:tc>
          <w:tcPr>
            <w:tcW w:w="2675" w:type="dxa"/>
          </w:tcPr>
          <w:p w:rsidR="001F2C06" w:rsidRPr="00944260" w:rsidRDefault="001F2C06" w:rsidP="001F2C06">
            <w:pPr>
              <w:tabs>
                <w:tab w:val="left" w:pos="1440"/>
              </w:tabs>
              <w:suppressAutoHyphens/>
              <w:rPr>
                <w:spacing w:val="-3"/>
              </w:rPr>
            </w:pPr>
            <w:r w:rsidRPr="00944260">
              <w:rPr>
                <w:spacing w:val="-3"/>
              </w:rPr>
              <w:t>$</w:t>
            </w:r>
            <w:r w:rsidRPr="00A82D0E">
              <w:rPr>
                <w:spacing w:val="-3"/>
              </w:rPr>
              <w:t>1,622,131.24</w:t>
            </w:r>
          </w:p>
        </w:tc>
      </w:tr>
      <w:tr w:rsidR="001F2C06" w:rsidRPr="00944260" w:rsidTr="001F2C06">
        <w:tc>
          <w:tcPr>
            <w:tcW w:w="6793" w:type="dxa"/>
          </w:tcPr>
          <w:p w:rsidR="001F2C06" w:rsidRPr="00944260" w:rsidRDefault="001F2C06" w:rsidP="001F2C06">
            <w:pPr>
              <w:tabs>
                <w:tab w:val="left" w:pos="1440"/>
              </w:tabs>
              <w:suppressAutoHyphens/>
              <w:rPr>
                <w:b/>
                <w:spacing w:val="-3"/>
              </w:rPr>
            </w:pPr>
          </w:p>
          <w:p w:rsidR="001F2C06" w:rsidRPr="00944260" w:rsidRDefault="001F2C06" w:rsidP="001F2C06">
            <w:pPr>
              <w:tabs>
                <w:tab w:val="left" w:pos="1440"/>
              </w:tabs>
              <w:suppressAutoHyphens/>
              <w:rPr>
                <w:b/>
                <w:spacing w:val="-3"/>
              </w:rPr>
            </w:pPr>
            <w:r w:rsidRPr="00944260">
              <w:rPr>
                <w:b/>
                <w:spacing w:val="-3"/>
              </w:rPr>
              <w:t>Total</w:t>
            </w:r>
          </w:p>
        </w:tc>
        <w:tc>
          <w:tcPr>
            <w:tcW w:w="2675" w:type="dxa"/>
          </w:tcPr>
          <w:p w:rsidR="001F2C06" w:rsidRPr="00944260" w:rsidRDefault="001F2C06" w:rsidP="001F2C06">
            <w:pPr>
              <w:tabs>
                <w:tab w:val="left" w:pos="1440"/>
              </w:tabs>
              <w:suppressAutoHyphens/>
              <w:rPr>
                <w:b/>
                <w:spacing w:val="-3"/>
              </w:rPr>
            </w:pPr>
          </w:p>
          <w:p w:rsidR="001F2C06" w:rsidRPr="00944260" w:rsidRDefault="001F2C06" w:rsidP="001F2C06">
            <w:pPr>
              <w:tabs>
                <w:tab w:val="left" w:pos="1440"/>
              </w:tabs>
              <w:suppressAutoHyphens/>
              <w:rPr>
                <w:b/>
                <w:spacing w:val="-3"/>
              </w:rPr>
            </w:pPr>
            <w:r w:rsidRPr="00944260">
              <w:rPr>
                <w:b/>
                <w:spacing w:val="-3"/>
              </w:rPr>
              <w:t>$</w:t>
            </w:r>
            <w:r w:rsidR="001D7691">
              <w:rPr>
                <w:b/>
                <w:spacing w:val="-3"/>
              </w:rPr>
              <w:t>3,204,0</w:t>
            </w:r>
            <w:r w:rsidRPr="00A82D0E">
              <w:rPr>
                <w:b/>
                <w:spacing w:val="-3"/>
              </w:rPr>
              <w:t>23.24</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1F2C06" w:rsidRDefault="00386054">
      <w:pPr>
        <w:tabs>
          <w:tab w:val="left" w:pos="-720"/>
        </w:tabs>
        <w:suppressAutoHyphens/>
        <w:rPr>
          <w:rFonts w:ascii="Times New Roman" w:hAnsi="Times New Roman"/>
          <w:b/>
          <w:szCs w:val="24"/>
        </w:rPr>
      </w:pPr>
      <w:r w:rsidRPr="001F2C06">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1F2C06">
        <w:rPr>
          <w:rFonts w:ascii="Times New Roman" w:hAnsi="Times New Roman"/>
          <w:b/>
          <w:szCs w:val="24"/>
        </w:rPr>
        <w:t xml:space="preserve">totals for </w:t>
      </w:r>
      <w:r w:rsidRPr="001F2C06">
        <w:rPr>
          <w:rFonts w:ascii="Times New Roman" w:hAnsi="Times New Roman"/>
          <w:b/>
          <w:szCs w:val="24"/>
        </w:rPr>
        <w:t>changes in burden hours</w:t>
      </w:r>
      <w:r w:rsidR="002473CE" w:rsidRPr="001F2C06">
        <w:rPr>
          <w:rFonts w:ascii="Times New Roman" w:hAnsi="Times New Roman"/>
          <w:b/>
          <w:szCs w:val="24"/>
        </w:rPr>
        <w:t>, responses</w:t>
      </w:r>
      <w:r w:rsidRPr="001F2C06">
        <w:rPr>
          <w:rFonts w:ascii="Times New Roman" w:hAnsi="Times New Roman"/>
          <w:b/>
          <w:szCs w:val="24"/>
        </w:rPr>
        <w:t xml:space="preserve"> and cost</w:t>
      </w:r>
      <w:r w:rsidR="002473CE" w:rsidRPr="001F2C06">
        <w:rPr>
          <w:rFonts w:ascii="Times New Roman" w:hAnsi="Times New Roman"/>
          <w:b/>
          <w:szCs w:val="24"/>
        </w:rPr>
        <w:t>s</w:t>
      </w:r>
      <w:r w:rsidRPr="001F2C06">
        <w:rPr>
          <w:rFonts w:ascii="Times New Roman" w:hAnsi="Times New Roman"/>
          <w:b/>
          <w:szCs w:val="24"/>
        </w:rPr>
        <w:t xml:space="preserve"> </w:t>
      </w:r>
      <w:r w:rsidR="002473CE" w:rsidRPr="001F2C06">
        <w:rPr>
          <w:rFonts w:ascii="Times New Roman" w:hAnsi="Times New Roman"/>
          <w:b/>
          <w:szCs w:val="24"/>
        </w:rPr>
        <w:t>(if applicable)</w:t>
      </w:r>
      <w:r w:rsidRPr="001F2C06">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C47033" w:rsidRDefault="00835C15" w:rsidP="00C47033">
      <w:pPr>
        <w:tabs>
          <w:tab w:val="left" w:pos="-720"/>
        </w:tabs>
        <w:suppressAutoHyphens/>
        <w:rPr>
          <w:rFonts w:ascii="Arial" w:hAnsi="Arial" w:cs="Arial"/>
        </w:rPr>
      </w:pPr>
      <w:r w:rsidRPr="00835C15">
        <w:rPr>
          <w:rFonts w:ascii="Arial" w:hAnsi="Arial" w:cs="Arial"/>
        </w:rPr>
        <w:t>The total annual reporting hour burden being adjusted from the current OMB inventory of 33,232 to 32,961 (a reduction of 271 hours and 1,604 responses) due to a change in the composition of respondents from the different types of Title IV institutions on various sections of the forms.</w:t>
      </w:r>
    </w:p>
    <w:p w:rsidR="00835C15" w:rsidRPr="00054516" w:rsidRDefault="00835C15" w:rsidP="00C47033">
      <w:pPr>
        <w:tabs>
          <w:tab w:val="left" w:pos="-720"/>
        </w:tabs>
        <w:suppressAutoHyphens/>
        <w:rPr>
          <w:rFonts w:ascii="Arial" w:hAnsi="Arial" w:cs="Arial"/>
        </w:rPr>
      </w:pPr>
    </w:p>
    <w:p w:rsidR="00C47033" w:rsidRPr="00944260" w:rsidRDefault="00C47033" w:rsidP="00C47033">
      <w:pPr>
        <w:tabs>
          <w:tab w:val="left" w:pos="-720"/>
        </w:tabs>
        <w:suppressAutoHyphens/>
        <w:rPr>
          <w:rFonts w:ascii="Arial" w:hAnsi="Arial" w:cs="Arial"/>
        </w:rPr>
      </w:pPr>
      <w:r w:rsidRPr="00054516">
        <w:rPr>
          <w:rFonts w:ascii="Arial" w:hAnsi="Arial" w:cs="Arial"/>
        </w:rPr>
        <w:t xml:space="preserve">The total </w:t>
      </w:r>
      <w:r w:rsidR="002B6D18">
        <w:rPr>
          <w:rFonts w:ascii="Arial" w:hAnsi="Arial" w:cs="Arial"/>
        </w:rPr>
        <w:t xml:space="preserve">reporting and recording keeping cost burden </w:t>
      </w:r>
      <w:bookmarkStart w:id="4" w:name="_GoBack"/>
      <w:bookmarkEnd w:id="4"/>
      <w:r w:rsidRPr="00054516">
        <w:rPr>
          <w:rFonts w:ascii="Arial" w:hAnsi="Arial" w:cs="Arial"/>
        </w:rPr>
        <w:t>is being adjusted from the current OMB inven</w:t>
      </w:r>
      <w:r>
        <w:rPr>
          <w:rFonts w:ascii="Arial" w:hAnsi="Arial" w:cs="Arial"/>
        </w:rPr>
        <w:t xml:space="preserve">tory of </w:t>
      </w:r>
      <w:r w:rsidRPr="00054516">
        <w:rPr>
          <w:rFonts w:ascii="Arial" w:hAnsi="Arial" w:cs="Arial"/>
        </w:rPr>
        <w:t xml:space="preserve">$3,525,202 </w:t>
      </w:r>
      <w:r w:rsidR="00692CEA">
        <w:rPr>
          <w:rFonts w:ascii="Arial" w:hAnsi="Arial" w:cs="Arial"/>
        </w:rPr>
        <w:t>to $3,</w:t>
      </w:r>
      <w:r>
        <w:rPr>
          <w:rFonts w:ascii="Arial" w:hAnsi="Arial" w:cs="Arial"/>
        </w:rPr>
        <w:t xml:space="preserve">204,423 </w:t>
      </w:r>
      <w:r w:rsidRPr="00054516">
        <w:rPr>
          <w:rFonts w:ascii="Arial" w:hAnsi="Arial" w:cs="Arial"/>
        </w:rPr>
        <w:t>(a</w:t>
      </w:r>
      <w:r>
        <w:rPr>
          <w:rFonts w:ascii="Arial" w:hAnsi="Arial" w:cs="Arial"/>
        </w:rPr>
        <w:t xml:space="preserve"> decrease of $320,799</w:t>
      </w:r>
      <w:r w:rsidRPr="00054516">
        <w:rPr>
          <w:rFonts w:ascii="Arial" w:hAnsi="Arial" w:cs="Arial"/>
        </w:rPr>
        <w:t>) due to a combined change in the staff composition and contract costs.</w:t>
      </w:r>
    </w:p>
    <w:p w:rsidR="00386054" w:rsidRPr="00EF7FF5" w:rsidRDefault="00386054">
      <w:pPr>
        <w:tabs>
          <w:tab w:val="left" w:pos="-720"/>
        </w:tabs>
        <w:suppressAutoHyphens/>
        <w:rPr>
          <w:rFonts w:ascii="Times New Roman" w:hAnsi="Times New Roman"/>
          <w:szCs w:val="24"/>
        </w:rPr>
      </w:pPr>
    </w:p>
    <w:p w:rsidR="00386054" w:rsidRPr="00C47033" w:rsidRDefault="00386054">
      <w:pPr>
        <w:tabs>
          <w:tab w:val="left" w:pos="-720"/>
        </w:tabs>
        <w:suppressAutoHyphens/>
        <w:rPr>
          <w:rFonts w:ascii="Times New Roman" w:hAnsi="Times New Roman"/>
          <w:b/>
          <w:szCs w:val="24"/>
        </w:rPr>
      </w:pPr>
      <w:r w:rsidRPr="00C47033">
        <w:rPr>
          <w:rFonts w:ascii="Times New Roman" w:hAnsi="Times New Roman"/>
          <w:b/>
          <w:szCs w:val="24"/>
        </w:rPr>
        <w:t xml:space="preserve">16. </w:t>
      </w:r>
      <w:r w:rsidRPr="00C47033">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C47033">
      <w:pPr>
        <w:tabs>
          <w:tab w:val="left" w:pos="-720"/>
        </w:tabs>
        <w:suppressAutoHyphens/>
        <w:rPr>
          <w:rFonts w:ascii="Times New Roman" w:hAnsi="Times New Roman"/>
          <w:szCs w:val="24"/>
        </w:rPr>
      </w:pPr>
      <w:r w:rsidRPr="00944260">
        <w:rPr>
          <w:rFonts w:ascii="Arial" w:hAnsi="Arial" w:cs="Arial"/>
        </w:rPr>
        <w:t>This information collected on the FISAP and the Reallocation form is not collected for statistical publication</w:t>
      </w:r>
    </w:p>
    <w:p w:rsidR="00386054" w:rsidRPr="00EF7FF5" w:rsidRDefault="00386054">
      <w:pPr>
        <w:tabs>
          <w:tab w:val="left" w:pos="-720"/>
        </w:tabs>
        <w:suppressAutoHyphens/>
        <w:rPr>
          <w:rFonts w:ascii="Times New Roman" w:hAnsi="Times New Roman"/>
          <w:szCs w:val="24"/>
        </w:rPr>
      </w:pPr>
    </w:p>
    <w:p w:rsidR="00386054" w:rsidRPr="00C47033" w:rsidRDefault="00386054">
      <w:pPr>
        <w:tabs>
          <w:tab w:val="left" w:pos="-720"/>
        </w:tabs>
        <w:suppressAutoHyphens/>
        <w:rPr>
          <w:rFonts w:ascii="Times New Roman" w:hAnsi="Times New Roman"/>
          <w:b/>
          <w:szCs w:val="24"/>
        </w:rPr>
      </w:pPr>
      <w:r w:rsidRPr="00C47033">
        <w:rPr>
          <w:rFonts w:ascii="Times New Roman" w:hAnsi="Times New Roman"/>
          <w:b/>
          <w:szCs w:val="24"/>
        </w:rPr>
        <w:t xml:space="preserve">17. </w:t>
      </w:r>
      <w:r w:rsidRPr="00C47033">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C47033" w:rsidRPr="00944260" w:rsidRDefault="00C47033" w:rsidP="00C47033">
      <w:pPr>
        <w:tabs>
          <w:tab w:val="left" w:pos="-720"/>
        </w:tabs>
        <w:suppressAutoHyphens/>
        <w:rPr>
          <w:rFonts w:ascii="Arial" w:hAnsi="Arial" w:cs="Arial"/>
        </w:rPr>
      </w:pPr>
      <w:r w:rsidRPr="00944260">
        <w:rPr>
          <w:rFonts w:ascii="Arial" w:hAnsi="Arial" w:cs="Arial"/>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b/>
          <w:szCs w:val="24"/>
        </w:rPr>
      </w:pPr>
      <w:r w:rsidRPr="00C47033">
        <w:rPr>
          <w:rFonts w:ascii="Times New Roman" w:hAnsi="Times New Roman"/>
          <w:b/>
          <w:szCs w:val="24"/>
        </w:rPr>
        <w:t xml:space="preserve">18. </w:t>
      </w:r>
      <w:r w:rsidRPr="00C47033">
        <w:rPr>
          <w:rStyle w:val="a"/>
          <w:rFonts w:ascii="Times New Roman" w:hAnsi="Times New Roman"/>
          <w:b/>
          <w:szCs w:val="24"/>
        </w:rPr>
        <w:t>Explain each exception to the certification statement identified in the Certification of Paperwork Reduction Act.</w:t>
      </w:r>
    </w:p>
    <w:p w:rsidR="00C47033" w:rsidRDefault="00C47033">
      <w:pPr>
        <w:tabs>
          <w:tab w:val="left" w:pos="-720"/>
        </w:tabs>
        <w:suppressAutoHyphens/>
        <w:rPr>
          <w:rStyle w:val="a"/>
          <w:rFonts w:ascii="Times New Roman" w:hAnsi="Times New Roman"/>
          <w:b/>
          <w:szCs w:val="24"/>
        </w:rPr>
      </w:pPr>
    </w:p>
    <w:p w:rsidR="00C47033" w:rsidRPr="00C47033" w:rsidRDefault="00C47033">
      <w:pPr>
        <w:tabs>
          <w:tab w:val="left" w:pos="-720"/>
        </w:tabs>
        <w:suppressAutoHyphens/>
        <w:rPr>
          <w:rFonts w:ascii="Times New Roman" w:hAnsi="Times New Roman"/>
          <w:szCs w:val="24"/>
        </w:rPr>
      </w:pPr>
      <w:r w:rsidRPr="00944260">
        <w:rPr>
          <w:rFonts w:ascii="Arial" w:hAnsi="Arial" w:cs="Arial"/>
        </w:rPr>
        <w:t>There are no exceptions to the certification statement.</w:t>
      </w:r>
    </w:p>
    <w:sectPr w:rsidR="00C47033" w:rsidRPr="00C47033"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CC5" w:rsidRDefault="00EC6CC5">
      <w:pPr>
        <w:spacing w:line="20" w:lineRule="exact"/>
      </w:pPr>
    </w:p>
  </w:endnote>
  <w:endnote w:type="continuationSeparator" w:id="0">
    <w:p w:rsidR="00EC6CC5" w:rsidRDefault="00EC6CC5">
      <w:r>
        <w:t xml:space="preserve"> </w:t>
      </w:r>
    </w:p>
  </w:endnote>
  <w:endnote w:type="continuationNotice" w:id="1">
    <w:p w:rsidR="00EC6CC5" w:rsidRDefault="00EC6CC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C5" w:rsidRDefault="00EC6CC5">
    <w:pPr>
      <w:spacing w:before="140" w:line="100" w:lineRule="exact"/>
      <w:rPr>
        <w:sz w:val="10"/>
      </w:rPr>
    </w:pPr>
  </w:p>
  <w:p w:rsidR="00EC6CC5" w:rsidRDefault="00EC6CC5">
    <w:pPr>
      <w:tabs>
        <w:tab w:val="left" w:pos="0"/>
      </w:tabs>
      <w:suppressAutoHyphens/>
    </w:pPr>
  </w:p>
  <w:p w:rsidR="00EC6CC5" w:rsidRDefault="00C52482">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EC6CC5" w:rsidRDefault="00EC6CC5">
                <w:pPr>
                  <w:tabs>
                    <w:tab w:val="center" w:pos="4650"/>
                  </w:tabs>
                  <w:suppressAutoHyphens/>
                  <w:jc w:val="both"/>
                </w:pPr>
                <w:r>
                  <w:tab/>
                </w:r>
                <w:fldSimple w:instr="page \* arabic">
                  <w:r w:rsidR="00835C15">
                    <w:rPr>
                      <w:noProof/>
                    </w:rPr>
                    <w:t>18</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CC5" w:rsidRDefault="00EC6CC5">
      <w:r>
        <w:separator/>
      </w:r>
    </w:p>
  </w:footnote>
  <w:footnote w:type="continuationSeparator" w:id="0">
    <w:p w:rsidR="00EC6CC5" w:rsidRDefault="00EC6CC5">
      <w:r>
        <w:continuationSeparator/>
      </w:r>
    </w:p>
  </w:footnote>
  <w:footnote w:id="1">
    <w:p w:rsidR="00EC6CC5" w:rsidRDefault="00EC6CC5">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EC6CC5" w:rsidRDefault="00EC6CC5">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C5" w:rsidRDefault="00EC6CC5">
    <w:pPr>
      <w:pStyle w:val="Header"/>
      <w:rPr>
        <w:rFonts w:ascii="Times New Roman" w:hAnsi="Times New Roman"/>
        <w:sz w:val="20"/>
      </w:rPr>
    </w:pPr>
    <w:r>
      <w:rPr>
        <w:rFonts w:ascii="Times New Roman" w:hAnsi="Times New Roman"/>
        <w:sz w:val="20"/>
      </w:rPr>
      <w:t>EDICS Tracking and OMB Number: (04767) 1845-0030 v10                                         Revised: 0</w:t>
    </w:r>
    <w:r w:rsidR="00FD474F">
      <w:rPr>
        <w:rFonts w:ascii="Times New Roman" w:hAnsi="Times New Roman"/>
        <w:sz w:val="20"/>
      </w:rPr>
      <w:t>2</w:t>
    </w:r>
    <w:r>
      <w:rPr>
        <w:rFonts w:ascii="Times New Roman" w:hAnsi="Times New Roman"/>
        <w:sz w:val="20"/>
      </w:rPr>
      <w:t>/</w:t>
    </w:r>
    <w:r w:rsidR="00FD474F">
      <w:rPr>
        <w:rFonts w:ascii="Times New Roman" w:hAnsi="Times New Roman"/>
        <w:sz w:val="20"/>
      </w:rPr>
      <w:t>22</w:t>
    </w:r>
    <w:r>
      <w:rPr>
        <w:rFonts w:ascii="Times New Roman" w:hAnsi="Times New Roman"/>
        <w:sz w:val="20"/>
      </w:rPr>
      <w:t>/2012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3EB5F82"/>
    <w:multiLevelType w:val="hybridMultilevel"/>
    <w:tmpl w:val="8C8A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A537059"/>
    <w:multiLevelType w:val="hybridMultilevel"/>
    <w:tmpl w:val="994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F30E3"/>
    <w:multiLevelType w:val="hybridMultilevel"/>
    <w:tmpl w:val="5E985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8A00FA"/>
    <w:multiLevelType w:val="hybridMultilevel"/>
    <w:tmpl w:val="3CF6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29F581D"/>
    <w:multiLevelType w:val="hybridMultilevel"/>
    <w:tmpl w:val="4824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4"/>
  </w:num>
  <w:num w:numId="4">
    <w:abstractNumId w:val="13"/>
  </w:num>
  <w:num w:numId="5">
    <w:abstractNumId w:val="1"/>
  </w:num>
  <w:num w:numId="6">
    <w:abstractNumId w:val="2"/>
  </w:num>
  <w:num w:numId="7">
    <w:abstractNumId w:val="10"/>
  </w:num>
  <w:num w:numId="8">
    <w:abstractNumId w:val="9"/>
  </w:num>
  <w:num w:numId="9">
    <w:abstractNumId w:val="12"/>
  </w:num>
  <w:num w:numId="10">
    <w:abstractNumId w:val="14"/>
  </w:num>
  <w:num w:numId="11">
    <w:abstractNumId w:val="3"/>
  </w:num>
  <w:num w:numId="12">
    <w:abstractNumId w:val="8"/>
  </w:num>
  <w:num w:numId="13">
    <w:abstractNumId w:val="5"/>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3C29C2"/>
    <w:rsid w:val="00050CBE"/>
    <w:rsid w:val="000909E0"/>
    <w:rsid w:val="000A4C98"/>
    <w:rsid w:val="000B14D8"/>
    <w:rsid w:val="000E592D"/>
    <w:rsid w:val="000F175B"/>
    <w:rsid w:val="00123DC8"/>
    <w:rsid w:val="0014500F"/>
    <w:rsid w:val="00153F20"/>
    <w:rsid w:val="001743A5"/>
    <w:rsid w:val="0018279C"/>
    <w:rsid w:val="001D7691"/>
    <w:rsid w:val="001F2C06"/>
    <w:rsid w:val="002473CE"/>
    <w:rsid w:val="00280308"/>
    <w:rsid w:val="002A0C67"/>
    <w:rsid w:val="002B0412"/>
    <w:rsid w:val="002B0A95"/>
    <w:rsid w:val="002B6D18"/>
    <w:rsid w:val="00386054"/>
    <w:rsid w:val="003958A5"/>
    <w:rsid w:val="003C29C2"/>
    <w:rsid w:val="003C7F70"/>
    <w:rsid w:val="003E285A"/>
    <w:rsid w:val="004607B9"/>
    <w:rsid w:val="004A2DBB"/>
    <w:rsid w:val="004E23D9"/>
    <w:rsid w:val="004F692A"/>
    <w:rsid w:val="00512598"/>
    <w:rsid w:val="005322EC"/>
    <w:rsid w:val="00563CCF"/>
    <w:rsid w:val="005A1566"/>
    <w:rsid w:val="005A1DFC"/>
    <w:rsid w:val="005A4185"/>
    <w:rsid w:val="005D2E7B"/>
    <w:rsid w:val="0063484C"/>
    <w:rsid w:val="0063671C"/>
    <w:rsid w:val="00654305"/>
    <w:rsid w:val="006737C0"/>
    <w:rsid w:val="00677BC2"/>
    <w:rsid w:val="00692CEA"/>
    <w:rsid w:val="006A3B5C"/>
    <w:rsid w:val="006A614C"/>
    <w:rsid w:val="006C01D0"/>
    <w:rsid w:val="007661D9"/>
    <w:rsid w:val="007B14E8"/>
    <w:rsid w:val="007C12B5"/>
    <w:rsid w:val="007E77FA"/>
    <w:rsid w:val="008011B6"/>
    <w:rsid w:val="00835C15"/>
    <w:rsid w:val="008F3062"/>
    <w:rsid w:val="00921CB1"/>
    <w:rsid w:val="009544A3"/>
    <w:rsid w:val="009949A8"/>
    <w:rsid w:val="00A01331"/>
    <w:rsid w:val="00A41F2C"/>
    <w:rsid w:val="00A87940"/>
    <w:rsid w:val="00A94CCB"/>
    <w:rsid w:val="00AB0D7D"/>
    <w:rsid w:val="00B10A99"/>
    <w:rsid w:val="00B23EC0"/>
    <w:rsid w:val="00BC244F"/>
    <w:rsid w:val="00BD1325"/>
    <w:rsid w:val="00C47033"/>
    <w:rsid w:val="00C52482"/>
    <w:rsid w:val="00C641E9"/>
    <w:rsid w:val="00C723C2"/>
    <w:rsid w:val="00CE72AF"/>
    <w:rsid w:val="00D115BF"/>
    <w:rsid w:val="00D269C3"/>
    <w:rsid w:val="00E023B7"/>
    <w:rsid w:val="00E07290"/>
    <w:rsid w:val="00E71A7E"/>
    <w:rsid w:val="00EA3C1F"/>
    <w:rsid w:val="00EC2CC4"/>
    <w:rsid w:val="00EC6CC5"/>
    <w:rsid w:val="00EE1913"/>
    <w:rsid w:val="00EE2BCC"/>
    <w:rsid w:val="00EF7FF5"/>
    <w:rsid w:val="00F17976"/>
    <w:rsid w:val="00F313DF"/>
    <w:rsid w:val="00FD4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607B9"/>
    <w:rPr>
      <w:color w:val="0000FF"/>
      <w:u w:val="single"/>
    </w:rPr>
  </w:style>
  <w:style w:type="paragraph" w:styleId="BodyTextIndent2">
    <w:name w:val="Body Text Indent 2"/>
    <w:basedOn w:val="Normal"/>
    <w:link w:val="BodyTextIndent2Char"/>
    <w:rsid w:val="001F2C06"/>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1F2C06"/>
    <w:rPr>
      <w:snapToGrid w:val="0"/>
      <w:sz w:val="24"/>
      <w:szCs w:val="20"/>
    </w:rPr>
  </w:style>
  <w:style w:type="paragraph" w:styleId="ListParagraph">
    <w:name w:val="List Paragraph"/>
    <w:basedOn w:val="Normal"/>
    <w:uiPriority w:val="34"/>
    <w:qFormat/>
    <w:rsid w:val="003958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gov/about/offices/list/ope/librar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bfisap.ed.go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34469-FBB3-4247-B65F-30741EDD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5935</Words>
  <Characters>33709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stephanie.valentine</cp:lastModifiedBy>
  <cp:revision>18</cp:revision>
  <cp:lastPrinted>2012-02-22T17:41:00Z</cp:lastPrinted>
  <dcterms:created xsi:type="dcterms:W3CDTF">2011-09-15T15:21:00Z</dcterms:created>
  <dcterms:modified xsi:type="dcterms:W3CDTF">2012-02-22T17:43:00Z</dcterms:modified>
</cp:coreProperties>
</file>