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15" w:rsidRDefault="00061715">
      <w:pPr>
        <w:pStyle w:val="Title"/>
      </w:pPr>
      <w:r>
        <w:t>Office of the Comptroller of the Currency</w:t>
      </w:r>
    </w:p>
    <w:p w:rsidR="009D0184" w:rsidRDefault="009D0184">
      <w:pPr>
        <w:pStyle w:val="Title"/>
      </w:pPr>
      <w:r>
        <w:t>Supporting Statement</w:t>
      </w:r>
    </w:p>
    <w:p w:rsidR="006B119F" w:rsidRDefault="009D0184">
      <w:pPr>
        <w:jc w:val="center"/>
        <w:rPr>
          <w:b/>
          <w:bCs/>
        </w:rPr>
      </w:pPr>
      <w:r>
        <w:rPr>
          <w:b/>
          <w:bCs/>
        </w:rPr>
        <w:t>Fiducia</w:t>
      </w:r>
      <w:r w:rsidR="00801B92">
        <w:rPr>
          <w:b/>
          <w:bCs/>
        </w:rPr>
        <w:t>ry Activities</w:t>
      </w:r>
    </w:p>
    <w:p w:rsidR="009D0184" w:rsidRDefault="009D0184">
      <w:pPr>
        <w:jc w:val="center"/>
        <w:rPr>
          <w:b/>
          <w:bCs/>
        </w:rPr>
      </w:pPr>
      <w:r>
        <w:rPr>
          <w:b/>
          <w:bCs/>
        </w:rPr>
        <w:t xml:space="preserve"> 12 CFR </w:t>
      </w:r>
      <w:r w:rsidR="00662CFA">
        <w:rPr>
          <w:b/>
          <w:bCs/>
        </w:rPr>
        <w:t>P</w:t>
      </w:r>
      <w:r w:rsidR="00472B3E">
        <w:rPr>
          <w:b/>
          <w:bCs/>
        </w:rPr>
        <w:t>art</w:t>
      </w:r>
      <w:r w:rsidR="006B119F">
        <w:rPr>
          <w:b/>
          <w:bCs/>
        </w:rPr>
        <w:t>s</w:t>
      </w:r>
      <w:r w:rsidR="00472B3E">
        <w:rPr>
          <w:b/>
          <w:bCs/>
        </w:rPr>
        <w:t xml:space="preserve"> </w:t>
      </w:r>
      <w:r>
        <w:rPr>
          <w:b/>
          <w:bCs/>
        </w:rPr>
        <w:t>9</w:t>
      </w:r>
      <w:r w:rsidR="006B119F">
        <w:rPr>
          <w:b/>
          <w:bCs/>
        </w:rPr>
        <w:t xml:space="preserve"> and 150</w:t>
      </w:r>
    </w:p>
    <w:p w:rsidR="009D0184" w:rsidRDefault="00662CFA">
      <w:pPr>
        <w:jc w:val="center"/>
        <w:rPr>
          <w:b/>
          <w:bCs/>
        </w:rPr>
      </w:pPr>
      <w:r>
        <w:rPr>
          <w:b/>
          <w:bCs/>
        </w:rPr>
        <w:t>OMB Control No.</w:t>
      </w:r>
      <w:r w:rsidR="009D0184">
        <w:rPr>
          <w:b/>
          <w:bCs/>
        </w:rPr>
        <w:t xml:space="preserve"> 1557-0140</w:t>
      </w:r>
    </w:p>
    <w:p w:rsidR="00EB169D" w:rsidRPr="00662CFA" w:rsidRDefault="00EB169D" w:rsidP="00662CFA">
      <w:pPr>
        <w:pStyle w:val="HTMLPreformatted"/>
        <w:rPr>
          <w:rFonts w:ascii="Times New Roman" w:hAnsi="Times New Roman" w:cs="Times New Roman"/>
          <w:b/>
          <w:sz w:val="24"/>
          <w:szCs w:val="24"/>
        </w:rPr>
      </w:pPr>
    </w:p>
    <w:p w:rsidR="00EB169D" w:rsidRDefault="00EB169D" w:rsidP="00EB169D">
      <w:pPr>
        <w:pStyle w:val="Heading1"/>
        <w:rPr>
          <w:sz w:val="24"/>
        </w:rPr>
      </w:pPr>
      <w:r>
        <w:rPr>
          <w:sz w:val="24"/>
        </w:rPr>
        <w:t>A.</w:t>
      </w:r>
      <w:r>
        <w:rPr>
          <w:sz w:val="24"/>
        </w:rPr>
        <w:tab/>
        <w:t>Justification</w:t>
      </w:r>
    </w:p>
    <w:p w:rsidR="00EB169D" w:rsidRPr="00EB169D" w:rsidRDefault="00EB169D" w:rsidP="00EB169D"/>
    <w:p w:rsidR="00EB169D" w:rsidRDefault="00EB169D" w:rsidP="00271825">
      <w:pPr>
        <w:pStyle w:val="ListParagraph"/>
        <w:numPr>
          <w:ilvl w:val="0"/>
          <w:numId w:val="21"/>
        </w:numPr>
      </w:pPr>
      <w:r w:rsidRPr="00271825">
        <w:rPr>
          <w:u w:val="single"/>
        </w:rPr>
        <w:t>Circumstances and need for the collection</w:t>
      </w:r>
      <w:r>
        <w:t>.</w:t>
      </w:r>
    </w:p>
    <w:p w:rsidR="00271825" w:rsidRDefault="00271825" w:rsidP="00271825"/>
    <w:p w:rsidR="00271825" w:rsidRDefault="00271825" w:rsidP="00271825">
      <w:pPr>
        <w:ind w:firstLine="720"/>
      </w:pPr>
      <w:r>
        <w:t xml:space="preserve">The OCC is seeking </w:t>
      </w:r>
      <w:r w:rsidR="000D1213">
        <w:t xml:space="preserve">to amend its </w:t>
      </w:r>
      <w:r w:rsidR="001E6FA4">
        <w:t xml:space="preserve">approved </w:t>
      </w:r>
      <w:r>
        <w:t xml:space="preserve">collection of information </w:t>
      </w:r>
      <w:r w:rsidR="000D1213">
        <w:t xml:space="preserve">concerning fiduciary activities to include new burden </w:t>
      </w:r>
      <w:r>
        <w:t>contained in a notice of proposed rulemaking (NPRM) concerning short-term investment funds</w:t>
      </w:r>
      <w:r w:rsidR="000C3649">
        <w:t xml:space="preserve"> (STIFs) managed by national banks</w:t>
      </w:r>
      <w:r>
        <w:t>.</w:t>
      </w:r>
      <w:r w:rsidR="000C3649">
        <w:t xml:space="preserve">   As of December 31, 2011, no federal savings associations managed a STIF, thus, the NPRM does not increase burden for federal savings associations.</w:t>
      </w:r>
      <w:r>
        <w:t xml:space="preserve">  </w:t>
      </w:r>
    </w:p>
    <w:p w:rsidR="00271825" w:rsidRDefault="00271825" w:rsidP="00271825">
      <w:pPr>
        <w:ind w:firstLine="720"/>
      </w:pPr>
    </w:p>
    <w:p w:rsidR="00271825" w:rsidRPr="00271825" w:rsidRDefault="00271825" w:rsidP="003C5F31">
      <w:pPr>
        <w:rPr>
          <w:u w:val="single"/>
        </w:rPr>
      </w:pPr>
      <w:r>
        <w:rPr>
          <w:u w:val="single"/>
        </w:rPr>
        <w:t>Current Rules</w:t>
      </w:r>
    </w:p>
    <w:p w:rsidR="00EB169D" w:rsidRDefault="00EB169D" w:rsidP="00EB169D"/>
    <w:p w:rsidR="00EB169D" w:rsidRPr="00E6241D" w:rsidRDefault="00EB169D" w:rsidP="00E6241D">
      <w:pPr>
        <w:ind w:firstLine="720"/>
      </w:pPr>
      <w:r>
        <w:t>Pursuant to 12 U.S.C. 92a, the OCC regulates the fiduciary activities of national banks, including the administration of collective investment funds</w:t>
      </w:r>
      <w:r w:rsidR="005E2274">
        <w:t xml:space="preserve"> (CIFs)</w:t>
      </w:r>
      <w:r>
        <w:t>.</w:t>
      </w:r>
      <w:r w:rsidR="00E6241D">
        <w:t xml:space="preserve">  </w:t>
      </w:r>
      <w:r w:rsidR="00D35F32">
        <w:rPr>
          <w:color w:val="000000"/>
        </w:rPr>
        <w:t xml:space="preserve">12 CFR </w:t>
      </w:r>
      <w:r w:rsidR="000D72FD">
        <w:rPr>
          <w:color w:val="000000"/>
        </w:rPr>
        <w:t>Part</w:t>
      </w:r>
      <w:r w:rsidR="008C278A">
        <w:rPr>
          <w:color w:val="000000"/>
        </w:rPr>
        <w:t xml:space="preserve"> 9 contain</w:t>
      </w:r>
      <w:r w:rsidR="006C7AA9">
        <w:rPr>
          <w:color w:val="000000"/>
        </w:rPr>
        <w:t>s</w:t>
      </w:r>
      <w:r w:rsidRPr="007369C3">
        <w:rPr>
          <w:color w:val="000000"/>
        </w:rPr>
        <w:t xml:space="preserve"> the regulations that </w:t>
      </w:r>
      <w:r w:rsidR="008C278A">
        <w:rPr>
          <w:color w:val="000000"/>
        </w:rPr>
        <w:t xml:space="preserve">national banks </w:t>
      </w:r>
      <w:r w:rsidRPr="007369C3">
        <w:rPr>
          <w:color w:val="000000"/>
        </w:rPr>
        <w:t>must follow when conducting fiduciary activities.</w:t>
      </w:r>
    </w:p>
    <w:p w:rsidR="00EB169D" w:rsidRDefault="00EB169D" w:rsidP="00EB169D"/>
    <w:p w:rsidR="00EB169D" w:rsidRDefault="00C25E87" w:rsidP="00EB169D">
      <w:pPr>
        <w:ind w:firstLine="720"/>
      </w:pPr>
      <w:r>
        <w:t xml:space="preserve">12 </w:t>
      </w:r>
      <w:r w:rsidR="00EB169D">
        <w:t xml:space="preserve">CFR </w:t>
      </w:r>
      <w:r>
        <w:t>P</w:t>
      </w:r>
      <w:r w:rsidR="00EB169D">
        <w:t>art 9</w:t>
      </w:r>
      <w:r w:rsidR="006C7AA9">
        <w:t xml:space="preserve"> </w:t>
      </w:r>
      <w:r w:rsidR="00EB169D">
        <w:t>require</w:t>
      </w:r>
      <w:r w:rsidR="006C7AA9">
        <w:t>s</w:t>
      </w:r>
      <w:r w:rsidR="00EB169D">
        <w:t xml:space="preserve"> </w:t>
      </w:r>
      <w:r w:rsidR="006C7AA9">
        <w:t>banks</w:t>
      </w:r>
      <w:r w:rsidR="00EB169D">
        <w:t xml:space="preserve"> with fiduciary powers to retain all fiduciary records relating to an account for a period of three years after termination of the account or of related litigation.  </w:t>
      </w:r>
      <w:r w:rsidR="006C7AA9">
        <w:t>It</w:t>
      </w:r>
      <w:r w:rsidR="00EB169D">
        <w:t xml:space="preserve"> also require</w:t>
      </w:r>
      <w:r w:rsidR="006C7AA9">
        <w:t>s</w:t>
      </w:r>
      <w:r w:rsidR="00EB169D">
        <w:t xml:space="preserve"> that </w:t>
      </w:r>
      <w:r w:rsidR="006C7AA9">
        <w:t>banks</w:t>
      </w:r>
      <w:r w:rsidR="00EB169D">
        <w:t xml:space="preserve"> note results of fiduciary activities annually in the minutes of the board of directors.  Both of these requireme</w:t>
      </w:r>
      <w:r w:rsidR="00926FF8">
        <w:t xml:space="preserve">nts are needed to ensure safety </w:t>
      </w:r>
      <w:r w:rsidR="00EB169D">
        <w:t xml:space="preserve">and soundness in fiduciary activities.  Additionally, to ensure that the OCC has current information on which </w:t>
      </w:r>
      <w:r w:rsidR="006C7AA9">
        <w:t>banks</w:t>
      </w:r>
      <w:r w:rsidR="00EB169D">
        <w:t xml:space="preserve"> have fiduciary powers, part</w:t>
      </w:r>
      <w:r>
        <w:t>s</w:t>
      </w:r>
      <w:r w:rsidR="00EB169D">
        <w:t xml:space="preserve"> 9 require</w:t>
      </w:r>
      <w:r w:rsidR="006C7AA9">
        <w:t>s</w:t>
      </w:r>
      <w:r w:rsidR="00EB169D">
        <w:t xml:space="preserve"> a</w:t>
      </w:r>
      <w:r w:rsidR="006C7AA9">
        <w:t xml:space="preserve"> bank</w:t>
      </w:r>
      <w:r w:rsidR="00EB169D">
        <w:t xml:space="preserve"> to file a certified copy of a board resol</w:t>
      </w:r>
      <w:r w:rsidR="00C30097">
        <w:t xml:space="preserve">ution in order to surrender </w:t>
      </w:r>
      <w:r w:rsidR="00EB169D">
        <w:t>fiduciary powers.</w:t>
      </w:r>
    </w:p>
    <w:p w:rsidR="00EB169D" w:rsidRDefault="00EB169D" w:rsidP="00EB169D"/>
    <w:p w:rsidR="00EB169D" w:rsidRDefault="00EB169D" w:rsidP="00EB169D">
      <w:pPr>
        <w:ind w:firstLine="720"/>
      </w:pPr>
      <w:r>
        <w:t xml:space="preserve">To ensure adequate disclosure of operation aspects of </w:t>
      </w:r>
      <w:r w:rsidR="006C7AA9">
        <w:t>CIF</w:t>
      </w:r>
      <w:r>
        <w:t>s, part 9</w:t>
      </w:r>
      <w:r w:rsidR="006C7AA9">
        <w:t xml:space="preserve"> </w:t>
      </w:r>
      <w:r>
        <w:t>require</w:t>
      </w:r>
      <w:r w:rsidR="006C7AA9">
        <w:t>s</w:t>
      </w:r>
      <w:r>
        <w:t xml:space="preserve"> that </w:t>
      </w:r>
      <w:r w:rsidR="006C7AA9">
        <w:t>banks</w:t>
      </w:r>
      <w:r>
        <w:t xml:space="preserve"> operate </w:t>
      </w:r>
      <w:r w:rsidR="00C30097">
        <w:t xml:space="preserve">a </w:t>
      </w:r>
      <w:r w:rsidR="00926FF8">
        <w:t xml:space="preserve">CIF </w:t>
      </w:r>
      <w:r>
        <w:t xml:space="preserve">pursuant to a written plan.  The written plan is the basic operating document of a </w:t>
      </w:r>
      <w:r w:rsidR="00926FF8">
        <w:t>CIF</w:t>
      </w:r>
      <w:r>
        <w:t xml:space="preserve"> and serves as the primary disclosure document to fund participants.  As such, it is analogous to the prospectus prepared by a registered investment company pursuant to SEC requirements.  It contains provisions as to the manner in which </w:t>
      </w:r>
      <w:r w:rsidR="00C25E87">
        <w:t>a</w:t>
      </w:r>
      <w:r w:rsidR="006C7AA9">
        <w:t xml:space="preserve"> bank</w:t>
      </w:r>
      <w:r>
        <w:t xml:space="preserve"> will operate the fund and addresses such matters as investment powers and policies,</w:t>
      </w:r>
      <w:r w:rsidR="006C7AA9">
        <w:t xml:space="preserve"> </w:t>
      </w:r>
      <w:r>
        <w:t xml:space="preserve">terms, and conditions governing </w:t>
      </w:r>
      <w:r w:rsidR="00C30097">
        <w:t xml:space="preserve">the admission and </w:t>
      </w:r>
      <w:proofErr w:type="gramStart"/>
      <w:r w:rsidR="00C30097">
        <w:t>withdrawal</w:t>
      </w:r>
      <w:proofErr w:type="gramEnd"/>
      <w:r>
        <w:t xml:space="preserve"> of participants, the basis and method of valuation, and the basis upon which the fund may be terminated.  The primary regulatory purpose of the plan is to define </w:t>
      </w:r>
      <w:r w:rsidR="00C30097">
        <w:t xml:space="preserve">the </w:t>
      </w:r>
      <w:r>
        <w:t xml:space="preserve">operational parameters of a </w:t>
      </w:r>
      <w:r w:rsidR="00926FF8">
        <w:t>CIF</w:t>
      </w:r>
      <w:r>
        <w:t>, not to solicit information.</w:t>
      </w:r>
    </w:p>
    <w:p w:rsidR="00EB169D" w:rsidRDefault="00EB169D" w:rsidP="00EB169D"/>
    <w:p w:rsidR="00EB169D" w:rsidRDefault="008C278A" w:rsidP="00EB169D">
      <w:pPr>
        <w:ind w:firstLine="720"/>
      </w:pPr>
      <w:r>
        <w:t>T</w:t>
      </w:r>
      <w:r w:rsidR="00EB169D">
        <w:t xml:space="preserve">o ensure that information on the performance of a </w:t>
      </w:r>
      <w:r w:rsidR="00926FF8">
        <w:t>CIF</w:t>
      </w:r>
      <w:r w:rsidR="00EB169D">
        <w:t xml:space="preserve"> is available to current and prospective fund participants, part 9 require</w:t>
      </w:r>
      <w:r w:rsidR="006C7AA9">
        <w:t>s</w:t>
      </w:r>
      <w:r w:rsidR="00EB169D">
        <w:t xml:space="preserve"> </w:t>
      </w:r>
      <w:r w:rsidR="00801B92">
        <w:t>a</w:t>
      </w:r>
      <w:r w:rsidR="006C7AA9">
        <w:t xml:space="preserve"> bank</w:t>
      </w:r>
      <w:r w:rsidR="00EB169D">
        <w:t xml:space="preserve"> to prepare an annual financial report on each fund and to notify participants of its availability.  The annual financial report for a </w:t>
      </w:r>
      <w:r w:rsidR="00926FF8">
        <w:t>CIF</w:t>
      </w:r>
      <w:r w:rsidR="00EB169D">
        <w:t xml:space="preserve"> is a basic disclosure document for fund participants.  The requirement is analogous to that of registered investment companies under SEC supervision.  The annual financial report contains, among </w:t>
      </w:r>
      <w:r w:rsidR="00EB169D">
        <w:lastRenderedPageBreak/>
        <w:t>other things, a list of fund investments with cost and market values of each; a statement showing purchases and sales since the previous report, with any profit or loss; income and disbursements for the year; and investments in default.</w:t>
      </w:r>
    </w:p>
    <w:p w:rsidR="004707D0" w:rsidRDefault="00EB169D" w:rsidP="00EB169D">
      <w:pPr>
        <w:rPr>
          <w:b/>
          <w:bCs/>
        </w:rPr>
      </w:pPr>
      <w:r>
        <w:rPr>
          <w:b/>
          <w:bCs/>
        </w:rPr>
        <w:tab/>
      </w:r>
    </w:p>
    <w:p w:rsidR="004707D0" w:rsidRDefault="009450C6" w:rsidP="009450C6">
      <w:pPr>
        <w:ind w:firstLine="720"/>
        <w:rPr>
          <w:rFonts w:eastAsia="Arial Unicode MS"/>
        </w:rPr>
      </w:pPr>
      <w:r>
        <w:rPr>
          <w:rFonts w:eastAsia="Arial Unicode MS"/>
        </w:rPr>
        <w:t>Part 9 provides a</w:t>
      </w:r>
      <w:r w:rsidR="004707D0">
        <w:rPr>
          <w:rFonts w:eastAsia="Arial Unicode MS"/>
        </w:rPr>
        <w:t xml:space="preserve"> general rule for valuation of </w:t>
      </w:r>
      <w:r w:rsidR="00D56C91">
        <w:rPr>
          <w:rFonts w:eastAsia="Arial Unicode MS"/>
        </w:rPr>
        <w:t xml:space="preserve">a </w:t>
      </w:r>
      <w:r w:rsidR="004707D0">
        <w:rPr>
          <w:rFonts w:eastAsia="Arial Unicode MS"/>
        </w:rPr>
        <w:t xml:space="preserve">CIF’s assets </w:t>
      </w:r>
      <w:r>
        <w:rPr>
          <w:rFonts w:eastAsia="Arial Unicode MS"/>
        </w:rPr>
        <w:t xml:space="preserve">that </w:t>
      </w:r>
      <w:r w:rsidR="004707D0">
        <w:rPr>
          <w:rFonts w:eastAsia="Arial Unicode MS"/>
        </w:rPr>
        <w:t>specifies that a CIF admitting or withdrawing the fiduciary account may only do so on the basis of a valuation of the CIF’s assets, as of the admission or withdrawal date, based on the market value of the CIF’s assets.</w:t>
      </w:r>
      <w:r>
        <w:rPr>
          <w:rFonts w:eastAsia="Arial Unicode MS"/>
        </w:rPr>
        <w:t xml:space="preserve">  </w:t>
      </w:r>
      <w:r w:rsidR="004707D0">
        <w:rPr>
          <w:rFonts w:eastAsia="Arial Unicode MS"/>
        </w:rPr>
        <w:t xml:space="preserve"> This </w:t>
      </w:r>
      <w:r>
        <w:rPr>
          <w:rFonts w:eastAsia="Arial Unicode MS"/>
        </w:rPr>
        <w:t>is</w:t>
      </w:r>
      <w:r w:rsidR="004707D0">
        <w:rPr>
          <w:rFonts w:eastAsia="Arial Unicode MS"/>
        </w:rPr>
        <w:t xml:space="preserve"> to protect all participating </w:t>
      </w:r>
      <w:r w:rsidR="006C7AA9">
        <w:rPr>
          <w:rFonts w:eastAsia="Arial Unicode MS"/>
        </w:rPr>
        <w:t xml:space="preserve">accounts </w:t>
      </w:r>
      <w:r w:rsidR="004707D0">
        <w:rPr>
          <w:rFonts w:eastAsia="Arial Unicode MS"/>
        </w:rPr>
        <w:t>in the CIF from the risk that other accounts will be admitted or withdrawn at valuations that dilute the value of existing parti</w:t>
      </w:r>
      <w:r>
        <w:rPr>
          <w:rFonts w:eastAsia="Arial Unicode MS"/>
        </w:rPr>
        <w:t xml:space="preserve">cipating interests in the CIF.  </w:t>
      </w:r>
      <w:r w:rsidR="003C5F31">
        <w:rPr>
          <w:rFonts w:eastAsia="Arial Unicode MS"/>
        </w:rPr>
        <w:t>A</w:t>
      </w:r>
      <w:r>
        <w:rPr>
          <w:rFonts w:eastAsia="Arial Unicode MS"/>
        </w:rPr>
        <w:t xml:space="preserve"> STIF i</w:t>
      </w:r>
      <w:r w:rsidR="004707D0">
        <w:rPr>
          <w:rFonts w:eastAsia="Arial Unicode MS"/>
        </w:rPr>
        <w:t xml:space="preserve">s a type of CIF that permits a </w:t>
      </w:r>
      <w:r w:rsidR="004707D0" w:rsidRPr="0089614B">
        <w:rPr>
          <w:rFonts w:eastAsia="Arial Unicode MS"/>
        </w:rPr>
        <w:t xml:space="preserve">bank </w:t>
      </w:r>
      <w:r w:rsidR="004707D0">
        <w:rPr>
          <w:rFonts w:eastAsia="Arial Unicode MS"/>
        </w:rPr>
        <w:t xml:space="preserve">to </w:t>
      </w:r>
      <w:r w:rsidR="004707D0" w:rsidRPr="0089614B">
        <w:rPr>
          <w:rFonts w:eastAsia="Arial Unicode MS"/>
        </w:rPr>
        <w:t xml:space="preserve">value </w:t>
      </w:r>
      <w:r w:rsidR="004707D0">
        <w:rPr>
          <w:rFonts w:eastAsia="Arial Unicode MS"/>
        </w:rPr>
        <w:t xml:space="preserve">the STIF's </w:t>
      </w:r>
      <w:r w:rsidR="004707D0" w:rsidRPr="0089614B">
        <w:rPr>
          <w:rFonts w:eastAsia="Arial Unicode MS"/>
        </w:rPr>
        <w:t>assets on a</w:t>
      </w:r>
      <w:r w:rsidR="004707D0">
        <w:rPr>
          <w:rFonts w:eastAsia="Arial Unicode MS"/>
        </w:rPr>
        <w:t>n amortized</w:t>
      </w:r>
      <w:r w:rsidR="004707D0" w:rsidRPr="0089614B">
        <w:rPr>
          <w:rFonts w:eastAsia="Arial Unicode MS"/>
        </w:rPr>
        <w:t xml:space="preserve"> cost basis, rather than at market value, for purposes of admissions and wit</w:t>
      </w:r>
      <w:r w:rsidR="004707D0">
        <w:rPr>
          <w:rFonts w:eastAsia="Arial Unicode MS"/>
        </w:rPr>
        <w:t>hdrawals</w:t>
      </w:r>
      <w:r w:rsidR="003D3486">
        <w:rPr>
          <w:rFonts w:eastAsia="Arial Unicode MS"/>
        </w:rPr>
        <w:t>, which</w:t>
      </w:r>
      <w:r w:rsidR="004707D0">
        <w:rPr>
          <w:rFonts w:eastAsia="Arial Unicode MS"/>
        </w:rPr>
        <w:t xml:space="preserve"> is an exception to the general rule of market valuation.  </w:t>
      </w:r>
      <w:r w:rsidR="003C5F31">
        <w:rPr>
          <w:rFonts w:eastAsia="Arial Unicode MS"/>
        </w:rPr>
        <w:t>T</w:t>
      </w:r>
      <w:r w:rsidR="004707D0">
        <w:rPr>
          <w:rFonts w:eastAsia="Arial Unicode MS"/>
        </w:rPr>
        <w:t>o qualify for this exception</w:t>
      </w:r>
      <w:r w:rsidR="005E2274">
        <w:rPr>
          <w:rFonts w:eastAsia="Arial Unicode MS"/>
        </w:rPr>
        <w:t xml:space="preserve"> under the current rule</w:t>
      </w:r>
      <w:r w:rsidR="004707D0">
        <w:rPr>
          <w:rFonts w:eastAsia="Arial Unicode MS"/>
        </w:rPr>
        <w:t>, the STIF</w:t>
      </w:r>
      <w:r w:rsidR="00FE5D33">
        <w:rPr>
          <w:rFonts w:eastAsia="Arial Unicode MS"/>
        </w:rPr>
        <w:t xml:space="preserve"> must</w:t>
      </w:r>
      <w:r w:rsidR="004707D0" w:rsidRPr="0089614B">
        <w:rPr>
          <w:rFonts w:eastAsia="Arial Unicode MS"/>
        </w:rPr>
        <w:t>:</w:t>
      </w:r>
      <w:r w:rsidR="004707D0">
        <w:rPr>
          <w:rFonts w:eastAsia="Arial Unicode MS"/>
        </w:rPr>
        <w:t xml:space="preserve"> (1) m</w:t>
      </w:r>
      <w:r w:rsidR="00FE5D33">
        <w:rPr>
          <w:rFonts w:eastAsia="Arial Unicode MS"/>
        </w:rPr>
        <w:t>aintain</w:t>
      </w:r>
      <w:r w:rsidR="004707D0" w:rsidRPr="0089614B">
        <w:rPr>
          <w:rFonts w:eastAsia="Arial Unicode MS"/>
        </w:rPr>
        <w:t xml:space="preserve"> a dollar-weighted average portfolio maturity of 90 days or less;</w:t>
      </w:r>
      <w:r w:rsidR="004707D0">
        <w:rPr>
          <w:rFonts w:eastAsia="Arial Unicode MS"/>
        </w:rPr>
        <w:t xml:space="preserve"> (2) a</w:t>
      </w:r>
      <w:r w:rsidR="004707D0" w:rsidRPr="0089614B">
        <w:rPr>
          <w:rFonts w:eastAsia="Arial Unicode MS"/>
        </w:rPr>
        <w:t>ccrue on a straight-line basis the difference between the cost and anticipated principal receipt on maturity; and</w:t>
      </w:r>
      <w:r w:rsidR="004707D0">
        <w:rPr>
          <w:rFonts w:eastAsia="Arial Unicode MS"/>
        </w:rPr>
        <w:t xml:space="preserve"> (3)</w:t>
      </w:r>
      <w:r w:rsidR="004707D0" w:rsidRPr="0089614B">
        <w:rPr>
          <w:rFonts w:eastAsia="Arial Unicode MS"/>
        </w:rPr>
        <w:t xml:space="preserve"> hold the fund’s assets until maturity</w:t>
      </w:r>
      <w:r w:rsidR="004707D0">
        <w:rPr>
          <w:rFonts w:eastAsia="Arial Unicode MS"/>
        </w:rPr>
        <w:t xml:space="preserve"> under usual circumstances.  </w:t>
      </w:r>
      <w:r w:rsidR="00FE5D33">
        <w:rPr>
          <w:rFonts w:eastAsia="Arial Unicode MS"/>
        </w:rPr>
        <w:t xml:space="preserve">By </w:t>
      </w:r>
      <w:r w:rsidR="004707D0">
        <w:rPr>
          <w:rFonts w:eastAsia="Arial Unicode MS"/>
        </w:rPr>
        <w:t xml:space="preserve">limiting the CIF’s investments to shorter-term assets and generally requiring those assets to be held to maturity, any differences between the amortized cost and market value of the assets will be </w:t>
      </w:r>
      <w:r w:rsidR="00FB706E">
        <w:rPr>
          <w:rFonts w:eastAsia="Arial Unicode MS"/>
        </w:rPr>
        <w:t xml:space="preserve">rare, </w:t>
      </w:r>
      <w:r w:rsidR="004707D0">
        <w:rPr>
          <w:rFonts w:eastAsia="Arial Unicode MS"/>
        </w:rPr>
        <w:t xml:space="preserve">absent atypical market conditions or default on an asset.  </w:t>
      </w:r>
    </w:p>
    <w:p w:rsidR="00FB706E" w:rsidRDefault="004707D0" w:rsidP="007E1345">
      <w:pPr>
        <w:pStyle w:val="HTMLPreformatted"/>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p>
    <w:p w:rsidR="00271825" w:rsidRPr="00271825" w:rsidRDefault="00271825" w:rsidP="007E1345">
      <w:pPr>
        <w:pStyle w:val="HTMLPreformatted"/>
        <w:rPr>
          <w:rFonts w:ascii="Times New Roman" w:eastAsia="Arial Unicode MS" w:hAnsi="Times New Roman" w:cs="Times New Roman"/>
          <w:sz w:val="24"/>
          <w:szCs w:val="24"/>
          <w:u w:val="single"/>
        </w:rPr>
      </w:pPr>
      <w:r>
        <w:rPr>
          <w:rFonts w:ascii="Times New Roman" w:eastAsia="Arial Unicode MS" w:hAnsi="Times New Roman" w:cs="Times New Roman"/>
          <w:sz w:val="24"/>
          <w:szCs w:val="24"/>
          <w:u w:val="single"/>
        </w:rPr>
        <w:t>NPRM</w:t>
      </w:r>
    </w:p>
    <w:p w:rsidR="00271825" w:rsidRPr="004F6DD9" w:rsidRDefault="00271825" w:rsidP="007E1345">
      <w:pPr>
        <w:pStyle w:val="HTMLPreformatted"/>
        <w:rPr>
          <w:rFonts w:ascii="Times New Roman" w:eastAsia="Arial Unicode MS" w:hAnsi="Times New Roman" w:cs="Times New Roman"/>
          <w:sz w:val="24"/>
          <w:szCs w:val="24"/>
        </w:rPr>
      </w:pPr>
    </w:p>
    <w:p w:rsidR="004707D0" w:rsidRDefault="004707D0" w:rsidP="007E1345">
      <w:pPr>
        <w:ind w:firstLine="720"/>
        <w:rPr>
          <w:rFonts w:eastAsia="Arial Unicode MS"/>
        </w:rPr>
      </w:pPr>
      <w:r>
        <w:rPr>
          <w:rFonts w:eastAsia="Arial Unicode MS"/>
        </w:rPr>
        <w:t xml:space="preserve">The </w:t>
      </w:r>
      <w:r w:rsidR="00F071F8">
        <w:rPr>
          <w:rFonts w:eastAsia="Arial Unicode MS"/>
        </w:rPr>
        <w:t>NPRM proposes</w:t>
      </w:r>
      <w:r>
        <w:rPr>
          <w:rFonts w:eastAsia="Arial Unicode MS"/>
        </w:rPr>
        <w:t xml:space="preserve"> additional safeguards designed to address </w:t>
      </w:r>
      <w:r w:rsidR="00580433">
        <w:rPr>
          <w:rFonts w:eastAsia="Arial Unicode MS"/>
        </w:rPr>
        <w:t>the</w:t>
      </w:r>
      <w:r>
        <w:rPr>
          <w:rFonts w:eastAsia="Arial Unicode MS"/>
        </w:rPr>
        <w:t xml:space="preserve"> risk </w:t>
      </w:r>
      <w:r w:rsidR="00580433">
        <w:rPr>
          <w:rFonts w:eastAsia="Arial Unicode MS"/>
        </w:rPr>
        <w:t>to participating interest of loss of principal</w:t>
      </w:r>
      <w:r w:rsidR="003C5F31">
        <w:rPr>
          <w:rFonts w:eastAsia="Arial Unicode MS"/>
        </w:rPr>
        <w:t>, including</w:t>
      </w:r>
      <w:r>
        <w:rPr>
          <w:rFonts w:eastAsia="Arial Unicode MS"/>
        </w:rPr>
        <w:t xml:space="preserve"> measures governing the nature of a STIF’s investments, ongoing monitoring of its </w:t>
      </w:r>
      <w:r w:rsidR="005E2274">
        <w:rPr>
          <w:rFonts w:eastAsia="Arial Unicode MS"/>
        </w:rPr>
        <w:t>mark-to-market</w:t>
      </w:r>
      <w:r>
        <w:rPr>
          <w:rFonts w:eastAsia="Arial Unicode MS"/>
        </w:rPr>
        <w:t xml:space="preserve"> value and forecasting of potential changes in its </w:t>
      </w:r>
      <w:r w:rsidR="005E2274">
        <w:rPr>
          <w:rFonts w:eastAsia="Arial Unicode MS"/>
        </w:rPr>
        <w:t>mark-to-market</w:t>
      </w:r>
      <w:r>
        <w:rPr>
          <w:rFonts w:eastAsia="Arial Unicode MS"/>
        </w:rPr>
        <w:t xml:space="preserve"> value under adverse market conditions, greater transparency and regulatory reporting about the STIF’s holdings, and procedures to protect fiduciary accounts from undue dilution of their participating interests in the event the STIF loses the ability to maintain a stable </w:t>
      </w:r>
      <w:r w:rsidR="00C92E31">
        <w:rPr>
          <w:rFonts w:eastAsia="Arial Unicode MS"/>
        </w:rPr>
        <w:t>net asset value (</w:t>
      </w:r>
      <w:r>
        <w:rPr>
          <w:rFonts w:eastAsia="Arial Unicode MS"/>
        </w:rPr>
        <w:t>NAV</w:t>
      </w:r>
      <w:r w:rsidR="00C92E31">
        <w:rPr>
          <w:rFonts w:eastAsia="Arial Unicode MS"/>
        </w:rPr>
        <w:t>)</w:t>
      </w:r>
      <w:r>
        <w:rPr>
          <w:rFonts w:eastAsia="Arial Unicode MS"/>
        </w:rPr>
        <w:t xml:space="preserve">.  </w:t>
      </w:r>
    </w:p>
    <w:p w:rsidR="00FB706E" w:rsidRDefault="00FB706E" w:rsidP="007E1345">
      <w:pPr>
        <w:ind w:firstLine="720"/>
        <w:rPr>
          <w:rFonts w:eastAsia="Arial Unicode MS"/>
        </w:rPr>
      </w:pPr>
    </w:p>
    <w:p w:rsidR="004707D0" w:rsidRDefault="004707D0" w:rsidP="007E1345">
      <w:pPr>
        <w:rPr>
          <w:rFonts w:eastAsia="Arial Unicode MS"/>
        </w:rPr>
      </w:pPr>
      <w:r>
        <w:rPr>
          <w:rFonts w:eastAsia="Arial Unicode MS"/>
        </w:rPr>
        <w:tab/>
      </w:r>
      <w:r w:rsidR="00EE05B0">
        <w:rPr>
          <w:rFonts w:eastAsia="Arial Unicode MS"/>
        </w:rPr>
        <w:t>The NPRM</w:t>
      </w:r>
      <w:r>
        <w:rPr>
          <w:rFonts w:eastAsia="Arial Unicode MS"/>
        </w:rPr>
        <w:t xml:space="preserve"> would enhance protections provided to STIF participants and reduce risks to banks that </w:t>
      </w:r>
      <w:r w:rsidR="00C846BA">
        <w:rPr>
          <w:rFonts w:eastAsia="Arial Unicode MS"/>
        </w:rPr>
        <w:t>manage</w:t>
      </w:r>
      <w:r>
        <w:rPr>
          <w:rFonts w:eastAsia="Arial Unicode MS"/>
        </w:rPr>
        <w:t xml:space="preserve"> STIFs. </w:t>
      </w:r>
      <w:r w:rsidR="001E6FA4">
        <w:rPr>
          <w:rFonts w:eastAsia="Arial Unicode MS"/>
        </w:rPr>
        <w:t xml:space="preserve"> It would</w:t>
      </w:r>
      <w:r>
        <w:rPr>
          <w:rFonts w:eastAsia="Arial Unicode MS"/>
        </w:rPr>
        <w:t xml:space="preserve"> add new requirements or amend existing requirements that a CIF must meet to be considered a STIF and value assets on a cost basis.  The OCC believes many banks that offer STIFs are already engaged in the risk mitigation efforts set forth in this proposed rule.  </w:t>
      </w:r>
    </w:p>
    <w:p w:rsidR="00271825" w:rsidRDefault="00271825" w:rsidP="007E1345"/>
    <w:p w:rsidR="00EB169D" w:rsidRDefault="004707D0" w:rsidP="00271825">
      <w:pPr>
        <w:pStyle w:val="ListParagraph"/>
        <w:numPr>
          <w:ilvl w:val="0"/>
          <w:numId w:val="21"/>
        </w:numPr>
      </w:pPr>
      <w:r>
        <w:tab/>
      </w:r>
      <w:r w:rsidR="00EB169D" w:rsidRPr="00271825">
        <w:rPr>
          <w:u w:val="single"/>
        </w:rPr>
        <w:t>Use of information</w:t>
      </w:r>
      <w:r w:rsidR="00EB169D">
        <w:t>.</w:t>
      </w:r>
    </w:p>
    <w:p w:rsidR="00271825" w:rsidRDefault="00271825" w:rsidP="00271825"/>
    <w:p w:rsidR="00271825" w:rsidRPr="00271825" w:rsidRDefault="00271825" w:rsidP="00271825">
      <w:pPr>
        <w:rPr>
          <w:u w:val="single"/>
        </w:rPr>
      </w:pPr>
      <w:r>
        <w:rPr>
          <w:u w:val="single"/>
        </w:rPr>
        <w:t>Current Rules</w:t>
      </w:r>
    </w:p>
    <w:p w:rsidR="000D72FD" w:rsidRDefault="000D72FD" w:rsidP="000D72FD"/>
    <w:p w:rsidR="000D72FD" w:rsidRDefault="00925A6E" w:rsidP="000D72FD">
      <w:pPr>
        <w:ind w:firstLine="720"/>
      </w:pPr>
      <w:r>
        <w:t>Banks</w:t>
      </w:r>
      <w:r w:rsidR="00271825">
        <w:t xml:space="preserve"> use</w:t>
      </w:r>
      <w:r w:rsidR="00C05EF2">
        <w:t xml:space="preserve"> a written</w:t>
      </w:r>
      <w:r w:rsidR="000D72FD">
        <w:t xml:space="preserve"> plan to establish operational parameters of a </w:t>
      </w:r>
      <w:r w:rsidR="00926FF8">
        <w:t>CIF</w:t>
      </w:r>
      <w:r w:rsidR="000D72FD">
        <w:t xml:space="preserve"> and to disclose this information to fund participants.  The OCC uses the plan and the annual financial report to ensure </w:t>
      </w:r>
      <w:r w:rsidR="00801B92">
        <w:t xml:space="preserve">a </w:t>
      </w:r>
      <w:r>
        <w:t>bank</w:t>
      </w:r>
      <w:r w:rsidR="00801B92">
        <w:t>’s</w:t>
      </w:r>
      <w:r w:rsidR="000D72FD">
        <w:t xml:space="preserve"> compliance with provisions of the governing regulation</w:t>
      </w:r>
      <w:r w:rsidR="00C05EF2">
        <w:t>s</w:t>
      </w:r>
      <w:r w:rsidR="000D72FD">
        <w:t xml:space="preserve"> (12 CFR 9.18) in its operation of a </w:t>
      </w:r>
      <w:r w:rsidR="00926FF8">
        <w:t>CIF</w:t>
      </w:r>
      <w:r w:rsidR="000D72FD">
        <w:t>.</w:t>
      </w:r>
    </w:p>
    <w:p w:rsidR="000D72FD" w:rsidRDefault="000D72FD" w:rsidP="000D72FD"/>
    <w:p w:rsidR="000D72FD" w:rsidRDefault="000D72FD" w:rsidP="000D72FD">
      <w:pPr>
        <w:ind w:firstLine="720"/>
      </w:pPr>
      <w:r>
        <w:lastRenderedPageBreak/>
        <w:t>Participants and other members of the public use the plan and the annual financial report to obtain information about the fund, including its financial performance.  The plan and the annual financial report inform and protect the investing public.</w:t>
      </w:r>
    </w:p>
    <w:p w:rsidR="00271825" w:rsidRDefault="00271825" w:rsidP="000D72FD">
      <w:pPr>
        <w:ind w:firstLine="720"/>
      </w:pPr>
    </w:p>
    <w:p w:rsidR="00271825" w:rsidRPr="00271825" w:rsidRDefault="00271825" w:rsidP="00271825">
      <w:pPr>
        <w:ind w:firstLine="90"/>
        <w:rPr>
          <w:u w:val="single"/>
        </w:rPr>
      </w:pPr>
      <w:r>
        <w:rPr>
          <w:u w:val="single"/>
        </w:rPr>
        <w:t>Section-by-Section Description of Proposed Changes</w:t>
      </w:r>
    </w:p>
    <w:p w:rsidR="007A26F1" w:rsidRDefault="007A26F1" w:rsidP="007A26F1">
      <w:pPr>
        <w:rPr>
          <w:rFonts w:eastAsia="Arial Unicode MS"/>
        </w:rPr>
      </w:pPr>
    </w:p>
    <w:p w:rsidR="007A26F1" w:rsidRDefault="007A26F1" w:rsidP="007A26F1">
      <w:pPr>
        <w:rPr>
          <w:rFonts w:eastAsia="Arial Unicode MS"/>
          <w:u w:val="single"/>
        </w:rPr>
      </w:pPr>
      <w:r w:rsidRPr="00FB706E">
        <w:rPr>
          <w:rFonts w:eastAsia="Arial Unicode MS"/>
          <w:u w:val="single"/>
        </w:rPr>
        <w:t>§ 9</w:t>
      </w:r>
      <w:r w:rsidRPr="00457510">
        <w:rPr>
          <w:rFonts w:eastAsia="Arial Unicode MS"/>
          <w:u w:val="single"/>
        </w:rPr>
        <w:t>.1</w:t>
      </w:r>
      <w:r>
        <w:rPr>
          <w:rFonts w:eastAsia="Arial Unicode MS"/>
          <w:u w:val="single"/>
        </w:rPr>
        <w:t>8(b</w:t>
      </w:r>
      <w:proofErr w:type="gramStart"/>
      <w:r>
        <w:rPr>
          <w:rFonts w:eastAsia="Arial Unicode MS"/>
          <w:u w:val="single"/>
        </w:rPr>
        <w:t>)(</w:t>
      </w:r>
      <w:proofErr w:type="gramEnd"/>
      <w:r>
        <w:rPr>
          <w:rFonts w:eastAsia="Arial Unicode MS"/>
          <w:u w:val="single"/>
        </w:rPr>
        <w:t>4)(iii)(A)</w:t>
      </w:r>
    </w:p>
    <w:p w:rsidR="007A26F1" w:rsidRDefault="007A26F1" w:rsidP="007A26F1">
      <w:pPr>
        <w:rPr>
          <w:rFonts w:eastAsia="Arial Unicode MS"/>
        </w:rPr>
      </w:pPr>
    </w:p>
    <w:p w:rsidR="00B40AF6" w:rsidRDefault="007A26F1" w:rsidP="007A26F1">
      <w:pPr>
        <w:pStyle w:val="Default"/>
        <w:rPr>
          <w:rFonts w:eastAsia="Arial Unicode MS"/>
        </w:rPr>
      </w:pPr>
      <w:r>
        <w:rPr>
          <w:rFonts w:eastAsia="Arial Unicode MS"/>
        </w:rPr>
        <w:tab/>
        <w:t xml:space="preserve">STIFs typically maintain stable NAVs in order to meet the expectations of the fund's bank administrators and participating accounts.  To the extent a bank fiduciary offers a STIF with a fund objective of maintaining a stable NAV, </w:t>
      </w:r>
      <w:r w:rsidR="00C05EF2">
        <w:rPr>
          <w:rFonts w:eastAsia="Arial Unicode MS"/>
        </w:rPr>
        <w:t xml:space="preserve">participating </w:t>
      </w:r>
      <w:r>
        <w:rPr>
          <w:rFonts w:eastAsia="Arial Unicode MS"/>
        </w:rPr>
        <w:t>account</w:t>
      </w:r>
      <w:r w:rsidR="00C05EF2">
        <w:rPr>
          <w:rFonts w:eastAsia="Arial Unicode MS"/>
        </w:rPr>
        <w:t>s</w:t>
      </w:r>
      <w:r>
        <w:rPr>
          <w:rFonts w:eastAsia="Arial Unicode MS"/>
        </w:rPr>
        <w:t xml:space="preserve"> and the OCC expect those STIFs to maintain a stable NAV if they use amortized cost to set the NAV.  The </w:t>
      </w:r>
      <w:r w:rsidR="003B6B93">
        <w:rPr>
          <w:rFonts w:eastAsia="Arial Unicode MS"/>
        </w:rPr>
        <w:t>NPRM</w:t>
      </w:r>
      <w:r>
        <w:rPr>
          <w:rFonts w:eastAsia="Arial Unicode MS"/>
        </w:rPr>
        <w:t xml:space="preserve"> would require a Plan to have as a primary objective that the STIF operate with a stable NAV of $1.00 per participating interest.</w:t>
      </w:r>
    </w:p>
    <w:p w:rsidR="007A26F1" w:rsidRDefault="007A26F1" w:rsidP="007A26F1">
      <w:pPr>
        <w:pStyle w:val="Default"/>
        <w:rPr>
          <w:sz w:val="23"/>
          <w:szCs w:val="23"/>
        </w:rPr>
      </w:pPr>
      <w:r>
        <w:rPr>
          <w:sz w:val="23"/>
          <w:szCs w:val="23"/>
        </w:rPr>
        <w:tab/>
      </w:r>
    </w:p>
    <w:p w:rsidR="007A26F1" w:rsidRDefault="007A26F1" w:rsidP="007A26F1">
      <w:pPr>
        <w:pStyle w:val="Default"/>
        <w:rPr>
          <w:rFonts w:eastAsia="Arial Unicode MS"/>
          <w:u w:val="single"/>
        </w:rPr>
      </w:pPr>
      <w:r w:rsidRPr="00FB706E">
        <w:rPr>
          <w:rFonts w:eastAsia="Arial Unicode MS"/>
          <w:u w:val="single"/>
        </w:rPr>
        <w:t>§ 9.18(b</w:t>
      </w:r>
      <w:proofErr w:type="gramStart"/>
      <w:r w:rsidRPr="00FB706E">
        <w:rPr>
          <w:rFonts w:eastAsia="Arial Unicode MS"/>
          <w:u w:val="single"/>
        </w:rPr>
        <w:t>)(</w:t>
      </w:r>
      <w:proofErr w:type="gramEnd"/>
      <w:r w:rsidRPr="00FB706E">
        <w:rPr>
          <w:rFonts w:eastAsia="Arial Unicode MS"/>
          <w:u w:val="single"/>
        </w:rPr>
        <w:t xml:space="preserve">4)(iii)(B) </w:t>
      </w:r>
    </w:p>
    <w:p w:rsidR="007A26F1" w:rsidRPr="00FB706E" w:rsidRDefault="007A26F1" w:rsidP="007A26F1">
      <w:pPr>
        <w:pStyle w:val="Default"/>
        <w:rPr>
          <w:rFonts w:eastAsia="Arial Unicode MS"/>
          <w:u w:val="single"/>
        </w:rPr>
      </w:pPr>
    </w:p>
    <w:p w:rsidR="00000000" w:rsidRDefault="0093102A">
      <w:pPr>
        <w:ind w:firstLine="720"/>
      </w:pPr>
      <w:r>
        <w:t>Currently,</w:t>
      </w:r>
      <w:r w:rsidR="007A26F1">
        <w:t xml:space="preserve"> the bank </w:t>
      </w:r>
      <w:r w:rsidR="00C846BA">
        <w:t>managing</w:t>
      </w:r>
      <w:r w:rsidR="007A26F1">
        <w:t xml:space="preserve"> the STIF </w:t>
      </w:r>
      <w:r>
        <w:t>must</w:t>
      </w:r>
      <w:r w:rsidR="007A26F1">
        <w:t xml:space="preserve"> maintain a dollar weighted average portfolio maturity of 90 days or less.  </w:t>
      </w:r>
      <w:r>
        <w:t>It</w:t>
      </w:r>
      <w:r w:rsidR="007A26F1">
        <w:t xml:space="preserve"> restricts the weighted average maturity of the STIF’s portfolio, in order to limit the exposure of participating accounts to certain risks, including interest rate risk. The </w:t>
      </w:r>
      <w:r>
        <w:t>NPRM</w:t>
      </w:r>
      <w:r w:rsidR="007A26F1">
        <w:t xml:space="preserve"> would change the maturity limits to further reduce such risks</w:t>
      </w:r>
      <w:r>
        <w:t xml:space="preserve"> by reducing</w:t>
      </w:r>
      <w:r w:rsidR="007A26F1">
        <w:t xml:space="preserve"> the maximum weighted average portfolio maturity permitted by the rule from 90 </w:t>
      </w:r>
      <w:r>
        <w:t>days or less to 60 days or less and establishing</w:t>
      </w:r>
      <w:r w:rsidR="007A26F1">
        <w:t xml:space="preserve"> a new maturity test that would limit the portion of a STIF’s portfolio that could be held in longer term variable- or floating-rate securities.</w:t>
      </w:r>
      <w:r w:rsidR="004D7DB3">
        <w:t xml:space="preserve">  </w:t>
      </w:r>
      <w:r w:rsidR="007A26F1">
        <w:t xml:space="preserve">The Securities that have shorter periods remaining until maturity generally exhibit a lower level of volatility in response to interest rate and </w:t>
      </w:r>
      <w:proofErr w:type="gramStart"/>
      <w:r w:rsidR="007A26F1">
        <w:t>credit spread fluctuations and, thus, provide</w:t>
      </w:r>
      <w:proofErr w:type="gramEnd"/>
      <w:r w:rsidR="007A26F1">
        <w:t xml:space="preserve"> a greater assurance that the STIF will continue to maintain a stable value.  </w:t>
      </w:r>
    </w:p>
    <w:p w:rsidR="007A26F1" w:rsidRDefault="007A26F1" w:rsidP="007A26F1"/>
    <w:p w:rsidR="000505CB" w:rsidRDefault="004D7DB3">
      <w:r>
        <w:tab/>
      </w:r>
      <w:r w:rsidR="00C05EF2">
        <w:t xml:space="preserve">The NPRM also </w:t>
      </w:r>
      <w:r>
        <w:t xml:space="preserve">would </w:t>
      </w:r>
      <w:r w:rsidR="00C05EF2">
        <w:t xml:space="preserve">add a new maturity requirement for STIFs, which would limit the dollar-weighted average portfolio life maturity to 120 days or less.  The dollar-weighted average portfolio life maturity would be measured without regard to a security’s interest rate reset dates and, thus, would limit the extent to which a STIF could invest in longer term securities that may expose it to increased credit spread risk. </w:t>
      </w:r>
    </w:p>
    <w:p w:rsidR="00C05EF2" w:rsidRDefault="00C05EF2" w:rsidP="00C05EF2"/>
    <w:p w:rsidR="00C05EF2" w:rsidRDefault="00C05EF2" w:rsidP="00C05EF2">
      <w:r>
        <w:rPr>
          <w:color w:val="0000FF"/>
        </w:rPr>
        <w:tab/>
      </w:r>
      <w:r w:rsidRPr="00773A9E">
        <w:t xml:space="preserve">To determine compliance with the </w:t>
      </w:r>
      <w:r>
        <w:t>dollar-</w:t>
      </w:r>
      <w:r w:rsidRPr="00773A9E">
        <w:t>weighted average maturity requirement of the</w:t>
      </w:r>
      <w:r w:rsidRPr="00EE3376">
        <w:t xml:space="preserve"> current STIF Rule, </w:t>
      </w:r>
      <w:r>
        <w:t xml:space="preserve">banks generally treat </w:t>
      </w:r>
      <w:r w:rsidRPr="00EE3376">
        <w:t xml:space="preserve">the maturity of a portfolio security </w:t>
      </w:r>
      <w:r>
        <w:t>as</w:t>
      </w:r>
      <w:r w:rsidRPr="00EE3376">
        <w:t xml:space="preserve"> the period remaining until the date on which the principal must unconditionally be repaid according to it</w:t>
      </w:r>
      <w:r>
        <w:t>s terms</w:t>
      </w:r>
      <w:r w:rsidRPr="00EE3376">
        <w:t xml:space="preserve"> or, in the case of a security called for redemption, the date on which the redemption payment must be made.  </w:t>
      </w:r>
      <w:r>
        <w:t>Because there are</w:t>
      </w:r>
      <w:r w:rsidRPr="00EE3376">
        <w:t xml:space="preserve"> exceptions </w:t>
      </w:r>
      <w:r>
        <w:t xml:space="preserve">that </w:t>
      </w:r>
      <w:r w:rsidRPr="00EE3376">
        <w:t xml:space="preserve">allow a </w:t>
      </w:r>
      <w:r>
        <w:t>bank</w:t>
      </w:r>
      <w:r w:rsidRPr="00EE3376">
        <w:t xml:space="preserve"> to treat certain floating or adjustable-rate securities as having shorter maturities equal to the time remaining to the next interest rate reset date</w:t>
      </w:r>
      <w:r>
        <w:t>,</w:t>
      </w:r>
      <w:r w:rsidRPr="00EE3376">
        <w:t xml:space="preserve"> STIFs may treat longer term adjustable-rate securities as short-term securities.  </w:t>
      </w:r>
      <w:r>
        <w:t>W</w:t>
      </w:r>
      <w:r w:rsidRPr="00EE3376">
        <w:t xml:space="preserve">hile adjustable-rate securities </w:t>
      </w:r>
      <w:r>
        <w:t xml:space="preserve">held in these funds </w:t>
      </w:r>
      <w:r w:rsidRPr="00EE3376">
        <w:t xml:space="preserve">do </w:t>
      </w:r>
      <w:r>
        <w:t xml:space="preserve">tend to </w:t>
      </w:r>
      <w:r w:rsidRPr="00EE3376">
        <w:t xml:space="preserve">protect a </w:t>
      </w:r>
      <w:r>
        <w:t>STIF</w:t>
      </w:r>
      <w:r w:rsidRPr="00EE3376">
        <w:t xml:space="preserve"> against changes in interest rates, they do not fully protect against liquidity risk to the portfolio. </w:t>
      </w:r>
    </w:p>
    <w:p w:rsidR="00C05EF2" w:rsidRPr="00EE3376" w:rsidRDefault="00C05EF2" w:rsidP="00C05EF2"/>
    <w:p w:rsidR="00000000" w:rsidRDefault="00C05EF2">
      <w:pPr>
        <w:ind w:firstLine="720"/>
        <w:rPr>
          <w:rFonts w:eastAsia="Arial Unicode MS"/>
          <w:u w:val="single"/>
        </w:rPr>
      </w:pPr>
      <w:r>
        <w:t xml:space="preserve">Because the traditional dollar-weighted average portfolio maturity measurement in the current STIF rule does not require a STIF to limit these risks, the NPRM would impose a new dollar-weighted average portfolio life maturity limitation on the structure of a STIF to capture </w:t>
      </w:r>
      <w:r>
        <w:lastRenderedPageBreak/>
        <w:t xml:space="preserve">credit and liquidity risk not encompassed by the dollar-weighted average portfolio maturity restriction. It would require that STIFs maintain a dollar-weighted average portfolio life maturity of 120 days or less, which would provide a reasonable balance between strengthening the resilience of STIFs to credit and liquidity risk while not unduly restricting the bank’s ability to invest the STIF’s fiduciary assets in a diversified portfolio of short-term, high quality debt securities. </w:t>
      </w:r>
    </w:p>
    <w:p w:rsidR="004707D0" w:rsidRDefault="004707D0" w:rsidP="004707D0">
      <w:pPr>
        <w:spacing w:line="480" w:lineRule="auto"/>
        <w:rPr>
          <w:rFonts w:eastAsia="Arial Unicode MS"/>
          <w:u w:val="single"/>
        </w:rPr>
      </w:pPr>
      <w:r>
        <w:rPr>
          <w:rFonts w:eastAsia="Arial Unicode MS"/>
          <w:u w:val="single"/>
        </w:rPr>
        <w:t>§ 9</w:t>
      </w:r>
      <w:r w:rsidRPr="00457510">
        <w:rPr>
          <w:rFonts w:eastAsia="Arial Unicode MS"/>
          <w:u w:val="single"/>
        </w:rPr>
        <w:t>.1</w:t>
      </w:r>
      <w:r>
        <w:rPr>
          <w:rFonts w:eastAsia="Arial Unicode MS"/>
          <w:u w:val="single"/>
        </w:rPr>
        <w:t>8(b</w:t>
      </w:r>
      <w:proofErr w:type="gramStart"/>
      <w:r>
        <w:rPr>
          <w:rFonts w:eastAsia="Arial Unicode MS"/>
          <w:u w:val="single"/>
        </w:rPr>
        <w:t>)(</w:t>
      </w:r>
      <w:proofErr w:type="gramEnd"/>
      <w:r>
        <w:rPr>
          <w:rFonts w:eastAsia="Arial Unicode MS"/>
          <w:u w:val="single"/>
        </w:rPr>
        <w:t>4)(iii)(E)</w:t>
      </w:r>
    </w:p>
    <w:p w:rsidR="004707D0" w:rsidRDefault="004707D0" w:rsidP="00F33CE7">
      <w:pPr>
        <w:rPr>
          <w:rFonts w:eastAsia="Arial Unicode MS"/>
        </w:rPr>
      </w:pPr>
      <w:r>
        <w:rPr>
          <w:rFonts w:eastAsia="Arial Unicode MS"/>
        </w:rPr>
        <w:tab/>
      </w:r>
      <w:r w:rsidRPr="00E613BF">
        <w:rPr>
          <w:rFonts w:eastAsia="Arial Unicode MS"/>
        </w:rPr>
        <w:t xml:space="preserve">To </w:t>
      </w:r>
      <w:r>
        <w:rPr>
          <w:rFonts w:eastAsia="Arial Unicode MS"/>
        </w:rPr>
        <w:t xml:space="preserve">ensure that banks </w:t>
      </w:r>
      <w:r w:rsidR="00C846BA">
        <w:rPr>
          <w:rFonts w:eastAsia="Arial Unicode MS"/>
        </w:rPr>
        <w:t>managing</w:t>
      </w:r>
      <w:r>
        <w:rPr>
          <w:rFonts w:eastAsia="Arial Unicode MS"/>
        </w:rPr>
        <w:t xml:space="preserve"> STIFs include practices designed to </w:t>
      </w:r>
      <w:r w:rsidRPr="00E613BF">
        <w:rPr>
          <w:rFonts w:eastAsia="Arial Unicode MS"/>
        </w:rPr>
        <w:t xml:space="preserve">limit the amount of credit </w:t>
      </w:r>
      <w:r w:rsidR="003B0D4D">
        <w:rPr>
          <w:rFonts w:eastAsia="Arial Unicode MS"/>
        </w:rPr>
        <w:t xml:space="preserve">and liquidity </w:t>
      </w:r>
      <w:r w:rsidRPr="00E613BF">
        <w:rPr>
          <w:rFonts w:eastAsia="Arial Unicode MS"/>
        </w:rPr>
        <w:t>risk to</w:t>
      </w:r>
      <w:r>
        <w:rPr>
          <w:rFonts w:eastAsia="Arial Unicode MS"/>
        </w:rPr>
        <w:t xml:space="preserve"> </w:t>
      </w:r>
      <w:r w:rsidRPr="00E613BF">
        <w:rPr>
          <w:rFonts w:eastAsia="Arial Unicode MS"/>
        </w:rPr>
        <w:t xml:space="preserve">which </w:t>
      </w:r>
      <w:r w:rsidR="00C05EF2">
        <w:rPr>
          <w:rFonts w:eastAsia="Arial Unicode MS"/>
        </w:rPr>
        <w:t>participating</w:t>
      </w:r>
      <w:r>
        <w:rPr>
          <w:rFonts w:eastAsia="Arial Unicode MS"/>
        </w:rPr>
        <w:t xml:space="preserve"> account</w:t>
      </w:r>
      <w:r w:rsidR="00C05EF2">
        <w:rPr>
          <w:rFonts w:eastAsia="Arial Unicode MS"/>
        </w:rPr>
        <w:t>s</w:t>
      </w:r>
      <w:r>
        <w:rPr>
          <w:rFonts w:eastAsia="Arial Unicode MS"/>
        </w:rPr>
        <w:t xml:space="preserve"> in STIFs are </w:t>
      </w:r>
      <w:r w:rsidRPr="00E613BF">
        <w:rPr>
          <w:rFonts w:eastAsia="Arial Unicode MS"/>
        </w:rPr>
        <w:t xml:space="preserve">exposed, </w:t>
      </w:r>
      <w:r>
        <w:rPr>
          <w:rFonts w:eastAsia="Arial Unicode MS"/>
        </w:rPr>
        <w:t xml:space="preserve">the </w:t>
      </w:r>
      <w:r w:rsidR="0093102A">
        <w:rPr>
          <w:rFonts w:eastAsia="Arial Unicode MS"/>
        </w:rPr>
        <w:t>NPRM</w:t>
      </w:r>
      <w:r>
        <w:rPr>
          <w:rFonts w:eastAsia="Arial Unicode MS"/>
        </w:rPr>
        <w:t xml:space="preserve"> would require a</w:t>
      </w:r>
      <w:r w:rsidRPr="00E613BF">
        <w:rPr>
          <w:rFonts w:eastAsia="Arial Unicode MS"/>
        </w:rPr>
        <w:t>dopt</w:t>
      </w:r>
      <w:r>
        <w:rPr>
          <w:rFonts w:eastAsia="Arial Unicode MS"/>
        </w:rPr>
        <w:t>ion of</w:t>
      </w:r>
      <w:r w:rsidRPr="00E613BF">
        <w:rPr>
          <w:rFonts w:eastAsia="Arial Unicode MS"/>
        </w:rPr>
        <w:t xml:space="preserve"> portfolio and issuer qualitative standards and concentration restrictions</w:t>
      </w:r>
      <w:r>
        <w:rPr>
          <w:rFonts w:eastAsia="Arial Unicode MS"/>
        </w:rPr>
        <w:t xml:space="preserve">.     </w:t>
      </w:r>
    </w:p>
    <w:p w:rsidR="00F33CE7" w:rsidRPr="00EC5100" w:rsidRDefault="00F33CE7" w:rsidP="00F33CE7">
      <w:pPr>
        <w:rPr>
          <w:rFonts w:eastAsia="Arial Unicode MS"/>
        </w:rPr>
      </w:pPr>
    </w:p>
    <w:p w:rsidR="004707D0" w:rsidRDefault="004707D0" w:rsidP="004707D0">
      <w:pPr>
        <w:spacing w:line="480" w:lineRule="auto"/>
        <w:rPr>
          <w:rFonts w:eastAsia="Arial Unicode MS"/>
          <w:u w:val="single"/>
        </w:rPr>
      </w:pPr>
      <w:r w:rsidRPr="004707D0">
        <w:rPr>
          <w:rFonts w:eastAsia="Arial Unicode MS"/>
          <w:u w:val="single"/>
        </w:rPr>
        <w:t>§ 9</w:t>
      </w:r>
      <w:r w:rsidRPr="00457510">
        <w:rPr>
          <w:rFonts w:eastAsia="Arial Unicode MS"/>
          <w:u w:val="single"/>
        </w:rPr>
        <w:t>.1</w:t>
      </w:r>
      <w:r>
        <w:rPr>
          <w:rFonts w:eastAsia="Arial Unicode MS"/>
          <w:u w:val="single"/>
        </w:rPr>
        <w:t>8(b</w:t>
      </w:r>
      <w:proofErr w:type="gramStart"/>
      <w:r>
        <w:rPr>
          <w:rFonts w:eastAsia="Arial Unicode MS"/>
          <w:u w:val="single"/>
        </w:rPr>
        <w:t>)(</w:t>
      </w:r>
      <w:proofErr w:type="gramEnd"/>
      <w:r>
        <w:rPr>
          <w:rFonts w:eastAsia="Arial Unicode MS"/>
          <w:u w:val="single"/>
        </w:rPr>
        <w:t>4)(iii)(F)</w:t>
      </w:r>
    </w:p>
    <w:p w:rsidR="004707D0" w:rsidRDefault="004707D0" w:rsidP="00F33CE7">
      <w:pPr>
        <w:rPr>
          <w:rFonts w:eastAsia="Arial Unicode MS"/>
        </w:rPr>
      </w:pPr>
      <w:r>
        <w:rPr>
          <w:rFonts w:eastAsia="Arial Unicode MS"/>
        </w:rPr>
        <w:tab/>
      </w:r>
      <w:r>
        <w:t>Many banks process STIF withdrawal requests within a short time</w:t>
      </w:r>
      <w:r w:rsidR="003B0D4D">
        <w:t xml:space="preserve"> </w:t>
      </w:r>
      <w:r>
        <w:t>frame</w:t>
      </w:r>
      <w:r w:rsidR="00932078" w:rsidRPr="00932078">
        <w:rPr>
          <w:bCs/>
        </w:rPr>
        <w:t xml:space="preserve">, </w:t>
      </w:r>
      <w:r>
        <w:t>often on the same day that the withdrawal request is received, which necessitates</w:t>
      </w:r>
      <w:r>
        <w:rPr>
          <w:rFonts w:eastAsia="Arial Unicode MS"/>
        </w:rPr>
        <w:t xml:space="preserve"> </w:t>
      </w:r>
      <w:r w:rsidRPr="006B7050">
        <w:rPr>
          <w:rFonts w:eastAsia="Arial Unicode MS"/>
        </w:rPr>
        <w:t>sufficient liquidity to meet</w:t>
      </w:r>
      <w:r>
        <w:rPr>
          <w:rFonts w:eastAsia="Arial Unicode MS"/>
        </w:rPr>
        <w:t xml:space="preserve"> such</w:t>
      </w:r>
      <w:r w:rsidRPr="006B7050">
        <w:rPr>
          <w:rFonts w:eastAsia="Arial Unicode MS"/>
        </w:rPr>
        <w:t xml:space="preserve"> requests.</w:t>
      </w:r>
      <w:r>
        <w:rPr>
          <w:rFonts w:eastAsia="Arial Unicode MS"/>
        </w:rPr>
        <w:t xml:space="preserve">  </w:t>
      </w:r>
      <w:r w:rsidRPr="006B7050">
        <w:rPr>
          <w:rFonts w:eastAsia="Arial Unicode MS"/>
        </w:rPr>
        <w:t>By holding illiquid securities, a</w:t>
      </w:r>
      <w:r>
        <w:rPr>
          <w:rFonts w:eastAsia="Arial Unicode MS"/>
        </w:rPr>
        <w:t xml:space="preserve"> STIF</w:t>
      </w:r>
      <w:r w:rsidRPr="006B7050">
        <w:rPr>
          <w:rFonts w:eastAsia="Arial Unicode MS"/>
        </w:rPr>
        <w:t xml:space="preserve"> exposes itself to </w:t>
      </w:r>
      <w:r>
        <w:rPr>
          <w:rFonts w:eastAsia="Arial Unicode MS"/>
        </w:rPr>
        <w:t xml:space="preserve">the </w:t>
      </w:r>
      <w:r w:rsidRPr="006B7050">
        <w:rPr>
          <w:rFonts w:eastAsia="Arial Unicode MS"/>
        </w:rPr>
        <w:t>risk</w:t>
      </w:r>
      <w:r>
        <w:rPr>
          <w:rFonts w:eastAsia="Arial Unicode MS"/>
        </w:rPr>
        <w:t xml:space="preserve"> that it will be </w:t>
      </w:r>
      <w:r w:rsidRPr="006B7050">
        <w:rPr>
          <w:rFonts w:eastAsia="Arial Unicode MS"/>
        </w:rPr>
        <w:t>unable to satisfy</w:t>
      </w:r>
      <w:r>
        <w:rPr>
          <w:rFonts w:eastAsia="Arial Unicode MS"/>
        </w:rPr>
        <w:t xml:space="preserve"> withdrawal</w:t>
      </w:r>
      <w:r w:rsidRPr="006B7050">
        <w:rPr>
          <w:rFonts w:eastAsia="Arial Unicode MS"/>
        </w:rPr>
        <w:t xml:space="preserve"> requests promptly without</w:t>
      </w:r>
      <w:r>
        <w:rPr>
          <w:rFonts w:eastAsia="Arial Unicode MS"/>
        </w:rPr>
        <w:t xml:space="preserve"> </w:t>
      </w:r>
      <w:r w:rsidRPr="006B7050">
        <w:rPr>
          <w:rFonts w:eastAsia="Arial Unicode MS"/>
        </w:rPr>
        <w:t>selling illiquid securities at a loss that</w:t>
      </w:r>
      <w:r>
        <w:rPr>
          <w:rFonts w:eastAsia="Arial Unicode MS"/>
        </w:rPr>
        <w:t xml:space="preserve">, in turn, </w:t>
      </w:r>
      <w:r w:rsidRPr="006B7050">
        <w:rPr>
          <w:rFonts w:eastAsia="Arial Unicode MS"/>
        </w:rPr>
        <w:t>could impair its ability to maintain a</w:t>
      </w:r>
      <w:r>
        <w:rPr>
          <w:rFonts w:eastAsia="Arial Unicode MS"/>
        </w:rPr>
        <w:t xml:space="preserve"> </w:t>
      </w:r>
      <w:r w:rsidRPr="006B7050">
        <w:rPr>
          <w:rFonts w:eastAsia="Arial Unicode MS"/>
        </w:rPr>
        <w:t xml:space="preserve">stable </w:t>
      </w:r>
      <w:r>
        <w:rPr>
          <w:rFonts w:eastAsia="Arial Unicode MS"/>
        </w:rPr>
        <w:t>NAV</w:t>
      </w:r>
      <w:r w:rsidRPr="006B7050">
        <w:rPr>
          <w:rFonts w:eastAsia="Arial Unicode MS"/>
        </w:rPr>
        <w:t>.</w:t>
      </w:r>
      <w:r>
        <w:rPr>
          <w:rFonts w:eastAsia="Arial Unicode MS"/>
        </w:rPr>
        <w:t xml:space="preserve">  </w:t>
      </w:r>
      <w:r w:rsidRPr="006B7050">
        <w:rPr>
          <w:rFonts w:eastAsia="Arial Unicode MS"/>
        </w:rPr>
        <w:t>Moreover, illiquid securities are</w:t>
      </w:r>
      <w:r w:rsidR="003B0D4D">
        <w:rPr>
          <w:rFonts w:eastAsia="Arial Unicode MS"/>
        </w:rPr>
        <w:t xml:space="preserve"> generally</w:t>
      </w:r>
      <w:r w:rsidRPr="006B7050">
        <w:rPr>
          <w:rFonts w:eastAsia="Arial Unicode MS"/>
        </w:rPr>
        <w:t xml:space="preserve"> subject</w:t>
      </w:r>
      <w:r>
        <w:rPr>
          <w:rFonts w:eastAsia="Arial Unicode MS"/>
        </w:rPr>
        <w:t xml:space="preserve"> </w:t>
      </w:r>
      <w:r w:rsidRPr="006B7050">
        <w:rPr>
          <w:rFonts w:eastAsia="Arial Unicode MS"/>
        </w:rPr>
        <w:t>to greater price volatility, exposing the</w:t>
      </w:r>
      <w:r>
        <w:rPr>
          <w:rFonts w:eastAsia="Arial Unicode MS"/>
        </w:rPr>
        <w:t xml:space="preserve"> STIF</w:t>
      </w:r>
      <w:r w:rsidRPr="006B7050">
        <w:rPr>
          <w:rFonts w:eastAsia="Arial Unicode MS"/>
        </w:rPr>
        <w:t xml:space="preserve"> to</w:t>
      </w:r>
      <w:r>
        <w:rPr>
          <w:rFonts w:eastAsia="Arial Unicode MS"/>
        </w:rPr>
        <w:t xml:space="preserve"> greater risk that its </w:t>
      </w:r>
      <w:r w:rsidR="005E2274">
        <w:rPr>
          <w:rFonts w:eastAsia="Arial Unicode MS"/>
        </w:rPr>
        <w:t>mark-to-market</w:t>
      </w:r>
      <w:r>
        <w:rPr>
          <w:rFonts w:eastAsia="Arial Unicode MS"/>
        </w:rPr>
        <w:t xml:space="preserve"> value will d</w:t>
      </w:r>
      <w:r w:rsidR="003B0D4D">
        <w:rPr>
          <w:rFonts w:eastAsia="Arial Unicode MS"/>
        </w:rPr>
        <w:t>eviate</w:t>
      </w:r>
      <w:r>
        <w:rPr>
          <w:rFonts w:eastAsia="Arial Unicode MS"/>
        </w:rPr>
        <w:t xml:space="preserve"> from its amortized cost value</w:t>
      </w:r>
      <w:r w:rsidRPr="006B7050">
        <w:rPr>
          <w:rFonts w:eastAsia="Arial Unicode MS"/>
        </w:rPr>
        <w:t>.</w:t>
      </w:r>
      <w:r>
        <w:rPr>
          <w:rFonts w:eastAsia="Arial Unicode MS"/>
        </w:rPr>
        <w:t xml:space="preserve">  </w:t>
      </w:r>
      <w:r w:rsidRPr="00E613BF">
        <w:rPr>
          <w:rFonts w:eastAsia="Arial Unicode MS"/>
        </w:rPr>
        <w:t>To</w:t>
      </w:r>
      <w:r w:rsidR="003B0D4D">
        <w:rPr>
          <w:rFonts w:eastAsia="Arial Unicode MS"/>
        </w:rPr>
        <w:t xml:space="preserve"> address this concern</w:t>
      </w:r>
      <w:r w:rsidRPr="00E613BF">
        <w:rPr>
          <w:rFonts w:eastAsia="Arial Unicode MS"/>
        </w:rPr>
        <w:t xml:space="preserve">, </w:t>
      </w:r>
      <w:r>
        <w:rPr>
          <w:rFonts w:eastAsia="Arial Unicode MS"/>
        </w:rPr>
        <w:t xml:space="preserve">the </w:t>
      </w:r>
      <w:r w:rsidR="003B6B93">
        <w:rPr>
          <w:rFonts w:eastAsia="Arial Unicode MS"/>
        </w:rPr>
        <w:t>NPRM</w:t>
      </w:r>
      <w:r>
        <w:rPr>
          <w:rFonts w:eastAsia="Arial Unicode MS"/>
        </w:rPr>
        <w:t xml:space="preserve"> would require adoption of </w:t>
      </w:r>
      <w:r>
        <w:t>standards and provisions that address contingency funding needs</w:t>
      </w:r>
      <w:r>
        <w:rPr>
          <w:rFonts w:eastAsia="Arial Unicode MS"/>
        </w:rPr>
        <w:t xml:space="preserve">.   </w:t>
      </w:r>
    </w:p>
    <w:p w:rsidR="00F33CE7" w:rsidRPr="00EC5100" w:rsidRDefault="00F33CE7" w:rsidP="00F33CE7">
      <w:pPr>
        <w:rPr>
          <w:rFonts w:eastAsia="Arial Unicode MS"/>
        </w:rPr>
      </w:pPr>
    </w:p>
    <w:p w:rsidR="004707D0" w:rsidRDefault="00B5475C" w:rsidP="004707D0">
      <w:pPr>
        <w:spacing w:line="480" w:lineRule="auto"/>
        <w:rPr>
          <w:rFonts w:eastAsia="Arial Unicode MS"/>
          <w:u w:val="single"/>
        </w:rPr>
      </w:pPr>
      <w:r w:rsidRPr="00B5475C">
        <w:rPr>
          <w:rFonts w:eastAsia="Arial Unicode MS"/>
          <w:u w:val="single"/>
        </w:rPr>
        <w:t xml:space="preserve">§ </w:t>
      </w:r>
      <w:r w:rsidR="004707D0" w:rsidRPr="00B5475C">
        <w:rPr>
          <w:rFonts w:eastAsia="Arial Unicode MS"/>
          <w:u w:val="single"/>
        </w:rPr>
        <w:t>9</w:t>
      </w:r>
      <w:r w:rsidR="004707D0" w:rsidRPr="00457510">
        <w:rPr>
          <w:rFonts w:eastAsia="Arial Unicode MS"/>
          <w:u w:val="single"/>
        </w:rPr>
        <w:t>.1</w:t>
      </w:r>
      <w:r w:rsidR="004707D0">
        <w:rPr>
          <w:rFonts w:eastAsia="Arial Unicode MS"/>
          <w:u w:val="single"/>
        </w:rPr>
        <w:t>8(b</w:t>
      </w:r>
      <w:proofErr w:type="gramStart"/>
      <w:r w:rsidR="004707D0">
        <w:rPr>
          <w:rFonts w:eastAsia="Arial Unicode MS"/>
          <w:u w:val="single"/>
        </w:rPr>
        <w:t>)(</w:t>
      </w:r>
      <w:proofErr w:type="gramEnd"/>
      <w:r w:rsidR="004707D0">
        <w:rPr>
          <w:rFonts w:eastAsia="Arial Unicode MS"/>
          <w:u w:val="single"/>
        </w:rPr>
        <w:t>4)(iii)(G)</w:t>
      </w:r>
    </w:p>
    <w:p w:rsidR="004707D0" w:rsidRDefault="004707D0" w:rsidP="00F33CE7">
      <w:r>
        <w:rPr>
          <w:rFonts w:eastAsia="Arial Unicode MS"/>
        </w:rPr>
        <w:tab/>
        <w:t xml:space="preserve">The </w:t>
      </w:r>
      <w:r w:rsidR="0093102A">
        <w:rPr>
          <w:rFonts w:eastAsia="Arial Unicode MS"/>
        </w:rPr>
        <w:t>NPRM</w:t>
      </w:r>
      <w:r>
        <w:rPr>
          <w:rFonts w:eastAsia="Arial Unicode MS"/>
        </w:rPr>
        <w:t xml:space="preserve"> would require a bank </w:t>
      </w:r>
      <w:r w:rsidR="00C846BA">
        <w:rPr>
          <w:rFonts w:eastAsia="Arial Unicode MS"/>
        </w:rPr>
        <w:t>managing</w:t>
      </w:r>
      <w:r>
        <w:rPr>
          <w:rFonts w:eastAsia="Arial Unicode MS"/>
        </w:rPr>
        <w:t xml:space="preserve"> a STIF to adopt </w:t>
      </w:r>
      <w:r w:rsidRPr="00FD24FC">
        <w:rPr>
          <w:rFonts w:eastAsia="Arial Unicode MS"/>
        </w:rPr>
        <w:t>shadow pricing procedures</w:t>
      </w:r>
      <w:r>
        <w:rPr>
          <w:rFonts w:eastAsia="Arial Unicode MS"/>
        </w:rPr>
        <w:t>.  The procedures require the bank to c</w:t>
      </w:r>
      <w:r>
        <w:t xml:space="preserve">alculate the extent of the difference, if any, between the </w:t>
      </w:r>
      <w:r w:rsidR="003B0D4D">
        <w:t>mark-to-market</w:t>
      </w:r>
      <w:r>
        <w:t xml:space="preserve"> NAV per participating interest using available market quotations (or an appropriate substitute that reflects current market conditions) </w:t>
      </w:r>
      <w:r w:rsidR="003B0D4D">
        <w:t>from</w:t>
      </w:r>
      <w:r>
        <w:t xml:space="preserve"> the STIF's amortized cost value per participating interest.  In the event the difference exceeds $0.005 per participating interest, the bank must take action to reduce dilution </w:t>
      </w:r>
      <w:r w:rsidR="003B0D4D">
        <w:t xml:space="preserve">of participating interests </w:t>
      </w:r>
      <w:r>
        <w:t xml:space="preserve">or other unfair results to </w:t>
      </w:r>
      <w:r w:rsidR="004D7DB3">
        <w:t>participating</w:t>
      </w:r>
      <w:r w:rsidR="003B0D4D">
        <w:t xml:space="preserve"> accounts</w:t>
      </w:r>
      <w:r>
        <w:t xml:space="preserve"> in the STIF, such as ceasing fiduciary account withdrawals.  The shadow pricing procedures must occur at least on a calendar</w:t>
      </w:r>
      <w:r w:rsidR="003B0D4D">
        <w:t xml:space="preserve"> week</w:t>
      </w:r>
      <w:r>
        <w:t xml:space="preserve"> end basis and more frequently as determined by </w:t>
      </w:r>
      <w:r w:rsidRPr="00005CDB">
        <w:t>the bank</w:t>
      </w:r>
      <w:r>
        <w:t xml:space="preserve"> when market conditions warrant.  </w:t>
      </w:r>
    </w:p>
    <w:p w:rsidR="004707D0" w:rsidRPr="002404B8" w:rsidRDefault="004707D0" w:rsidP="00F33CE7">
      <w:pPr>
        <w:rPr>
          <w:rFonts w:eastAsia="Arial Unicode MS"/>
        </w:rPr>
      </w:pPr>
      <w:r>
        <w:tab/>
      </w:r>
    </w:p>
    <w:p w:rsidR="004707D0" w:rsidRDefault="00B5475C" w:rsidP="004707D0">
      <w:pPr>
        <w:spacing w:line="480" w:lineRule="auto"/>
        <w:rPr>
          <w:rFonts w:eastAsia="Arial Unicode MS"/>
          <w:u w:val="single"/>
        </w:rPr>
      </w:pPr>
      <w:r w:rsidRPr="00B5475C">
        <w:rPr>
          <w:rFonts w:eastAsia="Arial Unicode MS"/>
          <w:u w:val="single"/>
        </w:rPr>
        <w:t xml:space="preserve">§ </w:t>
      </w:r>
      <w:r w:rsidR="004707D0" w:rsidRPr="00B5475C">
        <w:rPr>
          <w:rFonts w:eastAsia="Arial Unicode MS"/>
          <w:u w:val="single"/>
        </w:rPr>
        <w:t>9</w:t>
      </w:r>
      <w:r w:rsidR="004707D0" w:rsidRPr="00457510">
        <w:rPr>
          <w:rFonts w:eastAsia="Arial Unicode MS"/>
          <w:u w:val="single"/>
        </w:rPr>
        <w:t>.1</w:t>
      </w:r>
      <w:r w:rsidR="004707D0">
        <w:rPr>
          <w:rFonts w:eastAsia="Arial Unicode MS"/>
          <w:u w:val="single"/>
        </w:rPr>
        <w:t>8(b</w:t>
      </w:r>
      <w:proofErr w:type="gramStart"/>
      <w:r w:rsidR="004707D0">
        <w:rPr>
          <w:rFonts w:eastAsia="Arial Unicode MS"/>
          <w:u w:val="single"/>
        </w:rPr>
        <w:t>)(</w:t>
      </w:r>
      <w:proofErr w:type="gramEnd"/>
      <w:r w:rsidR="004707D0">
        <w:rPr>
          <w:rFonts w:eastAsia="Arial Unicode MS"/>
          <w:u w:val="single"/>
        </w:rPr>
        <w:t>4)(iii)(H)</w:t>
      </w:r>
    </w:p>
    <w:p w:rsidR="004707D0" w:rsidRDefault="004707D0" w:rsidP="00F33CE7">
      <w:pPr>
        <w:rPr>
          <w:rFonts w:eastAsia="Arial Unicode MS"/>
        </w:rPr>
      </w:pPr>
      <w:r>
        <w:rPr>
          <w:rFonts w:eastAsia="Arial Unicode MS"/>
        </w:rPr>
        <w:tab/>
        <w:t xml:space="preserve">The </w:t>
      </w:r>
      <w:r w:rsidR="00E61420">
        <w:rPr>
          <w:rFonts w:eastAsia="Arial Unicode MS"/>
        </w:rPr>
        <w:t>NPRM</w:t>
      </w:r>
      <w:r>
        <w:rPr>
          <w:rFonts w:eastAsia="Arial Unicode MS"/>
        </w:rPr>
        <w:t xml:space="preserve"> would require a bank </w:t>
      </w:r>
      <w:r w:rsidR="00C846BA">
        <w:rPr>
          <w:rFonts w:eastAsia="Arial Unicode MS"/>
        </w:rPr>
        <w:t>managing</w:t>
      </w:r>
      <w:r>
        <w:rPr>
          <w:rFonts w:eastAsia="Arial Unicode MS"/>
        </w:rPr>
        <w:t xml:space="preserve"> a STIF to a</w:t>
      </w:r>
      <w:r w:rsidRPr="00BF06D3">
        <w:rPr>
          <w:rFonts w:eastAsia="Arial Unicode MS"/>
        </w:rPr>
        <w:t xml:space="preserve">dopt procedures for stress testing </w:t>
      </w:r>
      <w:r>
        <w:rPr>
          <w:rFonts w:eastAsia="Arial Unicode MS"/>
        </w:rPr>
        <w:t>the fund’s</w:t>
      </w:r>
      <w:r w:rsidRPr="00BF06D3">
        <w:rPr>
          <w:rFonts w:eastAsia="Arial Unicode MS"/>
        </w:rPr>
        <w:t xml:space="preserve"> ability to maintain a stable </w:t>
      </w:r>
      <w:r>
        <w:rPr>
          <w:rFonts w:eastAsia="Arial Unicode MS"/>
        </w:rPr>
        <w:t>NAV</w:t>
      </w:r>
      <w:r w:rsidRPr="00BF06D3">
        <w:rPr>
          <w:rFonts w:eastAsia="Arial Unicode MS"/>
        </w:rPr>
        <w:t xml:space="preserve"> </w:t>
      </w:r>
      <w:r>
        <w:rPr>
          <w:rFonts w:eastAsia="Arial Unicode MS"/>
        </w:rPr>
        <w:t>for</w:t>
      </w:r>
      <w:r w:rsidRPr="00BF06D3">
        <w:rPr>
          <w:rFonts w:eastAsia="Arial Unicode MS"/>
        </w:rPr>
        <w:t xml:space="preserve"> participating interest</w:t>
      </w:r>
      <w:r>
        <w:rPr>
          <w:rFonts w:eastAsia="Arial Unicode MS"/>
        </w:rPr>
        <w:t>s</w:t>
      </w:r>
      <w:r w:rsidR="003B0D4D">
        <w:rPr>
          <w:rFonts w:eastAsia="Arial Unicode MS"/>
        </w:rPr>
        <w:t xml:space="preserve"> at least on a calendar month-end basis</w:t>
      </w:r>
      <w:r w:rsidRPr="006B7050">
        <w:rPr>
          <w:rFonts w:eastAsia="Arial Unicode MS"/>
        </w:rPr>
        <w:t xml:space="preserve">. </w:t>
      </w:r>
      <w:r>
        <w:rPr>
          <w:rFonts w:eastAsia="Arial Unicode MS"/>
        </w:rPr>
        <w:t xml:space="preserve"> </w:t>
      </w:r>
      <w:r w:rsidRPr="006B7050">
        <w:rPr>
          <w:rFonts w:eastAsia="Arial Unicode MS"/>
        </w:rPr>
        <w:t xml:space="preserve">The </w:t>
      </w:r>
      <w:r>
        <w:rPr>
          <w:rFonts w:eastAsia="Arial Unicode MS"/>
        </w:rPr>
        <w:t xml:space="preserve">stress testing would be </w:t>
      </w:r>
      <w:r w:rsidRPr="006B7050">
        <w:rPr>
          <w:rFonts w:eastAsia="Arial Unicode MS"/>
        </w:rPr>
        <w:t xml:space="preserve">based </w:t>
      </w:r>
      <w:r w:rsidRPr="00BF06D3">
        <w:rPr>
          <w:rFonts w:eastAsia="Arial Unicode MS"/>
        </w:rPr>
        <w:t>upon hypothetical events</w:t>
      </w:r>
      <w:r>
        <w:rPr>
          <w:rFonts w:eastAsia="Arial Unicode MS"/>
        </w:rPr>
        <w:t xml:space="preserve"> (specified by the bank)</w:t>
      </w:r>
      <w:r w:rsidRPr="00BF06D3">
        <w:rPr>
          <w:rFonts w:eastAsia="Arial Unicode MS"/>
        </w:rPr>
        <w:t xml:space="preserve"> that include, but are not limited to, a change in short-term interest rates</w:t>
      </w:r>
      <w:r>
        <w:rPr>
          <w:rFonts w:eastAsia="Arial Unicode MS"/>
        </w:rPr>
        <w:t>;</w:t>
      </w:r>
      <w:r w:rsidRPr="00BF06D3">
        <w:rPr>
          <w:rFonts w:eastAsia="Arial Unicode MS"/>
        </w:rPr>
        <w:t xml:space="preserve"> an increase in </w:t>
      </w:r>
      <w:r w:rsidR="004D7DB3">
        <w:rPr>
          <w:rFonts w:eastAsia="Arial Unicode MS"/>
        </w:rPr>
        <w:t>participating account</w:t>
      </w:r>
      <w:r>
        <w:rPr>
          <w:rFonts w:eastAsia="Arial Unicode MS"/>
        </w:rPr>
        <w:t xml:space="preserve"> withdrawals;</w:t>
      </w:r>
      <w:r w:rsidRPr="00BF06D3">
        <w:rPr>
          <w:rFonts w:eastAsia="Arial Unicode MS"/>
        </w:rPr>
        <w:t xml:space="preserve"> a downgrade of or default on portfolio securities</w:t>
      </w:r>
      <w:r>
        <w:rPr>
          <w:rFonts w:eastAsia="Arial Unicode MS"/>
        </w:rPr>
        <w:t>;</w:t>
      </w:r>
      <w:r w:rsidRPr="00BF06D3">
        <w:rPr>
          <w:rFonts w:eastAsia="Arial Unicode MS"/>
        </w:rPr>
        <w:t xml:space="preserve"> and the widening or narrowing of spreads between yields on an appropriate benchmark the fund has selected for overnight interest rates and commercial paper and other types of securities held by the fund</w:t>
      </w:r>
      <w:r w:rsidRPr="006B7050">
        <w:rPr>
          <w:rFonts w:eastAsia="Arial Unicode MS"/>
        </w:rPr>
        <w:t>.</w:t>
      </w:r>
      <w:r>
        <w:rPr>
          <w:rFonts w:eastAsia="Arial Unicode MS"/>
        </w:rPr>
        <w:t xml:space="preserve">  </w:t>
      </w:r>
    </w:p>
    <w:p w:rsidR="00F83FDF" w:rsidRDefault="00F83FDF" w:rsidP="00F33CE7">
      <w:pPr>
        <w:rPr>
          <w:rFonts w:eastAsia="Arial Unicode MS"/>
        </w:rPr>
      </w:pPr>
    </w:p>
    <w:p w:rsidR="004707D0" w:rsidRDefault="004707D0" w:rsidP="00F33CE7">
      <w:pPr>
        <w:ind w:firstLine="720"/>
        <w:rPr>
          <w:rFonts w:eastAsia="Arial Unicode MS"/>
        </w:rPr>
      </w:pPr>
      <w:r w:rsidRPr="006B7050">
        <w:rPr>
          <w:rFonts w:eastAsia="Arial Unicode MS"/>
        </w:rPr>
        <w:lastRenderedPageBreak/>
        <w:t xml:space="preserve">The </w:t>
      </w:r>
      <w:r w:rsidR="00E61420">
        <w:rPr>
          <w:rFonts w:eastAsia="Arial Unicode MS"/>
        </w:rPr>
        <w:t>NPRM</w:t>
      </w:r>
      <w:r>
        <w:rPr>
          <w:rFonts w:eastAsia="Arial Unicode MS"/>
        </w:rPr>
        <w:t xml:space="preserve"> provides flexibility with respect to </w:t>
      </w:r>
      <w:r w:rsidRPr="006B7050">
        <w:rPr>
          <w:rFonts w:eastAsia="Arial Unicode MS"/>
        </w:rPr>
        <w:t>specif</w:t>
      </w:r>
      <w:r>
        <w:rPr>
          <w:rFonts w:eastAsia="Arial Unicode MS"/>
        </w:rPr>
        <w:t>ying</w:t>
      </w:r>
      <w:r w:rsidRPr="006B7050">
        <w:rPr>
          <w:rFonts w:eastAsia="Arial Unicode MS"/>
        </w:rPr>
        <w:t xml:space="preserve"> the scenarios</w:t>
      </w:r>
      <w:r>
        <w:rPr>
          <w:rFonts w:eastAsia="Arial Unicode MS"/>
        </w:rPr>
        <w:t xml:space="preserve"> </w:t>
      </w:r>
      <w:r w:rsidRPr="006B7050">
        <w:rPr>
          <w:rFonts w:eastAsia="Arial Unicode MS"/>
        </w:rPr>
        <w:t xml:space="preserve">or assumptions on which the </w:t>
      </w:r>
      <w:r>
        <w:rPr>
          <w:rFonts w:eastAsia="Arial Unicode MS"/>
        </w:rPr>
        <w:t xml:space="preserve">stress </w:t>
      </w:r>
      <w:r w:rsidRPr="006B7050">
        <w:rPr>
          <w:rFonts w:eastAsia="Arial Unicode MS"/>
        </w:rPr>
        <w:t xml:space="preserve">tests </w:t>
      </w:r>
      <w:r>
        <w:rPr>
          <w:rFonts w:eastAsia="Arial Unicode MS"/>
        </w:rPr>
        <w:t xml:space="preserve">should be </w:t>
      </w:r>
      <w:r w:rsidRPr="006B7050">
        <w:rPr>
          <w:rFonts w:eastAsia="Arial Unicode MS"/>
        </w:rPr>
        <w:t>based</w:t>
      </w:r>
      <w:r>
        <w:rPr>
          <w:rFonts w:eastAsia="Arial Unicode MS"/>
        </w:rPr>
        <w:t xml:space="preserve">, as appropriate to the </w:t>
      </w:r>
      <w:r w:rsidR="003B0D4D">
        <w:rPr>
          <w:rFonts w:eastAsia="Arial Unicode MS"/>
        </w:rPr>
        <w:t>risk exposures</w:t>
      </w:r>
      <w:r>
        <w:rPr>
          <w:rFonts w:eastAsia="Arial Unicode MS"/>
        </w:rPr>
        <w:t xml:space="preserve"> of each STIF</w:t>
      </w:r>
      <w:r w:rsidRPr="006B7050">
        <w:rPr>
          <w:rFonts w:eastAsia="Arial Unicode MS"/>
        </w:rPr>
        <w:t xml:space="preserve">. The </w:t>
      </w:r>
      <w:r w:rsidR="003B6B93">
        <w:rPr>
          <w:rFonts w:eastAsia="Arial Unicode MS"/>
        </w:rPr>
        <w:t>NPRM</w:t>
      </w:r>
      <w:r w:rsidRPr="006B7050">
        <w:rPr>
          <w:rFonts w:eastAsia="Arial Unicode MS"/>
        </w:rPr>
        <w:t xml:space="preserve"> also would require </w:t>
      </w:r>
      <w:r>
        <w:rPr>
          <w:rFonts w:eastAsia="Arial Unicode MS"/>
        </w:rPr>
        <w:t xml:space="preserve">a stress test report be provided to </w:t>
      </w:r>
      <w:r w:rsidRPr="000C16F5">
        <w:rPr>
          <w:rFonts w:eastAsia="Arial Unicode MS"/>
        </w:rPr>
        <w:t>the independent risk manager or the committee responsible for the STIF's oversight</w:t>
      </w:r>
      <w:r>
        <w:rPr>
          <w:rFonts w:eastAsia="Arial Unicode MS"/>
        </w:rPr>
        <w:t xml:space="preserve">.  The report would include: (1) </w:t>
      </w:r>
      <w:r w:rsidRPr="000C16F5">
        <w:rPr>
          <w:rFonts w:eastAsia="Arial Unicode MS"/>
        </w:rPr>
        <w:t>the date(s) on which the testing was performed</w:t>
      </w:r>
      <w:r w:rsidR="00BD7055">
        <w:rPr>
          <w:rFonts w:eastAsia="Arial Unicode MS"/>
        </w:rPr>
        <w:t>;</w:t>
      </w:r>
      <w:r>
        <w:rPr>
          <w:rFonts w:eastAsia="Arial Unicode MS"/>
        </w:rPr>
        <w:t xml:space="preserve"> (2)</w:t>
      </w:r>
      <w:r w:rsidRPr="000C16F5">
        <w:rPr>
          <w:rFonts w:eastAsia="Arial Unicode MS"/>
        </w:rPr>
        <w:t xml:space="preserve"> the magnitude of each hypothetical event that would cause the </w:t>
      </w:r>
      <w:r>
        <w:rPr>
          <w:rFonts w:eastAsia="Arial Unicode MS"/>
        </w:rPr>
        <w:t>difference</w:t>
      </w:r>
      <w:r w:rsidRPr="000C16F5">
        <w:rPr>
          <w:rFonts w:eastAsia="Arial Unicode MS"/>
        </w:rPr>
        <w:t xml:space="preserve"> </w:t>
      </w:r>
      <w:r>
        <w:rPr>
          <w:rFonts w:eastAsia="Arial Unicode MS"/>
        </w:rPr>
        <w:t xml:space="preserve">between </w:t>
      </w:r>
      <w:r w:rsidRPr="000C16F5">
        <w:rPr>
          <w:rFonts w:eastAsia="Arial Unicode MS"/>
        </w:rPr>
        <w:t xml:space="preserve">the STIF's </w:t>
      </w:r>
      <w:r w:rsidR="005E2274">
        <w:rPr>
          <w:rFonts w:eastAsia="Arial Unicode MS"/>
        </w:rPr>
        <w:t xml:space="preserve">mark-to-market </w:t>
      </w:r>
      <w:r>
        <w:rPr>
          <w:rFonts w:eastAsia="Arial Unicode MS"/>
        </w:rPr>
        <w:t>NAV</w:t>
      </w:r>
      <w:r w:rsidRPr="000C16F5">
        <w:rPr>
          <w:rFonts w:eastAsia="Arial Unicode MS"/>
        </w:rPr>
        <w:t xml:space="preserve"> calculated using available market quotations (or appropriate substitutes which reflect current market conditions) </w:t>
      </w:r>
      <w:r>
        <w:rPr>
          <w:rFonts w:eastAsia="Arial Unicode MS"/>
        </w:rPr>
        <w:t xml:space="preserve">and </w:t>
      </w:r>
      <w:r w:rsidRPr="000C16F5">
        <w:rPr>
          <w:rFonts w:eastAsia="Arial Unicode MS"/>
        </w:rPr>
        <w:t xml:space="preserve">its </w:t>
      </w:r>
      <w:r>
        <w:rPr>
          <w:rFonts w:eastAsia="Arial Unicode MS"/>
        </w:rPr>
        <w:t>NAV</w:t>
      </w:r>
      <w:r w:rsidRPr="000C16F5">
        <w:rPr>
          <w:rFonts w:eastAsia="Arial Unicode MS"/>
        </w:rPr>
        <w:t xml:space="preserve"> per participating interest calculated using amortized cost to exceed $0.005</w:t>
      </w:r>
      <w:r w:rsidR="00BD7055">
        <w:rPr>
          <w:rFonts w:eastAsia="Arial Unicode MS"/>
        </w:rPr>
        <w:t>;</w:t>
      </w:r>
      <w:r w:rsidRPr="000C16F5">
        <w:rPr>
          <w:rFonts w:eastAsia="Arial Unicode MS"/>
        </w:rPr>
        <w:t xml:space="preserve"> and </w:t>
      </w:r>
      <w:r>
        <w:rPr>
          <w:rFonts w:eastAsia="Arial Unicode MS"/>
        </w:rPr>
        <w:t xml:space="preserve">(3) </w:t>
      </w:r>
      <w:r w:rsidRPr="000C16F5">
        <w:rPr>
          <w:rFonts w:eastAsia="Arial Unicode MS"/>
        </w:rPr>
        <w:t>an assessment by the bank of the STIF's ability to withstand the events (and concurrent occurrences of those events) that are reasonably likely to occur within the following year</w:t>
      </w:r>
      <w:r>
        <w:rPr>
          <w:rFonts w:eastAsia="Arial Unicode MS"/>
        </w:rPr>
        <w:t xml:space="preserve">.   </w:t>
      </w:r>
    </w:p>
    <w:p w:rsidR="00F83FDF" w:rsidRDefault="00F83FDF" w:rsidP="00F33CE7">
      <w:pPr>
        <w:ind w:firstLine="720"/>
        <w:rPr>
          <w:rFonts w:eastAsia="Arial Unicode MS"/>
        </w:rPr>
      </w:pPr>
    </w:p>
    <w:p w:rsidR="004707D0" w:rsidRDefault="003B0D4D" w:rsidP="00F33CE7">
      <w:pPr>
        <w:ind w:firstLine="720"/>
        <w:rPr>
          <w:rFonts w:eastAsia="Arial Unicode MS"/>
        </w:rPr>
      </w:pPr>
      <w:r>
        <w:rPr>
          <w:rFonts w:eastAsia="Arial Unicode MS"/>
        </w:rPr>
        <w:t>In addition, the proposal would require that adverse stress testing results are reported to a bank’s senior risk management that is independent from the STIF’s investment management.</w:t>
      </w:r>
    </w:p>
    <w:p w:rsidR="00F83FDF" w:rsidRDefault="00F83FDF" w:rsidP="00F33CE7">
      <w:pPr>
        <w:ind w:firstLine="720"/>
        <w:rPr>
          <w:rFonts w:eastAsia="Arial Unicode MS"/>
        </w:rPr>
      </w:pPr>
    </w:p>
    <w:p w:rsidR="004707D0" w:rsidRDefault="00B5475C" w:rsidP="00F33CE7">
      <w:pPr>
        <w:rPr>
          <w:rFonts w:eastAsia="Arial Unicode MS"/>
          <w:u w:val="single"/>
        </w:rPr>
      </w:pPr>
      <w:r w:rsidRPr="00B5475C">
        <w:rPr>
          <w:rFonts w:eastAsia="Arial Unicode MS"/>
          <w:u w:val="single"/>
        </w:rPr>
        <w:t xml:space="preserve">§ </w:t>
      </w:r>
      <w:r w:rsidR="004707D0" w:rsidRPr="00B5475C">
        <w:rPr>
          <w:rFonts w:eastAsia="Arial Unicode MS"/>
          <w:u w:val="single"/>
        </w:rPr>
        <w:t>9</w:t>
      </w:r>
      <w:r w:rsidR="004707D0" w:rsidRPr="00457510">
        <w:rPr>
          <w:rFonts w:eastAsia="Arial Unicode MS"/>
          <w:u w:val="single"/>
        </w:rPr>
        <w:t>.1</w:t>
      </w:r>
      <w:r w:rsidR="004707D0">
        <w:rPr>
          <w:rFonts w:eastAsia="Arial Unicode MS"/>
          <w:u w:val="single"/>
        </w:rPr>
        <w:t>8(b</w:t>
      </w:r>
      <w:proofErr w:type="gramStart"/>
      <w:r w:rsidR="004707D0">
        <w:rPr>
          <w:rFonts w:eastAsia="Arial Unicode MS"/>
          <w:u w:val="single"/>
        </w:rPr>
        <w:t>)(</w:t>
      </w:r>
      <w:proofErr w:type="gramEnd"/>
      <w:r w:rsidR="004707D0">
        <w:rPr>
          <w:rFonts w:eastAsia="Arial Unicode MS"/>
          <w:u w:val="single"/>
        </w:rPr>
        <w:t>4)(iii)(I)</w:t>
      </w:r>
    </w:p>
    <w:p w:rsidR="00F83FDF" w:rsidRDefault="00F83FDF" w:rsidP="00F33CE7">
      <w:pPr>
        <w:rPr>
          <w:rFonts w:eastAsia="Arial Unicode MS"/>
          <w:u w:val="single"/>
        </w:rPr>
      </w:pPr>
    </w:p>
    <w:p w:rsidR="004707D0" w:rsidRDefault="004707D0" w:rsidP="00F33CE7">
      <w:r>
        <w:rPr>
          <w:rFonts w:eastAsia="Arial Unicode MS"/>
        </w:rPr>
        <w:tab/>
      </w:r>
      <w:r w:rsidRPr="00BF4874">
        <w:rPr>
          <w:rFonts w:eastAsia="Arial Unicode MS"/>
        </w:rPr>
        <w:t xml:space="preserve">The </w:t>
      </w:r>
      <w:r w:rsidR="00E61420">
        <w:rPr>
          <w:rFonts w:eastAsia="Arial Unicode MS"/>
        </w:rPr>
        <w:t>NPRM</w:t>
      </w:r>
      <w:r>
        <w:rPr>
          <w:rFonts w:eastAsia="Arial Unicode MS"/>
        </w:rPr>
        <w:t xml:space="preserve"> would require banks </w:t>
      </w:r>
      <w:r w:rsidR="00C846BA">
        <w:rPr>
          <w:rFonts w:eastAsia="Arial Unicode MS"/>
        </w:rPr>
        <w:t>managing</w:t>
      </w:r>
      <w:r>
        <w:rPr>
          <w:rFonts w:eastAsia="Arial Unicode MS"/>
        </w:rPr>
        <w:t xml:space="preserve"> STIFs </w:t>
      </w:r>
      <w:r w:rsidRPr="00BF4874">
        <w:rPr>
          <w:rFonts w:eastAsia="Arial Unicode MS"/>
        </w:rPr>
        <w:t>to disclose information</w:t>
      </w:r>
      <w:r>
        <w:rPr>
          <w:rFonts w:eastAsia="Arial Unicode MS"/>
        </w:rPr>
        <w:t xml:space="preserve"> </w:t>
      </w:r>
      <w:r w:rsidRPr="00BF4874">
        <w:rPr>
          <w:rFonts w:eastAsia="Arial Unicode MS"/>
        </w:rPr>
        <w:t xml:space="preserve">about their portfolio holdings </w:t>
      </w:r>
      <w:r>
        <w:t>to STIF participants and to the OCC within five business days after each month end</w:t>
      </w:r>
      <w:r w:rsidRPr="00BF4874">
        <w:rPr>
          <w:rFonts w:eastAsia="Arial Unicode MS"/>
        </w:rPr>
        <w:t xml:space="preserve">. </w:t>
      </w:r>
      <w:r>
        <w:rPr>
          <w:rFonts w:eastAsia="Arial Unicode MS"/>
        </w:rPr>
        <w:t xml:space="preserve"> </w:t>
      </w:r>
      <w:r w:rsidRPr="00BF4874">
        <w:rPr>
          <w:rFonts w:eastAsia="Arial Unicode MS"/>
        </w:rPr>
        <w:t xml:space="preserve">Specifically, </w:t>
      </w:r>
      <w:r>
        <w:rPr>
          <w:rFonts w:eastAsia="Arial Unicode MS"/>
        </w:rPr>
        <w:t>the bank</w:t>
      </w:r>
      <w:r w:rsidRPr="00BF4874">
        <w:rPr>
          <w:rFonts w:eastAsia="Arial Unicode MS"/>
        </w:rPr>
        <w:t xml:space="preserve"> would be required to disclose </w:t>
      </w:r>
      <w:r>
        <w:rPr>
          <w:rFonts w:eastAsia="Arial Unicode MS"/>
        </w:rPr>
        <w:t>the STIF’s</w:t>
      </w:r>
      <w:r w:rsidRPr="00BF4874">
        <w:rPr>
          <w:rFonts w:eastAsia="Arial Unicode MS"/>
        </w:rPr>
        <w:t xml:space="preserve"> </w:t>
      </w:r>
      <w:r w:rsidR="003B0D4D">
        <w:rPr>
          <w:rFonts w:eastAsia="Arial Unicode MS"/>
        </w:rPr>
        <w:t>total assets under management; the fund’s mark-to-market and amortized</w:t>
      </w:r>
      <w:r w:rsidR="00BD7055">
        <w:rPr>
          <w:rFonts w:eastAsia="Arial Unicode MS"/>
        </w:rPr>
        <w:t xml:space="preserve"> cost</w:t>
      </w:r>
      <w:r w:rsidR="003B0D4D">
        <w:rPr>
          <w:rFonts w:eastAsia="Arial Unicode MS"/>
        </w:rPr>
        <w:t xml:space="preserve"> NAVs, both with and without capital support agreements; </w:t>
      </w:r>
      <w:r w:rsidRPr="00BF4874">
        <w:rPr>
          <w:rFonts w:eastAsia="Arial Unicode MS"/>
        </w:rPr>
        <w:t>dollar-weighted average portfolio maturity and dollar-weighted average portfolio life maturity</w:t>
      </w:r>
      <w:r w:rsidR="00186758">
        <w:rPr>
          <w:rFonts w:eastAsia="Arial Unicode MS"/>
        </w:rPr>
        <w:t xml:space="preserve"> as of the last business day of the prior calendar month</w:t>
      </w:r>
      <w:r>
        <w:rPr>
          <w:rFonts w:eastAsia="Arial Unicode MS"/>
        </w:rPr>
        <w:t>.  Also</w:t>
      </w:r>
      <w:r w:rsidRPr="00BF4874">
        <w:rPr>
          <w:rFonts w:eastAsia="Arial Unicode MS"/>
        </w:rPr>
        <w:t>, for each security held by the STIF</w:t>
      </w:r>
      <w:r w:rsidR="00186758" w:rsidRPr="00186758">
        <w:rPr>
          <w:rFonts w:eastAsia="Arial Unicode MS"/>
        </w:rPr>
        <w:t xml:space="preserve"> </w:t>
      </w:r>
      <w:r w:rsidR="00186758">
        <w:rPr>
          <w:rFonts w:eastAsia="Arial Unicode MS"/>
        </w:rPr>
        <w:t>as of the last business day of the prior calendar month</w:t>
      </w:r>
      <w:r>
        <w:rPr>
          <w:rFonts w:eastAsia="Arial Unicode MS"/>
        </w:rPr>
        <w:t>, the bank would be required to disclose</w:t>
      </w:r>
      <w:r w:rsidR="00186758">
        <w:rPr>
          <w:rFonts w:eastAsia="Arial Unicode MS"/>
        </w:rPr>
        <w:t xml:space="preserve"> to STIF participants and the OCC within five business days after each calendar month-end at the security level</w:t>
      </w:r>
      <w:r w:rsidRPr="00BF4874">
        <w:rPr>
          <w:rFonts w:eastAsia="Arial Unicode MS"/>
        </w:rPr>
        <w:t>:</w:t>
      </w:r>
      <w:r>
        <w:rPr>
          <w:rFonts w:eastAsia="Arial Unicode MS"/>
        </w:rPr>
        <w:t xml:space="preserve"> (1) t</w:t>
      </w:r>
      <w:r w:rsidRPr="00BF4874">
        <w:rPr>
          <w:rFonts w:eastAsia="Arial Unicode MS"/>
        </w:rPr>
        <w:t>he name of the issuer</w:t>
      </w:r>
      <w:r>
        <w:rPr>
          <w:rFonts w:eastAsia="Arial Unicode MS"/>
        </w:rPr>
        <w:t>; (2) t</w:t>
      </w:r>
      <w:r w:rsidRPr="00BF4874">
        <w:rPr>
          <w:rFonts w:eastAsia="Arial Unicode MS"/>
        </w:rPr>
        <w:t>he category of investment</w:t>
      </w:r>
      <w:r>
        <w:rPr>
          <w:rFonts w:eastAsia="Arial Unicode MS"/>
        </w:rPr>
        <w:t>; (3) t</w:t>
      </w:r>
      <w:r w:rsidRPr="00BF4874">
        <w:rPr>
          <w:rFonts w:eastAsia="Arial Unicode MS"/>
        </w:rPr>
        <w:t xml:space="preserve">he Committee on Uniform Securities Identification Procedures (CUSIP) number </w:t>
      </w:r>
      <w:r w:rsidR="00186758">
        <w:rPr>
          <w:rFonts w:eastAsia="Arial Unicode MS"/>
        </w:rPr>
        <w:t>or other standard identifier</w:t>
      </w:r>
      <w:r>
        <w:rPr>
          <w:rFonts w:eastAsia="Arial Unicode MS"/>
        </w:rPr>
        <w:t>; (4) the principal amount; (5) t</w:t>
      </w:r>
      <w:r w:rsidRPr="00BF4874">
        <w:rPr>
          <w:rFonts w:eastAsia="Arial Unicode MS"/>
        </w:rPr>
        <w:t xml:space="preserve">he maturity date for purposes of calculating </w:t>
      </w:r>
      <w:r>
        <w:rPr>
          <w:rFonts w:eastAsia="Arial Unicode MS"/>
        </w:rPr>
        <w:t>dollar-</w:t>
      </w:r>
      <w:r w:rsidRPr="00BF4874">
        <w:rPr>
          <w:rFonts w:eastAsia="Arial Unicode MS"/>
        </w:rPr>
        <w:t xml:space="preserve">weighted average </w:t>
      </w:r>
      <w:r>
        <w:rPr>
          <w:rFonts w:eastAsia="Arial Unicode MS"/>
        </w:rPr>
        <w:t xml:space="preserve">portfolio </w:t>
      </w:r>
      <w:r w:rsidRPr="00BF4874">
        <w:rPr>
          <w:rFonts w:eastAsia="Arial Unicode MS"/>
        </w:rPr>
        <w:t xml:space="preserve">maturity; </w:t>
      </w:r>
      <w:r>
        <w:rPr>
          <w:rFonts w:eastAsia="Arial Unicode MS"/>
        </w:rPr>
        <w:t>(6) t</w:t>
      </w:r>
      <w:r w:rsidRPr="00BF4874">
        <w:rPr>
          <w:rFonts w:eastAsia="Arial Unicode MS"/>
        </w:rPr>
        <w:t>he final legal maturity date (taking into account any maturity date extensions that may be effect</w:t>
      </w:r>
      <w:r>
        <w:rPr>
          <w:rFonts w:eastAsia="Arial Unicode MS"/>
        </w:rPr>
        <w:t>ed at the option of the issuer)</w:t>
      </w:r>
      <w:r w:rsidRPr="00BF4874">
        <w:rPr>
          <w:rFonts w:eastAsia="Arial Unicode MS"/>
        </w:rPr>
        <w:t xml:space="preserve"> if different from the maturity date for purposes of calcul</w:t>
      </w:r>
      <w:r>
        <w:rPr>
          <w:rFonts w:eastAsia="Arial Unicode MS"/>
        </w:rPr>
        <w:t>ating dollar-weighted average portfolio maturity; (7) the coupon or yield; and (8)  t</w:t>
      </w:r>
      <w:r w:rsidRPr="00BF4874">
        <w:rPr>
          <w:rFonts w:eastAsia="Arial Unicode MS"/>
        </w:rPr>
        <w:t>he amortized cost value</w:t>
      </w:r>
      <w:r>
        <w:rPr>
          <w:rFonts w:eastAsia="Arial Unicode MS"/>
        </w:rPr>
        <w:t>.</w:t>
      </w:r>
      <w:r w:rsidRPr="00BF4874">
        <w:rPr>
          <w:rFonts w:eastAsia="Arial Unicode MS"/>
        </w:rPr>
        <w:t xml:space="preserve"> </w:t>
      </w:r>
      <w:r>
        <w:rPr>
          <w:rFonts w:eastAsia="Arial Unicode MS"/>
        </w:rPr>
        <w:t xml:space="preserve"> </w:t>
      </w:r>
    </w:p>
    <w:p w:rsidR="00F83FDF" w:rsidRDefault="00F83FDF" w:rsidP="00F33CE7"/>
    <w:p w:rsidR="004707D0" w:rsidRDefault="00B5475C" w:rsidP="00E61420">
      <w:pPr>
        <w:tabs>
          <w:tab w:val="left" w:pos="720"/>
        </w:tabs>
        <w:rPr>
          <w:rFonts w:eastAsia="Arial Unicode MS"/>
          <w:u w:val="single"/>
        </w:rPr>
      </w:pPr>
      <w:r w:rsidRPr="00B5475C">
        <w:rPr>
          <w:rFonts w:eastAsia="Arial Unicode MS"/>
          <w:u w:val="single"/>
        </w:rPr>
        <w:t xml:space="preserve">§ </w:t>
      </w:r>
      <w:r w:rsidR="004707D0" w:rsidRPr="00B5475C">
        <w:rPr>
          <w:rFonts w:eastAsia="Arial Unicode MS"/>
          <w:u w:val="single"/>
        </w:rPr>
        <w:t>9</w:t>
      </w:r>
      <w:r w:rsidR="004707D0" w:rsidRPr="00457510">
        <w:rPr>
          <w:rFonts w:eastAsia="Arial Unicode MS"/>
          <w:u w:val="single"/>
        </w:rPr>
        <w:t>.1</w:t>
      </w:r>
      <w:r w:rsidR="004707D0">
        <w:rPr>
          <w:rFonts w:eastAsia="Arial Unicode MS"/>
          <w:u w:val="single"/>
        </w:rPr>
        <w:t>8(b</w:t>
      </w:r>
      <w:proofErr w:type="gramStart"/>
      <w:r w:rsidR="004707D0">
        <w:rPr>
          <w:rFonts w:eastAsia="Arial Unicode MS"/>
          <w:u w:val="single"/>
        </w:rPr>
        <w:t>)(</w:t>
      </w:r>
      <w:proofErr w:type="gramEnd"/>
      <w:r w:rsidR="004707D0">
        <w:rPr>
          <w:rFonts w:eastAsia="Arial Unicode MS"/>
          <w:u w:val="single"/>
        </w:rPr>
        <w:t>4)(iii)(J)</w:t>
      </w:r>
    </w:p>
    <w:p w:rsidR="00F83FDF" w:rsidRDefault="00F83FDF" w:rsidP="00F33CE7">
      <w:pPr>
        <w:rPr>
          <w:rFonts w:eastAsia="Arial Unicode MS"/>
          <w:u w:val="single"/>
        </w:rPr>
      </w:pPr>
    </w:p>
    <w:p w:rsidR="004707D0" w:rsidRDefault="004707D0" w:rsidP="00F33CE7">
      <w:r>
        <w:rPr>
          <w:rFonts w:eastAsia="Arial Unicode MS"/>
        </w:rPr>
        <w:tab/>
        <w:t xml:space="preserve">The </w:t>
      </w:r>
      <w:r w:rsidR="00F83FDF">
        <w:rPr>
          <w:rFonts w:eastAsia="Arial Unicode MS"/>
        </w:rPr>
        <w:t xml:space="preserve">NPRM </w:t>
      </w:r>
      <w:r>
        <w:rPr>
          <w:rFonts w:eastAsia="Arial Unicode MS"/>
        </w:rPr>
        <w:t>would require a</w:t>
      </w:r>
      <w:r>
        <w:t xml:space="preserve"> bank that </w:t>
      </w:r>
      <w:r w:rsidR="00C846BA">
        <w:t>manages</w:t>
      </w:r>
      <w:r>
        <w:t xml:space="preserve"> a STIF to notify the OCC prior to or </w:t>
      </w:r>
      <w:r w:rsidR="00186758">
        <w:t>within one business day</w:t>
      </w:r>
      <w:r>
        <w:t xml:space="preserve"> after certain events.  Those events are: (1) any difference exceeding $0.0025 between the NAV and the </w:t>
      </w:r>
      <w:r w:rsidR="005E2274">
        <w:t>mark-to-market</w:t>
      </w:r>
      <w:r>
        <w:t xml:space="preserve"> value of a STIF participating interest based on current market factors</w:t>
      </w:r>
      <w:r w:rsidR="00186758">
        <w:t>;</w:t>
      </w:r>
      <w:r>
        <w:t xml:space="preserve"> (2) when a STIF has re-priced its </w:t>
      </w:r>
      <w:r w:rsidR="003C5F31">
        <w:t>NAV</w:t>
      </w:r>
      <w:r>
        <w:t xml:space="preserve"> below $0.995 per participating interest</w:t>
      </w:r>
      <w:r w:rsidR="00186758">
        <w:t>;</w:t>
      </w:r>
      <w:r>
        <w:t xml:space="preserve"> (3) any withdrawal distribution-in-kind of the STIF's participating interests</w:t>
      </w:r>
      <w:r w:rsidR="00186758">
        <w:t xml:space="preserve"> or segregation of portfolio participants;</w:t>
      </w:r>
      <w:r>
        <w:t xml:space="preserve"> (4) any delays or suspensions in honoring STIF participating interest withdrawal requests</w:t>
      </w:r>
      <w:bookmarkStart w:id="0" w:name="SearchTerm"/>
      <w:bookmarkStart w:id="1" w:name="SR;1284"/>
      <w:bookmarkEnd w:id="0"/>
      <w:bookmarkEnd w:id="1"/>
      <w:r w:rsidR="00186758">
        <w:t>;</w:t>
      </w:r>
      <w:r>
        <w:t xml:space="preserve"> (5) any decision to formally approve the liquidation</w:t>
      </w:r>
      <w:r w:rsidR="00186758">
        <w:t>, segregation of assets or portfolios, or some other liquidation</w:t>
      </w:r>
      <w:r>
        <w:t xml:space="preserve"> of the STIF</w:t>
      </w:r>
      <w:r w:rsidR="00186758">
        <w:t>;</w:t>
      </w:r>
      <w:r>
        <w:t xml:space="preserve"> and (6) when a national bank, its affiliate, or any other entity provides a STIF financial support, including a cash infusion, a credit extension, a purchase of a defaulted or illiquid asset, or any other form of financial support in order to maintain a stable NAV per participating interest.  This proposed requirement to notify the OCC prior to or </w:t>
      </w:r>
      <w:r w:rsidR="00186758">
        <w:t>within one business day</w:t>
      </w:r>
      <w:r>
        <w:t xml:space="preserve"> after these limited specific </w:t>
      </w:r>
      <w:r>
        <w:lastRenderedPageBreak/>
        <w:t>events would permit the OCC to more effectively supervise STIFs that are experiencing liquidity or valuation stress.</w:t>
      </w:r>
    </w:p>
    <w:p w:rsidR="00F83FDF" w:rsidRPr="00E84C6A" w:rsidRDefault="00F83FDF" w:rsidP="00F33CE7"/>
    <w:p w:rsidR="004707D0" w:rsidRDefault="00B5475C" w:rsidP="00F33CE7">
      <w:pPr>
        <w:rPr>
          <w:rFonts w:eastAsia="Arial Unicode MS"/>
          <w:u w:val="single"/>
        </w:rPr>
      </w:pPr>
      <w:r w:rsidRPr="00B5475C">
        <w:rPr>
          <w:rFonts w:eastAsia="Arial Unicode MS"/>
          <w:u w:val="single"/>
        </w:rPr>
        <w:t xml:space="preserve">§ </w:t>
      </w:r>
      <w:r w:rsidR="004707D0">
        <w:rPr>
          <w:rFonts w:eastAsia="Arial Unicode MS"/>
          <w:u w:val="single"/>
        </w:rPr>
        <w:t>9</w:t>
      </w:r>
      <w:r w:rsidR="004707D0" w:rsidRPr="00457510">
        <w:rPr>
          <w:rFonts w:eastAsia="Arial Unicode MS"/>
          <w:u w:val="single"/>
        </w:rPr>
        <w:t>.1</w:t>
      </w:r>
      <w:r w:rsidR="004707D0">
        <w:rPr>
          <w:rFonts w:eastAsia="Arial Unicode MS"/>
          <w:u w:val="single"/>
        </w:rPr>
        <w:t>8(b</w:t>
      </w:r>
      <w:proofErr w:type="gramStart"/>
      <w:r w:rsidR="004707D0">
        <w:rPr>
          <w:rFonts w:eastAsia="Arial Unicode MS"/>
          <w:u w:val="single"/>
        </w:rPr>
        <w:t>)(</w:t>
      </w:r>
      <w:proofErr w:type="gramEnd"/>
      <w:r w:rsidR="004707D0">
        <w:rPr>
          <w:rFonts w:eastAsia="Arial Unicode MS"/>
          <w:u w:val="single"/>
        </w:rPr>
        <w:t>4)(iii)(K)</w:t>
      </w:r>
    </w:p>
    <w:p w:rsidR="00F83FDF" w:rsidRDefault="00F83FDF" w:rsidP="00F33CE7">
      <w:pPr>
        <w:rPr>
          <w:rFonts w:eastAsia="Arial Unicode MS"/>
          <w:u w:val="single"/>
        </w:rPr>
      </w:pPr>
    </w:p>
    <w:p w:rsidR="004707D0" w:rsidRDefault="004707D0" w:rsidP="00F33CE7">
      <w:r>
        <w:rPr>
          <w:rFonts w:eastAsia="Arial Unicode MS"/>
        </w:rPr>
        <w:tab/>
        <w:t xml:space="preserve">The </w:t>
      </w:r>
      <w:r w:rsidR="00E61420">
        <w:rPr>
          <w:rFonts w:eastAsia="Arial Unicode MS"/>
        </w:rPr>
        <w:t>NPRM</w:t>
      </w:r>
      <w:r>
        <w:rPr>
          <w:rFonts w:eastAsia="Arial Unicode MS"/>
        </w:rPr>
        <w:t xml:space="preserve"> would require banks </w:t>
      </w:r>
      <w:r w:rsidR="00C846BA">
        <w:rPr>
          <w:rFonts w:eastAsia="Arial Unicode MS"/>
        </w:rPr>
        <w:t>managing</w:t>
      </w:r>
      <w:r>
        <w:rPr>
          <w:rFonts w:eastAsia="Arial Unicode MS"/>
        </w:rPr>
        <w:t xml:space="preserve"> a STIF to </w:t>
      </w:r>
      <w:r>
        <w:t>adopt procedures that in the event a STIF has re-priced its NAV below $0.995 per participating interest,</w:t>
      </w:r>
      <w:r w:rsidR="00E61420">
        <w:t xml:space="preserve"> </w:t>
      </w:r>
      <w:r>
        <w:t xml:space="preserve">the bank </w:t>
      </w:r>
      <w:r w:rsidR="00C846BA">
        <w:t>managing</w:t>
      </w:r>
      <w:r>
        <w:t xml:space="preserve"> the STIF shall calculate, redeem, and sell the STIF's participating interests at a price based on the </w:t>
      </w:r>
      <w:r w:rsidR="005E2274">
        <w:t>mark-to-market</w:t>
      </w:r>
      <w:r>
        <w:t xml:space="preserve"> NAV.  Currently, the rule creates an incentive for withdrawal of participating interests if the </w:t>
      </w:r>
      <w:r w:rsidR="005E2274">
        <w:t>mark-to-market</w:t>
      </w:r>
      <w:r>
        <w:t xml:space="preserve"> NAV falls below the stable NAV because the earlier withdrawals are more likely to receive the full stable NAV payment.  The </w:t>
      </w:r>
      <w:r w:rsidR="003B6B93">
        <w:t>NPRM</w:t>
      </w:r>
      <w:r>
        <w:t xml:space="preserve"> removes this incentive, as once the NAV is priced below $0.995, all withdrawals of participating interests will receive the </w:t>
      </w:r>
      <w:r w:rsidR="005E2274">
        <w:t>mark-to-market</w:t>
      </w:r>
      <w:r>
        <w:t xml:space="preserve"> NAV instead of the stable NAV.   </w:t>
      </w:r>
    </w:p>
    <w:p w:rsidR="00F83FDF" w:rsidRPr="00EC5100" w:rsidRDefault="00F83FDF" w:rsidP="00F33CE7">
      <w:pPr>
        <w:rPr>
          <w:rFonts w:eastAsia="Arial Unicode MS"/>
        </w:rPr>
      </w:pPr>
    </w:p>
    <w:p w:rsidR="004707D0" w:rsidRDefault="00B5475C" w:rsidP="00F33CE7">
      <w:pPr>
        <w:rPr>
          <w:rFonts w:eastAsia="Arial Unicode MS"/>
          <w:u w:val="single"/>
        </w:rPr>
      </w:pPr>
      <w:r w:rsidRPr="00B5475C">
        <w:rPr>
          <w:rFonts w:eastAsia="Arial Unicode MS"/>
          <w:u w:val="single"/>
        </w:rPr>
        <w:t xml:space="preserve">§ </w:t>
      </w:r>
      <w:r w:rsidR="004707D0" w:rsidRPr="00B5475C">
        <w:rPr>
          <w:rFonts w:eastAsia="Arial Unicode MS"/>
          <w:u w:val="single"/>
        </w:rPr>
        <w:t>9</w:t>
      </w:r>
      <w:r w:rsidR="004707D0" w:rsidRPr="00457510">
        <w:rPr>
          <w:rFonts w:eastAsia="Arial Unicode MS"/>
          <w:u w:val="single"/>
        </w:rPr>
        <w:t>.1</w:t>
      </w:r>
      <w:r w:rsidR="004707D0">
        <w:rPr>
          <w:rFonts w:eastAsia="Arial Unicode MS"/>
          <w:u w:val="single"/>
        </w:rPr>
        <w:t>8(b</w:t>
      </w:r>
      <w:proofErr w:type="gramStart"/>
      <w:r w:rsidR="004707D0">
        <w:rPr>
          <w:rFonts w:eastAsia="Arial Unicode MS"/>
          <w:u w:val="single"/>
        </w:rPr>
        <w:t>)(</w:t>
      </w:r>
      <w:proofErr w:type="gramEnd"/>
      <w:r w:rsidR="004707D0">
        <w:rPr>
          <w:rFonts w:eastAsia="Arial Unicode MS"/>
          <w:u w:val="single"/>
        </w:rPr>
        <w:t>4)(iii)(L)</w:t>
      </w:r>
    </w:p>
    <w:p w:rsidR="00F83FDF" w:rsidRDefault="00F83FDF" w:rsidP="00F33CE7">
      <w:pPr>
        <w:rPr>
          <w:rFonts w:eastAsia="Arial Unicode MS"/>
          <w:u w:val="single"/>
        </w:rPr>
      </w:pPr>
    </w:p>
    <w:p w:rsidR="004707D0" w:rsidRDefault="004707D0" w:rsidP="0038030F">
      <w:r>
        <w:rPr>
          <w:rFonts w:eastAsia="Arial Unicode MS"/>
        </w:rPr>
        <w:tab/>
        <w:t xml:space="preserve">The </w:t>
      </w:r>
      <w:r w:rsidR="00E61420">
        <w:rPr>
          <w:rFonts w:eastAsia="Arial Unicode MS"/>
        </w:rPr>
        <w:t>NPRM</w:t>
      </w:r>
      <w:r>
        <w:rPr>
          <w:rFonts w:eastAsia="Arial Unicode MS"/>
        </w:rPr>
        <w:t xml:space="preserve"> </w:t>
      </w:r>
      <w:r w:rsidR="0093102A">
        <w:rPr>
          <w:rFonts w:eastAsia="Arial Unicode MS"/>
        </w:rPr>
        <w:t>would require</w:t>
      </w:r>
      <w:r>
        <w:rPr>
          <w:rFonts w:eastAsia="Arial Unicode MS"/>
        </w:rPr>
        <w:t xml:space="preserve"> a bank </w:t>
      </w:r>
      <w:r w:rsidR="00C846BA">
        <w:rPr>
          <w:rFonts w:eastAsia="Arial Unicode MS"/>
        </w:rPr>
        <w:t>managing</w:t>
      </w:r>
      <w:r>
        <w:rPr>
          <w:rFonts w:eastAsia="Arial Unicode MS"/>
        </w:rPr>
        <w:t xml:space="preserve"> a STIF to a</w:t>
      </w:r>
      <w:r>
        <w:t>dopt procedures for suspending redemptions and initiating liquidation of a STIF</w:t>
      </w:r>
      <w:r w:rsidR="00186758">
        <w:t xml:space="preserve"> as a result of redemptions</w:t>
      </w:r>
      <w:r>
        <w:t xml:space="preserve">.  The intent of the proposal is to reduce the vulnerability of </w:t>
      </w:r>
      <w:r w:rsidR="00C05EF2">
        <w:t xml:space="preserve">participating </w:t>
      </w:r>
      <w:r>
        <w:t>account</w:t>
      </w:r>
      <w:r w:rsidR="00C05EF2">
        <w:t>s</w:t>
      </w:r>
      <w:r>
        <w:t xml:space="preserve"> to the harmful effects </w:t>
      </w:r>
      <w:proofErr w:type="gramStart"/>
      <w:r>
        <w:t xml:space="preserve">of </w:t>
      </w:r>
      <w:r w:rsidR="00BD7055">
        <w:t xml:space="preserve"> </w:t>
      </w:r>
      <w:r>
        <w:t>extraordinary</w:t>
      </w:r>
      <w:proofErr w:type="gramEnd"/>
      <w:r>
        <w:t xml:space="preserve"> levels of withdrawals, which can be accomplished to some degree by suspending withdrawals. These suspensions would only be permitted in limited circumstances when</w:t>
      </w:r>
      <w:r w:rsidR="00186758">
        <w:t>, as a result of redemption,</w:t>
      </w:r>
      <w:r>
        <w:t xml:space="preserve"> the bank has: (1) determined that the extent of the difference between the STIF’s amortized cost per participating interest and its </w:t>
      </w:r>
      <w:r w:rsidR="005E2274">
        <w:t>mark-to-market</w:t>
      </w:r>
      <w:r>
        <w:t xml:space="preserve"> NAV per participating interest may result in material dilution or unfair results to </w:t>
      </w:r>
      <w:r w:rsidR="00C05EF2">
        <w:t xml:space="preserve">participating </w:t>
      </w:r>
      <w:r>
        <w:t>account</w:t>
      </w:r>
      <w:r w:rsidR="00C05EF2">
        <w:t>s</w:t>
      </w:r>
      <w:r>
        <w:t>; (2) formally approved the liquidation of the STIF; and (3) facilitated the fair and orderly liquidation of the STIF to the benefit of all STIF participants.</w:t>
      </w:r>
      <w:r w:rsidR="0038030F">
        <w:t xml:space="preserve">  T</w:t>
      </w:r>
      <w:r>
        <w:t xml:space="preserve">he proposed requirement is limited to permitting suspension in extraordinary circumstances when there is significant risk of extraordinary withdrawal activity to the detriment of other participating accounts. </w:t>
      </w:r>
    </w:p>
    <w:p w:rsidR="00EB169D" w:rsidRDefault="00EB169D" w:rsidP="00EB169D"/>
    <w:p w:rsidR="00EB169D" w:rsidRDefault="00EB169D" w:rsidP="00EB169D">
      <w:r>
        <w:t>3.</w:t>
      </w:r>
      <w:r>
        <w:tab/>
      </w:r>
      <w:r>
        <w:rPr>
          <w:u w:val="single"/>
        </w:rPr>
        <w:t>Use of technology to reduce burden</w:t>
      </w:r>
      <w:r>
        <w:t>.</w:t>
      </w:r>
    </w:p>
    <w:p w:rsidR="00EB169D" w:rsidRDefault="00EB169D" w:rsidP="00EB169D"/>
    <w:p w:rsidR="000D72FD" w:rsidRDefault="000D72FD" w:rsidP="000D72FD">
      <w:pPr>
        <w:ind w:firstLine="720"/>
      </w:pPr>
      <w:r>
        <w:t>Institutions may use any method of improved information technology that meets the requirements of the regulation.</w:t>
      </w:r>
    </w:p>
    <w:p w:rsidR="00EB169D" w:rsidRDefault="00EB169D" w:rsidP="000D72FD">
      <w:pPr>
        <w:pStyle w:val="BodyText"/>
      </w:pPr>
    </w:p>
    <w:p w:rsidR="00EB169D" w:rsidRDefault="00EB169D" w:rsidP="00EB169D">
      <w:r>
        <w:t>4.</w:t>
      </w:r>
      <w:r>
        <w:tab/>
      </w:r>
      <w:r>
        <w:rPr>
          <w:u w:val="single"/>
        </w:rPr>
        <w:t>Efforts to identify duplication</w:t>
      </w:r>
      <w:r>
        <w:t>.</w:t>
      </w:r>
    </w:p>
    <w:p w:rsidR="000D72FD" w:rsidRDefault="000D72FD" w:rsidP="000D72FD">
      <w:pPr>
        <w:ind w:firstLine="720"/>
      </w:pPr>
    </w:p>
    <w:p w:rsidR="000D72FD" w:rsidRDefault="000D72FD" w:rsidP="000D72FD">
      <w:pPr>
        <w:ind w:firstLine="720"/>
      </w:pPr>
      <w:r>
        <w:t>The required information is not duplicative and is specific to a particular fund.  The information disclosed is not available from any other source.</w:t>
      </w:r>
    </w:p>
    <w:p w:rsidR="00EB169D" w:rsidRDefault="00EB169D" w:rsidP="00EB169D"/>
    <w:p w:rsidR="00EB169D" w:rsidRDefault="00EB169D" w:rsidP="00EB169D">
      <w:r>
        <w:t>5.</w:t>
      </w:r>
      <w:r>
        <w:tab/>
      </w:r>
      <w:r>
        <w:rPr>
          <w:u w:val="single"/>
        </w:rPr>
        <w:t>Minimizing the burden on small entities</w:t>
      </w:r>
      <w:r>
        <w:t>.</w:t>
      </w:r>
    </w:p>
    <w:p w:rsidR="00EB169D" w:rsidRDefault="00EB169D" w:rsidP="00EB169D">
      <w:pPr>
        <w:rPr>
          <w:b/>
          <w:bCs/>
        </w:rPr>
      </w:pPr>
    </w:p>
    <w:p w:rsidR="000D72FD" w:rsidRDefault="000D72FD" w:rsidP="000D72FD">
      <w:pPr>
        <w:ind w:firstLine="720"/>
      </w:pPr>
      <w:r>
        <w:t>Not applicable.  The collection does not have a significant impact on a substantial number of small entities.</w:t>
      </w:r>
    </w:p>
    <w:p w:rsidR="00EB169D" w:rsidRDefault="00EB169D" w:rsidP="00EB169D">
      <w:pPr>
        <w:rPr>
          <w:b/>
          <w:bCs/>
        </w:rPr>
      </w:pPr>
    </w:p>
    <w:p w:rsidR="00EB169D" w:rsidRDefault="00EB169D" w:rsidP="00EB169D">
      <w:r>
        <w:t>6.</w:t>
      </w:r>
      <w:r>
        <w:tab/>
      </w:r>
      <w:r>
        <w:rPr>
          <w:u w:val="single"/>
        </w:rPr>
        <w:t>Consequences of less frequent collection</w:t>
      </w:r>
      <w:r>
        <w:t>.</w:t>
      </w:r>
    </w:p>
    <w:p w:rsidR="000D72FD" w:rsidRDefault="000D72FD" w:rsidP="000D72FD">
      <w:pPr>
        <w:ind w:firstLine="720"/>
      </w:pPr>
    </w:p>
    <w:p w:rsidR="000D72FD" w:rsidRDefault="000D72FD" w:rsidP="000D72FD">
      <w:pPr>
        <w:ind w:firstLine="720"/>
      </w:pPr>
      <w:r>
        <w:lastRenderedPageBreak/>
        <w:t>The consequences of less frequent preparation or disclosure would be inadequate information for the needs of national banks,</w:t>
      </w:r>
      <w:r w:rsidR="002773E8">
        <w:t xml:space="preserve"> </w:t>
      </w:r>
      <w:r>
        <w:t>the OCC, and fund participants, since the information would be untimely.  Less frequent preparation or disclosure could impair OCC supervision and inhibit market discipline and investor participation.</w:t>
      </w:r>
    </w:p>
    <w:p w:rsidR="000D72FD" w:rsidRDefault="000D72FD" w:rsidP="000D72FD"/>
    <w:p w:rsidR="00EB169D" w:rsidRDefault="00EB169D" w:rsidP="00EB169D">
      <w:r>
        <w:t>7.</w:t>
      </w:r>
      <w:r>
        <w:tab/>
      </w:r>
      <w:r>
        <w:rPr>
          <w:u w:val="single"/>
        </w:rPr>
        <w:t>Special circumstances necessitating collection inconsistent with 5 C.F.R. Part 1320</w:t>
      </w:r>
      <w:r>
        <w:t>.</w:t>
      </w:r>
    </w:p>
    <w:p w:rsidR="00EB169D" w:rsidRDefault="00EB169D" w:rsidP="00EB169D">
      <w:pPr>
        <w:rPr>
          <w:b/>
          <w:bCs/>
        </w:rPr>
      </w:pPr>
    </w:p>
    <w:p w:rsidR="00EB169D" w:rsidRDefault="00EB169D" w:rsidP="00EB169D">
      <w:r>
        <w:rPr>
          <w:b/>
          <w:bCs/>
        </w:rPr>
        <w:tab/>
      </w:r>
      <w:r>
        <w:t>These information collections are conducted in a manner consistent with the requirements of 5 C.F.R. Part 1320.</w:t>
      </w:r>
    </w:p>
    <w:p w:rsidR="00EB169D" w:rsidRDefault="00EB169D" w:rsidP="00EB169D">
      <w:pPr>
        <w:rPr>
          <w:b/>
          <w:bCs/>
        </w:rPr>
      </w:pPr>
    </w:p>
    <w:p w:rsidR="00EB169D" w:rsidRDefault="00EB169D" w:rsidP="00EB169D">
      <w:r>
        <w:t>8.</w:t>
      </w:r>
      <w:r>
        <w:tab/>
      </w:r>
      <w:r>
        <w:rPr>
          <w:u w:val="single"/>
        </w:rPr>
        <w:t>Consultation with persons outside the agency</w:t>
      </w:r>
      <w:r>
        <w:t>.</w:t>
      </w:r>
    </w:p>
    <w:p w:rsidR="00EB169D" w:rsidRDefault="00EB169D" w:rsidP="00EB169D">
      <w:pPr>
        <w:rPr>
          <w:b/>
          <w:bCs/>
        </w:rPr>
      </w:pPr>
    </w:p>
    <w:p w:rsidR="00EB169D" w:rsidRPr="003A3738" w:rsidRDefault="00EB169D" w:rsidP="00EB169D">
      <w:r>
        <w:rPr>
          <w:b/>
          <w:bCs/>
        </w:rPr>
        <w:tab/>
      </w:r>
      <w:r w:rsidR="003A3738">
        <w:rPr>
          <w:bCs/>
        </w:rPr>
        <w:t xml:space="preserve">The OCC issued an NPRM for </w:t>
      </w:r>
      <w:r w:rsidR="00951A93">
        <w:rPr>
          <w:bCs/>
        </w:rPr>
        <w:t xml:space="preserve">sixty </w:t>
      </w:r>
      <w:r w:rsidR="003A3738">
        <w:rPr>
          <w:bCs/>
        </w:rPr>
        <w:t xml:space="preserve">days of comment in the </w:t>
      </w:r>
      <w:r w:rsidR="003A3738" w:rsidRPr="003A3738">
        <w:rPr>
          <w:bCs/>
          <w:i/>
        </w:rPr>
        <w:t>Federal Register</w:t>
      </w:r>
      <w:r w:rsidR="00E22D8E">
        <w:rPr>
          <w:bCs/>
        </w:rPr>
        <w:t xml:space="preserve">.  </w:t>
      </w:r>
      <w:proofErr w:type="gramStart"/>
      <w:r w:rsidR="00E22D8E">
        <w:rPr>
          <w:bCs/>
        </w:rPr>
        <w:t>77 FR _____ (________ __, 2012</w:t>
      </w:r>
      <w:r w:rsidR="003A3738">
        <w:rPr>
          <w:bCs/>
        </w:rPr>
        <w:t>).</w:t>
      </w:r>
      <w:proofErr w:type="gramEnd"/>
    </w:p>
    <w:p w:rsidR="00EB169D" w:rsidRDefault="00EB169D" w:rsidP="00EB169D"/>
    <w:p w:rsidR="00EB169D" w:rsidRDefault="00EB169D" w:rsidP="00EB169D">
      <w:r>
        <w:t>9.</w:t>
      </w:r>
      <w:r>
        <w:tab/>
      </w:r>
      <w:r>
        <w:rPr>
          <w:u w:val="single"/>
        </w:rPr>
        <w:t>Payment to respondents</w:t>
      </w:r>
      <w:r>
        <w:t>.</w:t>
      </w:r>
    </w:p>
    <w:p w:rsidR="00EB169D" w:rsidRDefault="00EB169D" w:rsidP="00EB169D">
      <w:pPr>
        <w:rPr>
          <w:b/>
          <w:bCs/>
        </w:rPr>
      </w:pPr>
    </w:p>
    <w:p w:rsidR="00EB169D" w:rsidRDefault="00EB169D" w:rsidP="00EB169D">
      <w:r>
        <w:rPr>
          <w:b/>
          <w:bCs/>
        </w:rPr>
        <w:tab/>
      </w:r>
      <w:r w:rsidR="00E6241D">
        <w:t>There are</w:t>
      </w:r>
      <w:r>
        <w:t xml:space="preserve"> no payment</w:t>
      </w:r>
      <w:r w:rsidR="00E6241D">
        <w:t>s</w:t>
      </w:r>
      <w:r>
        <w:t xml:space="preserve"> to respondents.</w:t>
      </w:r>
    </w:p>
    <w:p w:rsidR="00EB169D" w:rsidRDefault="00EB169D" w:rsidP="00EB169D">
      <w:pPr>
        <w:rPr>
          <w:b/>
          <w:bCs/>
        </w:rPr>
      </w:pPr>
    </w:p>
    <w:p w:rsidR="00EB169D" w:rsidRDefault="00EB169D" w:rsidP="00EB169D">
      <w:r>
        <w:t>10.</w:t>
      </w:r>
      <w:r>
        <w:tab/>
      </w:r>
      <w:r>
        <w:rPr>
          <w:u w:val="single"/>
        </w:rPr>
        <w:t>Confidentiality</w:t>
      </w:r>
      <w:r>
        <w:t>.</w:t>
      </w:r>
    </w:p>
    <w:p w:rsidR="00EB169D" w:rsidRDefault="00EB169D" w:rsidP="00EB169D">
      <w:pPr>
        <w:rPr>
          <w:b/>
          <w:bCs/>
        </w:rPr>
      </w:pPr>
    </w:p>
    <w:p w:rsidR="00EB169D" w:rsidRDefault="00EB169D" w:rsidP="00EB169D">
      <w:r>
        <w:rPr>
          <w:b/>
          <w:bCs/>
        </w:rPr>
        <w:tab/>
      </w:r>
      <w:r w:rsidR="00E6241D">
        <w:t>There are no assurances of confidentiality.</w:t>
      </w:r>
    </w:p>
    <w:p w:rsidR="00EB169D" w:rsidRDefault="00EB169D" w:rsidP="00EB169D"/>
    <w:p w:rsidR="00EB169D" w:rsidRDefault="00EB169D" w:rsidP="00EB169D">
      <w:r>
        <w:t>11.</w:t>
      </w:r>
      <w:r>
        <w:tab/>
      </w:r>
      <w:r>
        <w:rPr>
          <w:u w:val="single"/>
        </w:rPr>
        <w:t>Justification for questions of a sensitive nature</w:t>
      </w:r>
      <w:r>
        <w:t>.</w:t>
      </w:r>
    </w:p>
    <w:p w:rsidR="00EB169D" w:rsidRDefault="00EB169D" w:rsidP="00EB169D"/>
    <w:p w:rsidR="00EB169D" w:rsidRDefault="00EB169D" w:rsidP="00EB169D">
      <w:r>
        <w:tab/>
        <w:t>There are no questions of a sensitive nature.</w:t>
      </w:r>
    </w:p>
    <w:p w:rsidR="008C4374" w:rsidRDefault="008C4374" w:rsidP="00EB169D"/>
    <w:p w:rsidR="00E6241D" w:rsidRDefault="00EB169D" w:rsidP="00EB169D">
      <w:r>
        <w:t>12.</w:t>
      </w:r>
      <w:r>
        <w:tab/>
      </w:r>
      <w:r>
        <w:rPr>
          <w:u w:val="single"/>
        </w:rPr>
        <w:t>Burden estimate</w:t>
      </w:r>
      <w:r>
        <w:t xml:space="preserve">.   </w:t>
      </w:r>
    </w:p>
    <w:p w:rsidR="00E6241D" w:rsidRDefault="00E6241D" w:rsidP="00EB169D"/>
    <w:p w:rsidR="00E6241D" w:rsidRDefault="00E6241D" w:rsidP="00E6241D"/>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2637"/>
        <w:gridCol w:w="1530"/>
        <w:gridCol w:w="1350"/>
        <w:gridCol w:w="1170"/>
        <w:gridCol w:w="1350"/>
      </w:tblGrid>
      <w:tr w:rsidR="00C77EEE" w:rsidTr="00C77EEE">
        <w:trPr>
          <w:tblHeader/>
        </w:trPr>
        <w:tc>
          <w:tcPr>
            <w:tcW w:w="1881" w:type="dxa"/>
          </w:tcPr>
          <w:p w:rsidR="00C77EEE" w:rsidRDefault="00C77EEE" w:rsidP="00FE4406">
            <w:pPr>
              <w:pStyle w:val="ArticleNumber"/>
              <w:numPr>
                <w:ilvl w:val="0"/>
                <w:numId w:val="0"/>
              </w:numPr>
              <w:spacing w:line="240" w:lineRule="auto"/>
              <w:rPr>
                <w:b/>
                <w:bCs/>
                <w:sz w:val="20"/>
              </w:rPr>
            </w:pPr>
            <w:r>
              <w:rPr>
                <w:b/>
                <w:bCs/>
                <w:sz w:val="20"/>
              </w:rPr>
              <w:t>Cite</w:t>
            </w:r>
          </w:p>
          <w:p w:rsidR="00C77EEE" w:rsidRDefault="00C77EEE" w:rsidP="00FE4406">
            <w:pPr>
              <w:jc w:val="center"/>
              <w:rPr>
                <w:b/>
                <w:bCs/>
                <w:sz w:val="20"/>
              </w:rPr>
            </w:pPr>
            <w:r>
              <w:rPr>
                <w:b/>
                <w:bCs/>
                <w:sz w:val="20"/>
              </w:rPr>
              <w:t>and</w:t>
            </w:r>
          </w:p>
          <w:p w:rsidR="00C77EEE" w:rsidRDefault="00C77EEE" w:rsidP="00FE4406">
            <w:pPr>
              <w:jc w:val="center"/>
              <w:rPr>
                <w:b/>
                <w:bCs/>
                <w:sz w:val="20"/>
              </w:rPr>
            </w:pPr>
            <w:r>
              <w:rPr>
                <w:b/>
                <w:bCs/>
                <w:sz w:val="20"/>
              </w:rPr>
              <w:t>Burden Type</w:t>
            </w:r>
          </w:p>
        </w:tc>
        <w:tc>
          <w:tcPr>
            <w:tcW w:w="2637" w:type="dxa"/>
          </w:tcPr>
          <w:p w:rsidR="00C77EEE" w:rsidRDefault="00C77EEE" w:rsidP="00FE4406">
            <w:pPr>
              <w:jc w:val="center"/>
              <w:rPr>
                <w:b/>
                <w:bCs/>
                <w:sz w:val="20"/>
              </w:rPr>
            </w:pPr>
            <w:r>
              <w:rPr>
                <w:b/>
                <w:bCs/>
                <w:sz w:val="20"/>
              </w:rPr>
              <w:t>PRA Requirements</w:t>
            </w:r>
          </w:p>
          <w:p w:rsidR="00C77EEE" w:rsidRDefault="00C77EEE" w:rsidP="00FE4406">
            <w:pPr>
              <w:jc w:val="center"/>
              <w:rPr>
                <w:b/>
                <w:bCs/>
                <w:sz w:val="20"/>
              </w:rPr>
            </w:pPr>
            <w:r>
              <w:rPr>
                <w:b/>
                <w:bCs/>
                <w:sz w:val="20"/>
              </w:rPr>
              <w:t>in</w:t>
            </w:r>
          </w:p>
          <w:p w:rsidR="00C77EEE" w:rsidRDefault="00C77EEE" w:rsidP="00FE4406">
            <w:pPr>
              <w:jc w:val="center"/>
              <w:rPr>
                <w:b/>
                <w:bCs/>
                <w:sz w:val="20"/>
              </w:rPr>
            </w:pPr>
            <w:r>
              <w:rPr>
                <w:b/>
                <w:bCs/>
                <w:sz w:val="20"/>
              </w:rPr>
              <w:t>12 CFR Parts 9 and 150</w:t>
            </w:r>
          </w:p>
        </w:tc>
        <w:tc>
          <w:tcPr>
            <w:tcW w:w="1530" w:type="dxa"/>
          </w:tcPr>
          <w:p w:rsidR="00C77EEE" w:rsidRDefault="00C77EEE" w:rsidP="00FE4406">
            <w:pPr>
              <w:pStyle w:val="ArticleNumber"/>
              <w:numPr>
                <w:ilvl w:val="0"/>
                <w:numId w:val="0"/>
              </w:numPr>
              <w:spacing w:line="240" w:lineRule="auto"/>
              <w:rPr>
                <w:b/>
                <w:bCs/>
                <w:sz w:val="20"/>
              </w:rPr>
            </w:pPr>
            <w:r>
              <w:rPr>
                <w:b/>
                <w:bCs/>
                <w:sz w:val="20"/>
              </w:rPr>
              <w:t>Number</w:t>
            </w:r>
          </w:p>
          <w:p w:rsidR="00C77EEE" w:rsidRDefault="00C77EEE" w:rsidP="00FE4406">
            <w:pPr>
              <w:pStyle w:val="ArticleNumber"/>
              <w:numPr>
                <w:ilvl w:val="0"/>
                <w:numId w:val="0"/>
              </w:numPr>
              <w:spacing w:line="240" w:lineRule="auto"/>
              <w:rPr>
                <w:b/>
                <w:bCs/>
                <w:sz w:val="20"/>
              </w:rPr>
            </w:pPr>
            <w:r>
              <w:rPr>
                <w:b/>
                <w:bCs/>
                <w:sz w:val="20"/>
              </w:rPr>
              <w:t>of</w:t>
            </w:r>
          </w:p>
          <w:p w:rsidR="00C77EEE" w:rsidRDefault="00C77EEE" w:rsidP="00FE4406">
            <w:pPr>
              <w:pStyle w:val="ArticleNumber"/>
              <w:numPr>
                <w:ilvl w:val="0"/>
                <w:numId w:val="0"/>
              </w:numPr>
              <w:spacing w:line="240" w:lineRule="auto"/>
              <w:rPr>
                <w:b/>
                <w:bCs/>
                <w:sz w:val="20"/>
              </w:rPr>
            </w:pPr>
            <w:r>
              <w:rPr>
                <w:b/>
                <w:bCs/>
                <w:sz w:val="20"/>
              </w:rPr>
              <w:t>Respondents</w:t>
            </w:r>
          </w:p>
        </w:tc>
        <w:tc>
          <w:tcPr>
            <w:tcW w:w="1350" w:type="dxa"/>
          </w:tcPr>
          <w:p w:rsidR="00C77EEE" w:rsidRDefault="00C77EEE" w:rsidP="00FE4406">
            <w:pPr>
              <w:pStyle w:val="ArticleNumber"/>
              <w:numPr>
                <w:ilvl w:val="0"/>
                <w:numId w:val="0"/>
              </w:numPr>
              <w:spacing w:line="240" w:lineRule="auto"/>
              <w:rPr>
                <w:b/>
                <w:bCs/>
                <w:sz w:val="20"/>
              </w:rPr>
            </w:pPr>
            <w:r>
              <w:rPr>
                <w:b/>
                <w:bCs/>
                <w:sz w:val="20"/>
              </w:rPr>
              <w:t>Average</w:t>
            </w:r>
          </w:p>
          <w:p w:rsidR="00C77EEE" w:rsidRDefault="00C77EEE" w:rsidP="00FE4406">
            <w:pPr>
              <w:jc w:val="center"/>
              <w:rPr>
                <w:b/>
                <w:bCs/>
                <w:sz w:val="20"/>
              </w:rPr>
            </w:pPr>
            <w:r>
              <w:rPr>
                <w:b/>
                <w:bCs/>
                <w:sz w:val="20"/>
              </w:rPr>
              <w:t>Hours Per</w:t>
            </w:r>
          </w:p>
          <w:p w:rsidR="00C77EEE" w:rsidRDefault="00C77EEE" w:rsidP="00FE4406">
            <w:pPr>
              <w:jc w:val="center"/>
              <w:rPr>
                <w:b/>
                <w:bCs/>
                <w:sz w:val="20"/>
              </w:rPr>
            </w:pPr>
            <w:r>
              <w:rPr>
                <w:b/>
                <w:bCs/>
                <w:sz w:val="20"/>
              </w:rPr>
              <w:t>Response</w:t>
            </w:r>
          </w:p>
        </w:tc>
        <w:tc>
          <w:tcPr>
            <w:tcW w:w="1170" w:type="dxa"/>
          </w:tcPr>
          <w:p w:rsidR="00C77EEE" w:rsidRDefault="00C77EEE" w:rsidP="00FE4406">
            <w:pPr>
              <w:pStyle w:val="ArticleNumber"/>
              <w:numPr>
                <w:ilvl w:val="0"/>
                <w:numId w:val="0"/>
              </w:numPr>
              <w:spacing w:line="240" w:lineRule="auto"/>
              <w:rPr>
                <w:b/>
                <w:bCs/>
                <w:sz w:val="20"/>
              </w:rPr>
            </w:pPr>
            <w:r>
              <w:rPr>
                <w:b/>
                <w:bCs/>
                <w:sz w:val="20"/>
              </w:rPr>
              <w:t>Annual</w:t>
            </w:r>
          </w:p>
          <w:p w:rsidR="00C77EEE" w:rsidRDefault="00C77EEE" w:rsidP="00FE4406">
            <w:pPr>
              <w:pStyle w:val="ArticleNumber"/>
              <w:numPr>
                <w:ilvl w:val="0"/>
                <w:numId w:val="0"/>
              </w:numPr>
              <w:spacing w:line="240" w:lineRule="auto"/>
              <w:rPr>
                <w:b/>
                <w:bCs/>
                <w:sz w:val="20"/>
              </w:rPr>
            </w:pPr>
            <w:r>
              <w:rPr>
                <w:b/>
                <w:bCs/>
                <w:sz w:val="20"/>
              </w:rPr>
              <w:t>Frequency</w:t>
            </w:r>
          </w:p>
        </w:tc>
        <w:tc>
          <w:tcPr>
            <w:tcW w:w="1350" w:type="dxa"/>
          </w:tcPr>
          <w:p w:rsidR="00C77EEE" w:rsidRDefault="00C77EEE" w:rsidP="00FE4406">
            <w:pPr>
              <w:pStyle w:val="ArticleNumber"/>
              <w:numPr>
                <w:ilvl w:val="0"/>
                <w:numId w:val="0"/>
              </w:numPr>
              <w:spacing w:line="240" w:lineRule="auto"/>
              <w:rPr>
                <w:b/>
                <w:bCs/>
                <w:sz w:val="20"/>
              </w:rPr>
            </w:pPr>
            <w:r>
              <w:rPr>
                <w:b/>
                <w:bCs/>
                <w:sz w:val="20"/>
              </w:rPr>
              <w:t>Estimated</w:t>
            </w:r>
          </w:p>
          <w:p w:rsidR="00C77EEE" w:rsidRDefault="00C77EEE" w:rsidP="00FE4406">
            <w:pPr>
              <w:jc w:val="center"/>
              <w:rPr>
                <w:b/>
                <w:bCs/>
                <w:sz w:val="20"/>
              </w:rPr>
            </w:pPr>
            <w:r>
              <w:rPr>
                <w:b/>
                <w:bCs/>
                <w:sz w:val="20"/>
              </w:rPr>
              <w:t>Burden</w:t>
            </w:r>
          </w:p>
          <w:p w:rsidR="00C77EEE" w:rsidRDefault="00C77EEE" w:rsidP="00FE4406">
            <w:pPr>
              <w:jc w:val="center"/>
              <w:rPr>
                <w:b/>
                <w:bCs/>
                <w:sz w:val="20"/>
              </w:rPr>
            </w:pPr>
            <w:r>
              <w:rPr>
                <w:b/>
                <w:bCs/>
                <w:sz w:val="20"/>
              </w:rPr>
              <w:t>Hours</w:t>
            </w:r>
          </w:p>
        </w:tc>
      </w:tr>
      <w:tr w:rsidR="00C77EEE" w:rsidTr="00C77EEE">
        <w:tc>
          <w:tcPr>
            <w:tcW w:w="1881" w:type="dxa"/>
          </w:tcPr>
          <w:p w:rsidR="00C77EEE" w:rsidRDefault="00C77EEE" w:rsidP="00FE4406">
            <w:pPr>
              <w:rPr>
                <w:sz w:val="20"/>
              </w:rPr>
            </w:pPr>
            <w:r>
              <w:rPr>
                <w:sz w:val="20"/>
              </w:rPr>
              <w:t>12 CFR 9.8 &amp; 12 CFR 150.410 – 150.430</w:t>
            </w:r>
          </w:p>
          <w:p w:rsidR="00C77EEE" w:rsidRDefault="00C77EEE" w:rsidP="00FE4406">
            <w:pPr>
              <w:rPr>
                <w:sz w:val="20"/>
              </w:rPr>
            </w:pPr>
            <w:r>
              <w:rPr>
                <w:sz w:val="20"/>
              </w:rPr>
              <w:t>Recordkeeping</w:t>
            </w:r>
          </w:p>
        </w:tc>
        <w:tc>
          <w:tcPr>
            <w:tcW w:w="2637" w:type="dxa"/>
          </w:tcPr>
          <w:p w:rsidR="00C77EEE" w:rsidRDefault="00C77EEE" w:rsidP="00FE4406">
            <w:pPr>
              <w:pStyle w:val="Heading4"/>
            </w:pPr>
            <w:r>
              <w:t>Recordkeeping:</w:t>
            </w:r>
          </w:p>
          <w:p w:rsidR="00C77EEE" w:rsidRDefault="00C77EEE" w:rsidP="00FE4406">
            <w:pPr>
              <w:rPr>
                <w:sz w:val="20"/>
              </w:rPr>
            </w:pPr>
            <w:r>
              <w:rPr>
                <w:i/>
                <w:iCs/>
                <w:sz w:val="20"/>
                <w:u w:val="single"/>
              </w:rPr>
              <w:t>Documentation of accounts</w:t>
            </w:r>
            <w:r>
              <w:rPr>
                <w:sz w:val="20"/>
              </w:rPr>
              <w:t xml:space="preserve"> – An institution shall document the establishment and termination of each fiduciary account and shall maintain adequate records.</w:t>
            </w:r>
          </w:p>
          <w:p w:rsidR="00C77EEE" w:rsidRDefault="00C77EEE" w:rsidP="00FE4406">
            <w:pPr>
              <w:rPr>
                <w:sz w:val="20"/>
              </w:rPr>
            </w:pPr>
          </w:p>
          <w:p w:rsidR="00C77EEE" w:rsidRDefault="00C77EEE" w:rsidP="00FE4406">
            <w:pPr>
              <w:rPr>
                <w:sz w:val="20"/>
              </w:rPr>
            </w:pPr>
            <w:r>
              <w:rPr>
                <w:i/>
                <w:iCs/>
                <w:sz w:val="20"/>
                <w:u w:val="single"/>
              </w:rPr>
              <w:t>Retention of records</w:t>
            </w:r>
            <w:r>
              <w:rPr>
                <w:sz w:val="20"/>
              </w:rPr>
              <w:t xml:space="preserve"> – An institution shall retain records for a period of three years from the later of the termination of the account or the termination of any litigation.</w:t>
            </w:r>
          </w:p>
          <w:p w:rsidR="00C77EEE" w:rsidRDefault="00C77EEE" w:rsidP="00FE4406">
            <w:pPr>
              <w:rPr>
                <w:sz w:val="20"/>
              </w:rPr>
            </w:pPr>
          </w:p>
          <w:p w:rsidR="00C77EEE" w:rsidRDefault="00C77EEE" w:rsidP="00FE4406">
            <w:pPr>
              <w:rPr>
                <w:sz w:val="20"/>
              </w:rPr>
            </w:pPr>
            <w:r>
              <w:rPr>
                <w:i/>
                <w:iCs/>
                <w:sz w:val="20"/>
                <w:u w:val="single"/>
              </w:rPr>
              <w:t>Separation of records</w:t>
            </w:r>
            <w:r>
              <w:rPr>
                <w:sz w:val="20"/>
              </w:rPr>
              <w:t xml:space="preserve"> – An </w:t>
            </w:r>
            <w:r>
              <w:rPr>
                <w:sz w:val="20"/>
              </w:rPr>
              <w:lastRenderedPageBreak/>
              <w:t>institution shall ensure that the records are separate and distinct from other records of the institution.</w:t>
            </w:r>
          </w:p>
        </w:tc>
        <w:tc>
          <w:tcPr>
            <w:tcW w:w="1530" w:type="dxa"/>
          </w:tcPr>
          <w:p w:rsidR="00C77EEE" w:rsidRDefault="00DE3031" w:rsidP="00DE3031">
            <w:pPr>
              <w:jc w:val="right"/>
              <w:rPr>
                <w:sz w:val="20"/>
              </w:rPr>
            </w:pPr>
            <w:r>
              <w:rPr>
                <w:sz w:val="20"/>
              </w:rPr>
              <w:lastRenderedPageBreak/>
              <w:t>498 I</w:t>
            </w:r>
            <w:r w:rsidR="00C77EEE">
              <w:rPr>
                <w:sz w:val="20"/>
              </w:rPr>
              <w:t xml:space="preserve">nstitutions </w:t>
            </w:r>
            <w:r>
              <w:rPr>
                <w:sz w:val="20"/>
              </w:rPr>
              <w:t>Established and T</w:t>
            </w:r>
            <w:r w:rsidR="00C77EEE">
              <w:rPr>
                <w:sz w:val="20"/>
              </w:rPr>
              <w:t xml:space="preserve">erminated an </w:t>
            </w:r>
            <w:r>
              <w:rPr>
                <w:sz w:val="20"/>
              </w:rPr>
              <w:t>A</w:t>
            </w:r>
            <w:r w:rsidR="00C77EEE">
              <w:rPr>
                <w:sz w:val="20"/>
              </w:rPr>
              <w:t xml:space="preserve">verage of 920 </w:t>
            </w:r>
            <w:r w:rsidR="00C05EF2">
              <w:rPr>
                <w:sz w:val="20"/>
              </w:rPr>
              <w:t xml:space="preserve">Participating </w:t>
            </w:r>
            <w:r w:rsidR="00C77EEE">
              <w:rPr>
                <w:sz w:val="20"/>
              </w:rPr>
              <w:t xml:space="preserve"> </w:t>
            </w:r>
            <w:r>
              <w:rPr>
                <w:sz w:val="20"/>
              </w:rPr>
              <w:t>A</w:t>
            </w:r>
            <w:r w:rsidR="00C77EEE">
              <w:rPr>
                <w:sz w:val="20"/>
              </w:rPr>
              <w:t xml:space="preserve">ccounts per </w:t>
            </w:r>
            <w:r>
              <w:rPr>
                <w:sz w:val="20"/>
              </w:rPr>
              <w:t>Y</w:t>
            </w:r>
            <w:r w:rsidR="00C77EEE">
              <w:rPr>
                <w:sz w:val="20"/>
              </w:rPr>
              <w:t>ear</w:t>
            </w:r>
          </w:p>
        </w:tc>
        <w:tc>
          <w:tcPr>
            <w:tcW w:w="1350" w:type="dxa"/>
          </w:tcPr>
          <w:p w:rsidR="00C77EEE" w:rsidRDefault="00C77EEE" w:rsidP="00FE4406">
            <w:pPr>
              <w:jc w:val="right"/>
              <w:rPr>
                <w:sz w:val="20"/>
              </w:rPr>
            </w:pPr>
            <w:r>
              <w:rPr>
                <w:sz w:val="20"/>
              </w:rPr>
              <w:t>.15</w:t>
            </w:r>
          </w:p>
        </w:tc>
        <w:tc>
          <w:tcPr>
            <w:tcW w:w="1170" w:type="dxa"/>
          </w:tcPr>
          <w:p w:rsidR="00C77EEE" w:rsidRDefault="00C77EEE" w:rsidP="00FE4406">
            <w:pPr>
              <w:jc w:val="right"/>
              <w:rPr>
                <w:sz w:val="20"/>
              </w:rPr>
            </w:pPr>
            <w:r>
              <w:rPr>
                <w:sz w:val="20"/>
              </w:rPr>
              <w:t>1</w:t>
            </w:r>
          </w:p>
        </w:tc>
        <w:tc>
          <w:tcPr>
            <w:tcW w:w="1350" w:type="dxa"/>
          </w:tcPr>
          <w:p w:rsidR="00C77EEE" w:rsidRDefault="00C77EEE" w:rsidP="00FE4406">
            <w:pPr>
              <w:jc w:val="right"/>
              <w:rPr>
                <w:sz w:val="20"/>
              </w:rPr>
            </w:pPr>
            <w:r>
              <w:rPr>
                <w:sz w:val="20"/>
              </w:rPr>
              <w:t>68,724</w:t>
            </w:r>
          </w:p>
        </w:tc>
      </w:tr>
      <w:tr w:rsidR="00C77EEE" w:rsidTr="00C77EEE">
        <w:tc>
          <w:tcPr>
            <w:tcW w:w="1881" w:type="dxa"/>
          </w:tcPr>
          <w:p w:rsidR="00C77EEE" w:rsidRDefault="00C77EEE" w:rsidP="00FE4406">
            <w:pPr>
              <w:rPr>
                <w:sz w:val="20"/>
              </w:rPr>
            </w:pPr>
            <w:r>
              <w:rPr>
                <w:sz w:val="20"/>
              </w:rPr>
              <w:lastRenderedPageBreak/>
              <w:t>12 CFR 9.9(a) and (b) &amp; 12 CFR 150.480</w:t>
            </w:r>
          </w:p>
          <w:p w:rsidR="00C77EEE" w:rsidRDefault="00C77EEE" w:rsidP="00FE4406">
            <w:pPr>
              <w:rPr>
                <w:sz w:val="20"/>
              </w:rPr>
            </w:pPr>
            <w:r>
              <w:rPr>
                <w:sz w:val="20"/>
              </w:rPr>
              <w:t>Recordkeeping</w:t>
            </w:r>
          </w:p>
        </w:tc>
        <w:tc>
          <w:tcPr>
            <w:tcW w:w="2637" w:type="dxa"/>
          </w:tcPr>
          <w:p w:rsidR="00C77EEE" w:rsidRDefault="00C77EEE" w:rsidP="00FE4406">
            <w:pPr>
              <w:rPr>
                <w:sz w:val="20"/>
              </w:rPr>
            </w:pPr>
            <w:r>
              <w:rPr>
                <w:b/>
                <w:bCs/>
                <w:sz w:val="20"/>
              </w:rPr>
              <w:t>Audit of Fiduciary Activities:</w:t>
            </w:r>
          </w:p>
          <w:p w:rsidR="00C77EEE" w:rsidRDefault="00C77EEE" w:rsidP="00FE4406">
            <w:pPr>
              <w:rPr>
                <w:sz w:val="20"/>
              </w:rPr>
            </w:pPr>
            <w:r>
              <w:rPr>
                <w:i/>
                <w:iCs/>
                <w:sz w:val="20"/>
                <w:u w:val="single"/>
              </w:rPr>
              <w:t>Annual audit</w:t>
            </w:r>
            <w:r>
              <w:rPr>
                <w:sz w:val="20"/>
              </w:rPr>
              <w:t xml:space="preserve"> – An institution shall note the results of an audit (including significant actions taken as a result of the audit) in the minutes of the board of directors.</w:t>
            </w:r>
          </w:p>
          <w:p w:rsidR="00C77EEE" w:rsidRDefault="00C77EEE" w:rsidP="00FE4406">
            <w:pPr>
              <w:rPr>
                <w:sz w:val="20"/>
              </w:rPr>
            </w:pPr>
          </w:p>
          <w:p w:rsidR="00C77EEE" w:rsidRDefault="00C77EEE" w:rsidP="00FE4406">
            <w:pPr>
              <w:rPr>
                <w:sz w:val="20"/>
              </w:rPr>
            </w:pPr>
            <w:r>
              <w:rPr>
                <w:i/>
                <w:iCs/>
                <w:sz w:val="20"/>
                <w:u w:val="single"/>
              </w:rPr>
              <w:t>Continuous audit</w:t>
            </w:r>
            <w:r>
              <w:rPr>
                <w:sz w:val="20"/>
              </w:rPr>
              <w:t xml:space="preserve"> – An institution that adopts a continuous audit system shall note the results of all discrete audits performed since the last audit report (including significant actions taken as a result of the audits) in the minutes of the board of directors at least once during each calendar year.</w:t>
            </w:r>
          </w:p>
        </w:tc>
        <w:tc>
          <w:tcPr>
            <w:tcW w:w="1530" w:type="dxa"/>
          </w:tcPr>
          <w:p w:rsidR="00C77EEE" w:rsidRDefault="00C77EEE" w:rsidP="00FE4406">
            <w:pPr>
              <w:jc w:val="right"/>
              <w:rPr>
                <w:sz w:val="20"/>
              </w:rPr>
            </w:pPr>
            <w:r>
              <w:rPr>
                <w:sz w:val="20"/>
              </w:rPr>
              <w:t xml:space="preserve">498 </w:t>
            </w:r>
            <w:r w:rsidR="00DE3031">
              <w:rPr>
                <w:sz w:val="20"/>
              </w:rPr>
              <w:t>I</w:t>
            </w:r>
            <w:r>
              <w:rPr>
                <w:sz w:val="20"/>
              </w:rPr>
              <w:t>nstitutions</w:t>
            </w:r>
          </w:p>
          <w:p w:rsidR="00C77EEE" w:rsidRDefault="00C77EEE" w:rsidP="00FE4406">
            <w:pPr>
              <w:jc w:val="right"/>
              <w:rPr>
                <w:sz w:val="20"/>
              </w:rPr>
            </w:pPr>
          </w:p>
        </w:tc>
        <w:tc>
          <w:tcPr>
            <w:tcW w:w="1350" w:type="dxa"/>
          </w:tcPr>
          <w:p w:rsidR="00C77EEE" w:rsidRDefault="00C77EEE" w:rsidP="00FE4406">
            <w:pPr>
              <w:jc w:val="right"/>
              <w:rPr>
                <w:sz w:val="20"/>
              </w:rPr>
            </w:pPr>
            <w:r>
              <w:rPr>
                <w:sz w:val="20"/>
              </w:rPr>
              <w:t>.25</w:t>
            </w:r>
          </w:p>
        </w:tc>
        <w:tc>
          <w:tcPr>
            <w:tcW w:w="1170" w:type="dxa"/>
          </w:tcPr>
          <w:p w:rsidR="00C77EEE" w:rsidRDefault="00C77EEE" w:rsidP="00FE4406">
            <w:pPr>
              <w:jc w:val="right"/>
              <w:rPr>
                <w:sz w:val="20"/>
              </w:rPr>
            </w:pPr>
            <w:r>
              <w:rPr>
                <w:sz w:val="20"/>
              </w:rPr>
              <w:t>1</w:t>
            </w:r>
          </w:p>
        </w:tc>
        <w:tc>
          <w:tcPr>
            <w:tcW w:w="1350" w:type="dxa"/>
          </w:tcPr>
          <w:p w:rsidR="00C77EEE" w:rsidRDefault="00C77EEE" w:rsidP="00FE4406">
            <w:pPr>
              <w:jc w:val="right"/>
              <w:rPr>
                <w:sz w:val="20"/>
              </w:rPr>
            </w:pPr>
            <w:r>
              <w:rPr>
                <w:sz w:val="20"/>
              </w:rPr>
              <w:t>125</w:t>
            </w:r>
          </w:p>
        </w:tc>
      </w:tr>
      <w:tr w:rsidR="00C77EEE" w:rsidTr="00C77EEE">
        <w:tc>
          <w:tcPr>
            <w:tcW w:w="1881" w:type="dxa"/>
          </w:tcPr>
          <w:p w:rsidR="00C77EEE" w:rsidRDefault="00C77EEE" w:rsidP="00FE4406">
            <w:pPr>
              <w:rPr>
                <w:sz w:val="20"/>
              </w:rPr>
            </w:pPr>
            <w:r>
              <w:rPr>
                <w:sz w:val="20"/>
              </w:rPr>
              <w:t>12 CFR 9.17(a) &amp; 12 CFR 150.530</w:t>
            </w:r>
          </w:p>
          <w:p w:rsidR="00C77EEE" w:rsidRDefault="00C77EEE" w:rsidP="00FE4406">
            <w:pPr>
              <w:rPr>
                <w:sz w:val="20"/>
              </w:rPr>
            </w:pPr>
            <w:r>
              <w:rPr>
                <w:sz w:val="20"/>
              </w:rPr>
              <w:t>Reporting</w:t>
            </w:r>
          </w:p>
        </w:tc>
        <w:tc>
          <w:tcPr>
            <w:tcW w:w="2637" w:type="dxa"/>
          </w:tcPr>
          <w:p w:rsidR="00C77EEE" w:rsidRDefault="00C77EEE" w:rsidP="00FE4406">
            <w:pPr>
              <w:rPr>
                <w:sz w:val="20"/>
              </w:rPr>
            </w:pPr>
            <w:r>
              <w:rPr>
                <w:b/>
                <w:bCs/>
                <w:sz w:val="20"/>
              </w:rPr>
              <w:t>Surrender or revocation of fiduciary powers:</w:t>
            </w:r>
          </w:p>
          <w:p w:rsidR="00C77EEE" w:rsidRDefault="00C77EEE" w:rsidP="00FE4406">
            <w:pPr>
              <w:rPr>
                <w:sz w:val="20"/>
              </w:rPr>
            </w:pPr>
            <w:r>
              <w:rPr>
                <w:i/>
                <w:iCs/>
                <w:sz w:val="20"/>
                <w:u w:val="single"/>
              </w:rPr>
              <w:t>Surrender</w:t>
            </w:r>
            <w:r>
              <w:rPr>
                <w:sz w:val="20"/>
              </w:rPr>
              <w:t xml:space="preserve"> – An institution seeking to surrender its fiduciary powers shall file with the OCC a certified copy of the resolution of its board of directors evidencing that intent.</w:t>
            </w:r>
          </w:p>
        </w:tc>
        <w:tc>
          <w:tcPr>
            <w:tcW w:w="1530" w:type="dxa"/>
          </w:tcPr>
          <w:p w:rsidR="00C77EEE" w:rsidRDefault="00C77EEE" w:rsidP="00DE3031">
            <w:pPr>
              <w:jc w:val="right"/>
              <w:rPr>
                <w:sz w:val="20"/>
              </w:rPr>
            </w:pPr>
            <w:r>
              <w:rPr>
                <w:sz w:val="20"/>
              </w:rPr>
              <w:t xml:space="preserve">2 </w:t>
            </w:r>
            <w:r w:rsidR="00DE3031">
              <w:rPr>
                <w:sz w:val="20"/>
              </w:rPr>
              <w:t>I</w:t>
            </w:r>
            <w:r>
              <w:rPr>
                <w:sz w:val="20"/>
              </w:rPr>
              <w:t>nstitutions</w:t>
            </w:r>
          </w:p>
        </w:tc>
        <w:tc>
          <w:tcPr>
            <w:tcW w:w="1350" w:type="dxa"/>
          </w:tcPr>
          <w:p w:rsidR="00C77EEE" w:rsidRDefault="00C77EEE" w:rsidP="00FE4406">
            <w:pPr>
              <w:jc w:val="right"/>
              <w:rPr>
                <w:sz w:val="20"/>
              </w:rPr>
            </w:pPr>
            <w:r>
              <w:rPr>
                <w:sz w:val="20"/>
              </w:rPr>
              <w:t>1</w:t>
            </w:r>
          </w:p>
        </w:tc>
        <w:tc>
          <w:tcPr>
            <w:tcW w:w="1170" w:type="dxa"/>
          </w:tcPr>
          <w:p w:rsidR="00C77EEE" w:rsidRDefault="00C77EEE" w:rsidP="00FE4406">
            <w:pPr>
              <w:jc w:val="right"/>
              <w:rPr>
                <w:sz w:val="20"/>
              </w:rPr>
            </w:pPr>
            <w:r>
              <w:rPr>
                <w:sz w:val="20"/>
              </w:rPr>
              <w:t>1</w:t>
            </w:r>
          </w:p>
        </w:tc>
        <w:tc>
          <w:tcPr>
            <w:tcW w:w="1350" w:type="dxa"/>
          </w:tcPr>
          <w:p w:rsidR="00C77EEE" w:rsidRDefault="00C77EEE" w:rsidP="00FE4406">
            <w:pPr>
              <w:jc w:val="right"/>
              <w:rPr>
                <w:sz w:val="20"/>
              </w:rPr>
            </w:pPr>
            <w:r>
              <w:rPr>
                <w:sz w:val="20"/>
              </w:rPr>
              <w:t xml:space="preserve">2 </w:t>
            </w:r>
          </w:p>
        </w:tc>
      </w:tr>
      <w:tr w:rsidR="00C77EEE" w:rsidTr="00C77EEE">
        <w:tc>
          <w:tcPr>
            <w:tcW w:w="1881" w:type="dxa"/>
          </w:tcPr>
          <w:p w:rsidR="00C77EEE" w:rsidRDefault="00C77EEE" w:rsidP="00FE4406">
            <w:pPr>
              <w:rPr>
                <w:sz w:val="20"/>
              </w:rPr>
            </w:pPr>
            <w:r>
              <w:rPr>
                <w:sz w:val="20"/>
              </w:rPr>
              <w:t xml:space="preserve">12 CFR 9.18(b)(1) </w:t>
            </w:r>
            <w:bookmarkStart w:id="2" w:name="OLE_LINK1"/>
            <w:bookmarkStart w:id="3" w:name="OLE_LINK2"/>
            <w:r>
              <w:rPr>
                <w:sz w:val="20"/>
              </w:rPr>
              <w:t>&amp; 12 CFR 150.260</w:t>
            </w:r>
            <w:bookmarkEnd w:id="2"/>
            <w:bookmarkEnd w:id="3"/>
          </w:p>
          <w:p w:rsidR="00C77EEE" w:rsidRDefault="00C77EEE" w:rsidP="00FE4406">
            <w:pPr>
              <w:rPr>
                <w:sz w:val="20"/>
              </w:rPr>
            </w:pPr>
            <w:r>
              <w:rPr>
                <w:sz w:val="20"/>
              </w:rPr>
              <w:t>Recordkeeping</w:t>
            </w:r>
          </w:p>
        </w:tc>
        <w:tc>
          <w:tcPr>
            <w:tcW w:w="2637" w:type="dxa"/>
          </w:tcPr>
          <w:p w:rsidR="00C77EEE" w:rsidRDefault="00C77EEE" w:rsidP="00FE4406">
            <w:pPr>
              <w:rPr>
                <w:sz w:val="20"/>
              </w:rPr>
            </w:pPr>
            <w:r>
              <w:rPr>
                <w:b/>
                <w:bCs/>
                <w:sz w:val="20"/>
              </w:rPr>
              <w:t>Collective investment funds:</w:t>
            </w:r>
          </w:p>
          <w:p w:rsidR="00C77EEE" w:rsidRDefault="00C77EEE" w:rsidP="00FE4406">
            <w:pPr>
              <w:rPr>
                <w:sz w:val="20"/>
              </w:rPr>
            </w:pPr>
            <w:r>
              <w:rPr>
                <w:i/>
                <w:iCs/>
                <w:sz w:val="20"/>
                <w:u w:val="single"/>
              </w:rPr>
              <w:t>Written plan</w:t>
            </w:r>
            <w:r>
              <w:rPr>
                <w:sz w:val="20"/>
              </w:rPr>
              <w:t xml:space="preserve"> – The institution shall establish and maintain each collective investment fund in accordance with a written plan.  The plan must include provisions relating to:</w:t>
            </w:r>
          </w:p>
          <w:p w:rsidR="00C77EEE" w:rsidRDefault="00C77EEE" w:rsidP="00FE4406">
            <w:pPr>
              <w:numPr>
                <w:ilvl w:val="0"/>
                <w:numId w:val="18"/>
              </w:numPr>
              <w:rPr>
                <w:sz w:val="20"/>
              </w:rPr>
            </w:pPr>
            <w:r>
              <w:rPr>
                <w:sz w:val="20"/>
              </w:rPr>
              <w:t>Investment powers and policies</w:t>
            </w:r>
          </w:p>
          <w:p w:rsidR="00C77EEE" w:rsidRDefault="00C77EEE" w:rsidP="00FE4406">
            <w:pPr>
              <w:numPr>
                <w:ilvl w:val="0"/>
                <w:numId w:val="18"/>
              </w:numPr>
              <w:rPr>
                <w:sz w:val="20"/>
              </w:rPr>
            </w:pPr>
            <w:r>
              <w:rPr>
                <w:sz w:val="20"/>
              </w:rPr>
              <w:t>Allocation of income, profits, and losses</w:t>
            </w:r>
          </w:p>
          <w:p w:rsidR="00C77EEE" w:rsidRDefault="00C77EEE" w:rsidP="00FE4406">
            <w:pPr>
              <w:numPr>
                <w:ilvl w:val="0"/>
                <w:numId w:val="18"/>
              </w:numPr>
              <w:rPr>
                <w:sz w:val="20"/>
              </w:rPr>
            </w:pPr>
            <w:r>
              <w:rPr>
                <w:sz w:val="20"/>
              </w:rPr>
              <w:t>Fees and expenses that will be charged to the fund and to participating accounts</w:t>
            </w:r>
          </w:p>
          <w:p w:rsidR="00C77EEE" w:rsidRDefault="00C77EEE" w:rsidP="00FE4406">
            <w:pPr>
              <w:numPr>
                <w:ilvl w:val="0"/>
                <w:numId w:val="18"/>
              </w:numPr>
              <w:rPr>
                <w:sz w:val="20"/>
              </w:rPr>
            </w:pPr>
            <w:r>
              <w:rPr>
                <w:sz w:val="20"/>
              </w:rPr>
              <w:t xml:space="preserve">Terms and </w:t>
            </w:r>
            <w:r>
              <w:rPr>
                <w:sz w:val="20"/>
              </w:rPr>
              <w:lastRenderedPageBreak/>
              <w:t>conditions regarding admission and withdrawal of participating accounts</w:t>
            </w:r>
          </w:p>
          <w:p w:rsidR="00C77EEE" w:rsidRDefault="00C77EEE" w:rsidP="00FE4406">
            <w:pPr>
              <w:numPr>
                <w:ilvl w:val="0"/>
                <w:numId w:val="18"/>
              </w:numPr>
              <w:rPr>
                <w:sz w:val="20"/>
              </w:rPr>
            </w:pPr>
            <w:r>
              <w:rPr>
                <w:sz w:val="20"/>
              </w:rPr>
              <w:t>Audits of participating accounts</w:t>
            </w:r>
          </w:p>
          <w:p w:rsidR="00C77EEE" w:rsidRDefault="00C77EEE" w:rsidP="00FE4406">
            <w:pPr>
              <w:numPr>
                <w:ilvl w:val="0"/>
                <w:numId w:val="18"/>
              </w:numPr>
              <w:rPr>
                <w:sz w:val="20"/>
              </w:rPr>
            </w:pPr>
            <w:r>
              <w:rPr>
                <w:sz w:val="20"/>
              </w:rPr>
              <w:t>Basis and method of valuing assets</w:t>
            </w:r>
          </w:p>
          <w:p w:rsidR="00C77EEE" w:rsidRDefault="00C77EEE" w:rsidP="00FE4406">
            <w:pPr>
              <w:numPr>
                <w:ilvl w:val="0"/>
                <w:numId w:val="18"/>
              </w:numPr>
              <w:rPr>
                <w:sz w:val="20"/>
              </w:rPr>
            </w:pPr>
            <w:r>
              <w:rPr>
                <w:sz w:val="20"/>
              </w:rPr>
              <w:t>Expected frequency for income distribution</w:t>
            </w:r>
          </w:p>
          <w:p w:rsidR="00C77EEE" w:rsidRDefault="00C77EEE" w:rsidP="00FE4406">
            <w:pPr>
              <w:numPr>
                <w:ilvl w:val="0"/>
                <w:numId w:val="18"/>
              </w:numPr>
              <w:rPr>
                <w:sz w:val="20"/>
              </w:rPr>
            </w:pPr>
            <w:r>
              <w:rPr>
                <w:sz w:val="20"/>
              </w:rPr>
              <w:t>Minimum frequency for valuation of fund assets</w:t>
            </w:r>
          </w:p>
          <w:p w:rsidR="00C77EEE" w:rsidRDefault="00C77EEE" w:rsidP="00FE4406">
            <w:pPr>
              <w:numPr>
                <w:ilvl w:val="0"/>
                <w:numId w:val="18"/>
              </w:numPr>
              <w:rPr>
                <w:sz w:val="20"/>
              </w:rPr>
            </w:pPr>
            <w:r>
              <w:rPr>
                <w:sz w:val="20"/>
              </w:rPr>
              <w:t>Amount of time following a valuation date during which the valuation must be made</w:t>
            </w:r>
          </w:p>
          <w:p w:rsidR="00C77EEE" w:rsidRDefault="00C77EEE" w:rsidP="00FE4406">
            <w:pPr>
              <w:numPr>
                <w:ilvl w:val="0"/>
                <w:numId w:val="18"/>
              </w:numPr>
              <w:rPr>
                <w:sz w:val="20"/>
              </w:rPr>
            </w:pPr>
            <w:r>
              <w:rPr>
                <w:sz w:val="20"/>
              </w:rPr>
              <w:t>Bases upon which the institution may terminate the fund</w:t>
            </w:r>
          </w:p>
          <w:p w:rsidR="00C77EEE" w:rsidRPr="003610E4" w:rsidRDefault="00C77EEE" w:rsidP="003610E4">
            <w:pPr>
              <w:numPr>
                <w:ilvl w:val="0"/>
                <w:numId w:val="18"/>
              </w:numPr>
              <w:rPr>
                <w:sz w:val="20"/>
              </w:rPr>
            </w:pPr>
            <w:r>
              <w:rPr>
                <w:sz w:val="20"/>
              </w:rPr>
              <w:t>Any other matters necessary to define clearly the rights of participating accounts</w:t>
            </w:r>
          </w:p>
        </w:tc>
        <w:tc>
          <w:tcPr>
            <w:tcW w:w="1530" w:type="dxa"/>
          </w:tcPr>
          <w:p w:rsidR="00C77EEE" w:rsidRDefault="00DE3031" w:rsidP="00FE4406">
            <w:pPr>
              <w:jc w:val="right"/>
              <w:rPr>
                <w:sz w:val="20"/>
              </w:rPr>
            </w:pPr>
            <w:r>
              <w:rPr>
                <w:sz w:val="20"/>
              </w:rPr>
              <w:lastRenderedPageBreak/>
              <w:t>57 I</w:t>
            </w:r>
            <w:r w:rsidR="00C77EEE">
              <w:rPr>
                <w:sz w:val="20"/>
              </w:rPr>
              <w:t xml:space="preserve">nstitutions </w:t>
            </w:r>
            <w:r w:rsidR="00C846BA">
              <w:rPr>
                <w:sz w:val="20"/>
              </w:rPr>
              <w:t>Managing</w:t>
            </w:r>
            <w:r w:rsidR="00C77EEE">
              <w:rPr>
                <w:sz w:val="20"/>
              </w:rPr>
              <w:t xml:space="preserve"> 1,592 Collective Investment Funds</w:t>
            </w:r>
          </w:p>
          <w:p w:rsidR="00C77EEE" w:rsidRDefault="00C77EEE" w:rsidP="00FE4406">
            <w:pPr>
              <w:jc w:val="right"/>
              <w:rPr>
                <w:sz w:val="20"/>
              </w:rPr>
            </w:pPr>
          </w:p>
          <w:p w:rsidR="00C77EEE" w:rsidRDefault="00C77EEE" w:rsidP="00FE4406">
            <w:pPr>
              <w:jc w:val="right"/>
              <w:rPr>
                <w:sz w:val="20"/>
              </w:rPr>
            </w:pPr>
            <w:r>
              <w:rPr>
                <w:sz w:val="20"/>
              </w:rPr>
              <w:t>Establish Plan (15 funds)</w:t>
            </w:r>
          </w:p>
          <w:p w:rsidR="00C77EEE" w:rsidRDefault="00C77EEE" w:rsidP="00FE4406">
            <w:pPr>
              <w:jc w:val="right"/>
              <w:rPr>
                <w:sz w:val="20"/>
              </w:rPr>
            </w:pPr>
          </w:p>
          <w:p w:rsidR="00C77EEE" w:rsidRDefault="00C77EEE" w:rsidP="00FE4406">
            <w:pPr>
              <w:jc w:val="right"/>
              <w:rPr>
                <w:sz w:val="20"/>
              </w:rPr>
            </w:pPr>
            <w:r>
              <w:rPr>
                <w:sz w:val="20"/>
              </w:rPr>
              <w:t>Maintain Plan (1,592 funds)</w:t>
            </w: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tc>
        <w:tc>
          <w:tcPr>
            <w:tcW w:w="1350" w:type="dxa"/>
          </w:tcPr>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center"/>
              <w:rPr>
                <w:sz w:val="20"/>
              </w:rPr>
            </w:pPr>
          </w:p>
          <w:p w:rsidR="00C77EEE" w:rsidRDefault="00196798" w:rsidP="0020003F">
            <w:pPr>
              <w:jc w:val="right"/>
              <w:rPr>
                <w:sz w:val="20"/>
              </w:rPr>
            </w:pPr>
            <w:r>
              <w:rPr>
                <w:sz w:val="20"/>
              </w:rPr>
              <w:t>20</w:t>
            </w:r>
          </w:p>
          <w:p w:rsidR="00C77EEE" w:rsidRDefault="00C77EEE" w:rsidP="00FE4406">
            <w:pPr>
              <w:jc w:val="right"/>
              <w:rPr>
                <w:sz w:val="20"/>
              </w:rPr>
            </w:pPr>
          </w:p>
          <w:p w:rsidR="00C77EEE" w:rsidRDefault="00C77EEE" w:rsidP="00FE4406">
            <w:pPr>
              <w:jc w:val="right"/>
              <w:rPr>
                <w:sz w:val="20"/>
              </w:rPr>
            </w:pPr>
          </w:p>
          <w:p w:rsidR="00C77EEE" w:rsidRDefault="00196798" w:rsidP="00FE4406">
            <w:pPr>
              <w:jc w:val="right"/>
              <w:rPr>
                <w:sz w:val="20"/>
              </w:rPr>
            </w:pPr>
            <w:r>
              <w:rPr>
                <w:sz w:val="20"/>
              </w:rPr>
              <w:t>.75</w:t>
            </w:r>
          </w:p>
        </w:tc>
        <w:tc>
          <w:tcPr>
            <w:tcW w:w="1170" w:type="dxa"/>
          </w:tcPr>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r>
              <w:rPr>
                <w:sz w:val="20"/>
              </w:rPr>
              <w:t>1</w:t>
            </w:r>
          </w:p>
          <w:p w:rsidR="00C77EEE" w:rsidRDefault="00C77EEE" w:rsidP="00FE4406">
            <w:pPr>
              <w:jc w:val="right"/>
              <w:rPr>
                <w:sz w:val="20"/>
              </w:rPr>
            </w:pPr>
          </w:p>
          <w:p w:rsidR="00C77EEE" w:rsidRDefault="00C77EEE" w:rsidP="00FE4406">
            <w:pPr>
              <w:jc w:val="right"/>
              <w:rPr>
                <w:sz w:val="20"/>
              </w:rPr>
            </w:pPr>
          </w:p>
          <w:p w:rsidR="00C77EEE" w:rsidRDefault="00C77EEE" w:rsidP="00C77EEE">
            <w:pPr>
              <w:jc w:val="right"/>
              <w:rPr>
                <w:sz w:val="20"/>
              </w:rPr>
            </w:pPr>
            <w:r>
              <w:rPr>
                <w:sz w:val="20"/>
              </w:rPr>
              <w:t>1</w:t>
            </w:r>
          </w:p>
        </w:tc>
        <w:tc>
          <w:tcPr>
            <w:tcW w:w="1350" w:type="dxa"/>
          </w:tcPr>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right"/>
              <w:rPr>
                <w:sz w:val="20"/>
              </w:rPr>
            </w:pPr>
          </w:p>
          <w:p w:rsidR="00C77EEE" w:rsidRDefault="00C77EEE" w:rsidP="00FE4406">
            <w:pPr>
              <w:jc w:val="center"/>
              <w:rPr>
                <w:sz w:val="20"/>
              </w:rPr>
            </w:pPr>
          </w:p>
          <w:p w:rsidR="00C77EEE" w:rsidRDefault="00196798" w:rsidP="0020003F">
            <w:pPr>
              <w:jc w:val="right"/>
              <w:rPr>
                <w:sz w:val="20"/>
              </w:rPr>
            </w:pPr>
            <w:r>
              <w:rPr>
                <w:sz w:val="20"/>
              </w:rPr>
              <w:t xml:space="preserve">300 </w:t>
            </w:r>
          </w:p>
          <w:p w:rsidR="00C77EEE" w:rsidRDefault="00C77EEE" w:rsidP="00FE4406">
            <w:pPr>
              <w:jc w:val="right"/>
              <w:rPr>
                <w:sz w:val="20"/>
              </w:rPr>
            </w:pPr>
          </w:p>
          <w:p w:rsidR="00C77EEE" w:rsidRDefault="00C77EEE" w:rsidP="00FE4406">
            <w:pPr>
              <w:jc w:val="right"/>
              <w:rPr>
                <w:sz w:val="20"/>
              </w:rPr>
            </w:pPr>
          </w:p>
          <w:p w:rsidR="00C77EEE" w:rsidRDefault="00196798" w:rsidP="00196798">
            <w:pPr>
              <w:jc w:val="right"/>
              <w:rPr>
                <w:sz w:val="20"/>
              </w:rPr>
            </w:pPr>
            <w:r>
              <w:rPr>
                <w:sz w:val="20"/>
              </w:rPr>
              <w:t>1,194</w:t>
            </w:r>
          </w:p>
        </w:tc>
      </w:tr>
      <w:tr w:rsidR="00C77EEE" w:rsidTr="00C77EEE">
        <w:tc>
          <w:tcPr>
            <w:tcW w:w="1881" w:type="dxa"/>
          </w:tcPr>
          <w:p w:rsidR="00C77EEE" w:rsidRDefault="00C77EEE" w:rsidP="00FE4406">
            <w:pPr>
              <w:rPr>
                <w:sz w:val="20"/>
              </w:rPr>
            </w:pPr>
            <w:r>
              <w:rPr>
                <w:sz w:val="20"/>
              </w:rPr>
              <w:lastRenderedPageBreak/>
              <w:t>12 CFR 9.18(b)(1)</w:t>
            </w:r>
          </w:p>
          <w:p w:rsidR="00C77EEE" w:rsidRDefault="00C77EEE" w:rsidP="00FE4406">
            <w:pPr>
              <w:rPr>
                <w:sz w:val="20"/>
              </w:rPr>
            </w:pPr>
            <w:r>
              <w:rPr>
                <w:sz w:val="20"/>
              </w:rPr>
              <w:t>&amp; 12 CFR 150.260</w:t>
            </w:r>
          </w:p>
          <w:p w:rsidR="00C77EEE" w:rsidRDefault="00C77EEE" w:rsidP="00FE4406">
            <w:pPr>
              <w:rPr>
                <w:sz w:val="20"/>
              </w:rPr>
            </w:pPr>
            <w:r>
              <w:rPr>
                <w:sz w:val="20"/>
              </w:rPr>
              <w:t>Disclosure</w:t>
            </w:r>
          </w:p>
        </w:tc>
        <w:tc>
          <w:tcPr>
            <w:tcW w:w="2637" w:type="dxa"/>
          </w:tcPr>
          <w:p w:rsidR="00C77EEE" w:rsidRDefault="00C77EEE" w:rsidP="00FE4406">
            <w:pPr>
              <w:rPr>
                <w:sz w:val="20"/>
              </w:rPr>
            </w:pPr>
            <w:r>
              <w:rPr>
                <w:b/>
                <w:bCs/>
                <w:sz w:val="20"/>
              </w:rPr>
              <w:t>Collective investment funds:</w:t>
            </w:r>
          </w:p>
          <w:p w:rsidR="00C77EEE" w:rsidRDefault="00C77EEE" w:rsidP="00FE4406">
            <w:pPr>
              <w:rPr>
                <w:sz w:val="20"/>
              </w:rPr>
            </w:pPr>
            <w:r>
              <w:rPr>
                <w:i/>
                <w:iCs/>
                <w:sz w:val="20"/>
                <w:u w:val="single"/>
              </w:rPr>
              <w:t xml:space="preserve">Written plan </w:t>
            </w:r>
            <w:r>
              <w:rPr>
                <w:sz w:val="20"/>
              </w:rPr>
              <w:t>– An institution shall make a copy of the Plan available for public inspection at its main office and shall provide a copy of the Plan to any person who requests it.</w:t>
            </w:r>
          </w:p>
        </w:tc>
        <w:tc>
          <w:tcPr>
            <w:tcW w:w="1530" w:type="dxa"/>
          </w:tcPr>
          <w:p w:rsidR="00C77EEE" w:rsidRDefault="00DE3031" w:rsidP="00FE4406">
            <w:pPr>
              <w:jc w:val="right"/>
              <w:rPr>
                <w:sz w:val="20"/>
              </w:rPr>
            </w:pPr>
            <w:r>
              <w:rPr>
                <w:sz w:val="20"/>
              </w:rPr>
              <w:t>1,592 F</w:t>
            </w:r>
            <w:r w:rsidR="00C77EEE">
              <w:rPr>
                <w:sz w:val="20"/>
              </w:rPr>
              <w:t>unds</w:t>
            </w:r>
          </w:p>
        </w:tc>
        <w:tc>
          <w:tcPr>
            <w:tcW w:w="1350" w:type="dxa"/>
          </w:tcPr>
          <w:p w:rsidR="00C77EEE" w:rsidRDefault="00C77EEE" w:rsidP="00FE4406">
            <w:pPr>
              <w:jc w:val="right"/>
              <w:rPr>
                <w:sz w:val="20"/>
              </w:rPr>
            </w:pPr>
            <w:r>
              <w:rPr>
                <w:sz w:val="20"/>
              </w:rPr>
              <w:t xml:space="preserve">.25 </w:t>
            </w:r>
          </w:p>
        </w:tc>
        <w:tc>
          <w:tcPr>
            <w:tcW w:w="1170" w:type="dxa"/>
          </w:tcPr>
          <w:p w:rsidR="00C77EEE" w:rsidRDefault="00C77EEE" w:rsidP="00FE4406">
            <w:pPr>
              <w:jc w:val="right"/>
              <w:rPr>
                <w:sz w:val="20"/>
              </w:rPr>
            </w:pPr>
            <w:r>
              <w:rPr>
                <w:sz w:val="20"/>
              </w:rPr>
              <w:t>1</w:t>
            </w:r>
          </w:p>
        </w:tc>
        <w:tc>
          <w:tcPr>
            <w:tcW w:w="1350" w:type="dxa"/>
          </w:tcPr>
          <w:p w:rsidR="00C77EEE" w:rsidRDefault="00C77EEE" w:rsidP="00FE4406">
            <w:pPr>
              <w:jc w:val="right"/>
              <w:rPr>
                <w:sz w:val="20"/>
              </w:rPr>
            </w:pPr>
            <w:r>
              <w:rPr>
                <w:sz w:val="20"/>
              </w:rPr>
              <w:t>398</w:t>
            </w:r>
          </w:p>
        </w:tc>
      </w:tr>
      <w:tr w:rsidR="00C77EEE" w:rsidTr="00C77EEE">
        <w:tc>
          <w:tcPr>
            <w:tcW w:w="1881" w:type="dxa"/>
          </w:tcPr>
          <w:p w:rsidR="00C77EEE" w:rsidRDefault="00C77EEE" w:rsidP="00FE4406">
            <w:pPr>
              <w:rPr>
                <w:sz w:val="20"/>
              </w:rPr>
            </w:pPr>
            <w:r>
              <w:rPr>
                <w:sz w:val="20"/>
              </w:rPr>
              <w:t>12 CFR 9.18(b)(4)(iii)(E)</w:t>
            </w:r>
          </w:p>
          <w:p w:rsidR="0042112B" w:rsidRDefault="0042112B" w:rsidP="00FE4406">
            <w:pPr>
              <w:rPr>
                <w:sz w:val="20"/>
              </w:rPr>
            </w:pPr>
            <w:r>
              <w:rPr>
                <w:sz w:val="20"/>
              </w:rPr>
              <w:t>Recordkeeping</w:t>
            </w:r>
          </w:p>
        </w:tc>
        <w:tc>
          <w:tcPr>
            <w:tcW w:w="2637" w:type="dxa"/>
          </w:tcPr>
          <w:p w:rsidR="00C77EEE" w:rsidRDefault="00C77EEE" w:rsidP="0055601B">
            <w:pPr>
              <w:rPr>
                <w:sz w:val="20"/>
              </w:rPr>
            </w:pPr>
            <w:r>
              <w:rPr>
                <w:b/>
                <w:bCs/>
                <w:sz w:val="20"/>
              </w:rPr>
              <w:t>Collective investment funds:</w:t>
            </w:r>
          </w:p>
          <w:p w:rsidR="00C77EEE" w:rsidRPr="0055601B" w:rsidRDefault="00C77EEE" w:rsidP="00FE4406">
            <w:pPr>
              <w:rPr>
                <w:bCs/>
                <w:sz w:val="20"/>
              </w:rPr>
            </w:pPr>
            <w:r>
              <w:rPr>
                <w:bCs/>
                <w:sz w:val="20"/>
              </w:rPr>
              <w:t>Adopt portfolio and issuer qualitative standards and concentration restrictions.</w:t>
            </w:r>
          </w:p>
        </w:tc>
        <w:tc>
          <w:tcPr>
            <w:tcW w:w="1530" w:type="dxa"/>
          </w:tcPr>
          <w:p w:rsidR="00C77EEE" w:rsidRDefault="002C3D07" w:rsidP="00FE4406">
            <w:pPr>
              <w:jc w:val="right"/>
              <w:rPr>
                <w:sz w:val="20"/>
              </w:rPr>
            </w:pPr>
            <w:r>
              <w:rPr>
                <w:sz w:val="20"/>
              </w:rPr>
              <w:t>15</w:t>
            </w:r>
            <w:r w:rsidR="00FB2F23">
              <w:rPr>
                <w:sz w:val="20"/>
              </w:rPr>
              <w:t xml:space="preserve"> Respondents</w:t>
            </w:r>
          </w:p>
          <w:p w:rsidR="00FB2F23" w:rsidRDefault="00C846BA" w:rsidP="00FE4406">
            <w:pPr>
              <w:jc w:val="right"/>
              <w:rPr>
                <w:sz w:val="20"/>
              </w:rPr>
            </w:pPr>
            <w:r>
              <w:rPr>
                <w:sz w:val="20"/>
              </w:rPr>
              <w:t>Managing</w:t>
            </w:r>
          </w:p>
          <w:p w:rsidR="00FB2F23" w:rsidRDefault="002C3D07" w:rsidP="00FE4406">
            <w:pPr>
              <w:jc w:val="right"/>
              <w:rPr>
                <w:sz w:val="20"/>
              </w:rPr>
            </w:pPr>
            <w:r>
              <w:rPr>
                <w:sz w:val="20"/>
              </w:rPr>
              <w:t>34</w:t>
            </w:r>
            <w:r w:rsidR="00FB2F23">
              <w:rPr>
                <w:sz w:val="20"/>
              </w:rPr>
              <w:t xml:space="preserve"> Funds</w:t>
            </w:r>
          </w:p>
        </w:tc>
        <w:tc>
          <w:tcPr>
            <w:tcW w:w="1350" w:type="dxa"/>
          </w:tcPr>
          <w:p w:rsidR="00C77EEE" w:rsidRDefault="002272FF" w:rsidP="00FE4406">
            <w:pPr>
              <w:jc w:val="right"/>
              <w:rPr>
                <w:sz w:val="20"/>
              </w:rPr>
            </w:pPr>
            <w:r>
              <w:rPr>
                <w:sz w:val="20"/>
              </w:rPr>
              <w:t>20</w:t>
            </w:r>
          </w:p>
        </w:tc>
        <w:tc>
          <w:tcPr>
            <w:tcW w:w="1170" w:type="dxa"/>
          </w:tcPr>
          <w:p w:rsidR="00C77EEE" w:rsidRDefault="00C77EEE" w:rsidP="00FE4406">
            <w:pPr>
              <w:jc w:val="right"/>
              <w:rPr>
                <w:sz w:val="20"/>
              </w:rPr>
            </w:pPr>
            <w:r>
              <w:rPr>
                <w:sz w:val="20"/>
              </w:rPr>
              <w:t>1</w:t>
            </w:r>
          </w:p>
        </w:tc>
        <w:tc>
          <w:tcPr>
            <w:tcW w:w="1350" w:type="dxa"/>
          </w:tcPr>
          <w:p w:rsidR="00C77EEE" w:rsidRDefault="002C3D07" w:rsidP="00FE4406">
            <w:pPr>
              <w:jc w:val="right"/>
              <w:rPr>
                <w:sz w:val="20"/>
              </w:rPr>
            </w:pPr>
            <w:r>
              <w:rPr>
                <w:sz w:val="20"/>
              </w:rPr>
              <w:t>68</w:t>
            </w:r>
            <w:r w:rsidR="002272FF">
              <w:rPr>
                <w:sz w:val="20"/>
              </w:rPr>
              <w:t>0</w:t>
            </w:r>
          </w:p>
        </w:tc>
      </w:tr>
      <w:tr w:rsidR="00FB2F23" w:rsidTr="00C77EEE">
        <w:tc>
          <w:tcPr>
            <w:tcW w:w="1881" w:type="dxa"/>
            <w:shd w:val="clear" w:color="auto" w:fill="auto"/>
          </w:tcPr>
          <w:p w:rsidR="00FB2F23" w:rsidRDefault="00FB2F23" w:rsidP="00FE4406">
            <w:pPr>
              <w:rPr>
                <w:sz w:val="20"/>
              </w:rPr>
            </w:pPr>
            <w:r>
              <w:rPr>
                <w:sz w:val="20"/>
              </w:rPr>
              <w:t>12 CFR 9.18(b)(4)(iii)(F)</w:t>
            </w:r>
          </w:p>
          <w:p w:rsidR="0042112B" w:rsidRDefault="0042112B" w:rsidP="00FE4406">
            <w:pPr>
              <w:rPr>
                <w:sz w:val="20"/>
              </w:rPr>
            </w:pPr>
            <w:r>
              <w:rPr>
                <w:sz w:val="20"/>
              </w:rPr>
              <w:t>Recordkeeping</w:t>
            </w:r>
          </w:p>
        </w:tc>
        <w:tc>
          <w:tcPr>
            <w:tcW w:w="2637" w:type="dxa"/>
            <w:shd w:val="clear" w:color="auto" w:fill="auto"/>
          </w:tcPr>
          <w:p w:rsidR="00FB2F23" w:rsidRDefault="00FB2F23" w:rsidP="0055601B">
            <w:pPr>
              <w:rPr>
                <w:sz w:val="20"/>
              </w:rPr>
            </w:pPr>
            <w:r>
              <w:rPr>
                <w:b/>
                <w:bCs/>
                <w:sz w:val="20"/>
              </w:rPr>
              <w:t>Collective investment funds:</w:t>
            </w:r>
          </w:p>
          <w:p w:rsidR="00FB2F23" w:rsidRPr="0055601B" w:rsidRDefault="00FB2F23" w:rsidP="0055601B">
            <w:pPr>
              <w:rPr>
                <w:bCs/>
                <w:sz w:val="20"/>
              </w:rPr>
            </w:pPr>
            <w:r>
              <w:rPr>
                <w:bCs/>
                <w:sz w:val="20"/>
              </w:rPr>
              <w:t>Adopt liquidity standards and include provisions that address contingency funding needs.</w:t>
            </w:r>
          </w:p>
        </w:tc>
        <w:tc>
          <w:tcPr>
            <w:tcW w:w="1530" w:type="dxa"/>
            <w:shd w:val="clear" w:color="auto" w:fill="auto"/>
          </w:tcPr>
          <w:p w:rsidR="00FB2F23" w:rsidRDefault="001860DF"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1860DF" w:rsidP="003D7B7B">
            <w:pPr>
              <w:jc w:val="right"/>
              <w:rPr>
                <w:sz w:val="20"/>
              </w:rPr>
            </w:pPr>
            <w:r>
              <w:rPr>
                <w:sz w:val="20"/>
              </w:rPr>
              <w:t>34</w:t>
            </w:r>
            <w:r w:rsidR="00FB2F23">
              <w:rPr>
                <w:sz w:val="20"/>
              </w:rPr>
              <w:t xml:space="preserve"> Funds</w:t>
            </w:r>
          </w:p>
        </w:tc>
        <w:tc>
          <w:tcPr>
            <w:tcW w:w="1350" w:type="dxa"/>
            <w:shd w:val="clear" w:color="auto" w:fill="auto"/>
          </w:tcPr>
          <w:p w:rsidR="00FB2F23" w:rsidRDefault="002272FF" w:rsidP="00FE4406">
            <w:pPr>
              <w:jc w:val="right"/>
              <w:rPr>
                <w:sz w:val="20"/>
              </w:rPr>
            </w:pPr>
            <w:r>
              <w:rPr>
                <w:sz w:val="20"/>
              </w:rPr>
              <w:t>20</w:t>
            </w:r>
          </w:p>
        </w:tc>
        <w:tc>
          <w:tcPr>
            <w:tcW w:w="1170" w:type="dxa"/>
          </w:tcPr>
          <w:p w:rsidR="00FB2F23" w:rsidRDefault="00FB2F23" w:rsidP="00FE4406">
            <w:pPr>
              <w:jc w:val="right"/>
              <w:rPr>
                <w:sz w:val="20"/>
              </w:rPr>
            </w:pPr>
            <w:r>
              <w:rPr>
                <w:sz w:val="20"/>
              </w:rPr>
              <w:t>1</w:t>
            </w:r>
          </w:p>
        </w:tc>
        <w:tc>
          <w:tcPr>
            <w:tcW w:w="1350" w:type="dxa"/>
            <w:shd w:val="clear" w:color="auto" w:fill="auto"/>
          </w:tcPr>
          <w:p w:rsidR="00FB2F23" w:rsidRDefault="001860DF" w:rsidP="00FE4406">
            <w:pPr>
              <w:jc w:val="right"/>
              <w:rPr>
                <w:sz w:val="20"/>
              </w:rPr>
            </w:pPr>
            <w:r>
              <w:rPr>
                <w:sz w:val="20"/>
              </w:rPr>
              <w:t>68</w:t>
            </w:r>
            <w:r w:rsidR="002272FF">
              <w:rPr>
                <w:sz w:val="20"/>
              </w:rPr>
              <w:t>0</w:t>
            </w:r>
          </w:p>
        </w:tc>
      </w:tr>
      <w:tr w:rsidR="00FB2F23" w:rsidTr="00C77EEE">
        <w:tc>
          <w:tcPr>
            <w:tcW w:w="1881" w:type="dxa"/>
            <w:shd w:val="clear" w:color="auto" w:fill="auto"/>
          </w:tcPr>
          <w:p w:rsidR="00FB2F23" w:rsidRDefault="00FB2F23" w:rsidP="00FE4406">
            <w:pPr>
              <w:rPr>
                <w:sz w:val="20"/>
              </w:rPr>
            </w:pPr>
            <w:r>
              <w:rPr>
                <w:sz w:val="20"/>
              </w:rPr>
              <w:t>12 CFR 9.18(b)(4)(iii)(G)</w:t>
            </w:r>
          </w:p>
          <w:p w:rsidR="0042112B" w:rsidRDefault="0042112B" w:rsidP="00FE4406">
            <w:pPr>
              <w:rPr>
                <w:sz w:val="20"/>
              </w:rPr>
            </w:pPr>
            <w:r>
              <w:rPr>
                <w:sz w:val="20"/>
              </w:rPr>
              <w:t>Recordkeeping</w:t>
            </w:r>
          </w:p>
        </w:tc>
        <w:tc>
          <w:tcPr>
            <w:tcW w:w="2637" w:type="dxa"/>
            <w:shd w:val="clear" w:color="auto" w:fill="auto"/>
          </w:tcPr>
          <w:p w:rsidR="00FB2F23" w:rsidRDefault="00FB2F23" w:rsidP="00FE4406">
            <w:pPr>
              <w:rPr>
                <w:b/>
                <w:bCs/>
                <w:sz w:val="20"/>
              </w:rPr>
            </w:pPr>
            <w:r>
              <w:rPr>
                <w:b/>
                <w:bCs/>
                <w:sz w:val="20"/>
              </w:rPr>
              <w:t>Collective investment funds:</w:t>
            </w:r>
          </w:p>
          <w:p w:rsidR="00FB2F23" w:rsidRPr="00BE142D" w:rsidRDefault="00FB2F23" w:rsidP="00FE4406">
            <w:pPr>
              <w:rPr>
                <w:bCs/>
                <w:sz w:val="20"/>
              </w:rPr>
            </w:pPr>
            <w:r>
              <w:rPr>
                <w:bCs/>
                <w:sz w:val="20"/>
              </w:rPr>
              <w:t xml:space="preserve">Adopt shadow pricing </w:t>
            </w:r>
            <w:r>
              <w:rPr>
                <w:bCs/>
                <w:sz w:val="20"/>
              </w:rPr>
              <w:lastRenderedPageBreak/>
              <w:t>procedures.</w:t>
            </w:r>
          </w:p>
        </w:tc>
        <w:tc>
          <w:tcPr>
            <w:tcW w:w="1530" w:type="dxa"/>
            <w:shd w:val="clear" w:color="auto" w:fill="auto"/>
          </w:tcPr>
          <w:p w:rsidR="00FB2F23" w:rsidRDefault="001860DF" w:rsidP="003D7B7B">
            <w:pPr>
              <w:jc w:val="right"/>
              <w:rPr>
                <w:sz w:val="20"/>
              </w:rPr>
            </w:pPr>
            <w:r>
              <w:rPr>
                <w:sz w:val="20"/>
              </w:rPr>
              <w:lastRenderedPageBreak/>
              <w:t>15</w:t>
            </w:r>
            <w:r w:rsidR="00FB2F23">
              <w:rPr>
                <w:sz w:val="20"/>
              </w:rPr>
              <w:t xml:space="preserve"> Respondents</w:t>
            </w:r>
          </w:p>
          <w:p w:rsidR="00FB2F23" w:rsidRDefault="00C846BA" w:rsidP="003D7B7B">
            <w:pPr>
              <w:jc w:val="right"/>
              <w:rPr>
                <w:sz w:val="20"/>
              </w:rPr>
            </w:pPr>
            <w:r>
              <w:rPr>
                <w:sz w:val="20"/>
              </w:rPr>
              <w:t>Managing</w:t>
            </w:r>
          </w:p>
          <w:p w:rsidR="00FB2F23" w:rsidRDefault="001860DF" w:rsidP="003D7B7B">
            <w:pPr>
              <w:jc w:val="right"/>
              <w:rPr>
                <w:sz w:val="20"/>
              </w:rPr>
            </w:pPr>
            <w:r>
              <w:rPr>
                <w:sz w:val="20"/>
              </w:rPr>
              <w:t>34</w:t>
            </w:r>
            <w:r w:rsidR="00FB2F23">
              <w:rPr>
                <w:sz w:val="20"/>
              </w:rPr>
              <w:t xml:space="preserve"> Funds</w:t>
            </w:r>
          </w:p>
        </w:tc>
        <w:tc>
          <w:tcPr>
            <w:tcW w:w="1350" w:type="dxa"/>
            <w:shd w:val="clear" w:color="auto" w:fill="auto"/>
          </w:tcPr>
          <w:p w:rsidR="00FB2F23" w:rsidRDefault="002272FF" w:rsidP="00C77EEE">
            <w:pPr>
              <w:jc w:val="right"/>
              <w:rPr>
                <w:sz w:val="20"/>
              </w:rPr>
            </w:pPr>
            <w:r>
              <w:rPr>
                <w:sz w:val="20"/>
              </w:rPr>
              <w:t>20</w:t>
            </w:r>
          </w:p>
        </w:tc>
        <w:tc>
          <w:tcPr>
            <w:tcW w:w="1170" w:type="dxa"/>
          </w:tcPr>
          <w:p w:rsidR="00FB2F23" w:rsidRDefault="00FB2F23" w:rsidP="00C77EEE">
            <w:pPr>
              <w:jc w:val="right"/>
              <w:rPr>
                <w:sz w:val="20"/>
              </w:rPr>
            </w:pPr>
            <w:r>
              <w:rPr>
                <w:sz w:val="20"/>
              </w:rPr>
              <w:t>1</w:t>
            </w:r>
          </w:p>
        </w:tc>
        <w:tc>
          <w:tcPr>
            <w:tcW w:w="1350" w:type="dxa"/>
            <w:shd w:val="clear" w:color="auto" w:fill="auto"/>
          </w:tcPr>
          <w:p w:rsidR="00FB2F23" w:rsidRDefault="001860DF" w:rsidP="00C77EEE">
            <w:pPr>
              <w:jc w:val="right"/>
              <w:rPr>
                <w:sz w:val="20"/>
              </w:rPr>
            </w:pPr>
            <w:r>
              <w:rPr>
                <w:sz w:val="20"/>
              </w:rPr>
              <w:t>68</w:t>
            </w:r>
            <w:r w:rsidR="002272FF">
              <w:rPr>
                <w:sz w:val="20"/>
              </w:rPr>
              <w:t>0</w:t>
            </w:r>
          </w:p>
        </w:tc>
      </w:tr>
      <w:tr w:rsidR="00FB2F23" w:rsidTr="00C77EEE">
        <w:tc>
          <w:tcPr>
            <w:tcW w:w="1881" w:type="dxa"/>
          </w:tcPr>
          <w:p w:rsidR="00FB2F23" w:rsidRDefault="00FB2F23" w:rsidP="00FE4406">
            <w:pPr>
              <w:rPr>
                <w:sz w:val="20"/>
              </w:rPr>
            </w:pPr>
            <w:r>
              <w:rPr>
                <w:sz w:val="20"/>
              </w:rPr>
              <w:lastRenderedPageBreak/>
              <w:t>12 CFR 9.18(b)(4)(iii)(H)</w:t>
            </w:r>
          </w:p>
        </w:tc>
        <w:tc>
          <w:tcPr>
            <w:tcW w:w="2637" w:type="dxa"/>
          </w:tcPr>
          <w:p w:rsidR="00FB2F23" w:rsidRDefault="00FB2F23" w:rsidP="00BE142D">
            <w:pPr>
              <w:rPr>
                <w:b/>
                <w:bCs/>
                <w:sz w:val="20"/>
              </w:rPr>
            </w:pPr>
            <w:r>
              <w:rPr>
                <w:b/>
                <w:bCs/>
                <w:sz w:val="20"/>
              </w:rPr>
              <w:t>Collective investment funds:</w:t>
            </w:r>
          </w:p>
          <w:p w:rsidR="00FB2F23" w:rsidRPr="00BE142D" w:rsidRDefault="00FB2F23" w:rsidP="00FE4406">
            <w:pPr>
              <w:rPr>
                <w:bCs/>
                <w:sz w:val="20"/>
              </w:rPr>
            </w:pPr>
            <w:r>
              <w:rPr>
                <w:bCs/>
                <w:sz w:val="20"/>
              </w:rPr>
              <w:t>Adopt procedures for stress testing of the STIF’s ability to maintain a stable net asset value per participating interest; conduct tests</w:t>
            </w:r>
          </w:p>
        </w:tc>
        <w:tc>
          <w:tcPr>
            <w:tcW w:w="1530" w:type="dxa"/>
          </w:tcPr>
          <w:p w:rsidR="00FB2F23" w:rsidRDefault="00FB2F23" w:rsidP="00FE4406">
            <w:pPr>
              <w:jc w:val="right"/>
              <w:rPr>
                <w:sz w:val="20"/>
              </w:rPr>
            </w:pPr>
          </w:p>
        </w:tc>
        <w:tc>
          <w:tcPr>
            <w:tcW w:w="1350" w:type="dxa"/>
          </w:tcPr>
          <w:p w:rsidR="00FB2F23" w:rsidRDefault="00FB2F23" w:rsidP="00FE4406">
            <w:pPr>
              <w:jc w:val="right"/>
              <w:rPr>
                <w:sz w:val="20"/>
              </w:rPr>
            </w:pPr>
          </w:p>
        </w:tc>
        <w:tc>
          <w:tcPr>
            <w:tcW w:w="1170" w:type="dxa"/>
          </w:tcPr>
          <w:p w:rsidR="00FB2F23" w:rsidRDefault="00FB2F23" w:rsidP="00FE4406">
            <w:pPr>
              <w:jc w:val="center"/>
              <w:rPr>
                <w:sz w:val="20"/>
              </w:rPr>
            </w:pPr>
          </w:p>
        </w:tc>
        <w:tc>
          <w:tcPr>
            <w:tcW w:w="1350" w:type="dxa"/>
          </w:tcPr>
          <w:p w:rsidR="00FB2F23" w:rsidRDefault="00FB2F23" w:rsidP="00FE4406">
            <w:pPr>
              <w:jc w:val="center"/>
              <w:rPr>
                <w:sz w:val="20"/>
              </w:rPr>
            </w:pPr>
          </w:p>
        </w:tc>
      </w:tr>
      <w:tr w:rsidR="00FB2F23" w:rsidTr="00C77EEE">
        <w:tc>
          <w:tcPr>
            <w:tcW w:w="1881" w:type="dxa"/>
          </w:tcPr>
          <w:p w:rsidR="00FB2F23" w:rsidRDefault="0042112B" w:rsidP="00FE4406">
            <w:pPr>
              <w:rPr>
                <w:sz w:val="20"/>
              </w:rPr>
            </w:pPr>
            <w:r>
              <w:rPr>
                <w:sz w:val="20"/>
              </w:rPr>
              <w:t>Recordkeeping</w:t>
            </w:r>
          </w:p>
        </w:tc>
        <w:tc>
          <w:tcPr>
            <w:tcW w:w="2637" w:type="dxa"/>
          </w:tcPr>
          <w:p w:rsidR="00FB2F23" w:rsidRPr="00C77EEE" w:rsidRDefault="00FB2F23" w:rsidP="00BE142D">
            <w:pPr>
              <w:rPr>
                <w:bCs/>
                <w:sz w:val="20"/>
              </w:rPr>
            </w:pPr>
            <w:r>
              <w:rPr>
                <w:bCs/>
                <w:sz w:val="20"/>
              </w:rPr>
              <w:t>Develop procedures</w:t>
            </w:r>
          </w:p>
        </w:tc>
        <w:tc>
          <w:tcPr>
            <w:tcW w:w="1530" w:type="dxa"/>
          </w:tcPr>
          <w:p w:rsidR="00FB2F23" w:rsidRDefault="001860DF"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1860DF"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80</w:t>
            </w:r>
          </w:p>
        </w:tc>
        <w:tc>
          <w:tcPr>
            <w:tcW w:w="1170" w:type="dxa"/>
          </w:tcPr>
          <w:p w:rsidR="00FB2F23" w:rsidRDefault="00FB2F23" w:rsidP="00C77EEE">
            <w:pPr>
              <w:jc w:val="right"/>
              <w:rPr>
                <w:sz w:val="20"/>
              </w:rPr>
            </w:pPr>
            <w:r>
              <w:rPr>
                <w:sz w:val="20"/>
              </w:rPr>
              <w:t>1</w:t>
            </w:r>
          </w:p>
        </w:tc>
        <w:tc>
          <w:tcPr>
            <w:tcW w:w="1350" w:type="dxa"/>
          </w:tcPr>
          <w:p w:rsidR="00FB2F23" w:rsidRDefault="001860DF" w:rsidP="00C77EEE">
            <w:pPr>
              <w:jc w:val="right"/>
              <w:rPr>
                <w:sz w:val="20"/>
              </w:rPr>
            </w:pPr>
            <w:r>
              <w:rPr>
                <w:sz w:val="20"/>
              </w:rPr>
              <w:t>2,72</w:t>
            </w:r>
            <w:r w:rsidR="00FB2F23">
              <w:rPr>
                <w:sz w:val="20"/>
              </w:rPr>
              <w:t>0</w:t>
            </w:r>
          </w:p>
        </w:tc>
      </w:tr>
      <w:tr w:rsidR="00FB2F23" w:rsidTr="00C77EEE">
        <w:tc>
          <w:tcPr>
            <w:tcW w:w="1881" w:type="dxa"/>
          </w:tcPr>
          <w:p w:rsidR="00FB2F23" w:rsidRDefault="0042112B" w:rsidP="00FE4406">
            <w:pPr>
              <w:rPr>
                <w:sz w:val="20"/>
              </w:rPr>
            </w:pPr>
            <w:r>
              <w:rPr>
                <w:sz w:val="20"/>
              </w:rPr>
              <w:t>Recordkeeping</w:t>
            </w:r>
          </w:p>
        </w:tc>
        <w:tc>
          <w:tcPr>
            <w:tcW w:w="2637" w:type="dxa"/>
          </w:tcPr>
          <w:p w:rsidR="00FB2F23" w:rsidRPr="00C77EEE" w:rsidRDefault="00FB2F23" w:rsidP="00BE142D">
            <w:pPr>
              <w:rPr>
                <w:bCs/>
                <w:sz w:val="20"/>
              </w:rPr>
            </w:pPr>
            <w:r>
              <w:rPr>
                <w:bCs/>
                <w:sz w:val="20"/>
              </w:rPr>
              <w:t>Conduct stress tests</w:t>
            </w:r>
          </w:p>
        </w:tc>
        <w:tc>
          <w:tcPr>
            <w:tcW w:w="1530" w:type="dxa"/>
          </w:tcPr>
          <w:p w:rsidR="00FB2F23" w:rsidRDefault="0078420D"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78420D"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25</w:t>
            </w:r>
          </w:p>
        </w:tc>
        <w:tc>
          <w:tcPr>
            <w:tcW w:w="1170" w:type="dxa"/>
          </w:tcPr>
          <w:p w:rsidR="00FB2F23" w:rsidRDefault="002272FF" w:rsidP="00C77EEE">
            <w:pPr>
              <w:jc w:val="right"/>
              <w:rPr>
                <w:sz w:val="20"/>
              </w:rPr>
            </w:pPr>
            <w:r>
              <w:rPr>
                <w:sz w:val="20"/>
              </w:rPr>
              <w:t>12</w:t>
            </w:r>
          </w:p>
        </w:tc>
        <w:tc>
          <w:tcPr>
            <w:tcW w:w="1350" w:type="dxa"/>
          </w:tcPr>
          <w:p w:rsidR="00FB2F23" w:rsidRDefault="0078420D" w:rsidP="00C77EEE">
            <w:pPr>
              <w:jc w:val="right"/>
              <w:rPr>
                <w:sz w:val="20"/>
              </w:rPr>
            </w:pPr>
            <w:r>
              <w:rPr>
                <w:sz w:val="20"/>
              </w:rPr>
              <w:t>10,2</w:t>
            </w:r>
            <w:r w:rsidR="002272FF">
              <w:rPr>
                <w:sz w:val="20"/>
              </w:rPr>
              <w:t>00</w:t>
            </w:r>
          </w:p>
        </w:tc>
      </w:tr>
      <w:tr w:rsidR="00FB2F23" w:rsidTr="00C77EEE">
        <w:tc>
          <w:tcPr>
            <w:tcW w:w="1881" w:type="dxa"/>
          </w:tcPr>
          <w:p w:rsidR="00FB2F23" w:rsidRDefault="0042112B" w:rsidP="00FE4406">
            <w:pPr>
              <w:rPr>
                <w:sz w:val="20"/>
              </w:rPr>
            </w:pPr>
            <w:r>
              <w:rPr>
                <w:sz w:val="20"/>
              </w:rPr>
              <w:t>Reporting</w:t>
            </w:r>
          </w:p>
        </w:tc>
        <w:tc>
          <w:tcPr>
            <w:tcW w:w="2637" w:type="dxa"/>
          </w:tcPr>
          <w:p w:rsidR="00FB2F23" w:rsidRPr="00C77EEE" w:rsidRDefault="00FB2F23" w:rsidP="00BE142D">
            <w:pPr>
              <w:rPr>
                <w:bCs/>
                <w:sz w:val="20"/>
              </w:rPr>
            </w:pPr>
            <w:r>
              <w:rPr>
                <w:bCs/>
                <w:sz w:val="20"/>
              </w:rPr>
              <w:t>Draft report</w:t>
            </w:r>
          </w:p>
        </w:tc>
        <w:tc>
          <w:tcPr>
            <w:tcW w:w="1530" w:type="dxa"/>
          </w:tcPr>
          <w:p w:rsidR="00FB2F23" w:rsidRDefault="0078420D"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78420D" w:rsidP="003D7B7B">
            <w:pPr>
              <w:jc w:val="right"/>
              <w:rPr>
                <w:sz w:val="20"/>
              </w:rPr>
            </w:pPr>
            <w:r>
              <w:rPr>
                <w:sz w:val="20"/>
              </w:rPr>
              <w:t>34</w:t>
            </w:r>
            <w:r w:rsidR="00FB2F23">
              <w:rPr>
                <w:sz w:val="20"/>
              </w:rPr>
              <w:t xml:space="preserve"> Funds</w:t>
            </w:r>
          </w:p>
        </w:tc>
        <w:tc>
          <w:tcPr>
            <w:tcW w:w="1350" w:type="dxa"/>
          </w:tcPr>
          <w:p w:rsidR="00FB2F23" w:rsidRDefault="002272FF" w:rsidP="00FE4406">
            <w:pPr>
              <w:jc w:val="right"/>
              <w:rPr>
                <w:sz w:val="20"/>
              </w:rPr>
            </w:pPr>
            <w:r>
              <w:rPr>
                <w:sz w:val="20"/>
              </w:rPr>
              <w:t>12</w:t>
            </w:r>
          </w:p>
        </w:tc>
        <w:tc>
          <w:tcPr>
            <w:tcW w:w="1170" w:type="dxa"/>
          </w:tcPr>
          <w:p w:rsidR="00FB2F23" w:rsidRDefault="002272FF" w:rsidP="00C77EEE">
            <w:pPr>
              <w:jc w:val="right"/>
              <w:rPr>
                <w:sz w:val="20"/>
              </w:rPr>
            </w:pPr>
            <w:r>
              <w:rPr>
                <w:sz w:val="20"/>
              </w:rPr>
              <w:t>12</w:t>
            </w:r>
          </w:p>
        </w:tc>
        <w:tc>
          <w:tcPr>
            <w:tcW w:w="1350" w:type="dxa"/>
          </w:tcPr>
          <w:p w:rsidR="00FB2F23" w:rsidRDefault="0078420D" w:rsidP="00C77EEE">
            <w:pPr>
              <w:jc w:val="right"/>
              <w:rPr>
                <w:sz w:val="20"/>
              </w:rPr>
            </w:pPr>
            <w:r>
              <w:rPr>
                <w:sz w:val="20"/>
              </w:rPr>
              <w:t>4,896</w:t>
            </w:r>
          </w:p>
        </w:tc>
      </w:tr>
      <w:tr w:rsidR="00FB2F23" w:rsidTr="00C77EEE">
        <w:tc>
          <w:tcPr>
            <w:tcW w:w="1881" w:type="dxa"/>
          </w:tcPr>
          <w:p w:rsidR="00FB2F23" w:rsidRDefault="0042112B" w:rsidP="00FE4406">
            <w:pPr>
              <w:rPr>
                <w:sz w:val="20"/>
              </w:rPr>
            </w:pPr>
            <w:r>
              <w:rPr>
                <w:sz w:val="20"/>
              </w:rPr>
              <w:t>Reporting</w:t>
            </w:r>
          </w:p>
        </w:tc>
        <w:tc>
          <w:tcPr>
            <w:tcW w:w="2637" w:type="dxa"/>
          </w:tcPr>
          <w:p w:rsidR="00FB2F23" w:rsidRPr="00C77EEE" w:rsidRDefault="00FB2F23" w:rsidP="00BE142D">
            <w:pPr>
              <w:rPr>
                <w:bCs/>
                <w:sz w:val="20"/>
              </w:rPr>
            </w:pPr>
            <w:r>
              <w:rPr>
                <w:bCs/>
                <w:sz w:val="20"/>
              </w:rPr>
              <w:t>Review of report by Risk Manager</w:t>
            </w:r>
          </w:p>
        </w:tc>
        <w:tc>
          <w:tcPr>
            <w:tcW w:w="1530" w:type="dxa"/>
          </w:tcPr>
          <w:p w:rsidR="00FB2F23" w:rsidRDefault="0078420D"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78420D"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8</w:t>
            </w:r>
          </w:p>
        </w:tc>
        <w:tc>
          <w:tcPr>
            <w:tcW w:w="1170" w:type="dxa"/>
          </w:tcPr>
          <w:p w:rsidR="00FB2F23" w:rsidRDefault="002272FF" w:rsidP="00C77EEE">
            <w:pPr>
              <w:jc w:val="right"/>
              <w:rPr>
                <w:sz w:val="20"/>
              </w:rPr>
            </w:pPr>
            <w:r>
              <w:rPr>
                <w:sz w:val="20"/>
              </w:rPr>
              <w:t>12</w:t>
            </w:r>
          </w:p>
        </w:tc>
        <w:tc>
          <w:tcPr>
            <w:tcW w:w="1350" w:type="dxa"/>
          </w:tcPr>
          <w:p w:rsidR="00FB2F23" w:rsidRDefault="002272FF" w:rsidP="00C77EEE">
            <w:pPr>
              <w:jc w:val="right"/>
              <w:rPr>
                <w:sz w:val="20"/>
              </w:rPr>
            </w:pPr>
            <w:r>
              <w:rPr>
                <w:sz w:val="20"/>
              </w:rPr>
              <w:t>3,</w:t>
            </w:r>
            <w:r w:rsidR="00C92047">
              <w:rPr>
                <w:sz w:val="20"/>
              </w:rPr>
              <w:t>264</w:t>
            </w:r>
          </w:p>
        </w:tc>
      </w:tr>
      <w:tr w:rsidR="00FB2F23" w:rsidTr="00C77EEE">
        <w:tc>
          <w:tcPr>
            <w:tcW w:w="1881" w:type="dxa"/>
          </w:tcPr>
          <w:p w:rsidR="00FB2F23" w:rsidRDefault="00FB2F23" w:rsidP="00FE4406">
            <w:pPr>
              <w:rPr>
                <w:sz w:val="20"/>
              </w:rPr>
            </w:pPr>
            <w:r>
              <w:rPr>
                <w:sz w:val="20"/>
              </w:rPr>
              <w:t>12 CFR 9.18(b)(4)(iii)(I)</w:t>
            </w:r>
          </w:p>
        </w:tc>
        <w:tc>
          <w:tcPr>
            <w:tcW w:w="2637" w:type="dxa"/>
          </w:tcPr>
          <w:p w:rsidR="00FB2F23" w:rsidRDefault="00FB2F23" w:rsidP="00D05CF1">
            <w:pPr>
              <w:rPr>
                <w:b/>
                <w:bCs/>
                <w:sz w:val="20"/>
              </w:rPr>
            </w:pPr>
            <w:r>
              <w:rPr>
                <w:b/>
                <w:bCs/>
                <w:sz w:val="20"/>
              </w:rPr>
              <w:t>Collective investment funds:</w:t>
            </w:r>
          </w:p>
          <w:p w:rsidR="00FB2F23" w:rsidRPr="00D05CF1" w:rsidRDefault="00FB2F23" w:rsidP="00FE4406">
            <w:pPr>
              <w:rPr>
                <w:bCs/>
                <w:sz w:val="20"/>
              </w:rPr>
            </w:pPr>
            <w:r>
              <w:rPr>
                <w:bCs/>
                <w:sz w:val="20"/>
              </w:rPr>
              <w:t>Adopt procedures that require a bank to disclose the fund’s:  assets under management; mark-to-market NAV; dollar weighted average portfolio maturity; the dollar-weighted average portfolio life maturity and certain other information for each security held; make disclosures</w:t>
            </w:r>
          </w:p>
        </w:tc>
        <w:tc>
          <w:tcPr>
            <w:tcW w:w="1530" w:type="dxa"/>
          </w:tcPr>
          <w:p w:rsidR="00FB2F23" w:rsidRDefault="00FB2F23" w:rsidP="00FE4406">
            <w:pPr>
              <w:jc w:val="right"/>
              <w:rPr>
                <w:sz w:val="20"/>
              </w:rPr>
            </w:pPr>
          </w:p>
        </w:tc>
        <w:tc>
          <w:tcPr>
            <w:tcW w:w="1350" w:type="dxa"/>
          </w:tcPr>
          <w:p w:rsidR="00FB2F23" w:rsidRDefault="00FB2F23" w:rsidP="00FE4406">
            <w:pPr>
              <w:jc w:val="right"/>
              <w:rPr>
                <w:sz w:val="20"/>
              </w:rPr>
            </w:pPr>
          </w:p>
        </w:tc>
        <w:tc>
          <w:tcPr>
            <w:tcW w:w="1170" w:type="dxa"/>
          </w:tcPr>
          <w:p w:rsidR="00FB2F23" w:rsidRDefault="00FB2F23" w:rsidP="00FE4406">
            <w:pPr>
              <w:jc w:val="center"/>
              <w:rPr>
                <w:sz w:val="20"/>
              </w:rPr>
            </w:pPr>
          </w:p>
        </w:tc>
        <w:tc>
          <w:tcPr>
            <w:tcW w:w="1350" w:type="dxa"/>
          </w:tcPr>
          <w:p w:rsidR="00FB2F23" w:rsidRDefault="00FB2F23" w:rsidP="00FE4406">
            <w:pPr>
              <w:jc w:val="center"/>
              <w:rPr>
                <w:sz w:val="20"/>
              </w:rPr>
            </w:pPr>
          </w:p>
        </w:tc>
      </w:tr>
      <w:tr w:rsidR="00FB2F23" w:rsidTr="00C77EEE">
        <w:tc>
          <w:tcPr>
            <w:tcW w:w="1881" w:type="dxa"/>
          </w:tcPr>
          <w:p w:rsidR="00FB2F23" w:rsidRDefault="0042112B" w:rsidP="00FE4406">
            <w:pPr>
              <w:rPr>
                <w:sz w:val="20"/>
              </w:rPr>
            </w:pPr>
            <w:r>
              <w:rPr>
                <w:sz w:val="20"/>
              </w:rPr>
              <w:t>Recordkeeping</w:t>
            </w:r>
          </w:p>
        </w:tc>
        <w:tc>
          <w:tcPr>
            <w:tcW w:w="2637" w:type="dxa"/>
          </w:tcPr>
          <w:p w:rsidR="00FB2F23" w:rsidRPr="00C77EEE" w:rsidRDefault="00FB2F23" w:rsidP="00D05CF1">
            <w:pPr>
              <w:rPr>
                <w:bCs/>
                <w:sz w:val="20"/>
              </w:rPr>
            </w:pPr>
            <w:r w:rsidRPr="00C77EEE">
              <w:rPr>
                <w:bCs/>
                <w:sz w:val="20"/>
              </w:rPr>
              <w:t>Initial burden</w:t>
            </w:r>
          </w:p>
        </w:tc>
        <w:tc>
          <w:tcPr>
            <w:tcW w:w="1530" w:type="dxa"/>
          </w:tcPr>
          <w:p w:rsidR="00FB2F23" w:rsidRDefault="00940360"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940360"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40</w:t>
            </w:r>
          </w:p>
        </w:tc>
        <w:tc>
          <w:tcPr>
            <w:tcW w:w="1170" w:type="dxa"/>
          </w:tcPr>
          <w:p w:rsidR="00FB2F23" w:rsidRDefault="00FB2F23" w:rsidP="00C77EEE">
            <w:pPr>
              <w:jc w:val="right"/>
              <w:rPr>
                <w:sz w:val="20"/>
              </w:rPr>
            </w:pPr>
            <w:r>
              <w:rPr>
                <w:sz w:val="20"/>
              </w:rPr>
              <w:t>1</w:t>
            </w:r>
          </w:p>
        </w:tc>
        <w:tc>
          <w:tcPr>
            <w:tcW w:w="1350" w:type="dxa"/>
          </w:tcPr>
          <w:p w:rsidR="00FB2F23" w:rsidRDefault="00940360" w:rsidP="00C77EEE">
            <w:pPr>
              <w:jc w:val="right"/>
              <w:rPr>
                <w:sz w:val="20"/>
              </w:rPr>
            </w:pPr>
            <w:r>
              <w:rPr>
                <w:sz w:val="20"/>
              </w:rPr>
              <w:t>1,36</w:t>
            </w:r>
            <w:r w:rsidR="00FB2F23">
              <w:rPr>
                <w:sz w:val="20"/>
              </w:rPr>
              <w:t>0</w:t>
            </w:r>
          </w:p>
        </w:tc>
      </w:tr>
      <w:tr w:rsidR="00FB2F23" w:rsidTr="00C77EEE">
        <w:tc>
          <w:tcPr>
            <w:tcW w:w="1881" w:type="dxa"/>
          </w:tcPr>
          <w:p w:rsidR="00FB2F23" w:rsidRDefault="0042112B" w:rsidP="00FE4406">
            <w:pPr>
              <w:rPr>
                <w:sz w:val="20"/>
              </w:rPr>
            </w:pPr>
            <w:r>
              <w:rPr>
                <w:sz w:val="20"/>
              </w:rPr>
              <w:t>Disclosure</w:t>
            </w:r>
          </w:p>
        </w:tc>
        <w:tc>
          <w:tcPr>
            <w:tcW w:w="2637" w:type="dxa"/>
          </w:tcPr>
          <w:p w:rsidR="00FB2F23" w:rsidRPr="00C77EEE" w:rsidRDefault="00FB2F23" w:rsidP="00D05CF1">
            <w:pPr>
              <w:rPr>
                <w:bCs/>
                <w:sz w:val="20"/>
              </w:rPr>
            </w:pPr>
            <w:r w:rsidRPr="00C77EEE">
              <w:rPr>
                <w:bCs/>
                <w:sz w:val="20"/>
              </w:rPr>
              <w:t>Ongoing burden</w:t>
            </w:r>
          </w:p>
        </w:tc>
        <w:tc>
          <w:tcPr>
            <w:tcW w:w="1530" w:type="dxa"/>
          </w:tcPr>
          <w:p w:rsidR="00FB2F23" w:rsidRDefault="005A3181"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FB2F23" w:rsidP="005A3181">
            <w:pPr>
              <w:jc w:val="right"/>
              <w:rPr>
                <w:sz w:val="20"/>
              </w:rPr>
            </w:pPr>
            <w:r>
              <w:rPr>
                <w:sz w:val="20"/>
              </w:rPr>
              <w:t>3</w:t>
            </w:r>
            <w:r w:rsidR="005A3181">
              <w:rPr>
                <w:sz w:val="20"/>
              </w:rPr>
              <w:t>4</w:t>
            </w:r>
            <w:r>
              <w:rPr>
                <w:sz w:val="20"/>
              </w:rPr>
              <w:t xml:space="preserve"> Funds</w:t>
            </w:r>
          </w:p>
        </w:tc>
        <w:tc>
          <w:tcPr>
            <w:tcW w:w="1350" w:type="dxa"/>
          </w:tcPr>
          <w:p w:rsidR="00FB2F23" w:rsidRDefault="00FB2F23" w:rsidP="00FE4406">
            <w:pPr>
              <w:jc w:val="right"/>
              <w:rPr>
                <w:sz w:val="20"/>
              </w:rPr>
            </w:pPr>
            <w:r>
              <w:rPr>
                <w:sz w:val="20"/>
              </w:rPr>
              <w:t>8</w:t>
            </w:r>
          </w:p>
        </w:tc>
        <w:tc>
          <w:tcPr>
            <w:tcW w:w="1170" w:type="dxa"/>
          </w:tcPr>
          <w:p w:rsidR="00FB2F23" w:rsidRDefault="002272FF" w:rsidP="00C77EEE">
            <w:pPr>
              <w:jc w:val="right"/>
              <w:rPr>
                <w:sz w:val="20"/>
              </w:rPr>
            </w:pPr>
            <w:r>
              <w:rPr>
                <w:sz w:val="20"/>
              </w:rPr>
              <w:t>12</w:t>
            </w:r>
          </w:p>
        </w:tc>
        <w:tc>
          <w:tcPr>
            <w:tcW w:w="1350" w:type="dxa"/>
          </w:tcPr>
          <w:p w:rsidR="00FB2F23" w:rsidRDefault="002272FF" w:rsidP="00C77EEE">
            <w:pPr>
              <w:jc w:val="right"/>
              <w:rPr>
                <w:sz w:val="20"/>
              </w:rPr>
            </w:pPr>
            <w:r>
              <w:rPr>
                <w:sz w:val="20"/>
              </w:rPr>
              <w:t>3,</w:t>
            </w:r>
            <w:r w:rsidR="005A3181">
              <w:rPr>
                <w:sz w:val="20"/>
              </w:rPr>
              <w:t>264</w:t>
            </w:r>
          </w:p>
        </w:tc>
      </w:tr>
      <w:tr w:rsidR="00FB2F23" w:rsidTr="00C77EEE">
        <w:tc>
          <w:tcPr>
            <w:tcW w:w="1881" w:type="dxa"/>
          </w:tcPr>
          <w:p w:rsidR="00FB2F23" w:rsidRDefault="00FB2F23" w:rsidP="00FE4406">
            <w:pPr>
              <w:rPr>
                <w:sz w:val="20"/>
              </w:rPr>
            </w:pPr>
            <w:r>
              <w:rPr>
                <w:sz w:val="20"/>
              </w:rPr>
              <w:t>12 CFR 9.18(b)(4)(iii)(J)</w:t>
            </w:r>
          </w:p>
          <w:p w:rsidR="0042112B" w:rsidRDefault="0042112B" w:rsidP="00FE4406">
            <w:pPr>
              <w:rPr>
                <w:sz w:val="20"/>
              </w:rPr>
            </w:pPr>
            <w:r>
              <w:rPr>
                <w:sz w:val="20"/>
              </w:rPr>
              <w:t>Recordkeeping</w:t>
            </w:r>
          </w:p>
        </w:tc>
        <w:tc>
          <w:tcPr>
            <w:tcW w:w="2637" w:type="dxa"/>
          </w:tcPr>
          <w:p w:rsidR="00FB2F23" w:rsidRDefault="00FB2F23" w:rsidP="00542866">
            <w:pPr>
              <w:rPr>
                <w:b/>
                <w:bCs/>
                <w:sz w:val="20"/>
              </w:rPr>
            </w:pPr>
            <w:r>
              <w:rPr>
                <w:b/>
                <w:bCs/>
                <w:sz w:val="20"/>
              </w:rPr>
              <w:t>Collective investment funds:</w:t>
            </w:r>
          </w:p>
          <w:p w:rsidR="00FB2F23" w:rsidRDefault="00FB2F23" w:rsidP="00512454">
            <w:pPr>
              <w:rPr>
                <w:b/>
                <w:bCs/>
                <w:sz w:val="20"/>
              </w:rPr>
            </w:pPr>
            <w:r>
              <w:rPr>
                <w:bCs/>
                <w:sz w:val="20"/>
              </w:rPr>
              <w:t xml:space="preserve">Adopt procedures that require a bank that </w:t>
            </w:r>
            <w:r w:rsidR="00C846BA">
              <w:rPr>
                <w:bCs/>
                <w:sz w:val="20"/>
              </w:rPr>
              <w:t>manages</w:t>
            </w:r>
            <w:r>
              <w:rPr>
                <w:bCs/>
                <w:sz w:val="20"/>
              </w:rPr>
              <w:t xml:space="preserve"> a STIF to notify the OCC prior to or within one business day thereafter of certain events.</w:t>
            </w:r>
          </w:p>
        </w:tc>
        <w:tc>
          <w:tcPr>
            <w:tcW w:w="1530" w:type="dxa"/>
          </w:tcPr>
          <w:p w:rsidR="00FB2F23" w:rsidRDefault="00122250"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122250"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10</w:t>
            </w:r>
          </w:p>
        </w:tc>
        <w:tc>
          <w:tcPr>
            <w:tcW w:w="1170" w:type="dxa"/>
          </w:tcPr>
          <w:p w:rsidR="00FB2F23" w:rsidRDefault="00FB2F23" w:rsidP="00C77EEE">
            <w:pPr>
              <w:jc w:val="right"/>
              <w:rPr>
                <w:sz w:val="20"/>
              </w:rPr>
            </w:pPr>
            <w:r>
              <w:rPr>
                <w:sz w:val="20"/>
              </w:rPr>
              <w:t>1</w:t>
            </w:r>
          </w:p>
        </w:tc>
        <w:tc>
          <w:tcPr>
            <w:tcW w:w="1350" w:type="dxa"/>
          </w:tcPr>
          <w:p w:rsidR="00FB2F23" w:rsidRDefault="00122250" w:rsidP="00C77EEE">
            <w:pPr>
              <w:jc w:val="right"/>
              <w:rPr>
                <w:sz w:val="20"/>
              </w:rPr>
            </w:pPr>
            <w:r>
              <w:rPr>
                <w:sz w:val="20"/>
              </w:rPr>
              <w:t>34</w:t>
            </w:r>
            <w:r w:rsidR="00FB2F23">
              <w:rPr>
                <w:sz w:val="20"/>
              </w:rPr>
              <w:t>0</w:t>
            </w:r>
          </w:p>
        </w:tc>
      </w:tr>
      <w:tr w:rsidR="00FB2F23" w:rsidTr="00C77EEE">
        <w:tc>
          <w:tcPr>
            <w:tcW w:w="1881" w:type="dxa"/>
          </w:tcPr>
          <w:p w:rsidR="00FB2F23" w:rsidRDefault="00FB2F23" w:rsidP="00FE4406">
            <w:pPr>
              <w:rPr>
                <w:sz w:val="20"/>
              </w:rPr>
            </w:pPr>
            <w:r>
              <w:rPr>
                <w:sz w:val="20"/>
              </w:rPr>
              <w:t>12 CFR 9.18(b)(4)(iii)(K)</w:t>
            </w:r>
          </w:p>
          <w:p w:rsidR="0042112B" w:rsidRDefault="0042112B" w:rsidP="00FE4406">
            <w:pPr>
              <w:rPr>
                <w:sz w:val="20"/>
              </w:rPr>
            </w:pPr>
            <w:r>
              <w:rPr>
                <w:sz w:val="20"/>
              </w:rPr>
              <w:t>Recordkeeping</w:t>
            </w:r>
          </w:p>
        </w:tc>
        <w:tc>
          <w:tcPr>
            <w:tcW w:w="2637" w:type="dxa"/>
          </w:tcPr>
          <w:p w:rsidR="00FB2F23" w:rsidRDefault="00FB2F23" w:rsidP="00542866">
            <w:pPr>
              <w:rPr>
                <w:b/>
                <w:bCs/>
                <w:sz w:val="20"/>
              </w:rPr>
            </w:pPr>
            <w:r>
              <w:rPr>
                <w:b/>
                <w:bCs/>
                <w:sz w:val="20"/>
              </w:rPr>
              <w:t>Collective investment funds:</w:t>
            </w:r>
          </w:p>
          <w:p w:rsidR="00FB2F23" w:rsidRPr="00512454" w:rsidRDefault="00FB2F23" w:rsidP="00FE4406">
            <w:pPr>
              <w:rPr>
                <w:bCs/>
                <w:sz w:val="20"/>
              </w:rPr>
            </w:pPr>
            <w:r>
              <w:rPr>
                <w:bCs/>
                <w:sz w:val="20"/>
              </w:rPr>
              <w:t>Adopt procedures regarding certain re-pricing events.</w:t>
            </w:r>
          </w:p>
        </w:tc>
        <w:tc>
          <w:tcPr>
            <w:tcW w:w="1530" w:type="dxa"/>
          </w:tcPr>
          <w:p w:rsidR="00FB2F23" w:rsidRDefault="00122250" w:rsidP="003D7B7B">
            <w:pPr>
              <w:jc w:val="right"/>
              <w:rPr>
                <w:sz w:val="20"/>
              </w:rPr>
            </w:pPr>
            <w:r>
              <w:rPr>
                <w:sz w:val="20"/>
              </w:rPr>
              <w:t>15</w:t>
            </w:r>
            <w:r w:rsidR="00FB2F23">
              <w:rPr>
                <w:sz w:val="20"/>
              </w:rPr>
              <w:t xml:space="preserve"> Respondents</w:t>
            </w:r>
          </w:p>
          <w:p w:rsidR="00FB2F23" w:rsidRDefault="00C846BA" w:rsidP="003D7B7B">
            <w:pPr>
              <w:jc w:val="right"/>
              <w:rPr>
                <w:sz w:val="20"/>
              </w:rPr>
            </w:pPr>
            <w:r>
              <w:rPr>
                <w:sz w:val="20"/>
              </w:rPr>
              <w:t>Managing</w:t>
            </w:r>
          </w:p>
          <w:p w:rsidR="00FB2F23" w:rsidRDefault="00122250"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10</w:t>
            </w:r>
          </w:p>
        </w:tc>
        <w:tc>
          <w:tcPr>
            <w:tcW w:w="1170" w:type="dxa"/>
          </w:tcPr>
          <w:p w:rsidR="00FB2F23" w:rsidRDefault="00FB2F23" w:rsidP="00C77EEE">
            <w:pPr>
              <w:jc w:val="right"/>
              <w:rPr>
                <w:sz w:val="20"/>
              </w:rPr>
            </w:pPr>
            <w:r>
              <w:rPr>
                <w:sz w:val="20"/>
              </w:rPr>
              <w:t>1</w:t>
            </w:r>
          </w:p>
        </w:tc>
        <w:tc>
          <w:tcPr>
            <w:tcW w:w="1350" w:type="dxa"/>
          </w:tcPr>
          <w:p w:rsidR="00FB2F23" w:rsidRDefault="00122250" w:rsidP="00C77EEE">
            <w:pPr>
              <w:jc w:val="right"/>
              <w:rPr>
                <w:sz w:val="20"/>
              </w:rPr>
            </w:pPr>
            <w:r>
              <w:rPr>
                <w:sz w:val="20"/>
              </w:rPr>
              <w:t>34</w:t>
            </w:r>
            <w:r w:rsidR="00FB2F23">
              <w:rPr>
                <w:sz w:val="20"/>
              </w:rPr>
              <w:t>0</w:t>
            </w:r>
          </w:p>
        </w:tc>
      </w:tr>
      <w:tr w:rsidR="00FB2F23" w:rsidTr="00C77EEE">
        <w:tc>
          <w:tcPr>
            <w:tcW w:w="1881" w:type="dxa"/>
          </w:tcPr>
          <w:p w:rsidR="00FB2F23" w:rsidRDefault="00FB2F23" w:rsidP="00FE4406">
            <w:pPr>
              <w:rPr>
                <w:sz w:val="20"/>
              </w:rPr>
            </w:pPr>
            <w:r>
              <w:rPr>
                <w:sz w:val="20"/>
              </w:rPr>
              <w:t>12 CFR 9.18(b)(4)(iii)(L)</w:t>
            </w:r>
          </w:p>
          <w:p w:rsidR="0042112B" w:rsidRDefault="0042112B" w:rsidP="00FE4406">
            <w:pPr>
              <w:rPr>
                <w:sz w:val="20"/>
              </w:rPr>
            </w:pPr>
            <w:r>
              <w:rPr>
                <w:sz w:val="20"/>
              </w:rPr>
              <w:t>Recordkeeping</w:t>
            </w:r>
          </w:p>
        </w:tc>
        <w:tc>
          <w:tcPr>
            <w:tcW w:w="2637" w:type="dxa"/>
          </w:tcPr>
          <w:p w:rsidR="00FB2F23" w:rsidRDefault="00FB2F23" w:rsidP="00542866">
            <w:pPr>
              <w:rPr>
                <w:b/>
                <w:bCs/>
                <w:sz w:val="20"/>
              </w:rPr>
            </w:pPr>
            <w:r>
              <w:rPr>
                <w:b/>
                <w:bCs/>
                <w:sz w:val="20"/>
              </w:rPr>
              <w:t>Collective investment funds:</w:t>
            </w:r>
          </w:p>
          <w:p w:rsidR="00FB2F23" w:rsidRPr="00512454" w:rsidRDefault="00FB2F23" w:rsidP="00FE4406">
            <w:pPr>
              <w:rPr>
                <w:bCs/>
                <w:sz w:val="20"/>
              </w:rPr>
            </w:pPr>
            <w:r>
              <w:rPr>
                <w:bCs/>
                <w:sz w:val="20"/>
              </w:rPr>
              <w:t xml:space="preserve">Adopt procedures for </w:t>
            </w:r>
            <w:r>
              <w:rPr>
                <w:bCs/>
                <w:sz w:val="20"/>
              </w:rPr>
              <w:lastRenderedPageBreak/>
              <w:t>suspending redemptions and initiating liquidation of a STIF.</w:t>
            </w:r>
          </w:p>
        </w:tc>
        <w:tc>
          <w:tcPr>
            <w:tcW w:w="1530" w:type="dxa"/>
          </w:tcPr>
          <w:p w:rsidR="00FB2F23" w:rsidRDefault="00122250" w:rsidP="003D7B7B">
            <w:pPr>
              <w:jc w:val="right"/>
              <w:rPr>
                <w:sz w:val="20"/>
              </w:rPr>
            </w:pPr>
            <w:r>
              <w:rPr>
                <w:sz w:val="20"/>
              </w:rPr>
              <w:lastRenderedPageBreak/>
              <w:t>15</w:t>
            </w:r>
            <w:r w:rsidR="00FB2F23">
              <w:rPr>
                <w:sz w:val="20"/>
              </w:rPr>
              <w:t xml:space="preserve"> Respondents</w:t>
            </w:r>
          </w:p>
          <w:p w:rsidR="00FB2F23" w:rsidRDefault="00C846BA" w:rsidP="003D7B7B">
            <w:pPr>
              <w:jc w:val="right"/>
              <w:rPr>
                <w:sz w:val="20"/>
              </w:rPr>
            </w:pPr>
            <w:r>
              <w:rPr>
                <w:sz w:val="20"/>
              </w:rPr>
              <w:t>Managing</w:t>
            </w:r>
          </w:p>
          <w:p w:rsidR="00FB2F23" w:rsidRDefault="00122250" w:rsidP="003D7B7B">
            <w:pPr>
              <w:jc w:val="right"/>
              <w:rPr>
                <w:sz w:val="20"/>
              </w:rPr>
            </w:pPr>
            <w:r>
              <w:rPr>
                <w:sz w:val="20"/>
              </w:rPr>
              <w:t>34</w:t>
            </w:r>
            <w:r w:rsidR="00FB2F23">
              <w:rPr>
                <w:sz w:val="20"/>
              </w:rPr>
              <w:t xml:space="preserve"> Funds</w:t>
            </w:r>
          </w:p>
        </w:tc>
        <w:tc>
          <w:tcPr>
            <w:tcW w:w="1350" w:type="dxa"/>
          </w:tcPr>
          <w:p w:rsidR="00FB2F23" w:rsidRDefault="00FB2F23" w:rsidP="00FE4406">
            <w:pPr>
              <w:jc w:val="right"/>
              <w:rPr>
                <w:sz w:val="20"/>
              </w:rPr>
            </w:pPr>
            <w:r>
              <w:rPr>
                <w:sz w:val="20"/>
              </w:rPr>
              <w:t>10</w:t>
            </w:r>
          </w:p>
        </w:tc>
        <w:tc>
          <w:tcPr>
            <w:tcW w:w="1170" w:type="dxa"/>
          </w:tcPr>
          <w:p w:rsidR="00FB2F23" w:rsidRDefault="00FB2F23" w:rsidP="00F3696A">
            <w:pPr>
              <w:jc w:val="right"/>
              <w:rPr>
                <w:sz w:val="20"/>
              </w:rPr>
            </w:pPr>
            <w:r>
              <w:rPr>
                <w:sz w:val="20"/>
              </w:rPr>
              <w:t>1</w:t>
            </w:r>
          </w:p>
        </w:tc>
        <w:tc>
          <w:tcPr>
            <w:tcW w:w="1350" w:type="dxa"/>
          </w:tcPr>
          <w:p w:rsidR="00FB2F23" w:rsidRDefault="00FB2F23" w:rsidP="00122250">
            <w:pPr>
              <w:jc w:val="right"/>
              <w:rPr>
                <w:sz w:val="20"/>
              </w:rPr>
            </w:pPr>
            <w:r>
              <w:rPr>
                <w:sz w:val="20"/>
              </w:rPr>
              <w:t>3</w:t>
            </w:r>
            <w:r w:rsidR="00122250">
              <w:rPr>
                <w:sz w:val="20"/>
              </w:rPr>
              <w:t>4</w:t>
            </w:r>
            <w:r>
              <w:rPr>
                <w:sz w:val="20"/>
              </w:rPr>
              <w:t>0</w:t>
            </w:r>
          </w:p>
        </w:tc>
      </w:tr>
      <w:tr w:rsidR="00FB2F23" w:rsidTr="00C77EEE">
        <w:tc>
          <w:tcPr>
            <w:tcW w:w="1881" w:type="dxa"/>
          </w:tcPr>
          <w:p w:rsidR="00FB2F23" w:rsidRDefault="00FB2F23" w:rsidP="00FE4406">
            <w:pPr>
              <w:rPr>
                <w:sz w:val="20"/>
              </w:rPr>
            </w:pPr>
            <w:r>
              <w:rPr>
                <w:sz w:val="20"/>
              </w:rPr>
              <w:lastRenderedPageBreak/>
              <w:t>12 CFR 9.18(b)(6)(ii)</w:t>
            </w:r>
          </w:p>
          <w:p w:rsidR="00FB2F23" w:rsidRDefault="00FB2F23" w:rsidP="00FE4406">
            <w:pPr>
              <w:rPr>
                <w:sz w:val="20"/>
              </w:rPr>
            </w:pPr>
            <w:r>
              <w:rPr>
                <w:sz w:val="20"/>
              </w:rPr>
              <w:t>&amp; 12 CFR 150.260</w:t>
            </w:r>
          </w:p>
          <w:p w:rsidR="00FB2F23" w:rsidRDefault="00FB2F23" w:rsidP="00FE4406">
            <w:pPr>
              <w:rPr>
                <w:sz w:val="20"/>
              </w:rPr>
            </w:pPr>
            <w:r>
              <w:rPr>
                <w:sz w:val="20"/>
              </w:rPr>
              <w:t>Recordkeeping</w:t>
            </w:r>
          </w:p>
        </w:tc>
        <w:tc>
          <w:tcPr>
            <w:tcW w:w="2637" w:type="dxa"/>
          </w:tcPr>
          <w:p w:rsidR="00FB2F23" w:rsidRDefault="00FB2F23" w:rsidP="00FE4406">
            <w:pPr>
              <w:rPr>
                <w:sz w:val="20"/>
              </w:rPr>
            </w:pPr>
            <w:r>
              <w:rPr>
                <w:b/>
                <w:bCs/>
                <w:sz w:val="20"/>
              </w:rPr>
              <w:t>Collective investment funds:</w:t>
            </w:r>
          </w:p>
          <w:p w:rsidR="00FB2F23" w:rsidRDefault="00FB2F23" w:rsidP="00FE4406">
            <w:pPr>
              <w:rPr>
                <w:sz w:val="20"/>
              </w:rPr>
            </w:pPr>
            <w:r>
              <w:rPr>
                <w:i/>
                <w:iCs/>
                <w:sz w:val="20"/>
                <w:u w:val="single"/>
              </w:rPr>
              <w:t>Financial reports</w:t>
            </w:r>
            <w:r>
              <w:rPr>
                <w:sz w:val="20"/>
              </w:rPr>
              <w:t xml:space="preserve"> – At least once during each 12-month period, an institution shall prepare a financial report of the fund based on the audit required by § 9.18(b</w:t>
            </w:r>
            <w:proofErr w:type="gramStart"/>
            <w:r>
              <w:rPr>
                <w:sz w:val="20"/>
              </w:rPr>
              <w:t>)(</w:t>
            </w:r>
            <w:proofErr w:type="gramEnd"/>
            <w:r>
              <w:rPr>
                <w:sz w:val="20"/>
              </w:rPr>
              <w:t>6)(</w:t>
            </w:r>
            <w:proofErr w:type="spellStart"/>
            <w:r>
              <w:rPr>
                <w:sz w:val="20"/>
              </w:rPr>
              <w:t>i</w:t>
            </w:r>
            <w:proofErr w:type="spellEnd"/>
            <w:r>
              <w:rPr>
                <w:sz w:val="20"/>
              </w:rPr>
              <w:t>).  The report must disclose the fund’s fees and expenses in a manner consistent with applicable state law in which the institution maintains the fund.  This report must contain:</w:t>
            </w:r>
          </w:p>
          <w:p w:rsidR="00FB2F23" w:rsidRDefault="00FB2F23" w:rsidP="00FE4406">
            <w:pPr>
              <w:numPr>
                <w:ilvl w:val="0"/>
                <w:numId w:val="19"/>
              </w:numPr>
              <w:rPr>
                <w:sz w:val="20"/>
              </w:rPr>
            </w:pPr>
            <w:r>
              <w:rPr>
                <w:sz w:val="20"/>
              </w:rPr>
              <w:t>List of investments in the fund showing the cost and current market value of each investment</w:t>
            </w:r>
          </w:p>
          <w:p w:rsidR="00FB2F23" w:rsidRDefault="00FB2F23" w:rsidP="00FE4406">
            <w:pPr>
              <w:numPr>
                <w:ilvl w:val="0"/>
                <w:numId w:val="19"/>
              </w:numPr>
              <w:rPr>
                <w:sz w:val="20"/>
              </w:rPr>
            </w:pPr>
            <w:r>
              <w:rPr>
                <w:sz w:val="20"/>
              </w:rPr>
              <w:t>Statement showing the following (organized by type of investment):</w:t>
            </w:r>
          </w:p>
          <w:p w:rsidR="00FB2F23" w:rsidRDefault="00FB2F23" w:rsidP="00FE4406">
            <w:pPr>
              <w:numPr>
                <w:ilvl w:val="1"/>
                <w:numId w:val="19"/>
              </w:numPr>
              <w:rPr>
                <w:sz w:val="20"/>
              </w:rPr>
            </w:pPr>
            <w:r>
              <w:rPr>
                <w:sz w:val="20"/>
              </w:rPr>
              <w:t>A summary of purchases (with costs)</w:t>
            </w:r>
          </w:p>
          <w:p w:rsidR="00FB2F23" w:rsidRDefault="00FB2F23" w:rsidP="00FE4406">
            <w:pPr>
              <w:numPr>
                <w:ilvl w:val="1"/>
                <w:numId w:val="19"/>
              </w:numPr>
              <w:rPr>
                <w:sz w:val="20"/>
              </w:rPr>
            </w:pPr>
            <w:r>
              <w:rPr>
                <w:sz w:val="20"/>
              </w:rPr>
              <w:t>A summary of sales (with profit or loss and any investment change)</w:t>
            </w:r>
          </w:p>
          <w:p w:rsidR="00FB2F23" w:rsidRDefault="00FB2F23" w:rsidP="00FE4406">
            <w:pPr>
              <w:numPr>
                <w:ilvl w:val="1"/>
                <w:numId w:val="19"/>
              </w:numPr>
              <w:rPr>
                <w:sz w:val="20"/>
              </w:rPr>
            </w:pPr>
            <w:r>
              <w:rPr>
                <w:sz w:val="20"/>
              </w:rPr>
              <w:t>Income and disbursements</w:t>
            </w:r>
          </w:p>
          <w:p w:rsidR="00FB2F23" w:rsidRPr="003610E4" w:rsidRDefault="00FB2F23" w:rsidP="003610E4">
            <w:pPr>
              <w:numPr>
                <w:ilvl w:val="1"/>
                <w:numId w:val="19"/>
              </w:numPr>
              <w:rPr>
                <w:sz w:val="20"/>
              </w:rPr>
            </w:pPr>
            <w:r>
              <w:rPr>
                <w:sz w:val="20"/>
              </w:rPr>
              <w:t>An appropriate notation of investments in default</w:t>
            </w:r>
          </w:p>
        </w:tc>
        <w:tc>
          <w:tcPr>
            <w:tcW w:w="1530" w:type="dxa"/>
          </w:tcPr>
          <w:p w:rsidR="00FB2F23" w:rsidRDefault="001A643A" w:rsidP="00FE4406">
            <w:pPr>
              <w:jc w:val="right"/>
              <w:rPr>
                <w:sz w:val="20"/>
              </w:rPr>
            </w:pPr>
            <w:r>
              <w:rPr>
                <w:sz w:val="20"/>
              </w:rPr>
              <w:t>1,592 F</w:t>
            </w:r>
            <w:r w:rsidR="00FB2F23">
              <w:rPr>
                <w:sz w:val="20"/>
              </w:rPr>
              <w:t>unds</w:t>
            </w:r>
          </w:p>
        </w:tc>
        <w:tc>
          <w:tcPr>
            <w:tcW w:w="1350" w:type="dxa"/>
          </w:tcPr>
          <w:p w:rsidR="00FB2F23" w:rsidRDefault="00FB2F23" w:rsidP="00FE4406">
            <w:pPr>
              <w:jc w:val="right"/>
              <w:rPr>
                <w:sz w:val="20"/>
              </w:rPr>
            </w:pPr>
            <w:r>
              <w:rPr>
                <w:sz w:val="20"/>
              </w:rPr>
              <w:t xml:space="preserve">7.75 </w:t>
            </w:r>
          </w:p>
        </w:tc>
        <w:tc>
          <w:tcPr>
            <w:tcW w:w="1170" w:type="dxa"/>
          </w:tcPr>
          <w:p w:rsidR="00FB2F23" w:rsidRDefault="00FB2F23" w:rsidP="00FE4406">
            <w:pPr>
              <w:jc w:val="center"/>
              <w:rPr>
                <w:sz w:val="20"/>
              </w:rPr>
            </w:pPr>
          </w:p>
        </w:tc>
        <w:tc>
          <w:tcPr>
            <w:tcW w:w="1350" w:type="dxa"/>
          </w:tcPr>
          <w:p w:rsidR="00FB2F23" w:rsidRDefault="00FB2F23" w:rsidP="00196798">
            <w:pPr>
              <w:jc w:val="right"/>
              <w:rPr>
                <w:sz w:val="20"/>
              </w:rPr>
            </w:pPr>
            <w:r>
              <w:rPr>
                <w:sz w:val="20"/>
              </w:rPr>
              <w:t>12,338</w:t>
            </w:r>
          </w:p>
        </w:tc>
      </w:tr>
      <w:tr w:rsidR="00FB2F23" w:rsidTr="00C77EEE">
        <w:trPr>
          <w:trHeight w:val="3275"/>
        </w:trPr>
        <w:tc>
          <w:tcPr>
            <w:tcW w:w="1881" w:type="dxa"/>
          </w:tcPr>
          <w:p w:rsidR="00FB2F23" w:rsidRDefault="00FB2F23" w:rsidP="00FE4406">
            <w:pPr>
              <w:rPr>
                <w:sz w:val="20"/>
              </w:rPr>
            </w:pPr>
            <w:r>
              <w:rPr>
                <w:sz w:val="20"/>
              </w:rPr>
              <w:lastRenderedPageBreak/>
              <w:t>12 CFR 9.18(b)(6)(iv)</w:t>
            </w:r>
          </w:p>
          <w:p w:rsidR="00FB2F23" w:rsidRDefault="00FB2F23" w:rsidP="00FE4406">
            <w:pPr>
              <w:rPr>
                <w:sz w:val="20"/>
              </w:rPr>
            </w:pPr>
            <w:r>
              <w:rPr>
                <w:sz w:val="20"/>
              </w:rPr>
              <w:t>&amp; 12 CFR 150.260</w:t>
            </w:r>
          </w:p>
          <w:p w:rsidR="00FB2F23" w:rsidRDefault="00FB2F23" w:rsidP="00FE4406">
            <w:pPr>
              <w:rPr>
                <w:sz w:val="20"/>
              </w:rPr>
            </w:pPr>
            <w:r>
              <w:rPr>
                <w:sz w:val="20"/>
              </w:rPr>
              <w:t>Disclosure</w:t>
            </w:r>
          </w:p>
        </w:tc>
        <w:tc>
          <w:tcPr>
            <w:tcW w:w="2637" w:type="dxa"/>
          </w:tcPr>
          <w:p w:rsidR="00FB2F23" w:rsidRDefault="00FB2F23" w:rsidP="00FE4406">
            <w:pPr>
              <w:rPr>
                <w:sz w:val="20"/>
              </w:rPr>
            </w:pPr>
            <w:r>
              <w:rPr>
                <w:b/>
                <w:bCs/>
                <w:sz w:val="20"/>
              </w:rPr>
              <w:t>Collective investment funds:</w:t>
            </w:r>
          </w:p>
          <w:p w:rsidR="00FB2F23" w:rsidRDefault="00FB2F23" w:rsidP="00FE4406">
            <w:pPr>
              <w:rPr>
                <w:sz w:val="20"/>
              </w:rPr>
            </w:pPr>
            <w:r>
              <w:rPr>
                <w:i/>
                <w:iCs/>
                <w:sz w:val="20"/>
                <w:u w:val="single"/>
              </w:rPr>
              <w:t>Availability of the report</w:t>
            </w:r>
            <w:r>
              <w:rPr>
                <w:sz w:val="20"/>
              </w:rPr>
              <w:t xml:space="preserve"> – An institution </w:t>
            </w:r>
            <w:r w:rsidR="00C846BA">
              <w:rPr>
                <w:sz w:val="20"/>
              </w:rPr>
              <w:t>managing</w:t>
            </w:r>
            <w:r>
              <w:rPr>
                <w:sz w:val="20"/>
              </w:rPr>
              <w:t xml:space="preserve"> a collective investment fund shall provide a copy of the financial report, or shall provide notice that a copy of the report is available upon request without charge, to each person who ordinarily would receive a regular periodic accounting with respect to each participating account. The institution may provide a copy to prospective customers. In addition, the institution shall provide a copy of the report upon request for any person for a reasonable charge.</w:t>
            </w:r>
          </w:p>
        </w:tc>
        <w:tc>
          <w:tcPr>
            <w:tcW w:w="1530" w:type="dxa"/>
          </w:tcPr>
          <w:p w:rsidR="00FB2F23" w:rsidRDefault="00FB2F23" w:rsidP="001A643A">
            <w:pPr>
              <w:jc w:val="right"/>
              <w:rPr>
                <w:sz w:val="20"/>
              </w:rPr>
            </w:pPr>
            <w:r>
              <w:rPr>
                <w:sz w:val="20"/>
              </w:rPr>
              <w:t xml:space="preserve">1,592 </w:t>
            </w:r>
            <w:r w:rsidR="001A643A">
              <w:rPr>
                <w:sz w:val="20"/>
              </w:rPr>
              <w:t>F</w:t>
            </w:r>
            <w:r>
              <w:rPr>
                <w:sz w:val="20"/>
              </w:rPr>
              <w:t>unds</w:t>
            </w:r>
          </w:p>
        </w:tc>
        <w:tc>
          <w:tcPr>
            <w:tcW w:w="1350" w:type="dxa"/>
          </w:tcPr>
          <w:p w:rsidR="00FB2F23" w:rsidRDefault="00FB2F23" w:rsidP="00FE4406">
            <w:pPr>
              <w:jc w:val="right"/>
              <w:rPr>
                <w:sz w:val="20"/>
              </w:rPr>
            </w:pPr>
            <w:r>
              <w:rPr>
                <w:sz w:val="20"/>
              </w:rPr>
              <w:t xml:space="preserve">.25 </w:t>
            </w:r>
          </w:p>
        </w:tc>
        <w:tc>
          <w:tcPr>
            <w:tcW w:w="1170" w:type="dxa"/>
          </w:tcPr>
          <w:p w:rsidR="00FB2F23" w:rsidRDefault="00FB2F23" w:rsidP="00FE4406">
            <w:pPr>
              <w:jc w:val="right"/>
              <w:rPr>
                <w:sz w:val="20"/>
              </w:rPr>
            </w:pPr>
          </w:p>
        </w:tc>
        <w:tc>
          <w:tcPr>
            <w:tcW w:w="1350" w:type="dxa"/>
          </w:tcPr>
          <w:p w:rsidR="00FB2F23" w:rsidRDefault="00FB2F23" w:rsidP="00FE4406">
            <w:pPr>
              <w:jc w:val="right"/>
              <w:rPr>
                <w:sz w:val="20"/>
              </w:rPr>
            </w:pPr>
            <w:r>
              <w:rPr>
                <w:sz w:val="20"/>
              </w:rPr>
              <w:t xml:space="preserve">398 </w:t>
            </w:r>
          </w:p>
        </w:tc>
      </w:tr>
      <w:tr w:rsidR="00FB2F23" w:rsidTr="00C77EEE">
        <w:tc>
          <w:tcPr>
            <w:tcW w:w="1881" w:type="dxa"/>
          </w:tcPr>
          <w:p w:rsidR="00FB2F23" w:rsidRDefault="00FB2F23" w:rsidP="00FE4406">
            <w:pPr>
              <w:rPr>
                <w:sz w:val="20"/>
              </w:rPr>
            </w:pPr>
            <w:r>
              <w:rPr>
                <w:sz w:val="20"/>
              </w:rPr>
              <w:t>12 CFR 9.18(c)(5)</w:t>
            </w:r>
          </w:p>
          <w:p w:rsidR="00FB2F23" w:rsidRDefault="00FB2F23" w:rsidP="00FE4406">
            <w:pPr>
              <w:rPr>
                <w:sz w:val="20"/>
              </w:rPr>
            </w:pPr>
            <w:r>
              <w:rPr>
                <w:sz w:val="20"/>
              </w:rPr>
              <w:t>&amp; 12 CFR 150.260</w:t>
            </w:r>
          </w:p>
          <w:p w:rsidR="00FB2F23" w:rsidRDefault="00FB2F23" w:rsidP="00FE4406">
            <w:pPr>
              <w:rPr>
                <w:sz w:val="20"/>
              </w:rPr>
            </w:pPr>
            <w:r>
              <w:rPr>
                <w:sz w:val="20"/>
              </w:rPr>
              <w:t>Reporting</w:t>
            </w:r>
          </w:p>
        </w:tc>
        <w:tc>
          <w:tcPr>
            <w:tcW w:w="2637" w:type="dxa"/>
          </w:tcPr>
          <w:p w:rsidR="00FB2F23" w:rsidRDefault="00FB2F23" w:rsidP="00FE4406">
            <w:pPr>
              <w:rPr>
                <w:sz w:val="20"/>
              </w:rPr>
            </w:pPr>
            <w:r>
              <w:rPr>
                <w:b/>
                <w:bCs/>
                <w:sz w:val="20"/>
              </w:rPr>
              <w:t>Collective investment funds:</w:t>
            </w:r>
          </w:p>
          <w:p w:rsidR="00FB2F23" w:rsidRDefault="00FB2F23" w:rsidP="00FE4406">
            <w:pPr>
              <w:rPr>
                <w:sz w:val="20"/>
              </w:rPr>
            </w:pPr>
            <w:r>
              <w:rPr>
                <w:i/>
                <w:iCs/>
                <w:sz w:val="20"/>
                <w:u w:val="single"/>
              </w:rPr>
              <w:t>Other collective investments: Special exemption funds</w:t>
            </w:r>
            <w:r>
              <w:rPr>
                <w:sz w:val="20"/>
              </w:rPr>
              <w:t xml:space="preserve"> – An institution shall submit to the OCC a written plan that sets forth:</w:t>
            </w:r>
          </w:p>
          <w:p w:rsidR="00FB2F23" w:rsidRDefault="00FB2F23" w:rsidP="00FE4406">
            <w:pPr>
              <w:numPr>
                <w:ilvl w:val="0"/>
                <w:numId w:val="20"/>
              </w:numPr>
              <w:rPr>
                <w:sz w:val="20"/>
              </w:rPr>
            </w:pPr>
            <w:r>
              <w:rPr>
                <w:sz w:val="20"/>
              </w:rPr>
              <w:t>The reason the proposed fund requires a special exemption</w:t>
            </w:r>
          </w:p>
          <w:p w:rsidR="00FB2F23" w:rsidRDefault="00FB2F23" w:rsidP="00FE4406">
            <w:pPr>
              <w:numPr>
                <w:ilvl w:val="0"/>
                <w:numId w:val="20"/>
              </w:numPr>
              <w:rPr>
                <w:sz w:val="20"/>
              </w:rPr>
            </w:pPr>
            <w:r>
              <w:rPr>
                <w:sz w:val="20"/>
              </w:rPr>
              <w:t>The provisions of the fund that are inconsistent with § 9.18(a) and (b)</w:t>
            </w:r>
          </w:p>
          <w:p w:rsidR="00FB2F23" w:rsidRDefault="00FB2F23" w:rsidP="00FE4406">
            <w:pPr>
              <w:numPr>
                <w:ilvl w:val="0"/>
                <w:numId w:val="20"/>
              </w:numPr>
              <w:rPr>
                <w:sz w:val="20"/>
              </w:rPr>
            </w:pPr>
            <w:r>
              <w:rPr>
                <w:sz w:val="20"/>
              </w:rPr>
              <w:t>The provisions of § 9.18(b) for which the institution seeks an exemption</w:t>
            </w:r>
          </w:p>
          <w:p w:rsidR="00FB2F23" w:rsidRPr="003610E4" w:rsidRDefault="00FB2F23" w:rsidP="003610E4">
            <w:pPr>
              <w:numPr>
                <w:ilvl w:val="0"/>
                <w:numId w:val="20"/>
              </w:numPr>
              <w:rPr>
                <w:sz w:val="20"/>
              </w:rPr>
            </w:pPr>
            <w:r>
              <w:rPr>
                <w:sz w:val="20"/>
              </w:rPr>
              <w:t>The manner in which the proposed fund addresses the rights and interests of participating accounts</w:t>
            </w:r>
          </w:p>
        </w:tc>
        <w:tc>
          <w:tcPr>
            <w:tcW w:w="1530" w:type="dxa"/>
          </w:tcPr>
          <w:p w:rsidR="00FB2F23" w:rsidRDefault="00F5555E" w:rsidP="00FE4406">
            <w:pPr>
              <w:jc w:val="right"/>
              <w:rPr>
                <w:sz w:val="20"/>
              </w:rPr>
            </w:pPr>
            <w:r>
              <w:rPr>
                <w:sz w:val="20"/>
              </w:rPr>
              <w:t>1 Institution</w:t>
            </w:r>
          </w:p>
          <w:p w:rsidR="00F5555E" w:rsidRDefault="00C846BA" w:rsidP="00FE4406">
            <w:pPr>
              <w:jc w:val="right"/>
              <w:rPr>
                <w:sz w:val="20"/>
              </w:rPr>
            </w:pPr>
            <w:r>
              <w:rPr>
                <w:sz w:val="20"/>
              </w:rPr>
              <w:t>Managing</w:t>
            </w:r>
          </w:p>
          <w:p w:rsidR="00FB2F23" w:rsidRDefault="00F5555E" w:rsidP="00FE4406">
            <w:pPr>
              <w:jc w:val="right"/>
              <w:rPr>
                <w:sz w:val="20"/>
              </w:rPr>
            </w:pPr>
            <w:r>
              <w:rPr>
                <w:sz w:val="20"/>
              </w:rPr>
              <w:t>1 F</w:t>
            </w:r>
            <w:r w:rsidR="00FB2F23">
              <w:rPr>
                <w:sz w:val="20"/>
              </w:rPr>
              <w:t>und</w:t>
            </w:r>
          </w:p>
        </w:tc>
        <w:tc>
          <w:tcPr>
            <w:tcW w:w="1350" w:type="dxa"/>
          </w:tcPr>
          <w:p w:rsidR="00FB2F23" w:rsidRDefault="00FB2F23" w:rsidP="00FE4406">
            <w:pPr>
              <w:jc w:val="right"/>
              <w:rPr>
                <w:sz w:val="20"/>
              </w:rPr>
            </w:pPr>
            <w:r>
              <w:rPr>
                <w:sz w:val="20"/>
              </w:rPr>
              <w:t>50</w:t>
            </w:r>
          </w:p>
        </w:tc>
        <w:tc>
          <w:tcPr>
            <w:tcW w:w="1170" w:type="dxa"/>
          </w:tcPr>
          <w:p w:rsidR="00FB2F23" w:rsidRDefault="00FB2F23" w:rsidP="00FE4406">
            <w:pPr>
              <w:jc w:val="right"/>
              <w:rPr>
                <w:sz w:val="20"/>
              </w:rPr>
            </w:pPr>
          </w:p>
        </w:tc>
        <w:tc>
          <w:tcPr>
            <w:tcW w:w="1350" w:type="dxa"/>
          </w:tcPr>
          <w:p w:rsidR="00FB2F23" w:rsidRDefault="00FB2F23" w:rsidP="00FE4406">
            <w:pPr>
              <w:jc w:val="right"/>
              <w:rPr>
                <w:sz w:val="20"/>
              </w:rPr>
            </w:pPr>
            <w:r>
              <w:rPr>
                <w:sz w:val="20"/>
              </w:rPr>
              <w:t xml:space="preserve">50 </w:t>
            </w:r>
          </w:p>
        </w:tc>
      </w:tr>
      <w:tr w:rsidR="00FB2F23" w:rsidTr="00C77EEE">
        <w:tc>
          <w:tcPr>
            <w:tcW w:w="1881" w:type="dxa"/>
          </w:tcPr>
          <w:p w:rsidR="00FB2F23" w:rsidRDefault="00FB2F23" w:rsidP="00FE4406">
            <w:pPr>
              <w:rPr>
                <w:sz w:val="20"/>
              </w:rPr>
            </w:pPr>
          </w:p>
        </w:tc>
        <w:tc>
          <w:tcPr>
            <w:tcW w:w="2637" w:type="dxa"/>
          </w:tcPr>
          <w:p w:rsidR="00FB2F23" w:rsidRDefault="00FB2F23" w:rsidP="00FE4406">
            <w:pPr>
              <w:rPr>
                <w:b/>
                <w:bCs/>
                <w:sz w:val="20"/>
              </w:rPr>
            </w:pPr>
          </w:p>
        </w:tc>
        <w:tc>
          <w:tcPr>
            <w:tcW w:w="1530" w:type="dxa"/>
          </w:tcPr>
          <w:p w:rsidR="00FB2F23" w:rsidRDefault="00FB2F23" w:rsidP="00FE4406">
            <w:pPr>
              <w:jc w:val="right"/>
              <w:rPr>
                <w:sz w:val="20"/>
              </w:rPr>
            </w:pPr>
          </w:p>
        </w:tc>
        <w:tc>
          <w:tcPr>
            <w:tcW w:w="1350" w:type="dxa"/>
          </w:tcPr>
          <w:p w:rsidR="00FB2F23" w:rsidRDefault="00FB2F23" w:rsidP="00FE4406">
            <w:pPr>
              <w:jc w:val="right"/>
              <w:rPr>
                <w:sz w:val="20"/>
              </w:rPr>
            </w:pPr>
          </w:p>
        </w:tc>
        <w:tc>
          <w:tcPr>
            <w:tcW w:w="1170" w:type="dxa"/>
          </w:tcPr>
          <w:p w:rsidR="00FB2F23" w:rsidRDefault="00FB2F23" w:rsidP="00FE4406">
            <w:pPr>
              <w:jc w:val="right"/>
              <w:rPr>
                <w:sz w:val="20"/>
              </w:rPr>
            </w:pPr>
          </w:p>
        </w:tc>
        <w:tc>
          <w:tcPr>
            <w:tcW w:w="1350" w:type="dxa"/>
          </w:tcPr>
          <w:p w:rsidR="00FB2F23" w:rsidRDefault="00FB2F23" w:rsidP="00FE4406">
            <w:pPr>
              <w:jc w:val="right"/>
              <w:rPr>
                <w:sz w:val="20"/>
              </w:rPr>
            </w:pPr>
          </w:p>
        </w:tc>
      </w:tr>
      <w:tr w:rsidR="00FB2F23" w:rsidTr="00C77EEE">
        <w:tc>
          <w:tcPr>
            <w:tcW w:w="1881" w:type="dxa"/>
          </w:tcPr>
          <w:p w:rsidR="00FB2F23" w:rsidRDefault="00FB2F23" w:rsidP="00FE4406">
            <w:pPr>
              <w:pStyle w:val="Heading4"/>
            </w:pPr>
            <w:r>
              <w:t>TOTALS</w:t>
            </w:r>
          </w:p>
        </w:tc>
        <w:tc>
          <w:tcPr>
            <w:tcW w:w="2637" w:type="dxa"/>
          </w:tcPr>
          <w:p w:rsidR="00FB2F23" w:rsidRDefault="00FB2F23" w:rsidP="00FE4406">
            <w:pPr>
              <w:rPr>
                <w:sz w:val="20"/>
              </w:rPr>
            </w:pPr>
          </w:p>
        </w:tc>
        <w:tc>
          <w:tcPr>
            <w:tcW w:w="1530" w:type="dxa"/>
          </w:tcPr>
          <w:p w:rsidR="00FB2F23" w:rsidRDefault="00F5555E" w:rsidP="00FE4406">
            <w:pPr>
              <w:jc w:val="center"/>
              <w:rPr>
                <w:b/>
                <w:bCs/>
                <w:sz w:val="20"/>
              </w:rPr>
            </w:pPr>
            <w:r>
              <w:rPr>
                <w:b/>
                <w:bCs/>
                <w:sz w:val="20"/>
              </w:rPr>
              <w:t>498 R</w:t>
            </w:r>
            <w:r w:rsidR="00FB2F23">
              <w:rPr>
                <w:b/>
                <w:bCs/>
                <w:sz w:val="20"/>
              </w:rPr>
              <w:t>espondents</w:t>
            </w:r>
          </w:p>
        </w:tc>
        <w:tc>
          <w:tcPr>
            <w:tcW w:w="1350" w:type="dxa"/>
          </w:tcPr>
          <w:p w:rsidR="00FB2F23" w:rsidRDefault="00FB2F23" w:rsidP="00FE4406">
            <w:pPr>
              <w:jc w:val="center"/>
              <w:rPr>
                <w:sz w:val="20"/>
              </w:rPr>
            </w:pPr>
          </w:p>
        </w:tc>
        <w:tc>
          <w:tcPr>
            <w:tcW w:w="1170" w:type="dxa"/>
          </w:tcPr>
          <w:p w:rsidR="00FB2F23" w:rsidRDefault="00FB2F23" w:rsidP="00FE4406">
            <w:pPr>
              <w:jc w:val="right"/>
              <w:rPr>
                <w:b/>
                <w:bCs/>
                <w:sz w:val="20"/>
              </w:rPr>
            </w:pPr>
          </w:p>
        </w:tc>
        <w:tc>
          <w:tcPr>
            <w:tcW w:w="1350" w:type="dxa"/>
          </w:tcPr>
          <w:p w:rsidR="00FB2F23" w:rsidRDefault="008C4374" w:rsidP="006B0D20">
            <w:pPr>
              <w:jc w:val="right"/>
              <w:rPr>
                <w:b/>
                <w:bCs/>
                <w:sz w:val="20"/>
              </w:rPr>
            </w:pPr>
            <w:r>
              <w:rPr>
                <w:b/>
                <w:bCs/>
                <w:sz w:val="20"/>
              </w:rPr>
              <w:t>1</w:t>
            </w:r>
            <w:r w:rsidR="00850632">
              <w:rPr>
                <w:b/>
                <w:bCs/>
                <w:sz w:val="20"/>
              </w:rPr>
              <w:t>12,293</w:t>
            </w:r>
            <w:r w:rsidR="00D92F92">
              <w:rPr>
                <w:b/>
                <w:bCs/>
                <w:sz w:val="20"/>
              </w:rPr>
              <w:t xml:space="preserve"> </w:t>
            </w:r>
            <w:r w:rsidR="00FB2F23">
              <w:rPr>
                <w:b/>
                <w:bCs/>
                <w:sz w:val="20"/>
              </w:rPr>
              <w:t xml:space="preserve"> hours</w:t>
            </w:r>
          </w:p>
        </w:tc>
      </w:tr>
    </w:tbl>
    <w:p w:rsidR="00E6241D" w:rsidRDefault="00E6241D" w:rsidP="00E6241D"/>
    <w:p w:rsidR="003610E4" w:rsidRDefault="003610E4" w:rsidP="00E6241D">
      <w:pPr>
        <w:rPr>
          <w:b/>
          <w:bCs/>
          <w:i/>
          <w:iCs/>
        </w:rPr>
      </w:pPr>
    </w:p>
    <w:p w:rsidR="003610E4" w:rsidRDefault="003610E4" w:rsidP="00E6241D">
      <w:pPr>
        <w:rPr>
          <w:b/>
          <w:bCs/>
          <w:i/>
          <w:iCs/>
        </w:rPr>
      </w:pPr>
    </w:p>
    <w:p w:rsidR="00E6241D" w:rsidRDefault="00E6241D" w:rsidP="00E6241D">
      <w:pPr>
        <w:rPr>
          <w:b/>
          <w:bCs/>
          <w:i/>
          <w:iCs/>
        </w:rPr>
      </w:pPr>
      <w:r>
        <w:rPr>
          <w:b/>
          <w:bCs/>
          <w:i/>
          <w:iCs/>
        </w:rPr>
        <w:lastRenderedPageBreak/>
        <w:t xml:space="preserve">Cost of </w:t>
      </w:r>
      <w:proofErr w:type="spellStart"/>
      <w:r>
        <w:rPr>
          <w:b/>
          <w:bCs/>
          <w:i/>
          <w:iCs/>
        </w:rPr>
        <w:t>Hour</w:t>
      </w:r>
      <w:proofErr w:type="spellEnd"/>
      <w:r>
        <w:rPr>
          <w:b/>
          <w:bCs/>
          <w:i/>
          <w:iCs/>
        </w:rPr>
        <w:t xml:space="preserve"> Burden to Respondents:</w:t>
      </w:r>
    </w:p>
    <w:p w:rsidR="00E6241D" w:rsidRDefault="00E6241D" w:rsidP="00E6241D"/>
    <w:p w:rsidR="00E6241D" w:rsidRDefault="00E6241D" w:rsidP="00E6241D">
      <w:r>
        <w:t>The OCC estimates the cost of the hour burden to respondents (by wage rate categories) as follows:</w:t>
      </w:r>
    </w:p>
    <w:p w:rsidR="00E6241D" w:rsidRDefault="00E6241D" w:rsidP="00E6241D"/>
    <w:p w:rsidR="00E6241D" w:rsidRPr="000C2BB4" w:rsidRDefault="00E6241D" w:rsidP="00E6241D">
      <w:pPr>
        <w:rPr>
          <w:szCs w:val="24"/>
        </w:rPr>
      </w:pPr>
      <w:r>
        <w:t>Clerical ($20/hour):</w:t>
      </w:r>
      <w:r>
        <w:tab/>
      </w:r>
      <w:r>
        <w:tab/>
      </w:r>
      <w:r>
        <w:tab/>
        <w:t xml:space="preserve">09% x </w:t>
      </w:r>
      <w:r w:rsidR="00237965" w:rsidRPr="000C2BB4">
        <w:rPr>
          <w:bCs/>
          <w:szCs w:val="24"/>
        </w:rPr>
        <w:t>113,985</w:t>
      </w:r>
      <w:r w:rsidRPr="000C2BB4">
        <w:rPr>
          <w:szCs w:val="24"/>
        </w:rPr>
        <w:t xml:space="preserve"> =</w:t>
      </w:r>
      <w:r w:rsidRPr="000C2BB4">
        <w:rPr>
          <w:szCs w:val="24"/>
        </w:rPr>
        <w:tab/>
        <w:t xml:space="preserve"> </w:t>
      </w:r>
      <w:r w:rsidR="000C2BB4">
        <w:rPr>
          <w:szCs w:val="24"/>
        </w:rPr>
        <w:t xml:space="preserve"> 1</w:t>
      </w:r>
      <w:r w:rsidR="00237965" w:rsidRPr="000C2BB4">
        <w:rPr>
          <w:szCs w:val="24"/>
        </w:rPr>
        <w:t>0,258.65</w:t>
      </w:r>
      <w:r w:rsidR="00F46789" w:rsidRPr="000C2BB4">
        <w:rPr>
          <w:szCs w:val="24"/>
        </w:rPr>
        <w:t xml:space="preserve"> </w:t>
      </w:r>
      <w:r w:rsidR="0055015E" w:rsidRPr="000C2BB4">
        <w:rPr>
          <w:szCs w:val="24"/>
        </w:rPr>
        <w:t>@ $20 =</w:t>
      </w:r>
      <w:r w:rsidR="0055015E" w:rsidRPr="000C2BB4">
        <w:rPr>
          <w:szCs w:val="24"/>
        </w:rPr>
        <w:tab/>
        <w:t xml:space="preserve">$    </w:t>
      </w:r>
      <w:r w:rsidR="005B7957" w:rsidRPr="000C2BB4">
        <w:rPr>
          <w:szCs w:val="24"/>
        </w:rPr>
        <w:t xml:space="preserve">  </w:t>
      </w:r>
      <w:r w:rsidR="009562AA" w:rsidRPr="000C2BB4">
        <w:rPr>
          <w:szCs w:val="24"/>
        </w:rPr>
        <w:t xml:space="preserve">  </w:t>
      </w:r>
      <w:r w:rsidR="00237965" w:rsidRPr="000C2BB4">
        <w:rPr>
          <w:szCs w:val="24"/>
        </w:rPr>
        <w:t>205,173</w:t>
      </w:r>
    </w:p>
    <w:p w:rsidR="00E6241D" w:rsidRPr="000C2BB4" w:rsidRDefault="00E6241D" w:rsidP="00E6241D">
      <w:pPr>
        <w:rPr>
          <w:szCs w:val="24"/>
        </w:rPr>
      </w:pPr>
      <w:r w:rsidRPr="000C2BB4">
        <w:rPr>
          <w:szCs w:val="24"/>
        </w:rPr>
        <w:t>Managerial/Technical ($40/hour):</w:t>
      </w:r>
      <w:r w:rsidRPr="000C2BB4">
        <w:rPr>
          <w:szCs w:val="24"/>
        </w:rPr>
        <w:tab/>
        <w:t xml:space="preserve">43% x </w:t>
      </w:r>
      <w:r w:rsidR="00237965" w:rsidRPr="000C2BB4">
        <w:rPr>
          <w:bCs/>
          <w:szCs w:val="24"/>
        </w:rPr>
        <w:t>113,985</w:t>
      </w:r>
      <w:r w:rsidRPr="000C2BB4">
        <w:rPr>
          <w:szCs w:val="24"/>
        </w:rPr>
        <w:t>=</w:t>
      </w:r>
      <w:r w:rsidRPr="000C2BB4">
        <w:rPr>
          <w:szCs w:val="24"/>
        </w:rPr>
        <w:tab/>
        <w:t xml:space="preserve">  </w:t>
      </w:r>
      <w:r w:rsidR="00237965" w:rsidRPr="000C2BB4">
        <w:rPr>
          <w:szCs w:val="24"/>
        </w:rPr>
        <w:t>49,013.55</w:t>
      </w:r>
      <w:r w:rsidR="00F46789" w:rsidRPr="000C2BB4">
        <w:rPr>
          <w:szCs w:val="24"/>
        </w:rPr>
        <w:t xml:space="preserve"> </w:t>
      </w:r>
      <w:r w:rsidR="0055015E" w:rsidRPr="000C2BB4">
        <w:rPr>
          <w:szCs w:val="24"/>
        </w:rPr>
        <w:t>@ $40 =</w:t>
      </w:r>
      <w:r w:rsidR="0055015E" w:rsidRPr="000C2BB4">
        <w:rPr>
          <w:szCs w:val="24"/>
        </w:rPr>
        <w:tab/>
        <w:t xml:space="preserve">$    </w:t>
      </w:r>
      <w:r w:rsidR="00E87C81" w:rsidRPr="000C2BB4">
        <w:rPr>
          <w:szCs w:val="24"/>
        </w:rPr>
        <w:t xml:space="preserve"> 1,</w:t>
      </w:r>
      <w:r w:rsidR="00237965" w:rsidRPr="000C2BB4">
        <w:rPr>
          <w:szCs w:val="24"/>
        </w:rPr>
        <w:t>960,542</w:t>
      </w:r>
    </w:p>
    <w:p w:rsidR="00E6241D" w:rsidRDefault="00E6241D" w:rsidP="00E6241D">
      <w:pPr>
        <w:pStyle w:val="Footer"/>
        <w:tabs>
          <w:tab w:val="clear" w:pos="4320"/>
          <w:tab w:val="clear" w:pos="8640"/>
        </w:tabs>
      </w:pPr>
      <w:r w:rsidRPr="000C2BB4">
        <w:rPr>
          <w:szCs w:val="24"/>
        </w:rPr>
        <w:t>Senior Management ($80/hour):</w:t>
      </w:r>
      <w:r w:rsidRPr="000C2BB4">
        <w:rPr>
          <w:szCs w:val="24"/>
        </w:rPr>
        <w:tab/>
        <w:t xml:space="preserve">48% x </w:t>
      </w:r>
      <w:r w:rsidR="00237965" w:rsidRPr="000C2BB4">
        <w:rPr>
          <w:bCs/>
          <w:szCs w:val="24"/>
        </w:rPr>
        <w:t>113,985</w:t>
      </w:r>
      <w:r w:rsidRPr="000C2BB4">
        <w:rPr>
          <w:szCs w:val="24"/>
        </w:rPr>
        <w:t>=</w:t>
      </w:r>
      <w:r>
        <w:t xml:space="preserve">           </w:t>
      </w:r>
      <w:r w:rsidR="009562AA">
        <w:t xml:space="preserve"> </w:t>
      </w:r>
      <w:r w:rsidR="00237965">
        <w:t>54,712.80</w:t>
      </w:r>
      <w:r w:rsidR="009562AA">
        <w:t xml:space="preserve"> </w:t>
      </w:r>
      <w:r>
        <w:t>@ $80 =</w:t>
      </w:r>
      <w:r>
        <w:tab/>
      </w:r>
      <w:r>
        <w:rPr>
          <w:u w:val="single"/>
        </w:rPr>
        <w:t xml:space="preserve">$    </w:t>
      </w:r>
      <w:r w:rsidR="000A686F">
        <w:rPr>
          <w:u w:val="single"/>
        </w:rPr>
        <w:t xml:space="preserve"> </w:t>
      </w:r>
      <w:r w:rsidR="00237965">
        <w:rPr>
          <w:u w:val="single"/>
        </w:rPr>
        <w:t>4,377,024</w:t>
      </w:r>
    </w:p>
    <w:p w:rsidR="00E6241D" w:rsidRDefault="00E6241D" w:rsidP="00E6241D">
      <w:pPr>
        <w:pStyle w:val="Heading2"/>
        <w:spacing w:before="0" w:after="0"/>
        <w:rPr>
          <w:bCs/>
        </w:rPr>
      </w:pPr>
      <w:r>
        <w:rPr>
          <w:bCs/>
        </w:rPr>
        <w:t>Total Cost to R</w:t>
      </w:r>
      <w:r w:rsidR="0055015E">
        <w:rPr>
          <w:bCs/>
        </w:rPr>
        <w:t>espondents:</w:t>
      </w:r>
      <w:r w:rsidR="0055015E">
        <w:rPr>
          <w:bCs/>
        </w:rPr>
        <w:tab/>
      </w:r>
      <w:r w:rsidR="0055015E">
        <w:rPr>
          <w:bCs/>
        </w:rPr>
        <w:tab/>
      </w:r>
      <w:r w:rsidR="0055015E">
        <w:rPr>
          <w:bCs/>
        </w:rPr>
        <w:tab/>
      </w:r>
      <w:r w:rsidR="0055015E">
        <w:rPr>
          <w:bCs/>
        </w:rPr>
        <w:tab/>
      </w:r>
      <w:r w:rsidR="0055015E">
        <w:rPr>
          <w:bCs/>
        </w:rPr>
        <w:tab/>
      </w:r>
      <w:r w:rsidR="0055015E">
        <w:rPr>
          <w:bCs/>
        </w:rPr>
        <w:tab/>
      </w:r>
      <w:r w:rsidR="0055015E">
        <w:rPr>
          <w:bCs/>
        </w:rPr>
        <w:tab/>
      </w:r>
      <w:r w:rsidR="0055015E">
        <w:rPr>
          <w:bCs/>
        </w:rPr>
        <w:tab/>
        <w:t xml:space="preserve">$   </w:t>
      </w:r>
      <w:r w:rsidR="009562AA">
        <w:rPr>
          <w:bCs/>
        </w:rPr>
        <w:t xml:space="preserve"> </w:t>
      </w:r>
      <w:r w:rsidR="005B7957">
        <w:rPr>
          <w:bCs/>
        </w:rPr>
        <w:t xml:space="preserve"> </w:t>
      </w:r>
      <w:r w:rsidR="00237965">
        <w:rPr>
          <w:bCs/>
        </w:rPr>
        <w:t>6,542,739</w:t>
      </w:r>
    </w:p>
    <w:p w:rsidR="00E6241D" w:rsidRDefault="00E6241D" w:rsidP="00EB169D"/>
    <w:p w:rsidR="00EB169D" w:rsidRPr="00E5013B" w:rsidRDefault="00EB169D" w:rsidP="00EB169D">
      <w:pPr>
        <w:pStyle w:val="Header"/>
        <w:tabs>
          <w:tab w:val="clear" w:pos="4320"/>
          <w:tab w:val="clear" w:pos="8640"/>
          <w:tab w:val="left" w:pos="1212"/>
        </w:tabs>
        <w:rPr>
          <w:color w:val="000000"/>
        </w:rPr>
      </w:pPr>
      <w:r w:rsidRPr="00E5013B">
        <w:t>13.</w:t>
      </w:r>
      <w:r>
        <w:t xml:space="preserve">      </w:t>
      </w:r>
      <w:r w:rsidRPr="00E5013B">
        <w:rPr>
          <w:u w:val="single"/>
        </w:rPr>
        <w:t>Estimate of annual cost</w:t>
      </w:r>
      <w:r w:rsidRPr="00E5013B">
        <w:t xml:space="preserve">.  </w:t>
      </w:r>
      <w:r w:rsidR="00F55A41">
        <w:rPr>
          <w:color w:val="000000"/>
        </w:rPr>
        <w:t>There is no annualized cost other than that specified in item #12.</w:t>
      </w:r>
    </w:p>
    <w:p w:rsidR="00EB169D" w:rsidRPr="00E5013B" w:rsidRDefault="00EB169D" w:rsidP="00EB169D">
      <w:pPr>
        <w:pStyle w:val="Header"/>
        <w:tabs>
          <w:tab w:val="clear" w:pos="4320"/>
          <w:tab w:val="clear" w:pos="8640"/>
        </w:tabs>
        <w:rPr>
          <w:color w:val="000000"/>
        </w:rPr>
      </w:pPr>
      <w:r w:rsidRPr="00E5013B">
        <w:rPr>
          <w:color w:val="000000"/>
        </w:rPr>
        <w:tab/>
      </w:r>
    </w:p>
    <w:p w:rsidR="00EB169D" w:rsidRDefault="00EB169D" w:rsidP="00EB169D">
      <w:r>
        <w:t>14.</w:t>
      </w:r>
      <w:r>
        <w:tab/>
      </w:r>
      <w:r>
        <w:rPr>
          <w:u w:val="single"/>
        </w:rPr>
        <w:t>Estimates of annualized cost to government</w:t>
      </w:r>
      <w:r>
        <w:t>.</w:t>
      </w:r>
    </w:p>
    <w:p w:rsidR="00EB169D" w:rsidRDefault="00EB169D" w:rsidP="00EB169D"/>
    <w:p w:rsidR="00EB169D" w:rsidRDefault="00EB169D" w:rsidP="00EB169D">
      <w:r>
        <w:tab/>
        <w:t>The total annualized cost to the government will be minimal.</w:t>
      </w:r>
    </w:p>
    <w:p w:rsidR="00EB169D" w:rsidRDefault="00EB169D" w:rsidP="00EB169D"/>
    <w:p w:rsidR="00EB169D" w:rsidRDefault="00EB169D" w:rsidP="00EB169D">
      <w:r>
        <w:t>15.</w:t>
      </w:r>
      <w:r>
        <w:tab/>
      </w:r>
      <w:r>
        <w:rPr>
          <w:u w:val="single"/>
        </w:rPr>
        <w:t>Changes in burden</w:t>
      </w:r>
      <w:r>
        <w:t xml:space="preserve">.  </w:t>
      </w:r>
    </w:p>
    <w:p w:rsidR="008C4015" w:rsidRDefault="008C4015" w:rsidP="00EB169D"/>
    <w:p w:rsidR="008C4015" w:rsidRDefault="008C4015" w:rsidP="00EB169D">
      <w:r>
        <w:tab/>
        <w:t>Prior Burden:</w:t>
      </w:r>
    </w:p>
    <w:p w:rsidR="008C4015" w:rsidRDefault="008C4015" w:rsidP="00EB169D">
      <w:r>
        <w:tab/>
      </w:r>
      <w:r w:rsidR="00466C09">
        <w:t>83,529 burden hours</w:t>
      </w:r>
    </w:p>
    <w:p w:rsidR="008C4015" w:rsidRDefault="008C4015" w:rsidP="00EB169D"/>
    <w:p w:rsidR="008C4015" w:rsidRDefault="008C4015" w:rsidP="00EB169D">
      <w:r>
        <w:tab/>
        <w:t>Current Burden:</w:t>
      </w:r>
    </w:p>
    <w:p w:rsidR="008C4015" w:rsidRDefault="00466C09" w:rsidP="00466C09">
      <w:r>
        <w:tab/>
      </w:r>
      <w:r w:rsidR="00605E0A">
        <w:t>112,293</w:t>
      </w:r>
      <w:r>
        <w:t xml:space="preserve"> burden hours</w:t>
      </w:r>
    </w:p>
    <w:p w:rsidR="008C4015" w:rsidRDefault="008C4015" w:rsidP="00EB169D"/>
    <w:p w:rsidR="008C4015" w:rsidRDefault="008C4015" w:rsidP="00EB169D">
      <w:r>
        <w:tab/>
        <w:t>Difference:</w:t>
      </w:r>
    </w:p>
    <w:p w:rsidR="008C4015" w:rsidRDefault="008C4015" w:rsidP="00EB169D">
      <w:r>
        <w:tab/>
      </w:r>
      <w:r w:rsidR="00466C09">
        <w:t xml:space="preserve">+ </w:t>
      </w:r>
      <w:r w:rsidR="00605E0A">
        <w:t>28,764</w:t>
      </w:r>
      <w:r>
        <w:t xml:space="preserve"> burden hours</w:t>
      </w:r>
    </w:p>
    <w:p w:rsidR="008C4015" w:rsidRDefault="008C4015" w:rsidP="00EB169D"/>
    <w:p w:rsidR="008C4015" w:rsidRDefault="008C4015" w:rsidP="00EB169D">
      <w:r>
        <w:tab/>
        <w:t xml:space="preserve">The </w:t>
      </w:r>
      <w:r w:rsidR="00466C09">
        <w:t>in</w:t>
      </w:r>
      <w:r w:rsidR="001B6A0C">
        <w:t xml:space="preserve">crease </w:t>
      </w:r>
      <w:r>
        <w:t>is due to</w:t>
      </w:r>
      <w:r w:rsidR="001B6A0C">
        <w:t xml:space="preserve"> the </w:t>
      </w:r>
      <w:r w:rsidR="00466C09">
        <w:t>burden imposed by the ad</w:t>
      </w:r>
      <w:r w:rsidR="00E705B9">
        <w:t>ditional regulatory requirements found in the NPRM</w:t>
      </w:r>
      <w:r w:rsidR="00466C09">
        <w:t>.</w:t>
      </w:r>
    </w:p>
    <w:p w:rsidR="00E22D8E" w:rsidRDefault="00E22D8E" w:rsidP="00EB169D"/>
    <w:p w:rsidR="00EB169D" w:rsidRDefault="00EB169D" w:rsidP="00EB169D">
      <w:r>
        <w:t>16.</w:t>
      </w:r>
      <w:r>
        <w:tab/>
      </w:r>
      <w:r>
        <w:rPr>
          <w:u w:val="single"/>
        </w:rPr>
        <w:t>Publication for statistical use</w:t>
      </w:r>
      <w:r>
        <w:t>.</w:t>
      </w:r>
    </w:p>
    <w:p w:rsidR="00EB169D" w:rsidRDefault="00EB169D" w:rsidP="00EB169D"/>
    <w:p w:rsidR="00EB169D" w:rsidRDefault="00EB169D" w:rsidP="00EB169D">
      <w:r>
        <w:tab/>
      </w:r>
      <w:r w:rsidR="00F55A41">
        <w:t>T</w:t>
      </w:r>
      <w:r>
        <w:t>he information</w:t>
      </w:r>
      <w:r w:rsidR="00F55A41">
        <w:t xml:space="preserve"> will not be used</w:t>
      </w:r>
      <w:r>
        <w:t xml:space="preserve"> for statistical purposes.</w:t>
      </w:r>
    </w:p>
    <w:p w:rsidR="00EB169D" w:rsidRDefault="00EB169D" w:rsidP="00EB169D"/>
    <w:p w:rsidR="00EB169D" w:rsidRDefault="00EB169D" w:rsidP="00EB169D">
      <w:r>
        <w:t>17.</w:t>
      </w:r>
      <w:r>
        <w:tab/>
      </w:r>
      <w:r>
        <w:rPr>
          <w:u w:val="single"/>
        </w:rPr>
        <w:t>Display of expiration date</w:t>
      </w:r>
      <w:r>
        <w:t>.</w:t>
      </w:r>
    </w:p>
    <w:p w:rsidR="00EB169D" w:rsidRDefault="00EB169D" w:rsidP="00EB169D"/>
    <w:p w:rsidR="00EB169D" w:rsidRDefault="00F55A41" w:rsidP="00EB169D">
      <w:pPr>
        <w:ind w:firstLine="720"/>
      </w:pPr>
      <w:r>
        <w:t>Not applicable.</w:t>
      </w:r>
    </w:p>
    <w:p w:rsidR="00EB169D" w:rsidRDefault="00EB169D" w:rsidP="00EB169D"/>
    <w:p w:rsidR="00EB169D" w:rsidRDefault="00EB169D" w:rsidP="00EB169D">
      <w:r>
        <w:t>18.</w:t>
      </w:r>
      <w:r>
        <w:tab/>
      </w:r>
      <w:r>
        <w:rPr>
          <w:u w:val="single"/>
        </w:rPr>
        <w:t>Exceptions to the certification statement</w:t>
      </w:r>
      <w:r>
        <w:t>.</w:t>
      </w:r>
    </w:p>
    <w:p w:rsidR="00EB169D" w:rsidRDefault="00EB169D" w:rsidP="00EB169D"/>
    <w:p w:rsidR="00EB169D" w:rsidRDefault="00F55A41" w:rsidP="00EB169D">
      <w:pPr>
        <w:ind w:firstLine="720"/>
      </w:pPr>
      <w:r>
        <w:t>Not applicable.</w:t>
      </w:r>
    </w:p>
    <w:p w:rsidR="00EB169D" w:rsidRDefault="00EB169D" w:rsidP="00EB169D"/>
    <w:p w:rsidR="00EB169D" w:rsidRDefault="00EB169D" w:rsidP="00EB169D">
      <w:pPr>
        <w:rPr>
          <w:b/>
          <w:bCs/>
        </w:rPr>
      </w:pPr>
      <w:r>
        <w:rPr>
          <w:b/>
          <w:bCs/>
        </w:rPr>
        <w:t>B.</w:t>
      </w:r>
      <w:r>
        <w:rPr>
          <w:b/>
          <w:bCs/>
        </w:rPr>
        <w:tab/>
        <w:t>Collection of information employing statistical methods.</w:t>
      </w:r>
    </w:p>
    <w:p w:rsidR="00EB169D" w:rsidRDefault="00EB169D" w:rsidP="00EB169D"/>
    <w:p w:rsidR="00EB169D" w:rsidRDefault="00EB169D" w:rsidP="00EB169D">
      <w:r>
        <w:tab/>
        <w:t>Not applicable.</w:t>
      </w:r>
    </w:p>
    <w:p w:rsidR="009D0184" w:rsidRDefault="009D0184"/>
    <w:sectPr w:rsidR="009D0184" w:rsidSect="00235D73">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1F0" w:rsidRDefault="00F561F0">
      <w:r>
        <w:separator/>
      </w:r>
    </w:p>
  </w:endnote>
  <w:endnote w:type="continuationSeparator" w:id="0">
    <w:p w:rsidR="00F561F0" w:rsidRDefault="00F561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B80" w:rsidRDefault="00932078">
    <w:pPr>
      <w:pStyle w:val="Footer"/>
      <w:framePr w:wrap="around" w:vAnchor="text" w:hAnchor="margin" w:xAlign="center" w:y="1"/>
      <w:rPr>
        <w:rStyle w:val="PageNumber"/>
      </w:rPr>
    </w:pPr>
    <w:r>
      <w:rPr>
        <w:rStyle w:val="PageNumber"/>
      </w:rPr>
      <w:fldChar w:fldCharType="begin"/>
    </w:r>
    <w:r w:rsidR="00EE5B80">
      <w:rPr>
        <w:rStyle w:val="PageNumber"/>
      </w:rPr>
      <w:instrText xml:space="preserve">PAGE  </w:instrText>
    </w:r>
    <w:r>
      <w:rPr>
        <w:rStyle w:val="PageNumber"/>
      </w:rPr>
      <w:fldChar w:fldCharType="end"/>
    </w:r>
  </w:p>
  <w:p w:rsidR="00EE5B80" w:rsidRDefault="00EE5B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B80" w:rsidRDefault="00932078">
    <w:pPr>
      <w:pStyle w:val="Footer"/>
      <w:framePr w:wrap="around" w:vAnchor="text" w:hAnchor="margin" w:xAlign="center" w:y="1"/>
      <w:rPr>
        <w:rStyle w:val="PageNumber"/>
      </w:rPr>
    </w:pPr>
    <w:r>
      <w:rPr>
        <w:rStyle w:val="PageNumber"/>
      </w:rPr>
      <w:fldChar w:fldCharType="begin"/>
    </w:r>
    <w:r w:rsidR="00EE5B80">
      <w:rPr>
        <w:rStyle w:val="PageNumber"/>
      </w:rPr>
      <w:instrText xml:space="preserve">PAGE  </w:instrText>
    </w:r>
    <w:r>
      <w:rPr>
        <w:rStyle w:val="PageNumber"/>
      </w:rPr>
      <w:fldChar w:fldCharType="separate"/>
    </w:r>
    <w:r w:rsidR="003610E4">
      <w:rPr>
        <w:rStyle w:val="PageNumber"/>
        <w:noProof/>
      </w:rPr>
      <w:t>13</w:t>
    </w:r>
    <w:r>
      <w:rPr>
        <w:rStyle w:val="PageNumber"/>
      </w:rPr>
      <w:fldChar w:fldCharType="end"/>
    </w:r>
  </w:p>
  <w:p w:rsidR="00EE5B80" w:rsidRDefault="00EE5B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1F0" w:rsidRDefault="00F561F0">
      <w:r>
        <w:separator/>
      </w:r>
    </w:p>
  </w:footnote>
  <w:footnote w:type="continuationSeparator" w:id="0">
    <w:p w:rsidR="00F561F0" w:rsidRDefault="00F561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708D2CE7"/>
    <w:multiLevelType w:val="hybridMultilevel"/>
    <w:tmpl w:val="E176FEFE"/>
    <w:lvl w:ilvl="0" w:tplc="FA10D8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5"/>
  </w:num>
  <w:num w:numId="4">
    <w:abstractNumId w:val="5"/>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5"/>
  </w:num>
  <w:num w:numId="14">
    <w:abstractNumId w:val="5"/>
  </w:num>
  <w:num w:numId="15">
    <w:abstractNumId w:val="5"/>
  </w:num>
  <w:num w:numId="16">
    <w:abstractNumId w:val="5"/>
  </w:num>
  <w:num w:numId="17">
    <w:abstractNumId w:val="0"/>
  </w:num>
  <w:num w:numId="18">
    <w:abstractNumId w:val="3"/>
  </w:num>
  <w:num w:numId="19">
    <w:abstractNumId w:val="4"/>
  </w:num>
  <w:num w:numId="20">
    <w:abstractNumId w:val="8"/>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E0F1B"/>
    <w:rsid w:val="000505CB"/>
    <w:rsid w:val="00061715"/>
    <w:rsid w:val="00066BCC"/>
    <w:rsid w:val="000765B5"/>
    <w:rsid w:val="000767F1"/>
    <w:rsid w:val="000878C8"/>
    <w:rsid w:val="000A08DC"/>
    <w:rsid w:val="000A4B96"/>
    <w:rsid w:val="000A686F"/>
    <w:rsid w:val="000B7341"/>
    <w:rsid w:val="000C2AAE"/>
    <w:rsid w:val="000C2BB4"/>
    <w:rsid w:val="000C3649"/>
    <w:rsid w:val="000C3929"/>
    <w:rsid w:val="000D0285"/>
    <w:rsid w:val="000D1213"/>
    <w:rsid w:val="000D68E4"/>
    <w:rsid w:val="000D72FD"/>
    <w:rsid w:val="000E0F1B"/>
    <w:rsid w:val="000E53CC"/>
    <w:rsid w:val="000E6F15"/>
    <w:rsid w:val="00100319"/>
    <w:rsid w:val="00117556"/>
    <w:rsid w:val="0012053B"/>
    <w:rsid w:val="00122250"/>
    <w:rsid w:val="00126DD3"/>
    <w:rsid w:val="001422E4"/>
    <w:rsid w:val="00153504"/>
    <w:rsid w:val="00154C6B"/>
    <w:rsid w:val="00154EFD"/>
    <w:rsid w:val="001565D0"/>
    <w:rsid w:val="0016634F"/>
    <w:rsid w:val="00184476"/>
    <w:rsid w:val="00185F25"/>
    <w:rsid w:val="001860DF"/>
    <w:rsid w:val="00186758"/>
    <w:rsid w:val="00191547"/>
    <w:rsid w:val="00196798"/>
    <w:rsid w:val="001A643A"/>
    <w:rsid w:val="001B6A0C"/>
    <w:rsid w:val="001E6FA4"/>
    <w:rsid w:val="0020003F"/>
    <w:rsid w:val="00225B12"/>
    <w:rsid w:val="00225B5A"/>
    <w:rsid w:val="002272FF"/>
    <w:rsid w:val="00235D73"/>
    <w:rsid w:val="00237965"/>
    <w:rsid w:val="00271825"/>
    <w:rsid w:val="002773E8"/>
    <w:rsid w:val="002B4869"/>
    <w:rsid w:val="002C127E"/>
    <w:rsid w:val="002C3D07"/>
    <w:rsid w:val="002E26B4"/>
    <w:rsid w:val="002E61D4"/>
    <w:rsid w:val="002F19F1"/>
    <w:rsid w:val="003007BE"/>
    <w:rsid w:val="00311D39"/>
    <w:rsid w:val="00320556"/>
    <w:rsid w:val="00352350"/>
    <w:rsid w:val="003610E4"/>
    <w:rsid w:val="0038030F"/>
    <w:rsid w:val="00391389"/>
    <w:rsid w:val="00397D38"/>
    <w:rsid w:val="003A3738"/>
    <w:rsid w:val="003B0D4D"/>
    <w:rsid w:val="003B44B2"/>
    <w:rsid w:val="003B6B93"/>
    <w:rsid w:val="003C18A5"/>
    <w:rsid w:val="003C259A"/>
    <w:rsid w:val="003C5F31"/>
    <w:rsid w:val="003D3486"/>
    <w:rsid w:val="003D7B7B"/>
    <w:rsid w:val="004067B3"/>
    <w:rsid w:val="00411EC9"/>
    <w:rsid w:val="00413F1A"/>
    <w:rsid w:val="0042112B"/>
    <w:rsid w:val="00440090"/>
    <w:rsid w:val="00466C09"/>
    <w:rsid w:val="004707D0"/>
    <w:rsid w:val="00472B3E"/>
    <w:rsid w:val="004D4CDE"/>
    <w:rsid w:val="004D7DB3"/>
    <w:rsid w:val="004E5ADD"/>
    <w:rsid w:val="00512454"/>
    <w:rsid w:val="00542866"/>
    <w:rsid w:val="0055015E"/>
    <w:rsid w:val="0055601B"/>
    <w:rsid w:val="0056764A"/>
    <w:rsid w:val="00580433"/>
    <w:rsid w:val="005A3181"/>
    <w:rsid w:val="005B7957"/>
    <w:rsid w:val="005C4ED4"/>
    <w:rsid w:val="005D4AFC"/>
    <w:rsid w:val="005E2274"/>
    <w:rsid w:val="00605E0A"/>
    <w:rsid w:val="006304B2"/>
    <w:rsid w:val="006342A3"/>
    <w:rsid w:val="006507E5"/>
    <w:rsid w:val="00651AA7"/>
    <w:rsid w:val="00657CF5"/>
    <w:rsid w:val="00662CFA"/>
    <w:rsid w:val="00663745"/>
    <w:rsid w:val="00665335"/>
    <w:rsid w:val="00671E84"/>
    <w:rsid w:val="006A4A97"/>
    <w:rsid w:val="006B0D20"/>
    <w:rsid w:val="006B119F"/>
    <w:rsid w:val="006B467E"/>
    <w:rsid w:val="006C7AA9"/>
    <w:rsid w:val="006E103C"/>
    <w:rsid w:val="006E5423"/>
    <w:rsid w:val="006F717D"/>
    <w:rsid w:val="00713CDB"/>
    <w:rsid w:val="00715403"/>
    <w:rsid w:val="0072647C"/>
    <w:rsid w:val="00727300"/>
    <w:rsid w:val="0078420D"/>
    <w:rsid w:val="007A2084"/>
    <w:rsid w:val="007A26F1"/>
    <w:rsid w:val="007C68CF"/>
    <w:rsid w:val="007D3FBB"/>
    <w:rsid w:val="007D5274"/>
    <w:rsid w:val="007E03E0"/>
    <w:rsid w:val="007E1345"/>
    <w:rsid w:val="007F4C57"/>
    <w:rsid w:val="00801B92"/>
    <w:rsid w:val="00813F6C"/>
    <w:rsid w:val="00850632"/>
    <w:rsid w:val="00865929"/>
    <w:rsid w:val="00873B40"/>
    <w:rsid w:val="008907C5"/>
    <w:rsid w:val="00891980"/>
    <w:rsid w:val="008A5CAD"/>
    <w:rsid w:val="008B3D25"/>
    <w:rsid w:val="008C278A"/>
    <w:rsid w:val="008C4015"/>
    <w:rsid w:val="008C4374"/>
    <w:rsid w:val="008E6014"/>
    <w:rsid w:val="0090173E"/>
    <w:rsid w:val="00903387"/>
    <w:rsid w:val="00925A6E"/>
    <w:rsid w:val="00926FF8"/>
    <w:rsid w:val="0093102A"/>
    <w:rsid w:val="00932078"/>
    <w:rsid w:val="00940360"/>
    <w:rsid w:val="009450C6"/>
    <w:rsid w:val="00951A93"/>
    <w:rsid w:val="009562AA"/>
    <w:rsid w:val="00994BB7"/>
    <w:rsid w:val="009950D9"/>
    <w:rsid w:val="0099546B"/>
    <w:rsid w:val="009A6A6A"/>
    <w:rsid w:val="009C0EA1"/>
    <w:rsid w:val="009C132A"/>
    <w:rsid w:val="009D0184"/>
    <w:rsid w:val="00A019C4"/>
    <w:rsid w:val="00A04FE5"/>
    <w:rsid w:val="00A133B8"/>
    <w:rsid w:val="00A47475"/>
    <w:rsid w:val="00A56FE0"/>
    <w:rsid w:val="00A7025F"/>
    <w:rsid w:val="00AA1616"/>
    <w:rsid w:val="00AC7FAB"/>
    <w:rsid w:val="00AD7AB1"/>
    <w:rsid w:val="00B200EF"/>
    <w:rsid w:val="00B2183D"/>
    <w:rsid w:val="00B25EEC"/>
    <w:rsid w:val="00B4076C"/>
    <w:rsid w:val="00B40AF6"/>
    <w:rsid w:val="00B5475C"/>
    <w:rsid w:val="00B73680"/>
    <w:rsid w:val="00BA400B"/>
    <w:rsid w:val="00BA68C6"/>
    <w:rsid w:val="00BB66CE"/>
    <w:rsid w:val="00BC0BC2"/>
    <w:rsid w:val="00BD7055"/>
    <w:rsid w:val="00BE142D"/>
    <w:rsid w:val="00C05EF2"/>
    <w:rsid w:val="00C25E87"/>
    <w:rsid w:val="00C30097"/>
    <w:rsid w:val="00C32003"/>
    <w:rsid w:val="00C77EEE"/>
    <w:rsid w:val="00C846BA"/>
    <w:rsid w:val="00C92047"/>
    <w:rsid w:val="00C92E31"/>
    <w:rsid w:val="00CC47CD"/>
    <w:rsid w:val="00CE6F17"/>
    <w:rsid w:val="00CF0C12"/>
    <w:rsid w:val="00D05CF1"/>
    <w:rsid w:val="00D35F32"/>
    <w:rsid w:val="00D43929"/>
    <w:rsid w:val="00D43D86"/>
    <w:rsid w:val="00D56C91"/>
    <w:rsid w:val="00D67B3B"/>
    <w:rsid w:val="00D7588F"/>
    <w:rsid w:val="00D92F92"/>
    <w:rsid w:val="00D93863"/>
    <w:rsid w:val="00DA2183"/>
    <w:rsid w:val="00DC7042"/>
    <w:rsid w:val="00DE3031"/>
    <w:rsid w:val="00DE3CA4"/>
    <w:rsid w:val="00E22D8E"/>
    <w:rsid w:val="00E61420"/>
    <w:rsid w:val="00E6241D"/>
    <w:rsid w:val="00E705B9"/>
    <w:rsid w:val="00E74431"/>
    <w:rsid w:val="00E87C81"/>
    <w:rsid w:val="00EA2570"/>
    <w:rsid w:val="00EB169D"/>
    <w:rsid w:val="00ED5D45"/>
    <w:rsid w:val="00EE05B0"/>
    <w:rsid w:val="00EE5B80"/>
    <w:rsid w:val="00EE6F14"/>
    <w:rsid w:val="00F071F8"/>
    <w:rsid w:val="00F07E2A"/>
    <w:rsid w:val="00F15BA0"/>
    <w:rsid w:val="00F17198"/>
    <w:rsid w:val="00F33CE7"/>
    <w:rsid w:val="00F3696A"/>
    <w:rsid w:val="00F401D1"/>
    <w:rsid w:val="00F461A2"/>
    <w:rsid w:val="00F46789"/>
    <w:rsid w:val="00F5555E"/>
    <w:rsid w:val="00F55A41"/>
    <w:rsid w:val="00F561F0"/>
    <w:rsid w:val="00F83FDF"/>
    <w:rsid w:val="00FA6CF1"/>
    <w:rsid w:val="00FB2F23"/>
    <w:rsid w:val="00FB706E"/>
    <w:rsid w:val="00FE1396"/>
    <w:rsid w:val="00FE4406"/>
    <w:rsid w:val="00FE4E18"/>
    <w:rsid w:val="00FE57D0"/>
    <w:rsid w:val="00FE5D33"/>
    <w:rsid w:val="00FF6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D73"/>
    <w:rPr>
      <w:sz w:val="24"/>
    </w:rPr>
  </w:style>
  <w:style w:type="paragraph" w:styleId="Heading1">
    <w:name w:val="heading 1"/>
    <w:basedOn w:val="Normal"/>
    <w:next w:val="Normal"/>
    <w:qFormat/>
    <w:rsid w:val="00235D73"/>
    <w:pPr>
      <w:keepNext/>
      <w:spacing w:before="240" w:after="60"/>
      <w:outlineLvl w:val="0"/>
    </w:pPr>
    <w:rPr>
      <w:b/>
      <w:kern w:val="28"/>
      <w:sz w:val="28"/>
    </w:rPr>
  </w:style>
  <w:style w:type="paragraph" w:styleId="Heading2">
    <w:name w:val="heading 2"/>
    <w:basedOn w:val="Normal"/>
    <w:next w:val="Normal"/>
    <w:qFormat/>
    <w:rsid w:val="00235D73"/>
    <w:pPr>
      <w:keepNext/>
      <w:spacing w:before="240" w:after="60"/>
      <w:outlineLvl w:val="1"/>
    </w:pPr>
    <w:rPr>
      <w:b/>
    </w:rPr>
  </w:style>
  <w:style w:type="paragraph" w:styleId="Heading3">
    <w:name w:val="heading 3"/>
    <w:basedOn w:val="Normal"/>
    <w:next w:val="Normal"/>
    <w:qFormat/>
    <w:rsid w:val="00235D73"/>
    <w:pPr>
      <w:keepNext/>
      <w:spacing w:before="240" w:after="60"/>
      <w:outlineLvl w:val="2"/>
    </w:pPr>
    <w:rPr>
      <w:u w:val="single"/>
    </w:rPr>
  </w:style>
  <w:style w:type="paragraph" w:styleId="Heading4">
    <w:name w:val="heading 4"/>
    <w:basedOn w:val="Normal"/>
    <w:next w:val="Normal"/>
    <w:qFormat/>
    <w:rsid w:val="00235D73"/>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basedOn w:val="DefaultParagraphFont"/>
    <w:rsid w:val="00235D73"/>
    <w:rPr>
      <w:vertAlign w:val="superscript"/>
    </w:rPr>
  </w:style>
  <w:style w:type="paragraph" w:styleId="FootnoteText">
    <w:name w:val="footnote text"/>
    <w:aliases w:val="ft"/>
    <w:basedOn w:val="Normal"/>
    <w:link w:val="FootnoteTextChar"/>
    <w:rsid w:val="00235D73"/>
    <w:rPr>
      <w:sz w:val="20"/>
    </w:rPr>
  </w:style>
  <w:style w:type="paragraph" w:customStyle="1" w:styleId="ArticleNumber">
    <w:name w:val="Article Number"/>
    <w:basedOn w:val="Normal"/>
    <w:rsid w:val="00235D73"/>
    <w:pPr>
      <w:numPr>
        <w:numId w:val="16"/>
      </w:numPr>
      <w:spacing w:line="480" w:lineRule="auto"/>
      <w:jc w:val="center"/>
    </w:pPr>
  </w:style>
  <w:style w:type="paragraph" w:customStyle="1" w:styleId="ArticleLevel1">
    <w:name w:val="Article Level (1)"/>
    <w:basedOn w:val="Normal"/>
    <w:rsid w:val="00235D73"/>
    <w:pPr>
      <w:numPr>
        <w:ilvl w:val="1"/>
        <w:numId w:val="13"/>
      </w:numPr>
      <w:tabs>
        <w:tab w:val="clear" w:pos="1080"/>
      </w:tabs>
      <w:spacing w:line="480" w:lineRule="auto"/>
    </w:pPr>
  </w:style>
  <w:style w:type="paragraph" w:customStyle="1" w:styleId="ArticleLevela">
    <w:name w:val="Article Level (a)"/>
    <w:basedOn w:val="Normal"/>
    <w:rsid w:val="00235D73"/>
    <w:pPr>
      <w:numPr>
        <w:ilvl w:val="2"/>
        <w:numId w:val="14"/>
      </w:numPr>
      <w:tabs>
        <w:tab w:val="clear" w:pos="1440"/>
      </w:tabs>
      <w:spacing w:line="480" w:lineRule="auto"/>
      <w:ind w:left="2160"/>
    </w:pPr>
  </w:style>
  <w:style w:type="paragraph" w:customStyle="1" w:styleId="ArticleLeveli">
    <w:name w:val="Article Level (i)"/>
    <w:basedOn w:val="Normal"/>
    <w:rsid w:val="00235D73"/>
    <w:pPr>
      <w:numPr>
        <w:ilvl w:val="3"/>
        <w:numId w:val="15"/>
      </w:numPr>
      <w:tabs>
        <w:tab w:val="clear" w:pos="2160"/>
      </w:tabs>
      <w:spacing w:line="480" w:lineRule="auto"/>
      <w:ind w:left="2880"/>
    </w:pPr>
  </w:style>
  <w:style w:type="paragraph" w:styleId="Footer">
    <w:name w:val="footer"/>
    <w:basedOn w:val="Normal"/>
    <w:rsid w:val="00235D73"/>
    <w:pPr>
      <w:tabs>
        <w:tab w:val="center" w:pos="4320"/>
        <w:tab w:val="right" w:pos="8640"/>
      </w:tabs>
    </w:pPr>
  </w:style>
  <w:style w:type="character" w:styleId="PageNumber">
    <w:name w:val="page number"/>
    <w:basedOn w:val="DefaultParagraphFont"/>
    <w:rsid w:val="00235D73"/>
  </w:style>
  <w:style w:type="paragraph" w:styleId="Title">
    <w:name w:val="Title"/>
    <w:basedOn w:val="Normal"/>
    <w:qFormat/>
    <w:rsid w:val="00235D73"/>
    <w:pPr>
      <w:jc w:val="center"/>
    </w:pPr>
    <w:rPr>
      <w:b/>
      <w:bCs/>
    </w:rPr>
  </w:style>
  <w:style w:type="paragraph" w:styleId="BodyText">
    <w:name w:val="Body Text"/>
    <w:basedOn w:val="Normal"/>
    <w:rsid w:val="00235D73"/>
    <w:rPr>
      <w:i/>
      <w:iCs/>
    </w:rPr>
  </w:style>
  <w:style w:type="paragraph" w:styleId="BalloonText">
    <w:name w:val="Balloon Text"/>
    <w:basedOn w:val="Normal"/>
    <w:semiHidden/>
    <w:rsid w:val="00117556"/>
    <w:rPr>
      <w:rFonts w:ascii="Tahoma" w:hAnsi="Tahoma" w:cs="Tahoma"/>
      <w:sz w:val="16"/>
      <w:szCs w:val="16"/>
    </w:rPr>
  </w:style>
  <w:style w:type="paragraph" w:styleId="Header">
    <w:name w:val="header"/>
    <w:basedOn w:val="Normal"/>
    <w:rsid w:val="000D0285"/>
    <w:pPr>
      <w:tabs>
        <w:tab w:val="center" w:pos="4320"/>
        <w:tab w:val="right" w:pos="8640"/>
      </w:tabs>
    </w:pPr>
  </w:style>
  <w:style w:type="paragraph" w:styleId="HTMLPreformatted">
    <w:name w:val="HTML Preformatted"/>
    <w:basedOn w:val="Normal"/>
    <w:link w:val="HTMLPreformattedChar"/>
    <w:rsid w:val="00662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bidi="he-IL"/>
    </w:rPr>
  </w:style>
  <w:style w:type="character" w:customStyle="1" w:styleId="FootnoteTextChar">
    <w:name w:val="Footnote Text Char"/>
    <w:aliases w:val="ft Char"/>
    <w:basedOn w:val="DefaultParagraphFont"/>
    <w:link w:val="FootnoteText"/>
    <w:rsid w:val="004707D0"/>
  </w:style>
  <w:style w:type="paragraph" w:customStyle="1" w:styleId="Default">
    <w:name w:val="Default"/>
    <w:rsid w:val="004707D0"/>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rsid w:val="004707D0"/>
    <w:rPr>
      <w:rFonts w:ascii="Courier New" w:eastAsia="MS Mincho" w:hAnsi="Courier New" w:cs="Courier New"/>
      <w:lang w:bidi="he-IL"/>
    </w:rPr>
  </w:style>
  <w:style w:type="paragraph" w:styleId="ListParagraph">
    <w:name w:val="List Paragraph"/>
    <w:basedOn w:val="Normal"/>
    <w:uiPriority w:val="34"/>
    <w:qFormat/>
    <w:rsid w:val="00271825"/>
    <w:pPr>
      <w:ind w:left="720"/>
      <w:contextualSpacing/>
    </w:pPr>
  </w:style>
  <w:style w:type="paragraph" w:styleId="DocumentMap">
    <w:name w:val="Document Map"/>
    <w:basedOn w:val="Normal"/>
    <w:link w:val="DocumentMapChar"/>
    <w:rsid w:val="002B4869"/>
    <w:rPr>
      <w:rFonts w:ascii="Tahoma" w:hAnsi="Tahoma" w:cs="Tahoma"/>
      <w:sz w:val="16"/>
      <w:szCs w:val="16"/>
    </w:rPr>
  </w:style>
  <w:style w:type="character" w:customStyle="1" w:styleId="DocumentMapChar">
    <w:name w:val="Document Map Char"/>
    <w:basedOn w:val="DefaultParagraphFont"/>
    <w:link w:val="DocumentMap"/>
    <w:rsid w:val="002B4869"/>
    <w:rPr>
      <w:rFonts w:ascii="Tahoma" w:hAnsi="Tahoma" w:cs="Tahoma"/>
      <w:sz w:val="16"/>
      <w:szCs w:val="16"/>
    </w:rPr>
  </w:style>
  <w:style w:type="character" w:styleId="CommentReference">
    <w:name w:val="annotation reference"/>
    <w:basedOn w:val="DefaultParagraphFont"/>
    <w:rsid w:val="002B4869"/>
    <w:rPr>
      <w:sz w:val="16"/>
      <w:szCs w:val="16"/>
    </w:rPr>
  </w:style>
  <w:style w:type="paragraph" w:styleId="CommentText">
    <w:name w:val="annotation text"/>
    <w:basedOn w:val="Normal"/>
    <w:link w:val="CommentTextChar"/>
    <w:rsid w:val="002B4869"/>
    <w:rPr>
      <w:sz w:val="20"/>
    </w:rPr>
  </w:style>
  <w:style w:type="character" w:customStyle="1" w:styleId="CommentTextChar">
    <w:name w:val="Comment Text Char"/>
    <w:basedOn w:val="DefaultParagraphFont"/>
    <w:link w:val="CommentText"/>
    <w:rsid w:val="002B4869"/>
  </w:style>
  <w:style w:type="paragraph" w:styleId="CommentSubject">
    <w:name w:val="annotation subject"/>
    <w:basedOn w:val="CommentText"/>
    <w:next w:val="CommentText"/>
    <w:link w:val="CommentSubjectChar"/>
    <w:rsid w:val="002B4869"/>
    <w:rPr>
      <w:b/>
      <w:bCs/>
    </w:rPr>
  </w:style>
  <w:style w:type="character" w:customStyle="1" w:styleId="CommentSubjectChar">
    <w:name w:val="Comment Subject Char"/>
    <w:basedOn w:val="CommentTextChar"/>
    <w:link w:val="CommentSubject"/>
    <w:rsid w:val="002B4869"/>
    <w:rPr>
      <w:b/>
      <w:bCs/>
    </w:rPr>
  </w:style>
</w:styles>
</file>

<file path=word/webSettings.xml><?xml version="1.0" encoding="utf-8"?>
<w:webSettings xmlns:r="http://schemas.openxmlformats.org/officeDocument/2006/relationships" xmlns:w="http://schemas.openxmlformats.org/wordprocessingml/2006/main">
  <w:divs>
    <w:div w:id="183180564">
      <w:bodyDiv w:val="1"/>
      <w:marLeft w:val="0"/>
      <w:marRight w:val="0"/>
      <w:marTop w:val="0"/>
      <w:marBottom w:val="0"/>
      <w:divBdr>
        <w:top w:val="none" w:sz="0" w:space="0" w:color="auto"/>
        <w:left w:val="none" w:sz="0" w:space="0" w:color="auto"/>
        <w:bottom w:val="none" w:sz="0" w:space="0" w:color="auto"/>
        <w:right w:val="none" w:sz="0" w:space="0" w:color="auto"/>
      </w:divBdr>
    </w:div>
    <w:div w:id="7902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02E3C-1258-4B68-B2F3-40E0381D6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4208</Words>
  <Characters>23280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27434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dc:description/>
  <cp:lastModifiedBy>mary.gottlieb</cp:lastModifiedBy>
  <cp:revision>4</cp:revision>
  <cp:lastPrinted>2012-02-27T17:36:00Z</cp:lastPrinted>
  <dcterms:created xsi:type="dcterms:W3CDTF">2012-03-06T18:46:00Z</dcterms:created>
  <dcterms:modified xsi:type="dcterms:W3CDTF">2012-03-06T18:48:00Z</dcterms:modified>
</cp:coreProperties>
</file>