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23" w:rsidRDefault="009F23AA" w:rsidP="007F2FE7">
      <w:r>
        <w:t>April 17</w:t>
      </w:r>
      <w:r w:rsidR="007F2FE7">
        <w:t>, 2012</w:t>
      </w:r>
    </w:p>
    <w:p w:rsidR="007F2FE7" w:rsidRDefault="007F2FE7" w:rsidP="007F2FE7"/>
    <w:p w:rsidR="00E7336B" w:rsidRDefault="00E7336B" w:rsidP="007F2FE7">
      <w:r>
        <w:t>Jasmeet K. Seehra</w:t>
      </w:r>
    </w:p>
    <w:p w:rsidR="007F2FE7" w:rsidRDefault="007F2FE7" w:rsidP="007F2FE7">
      <w:r>
        <w:t>Office of Information and Regulatory Affairs, OMB</w:t>
      </w:r>
    </w:p>
    <w:p w:rsidR="007F2FE7" w:rsidRDefault="007F2FE7" w:rsidP="007F2FE7">
      <w:r>
        <w:t>Room 10235, New Executive Office Building</w:t>
      </w:r>
    </w:p>
    <w:p w:rsidR="007F2FE7" w:rsidRDefault="007F2FE7" w:rsidP="007F2FE7">
      <w:r>
        <w:t>725 17</w:t>
      </w:r>
      <w:r w:rsidRPr="007F2FE7">
        <w:rPr>
          <w:vertAlign w:val="superscript"/>
        </w:rPr>
        <w:t>th</w:t>
      </w:r>
      <w:r>
        <w:t xml:space="preserve"> St. NW</w:t>
      </w:r>
    </w:p>
    <w:p w:rsidR="007F2FE7" w:rsidRDefault="007F2FE7" w:rsidP="007F2FE7">
      <w:r>
        <w:t>Washington, D.C. 20503</w:t>
      </w:r>
    </w:p>
    <w:p w:rsidR="007F2FE7" w:rsidRDefault="007F2FE7" w:rsidP="00E7336B">
      <w:pPr>
        <w:ind w:firstLine="720"/>
      </w:pPr>
    </w:p>
    <w:p w:rsidR="00E7336B" w:rsidRDefault="00E7336B" w:rsidP="00E7336B">
      <w:pPr>
        <w:ind w:firstLine="720"/>
      </w:pPr>
    </w:p>
    <w:p w:rsidR="007F2FE7" w:rsidRDefault="007F2FE7" w:rsidP="007F2FE7">
      <w:r>
        <w:t xml:space="preserve">Dear Ms. Seehra, </w:t>
      </w:r>
    </w:p>
    <w:p w:rsidR="007F2FE7" w:rsidRDefault="007F2FE7" w:rsidP="007F2FE7"/>
    <w:p w:rsidR="007F2FE7" w:rsidRDefault="007F2FE7" w:rsidP="007F2FE7">
      <w:r>
        <w:t>The Social Security Administration</w:t>
      </w:r>
      <w:r w:rsidR="009F23AA">
        <w:t xml:space="preserve"> (SSA)</w:t>
      </w:r>
      <w:r>
        <w:t xml:space="preserve"> is establishing the process we will follow when we ban an individual from </w:t>
      </w:r>
      <w:r w:rsidR="00901920">
        <w:t>appearing in person at any of our</w:t>
      </w:r>
      <w:r>
        <w:t xml:space="preserve"> offices.  We are seeking approval to collect information from the public during appeals of ban decisions</w:t>
      </w:r>
      <w:r w:rsidR="00901920">
        <w:t xml:space="preserve"> and periodic reviews</w:t>
      </w:r>
      <w:r>
        <w:t>.</w:t>
      </w:r>
    </w:p>
    <w:p w:rsidR="007F2FE7" w:rsidRDefault="007F2FE7" w:rsidP="007F2FE7"/>
    <w:p w:rsidR="007F2FE7" w:rsidRDefault="007F2FE7" w:rsidP="007F2FE7">
      <w:pPr>
        <w:rPr>
          <w:b/>
        </w:rPr>
      </w:pPr>
      <w:r>
        <w:rPr>
          <w:b/>
        </w:rPr>
        <w:t>Background</w:t>
      </w:r>
    </w:p>
    <w:p w:rsidR="007F2FE7" w:rsidRDefault="007F2FE7" w:rsidP="007F2FE7">
      <w:pPr>
        <w:rPr>
          <w:b/>
        </w:rPr>
      </w:pPr>
    </w:p>
    <w:p w:rsidR="00476D33" w:rsidRDefault="00901920" w:rsidP="00E677A8">
      <w:r w:rsidRPr="00E677A8">
        <w:rPr>
          <w:rFonts w:eastAsia="SimSun"/>
        </w:rPr>
        <w:t>When members of the public demonstrate disruptive, violent, or threatening actions or behavior</w:t>
      </w:r>
      <w:r w:rsidR="009F23AA">
        <w:rPr>
          <w:rFonts w:eastAsia="SimSun"/>
        </w:rPr>
        <w:t xml:space="preserve"> </w:t>
      </w:r>
      <w:r w:rsidR="009F23AA">
        <w:t>toward SSA employees</w:t>
      </w:r>
      <w:r w:rsidRPr="00E677A8">
        <w:rPr>
          <w:rFonts w:eastAsia="SimSun"/>
        </w:rPr>
        <w:t xml:space="preserve">, </w:t>
      </w:r>
      <w:r w:rsidR="009F23AA">
        <w:rPr>
          <w:rFonts w:eastAsia="SimSun"/>
        </w:rPr>
        <w:t>the agency will take</w:t>
      </w:r>
      <w:r w:rsidRPr="00E677A8">
        <w:rPr>
          <w:rFonts w:eastAsia="SimSun"/>
        </w:rPr>
        <w:t xml:space="preserve"> measures to ensure the safety of everyone involved</w:t>
      </w:r>
      <w:r w:rsidR="009F23AA">
        <w:rPr>
          <w:rFonts w:eastAsia="SimSun"/>
        </w:rPr>
        <w:t xml:space="preserve">, </w:t>
      </w:r>
      <w:r w:rsidR="009F23AA" w:rsidRPr="00E677A8">
        <w:t xml:space="preserve">including banning </w:t>
      </w:r>
      <w:r w:rsidR="009F23AA">
        <w:t>such</w:t>
      </w:r>
      <w:r w:rsidR="009F23AA" w:rsidRPr="00E677A8">
        <w:t xml:space="preserve"> individual</w:t>
      </w:r>
      <w:r w:rsidR="009F23AA">
        <w:t>s</w:t>
      </w:r>
      <w:r w:rsidR="009F23AA" w:rsidRPr="00E677A8">
        <w:t xml:space="preserve"> from appearing </w:t>
      </w:r>
      <w:r w:rsidR="009F23AA">
        <w:t>in person at any of our field offices</w:t>
      </w:r>
      <w:r w:rsidRPr="00E677A8">
        <w:rPr>
          <w:rFonts w:eastAsia="SimSun"/>
        </w:rPr>
        <w:t>.</w:t>
      </w:r>
      <w:r w:rsidR="00461CB2">
        <w:rPr>
          <w:rFonts w:eastAsia="SimSun"/>
        </w:rPr>
        <w:t xml:space="preserve"> </w:t>
      </w:r>
      <w:r>
        <w:rPr>
          <w:rFonts w:eastAsia="SimSun"/>
        </w:rPr>
        <w:t xml:space="preserve"> </w:t>
      </w:r>
      <w:r w:rsidR="009F23AA">
        <w:t>In lieu of in-person office visits</w:t>
      </w:r>
      <w:r w:rsidR="007F2FE7">
        <w:t xml:space="preserve">, </w:t>
      </w:r>
      <w:r>
        <w:t xml:space="preserve">the agency </w:t>
      </w:r>
      <w:r w:rsidR="007F2FE7">
        <w:t>provide</w:t>
      </w:r>
      <w:r>
        <w:t xml:space="preserve">s </w:t>
      </w:r>
      <w:r w:rsidR="007F2FE7">
        <w:t>service</w:t>
      </w:r>
      <w:r>
        <w:t>s to banned individuals</w:t>
      </w:r>
      <w:r w:rsidR="007F2FE7">
        <w:t xml:space="preserve"> through alt</w:t>
      </w:r>
      <w:r w:rsidR="009F23AA">
        <w:t>ernat</w:t>
      </w:r>
      <w:r w:rsidR="00461CB2">
        <w:t xml:space="preserve">e methods, </w:t>
      </w:r>
      <w:r w:rsidR="009F23AA">
        <w:t>including our 800 number, online applications, mail services, or, in limited circumstances, face-to-face services by appointment with additional security present</w:t>
      </w:r>
      <w:r w:rsidR="007F2FE7">
        <w:t xml:space="preserve">. </w:t>
      </w:r>
    </w:p>
    <w:p w:rsidR="00476D33" w:rsidRDefault="00476D33" w:rsidP="007F2FE7">
      <w:pPr>
        <w:autoSpaceDE w:val="0"/>
        <w:autoSpaceDN w:val="0"/>
        <w:adjustRightInd w:val="0"/>
      </w:pPr>
    </w:p>
    <w:p w:rsidR="00476D33" w:rsidRDefault="00476D33" w:rsidP="007F2FE7">
      <w:pPr>
        <w:autoSpaceDE w:val="0"/>
        <w:autoSpaceDN w:val="0"/>
        <w:adjustRightInd w:val="0"/>
      </w:pPr>
      <w:r>
        <w:rPr>
          <w:b/>
        </w:rPr>
        <w:t>Interim Business Process</w:t>
      </w:r>
      <w:r w:rsidR="007F2FE7">
        <w:t xml:space="preserve"> </w:t>
      </w:r>
    </w:p>
    <w:p w:rsidR="00476D33" w:rsidRDefault="00476D33" w:rsidP="007F2FE7">
      <w:pPr>
        <w:autoSpaceDE w:val="0"/>
        <w:autoSpaceDN w:val="0"/>
        <w:adjustRightInd w:val="0"/>
      </w:pPr>
    </w:p>
    <w:p w:rsidR="007F2FE7" w:rsidRDefault="009F23AA" w:rsidP="007F2FE7">
      <w:pPr>
        <w:autoSpaceDE w:val="0"/>
        <w:autoSpaceDN w:val="0"/>
        <w:adjustRightInd w:val="0"/>
      </w:pPr>
      <w:r>
        <w:t>On September 2, 2011, the agency published regulations and notifications processes for the ban decision at 76 FR 54700</w:t>
      </w:r>
      <w:r w:rsidR="00901920">
        <w:t>,</w:t>
      </w:r>
      <w:r w:rsidR="006A6D93">
        <w:t xml:space="preserve"> in our interim final rule</w:t>
      </w:r>
      <w:r w:rsidR="00901920">
        <w:t>s</w:t>
      </w:r>
      <w:r w:rsidR="006A6D93">
        <w:t>, 20</w:t>
      </w:r>
      <w:r w:rsidR="00901920">
        <w:t xml:space="preserve"> </w:t>
      </w:r>
      <w:r w:rsidR="006A6D93">
        <w:t>CFR 422.901-</w:t>
      </w:r>
      <w:r w:rsidR="00110D3C">
        <w:t>422.907</w:t>
      </w:r>
      <w:bookmarkStart w:id="0" w:name="_GoBack"/>
      <w:bookmarkEnd w:id="0"/>
      <w:r w:rsidR="006A6D93">
        <w:t xml:space="preserve">.  The </w:t>
      </w:r>
      <w:r w:rsidR="00901920">
        <w:t xml:space="preserve">interim final rules also set forth </w:t>
      </w:r>
      <w:r w:rsidR="006A6D93">
        <w:t>the process of appealing ban decision</w:t>
      </w:r>
      <w:r w:rsidR="00901920">
        <w:t>s</w:t>
      </w:r>
      <w:r w:rsidR="006A6D93">
        <w:t xml:space="preserve"> and the periodic review process. </w:t>
      </w:r>
      <w:r w:rsidR="00901920">
        <w:t xml:space="preserve"> Specifically, a</w:t>
      </w:r>
      <w:r w:rsidR="007F2FE7">
        <w:t xml:space="preserve">n individual who </w:t>
      </w:r>
      <w:r w:rsidR="0090349D">
        <w:t>we</w:t>
      </w:r>
      <w:r w:rsidR="007F2FE7">
        <w:t xml:space="preserve"> banned from our </w:t>
      </w:r>
      <w:r w:rsidR="00901920">
        <w:t xml:space="preserve">offices </w:t>
      </w:r>
      <w:r w:rsidR="007F2FE7">
        <w:t xml:space="preserve">has the opportunity to appeal that decision within 60 days of the date of the ban notice (§422.905).  If the individual does not appeal the decision within the 60 days, </w:t>
      </w:r>
      <w:r w:rsidR="0090349D">
        <w:t>if we banned</w:t>
      </w:r>
      <w:r w:rsidR="007F2FE7">
        <w:t xml:space="preserve"> the individual prior to the effective date of th</w:t>
      </w:r>
      <w:r w:rsidR="00901920">
        <w:t>e interim final rules</w:t>
      </w:r>
      <w:r w:rsidR="007F2FE7">
        <w:t xml:space="preserve">, or if the appeal results in a denial, the individual has another opportunity to request review of the ban </w:t>
      </w:r>
      <w:r w:rsidR="00901920">
        <w:t xml:space="preserve">decision </w:t>
      </w:r>
      <w:r w:rsidR="007F2FE7">
        <w:t>after a three-year period.  This periodic review (§422.906) is available to banned individuals once every three</w:t>
      </w:r>
      <w:r w:rsidR="00901920">
        <w:t xml:space="preserve"> years</w:t>
      </w:r>
      <w:r w:rsidR="007F2FE7">
        <w:t>.</w:t>
      </w:r>
    </w:p>
    <w:p w:rsidR="007F2FE7" w:rsidRDefault="007F2FE7" w:rsidP="007F2FE7">
      <w:pPr>
        <w:autoSpaceDE w:val="0"/>
        <w:autoSpaceDN w:val="0"/>
        <w:adjustRightInd w:val="0"/>
        <w:rPr>
          <w:b/>
        </w:rPr>
      </w:pPr>
    </w:p>
    <w:p w:rsidR="007F2FE7" w:rsidRDefault="007F2FE7" w:rsidP="00476D33">
      <w:pPr>
        <w:autoSpaceDE w:val="0"/>
        <w:autoSpaceDN w:val="0"/>
        <w:adjustRightInd w:val="0"/>
      </w:pPr>
      <w:r>
        <w:t>In the case of the information collection requirements in 20 CFR 422.905</w:t>
      </w:r>
      <w:r w:rsidR="00476D33">
        <w:t>-</w:t>
      </w:r>
      <w:r w:rsidR="0090349D">
        <w:t>422.90</w:t>
      </w:r>
      <w:r w:rsidR="00476D33">
        <w:t>6</w:t>
      </w:r>
      <w:r w:rsidR="0090349D">
        <w:t>,</w:t>
      </w:r>
      <w:r>
        <w:t xml:space="preserve"> individual</w:t>
      </w:r>
      <w:r w:rsidR="0090349D">
        <w:t>s</w:t>
      </w:r>
      <w:r>
        <w:t xml:space="preserve"> may provide a written request for appeal</w:t>
      </w:r>
      <w:r w:rsidR="00476D33">
        <w:t xml:space="preserve"> or review</w:t>
      </w:r>
      <w:r w:rsidR="0090349D">
        <w:t>.  In the request, they must state</w:t>
      </w:r>
      <w:r>
        <w:t xml:space="preserve"> why </w:t>
      </w:r>
      <w:r w:rsidR="0090349D">
        <w:t>they believe</w:t>
      </w:r>
      <w:r>
        <w:t xml:space="preserve"> </w:t>
      </w:r>
      <w:r w:rsidR="00476D33">
        <w:t>they no longer pose a threat to</w:t>
      </w:r>
      <w:r>
        <w:t xml:space="preserve"> SSA</w:t>
      </w:r>
      <w:r w:rsidR="00476D33">
        <w:t xml:space="preserve"> employees, visitors, or facilities</w:t>
      </w:r>
      <w:r w:rsidR="0090349D">
        <w:t>;</w:t>
      </w:r>
      <w:r w:rsidR="00476D33">
        <w:t xml:space="preserve"> and </w:t>
      </w:r>
      <w:r w:rsidR="0090349D">
        <w:t xml:space="preserve">explain </w:t>
      </w:r>
      <w:r w:rsidR="00476D33">
        <w:t>why SSA</w:t>
      </w:r>
      <w:r>
        <w:t xml:space="preserve"> should rescind the ban </w:t>
      </w:r>
      <w:r w:rsidR="00476D33">
        <w:t xml:space="preserve">to </w:t>
      </w:r>
      <w:r>
        <w:t>allow the individual</w:t>
      </w:r>
      <w:r w:rsidR="0090349D">
        <w:t>s</w:t>
      </w:r>
      <w:r>
        <w:t xml:space="preserve"> to conduct business with us </w:t>
      </w:r>
      <w:r w:rsidR="00901920">
        <w:t>in person</w:t>
      </w:r>
      <w:r>
        <w:t xml:space="preserve"> in one of our offices.  The</w:t>
      </w:r>
      <w:r w:rsidR="006A6D93">
        <w:t xml:space="preserve"> </w:t>
      </w:r>
      <w:r w:rsidR="00901920">
        <w:t xml:space="preserve">appeal </w:t>
      </w:r>
      <w:r w:rsidR="00476D33">
        <w:t>must</w:t>
      </w:r>
      <w:r w:rsidR="006A6D93">
        <w:t xml:space="preserve"> provide</w:t>
      </w:r>
      <w:r w:rsidR="00476D33">
        <w:t xml:space="preserve"> the individual’s name, Social Security Number, address, the office that issued the ban, and a clear statement of why</w:t>
      </w:r>
      <w:r w:rsidR="0090349D">
        <w:t xml:space="preserve"> SSA should lift</w:t>
      </w:r>
      <w:r w:rsidR="00476D33">
        <w:t xml:space="preserve"> the ban.  The </w:t>
      </w:r>
      <w:r w:rsidR="00476D33">
        <w:lastRenderedPageBreak/>
        <w:t>individual</w:t>
      </w:r>
      <w:r w:rsidR="0090349D">
        <w:t>s</w:t>
      </w:r>
      <w:r w:rsidR="00476D33">
        <w:t xml:space="preserve"> may </w:t>
      </w:r>
      <w:r w:rsidR="00F14332">
        <w:t xml:space="preserve">also </w:t>
      </w:r>
      <w:r w:rsidR="00476D33">
        <w:t>provide supporting documentation at their discretion, including medical d</w:t>
      </w:r>
      <w:r w:rsidR="0090349D">
        <w:t xml:space="preserve">ocumentation, work history, </w:t>
      </w:r>
      <w:r w:rsidR="00476D33">
        <w:t>or any criminal history.  T</w:t>
      </w:r>
      <w:r w:rsidR="0090349D">
        <w:t>he designated individual in each region who will review appeals and requests for periodic review will use t</w:t>
      </w:r>
      <w:r w:rsidR="00476D33">
        <w:t>his information to make a decision on whether</w:t>
      </w:r>
      <w:r w:rsidR="0090349D">
        <w:t xml:space="preserve"> we should lift or continue</w:t>
      </w:r>
      <w:r w:rsidR="00476D33">
        <w:t xml:space="preserve"> the ban.  </w:t>
      </w:r>
    </w:p>
    <w:p w:rsidR="00476D33" w:rsidRDefault="00476D33" w:rsidP="00476D33">
      <w:pPr>
        <w:autoSpaceDE w:val="0"/>
        <w:autoSpaceDN w:val="0"/>
        <w:adjustRightInd w:val="0"/>
      </w:pPr>
    </w:p>
    <w:p w:rsidR="00476D33" w:rsidRDefault="00476D33" w:rsidP="00476D33">
      <w:pPr>
        <w:autoSpaceDE w:val="0"/>
        <w:autoSpaceDN w:val="0"/>
        <w:adjustRightInd w:val="0"/>
        <w:rPr>
          <w:b/>
        </w:rPr>
      </w:pPr>
      <w:r>
        <w:rPr>
          <w:b/>
        </w:rPr>
        <w:t>Need for Emergency Clearance</w:t>
      </w:r>
    </w:p>
    <w:p w:rsidR="006A6D93" w:rsidRPr="005918B7" w:rsidRDefault="006A6D93" w:rsidP="005918B7">
      <w:pPr>
        <w:autoSpaceDE w:val="0"/>
        <w:autoSpaceDN w:val="0"/>
        <w:adjustRightInd w:val="0"/>
        <w:rPr>
          <w:b/>
        </w:rPr>
      </w:pPr>
    </w:p>
    <w:p w:rsidR="00DA6A1C" w:rsidRDefault="00035B57" w:rsidP="00E677A8">
      <w:r>
        <w:t>SSA personnel</w:t>
      </w:r>
      <w:r w:rsidRPr="00965BB5">
        <w:t xml:space="preserve"> touch the lives of virtually every American, often during times of personal hardship, transition, and uncertainty.  As our workloads have risen in recent years, the number of reported threats to our employees has increased significantly.</w:t>
      </w:r>
      <w:r w:rsidR="00DA6A1C">
        <w:t xml:space="preserve"> </w:t>
      </w:r>
      <w:r w:rsidRPr="00965BB5">
        <w:t xml:space="preserve"> In FY</w:t>
      </w:r>
      <w:r w:rsidR="00DA6A1C">
        <w:t xml:space="preserve"> </w:t>
      </w:r>
      <w:r w:rsidRPr="00965BB5">
        <w:t>2010, we received 2,777 reports of threats to our employees across all offices, an increase of 43% from FY</w:t>
      </w:r>
      <w:r w:rsidR="00DA6A1C">
        <w:t xml:space="preserve"> </w:t>
      </w:r>
      <w:r w:rsidRPr="00965BB5">
        <w:t>2009.</w:t>
      </w:r>
      <w:r w:rsidR="00167B37">
        <w:t xml:space="preserve">  </w:t>
      </w:r>
      <w:r w:rsidR="00167B37" w:rsidRPr="00B711B6">
        <w:t xml:space="preserve">In light of this increase, we </w:t>
      </w:r>
      <w:r w:rsidR="00167B37">
        <w:t>took</w:t>
      </w:r>
      <w:r w:rsidR="00167B37" w:rsidRPr="00B711B6">
        <w:t xml:space="preserve"> action to implement </w:t>
      </w:r>
      <w:r w:rsidR="00167B37">
        <w:rPr>
          <w:bCs/>
        </w:rPr>
        <w:t>the</w:t>
      </w:r>
      <w:r w:rsidR="00167B37" w:rsidRPr="00B711B6">
        <w:t xml:space="preserve"> </w:t>
      </w:r>
      <w:r w:rsidR="00167B37">
        <w:t xml:space="preserve">interim </w:t>
      </w:r>
      <w:r w:rsidR="00167B37" w:rsidRPr="00B711B6">
        <w:t xml:space="preserve">final </w:t>
      </w:r>
      <w:r w:rsidR="00167B37" w:rsidRPr="00B711B6">
        <w:rPr>
          <w:bCs/>
        </w:rPr>
        <w:t>rule</w:t>
      </w:r>
      <w:r w:rsidR="00167B37">
        <w:rPr>
          <w:bCs/>
        </w:rPr>
        <w:t>s</w:t>
      </w:r>
      <w:r w:rsidR="00167B37" w:rsidRPr="00B711B6">
        <w:t xml:space="preserve"> as quickly as possible. </w:t>
      </w:r>
      <w:r w:rsidR="00DA6A1C">
        <w:t xml:space="preserve"> </w:t>
      </w:r>
      <w:r w:rsidR="00167B37" w:rsidRPr="00B711B6">
        <w:t xml:space="preserve">The </w:t>
      </w:r>
      <w:r w:rsidR="00167B37">
        <w:t>policy set forth in the interim final rules, and the final rules,</w:t>
      </w:r>
      <w:r w:rsidR="00167B37" w:rsidRPr="00B711B6">
        <w:t xml:space="preserve"> will increase our ability to protect our claimants, </w:t>
      </w:r>
      <w:r w:rsidR="00167B37">
        <w:t>personnel</w:t>
      </w:r>
      <w:r w:rsidR="00167B37" w:rsidRPr="00B711B6">
        <w:t xml:space="preserve">, and other visitors to our offices, while at the same time fulfilling our mission to serve the American people. </w:t>
      </w:r>
      <w:r w:rsidR="00DA6A1C">
        <w:t xml:space="preserve"> </w:t>
      </w:r>
    </w:p>
    <w:p w:rsidR="00DA6A1C" w:rsidRDefault="00DA6A1C" w:rsidP="00E677A8"/>
    <w:p w:rsidR="00476D33" w:rsidRDefault="009F23AA" w:rsidP="00E677A8">
      <w:pPr>
        <w:rPr>
          <w:b/>
        </w:rPr>
      </w:pPr>
      <w:r>
        <w:t xml:space="preserve">When we originally published the banning decision rules at 76 FR 54700, the agency did not anticipate the number of respondents would meet the threshold for PRA clearance.  Since then, our field offices have provided us with evidence indicating we will meet and exceed this threshold, so we are pursuing OMB PRA clearance now.  Because of the compelling personal security issues the banning rules address, we are pursuing expedited emergency clearance from OMB </w:t>
      </w:r>
      <w:r w:rsidRPr="0098341F">
        <w:rPr>
          <w:rFonts w:eastAsia="Calibri"/>
          <w:lang w:eastAsia="en-US"/>
        </w:rPr>
        <w:t>no later than</w:t>
      </w:r>
      <w:r>
        <w:rPr>
          <w:rFonts w:eastAsia="Calibri"/>
          <w:lang w:eastAsia="en-US"/>
        </w:rPr>
        <w:t xml:space="preserve"> </w:t>
      </w:r>
      <w:r w:rsidRPr="009F23AA">
        <w:rPr>
          <w:rFonts w:eastAsia="Calibri"/>
          <w:b/>
          <w:lang w:eastAsia="en-US"/>
        </w:rPr>
        <w:t>May 17, 2012</w:t>
      </w:r>
      <w:r>
        <w:rPr>
          <w:rFonts w:eastAsia="Calibri"/>
          <w:lang w:eastAsia="en-US"/>
        </w:rPr>
        <w:t>.</w:t>
      </w:r>
    </w:p>
    <w:p w:rsidR="007201C2" w:rsidRDefault="007201C2" w:rsidP="007F2FE7">
      <w:pPr>
        <w:autoSpaceDE w:val="0"/>
        <w:autoSpaceDN w:val="0"/>
        <w:adjustRightInd w:val="0"/>
        <w:rPr>
          <w:b/>
        </w:rPr>
      </w:pPr>
    </w:p>
    <w:p w:rsidR="007201C2" w:rsidRDefault="007201C2" w:rsidP="007F2FE7">
      <w:pPr>
        <w:autoSpaceDE w:val="0"/>
        <w:autoSpaceDN w:val="0"/>
        <w:adjustRightInd w:val="0"/>
      </w:pPr>
      <w:r>
        <w:t>Please contac</w:t>
      </w:r>
      <w:r w:rsidR="005918B7">
        <w:t>t</w:t>
      </w:r>
      <w:r>
        <w:t xml:space="preserve"> me with questions at (410) 965-8783 or </w:t>
      </w:r>
      <w:hyperlink r:id="rId7" w:history="1">
        <w:r w:rsidRPr="000B5D45">
          <w:rPr>
            <w:rStyle w:val="Hyperlink"/>
          </w:rPr>
          <w:t>faye.lipsky@ssa.gov</w:t>
        </w:r>
      </w:hyperlink>
      <w:r>
        <w:t>.</w:t>
      </w:r>
    </w:p>
    <w:p w:rsidR="007201C2" w:rsidRDefault="007201C2" w:rsidP="007F2FE7">
      <w:pPr>
        <w:autoSpaceDE w:val="0"/>
        <w:autoSpaceDN w:val="0"/>
        <w:adjustRightInd w:val="0"/>
      </w:pPr>
    </w:p>
    <w:p w:rsidR="007201C2" w:rsidRDefault="007201C2" w:rsidP="007F2FE7">
      <w:pPr>
        <w:autoSpaceDE w:val="0"/>
        <w:autoSpaceDN w:val="0"/>
        <w:adjustRightInd w:val="0"/>
      </w:pPr>
    </w:p>
    <w:p w:rsidR="007201C2" w:rsidRDefault="007201C2" w:rsidP="007201C2">
      <w:pPr>
        <w:autoSpaceDE w:val="0"/>
        <w:autoSpaceDN w:val="0"/>
        <w:adjustRightInd w:val="0"/>
        <w:jc w:val="center"/>
      </w:pPr>
      <w:r>
        <w:t xml:space="preserve">Sincerely, </w:t>
      </w:r>
    </w:p>
    <w:p w:rsidR="007201C2" w:rsidRDefault="007201C2" w:rsidP="007201C2">
      <w:pPr>
        <w:autoSpaceDE w:val="0"/>
        <w:autoSpaceDN w:val="0"/>
        <w:adjustRightInd w:val="0"/>
        <w:jc w:val="center"/>
      </w:pPr>
    </w:p>
    <w:p w:rsidR="007201C2" w:rsidRDefault="007201C2" w:rsidP="007201C2">
      <w:pPr>
        <w:autoSpaceDE w:val="0"/>
        <w:autoSpaceDN w:val="0"/>
        <w:adjustRightInd w:val="0"/>
        <w:jc w:val="center"/>
      </w:pPr>
    </w:p>
    <w:p w:rsidR="007201C2" w:rsidRDefault="007201C2" w:rsidP="007201C2">
      <w:pPr>
        <w:autoSpaceDE w:val="0"/>
        <w:autoSpaceDN w:val="0"/>
        <w:adjustRightInd w:val="0"/>
        <w:jc w:val="center"/>
      </w:pPr>
    </w:p>
    <w:p w:rsidR="007201C2" w:rsidRDefault="007201C2" w:rsidP="007201C2">
      <w:pPr>
        <w:autoSpaceDE w:val="0"/>
        <w:autoSpaceDN w:val="0"/>
        <w:adjustRightInd w:val="0"/>
      </w:pPr>
      <w:r>
        <w:tab/>
      </w:r>
      <w:r>
        <w:tab/>
      </w:r>
      <w:r>
        <w:tab/>
      </w:r>
      <w:r>
        <w:tab/>
      </w:r>
      <w:r>
        <w:tab/>
      </w:r>
      <w:r>
        <w:tab/>
        <w:t>Faye I. Lipsky</w:t>
      </w:r>
    </w:p>
    <w:p w:rsidR="007201C2" w:rsidRDefault="007201C2" w:rsidP="007201C2">
      <w:pPr>
        <w:autoSpaceDE w:val="0"/>
        <w:autoSpaceDN w:val="0"/>
        <w:adjustRightInd w:val="0"/>
      </w:pPr>
      <w:r>
        <w:tab/>
      </w:r>
      <w:r>
        <w:tab/>
      </w:r>
      <w:r>
        <w:tab/>
      </w:r>
      <w:r>
        <w:tab/>
      </w:r>
      <w:r>
        <w:tab/>
      </w:r>
      <w:r>
        <w:tab/>
        <w:t>Report Clearance Officer</w:t>
      </w:r>
    </w:p>
    <w:p w:rsidR="007201C2" w:rsidRPr="007201C2" w:rsidRDefault="007201C2" w:rsidP="007201C2">
      <w:pPr>
        <w:autoSpaceDE w:val="0"/>
        <w:autoSpaceDN w:val="0"/>
        <w:adjustRightInd w:val="0"/>
      </w:pPr>
      <w:r>
        <w:tab/>
      </w:r>
      <w:r>
        <w:tab/>
      </w:r>
      <w:r>
        <w:tab/>
      </w:r>
      <w:r>
        <w:tab/>
      </w:r>
      <w:r>
        <w:tab/>
      </w:r>
      <w:r>
        <w:tab/>
        <w:t>Social Security Administration</w:t>
      </w:r>
    </w:p>
    <w:p w:rsidR="007F2FE7" w:rsidRPr="007F2FE7" w:rsidRDefault="007F2FE7" w:rsidP="007F2FE7">
      <w:r>
        <w:t xml:space="preserve"> </w:t>
      </w:r>
    </w:p>
    <w:p w:rsidR="006B2423" w:rsidRDefault="006B2423" w:rsidP="007F2FE7">
      <w:pPr>
        <w:jc w:val="center"/>
        <w:rPr>
          <w:rFonts w:ascii="Arial" w:hAnsi="Arial" w:cs="Arial"/>
          <w:sz w:val="20"/>
          <w:szCs w:val="20"/>
        </w:rPr>
      </w:pPr>
    </w:p>
    <w:p w:rsidR="006B2423" w:rsidRDefault="006B2423" w:rsidP="007F2FE7">
      <w:pPr>
        <w:jc w:val="center"/>
        <w:rPr>
          <w:rFonts w:ascii="Arial" w:hAnsi="Arial" w:cs="Arial"/>
          <w:sz w:val="20"/>
          <w:szCs w:val="20"/>
        </w:rPr>
      </w:pPr>
    </w:p>
    <w:p w:rsidR="006B2423" w:rsidRPr="006B2423" w:rsidRDefault="006B2423" w:rsidP="007F2FE7">
      <w:pPr>
        <w:ind w:firstLine="720"/>
        <w:rPr>
          <w:rFonts w:ascii="Arial" w:hAnsi="Arial" w:cs="Arial"/>
        </w:rPr>
      </w:pPr>
    </w:p>
    <w:p w:rsidR="006B2423" w:rsidRPr="006B2423" w:rsidRDefault="006B2423" w:rsidP="007F2FE7">
      <w:pPr>
        <w:ind w:firstLine="720"/>
        <w:rPr>
          <w:rFonts w:ascii="Arial" w:hAnsi="Arial" w:cs="Arial"/>
        </w:rPr>
      </w:pPr>
    </w:p>
    <w:p w:rsidR="007E64EE" w:rsidRDefault="007E64EE" w:rsidP="007F2FE7">
      <w:pPr>
        <w:ind w:firstLine="720"/>
        <w:rPr>
          <w:rFonts w:ascii="Arial" w:hAnsi="Arial" w:cs="Arial"/>
        </w:rPr>
      </w:pPr>
    </w:p>
    <w:p w:rsidR="007E64EE" w:rsidRDefault="007E64EE" w:rsidP="007F2FE7">
      <w:pPr>
        <w:ind w:firstLine="720"/>
        <w:rPr>
          <w:rFonts w:ascii="Arial" w:hAnsi="Arial" w:cs="Arial"/>
        </w:rPr>
      </w:pPr>
    </w:p>
    <w:p w:rsidR="007E64EE" w:rsidRPr="006B2423" w:rsidRDefault="007E64EE" w:rsidP="007F2FE7">
      <w:pPr>
        <w:ind w:hanging="3600"/>
        <w:rPr>
          <w:rFonts w:ascii="Arial" w:hAnsi="Arial" w:cs="Arial"/>
        </w:rPr>
      </w:pPr>
    </w:p>
    <w:sectPr w:rsidR="007E64EE" w:rsidRPr="006B2423" w:rsidSect="0010116A">
      <w:headerReference w:type="first" r:id="rId8"/>
      <w:footerReference w:type="first" r:id="rId9"/>
      <w:pgSz w:w="12240" w:h="15840" w:code="1"/>
      <w:pgMar w:top="1440" w:right="1440" w:bottom="1440" w:left="1440"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C56" w:rsidRDefault="00B82C56">
      <w:r>
        <w:separator/>
      </w:r>
    </w:p>
  </w:endnote>
  <w:endnote w:type="continuationSeparator" w:id="0">
    <w:p w:rsidR="00B82C56" w:rsidRDefault="00B82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33" w:rsidRPr="00D058FA" w:rsidRDefault="00476D33" w:rsidP="00D05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C56" w:rsidRDefault="00B82C56">
      <w:r>
        <w:separator/>
      </w:r>
    </w:p>
  </w:footnote>
  <w:footnote w:type="continuationSeparator" w:id="0">
    <w:p w:rsidR="00B82C56" w:rsidRDefault="00B82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33" w:rsidRDefault="00E7336B">
    <w:pPr>
      <w:pStyle w:val="Header"/>
      <w:jc w:val="center"/>
      <w:rPr>
        <w:noProof/>
        <w:color w:val="0000FF"/>
      </w:rPr>
    </w:pPr>
    <w:r>
      <w:rPr>
        <w:noProof/>
        <w:sz w:val="20"/>
        <w:lang w:eastAsia="en-US"/>
      </w:rPr>
      <w:drawing>
        <wp:inline distT="0" distB="0" distL="0" distR="0">
          <wp:extent cx="657225" cy="657225"/>
          <wp:effectExtent l="0" t="0" r="9525" b="9525"/>
          <wp:docPr id="1" name="Picture 1" descr="Description: ssalogoal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salogoallblue"/>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rsidR="00476D33" w:rsidRDefault="00476D33">
    <w:pPr>
      <w:pStyle w:val="Header"/>
      <w:jc w:val="center"/>
      <w:rPr>
        <w:rFonts w:ascii="Century Schoolbook" w:hAnsi="Century Schoolbook"/>
        <w:noProof/>
        <w:color w:val="0000FF"/>
        <w:sz w:val="36"/>
        <w:u w:val="single"/>
      </w:rPr>
    </w:pPr>
    <w:r>
      <w:rPr>
        <w:rFonts w:ascii="Century Schoolbook" w:hAnsi="Century Schoolbook"/>
        <w:noProof/>
        <w:color w:val="0000FF"/>
        <w:sz w:val="36"/>
        <w:u w:val="single"/>
      </w:rPr>
      <w:t>SOCIAL SECURITY</w:t>
    </w:r>
  </w:p>
  <w:p w:rsidR="00476D33" w:rsidRDefault="00476D3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379B9"/>
    <w:multiLevelType w:val="hybridMultilevel"/>
    <w:tmpl w:val="202A5B8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27947"/>
    <w:rsid w:val="00030DDF"/>
    <w:rsid w:val="00035B57"/>
    <w:rsid w:val="00042973"/>
    <w:rsid w:val="00073678"/>
    <w:rsid w:val="000B1492"/>
    <w:rsid w:val="000F6F90"/>
    <w:rsid w:val="0010116A"/>
    <w:rsid w:val="00110D3C"/>
    <w:rsid w:val="00153D76"/>
    <w:rsid w:val="00167B37"/>
    <w:rsid w:val="00274318"/>
    <w:rsid w:val="002D4F57"/>
    <w:rsid w:val="00461CB2"/>
    <w:rsid w:val="00476D33"/>
    <w:rsid w:val="00535C0D"/>
    <w:rsid w:val="0054127A"/>
    <w:rsid w:val="0054346D"/>
    <w:rsid w:val="005918B7"/>
    <w:rsid w:val="005E3354"/>
    <w:rsid w:val="006022FE"/>
    <w:rsid w:val="006242E0"/>
    <w:rsid w:val="006A6D93"/>
    <w:rsid w:val="006A7FDF"/>
    <w:rsid w:val="006B2423"/>
    <w:rsid w:val="006C578D"/>
    <w:rsid w:val="007201C2"/>
    <w:rsid w:val="00727947"/>
    <w:rsid w:val="007E64EE"/>
    <w:rsid w:val="007F2FE7"/>
    <w:rsid w:val="00901920"/>
    <w:rsid w:val="0090349D"/>
    <w:rsid w:val="00947D87"/>
    <w:rsid w:val="009F23AA"/>
    <w:rsid w:val="00A11064"/>
    <w:rsid w:val="00A953E3"/>
    <w:rsid w:val="00B150B2"/>
    <w:rsid w:val="00B62814"/>
    <w:rsid w:val="00B82C56"/>
    <w:rsid w:val="00D058FA"/>
    <w:rsid w:val="00D83CBF"/>
    <w:rsid w:val="00DA6A1C"/>
    <w:rsid w:val="00DB002C"/>
    <w:rsid w:val="00DB2F20"/>
    <w:rsid w:val="00DD2807"/>
    <w:rsid w:val="00E677A8"/>
    <w:rsid w:val="00E7336B"/>
    <w:rsid w:val="00EA3716"/>
    <w:rsid w:val="00EE04A7"/>
    <w:rsid w:val="00F12CA2"/>
    <w:rsid w:val="00F14332"/>
    <w:rsid w:val="00F261DF"/>
    <w:rsid w:val="00F60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CB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3CBF"/>
    <w:pPr>
      <w:tabs>
        <w:tab w:val="center" w:pos="4320"/>
        <w:tab w:val="right" w:pos="8640"/>
      </w:tabs>
    </w:pPr>
  </w:style>
  <w:style w:type="paragraph" w:styleId="Footer">
    <w:name w:val="footer"/>
    <w:basedOn w:val="Normal"/>
    <w:rsid w:val="00D83CBF"/>
    <w:pPr>
      <w:tabs>
        <w:tab w:val="center" w:pos="4320"/>
        <w:tab w:val="right" w:pos="8640"/>
      </w:tabs>
    </w:pPr>
  </w:style>
  <w:style w:type="paragraph" w:styleId="Date">
    <w:name w:val="Date"/>
    <w:basedOn w:val="Normal"/>
    <w:next w:val="Normal"/>
    <w:rsid w:val="00F261DF"/>
  </w:style>
  <w:style w:type="character" w:styleId="Hyperlink">
    <w:name w:val="Hyperlink"/>
    <w:rsid w:val="007201C2"/>
    <w:rPr>
      <w:color w:val="0000FF"/>
      <w:u w:val="single"/>
    </w:rPr>
  </w:style>
  <w:style w:type="paragraph" w:styleId="BalloonText">
    <w:name w:val="Balloon Text"/>
    <w:basedOn w:val="Normal"/>
    <w:link w:val="BalloonTextChar"/>
    <w:rsid w:val="00901920"/>
    <w:rPr>
      <w:rFonts w:ascii="Tahoma" w:hAnsi="Tahoma" w:cs="Tahoma"/>
      <w:sz w:val="16"/>
      <w:szCs w:val="16"/>
    </w:rPr>
  </w:style>
  <w:style w:type="character" w:customStyle="1" w:styleId="BalloonTextChar">
    <w:name w:val="Balloon Text Char"/>
    <w:link w:val="BalloonText"/>
    <w:rsid w:val="00901920"/>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sid w:val="00F261DF"/>
  </w:style>
  <w:style w:type="character" w:styleId="Hyperlink">
    <w:name w:val="Hyperlink"/>
    <w:rsid w:val="007201C2"/>
    <w:rPr>
      <w:color w:val="0000FF"/>
      <w:u w:val="single"/>
    </w:rPr>
  </w:style>
  <w:style w:type="paragraph" w:styleId="BalloonText">
    <w:name w:val="Balloon Text"/>
    <w:basedOn w:val="Normal"/>
    <w:link w:val="BalloonTextChar"/>
    <w:rsid w:val="00901920"/>
    <w:rPr>
      <w:rFonts w:ascii="Tahoma" w:hAnsi="Tahoma" w:cs="Tahoma"/>
      <w:sz w:val="16"/>
      <w:szCs w:val="16"/>
    </w:rPr>
  </w:style>
  <w:style w:type="character" w:customStyle="1" w:styleId="BalloonTextChar">
    <w:name w:val="Balloon Text Char"/>
    <w:link w:val="BalloonText"/>
    <w:rsid w:val="00901920"/>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56436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ye.lipsky@ssa.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658</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Office of the Regional Commissioner</vt:lpstr>
    </vt:vector>
  </TitlesOfParts>
  <Company>SSA</Company>
  <LinksUpToDate>false</LinksUpToDate>
  <CharactersWithSpaces>4270</CharactersWithSpaces>
  <SharedDoc>false</SharedDoc>
  <HLinks>
    <vt:vector size="6" baseType="variant">
      <vt:variant>
        <vt:i4>3342411</vt:i4>
      </vt:variant>
      <vt:variant>
        <vt:i4>0</vt:i4>
      </vt:variant>
      <vt:variant>
        <vt:i4>0</vt:i4>
      </vt:variant>
      <vt:variant>
        <vt:i4>5</vt:i4>
      </vt:variant>
      <vt:variant>
        <vt:lpwstr>mailto:faye.lipsky@ssa.gov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Regional Commissioner</dc:title>
  <dc:creator>oc</dc:creator>
  <cp:lastModifiedBy>889123</cp:lastModifiedBy>
  <cp:revision>8</cp:revision>
  <cp:lastPrinted>2012-02-23T19:17:00Z</cp:lastPrinted>
  <dcterms:created xsi:type="dcterms:W3CDTF">2012-04-06T16:15:00Z</dcterms:created>
  <dcterms:modified xsi:type="dcterms:W3CDTF">2012-04-17T18:33:00Z</dcterms:modified>
</cp:coreProperties>
</file>