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D00" w:rsidRDefault="00667D00" w:rsidP="00667D00">
      <w:pPr>
        <w:jc w:val="center"/>
        <w:rPr>
          <w:b/>
          <w:sz w:val="24"/>
        </w:rPr>
      </w:pPr>
      <w:bookmarkStart w:id="0" w:name="_GoBack"/>
      <w:bookmarkEnd w:id="0"/>
    </w:p>
    <w:p w:rsidR="00667D00" w:rsidRDefault="00667D00" w:rsidP="00667D00">
      <w:pPr>
        <w:jc w:val="center"/>
        <w:rPr>
          <w:b/>
          <w:sz w:val="24"/>
        </w:rPr>
      </w:pPr>
    </w:p>
    <w:p w:rsidR="00667D00" w:rsidRPr="002C4865" w:rsidRDefault="00667D00" w:rsidP="00667D00">
      <w:pPr>
        <w:jc w:val="center"/>
        <w:rPr>
          <w:b/>
          <w:sz w:val="24"/>
        </w:rPr>
      </w:pPr>
      <w:r w:rsidRPr="002C4865">
        <w:rPr>
          <w:b/>
          <w:sz w:val="24"/>
        </w:rPr>
        <w:t>SUPPORTING STATEMENT</w:t>
      </w:r>
    </w:p>
    <w:p w:rsidR="00667D00" w:rsidRPr="002C4865" w:rsidRDefault="00667D00" w:rsidP="00667D00">
      <w:pPr>
        <w:jc w:val="center"/>
        <w:rPr>
          <w:b/>
          <w:sz w:val="24"/>
        </w:rPr>
      </w:pPr>
    </w:p>
    <w:p w:rsidR="00667D00" w:rsidRPr="002C4865" w:rsidRDefault="00667D00" w:rsidP="00667D00">
      <w:pPr>
        <w:jc w:val="center"/>
        <w:rPr>
          <w:b/>
          <w:sz w:val="24"/>
        </w:rPr>
      </w:pPr>
      <w:r w:rsidRPr="002C4865">
        <w:rPr>
          <w:b/>
          <w:sz w:val="24"/>
        </w:rPr>
        <w:t>Part B</w:t>
      </w:r>
    </w:p>
    <w:p w:rsidR="00667D00" w:rsidRPr="002C4865" w:rsidRDefault="00667D00" w:rsidP="00667D00">
      <w:pPr>
        <w:rPr>
          <w:b/>
          <w:sz w:val="24"/>
        </w:rPr>
      </w:pPr>
    </w:p>
    <w:p w:rsidR="00667D00" w:rsidRPr="002C4865" w:rsidRDefault="00667D00" w:rsidP="00667D00">
      <w:pPr>
        <w:jc w:val="center"/>
        <w:rPr>
          <w:b/>
          <w:sz w:val="24"/>
        </w:rPr>
      </w:pPr>
    </w:p>
    <w:p w:rsidR="006A7E5A" w:rsidRDefault="006A7E5A" w:rsidP="006A7E5A">
      <w:pPr>
        <w:jc w:val="center"/>
        <w:rPr>
          <w:b/>
          <w:sz w:val="24"/>
        </w:rPr>
      </w:pPr>
      <w:r w:rsidRPr="006A7E5A">
        <w:rPr>
          <w:b/>
          <w:sz w:val="24"/>
        </w:rPr>
        <w:t>Assessing the Feasibility</w:t>
      </w:r>
      <w:r>
        <w:rPr>
          <w:b/>
          <w:sz w:val="24"/>
        </w:rPr>
        <w:t xml:space="preserve"> </w:t>
      </w:r>
      <w:r w:rsidRPr="006A7E5A">
        <w:rPr>
          <w:b/>
          <w:sz w:val="24"/>
        </w:rPr>
        <w:t xml:space="preserve">of Disseminating Effective Health </w:t>
      </w:r>
    </w:p>
    <w:p w:rsidR="006A7E5A" w:rsidRDefault="006A7E5A" w:rsidP="006A7E5A">
      <w:pPr>
        <w:jc w:val="center"/>
        <w:rPr>
          <w:b/>
          <w:sz w:val="24"/>
        </w:rPr>
      </w:pPr>
      <w:r w:rsidRPr="006A7E5A">
        <w:rPr>
          <w:b/>
          <w:sz w:val="24"/>
        </w:rPr>
        <w:t xml:space="preserve">Center Products through Educational Activities Planned </w:t>
      </w:r>
    </w:p>
    <w:p w:rsidR="006A7E5A" w:rsidRDefault="006A7E5A" w:rsidP="006A7E5A">
      <w:pPr>
        <w:jc w:val="center"/>
        <w:rPr>
          <w:b/>
          <w:sz w:val="24"/>
        </w:rPr>
      </w:pPr>
      <w:r w:rsidRPr="006A7E5A">
        <w:rPr>
          <w:b/>
          <w:sz w:val="24"/>
        </w:rPr>
        <w:t xml:space="preserve">and Implemented in Partnership with the </w:t>
      </w:r>
    </w:p>
    <w:p w:rsidR="00667D00" w:rsidRPr="002C4865" w:rsidRDefault="006A7E5A" w:rsidP="006A7E5A">
      <w:pPr>
        <w:jc w:val="center"/>
        <w:rPr>
          <w:b/>
          <w:sz w:val="24"/>
        </w:rPr>
      </w:pPr>
      <w:r w:rsidRPr="006A7E5A">
        <w:rPr>
          <w:b/>
          <w:sz w:val="24"/>
        </w:rPr>
        <w:t xml:space="preserve">Society of Academic Continuing Medical Education </w:t>
      </w: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A7E5A" w:rsidP="00667D00">
      <w:pPr>
        <w:jc w:val="center"/>
        <w:rPr>
          <w:b/>
          <w:sz w:val="24"/>
        </w:rPr>
      </w:pPr>
      <w:r>
        <w:rPr>
          <w:b/>
          <w:sz w:val="24"/>
        </w:rPr>
        <w:t>OMB No. xxxxxxx</w:t>
      </w: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Default="00667D00" w:rsidP="00667D00">
      <w:pPr>
        <w:jc w:val="center"/>
        <w:rPr>
          <w:b/>
          <w:sz w:val="24"/>
        </w:rPr>
      </w:pPr>
    </w:p>
    <w:p w:rsidR="006A7E5A" w:rsidRDefault="006A7E5A" w:rsidP="00667D00">
      <w:pPr>
        <w:jc w:val="center"/>
        <w:rPr>
          <w:b/>
          <w:sz w:val="24"/>
        </w:rPr>
      </w:pPr>
    </w:p>
    <w:p w:rsidR="006A7E5A" w:rsidRPr="002C4865" w:rsidRDefault="006A7E5A"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sz w:val="24"/>
        </w:rPr>
      </w:pPr>
    </w:p>
    <w:p w:rsidR="00667D00" w:rsidRPr="002C4865" w:rsidRDefault="00667D00" w:rsidP="00667D00">
      <w:pPr>
        <w:jc w:val="center"/>
        <w:rPr>
          <w:b/>
          <w:i/>
          <w:sz w:val="28"/>
          <w:szCs w:val="28"/>
        </w:rPr>
      </w:pPr>
      <w:r w:rsidRPr="002C4865">
        <w:rPr>
          <w:b/>
          <w:sz w:val="28"/>
          <w:szCs w:val="28"/>
        </w:rPr>
        <w:t xml:space="preserve">Version: </w:t>
      </w:r>
      <w:r w:rsidR="00456237">
        <w:rPr>
          <w:sz w:val="28"/>
          <w:szCs w:val="28"/>
        </w:rPr>
        <w:t>May 17, 2012</w:t>
      </w:r>
      <w:r w:rsidRPr="002C4865">
        <w:rPr>
          <w:sz w:val="28"/>
          <w:szCs w:val="28"/>
        </w:rPr>
        <w:t xml:space="preserve"> </w:t>
      </w: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p>
    <w:p w:rsidR="00667D00" w:rsidRPr="002C4865" w:rsidRDefault="00667D00" w:rsidP="00667D00">
      <w:pPr>
        <w:jc w:val="center"/>
        <w:rPr>
          <w:sz w:val="28"/>
          <w:szCs w:val="28"/>
        </w:rPr>
      </w:pPr>
      <w:r w:rsidRPr="002C4865">
        <w:rPr>
          <w:sz w:val="28"/>
          <w:szCs w:val="28"/>
        </w:rPr>
        <w:t>Agency of Healthcare Research and Quality (AHRQ)</w:t>
      </w: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667D00" w:rsidRPr="002C4865" w:rsidRDefault="00667D00" w:rsidP="00AA2B14">
      <w:pPr>
        <w:rPr>
          <w:b/>
          <w:sz w:val="24"/>
        </w:rPr>
      </w:pPr>
    </w:p>
    <w:p w:rsidR="00870C4B" w:rsidRPr="002C4865" w:rsidRDefault="00870C4B" w:rsidP="00870C4B">
      <w:pPr>
        <w:jc w:val="center"/>
        <w:rPr>
          <w:b/>
          <w:sz w:val="24"/>
          <w:szCs w:val="24"/>
        </w:rPr>
      </w:pPr>
      <w:r w:rsidRPr="002C4865">
        <w:rPr>
          <w:b/>
          <w:sz w:val="24"/>
          <w:szCs w:val="24"/>
        </w:rPr>
        <w:t>Table of contents</w:t>
      </w:r>
    </w:p>
    <w:p w:rsidR="00870C4B" w:rsidRPr="002C4865" w:rsidRDefault="00870C4B" w:rsidP="00870C4B">
      <w:pPr>
        <w:rPr>
          <w:sz w:val="24"/>
          <w:szCs w:val="24"/>
        </w:rPr>
      </w:pPr>
    </w:p>
    <w:p w:rsidR="00870C4B" w:rsidRPr="002C4865" w:rsidRDefault="00870C4B" w:rsidP="00870C4B">
      <w:pPr>
        <w:tabs>
          <w:tab w:val="left" w:leader="dot" w:pos="8460"/>
        </w:tabs>
        <w:rPr>
          <w:sz w:val="24"/>
          <w:szCs w:val="24"/>
        </w:rPr>
      </w:pPr>
      <w:r w:rsidRPr="002C4865">
        <w:rPr>
          <w:sz w:val="24"/>
          <w:szCs w:val="24"/>
        </w:rPr>
        <w:t>B. Collections of Information Employing Statistical Methods</w:t>
      </w:r>
      <w:r w:rsidRPr="002C4865">
        <w:rPr>
          <w:sz w:val="24"/>
          <w:szCs w:val="24"/>
        </w:rPr>
        <w:tab/>
        <w:t>3</w:t>
      </w:r>
    </w:p>
    <w:p w:rsidR="00870C4B" w:rsidRPr="002C4865" w:rsidRDefault="00870C4B" w:rsidP="00870C4B">
      <w:pPr>
        <w:tabs>
          <w:tab w:val="left" w:pos="360"/>
          <w:tab w:val="left" w:leader="dot" w:pos="8460"/>
        </w:tabs>
        <w:rPr>
          <w:sz w:val="24"/>
          <w:szCs w:val="24"/>
        </w:rPr>
      </w:pPr>
      <w:r w:rsidRPr="002C4865">
        <w:rPr>
          <w:sz w:val="24"/>
          <w:szCs w:val="24"/>
        </w:rPr>
        <w:tab/>
        <w:t>1. Respondent universe and sampling methods</w:t>
      </w:r>
      <w:r w:rsidRPr="002C4865">
        <w:rPr>
          <w:sz w:val="24"/>
          <w:szCs w:val="24"/>
        </w:rPr>
        <w:tab/>
      </w:r>
      <w:r w:rsidR="0088129C" w:rsidRPr="002C4865">
        <w:rPr>
          <w:sz w:val="24"/>
          <w:szCs w:val="24"/>
        </w:rPr>
        <w:t>3</w:t>
      </w:r>
    </w:p>
    <w:p w:rsidR="00870C4B" w:rsidRPr="002C4865" w:rsidRDefault="00870C4B" w:rsidP="00870C4B">
      <w:pPr>
        <w:tabs>
          <w:tab w:val="left" w:pos="360"/>
          <w:tab w:val="left" w:leader="dot" w:pos="8460"/>
        </w:tabs>
        <w:rPr>
          <w:sz w:val="24"/>
          <w:szCs w:val="24"/>
        </w:rPr>
      </w:pPr>
      <w:r w:rsidRPr="002C4865">
        <w:rPr>
          <w:sz w:val="24"/>
          <w:szCs w:val="24"/>
        </w:rPr>
        <w:tab/>
        <w:t>2. Information Collection Procedures</w:t>
      </w:r>
      <w:r w:rsidRPr="002C4865">
        <w:rPr>
          <w:sz w:val="24"/>
          <w:szCs w:val="24"/>
        </w:rPr>
        <w:tab/>
      </w:r>
      <w:r w:rsidR="003210D4">
        <w:rPr>
          <w:sz w:val="24"/>
          <w:szCs w:val="24"/>
        </w:rPr>
        <w:t>5</w:t>
      </w:r>
    </w:p>
    <w:p w:rsidR="00870C4B" w:rsidRPr="002C4865" w:rsidRDefault="00870C4B" w:rsidP="00870C4B">
      <w:pPr>
        <w:tabs>
          <w:tab w:val="left" w:pos="360"/>
          <w:tab w:val="left" w:leader="dot" w:pos="8460"/>
        </w:tabs>
        <w:rPr>
          <w:sz w:val="24"/>
          <w:szCs w:val="24"/>
        </w:rPr>
      </w:pPr>
      <w:r w:rsidRPr="002C4865">
        <w:rPr>
          <w:sz w:val="24"/>
          <w:szCs w:val="24"/>
        </w:rPr>
        <w:tab/>
        <w:t>3. Methods to Maximize Response Rates</w:t>
      </w:r>
      <w:r w:rsidRPr="002C4865">
        <w:rPr>
          <w:sz w:val="24"/>
          <w:szCs w:val="24"/>
        </w:rPr>
        <w:tab/>
      </w:r>
      <w:r w:rsidR="003210D4">
        <w:rPr>
          <w:sz w:val="24"/>
          <w:szCs w:val="24"/>
        </w:rPr>
        <w:t>6</w:t>
      </w:r>
    </w:p>
    <w:p w:rsidR="00870C4B" w:rsidRPr="002C4865" w:rsidRDefault="00870C4B" w:rsidP="00870C4B">
      <w:pPr>
        <w:tabs>
          <w:tab w:val="left" w:pos="360"/>
          <w:tab w:val="left" w:leader="dot" w:pos="8460"/>
        </w:tabs>
        <w:rPr>
          <w:sz w:val="24"/>
          <w:szCs w:val="24"/>
        </w:rPr>
      </w:pPr>
      <w:r w:rsidRPr="002C4865">
        <w:rPr>
          <w:sz w:val="24"/>
          <w:szCs w:val="24"/>
        </w:rPr>
        <w:tab/>
        <w:t>4. Tests of Procedures</w:t>
      </w:r>
      <w:r w:rsidRPr="002C4865">
        <w:rPr>
          <w:sz w:val="24"/>
          <w:szCs w:val="24"/>
        </w:rPr>
        <w:tab/>
      </w:r>
      <w:r w:rsidR="003210D4">
        <w:rPr>
          <w:sz w:val="24"/>
          <w:szCs w:val="24"/>
        </w:rPr>
        <w:t>6</w:t>
      </w:r>
    </w:p>
    <w:p w:rsidR="007B626D" w:rsidRPr="002C4865" w:rsidRDefault="007B626D" w:rsidP="007B626D">
      <w:pPr>
        <w:tabs>
          <w:tab w:val="left" w:pos="360"/>
          <w:tab w:val="left" w:leader="dot" w:pos="8460"/>
        </w:tabs>
        <w:rPr>
          <w:b/>
          <w:sz w:val="24"/>
        </w:rPr>
      </w:pPr>
      <w:r w:rsidRPr="002C4865">
        <w:rPr>
          <w:sz w:val="24"/>
          <w:szCs w:val="24"/>
        </w:rPr>
        <w:tab/>
        <w:t>5. Statistical Consultants</w:t>
      </w:r>
      <w:r w:rsidRPr="002C4865">
        <w:rPr>
          <w:sz w:val="24"/>
          <w:szCs w:val="24"/>
        </w:rPr>
        <w:tab/>
      </w:r>
      <w:r w:rsidR="003210D4">
        <w:rPr>
          <w:sz w:val="24"/>
          <w:szCs w:val="24"/>
        </w:rPr>
        <w:t>7</w:t>
      </w: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C35F8A" w:rsidRPr="002C4865" w:rsidRDefault="00C35F8A"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870C4B" w:rsidRPr="002C4865" w:rsidRDefault="00870C4B" w:rsidP="00AA2B14">
      <w:pPr>
        <w:rPr>
          <w:b/>
          <w:sz w:val="24"/>
        </w:rPr>
      </w:pPr>
    </w:p>
    <w:p w:rsidR="00AA2B14" w:rsidRPr="002C4865" w:rsidRDefault="00870C4B" w:rsidP="00AA2B14">
      <w:pPr>
        <w:rPr>
          <w:b/>
          <w:sz w:val="24"/>
          <w:szCs w:val="24"/>
        </w:rPr>
      </w:pPr>
      <w:r w:rsidRPr="002C4865">
        <w:rPr>
          <w:b/>
          <w:sz w:val="24"/>
          <w:szCs w:val="24"/>
        </w:rPr>
        <w:t>B. Collections of Information Employing Statistical Methods</w:t>
      </w:r>
    </w:p>
    <w:p w:rsidR="00870C4B" w:rsidRPr="002C4865" w:rsidRDefault="00870C4B" w:rsidP="00AA2B14">
      <w:pPr>
        <w:rPr>
          <w:sz w:val="24"/>
        </w:rPr>
      </w:pPr>
    </w:p>
    <w:p w:rsidR="00AA2B14" w:rsidRPr="002C4865" w:rsidRDefault="00AA2B14" w:rsidP="00AA2B14">
      <w:pPr>
        <w:rPr>
          <w:b/>
          <w:i/>
          <w:sz w:val="24"/>
        </w:rPr>
      </w:pPr>
      <w:r w:rsidRPr="002C4865">
        <w:rPr>
          <w:b/>
          <w:i/>
          <w:sz w:val="24"/>
        </w:rPr>
        <w:t xml:space="preserve">1.  </w:t>
      </w:r>
      <w:r w:rsidR="00870C4B" w:rsidRPr="002C4865">
        <w:rPr>
          <w:b/>
          <w:i/>
          <w:sz w:val="24"/>
        </w:rPr>
        <w:t xml:space="preserve">Respondent Universe and Sampling </w:t>
      </w:r>
      <w:r w:rsidRPr="002C4865">
        <w:rPr>
          <w:b/>
          <w:i/>
          <w:sz w:val="24"/>
        </w:rPr>
        <w:t>Method</w:t>
      </w:r>
      <w:r w:rsidR="00870C4B" w:rsidRPr="002C4865">
        <w:rPr>
          <w:b/>
          <w:i/>
          <w:sz w:val="24"/>
        </w:rPr>
        <w:t>s</w:t>
      </w:r>
    </w:p>
    <w:p w:rsidR="00AA2B14" w:rsidRPr="002C4865" w:rsidRDefault="00AA2B14" w:rsidP="00AA2B14">
      <w:pPr>
        <w:rPr>
          <w:sz w:val="24"/>
        </w:rPr>
      </w:pPr>
    </w:p>
    <w:p w:rsidR="00643FDF" w:rsidRDefault="00BC3A9C" w:rsidP="00824182">
      <w:pPr>
        <w:rPr>
          <w:sz w:val="24"/>
        </w:rPr>
      </w:pPr>
      <w:r>
        <w:rPr>
          <w:sz w:val="24"/>
          <w:szCs w:val="24"/>
        </w:rPr>
        <w:t xml:space="preserve">The evaluation activities described in Supporting Statement Part A will be used to gather data from six academic organizations that offer CME to clinical practitioners, clinical researchers, or clinical faculty in educational settings. </w:t>
      </w:r>
      <w:r w:rsidR="00824182">
        <w:rPr>
          <w:sz w:val="24"/>
          <w:szCs w:val="24"/>
        </w:rPr>
        <w:t xml:space="preserve">The sampling frame was defined as all </w:t>
      </w:r>
      <w:r w:rsidR="00D86DE0">
        <w:rPr>
          <w:sz w:val="24"/>
          <w:szCs w:val="24"/>
        </w:rPr>
        <w:t xml:space="preserve">11 </w:t>
      </w:r>
      <w:r w:rsidR="00824182">
        <w:rPr>
          <w:sz w:val="24"/>
          <w:szCs w:val="24"/>
        </w:rPr>
        <w:t xml:space="preserve">institutions </w:t>
      </w:r>
      <w:r w:rsidR="000F1427">
        <w:rPr>
          <w:sz w:val="24"/>
          <w:szCs w:val="24"/>
        </w:rPr>
        <w:t xml:space="preserve">submitting </w:t>
      </w:r>
      <w:r w:rsidR="00824182">
        <w:rPr>
          <w:sz w:val="24"/>
          <w:szCs w:val="24"/>
        </w:rPr>
        <w:t xml:space="preserve">a proposal </w:t>
      </w:r>
      <w:r w:rsidR="000F1427">
        <w:rPr>
          <w:sz w:val="24"/>
          <w:szCs w:val="24"/>
        </w:rPr>
        <w:t xml:space="preserve">that described </w:t>
      </w:r>
      <w:r w:rsidR="00D86DE0">
        <w:rPr>
          <w:sz w:val="24"/>
          <w:szCs w:val="24"/>
        </w:rPr>
        <w:t xml:space="preserve">a means of integrating </w:t>
      </w:r>
      <w:r w:rsidR="00643FDF">
        <w:rPr>
          <w:sz w:val="24"/>
          <w:szCs w:val="24"/>
        </w:rPr>
        <w:t xml:space="preserve">comparative effectiveness </w:t>
      </w:r>
      <w:r w:rsidR="00D86DE0">
        <w:rPr>
          <w:sz w:val="24"/>
          <w:szCs w:val="24"/>
        </w:rPr>
        <w:t>research</w:t>
      </w:r>
      <w:r w:rsidR="00643FDF">
        <w:rPr>
          <w:sz w:val="24"/>
          <w:szCs w:val="24"/>
        </w:rPr>
        <w:t xml:space="preserve"> into a CME activity </w:t>
      </w:r>
      <w:r w:rsidR="00D86DE0">
        <w:rPr>
          <w:sz w:val="24"/>
          <w:szCs w:val="24"/>
        </w:rPr>
        <w:t xml:space="preserve">of any format </w:t>
      </w:r>
      <w:r w:rsidR="00643FDF">
        <w:rPr>
          <w:sz w:val="24"/>
          <w:szCs w:val="24"/>
        </w:rPr>
        <w:t xml:space="preserve">(e.g., live, online, Webinar, academic detailing). </w:t>
      </w:r>
      <w:r w:rsidR="002F2C10">
        <w:rPr>
          <w:sz w:val="24"/>
          <w:szCs w:val="24"/>
        </w:rPr>
        <w:t xml:space="preserve">Because this is a feasibility study </w:t>
      </w:r>
      <w:r w:rsidR="00643FDF">
        <w:rPr>
          <w:sz w:val="24"/>
          <w:szCs w:val="24"/>
        </w:rPr>
        <w:t xml:space="preserve">designed </w:t>
      </w:r>
      <w:r w:rsidR="002F2C10">
        <w:rPr>
          <w:sz w:val="24"/>
          <w:szCs w:val="24"/>
        </w:rPr>
        <w:t>to collect pilot data, there was no intent to generalize to a larger universe of CME providers</w:t>
      </w:r>
      <w:r w:rsidR="00D86DE0">
        <w:rPr>
          <w:sz w:val="24"/>
          <w:szCs w:val="24"/>
        </w:rPr>
        <w:t>,</w:t>
      </w:r>
      <w:r w:rsidR="00643FDF">
        <w:rPr>
          <w:sz w:val="24"/>
          <w:szCs w:val="24"/>
        </w:rPr>
        <w:t xml:space="preserve"> and thus use of probabilistic sampling </w:t>
      </w:r>
      <w:r w:rsidR="00D86DE0">
        <w:rPr>
          <w:sz w:val="24"/>
          <w:szCs w:val="24"/>
        </w:rPr>
        <w:t>wa</w:t>
      </w:r>
      <w:r w:rsidR="00643FDF">
        <w:rPr>
          <w:sz w:val="24"/>
          <w:szCs w:val="24"/>
        </w:rPr>
        <w:t>s unnecessary</w:t>
      </w:r>
      <w:r w:rsidR="002F2C10">
        <w:rPr>
          <w:sz w:val="24"/>
          <w:szCs w:val="24"/>
        </w:rPr>
        <w:t>. Instead, purposeful sampling was employed to select those projects that might be reasonably pursued in light of available support</w:t>
      </w:r>
      <w:r w:rsidR="0038673F">
        <w:rPr>
          <w:sz w:val="24"/>
          <w:szCs w:val="24"/>
        </w:rPr>
        <w:t xml:space="preserve"> and which employed innovative educational formats and/or curriculum design</w:t>
      </w:r>
      <w:r w:rsidR="002F2C10">
        <w:rPr>
          <w:sz w:val="24"/>
          <w:szCs w:val="24"/>
        </w:rPr>
        <w:t xml:space="preserve">. Criteria were developed to </w:t>
      </w:r>
      <w:r w:rsidR="00232730" w:rsidRPr="00824182">
        <w:rPr>
          <w:sz w:val="24"/>
        </w:rPr>
        <w:t>rank the project submissions</w:t>
      </w:r>
      <w:r w:rsidR="00D86DE0">
        <w:rPr>
          <w:sz w:val="24"/>
        </w:rPr>
        <w:t xml:space="preserve"> according to the following</w:t>
      </w:r>
      <w:r w:rsidR="002F2C10">
        <w:rPr>
          <w:sz w:val="24"/>
        </w:rPr>
        <w:t>:</w:t>
      </w:r>
      <w:r w:rsidR="00232730">
        <w:rPr>
          <w:sz w:val="24"/>
        </w:rPr>
        <w:t xml:space="preserve"> (a) d</w:t>
      </w:r>
      <w:r w:rsidR="000F1427">
        <w:rPr>
          <w:sz w:val="24"/>
        </w:rPr>
        <w:t>issemination – p</w:t>
      </w:r>
      <w:r w:rsidR="00232730" w:rsidRPr="00824182">
        <w:rPr>
          <w:sz w:val="24"/>
        </w:rPr>
        <w:t>roject will potentially reach large numbers of clinicians/other audiences and will provide valuable feedback on dissemination, educational</w:t>
      </w:r>
      <w:r w:rsidR="00232730">
        <w:rPr>
          <w:sz w:val="24"/>
        </w:rPr>
        <w:t xml:space="preserve"> effects, and/or other outcomes; (b) g</w:t>
      </w:r>
      <w:r w:rsidR="00232730" w:rsidRPr="00824182">
        <w:rPr>
          <w:sz w:val="24"/>
        </w:rPr>
        <w:t>uidance</w:t>
      </w:r>
      <w:r w:rsidR="000F1427">
        <w:rPr>
          <w:sz w:val="24"/>
        </w:rPr>
        <w:t xml:space="preserve"> – p</w:t>
      </w:r>
      <w:r w:rsidR="00232730" w:rsidRPr="00824182">
        <w:rPr>
          <w:sz w:val="24"/>
        </w:rPr>
        <w:t>roject will inform the CME community on ways to incorporate AHRQ product</w:t>
      </w:r>
      <w:r w:rsidR="00232730">
        <w:rPr>
          <w:sz w:val="24"/>
        </w:rPr>
        <w:t>s into educational programming; (c) r</w:t>
      </w:r>
      <w:r w:rsidR="00232730" w:rsidRPr="00824182">
        <w:rPr>
          <w:sz w:val="24"/>
        </w:rPr>
        <w:t>eplicability</w:t>
      </w:r>
      <w:r w:rsidR="000F1427">
        <w:rPr>
          <w:sz w:val="24"/>
        </w:rPr>
        <w:t xml:space="preserve"> – p</w:t>
      </w:r>
      <w:r w:rsidR="00232730" w:rsidRPr="00824182">
        <w:rPr>
          <w:sz w:val="24"/>
        </w:rPr>
        <w:t>roject will be scalable/extensible to othe</w:t>
      </w:r>
      <w:r w:rsidR="00232730">
        <w:rPr>
          <w:sz w:val="24"/>
        </w:rPr>
        <w:t>r CME applications and products; and (d) o</w:t>
      </w:r>
      <w:r w:rsidR="00232730" w:rsidRPr="00824182">
        <w:rPr>
          <w:sz w:val="24"/>
        </w:rPr>
        <w:t>verall quality</w:t>
      </w:r>
      <w:r w:rsidR="00232730">
        <w:rPr>
          <w:sz w:val="24"/>
        </w:rPr>
        <w:t xml:space="preserve">. </w:t>
      </w:r>
      <w:r w:rsidR="00D86DE0">
        <w:rPr>
          <w:sz w:val="24"/>
        </w:rPr>
        <w:t xml:space="preserve"> </w:t>
      </w:r>
    </w:p>
    <w:p w:rsidR="00643FDF" w:rsidRDefault="00643FDF" w:rsidP="00824182">
      <w:pPr>
        <w:rPr>
          <w:sz w:val="24"/>
        </w:rPr>
      </w:pPr>
    </w:p>
    <w:p w:rsidR="00824182" w:rsidRPr="00824182" w:rsidRDefault="000F1427" w:rsidP="00824182">
      <w:pPr>
        <w:rPr>
          <w:sz w:val="24"/>
          <w:szCs w:val="24"/>
        </w:rPr>
      </w:pPr>
      <w:r>
        <w:rPr>
          <w:sz w:val="24"/>
          <w:szCs w:val="24"/>
        </w:rPr>
        <w:t xml:space="preserve">Each </w:t>
      </w:r>
      <w:r w:rsidR="00D86DE0" w:rsidRPr="00D86DE0">
        <w:rPr>
          <w:sz w:val="24"/>
          <w:szCs w:val="24"/>
        </w:rPr>
        <w:t xml:space="preserve">of the </w:t>
      </w:r>
      <w:r>
        <w:rPr>
          <w:sz w:val="24"/>
          <w:szCs w:val="24"/>
        </w:rPr>
        <w:t xml:space="preserve">institutions submitting a proposal were </w:t>
      </w:r>
      <w:r w:rsidR="00D86DE0" w:rsidRPr="00D86DE0">
        <w:rPr>
          <w:sz w:val="24"/>
          <w:szCs w:val="24"/>
        </w:rPr>
        <w:t xml:space="preserve">asked to rank the </w:t>
      </w:r>
      <w:r>
        <w:rPr>
          <w:sz w:val="24"/>
          <w:szCs w:val="24"/>
        </w:rPr>
        <w:t xml:space="preserve">pool of </w:t>
      </w:r>
      <w:r w:rsidR="00D86DE0" w:rsidRPr="00D86DE0">
        <w:rPr>
          <w:sz w:val="24"/>
          <w:szCs w:val="24"/>
        </w:rPr>
        <w:t xml:space="preserve">projects according to defined criteria.  This ranking was nonbinding on the Eisenberg Center. The top six choices of the </w:t>
      </w:r>
      <w:r w:rsidR="000574FE">
        <w:rPr>
          <w:sz w:val="24"/>
          <w:szCs w:val="24"/>
        </w:rPr>
        <w:t xml:space="preserve">institutions </w:t>
      </w:r>
      <w:r w:rsidR="00D86DE0" w:rsidRPr="00D86DE0">
        <w:rPr>
          <w:sz w:val="24"/>
          <w:szCs w:val="24"/>
        </w:rPr>
        <w:t>matched the selections of the Eisenberg Center,</w:t>
      </w:r>
      <w:r w:rsidR="00D86DE0">
        <w:rPr>
          <w:sz w:val="24"/>
          <w:szCs w:val="24"/>
        </w:rPr>
        <w:t xml:space="preserve"> </w:t>
      </w:r>
      <w:r w:rsidR="00BC3A9C">
        <w:rPr>
          <w:sz w:val="24"/>
          <w:szCs w:val="24"/>
        </w:rPr>
        <w:t xml:space="preserve">The </w:t>
      </w:r>
      <w:r w:rsidR="000574FE">
        <w:rPr>
          <w:sz w:val="24"/>
          <w:szCs w:val="24"/>
        </w:rPr>
        <w:t xml:space="preserve">selected </w:t>
      </w:r>
      <w:r w:rsidR="00BC3A9C">
        <w:rPr>
          <w:sz w:val="24"/>
          <w:szCs w:val="24"/>
        </w:rPr>
        <w:t xml:space="preserve">organizations include one in the northeast, three in the midwest, one in the south, and one on the west coast.  </w:t>
      </w:r>
      <w:r w:rsidR="000574FE">
        <w:rPr>
          <w:sz w:val="24"/>
          <w:szCs w:val="24"/>
        </w:rPr>
        <w:t>Project s</w:t>
      </w:r>
      <w:r w:rsidR="00BC3A9C">
        <w:rPr>
          <w:sz w:val="24"/>
          <w:szCs w:val="24"/>
        </w:rPr>
        <w:t xml:space="preserve">election was done with the intent of acquiring a comprehensive mix of instructional methods.  Of these, one is using peer detailing as the instructional method, another is using moderated learning communities with follow-up case studies, a third has taken a clinical quality improvement approach, the fourth organization is integrating Comparative Effectiveness Research (CER) findings into live larger-group CME programs targeting primary care providers, and the fifth organization is exploring ways of integrating CER findings into different types of </w:t>
      </w:r>
      <w:r w:rsidR="00BC3A9C" w:rsidRPr="00FC0A0F">
        <w:rPr>
          <w:sz w:val="24"/>
          <w:szCs w:val="24"/>
        </w:rPr>
        <w:t>CME activities that use either live presentation or enduring materials (e.g., CD-ROMs, audio/video tapes, monographs, or other products that can be used multiple times for learning purpo</w:t>
      </w:r>
      <w:r w:rsidR="00BC3A9C" w:rsidRPr="00FB25B2">
        <w:rPr>
          <w:sz w:val="24"/>
          <w:szCs w:val="24"/>
        </w:rPr>
        <w:t xml:space="preserve">ses).  </w:t>
      </w:r>
      <w:r w:rsidR="00232730">
        <w:rPr>
          <w:sz w:val="24"/>
          <w:szCs w:val="24"/>
        </w:rPr>
        <w:t xml:space="preserve">The </w:t>
      </w:r>
      <w:r w:rsidR="00BC3A9C" w:rsidRPr="00FC0A0F">
        <w:rPr>
          <w:sz w:val="24"/>
          <w:szCs w:val="24"/>
        </w:rPr>
        <w:t>CME content-specific implementation strategies</w:t>
      </w:r>
      <w:r w:rsidR="00BC3A9C">
        <w:rPr>
          <w:sz w:val="24"/>
        </w:rPr>
        <w:t xml:space="preserve"> and objectives associated with each </w:t>
      </w:r>
      <w:r w:rsidR="00232730">
        <w:rPr>
          <w:sz w:val="24"/>
        </w:rPr>
        <w:t xml:space="preserve">project is summarized in Table 1. </w:t>
      </w:r>
    </w:p>
    <w:p w:rsidR="00824182" w:rsidRPr="00824182" w:rsidRDefault="00824182" w:rsidP="00824182">
      <w:pPr>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6633"/>
      </w:tblGrid>
      <w:tr w:rsidR="00824182" w:rsidRPr="00824182" w:rsidTr="00824182">
        <w:trPr>
          <w:jc w:val="center"/>
        </w:trPr>
        <w:tc>
          <w:tcPr>
            <w:tcW w:w="9576" w:type="dxa"/>
            <w:gridSpan w:val="2"/>
          </w:tcPr>
          <w:p w:rsidR="00824182" w:rsidRPr="0038673F" w:rsidRDefault="00824182" w:rsidP="00824182">
            <w:pPr>
              <w:rPr>
                <w:sz w:val="24"/>
                <w:szCs w:val="24"/>
              </w:rPr>
            </w:pPr>
            <w:r w:rsidRPr="0038673F">
              <w:rPr>
                <w:sz w:val="24"/>
                <w:szCs w:val="24"/>
              </w:rPr>
              <w:t xml:space="preserve">TABLE 1:  Model Projects and Unique Dissemination Activities Involving </w:t>
            </w:r>
          </w:p>
          <w:p w:rsidR="00824182" w:rsidRPr="0038673F" w:rsidRDefault="00824182" w:rsidP="00824182">
            <w:pPr>
              <w:rPr>
                <w:sz w:val="24"/>
                <w:szCs w:val="24"/>
              </w:rPr>
            </w:pPr>
            <w:r w:rsidRPr="0038673F">
              <w:rPr>
                <w:sz w:val="24"/>
                <w:szCs w:val="24"/>
              </w:rPr>
              <w:t>Society of Academic Continuing Medical Education Member Organizations</w:t>
            </w:r>
          </w:p>
        </w:tc>
      </w:tr>
      <w:tr w:rsidR="00824182" w:rsidRPr="00824182" w:rsidTr="00824182">
        <w:trPr>
          <w:jc w:val="center"/>
        </w:trPr>
        <w:tc>
          <w:tcPr>
            <w:tcW w:w="2943" w:type="dxa"/>
          </w:tcPr>
          <w:p w:rsidR="00824182" w:rsidRPr="0038673F" w:rsidRDefault="00824182" w:rsidP="00824182">
            <w:pPr>
              <w:rPr>
                <w:sz w:val="24"/>
                <w:szCs w:val="24"/>
              </w:rPr>
            </w:pPr>
            <w:r w:rsidRPr="0038673F">
              <w:rPr>
                <w:sz w:val="24"/>
                <w:szCs w:val="24"/>
              </w:rPr>
              <w:t>Model Project</w:t>
            </w:r>
          </w:p>
        </w:tc>
        <w:tc>
          <w:tcPr>
            <w:tcW w:w="6633" w:type="dxa"/>
          </w:tcPr>
          <w:p w:rsidR="00824182" w:rsidRPr="0038673F" w:rsidRDefault="00824182" w:rsidP="00824182">
            <w:pPr>
              <w:rPr>
                <w:sz w:val="24"/>
                <w:szCs w:val="24"/>
              </w:rPr>
            </w:pPr>
            <w:r w:rsidRPr="0038673F">
              <w:rPr>
                <w:sz w:val="24"/>
                <w:szCs w:val="24"/>
              </w:rPr>
              <w:t>Unique Dissemination Objective</w:t>
            </w:r>
          </w:p>
        </w:tc>
      </w:tr>
      <w:tr w:rsidR="00824182" w:rsidRPr="00824182" w:rsidTr="00824182">
        <w:trPr>
          <w:jc w:val="center"/>
        </w:trPr>
        <w:tc>
          <w:tcPr>
            <w:tcW w:w="2943" w:type="dxa"/>
          </w:tcPr>
          <w:p w:rsidR="00824182" w:rsidRPr="00824182" w:rsidRDefault="00824182" w:rsidP="00824182">
            <w:pPr>
              <w:rPr>
                <w:sz w:val="24"/>
                <w:szCs w:val="24"/>
              </w:rPr>
            </w:pPr>
            <w:r w:rsidRPr="00824182">
              <w:rPr>
                <w:sz w:val="24"/>
                <w:szCs w:val="24"/>
              </w:rPr>
              <w:t>Peer Detailing (New York City)</w:t>
            </w:r>
          </w:p>
        </w:tc>
        <w:tc>
          <w:tcPr>
            <w:tcW w:w="6633" w:type="dxa"/>
          </w:tcPr>
          <w:p w:rsidR="00824182" w:rsidRPr="00824182" w:rsidRDefault="00824182" w:rsidP="00824182">
            <w:pPr>
              <w:rPr>
                <w:sz w:val="24"/>
                <w:szCs w:val="24"/>
              </w:rPr>
            </w:pPr>
            <w:r w:rsidRPr="00824182">
              <w:rPr>
                <w:sz w:val="24"/>
                <w:szCs w:val="24"/>
              </w:rPr>
              <w:t>Using EHC materials to develop sustainable educational networks that can be the basis for future cooperative CME with the aims of practice improvement and improved population health.</w:t>
            </w:r>
          </w:p>
        </w:tc>
      </w:tr>
      <w:tr w:rsidR="00824182" w:rsidRPr="00824182" w:rsidTr="00824182">
        <w:trPr>
          <w:jc w:val="center"/>
        </w:trPr>
        <w:tc>
          <w:tcPr>
            <w:tcW w:w="2943" w:type="dxa"/>
          </w:tcPr>
          <w:p w:rsidR="00824182" w:rsidRPr="00824182" w:rsidRDefault="00824182" w:rsidP="00824182">
            <w:pPr>
              <w:rPr>
                <w:sz w:val="24"/>
                <w:szCs w:val="24"/>
              </w:rPr>
            </w:pPr>
            <w:r w:rsidRPr="00824182">
              <w:rPr>
                <w:sz w:val="24"/>
                <w:szCs w:val="24"/>
              </w:rPr>
              <w:t xml:space="preserve">Moderated Learning Communities </w:t>
            </w:r>
            <w:r w:rsidRPr="00824182">
              <w:rPr>
                <w:sz w:val="24"/>
                <w:szCs w:val="24"/>
              </w:rPr>
              <w:br/>
              <w:t xml:space="preserve">and Follow-up Case Studies </w:t>
            </w:r>
            <w:r w:rsidRPr="00824182">
              <w:rPr>
                <w:sz w:val="24"/>
                <w:szCs w:val="24"/>
              </w:rPr>
              <w:lastRenderedPageBreak/>
              <w:t>(Kentucky)</w:t>
            </w:r>
          </w:p>
        </w:tc>
        <w:tc>
          <w:tcPr>
            <w:tcW w:w="6633" w:type="dxa"/>
          </w:tcPr>
          <w:p w:rsidR="00824182" w:rsidRPr="00824182" w:rsidRDefault="00824182" w:rsidP="00824182">
            <w:pPr>
              <w:rPr>
                <w:sz w:val="24"/>
                <w:szCs w:val="24"/>
              </w:rPr>
            </w:pPr>
            <w:r w:rsidRPr="00824182">
              <w:rPr>
                <w:sz w:val="24"/>
                <w:szCs w:val="24"/>
              </w:rPr>
              <w:lastRenderedPageBreak/>
              <w:t xml:space="preserve">To implement presenter moderated learning communities with the goal of engaging learners in the process of identifying barriers to change regarding EHC evidence. </w:t>
            </w:r>
          </w:p>
        </w:tc>
      </w:tr>
      <w:tr w:rsidR="00824182" w:rsidRPr="00824182" w:rsidTr="00824182">
        <w:trPr>
          <w:jc w:val="center"/>
        </w:trPr>
        <w:tc>
          <w:tcPr>
            <w:tcW w:w="2943" w:type="dxa"/>
          </w:tcPr>
          <w:p w:rsidR="00824182" w:rsidRPr="00824182" w:rsidRDefault="00824182" w:rsidP="00824182">
            <w:pPr>
              <w:rPr>
                <w:sz w:val="24"/>
                <w:szCs w:val="24"/>
              </w:rPr>
            </w:pPr>
            <w:r w:rsidRPr="00824182">
              <w:rPr>
                <w:sz w:val="24"/>
                <w:szCs w:val="24"/>
              </w:rPr>
              <w:lastRenderedPageBreak/>
              <w:t xml:space="preserve">Physician Performance </w:t>
            </w:r>
            <w:r w:rsidRPr="00824182">
              <w:rPr>
                <w:sz w:val="24"/>
                <w:szCs w:val="24"/>
              </w:rPr>
              <w:br/>
              <w:t>via Quality Improvement Services (Chicago)</w:t>
            </w:r>
          </w:p>
        </w:tc>
        <w:tc>
          <w:tcPr>
            <w:tcW w:w="6633" w:type="dxa"/>
          </w:tcPr>
          <w:p w:rsidR="00824182" w:rsidRPr="00824182" w:rsidRDefault="00824182" w:rsidP="00824182">
            <w:pPr>
              <w:rPr>
                <w:sz w:val="24"/>
                <w:szCs w:val="24"/>
              </w:rPr>
            </w:pPr>
            <w:r w:rsidRPr="00824182">
              <w:rPr>
                <w:sz w:val="24"/>
                <w:szCs w:val="24"/>
              </w:rPr>
              <w:t xml:space="preserve">Assess changes in practice performance as a result of integrating AHRQ CER findings into clinical practice. </w:t>
            </w:r>
          </w:p>
        </w:tc>
      </w:tr>
      <w:tr w:rsidR="00824182" w:rsidRPr="00824182" w:rsidTr="00824182">
        <w:trPr>
          <w:jc w:val="center"/>
        </w:trPr>
        <w:tc>
          <w:tcPr>
            <w:tcW w:w="2943" w:type="dxa"/>
          </w:tcPr>
          <w:p w:rsidR="00824182" w:rsidRPr="00824182" w:rsidRDefault="00824182" w:rsidP="00824182">
            <w:pPr>
              <w:rPr>
                <w:sz w:val="24"/>
                <w:szCs w:val="24"/>
              </w:rPr>
            </w:pPr>
            <w:r w:rsidRPr="00824182">
              <w:rPr>
                <w:sz w:val="24"/>
                <w:szCs w:val="24"/>
              </w:rPr>
              <w:t>Comparative Effectiveness Research as an Adjunct to, or as the Primary Topic in Live Annual  Large Group CME Seminars (West Coast)</w:t>
            </w:r>
          </w:p>
        </w:tc>
        <w:tc>
          <w:tcPr>
            <w:tcW w:w="6633" w:type="dxa"/>
          </w:tcPr>
          <w:p w:rsidR="00824182" w:rsidRPr="00824182" w:rsidRDefault="00824182" w:rsidP="00824182">
            <w:pPr>
              <w:rPr>
                <w:sz w:val="24"/>
                <w:szCs w:val="24"/>
              </w:rPr>
            </w:pPr>
            <w:r w:rsidRPr="00824182">
              <w:rPr>
                <w:sz w:val="24"/>
                <w:szCs w:val="24"/>
              </w:rPr>
              <w:t>To educate clinicians on the AHRQ comparative effectiveness research process while presenting findings from comparative effectiveness reviews that are important to a primary care audience.</w:t>
            </w:r>
          </w:p>
        </w:tc>
      </w:tr>
      <w:tr w:rsidR="00824182" w:rsidRPr="00824182" w:rsidTr="00824182">
        <w:trPr>
          <w:jc w:val="center"/>
        </w:trPr>
        <w:tc>
          <w:tcPr>
            <w:tcW w:w="2943" w:type="dxa"/>
          </w:tcPr>
          <w:p w:rsidR="00824182" w:rsidRPr="00824182" w:rsidRDefault="00824182" w:rsidP="00824182">
            <w:pPr>
              <w:rPr>
                <w:sz w:val="24"/>
                <w:szCs w:val="24"/>
              </w:rPr>
            </w:pPr>
            <w:r w:rsidRPr="00824182">
              <w:rPr>
                <w:sz w:val="24"/>
                <w:szCs w:val="24"/>
              </w:rPr>
              <w:t>CER Findings in Annual CME Programs (Cincinnati)</w:t>
            </w:r>
          </w:p>
        </w:tc>
        <w:tc>
          <w:tcPr>
            <w:tcW w:w="6633" w:type="dxa"/>
          </w:tcPr>
          <w:p w:rsidR="00824182" w:rsidRPr="00824182" w:rsidRDefault="00824182" w:rsidP="00824182">
            <w:pPr>
              <w:rPr>
                <w:sz w:val="24"/>
                <w:szCs w:val="24"/>
              </w:rPr>
            </w:pPr>
            <w:r w:rsidRPr="00824182">
              <w:rPr>
                <w:sz w:val="24"/>
                <w:szCs w:val="24"/>
              </w:rPr>
              <w:t>To assess the impact of CER recommendations adapted to different types of live and enduring material formats.</w:t>
            </w:r>
          </w:p>
        </w:tc>
      </w:tr>
      <w:tr w:rsidR="00824182" w:rsidRPr="00824182" w:rsidTr="00824182">
        <w:trPr>
          <w:jc w:val="center"/>
        </w:trPr>
        <w:tc>
          <w:tcPr>
            <w:tcW w:w="2943" w:type="dxa"/>
          </w:tcPr>
          <w:p w:rsidR="00824182" w:rsidRPr="00824182" w:rsidRDefault="00824182" w:rsidP="00824182">
            <w:pPr>
              <w:rPr>
                <w:sz w:val="24"/>
                <w:szCs w:val="24"/>
              </w:rPr>
            </w:pPr>
            <w:r w:rsidRPr="00824182">
              <w:rPr>
                <w:sz w:val="24"/>
                <w:szCs w:val="24"/>
              </w:rPr>
              <w:t>Incorporation of EC-topics into existing UNTHSC-sponsored conferences and related activities directed to osteopathic physicians in learning and in practice (Denton, TX)</w:t>
            </w:r>
          </w:p>
        </w:tc>
        <w:tc>
          <w:tcPr>
            <w:tcW w:w="6633" w:type="dxa"/>
          </w:tcPr>
          <w:p w:rsidR="00824182" w:rsidRPr="00824182" w:rsidRDefault="00824182" w:rsidP="00824182">
            <w:pPr>
              <w:rPr>
                <w:sz w:val="24"/>
                <w:szCs w:val="24"/>
              </w:rPr>
            </w:pPr>
            <w:r w:rsidRPr="00824182">
              <w:rPr>
                <w:sz w:val="24"/>
                <w:szCs w:val="24"/>
              </w:rPr>
              <w:t xml:space="preserve">To determine how EHC Program materials can be integrated effectively into multimodal learning activities designed to address the needs of faculty, students, and area practitioners who participate in activities delivered primarily by primary care faculty of am osteopathic medical school.  </w:t>
            </w:r>
          </w:p>
        </w:tc>
      </w:tr>
    </w:tbl>
    <w:p w:rsidR="00824182" w:rsidRPr="00824182" w:rsidRDefault="00824182" w:rsidP="00824182">
      <w:pPr>
        <w:rPr>
          <w:sz w:val="24"/>
          <w:szCs w:val="24"/>
        </w:rPr>
      </w:pPr>
    </w:p>
    <w:p w:rsidR="00824182" w:rsidRPr="00824182" w:rsidRDefault="00232730" w:rsidP="00824182">
      <w:pPr>
        <w:rPr>
          <w:sz w:val="24"/>
          <w:szCs w:val="24"/>
        </w:rPr>
      </w:pPr>
      <w:r>
        <w:rPr>
          <w:sz w:val="24"/>
          <w:szCs w:val="24"/>
        </w:rPr>
        <w:t>Table 2</w:t>
      </w:r>
      <w:r w:rsidR="00824182" w:rsidRPr="00824182">
        <w:rPr>
          <w:sz w:val="24"/>
          <w:szCs w:val="24"/>
        </w:rPr>
        <w:t xml:space="preserve"> summarizes the numbers of CME activities to be carried out by the six collaborating organizations, the CME formats </w:t>
      </w:r>
      <w:r w:rsidR="0038673F">
        <w:rPr>
          <w:sz w:val="24"/>
          <w:szCs w:val="24"/>
        </w:rPr>
        <w:t>to be</w:t>
      </w:r>
      <w:r w:rsidR="00824182" w:rsidRPr="00824182">
        <w:rPr>
          <w:sz w:val="24"/>
          <w:szCs w:val="24"/>
        </w:rPr>
        <w:t xml:space="preserve"> used, and the numbers of participants projected to be involved in the organization’s total range of activities.</w:t>
      </w:r>
    </w:p>
    <w:p w:rsidR="00824182" w:rsidRPr="00824182" w:rsidRDefault="00824182" w:rsidP="00824182">
      <w:pPr>
        <w:rPr>
          <w:sz w:val="24"/>
          <w:szCs w:val="24"/>
        </w:rPr>
      </w:pPr>
    </w:p>
    <w:tbl>
      <w:tblPr>
        <w:tblW w:w="9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19"/>
        <w:gridCol w:w="1530"/>
        <w:gridCol w:w="2160"/>
        <w:gridCol w:w="1568"/>
      </w:tblGrid>
      <w:tr w:rsidR="00824182" w:rsidRPr="00824182" w:rsidTr="00824182">
        <w:trPr>
          <w:trHeight w:val="576"/>
          <w:jc w:val="center"/>
        </w:trPr>
        <w:tc>
          <w:tcPr>
            <w:tcW w:w="9077" w:type="dxa"/>
            <w:gridSpan w:val="4"/>
            <w:vAlign w:val="center"/>
          </w:tcPr>
          <w:p w:rsidR="00824182" w:rsidRPr="0038673F" w:rsidRDefault="00824182" w:rsidP="00824182">
            <w:pPr>
              <w:rPr>
                <w:sz w:val="24"/>
                <w:szCs w:val="24"/>
              </w:rPr>
            </w:pPr>
            <w:r w:rsidRPr="0038673F">
              <w:rPr>
                <w:sz w:val="24"/>
                <w:szCs w:val="24"/>
              </w:rPr>
              <w:t xml:space="preserve">TABLE 2:  Numbers and Formats for CME Activities to Offered and </w:t>
            </w:r>
          </w:p>
          <w:p w:rsidR="00824182" w:rsidRPr="0038673F" w:rsidRDefault="00824182" w:rsidP="00824182">
            <w:pPr>
              <w:rPr>
                <w:sz w:val="24"/>
                <w:szCs w:val="24"/>
              </w:rPr>
            </w:pPr>
            <w:r w:rsidRPr="0038673F">
              <w:rPr>
                <w:sz w:val="24"/>
                <w:szCs w:val="24"/>
              </w:rPr>
              <w:t>Total Estimated Number of Participants in Activities to Be Carried Out by Each Site</w:t>
            </w:r>
          </w:p>
        </w:tc>
      </w:tr>
      <w:tr w:rsidR="00824182" w:rsidRPr="00824182" w:rsidTr="00824182">
        <w:trPr>
          <w:jc w:val="center"/>
        </w:trPr>
        <w:tc>
          <w:tcPr>
            <w:tcW w:w="3819" w:type="dxa"/>
            <w:vAlign w:val="bottom"/>
          </w:tcPr>
          <w:p w:rsidR="00824182" w:rsidRPr="0038673F" w:rsidRDefault="00824182" w:rsidP="00824182">
            <w:pPr>
              <w:rPr>
                <w:i/>
                <w:sz w:val="24"/>
                <w:szCs w:val="24"/>
              </w:rPr>
            </w:pPr>
            <w:r w:rsidRPr="0038673F">
              <w:rPr>
                <w:sz w:val="24"/>
                <w:szCs w:val="24"/>
              </w:rPr>
              <w:t>Model  Project</w:t>
            </w:r>
          </w:p>
        </w:tc>
        <w:tc>
          <w:tcPr>
            <w:tcW w:w="1530" w:type="dxa"/>
            <w:tcMar>
              <w:left w:w="43" w:type="dxa"/>
              <w:right w:w="43" w:type="dxa"/>
            </w:tcMar>
            <w:vAlign w:val="bottom"/>
          </w:tcPr>
          <w:p w:rsidR="00824182" w:rsidRPr="0038673F" w:rsidRDefault="00824182" w:rsidP="00824182">
            <w:pPr>
              <w:rPr>
                <w:sz w:val="24"/>
                <w:szCs w:val="24"/>
              </w:rPr>
            </w:pPr>
            <w:r w:rsidRPr="0038673F">
              <w:rPr>
                <w:sz w:val="24"/>
                <w:szCs w:val="24"/>
              </w:rPr>
              <w:t>Total Activities Offered</w:t>
            </w:r>
          </w:p>
        </w:tc>
        <w:tc>
          <w:tcPr>
            <w:tcW w:w="2160" w:type="dxa"/>
            <w:vAlign w:val="bottom"/>
          </w:tcPr>
          <w:p w:rsidR="00824182" w:rsidRPr="0038673F" w:rsidRDefault="00824182" w:rsidP="00824182">
            <w:pPr>
              <w:rPr>
                <w:i/>
                <w:sz w:val="24"/>
                <w:szCs w:val="24"/>
              </w:rPr>
            </w:pPr>
            <w:r w:rsidRPr="0038673F">
              <w:rPr>
                <w:sz w:val="24"/>
                <w:szCs w:val="24"/>
              </w:rPr>
              <w:t>Format</w:t>
            </w:r>
          </w:p>
        </w:tc>
        <w:tc>
          <w:tcPr>
            <w:tcW w:w="1568" w:type="dxa"/>
            <w:vAlign w:val="bottom"/>
          </w:tcPr>
          <w:p w:rsidR="00824182" w:rsidRPr="0038673F" w:rsidRDefault="00824182" w:rsidP="00824182">
            <w:pPr>
              <w:rPr>
                <w:sz w:val="24"/>
                <w:szCs w:val="24"/>
              </w:rPr>
            </w:pPr>
            <w:r w:rsidRPr="0038673F">
              <w:rPr>
                <w:sz w:val="24"/>
                <w:szCs w:val="24"/>
              </w:rPr>
              <w:t>Total Est. No. Participants</w:t>
            </w:r>
          </w:p>
        </w:tc>
      </w:tr>
      <w:tr w:rsidR="00824182" w:rsidRPr="00824182" w:rsidTr="00824182">
        <w:trPr>
          <w:trHeight w:val="233"/>
          <w:jc w:val="center"/>
        </w:trPr>
        <w:tc>
          <w:tcPr>
            <w:tcW w:w="3819" w:type="dxa"/>
            <w:vAlign w:val="center"/>
          </w:tcPr>
          <w:p w:rsidR="00824182" w:rsidRPr="0038673F" w:rsidRDefault="00824182" w:rsidP="00824182">
            <w:pPr>
              <w:rPr>
                <w:sz w:val="24"/>
                <w:szCs w:val="24"/>
              </w:rPr>
            </w:pPr>
            <w:r w:rsidRPr="0038673F">
              <w:rPr>
                <w:sz w:val="24"/>
                <w:szCs w:val="24"/>
              </w:rPr>
              <w:t>Peer Detailing (New York City)</w:t>
            </w:r>
          </w:p>
        </w:tc>
        <w:tc>
          <w:tcPr>
            <w:tcW w:w="1530" w:type="dxa"/>
          </w:tcPr>
          <w:p w:rsidR="00824182" w:rsidRPr="0038673F" w:rsidRDefault="00824182" w:rsidP="00824182">
            <w:pPr>
              <w:rPr>
                <w:sz w:val="24"/>
                <w:szCs w:val="24"/>
              </w:rPr>
            </w:pPr>
            <w:r w:rsidRPr="0038673F">
              <w:rPr>
                <w:sz w:val="24"/>
                <w:szCs w:val="24"/>
              </w:rPr>
              <w:t>1</w:t>
            </w:r>
          </w:p>
        </w:tc>
        <w:tc>
          <w:tcPr>
            <w:tcW w:w="2160" w:type="dxa"/>
          </w:tcPr>
          <w:p w:rsidR="00824182" w:rsidRPr="0038673F" w:rsidRDefault="00824182" w:rsidP="00824182">
            <w:pPr>
              <w:rPr>
                <w:sz w:val="24"/>
                <w:szCs w:val="24"/>
              </w:rPr>
            </w:pPr>
            <w:r w:rsidRPr="0038673F">
              <w:rPr>
                <w:sz w:val="24"/>
                <w:szCs w:val="24"/>
              </w:rPr>
              <w:t>Detailing</w:t>
            </w:r>
          </w:p>
        </w:tc>
        <w:tc>
          <w:tcPr>
            <w:tcW w:w="1568" w:type="dxa"/>
          </w:tcPr>
          <w:p w:rsidR="00824182" w:rsidRPr="0038673F" w:rsidRDefault="004B6A22" w:rsidP="00824182">
            <w:pPr>
              <w:rPr>
                <w:sz w:val="24"/>
                <w:szCs w:val="24"/>
              </w:rPr>
            </w:pPr>
            <w:r>
              <w:rPr>
                <w:sz w:val="24"/>
                <w:szCs w:val="24"/>
              </w:rPr>
              <w:t>200</w:t>
            </w:r>
          </w:p>
        </w:tc>
      </w:tr>
      <w:tr w:rsidR="00824182" w:rsidRPr="00824182" w:rsidTr="00824182">
        <w:trPr>
          <w:jc w:val="center"/>
        </w:trPr>
        <w:tc>
          <w:tcPr>
            <w:tcW w:w="3819" w:type="dxa"/>
          </w:tcPr>
          <w:p w:rsidR="00824182" w:rsidRPr="0038673F" w:rsidRDefault="00824182" w:rsidP="00824182">
            <w:pPr>
              <w:rPr>
                <w:sz w:val="24"/>
                <w:szCs w:val="24"/>
              </w:rPr>
            </w:pPr>
            <w:r w:rsidRPr="0038673F">
              <w:rPr>
                <w:sz w:val="24"/>
                <w:szCs w:val="24"/>
              </w:rPr>
              <w:t xml:space="preserve">Moderated Learning Communities </w:t>
            </w:r>
            <w:r w:rsidRPr="0038673F">
              <w:rPr>
                <w:sz w:val="24"/>
                <w:szCs w:val="24"/>
              </w:rPr>
              <w:br/>
              <w:t>and Follow-up Case Studies (Kentucky)</w:t>
            </w:r>
          </w:p>
          <w:p w:rsidR="00824182" w:rsidRPr="0038673F" w:rsidRDefault="00824182" w:rsidP="00824182">
            <w:pPr>
              <w:rPr>
                <w:sz w:val="24"/>
                <w:szCs w:val="24"/>
              </w:rPr>
            </w:pPr>
          </w:p>
        </w:tc>
        <w:tc>
          <w:tcPr>
            <w:tcW w:w="1530" w:type="dxa"/>
          </w:tcPr>
          <w:p w:rsidR="00824182" w:rsidRPr="0038673F" w:rsidRDefault="00824182" w:rsidP="00824182">
            <w:pPr>
              <w:rPr>
                <w:sz w:val="24"/>
                <w:szCs w:val="24"/>
              </w:rPr>
            </w:pPr>
            <w:r w:rsidRPr="0038673F">
              <w:rPr>
                <w:sz w:val="24"/>
                <w:szCs w:val="24"/>
              </w:rPr>
              <w:t>4</w:t>
            </w:r>
          </w:p>
        </w:tc>
        <w:tc>
          <w:tcPr>
            <w:tcW w:w="2160" w:type="dxa"/>
          </w:tcPr>
          <w:p w:rsidR="00824182" w:rsidRPr="0038673F" w:rsidRDefault="00824182" w:rsidP="00824182">
            <w:pPr>
              <w:rPr>
                <w:sz w:val="24"/>
                <w:szCs w:val="24"/>
              </w:rPr>
            </w:pPr>
            <w:r w:rsidRPr="0038673F">
              <w:rPr>
                <w:sz w:val="24"/>
                <w:szCs w:val="24"/>
              </w:rPr>
              <w:t>2 – Live</w:t>
            </w:r>
          </w:p>
          <w:p w:rsidR="00824182" w:rsidRPr="0038673F" w:rsidRDefault="004B6A22" w:rsidP="00824182">
            <w:pPr>
              <w:rPr>
                <w:sz w:val="24"/>
                <w:szCs w:val="24"/>
              </w:rPr>
            </w:pPr>
            <w:r>
              <w:rPr>
                <w:sz w:val="24"/>
                <w:szCs w:val="24"/>
              </w:rPr>
              <w:t>2 – Internet Enduring</w:t>
            </w:r>
          </w:p>
          <w:p w:rsidR="00824182" w:rsidRPr="0038673F" w:rsidRDefault="004B6A22" w:rsidP="00824182">
            <w:pPr>
              <w:rPr>
                <w:sz w:val="24"/>
                <w:szCs w:val="24"/>
              </w:rPr>
            </w:pPr>
            <w:r>
              <w:rPr>
                <w:sz w:val="24"/>
                <w:szCs w:val="24"/>
              </w:rPr>
              <w:t xml:space="preserve">       Material</w:t>
            </w:r>
          </w:p>
        </w:tc>
        <w:tc>
          <w:tcPr>
            <w:tcW w:w="1568" w:type="dxa"/>
          </w:tcPr>
          <w:p w:rsidR="00824182" w:rsidRPr="0038673F" w:rsidRDefault="004B6A22" w:rsidP="00824182">
            <w:pPr>
              <w:rPr>
                <w:sz w:val="24"/>
                <w:szCs w:val="24"/>
              </w:rPr>
            </w:pPr>
            <w:r>
              <w:rPr>
                <w:sz w:val="24"/>
                <w:szCs w:val="24"/>
              </w:rPr>
              <w:t>40</w:t>
            </w:r>
          </w:p>
        </w:tc>
      </w:tr>
      <w:tr w:rsidR="00824182" w:rsidRPr="00824182" w:rsidTr="00824182">
        <w:trPr>
          <w:jc w:val="center"/>
        </w:trPr>
        <w:tc>
          <w:tcPr>
            <w:tcW w:w="3819" w:type="dxa"/>
          </w:tcPr>
          <w:p w:rsidR="00824182" w:rsidRPr="0038673F" w:rsidRDefault="00824182" w:rsidP="00824182">
            <w:pPr>
              <w:rPr>
                <w:sz w:val="24"/>
                <w:szCs w:val="24"/>
              </w:rPr>
            </w:pPr>
            <w:r w:rsidRPr="0038673F">
              <w:rPr>
                <w:sz w:val="24"/>
                <w:szCs w:val="24"/>
              </w:rPr>
              <w:t>Physician Performance via Quality Improvement Services (Chicago)</w:t>
            </w:r>
          </w:p>
        </w:tc>
        <w:tc>
          <w:tcPr>
            <w:tcW w:w="1530" w:type="dxa"/>
          </w:tcPr>
          <w:p w:rsidR="00824182" w:rsidRPr="0038673F" w:rsidRDefault="00824182" w:rsidP="00824182">
            <w:pPr>
              <w:rPr>
                <w:sz w:val="24"/>
                <w:szCs w:val="24"/>
              </w:rPr>
            </w:pPr>
            <w:r w:rsidRPr="0038673F">
              <w:rPr>
                <w:sz w:val="24"/>
                <w:szCs w:val="24"/>
              </w:rPr>
              <w:t>3</w:t>
            </w:r>
          </w:p>
        </w:tc>
        <w:tc>
          <w:tcPr>
            <w:tcW w:w="2160" w:type="dxa"/>
          </w:tcPr>
          <w:p w:rsidR="00824182" w:rsidRPr="0038673F" w:rsidRDefault="00824182" w:rsidP="00824182">
            <w:pPr>
              <w:rPr>
                <w:sz w:val="24"/>
                <w:szCs w:val="24"/>
              </w:rPr>
            </w:pPr>
            <w:r w:rsidRPr="0038673F">
              <w:rPr>
                <w:sz w:val="24"/>
                <w:szCs w:val="24"/>
              </w:rPr>
              <w:t>2 – Live</w:t>
            </w:r>
          </w:p>
          <w:p w:rsidR="00824182" w:rsidRPr="0038673F" w:rsidRDefault="004B6A22" w:rsidP="00824182">
            <w:pPr>
              <w:rPr>
                <w:sz w:val="24"/>
                <w:szCs w:val="24"/>
              </w:rPr>
            </w:pPr>
            <w:r>
              <w:rPr>
                <w:sz w:val="24"/>
                <w:szCs w:val="24"/>
              </w:rPr>
              <w:t>1 – Internet Enduring</w:t>
            </w:r>
          </w:p>
          <w:p w:rsidR="00824182" w:rsidRPr="0038673F" w:rsidRDefault="004B6A22" w:rsidP="00824182">
            <w:pPr>
              <w:rPr>
                <w:sz w:val="24"/>
                <w:szCs w:val="24"/>
              </w:rPr>
            </w:pPr>
            <w:r>
              <w:rPr>
                <w:sz w:val="24"/>
                <w:szCs w:val="24"/>
              </w:rPr>
              <w:t xml:space="preserve">       Material </w:t>
            </w:r>
          </w:p>
        </w:tc>
        <w:tc>
          <w:tcPr>
            <w:tcW w:w="1568" w:type="dxa"/>
          </w:tcPr>
          <w:p w:rsidR="00824182" w:rsidRPr="0038673F" w:rsidRDefault="004B6A22" w:rsidP="00824182">
            <w:pPr>
              <w:rPr>
                <w:sz w:val="24"/>
                <w:szCs w:val="24"/>
              </w:rPr>
            </w:pPr>
            <w:r>
              <w:rPr>
                <w:sz w:val="24"/>
                <w:szCs w:val="24"/>
              </w:rPr>
              <w:t>120</w:t>
            </w:r>
          </w:p>
        </w:tc>
      </w:tr>
      <w:tr w:rsidR="00824182" w:rsidRPr="00824182" w:rsidTr="00824182">
        <w:trPr>
          <w:jc w:val="center"/>
        </w:trPr>
        <w:tc>
          <w:tcPr>
            <w:tcW w:w="3819" w:type="dxa"/>
          </w:tcPr>
          <w:p w:rsidR="00824182" w:rsidRPr="0038673F" w:rsidRDefault="00824182" w:rsidP="00824182">
            <w:pPr>
              <w:rPr>
                <w:sz w:val="24"/>
                <w:szCs w:val="24"/>
              </w:rPr>
            </w:pPr>
            <w:r w:rsidRPr="0038673F">
              <w:rPr>
                <w:sz w:val="24"/>
                <w:szCs w:val="24"/>
              </w:rPr>
              <w:t>Comparative Effectiveness Research as an Adjunct to, or as the Primary Topic in Live Annual  Large Group CME Seminars (West Coast)</w:t>
            </w:r>
          </w:p>
        </w:tc>
        <w:tc>
          <w:tcPr>
            <w:tcW w:w="1530" w:type="dxa"/>
          </w:tcPr>
          <w:p w:rsidR="00824182" w:rsidRPr="0038673F" w:rsidRDefault="00824182" w:rsidP="00824182">
            <w:pPr>
              <w:rPr>
                <w:sz w:val="24"/>
                <w:szCs w:val="24"/>
              </w:rPr>
            </w:pPr>
            <w:r w:rsidRPr="0038673F">
              <w:rPr>
                <w:sz w:val="24"/>
                <w:szCs w:val="24"/>
              </w:rPr>
              <w:t>5</w:t>
            </w:r>
          </w:p>
        </w:tc>
        <w:tc>
          <w:tcPr>
            <w:tcW w:w="2160" w:type="dxa"/>
          </w:tcPr>
          <w:p w:rsidR="00824182" w:rsidRPr="0038673F" w:rsidRDefault="00824182" w:rsidP="00824182">
            <w:pPr>
              <w:rPr>
                <w:sz w:val="24"/>
                <w:szCs w:val="24"/>
              </w:rPr>
            </w:pPr>
            <w:r w:rsidRPr="0038673F">
              <w:rPr>
                <w:sz w:val="24"/>
                <w:szCs w:val="24"/>
              </w:rPr>
              <w:t>4 – Live</w:t>
            </w:r>
          </w:p>
          <w:p w:rsidR="00824182" w:rsidRPr="0038673F" w:rsidRDefault="004B6A22" w:rsidP="00824182">
            <w:pPr>
              <w:rPr>
                <w:sz w:val="24"/>
                <w:szCs w:val="24"/>
              </w:rPr>
            </w:pPr>
            <w:r>
              <w:rPr>
                <w:sz w:val="24"/>
                <w:szCs w:val="24"/>
              </w:rPr>
              <w:t>1 – Internet Enduring</w:t>
            </w:r>
          </w:p>
          <w:p w:rsidR="00824182" w:rsidRPr="0038673F" w:rsidRDefault="004B6A22" w:rsidP="00824182">
            <w:pPr>
              <w:rPr>
                <w:sz w:val="24"/>
                <w:szCs w:val="24"/>
              </w:rPr>
            </w:pPr>
            <w:r>
              <w:rPr>
                <w:sz w:val="24"/>
                <w:szCs w:val="24"/>
              </w:rPr>
              <w:t xml:space="preserve">       Material</w:t>
            </w:r>
          </w:p>
        </w:tc>
        <w:tc>
          <w:tcPr>
            <w:tcW w:w="1568" w:type="dxa"/>
          </w:tcPr>
          <w:p w:rsidR="00824182" w:rsidRPr="0038673F" w:rsidRDefault="004B6A22" w:rsidP="00824182">
            <w:pPr>
              <w:rPr>
                <w:sz w:val="24"/>
                <w:szCs w:val="24"/>
              </w:rPr>
            </w:pPr>
            <w:r>
              <w:rPr>
                <w:sz w:val="24"/>
                <w:szCs w:val="24"/>
              </w:rPr>
              <w:t>&gt; 725</w:t>
            </w:r>
          </w:p>
        </w:tc>
      </w:tr>
      <w:tr w:rsidR="00824182" w:rsidRPr="00824182" w:rsidTr="00824182">
        <w:trPr>
          <w:jc w:val="center"/>
        </w:trPr>
        <w:tc>
          <w:tcPr>
            <w:tcW w:w="3819" w:type="dxa"/>
          </w:tcPr>
          <w:p w:rsidR="00824182" w:rsidRPr="0038673F" w:rsidRDefault="00824182" w:rsidP="00824182">
            <w:pPr>
              <w:rPr>
                <w:sz w:val="24"/>
                <w:szCs w:val="24"/>
              </w:rPr>
            </w:pPr>
            <w:r w:rsidRPr="0038673F">
              <w:rPr>
                <w:sz w:val="24"/>
                <w:szCs w:val="24"/>
              </w:rPr>
              <w:t>CER Findings in Annual CME Programs (Cincinnati)</w:t>
            </w:r>
          </w:p>
        </w:tc>
        <w:tc>
          <w:tcPr>
            <w:tcW w:w="1530" w:type="dxa"/>
          </w:tcPr>
          <w:p w:rsidR="00824182" w:rsidRPr="0038673F" w:rsidRDefault="00824182" w:rsidP="00824182">
            <w:pPr>
              <w:rPr>
                <w:sz w:val="24"/>
                <w:szCs w:val="24"/>
              </w:rPr>
            </w:pPr>
            <w:r w:rsidRPr="0038673F">
              <w:rPr>
                <w:sz w:val="24"/>
                <w:szCs w:val="24"/>
              </w:rPr>
              <w:t>4</w:t>
            </w:r>
          </w:p>
        </w:tc>
        <w:tc>
          <w:tcPr>
            <w:tcW w:w="2160" w:type="dxa"/>
          </w:tcPr>
          <w:p w:rsidR="00824182" w:rsidRPr="0038673F" w:rsidRDefault="00824182" w:rsidP="00824182">
            <w:pPr>
              <w:rPr>
                <w:sz w:val="24"/>
                <w:szCs w:val="24"/>
              </w:rPr>
            </w:pPr>
            <w:r w:rsidRPr="0038673F">
              <w:rPr>
                <w:sz w:val="24"/>
                <w:szCs w:val="24"/>
              </w:rPr>
              <w:t>1 – Live</w:t>
            </w:r>
          </w:p>
          <w:p w:rsidR="00824182" w:rsidRPr="0038673F" w:rsidRDefault="004B6A22" w:rsidP="00824182">
            <w:pPr>
              <w:rPr>
                <w:sz w:val="24"/>
                <w:szCs w:val="24"/>
              </w:rPr>
            </w:pPr>
            <w:r>
              <w:rPr>
                <w:sz w:val="24"/>
                <w:szCs w:val="24"/>
              </w:rPr>
              <w:t>2 – Grand Rounds</w:t>
            </w:r>
          </w:p>
          <w:p w:rsidR="00824182" w:rsidRPr="0038673F" w:rsidRDefault="004B6A22" w:rsidP="00824182">
            <w:pPr>
              <w:rPr>
                <w:sz w:val="24"/>
                <w:szCs w:val="24"/>
              </w:rPr>
            </w:pPr>
            <w:r>
              <w:rPr>
                <w:sz w:val="24"/>
                <w:szCs w:val="24"/>
              </w:rPr>
              <w:t>1 – Internet Enduring</w:t>
            </w:r>
          </w:p>
          <w:p w:rsidR="00824182" w:rsidRPr="0038673F" w:rsidRDefault="004B6A22" w:rsidP="00824182">
            <w:pPr>
              <w:rPr>
                <w:sz w:val="24"/>
                <w:szCs w:val="24"/>
              </w:rPr>
            </w:pPr>
            <w:r>
              <w:rPr>
                <w:sz w:val="24"/>
                <w:szCs w:val="24"/>
              </w:rPr>
              <w:lastRenderedPageBreak/>
              <w:t xml:space="preserve">       Material</w:t>
            </w:r>
          </w:p>
        </w:tc>
        <w:tc>
          <w:tcPr>
            <w:tcW w:w="1568" w:type="dxa"/>
          </w:tcPr>
          <w:p w:rsidR="00824182" w:rsidRPr="0038673F" w:rsidRDefault="004B6A22" w:rsidP="00824182">
            <w:pPr>
              <w:rPr>
                <w:sz w:val="24"/>
                <w:szCs w:val="24"/>
              </w:rPr>
            </w:pPr>
            <w:r>
              <w:rPr>
                <w:sz w:val="24"/>
                <w:szCs w:val="24"/>
              </w:rPr>
              <w:lastRenderedPageBreak/>
              <w:t>335</w:t>
            </w:r>
          </w:p>
        </w:tc>
      </w:tr>
      <w:tr w:rsidR="00824182" w:rsidRPr="00824182" w:rsidTr="00824182">
        <w:trPr>
          <w:jc w:val="center"/>
        </w:trPr>
        <w:tc>
          <w:tcPr>
            <w:tcW w:w="3819" w:type="dxa"/>
          </w:tcPr>
          <w:p w:rsidR="00824182" w:rsidRPr="0038673F" w:rsidRDefault="00824182" w:rsidP="00824182">
            <w:pPr>
              <w:rPr>
                <w:sz w:val="24"/>
                <w:szCs w:val="24"/>
              </w:rPr>
            </w:pPr>
            <w:r w:rsidRPr="0038673F">
              <w:rPr>
                <w:sz w:val="24"/>
                <w:szCs w:val="24"/>
              </w:rPr>
              <w:lastRenderedPageBreak/>
              <w:t>Multimodal CME Developed through an Osteopathic Medical School (Denton)</w:t>
            </w:r>
          </w:p>
        </w:tc>
        <w:tc>
          <w:tcPr>
            <w:tcW w:w="1530" w:type="dxa"/>
          </w:tcPr>
          <w:p w:rsidR="00824182" w:rsidRPr="0038673F" w:rsidRDefault="00824182" w:rsidP="00824182">
            <w:pPr>
              <w:rPr>
                <w:sz w:val="24"/>
                <w:szCs w:val="24"/>
              </w:rPr>
            </w:pPr>
            <w:r w:rsidRPr="0038673F">
              <w:rPr>
                <w:sz w:val="24"/>
                <w:szCs w:val="24"/>
              </w:rPr>
              <w:t>55</w:t>
            </w:r>
          </w:p>
        </w:tc>
        <w:tc>
          <w:tcPr>
            <w:tcW w:w="2160" w:type="dxa"/>
          </w:tcPr>
          <w:p w:rsidR="00824182" w:rsidRPr="0038673F" w:rsidRDefault="00824182" w:rsidP="00824182">
            <w:pPr>
              <w:rPr>
                <w:sz w:val="24"/>
                <w:szCs w:val="24"/>
              </w:rPr>
            </w:pPr>
            <w:r w:rsidRPr="0038673F">
              <w:rPr>
                <w:sz w:val="24"/>
                <w:szCs w:val="24"/>
              </w:rPr>
              <w:t>4 – Live</w:t>
            </w:r>
          </w:p>
          <w:p w:rsidR="00824182" w:rsidRPr="0038673F" w:rsidRDefault="004B6A22" w:rsidP="00824182">
            <w:pPr>
              <w:rPr>
                <w:sz w:val="24"/>
                <w:szCs w:val="24"/>
              </w:rPr>
            </w:pPr>
            <w:r>
              <w:rPr>
                <w:sz w:val="24"/>
                <w:szCs w:val="24"/>
              </w:rPr>
              <w:t>3 – Journal Club</w:t>
            </w:r>
          </w:p>
          <w:p w:rsidR="00824182" w:rsidRPr="0038673F" w:rsidRDefault="004B6A22" w:rsidP="00824182">
            <w:pPr>
              <w:rPr>
                <w:sz w:val="24"/>
                <w:szCs w:val="24"/>
              </w:rPr>
            </w:pPr>
            <w:r>
              <w:rPr>
                <w:sz w:val="24"/>
                <w:szCs w:val="24"/>
              </w:rPr>
              <w:t>36 – Grand Rounds</w:t>
            </w:r>
          </w:p>
          <w:p w:rsidR="00824182" w:rsidRPr="0038673F" w:rsidRDefault="004B6A22" w:rsidP="00824182">
            <w:pPr>
              <w:rPr>
                <w:sz w:val="24"/>
                <w:szCs w:val="24"/>
              </w:rPr>
            </w:pPr>
            <w:r>
              <w:rPr>
                <w:sz w:val="24"/>
                <w:szCs w:val="24"/>
              </w:rPr>
              <w:t>8 – Newsletter Topics</w:t>
            </w:r>
          </w:p>
          <w:p w:rsidR="00824182" w:rsidRPr="0038673F" w:rsidRDefault="004B6A22" w:rsidP="00824182">
            <w:pPr>
              <w:rPr>
                <w:sz w:val="24"/>
                <w:szCs w:val="24"/>
              </w:rPr>
            </w:pPr>
            <w:r>
              <w:rPr>
                <w:sz w:val="24"/>
                <w:szCs w:val="24"/>
              </w:rPr>
              <w:t>3 – Webcasts</w:t>
            </w:r>
          </w:p>
          <w:p w:rsidR="00824182" w:rsidRPr="0038673F" w:rsidRDefault="004B6A22" w:rsidP="00824182">
            <w:pPr>
              <w:rPr>
                <w:sz w:val="24"/>
                <w:szCs w:val="24"/>
              </w:rPr>
            </w:pPr>
            <w:r>
              <w:rPr>
                <w:sz w:val="24"/>
                <w:szCs w:val="24"/>
              </w:rPr>
              <w:t>1 – Enduring Material</w:t>
            </w:r>
          </w:p>
        </w:tc>
        <w:tc>
          <w:tcPr>
            <w:tcW w:w="1568" w:type="dxa"/>
          </w:tcPr>
          <w:p w:rsidR="00824182" w:rsidRPr="0038673F" w:rsidRDefault="004B6A22" w:rsidP="00824182">
            <w:pPr>
              <w:rPr>
                <w:sz w:val="24"/>
                <w:szCs w:val="24"/>
              </w:rPr>
            </w:pPr>
            <w:r>
              <w:rPr>
                <w:sz w:val="24"/>
                <w:szCs w:val="24"/>
              </w:rPr>
              <w:t>&gt;1,000</w:t>
            </w:r>
          </w:p>
        </w:tc>
      </w:tr>
    </w:tbl>
    <w:p w:rsidR="00824182" w:rsidRPr="00824182" w:rsidRDefault="00824182" w:rsidP="00824182">
      <w:pPr>
        <w:rPr>
          <w:sz w:val="24"/>
          <w:szCs w:val="24"/>
        </w:rPr>
      </w:pPr>
    </w:p>
    <w:p w:rsidR="00824182" w:rsidRPr="00824182" w:rsidRDefault="00824182" w:rsidP="00824182">
      <w:pPr>
        <w:rPr>
          <w:sz w:val="24"/>
          <w:szCs w:val="24"/>
        </w:rPr>
      </w:pPr>
      <w:r w:rsidRPr="00824182">
        <w:rPr>
          <w:sz w:val="24"/>
          <w:szCs w:val="24"/>
        </w:rPr>
        <w:t xml:space="preserve">For all six of these initiatives by partner organizations, CME professionals at the primary institutions through which the activities will be planned and carried out will gather data on learner performance in a manner consistent with current methods required for CME activities.  These methods include: 1) gathering information on the characteristics of learners (e.g., names, professional credentials, employment settings); 2) measuring changes in topical knowledge levels before and after participation in CME activities; 3) assessing intentions to change practice behaviors based on participation in a CME activity; and 4) gauging learner perceptions of the quality of the CME activities in which they were engaged and soliciting recommendations for improvement.  This approach to CME evaluation is standard practice across the CME community and is required in order to satisfy requirements for accreditation of CME activities from the national accrediting body, the Accreditation Council on Continuing Medical Education (ACCME).    </w:t>
      </w:r>
    </w:p>
    <w:p w:rsidR="00824182" w:rsidRDefault="00824182" w:rsidP="00884752">
      <w:pPr>
        <w:rPr>
          <w:sz w:val="24"/>
          <w:szCs w:val="24"/>
        </w:rPr>
      </w:pPr>
    </w:p>
    <w:p w:rsidR="00F73B96" w:rsidRDefault="006D00F6" w:rsidP="00884752">
      <w:pPr>
        <w:rPr>
          <w:sz w:val="24"/>
          <w:szCs w:val="24"/>
        </w:rPr>
      </w:pPr>
      <w:r>
        <w:rPr>
          <w:sz w:val="24"/>
          <w:szCs w:val="24"/>
        </w:rPr>
        <w:t>Semi-structured i</w:t>
      </w:r>
      <w:r w:rsidR="00092EF7">
        <w:rPr>
          <w:sz w:val="24"/>
          <w:szCs w:val="24"/>
        </w:rPr>
        <w:t xml:space="preserve">nterviews will be used to assess the development and implementation of CME activities that </w:t>
      </w:r>
      <w:r>
        <w:rPr>
          <w:sz w:val="24"/>
          <w:szCs w:val="24"/>
        </w:rPr>
        <w:t xml:space="preserve">integrated </w:t>
      </w:r>
      <w:r w:rsidR="00092EF7">
        <w:rPr>
          <w:sz w:val="24"/>
          <w:szCs w:val="24"/>
        </w:rPr>
        <w:t xml:space="preserve">EHC Program products or materials </w:t>
      </w:r>
      <w:r>
        <w:rPr>
          <w:sz w:val="24"/>
          <w:szCs w:val="24"/>
        </w:rPr>
        <w:t xml:space="preserve">into course content </w:t>
      </w:r>
      <w:r w:rsidR="00092EF7">
        <w:rPr>
          <w:sz w:val="24"/>
          <w:szCs w:val="24"/>
        </w:rPr>
        <w:t xml:space="preserve">and will be conducted with CME faculty responsible for </w:t>
      </w:r>
      <w:r>
        <w:rPr>
          <w:sz w:val="24"/>
          <w:szCs w:val="24"/>
        </w:rPr>
        <w:t xml:space="preserve">the </w:t>
      </w:r>
      <w:r w:rsidR="00092EF7">
        <w:rPr>
          <w:sz w:val="24"/>
          <w:szCs w:val="24"/>
        </w:rPr>
        <w:t xml:space="preserve">content development and/or presentation. </w:t>
      </w:r>
      <w:r>
        <w:rPr>
          <w:sz w:val="24"/>
          <w:szCs w:val="24"/>
        </w:rPr>
        <w:t>An attempt will be made to includ</w:t>
      </w:r>
      <w:r w:rsidR="00B773AB">
        <w:rPr>
          <w:sz w:val="24"/>
          <w:szCs w:val="24"/>
        </w:rPr>
        <w:t>e</w:t>
      </w:r>
      <w:r>
        <w:rPr>
          <w:sz w:val="24"/>
          <w:szCs w:val="24"/>
        </w:rPr>
        <w:t xml:space="preserve"> all faculty </w:t>
      </w:r>
      <w:r w:rsidR="00B773AB">
        <w:rPr>
          <w:sz w:val="24"/>
          <w:szCs w:val="24"/>
        </w:rPr>
        <w:t xml:space="preserve">of </w:t>
      </w:r>
      <w:r>
        <w:rPr>
          <w:sz w:val="24"/>
          <w:szCs w:val="24"/>
        </w:rPr>
        <w:t xml:space="preserve">the </w:t>
      </w:r>
      <w:r w:rsidR="00CC2D0F">
        <w:rPr>
          <w:sz w:val="24"/>
          <w:szCs w:val="24"/>
        </w:rPr>
        <w:t>six</w:t>
      </w:r>
      <w:r>
        <w:rPr>
          <w:sz w:val="24"/>
          <w:szCs w:val="24"/>
        </w:rPr>
        <w:t xml:space="preserve"> projects.  </w:t>
      </w:r>
    </w:p>
    <w:p w:rsidR="006D00F6" w:rsidRDefault="006D00F6" w:rsidP="00884752">
      <w:pPr>
        <w:rPr>
          <w:sz w:val="24"/>
          <w:szCs w:val="24"/>
        </w:rPr>
      </w:pPr>
    </w:p>
    <w:p w:rsidR="006D00F6" w:rsidRDefault="006D00F6" w:rsidP="00884752">
      <w:pPr>
        <w:rPr>
          <w:sz w:val="24"/>
          <w:szCs w:val="24"/>
        </w:rPr>
      </w:pPr>
      <w:r>
        <w:rPr>
          <w:sz w:val="24"/>
          <w:szCs w:val="24"/>
        </w:rPr>
        <w:t xml:space="preserve">CME providers in charge of directing the </w:t>
      </w:r>
      <w:r w:rsidR="00CC2D0F">
        <w:rPr>
          <w:sz w:val="24"/>
          <w:szCs w:val="24"/>
        </w:rPr>
        <w:t>six</w:t>
      </w:r>
      <w:r>
        <w:rPr>
          <w:sz w:val="24"/>
          <w:szCs w:val="24"/>
        </w:rPr>
        <w:t xml:space="preserve"> projects and identifying faculty, content focus, and target audiences, will be evaluated by interviews and focus group. Again an attempt will be made to </w:t>
      </w:r>
      <w:r w:rsidR="00B773AB">
        <w:rPr>
          <w:sz w:val="24"/>
          <w:szCs w:val="24"/>
        </w:rPr>
        <w:t xml:space="preserve">all </w:t>
      </w:r>
      <w:r>
        <w:rPr>
          <w:sz w:val="24"/>
          <w:szCs w:val="24"/>
        </w:rPr>
        <w:t>participants.</w:t>
      </w:r>
    </w:p>
    <w:p w:rsidR="006D00F6" w:rsidRDefault="006D00F6" w:rsidP="00884752">
      <w:pPr>
        <w:rPr>
          <w:sz w:val="24"/>
          <w:szCs w:val="24"/>
        </w:rPr>
      </w:pPr>
    </w:p>
    <w:p w:rsidR="00AA2B14" w:rsidRPr="002C4865" w:rsidRDefault="00AA2B14" w:rsidP="00AA2B14">
      <w:pPr>
        <w:rPr>
          <w:sz w:val="24"/>
        </w:rPr>
      </w:pPr>
    </w:p>
    <w:p w:rsidR="00AA2B14" w:rsidRPr="002C4865" w:rsidRDefault="00AA2B14" w:rsidP="00AA2B14">
      <w:pPr>
        <w:rPr>
          <w:b/>
          <w:i/>
          <w:sz w:val="24"/>
        </w:rPr>
      </w:pPr>
      <w:r w:rsidRPr="002C4865">
        <w:rPr>
          <w:b/>
          <w:i/>
          <w:sz w:val="24"/>
        </w:rPr>
        <w:t>2.  Information Collection Procedures</w:t>
      </w:r>
    </w:p>
    <w:p w:rsidR="00AA2B14" w:rsidRPr="002C4865" w:rsidRDefault="00AA2B14" w:rsidP="00AA2B14">
      <w:pPr>
        <w:rPr>
          <w:sz w:val="24"/>
        </w:rPr>
      </w:pPr>
    </w:p>
    <w:p w:rsidR="00AA2B14" w:rsidRPr="002C4865" w:rsidRDefault="00AA2B14" w:rsidP="00AA2B14">
      <w:pPr>
        <w:rPr>
          <w:sz w:val="24"/>
        </w:rPr>
      </w:pPr>
      <w:r w:rsidRPr="002C4865">
        <w:rPr>
          <w:sz w:val="24"/>
        </w:rPr>
        <w:t>All information collections will be conducted in a manner that is consistent with the following guidelines:</w:t>
      </w:r>
    </w:p>
    <w:p w:rsidR="00AA2B14" w:rsidRPr="002C4865" w:rsidRDefault="00AA2B14" w:rsidP="00AA2B14">
      <w:pPr>
        <w:rPr>
          <w:sz w:val="24"/>
        </w:rPr>
      </w:pPr>
    </w:p>
    <w:p w:rsidR="00AA2B14" w:rsidRPr="002C4865" w:rsidRDefault="00AA2B14" w:rsidP="00AA2B14">
      <w:pPr>
        <w:pStyle w:val="1AutoList2"/>
        <w:numPr>
          <w:ilvl w:val="0"/>
          <w:numId w:val="2"/>
        </w:numPr>
        <w:rPr>
          <w:rFonts w:ascii="Times New Roman" w:hAnsi="Times New Roman"/>
        </w:rPr>
      </w:pPr>
      <w:r w:rsidRPr="002C4865">
        <w:rPr>
          <w:rFonts w:ascii="Times New Roman" w:hAnsi="Times New Roman"/>
        </w:rPr>
        <w:t>Participation will be completely voluntary, and non-participation will have no effect on eligibility for or receipt of future AHRQ-sponsored health services research</w:t>
      </w:r>
      <w:r w:rsidR="00812F6E">
        <w:rPr>
          <w:rFonts w:ascii="Times New Roman" w:hAnsi="Times New Roman"/>
        </w:rPr>
        <w:t xml:space="preserve"> or products</w:t>
      </w:r>
      <w:r w:rsidRPr="002C4865">
        <w:rPr>
          <w:rFonts w:ascii="Times New Roman" w:hAnsi="Times New Roman"/>
        </w:rPr>
        <w:t>.</w:t>
      </w:r>
    </w:p>
    <w:p w:rsidR="00AA2B14" w:rsidRPr="002C4865" w:rsidRDefault="00AA2B14" w:rsidP="00AA2B14">
      <w:pPr>
        <w:rPr>
          <w:sz w:val="24"/>
        </w:rPr>
      </w:pPr>
    </w:p>
    <w:p w:rsidR="00AA2B14" w:rsidRPr="002C4865" w:rsidRDefault="000574FE" w:rsidP="00AA2B14">
      <w:pPr>
        <w:pStyle w:val="1AutoList2"/>
        <w:numPr>
          <w:ilvl w:val="0"/>
          <w:numId w:val="1"/>
        </w:numPr>
        <w:rPr>
          <w:rFonts w:ascii="Times New Roman" w:hAnsi="Times New Roman"/>
        </w:rPr>
      </w:pPr>
      <w:r>
        <w:rPr>
          <w:rFonts w:ascii="Times New Roman" w:hAnsi="Times New Roman"/>
        </w:rPr>
        <w:t xml:space="preserve">Sample size and selection with respect to CME providers was described above.  </w:t>
      </w:r>
      <w:r w:rsidR="00D86DE0">
        <w:rPr>
          <w:rFonts w:ascii="Times New Roman" w:hAnsi="Times New Roman"/>
        </w:rPr>
        <w:t xml:space="preserve"> </w:t>
      </w:r>
    </w:p>
    <w:p w:rsidR="00AA2B14" w:rsidRPr="002C4865" w:rsidRDefault="00AA2B14" w:rsidP="00AA2B14">
      <w:pPr>
        <w:rPr>
          <w:sz w:val="24"/>
        </w:rPr>
      </w:pPr>
    </w:p>
    <w:p w:rsidR="00812F6E" w:rsidRPr="00812F6E" w:rsidRDefault="00AA2B14" w:rsidP="00812F6E">
      <w:pPr>
        <w:pStyle w:val="1AutoList2"/>
        <w:numPr>
          <w:ilvl w:val="0"/>
          <w:numId w:val="1"/>
        </w:numPr>
        <w:rPr>
          <w:rFonts w:ascii="Times New Roman" w:hAnsi="Times New Roman"/>
        </w:rPr>
      </w:pPr>
      <w:r w:rsidRPr="002C4865">
        <w:rPr>
          <w:rFonts w:ascii="Times New Roman" w:hAnsi="Times New Roman"/>
        </w:rPr>
        <w:t>Information collection</w:t>
      </w:r>
      <w:r w:rsidR="00812F6E">
        <w:rPr>
          <w:rFonts w:ascii="Times New Roman" w:hAnsi="Times New Roman"/>
        </w:rPr>
        <w:t>s</w:t>
      </w:r>
      <w:r w:rsidRPr="002C4865">
        <w:rPr>
          <w:rFonts w:ascii="Times New Roman" w:hAnsi="Times New Roman"/>
        </w:rPr>
        <w:t xml:space="preserve"> will be limited to </w:t>
      </w:r>
      <w:r w:rsidR="00812F6E">
        <w:rPr>
          <w:rFonts w:ascii="Times New Roman" w:hAnsi="Times New Roman"/>
        </w:rPr>
        <w:t xml:space="preserve">those </w:t>
      </w:r>
      <w:r w:rsidR="007B591A">
        <w:rPr>
          <w:rFonts w:ascii="Times New Roman" w:hAnsi="Times New Roman"/>
        </w:rPr>
        <w:t>assessments to evaluate</w:t>
      </w:r>
      <w:r w:rsidRPr="002C4865">
        <w:rPr>
          <w:rFonts w:ascii="Times New Roman" w:hAnsi="Times New Roman"/>
        </w:rPr>
        <w:t xml:space="preserve"> </w:t>
      </w:r>
      <w:r w:rsidR="00812F6E">
        <w:rPr>
          <w:rFonts w:ascii="Times New Roman" w:hAnsi="Times New Roman"/>
        </w:rPr>
        <w:t>the following:</w:t>
      </w:r>
    </w:p>
    <w:p w:rsidR="00812F6E" w:rsidRPr="00812F6E" w:rsidRDefault="00812F6E" w:rsidP="00812F6E">
      <w:pPr>
        <w:pStyle w:val="1AutoList2"/>
        <w:tabs>
          <w:tab w:val="clear" w:pos="720"/>
          <w:tab w:val="left" w:pos="1080"/>
        </w:tabs>
        <w:ind w:left="1080" w:hanging="360"/>
        <w:rPr>
          <w:rFonts w:ascii="Times New Roman" w:hAnsi="Times New Roman"/>
        </w:rPr>
      </w:pPr>
      <w:r w:rsidRPr="00812F6E">
        <w:rPr>
          <w:rFonts w:ascii="Times New Roman" w:hAnsi="Times New Roman"/>
        </w:rPr>
        <w:t>1)</w:t>
      </w:r>
      <w:r w:rsidRPr="00812F6E">
        <w:rPr>
          <w:rFonts w:ascii="Times New Roman" w:hAnsi="Times New Roman"/>
        </w:rPr>
        <w:tab/>
        <w:t xml:space="preserve">Identify critical factors that enhance or impede integration of EHC evidence into CME activities; </w:t>
      </w:r>
    </w:p>
    <w:p w:rsidR="00812F6E" w:rsidRPr="00812F6E" w:rsidRDefault="00812F6E" w:rsidP="00812F6E">
      <w:pPr>
        <w:pStyle w:val="1AutoList2"/>
        <w:tabs>
          <w:tab w:val="clear" w:pos="720"/>
          <w:tab w:val="left" w:pos="1080"/>
        </w:tabs>
        <w:ind w:left="1080" w:hanging="360"/>
        <w:rPr>
          <w:rFonts w:ascii="Times New Roman" w:hAnsi="Times New Roman"/>
        </w:rPr>
      </w:pPr>
      <w:r w:rsidRPr="00812F6E">
        <w:rPr>
          <w:rFonts w:ascii="Times New Roman" w:hAnsi="Times New Roman"/>
        </w:rPr>
        <w:lastRenderedPageBreak/>
        <w:t>2)</w:t>
      </w:r>
      <w:r w:rsidRPr="00812F6E">
        <w:rPr>
          <w:rFonts w:ascii="Times New Roman" w:hAnsi="Times New Roman"/>
        </w:rPr>
        <w:tab/>
        <w:t>Assess strategies to remove, overcome, and/or address barriers to implementation of effective CME programming with selected audiences;</w:t>
      </w:r>
    </w:p>
    <w:p w:rsidR="00812F6E" w:rsidRPr="00812F6E" w:rsidRDefault="00812F6E" w:rsidP="00812F6E">
      <w:pPr>
        <w:pStyle w:val="1AutoList2"/>
        <w:tabs>
          <w:tab w:val="clear" w:pos="720"/>
          <w:tab w:val="left" w:pos="1080"/>
        </w:tabs>
        <w:ind w:left="1080" w:hanging="360"/>
        <w:rPr>
          <w:rFonts w:ascii="Times New Roman" w:hAnsi="Times New Roman"/>
        </w:rPr>
      </w:pPr>
      <w:r w:rsidRPr="00812F6E">
        <w:rPr>
          <w:rFonts w:ascii="Times New Roman" w:hAnsi="Times New Roman"/>
        </w:rPr>
        <w:t>3)</w:t>
      </w:r>
      <w:r w:rsidRPr="00812F6E">
        <w:rPr>
          <w:rFonts w:ascii="Times New Roman" w:hAnsi="Times New Roman"/>
        </w:rPr>
        <w:tab/>
        <w:t>Confirm approaches that can be used in whole or in part to create and deliver effective CME instruction about products (e.g., clinician guides, consumer guides) associated with the EHC Program; and</w:t>
      </w:r>
    </w:p>
    <w:p w:rsidR="00812F6E" w:rsidRDefault="00812F6E" w:rsidP="00812F6E">
      <w:pPr>
        <w:pStyle w:val="1AutoList2"/>
        <w:tabs>
          <w:tab w:val="clear" w:pos="720"/>
          <w:tab w:val="left" w:pos="1080"/>
        </w:tabs>
        <w:ind w:left="1080" w:hanging="360"/>
        <w:rPr>
          <w:rFonts w:ascii="Times New Roman" w:hAnsi="Times New Roman"/>
        </w:rPr>
      </w:pPr>
      <w:r w:rsidRPr="00812F6E">
        <w:rPr>
          <w:rFonts w:ascii="Times New Roman" w:hAnsi="Times New Roman"/>
        </w:rPr>
        <w:t>4)</w:t>
      </w:r>
      <w:r w:rsidRPr="00812F6E">
        <w:rPr>
          <w:rFonts w:ascii="Times New Roman" w:hAnsi="Times New Roman"/>
        </w:rPr>
        <w:tab/>
        <w:t xml:space="preserve">Review early educational program outcomes associated with integration of EHC evidence into CME activities.     </w:t>
      </w:r>
    </w:p>
    <w:p w:rsidR="00AA2B14" w:rsidRPr="002C4865" w:rsidRDefault="00AA2B14" w:rsidP="00AA2B14">
      <w:pPr>
        <w:pStyle w:val="1AutoList2"/>
        <w:ind w:left="0" w:firstLine="0"/>
        <w:rPr>
          <w:rFonts w:ascii="Times New Roman" w:hAnsi="Times New Roman"/>
        </w:rPr>
      </w:pPr>
    </w:p>
    <w:p w:rsidR="00AA2B14" w:rsidRPr="002C4865" w:rsidRDefault="00AA2B14" w:rsidP="00AA2B14">
      <w:pPr>
        <w:pStyle w:val="1AutoList2"/>
        <w:numPr>
          <w:ilvl w:val="0"/>
          <w:numId w:val="1"/>
        </w:numPr>
        <w:rPr>
          <w:rFonts w:ascii="Times New Roman" w:hAnsi="Times New Roman"/>
        </w:rPr>
      </w:pPr>
      <w:r w:rsidRPr="002C4865">
        <w:rPr>
          <w:rFonts w:ascii="Times New Roman" w:hAnsi="Times New Roman"/>
        </w:rPr>
        <w:t xml:space="preserve">Given the voluntary nature of the information collections, efforts will be made to obtain the highest possible response rates.  Efforts will also be made to assess non-response bias, to the extent feasible.   </w:t>
      </w:r>
    </w:p>
    <w:p w:rsidR="00AA2B14" w:rsidRPr="002C4865" w:rsidRDefault="00AA2B14" w:rsidP="00AA2B14">
      <w:pPr>
        <w:rPr>
          <w:sz w:val="24"/>
        </w:rPr>
      </w:pPr>
    </w:p>
    <w:p w:rsidR="00AA2B14" w:rsidRPr="002C4865" w:rsidRDefault="00AA2B14" w:rsidP="00AA2B14">
      <w:pPr>
        <w:rPr>
          <w:b/>
          <w:i/>
          <w:sz w:val="24"/>
        </w:rPr>
      </w:pPr>
      <w:r w:rsidRPr="002C4865">
        <w:rPr>
          <w:b/>
          <w:i/>
          <w:sz w:val="24"/>
        </w:rPr>
        <w:t>3.  Methods to Maximize Response Rate</w:t>
      </w:r>
      <w:r w:rsidR="00870C4B" w:rsidRPr="002C4865">
        <w:rPr>
          <w:b/>
          <w:i/>
          <w:sz w:val="24"/>
        </w:rPr>
        <w:t>s</w:t>
      </w:r>
    </w:p>
    <w:p w:rsidR="00AA2B14" w:rsidRPr="002C4865" w:rsidRDefault="00AA2B14" w:rsidP="00AA2B14">
      <w:pPr>
        <w:rPr>
          <w:sz w:val="24"/>
        </w:rPr>
      </w:pPr>
    </w:p>
    <w:p w:rsidR="003210D4" w:rsidRPr="002C4865" w:rsidRDefault="00AA2B14" w:rsidP="00424303">
      <w:pPr>
        <w:rPr>
          <w:sz w:val="24"/>
        </w:rPr>
      </w:pPr>
      <w:r w:rsidRPr="002C4865">
        <w:rPr>
          <w:sz w:val="24"/>
        </w:rPr>
        <w:t>The design of each information collection will include approaches to maximize response rates, while retaining the voluntary nature of the effort, consistent with a</w:t>
      </w:r>
      <w:r w:rsidR="007B591A">
        <w:rPr>
          <w:sz w:val="24"/>
        </w:rPr>
        <w:t xml:space="preserve">ppropriate survey methodology.  These will include approaches </w:t>
      </w:r>
      <w:r w:rsidR="00D86DE0">
        <w:rPr>
          <w:sz w:val="24"/>
        </w:rPr>
        <w:t>described in Support</w:t>
      </w:r>
      <w:r w:rsidR="00424303">
        <w:rPr>
          <w:sz w:val="24"/>
        </w:rPr>
        <w:t>ing</w:t>
      </w:r>
      <w:r w:rsidR="00D86DE0">
        <w:rPr>
          <w:sz w:val="24"/>
        </w:rPr>
        <w:t xml:space="preserve"> Statement A </w:t>
      </w:r>
      <w:r w:rsidR="007B591A">
        <w:rPr>
          <w:sz w:val="24"/>
        </w:rPr>
        <w:t>such as sending one or more follow-up request</w:t>
      </w:r>
      <w:r w:rsidR="00D86DE0">
        <w:rPr>
          <w:sz w:val="24"/>
        </w:rPr>
        <w:t>s</w:t>
      </w:r>
      <w:r w:rsidR="00FB167A">
        <w:rPr>
          <w:sz w:val="24"/>
        </w:rPr>
        <w:t xml:space="preserve"> for participation in an assessment activity</w:t>
      </w:r>
      <w:r w:rsidR="00D86DE0">
        <w:rPr>
          <w:sz w:val="24"/>
        </w:rPr>
        <w:t>,</w:t>
      </w:r>
      <w:r w:rsidR="007B591A">
        <w:rPr>
          <w:sz w:val="24"/>
        </w:rPr>
        <w:t xml:space="preserve"> provision of </w:t>
      </w:r>
      <w:r w:rsidR="00D86DE0">
        <w:rPr>
          <w:sz w:val="24"/>
        </w:rPr>
        <w:t xml:space="preserve">remuneration </w:t>
      </w:r>
      <w:r w:rsidR="007B591A">
        <w:rPr>
          <w:sz w:val="24"/>
        </w:rPr>
        <w:t>(</w:t>
      </w:r>
      <w:r w:rsidR="00424303">
        <w:rPr>
          <w:sz w:val="24"/>
        </w:rPr>
        <w:t xml:space="preserve">i.e., $250 maximum </w:t>
      </w:r>
      <w:r w:rsidR="007B591A">
        <w:rPr>
          <w:sz w:val="24"/>
        </w:rPr>
        <w:t>honorarium</w:t>
      </w:r>
      <w:r w:rsidR="00424303">
        <w:rPr>
          <w:sz w:val="24"/>
        </w:rPr>
        <w:t xml:space="preserve"> for physician involvement</w:t>
      </w:r>
      <w:r w:rsidR="007B591A">
        <w:rPr>
          <w:sz w:val="24"/>
        </w:rPr>
        <w:t xml:space="preserve">) to encourage participation, and maintaining data confidentiality and, when possible, anonymity, to encourage open and honest responses. </w:t>
      </w:r>
      <w:r w:rsidR="00424303">
        <w:rPr>
          <w:sz w:val="24"/>
        </w:rPr>
        <w:t xml:space="preserve">As </w:t>
      </w:r>
      <w:r w:rsidR="00A63531">
        <w:rPr>
          <w:sz w:val="24"/>
        </w:rPr>
        <w:t>noted</w:t>
      </w:r>
      <w:r w:rsidR="00424303">
        <w:rPr>
          <w:sz w:val="24"/>
        </w:rPr>
        <w:t xml:space="preserve"> in Supporting Statement A, </w:t>
      </w:r>
      <w:r w:rsidR="00D463D3">
        <w:rPr>
          <w:sz w:val="24"/>
        </w:rPr>
        <w:t xml:space="preserve">all persons will be informed that participation in data collection activities is entirely voluntarily, </w:t>
      </w:r>
      <w:r w:rsidR="00EC0BFE">
        <w:rPr>
          <w:sz w:val="24"/>
        </w:rPr>
        <w:t>a</w:t>
      </w:r>
      <w:r w:rsidR="00424303">
        <w:rPr>
          <w:sz w:val="24"/>
        </w:rPr>
        <w:t xml:space="preserve">ny information </w:t>
      </w:r>
      <w:r w:rsidR="00D463D3">
        <w:rPr>
          <w:sz w:val="24"/>
        </w:rPr>
        <w:t xml:space="preserve">they provide </w:t>
      </w:r>
      <w:r w:rsidR="00424303">
        <w:rPr>
          <w:sz w:val="24"/>
        </w:rPr>
        <w:t>will be combined and summarized with information provided by others</w:t>
      </w:r>
      <w:r w:rsidR="00EC0BFE">
        <w:rPr>
          <w:sz w:val="24"/>
        </w:rPr>
        <w:t>;</w:t>
      </w:r>
      <w:r w:rsidR="00424303">
        <w:rPr>
          <w:sz w:val="24"/>
        </w:rPr>
        <w:t xml:space="preserve"> and no individually identifiable information will be released.  In instances where respondent identifiers are needed </w:t>
      </w:r>
      <w:r w:rsidR="00AE7AC0">
        <w:rPr>
          <w:sz w:val="24"/>
        </w:rPr>
        <w:t xml:space="preserve">and anonymity cannot be maintained </w:t>
      </w:r>
      <w:r w:rsidR="00424303">
        <w:rPr>
          <w:sz w:val="24"/>
        </w:rPr>
        <w:t xml:space="preserve">(e.g., </w:t>
      </w:r>
      <w:r w:rsidR="00AE7AC0">
        <w:rPr>
          <w:sz w:val="24"/>
        </w:rPr>
        <w:t xml:space="preserve">participation in focus groups/interviews, </w:t>
      </w:r>
      <w:r w:rsidR="00424303">
        <w:rPr>
          <w:sz w:val="24"/>
        </w:rPr>
        <w:t xml:space="preserve">registrations for updates), </w:t>
      </w:r>
      <w:r w:rsidR="00AE7AC0">
        <w:rPr>
          <w:sz w:val="24"/>
        </w:rPr>
        <w:t xml:space="preserve">all contacts and data collections </w:t>
      </w:r>
      <w:r w:rsidR="00424303">
        <w:rPr>
          <w:sz w:val="24"/>
        </w:rPr>
        <w:t xml:space="preserve">will fully comply with </w:t>
      </w:r>
      <w:r w:rsidR="00AE7AC0">
        <w:rPr>
          <w:sz w:val="24"/>
        </w:rPr>
        <w:t xml:space="preserve">the </w:t>
      </w:r>
      <w:r w:rsidR="00424303">
        <w:rPr>
          <w:sz w:val="24"/>
        </w:rPr>
        <w:t xml:space="preserve">requirements of the Privacy Act. </w:t>
      </w:r>
    </w:p>
    <w:p w:rsidR="00AA2B14" w:rsidRPr="002C4865" w:rsidRDefault="00AA2B14" w:rsidP="00AA2B14">
      <w:pPr>
        <w:rPr>
          <w:sz w:val="24"/>
        </w:rPr>
      </w:pPr>
    </w:p>
    <w:p w:rsidR="00AA2B14" w:rsidRPr="002C4865" w:rsidRDefault="00AA2B14" w:rsidP="00AA2B14">
      <w:pPr>
        <w:rPr>
          <w:b/>
          <w:i/>
          <w:sz w:val="24"/>
        </w:rPr>
      </w:pPr>
      <w:r w:rsidRPr="002C4865">
        <w:rPr>
          <w:b/>
          <w:i/>
          <w:sz w:val="24"/>
        </w:rPr>
        <w:t>4.  Tests of Procedures</w:t>
      </w:r>
    </w:p>
    <w:p w:rsidR="00AA2B14" w:rsidRPr="002C4865" w:rsidRDefault="00AA2B14" w:rsidP="00AA2B14">
      <w:pPr>
        <w:rPr>
          <w:sz w:val="24"/>
        </w:rPr>
      </w:pPr>
    </w:p>
    <w:p w:rsidR="00AA2B14" w:rsidRDefault="0053433E" w:rsidP="0004112D">
      <w:pPr>
        <w:rPr>
          <w:sz w:val="24"/>
        </w:rPr>
      </w:pPr>
      <w:r>
        <w:rPr>
          <w:sz w:val="24"/>
        </w:rPr>
        <w:t xml:space="preserve">The proposed data collection mechanisms have been informed by </w:t>
      </w:r>
      <w:r w:rsidR="0004112D">
        <w:rPr>
          <w:sz w:val="24"/>
        </w:rPr>
        <w:t xml:space="preserve">hundreds of assessment instruments previously developed and administered to learners and faculty participating in CME activities designed by Baylor College of Medicine and in other AHRQ contracts in their role as the Eisenberg Center.  Additionally, the instruments proposed here were developed in consultation with a three-member panel of CME thought leaders who have high levels of expertise and experience in evaluation methodology and applied research, serving as an Evaluation Subcommittee. When feasible, instruments were pretested </w:t>
      </w:r>
      <w:r w:rsidR="0038673F">
        <w:rPr>
          <w:sz w:val="24"/>
        </w:rPr>
        <w:t xml:space="preserve">using groups of less than 10 participants </w:t>
      </w:r>
      <w:r w:rsidR="0004112D">
        <w:rPr>
          <w:sz w:val="24"/>
        </w:rPr>
        <w:t xml:space="preserve">with representatives of target audiences followed by refinement and finalization. </w:t>
      </w:r>
    </w:p>
    <w:p w:rsidR="0004112D" w:rsidRPr="002C4865" w:rsidRDefault="0004112D" w:rsidP="0004112D">
      <w:pPr>
        <w:rPr>
          <w:sz w:val="24"/>
        </w:rPr>
      </w:pPr>
    </w:p>
    <w:p w:rsidR="00870C4B" w:rsidRPr="002C4865" w:rsidRDefault="00870C4B" w:rsidP="00870C4B">
      <w:pPr>
        <w:pStyle w:val="Heading2"/>
        <w:rPr>
          <w:rFonts w:ascii="Times New Roman" w:hAnsi="Times New Roman" w:cs="Times New Roman"/>
          <w:sz w:val="24"/>
        </w:rPr>
      </w:pPr>
      <w:r w:rsidRPr="002C4865">
        <w:rPr>
          <w:rFonts w:ascii="Times New Roman" w:hAnsi="Times New Roman" w:cs="Times New Roman"/>
          <w:sz w:val="24"/>
        </w:rPr>
        <w:t>5. Statistical Consultants</w:t>
      </w:r>
    </w:p>
    <w:p w:rsidR="00AA2B14" w:rsidRPr="002C4865" w:rsidRDefault="00AA2B14" w:rsidP="00AA2B14">
      <w:pPr>
        <w:rPr>
          <w:sz w:val="24"/>
        </w:rPr>
      </w:pPr>
    </w:p>
    <w:p w:rsidR="007B626D" w:rsidRDefault="0004112D" w:rsidP="00812F6E">
      <w:pPr>
        <w:rPr>
          <w:sz w:val="24"/>
        </w:rPr>
      </w:pPr>
      <w:r>
        <w:rPr>
          <w:sz w:val="24"/>
        </w:rPr>
        <w:t xml:space="preserve">The Evaluation Subcommittee has provided input throughout the project on evaluation methodology and will continue to provide guidance during the data analytic phase and report generation. </w:t>
      </w:r>
      <w:r w:rsidR="00812F6E" w:rsidRPr="00812F6E">
        <w:rPr>
          <w:sz w:val="24"/>
        </w:rPr>
        <w:t xml:space="preserve">  No other external entities will be engaged for consultation. </w:t>
      </w:r>
    </w:p>
    <w:p w:rsidR="007B626D" w:rsidRDefault="007B626D" w:rsidP="00812F6E">
      <w:pPr>
        <w:rPr>
          <w:sz w:val="24"/>
        </w:rPr>
      </w:pPr>
    </w:p>
    <w:p w:rsidR="00AA2B14" w:rsidRDefault="00812F6E" w:rsidP="00812F6E">
      <w:pPr>
        <w:rPr>
          <w:sz w:val="24"/>
        </w:rPr>
      </w:pPr>
      <w:r w:rsidRPr="00812F6E">
        <w:rPr>
          <w:sz w:val="24"/>
        </w:rPr>
        <w:lastRenderedPageBreak/>
        <w:t xml:space="preserve">  </w:t>
      </w:r>
    </w:p>
    <w:sectPr w:rsidR="00AA2B14" w:rsidSect="0088129C">
      <w:headerReference w:type="default" r:id="rId8"/>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A8A" w:rsidRDefault="00A24A8A">
      <w:r>
        <w:separator/>
      </w:r>
    </w:p>
  </w:endnote>
  <w:endnote w:type="continuationSeparator" w:id="0">
    <w:p w:rsidR="00A24A8A" w:rsidRDefault="00A24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10cpi">
    <w:altName w:val="Cambria"/>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7A" w:rsidRDefault="0054456B" w:rsidP="0088129C">
    <w:pPr>
      <w:pStyle w:val="Footer"/>
      <w:framePr w:wrap="around" w:vAnchor="text" w:hAnchor="margin" w:xAlign="center" w:y="1"/>
      <w:rPr>
        <w:rStyle w:val="PageNumber"/>
      </w:rPr>
    </w:pPr>
    <w:r>
      <w:rPr>
        <w:rStyle w:val="PageNumber"/>
      </w:rPr>
      <w:fldChar w:fldCharType="begin"/>
    </w:r>
    <w:r w:rsidR="00FB167A">
      <w:rPr>
        <w:rStyle w:val="PageNumber"/>
      </w:rPr>
      <w:instrText xml:space="preserve">PAGE  </w:instrText>
    </w:r>
    <w:r>
      <w:rPr>
        <w:rStyle w:val="PageNumber"/>
      </w:rPr>
      <w:fldChar w:fldCharType="end"/>
    </w:r>
  </w:p>
  <w:p w:rsidR="00FB167A" w:rsidRDefault="00FB167A" w:rsidP="008812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7A" w:rsidRDefault="0054456B" w:rsidP="0088129C">
    <w:pPr>
      <w:pStyle w:val="Footer"/>
      <w:framePr w:wrap="around" w:vAnchor="text" w:hAnchor="margin" w:xAlign="center" w:y="1"/>
      <w:rPr>
        <w:rStyle w:val="PageNumber"/>
      </w:rPr>
    </w:pPr>
    <w:r>
      <w:rPr>
        <w:rStyle w:val="PageNumber"/>
      </w:rPr>
      <w:fldChar w:fldCharType="begin"/>
    </w:r>
    <w:r w:rsidR="00FB167A">
      <w:rPr>
        <w:rStyle w:val="PageNumber"/>
      </w:rPr>
      <w:instrText xml:space="preserve">PAGE  </w:instrText>
    </w:r>
    <w:r>
      <w:rPr>
        <w:rStyle w:val="PageNumber"/>
      </w:rPr>
      <w:fldChar w:fldCharType="separate"/>
    </w:r>
    <w:r w:rsidR="00742BF6">
      <w:rPr>
        <w:rStyle w:val="PageNumber"/>
        <w:noProof/>
      </w:rPr>
      <w:t>7</w:t>
    </w:r>
    <w:r>
      <w:rPr>
        <w:rStyle w:val="PageNumber"/>
      </w:rPr>
      <w:fldChar w:fldCharType="end"/>
    </w:r>
  </w:p>
  <w:p w:rsidR="00FB167A" w:rsidRDefault="00FB167A" w:rsidP="008812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A8A" w:rsidRDefault="00A24A8A">
      <w:r>
        <w:separator/>
      </w:r>
    </w:p>
  </w:footnote>
  <w:footnote w:type="continuationSeparator" w:id="0">
    <w:p w:rsidR="00A24A8A" w:rsidRDefault="00A24A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67A" w:rsidRDefault="00FB1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D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7D332A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2B14"/>
    <w:rsid w:val="00000028"/>
    <w:rsid w:val="0000041B"/>
    <w:rsid w:val="00000E3F"/>
    <w:rsid w:val="000028E6"/>
    <w:rsid w:val="00003726"/>
    <w:rsid w:val="00007C23"/>
    <w:rsid w:val="0001263A"/>
    <w:rsid w:val="0001418A"/>
    <w:rsid w:val="000144E8"/>
    <w:rsid w:val="000167CA"/>
    <w:rsid w:val="00016987"/>
    <w:rsid w:val="00017DD2"/>
    <w:rsid w:val="000204D2"/>
    <w:rsid w:val="00022B2F"/>
    <w:rsid w:val="00023905"/>
    <w:rsid w:val="0002688B"/>
    <w:rsid w:val="00026998"/>
    <w:rsid w:val="00027931"/>
    <w:rsid w:val="00030838"/>
    <w:rsid w:val="000314B9"/>
    <w:rsid w:val="00035968"/>
    <w:rsid w:val="000375C3"/>
    <w:rsid w:val="00040D98"/>
    <w:rsid w:val="00041097"/>
    <w:rsid w:val="0004112D"/>
    <w:rsid w:val="0004144A"/>
    <w:rsid w:val="0004152A"/>
    <w:rsid w:val="00041557"/>
    <w:rsid w:val="00042F92"/>
    <w:rsid w:val="00050169"/>
    <w:rsid w:val="00050229"/>
    <w:rsid w:val="00051AB2"/>
    <w:rsid w:val="00053B30"/>
    <w:rsid w:val="00054220"/>
    <w:rsid w:val="000543B1"/>
    <w:rsid w:val="000574FE"/>
    <w:rsid w:val="00057859"/>
    <w:rsid w:val="00061808"/>
    <w:rsid w:val="00062815"/>
    <w:rsid w:val="000635A0"/>
    <w:rsid w:val="00064046"/>
    <w:rsid w:val="000661FA"/>
    <w:rsid w:val="00066E33"/>
    <w:rsid w:val="00071753"/>
    <w:rsid w:val="00072A05"/>
    <w:rsid w:val="000733EB"/>
    <w:rsid w:val="00077E68"/>
    <w:rsid w:val="00080A92"/>
    <w:rsid w:val="000828A9"/>
    <w:rsid w:val="0008338A"/>
    <w:rsid w:val="000846B0"/>
    <w:rsid w:val="00084D1F"/>
    <w:rsid w:val="00084D99"/>
    <w:rsid w:val="00092EF7"/>
    <w:rsid w:val="00097CD8"/>
    <w:rsid w:val="000A034C"/>
    <w:rsid w:val="000A31D5"/>
    <w:rsid w:val="000A3642"/>
    <w:rsid w:val="000A5162"/>
    <w:rsid w:val="000B1554"/>
    <w:rsid w:val="000B246F"/>
    <w:rsid w:val="000B2925"/>
    <w:rsid w:val="000B4F56"/>
    <w:rsid w:val="000B5DDA"/>
    <w:rsid w:val="000B7057"/>
    <w:rsid w:val="000C052D"/>
    <w:rsid w:val="000C12A6"/>
    <w:rsid w:val="000C26A4"/>
    <w:rsid w:val="000C273C"/>
    <w:rsid w:val="000C29D8"/>
    <w:rsid w:val="000C2B20"/>
    <w:rsid w:val="000D09DE"/>
    <w:rsid w:val="000D1998"/>
    <w:rsid w:val="000D2FDA"/>
    <w:rsid w:val="000D68E0"/>
    <w:rsid w:val="000E0A8D"/>
    <w:rsid w:val="000E2764"/>
    <w:rsid w:val="000E28EA"/>
    <w:rsid w:val="000E4F0E"/>
    <w:rsid w:val="000E548C"/>
    <w:rsid w:val="000E5B21"/>
    <w:rsid w:val="000E60E3"/>
    <w:rsid w:val="000F1427"/>
    <w:rsid w:val="000F1C4B"/>
    <w:rsid w:val="000F2472"/>
    <w:rsid w:val="000F2837"/>
    <w:rsid w:val="000F7582"/>
    <w:rsid w:val="001053D3"/>
    <w:rsid w:val="00107EF6"/>
    <w:rsid w:val="001133C3"/>
    <w:rsid w:val="00115105"/>
    <w:rsid w:val="00124FF5"/>
    <w:rsid w:val="001256BC"/>
    <w:rsid w:val="00125F14"/>
    <w:rsid w:val="00127380"/>
    <w:rsid w:val="001277A0"/>
    <w:rsid w:val="00130D0F"/>
    <w:rsid w:val="00130DC8"/>
    <w:rsid w:val="001332FD"/>
    <w:rsid w:val="00133642"/>
    <w:rsid w:val="0013418E"/>
    <w:rsid w:val="001363D5"/>
    <w:rsid w:val="00137A01"/>
    <w:rsid w:val="001414E5"/>
    <w:rsid w:val="00144014"/>
    <w:rsid w:val="00145C28"/>
    <w:rsid w:val="00147F10"/>
    <w:rsid w:val="00150C01"/>
    <w:rsid w:val="00150DA9"/>
    <w:rsid w:val="00156619"/>
    <w:rsid w:val="00160B30"/>
    <w:rsid w:val="001623B4"/>
    <w:rsid w:val="0016288A"/>
    <w:rsid w:val="00164BCE"/>
    <w:rsid w:val="00165BFD"/>
    <w:rsid w:val="001661D7"/>
    <w:rsid w:val="00167D7A"/>
    <w:rsid w:val="00171346"/>
    <w:rsid w:val="001717AC"/>
    <w:rsid w:val="00172665"/>
    <w:rsid w:val="001729E1"/>
    <w:rsid w:val="00175504"/>
    <w:rsid w:val="001755C6"/>
    <w:rsid w:val="00175E6F"/>
    <w:rsid w:val="0018033F"/>
    <w:rsid w:val="00184281"/>
    <w:rsid w:val="00185F2E"/>
    <w:rsid w:val="00187102"/>
    <w:rsid w:val="001874EF"/>
    <w:rsid w:val="0019039C"/>
    <w:rsid w:val="001914B6"/>
    <w:rsid w:val="001922BD"/>
    <w:rsid w:val="00193730"/>
    <w:rsid w:val="00193D98"/>
    <w:rsid w:val="00194D84"/>
    <w:rsid w:val="001961A5"/>
    <w:rsid w:val="001A0A59"/>
    <w:rsid w:val="001A3EDD"/>
    <w:rsid w:val="001A437E"/>
    <w:rsid w:val="001A5FF7"/>
    <w:rsid w:val="001A7603"/>
    <w:rsid w:val="001B05CF"/>
    <w:rsid w:val="001B0BA9"/>
    <w:rsid w:val="001B2EA3"/>
    <w:rsid w:val="001B5D6F"/>
    <w:rsid w:val="001C2CC4"/>
    <w:rsid w:val="001C2FF6"/>
    <w:rsid w:val="001C3D9E"/>
    <w:rsid w:val="001C6297"/>
    <w:rsid w:val="001C78FD"/>
    <w:rsid w:val="001D0014"/>
    <w:rsid w:val="001E174A"/>
    <w:rsid w:val="001E1B45"/>
    <w:rsid w:val="001E28A8"/>
    <w:rsid w:val="001E31D0"/>
    <w:rsid w:val="001E60D3"/>
    <w:rsid w:val="001E67BD"/>
    <w:rsid w:val="001E785F"/>
    <w:rsid w:val="001E7C34"/>
    <w:rsid w:val="001F13A8"/>
    <w:rsid w:val="001F474D"/>
    <w:rsid w:val="001F551A"/>
    <w:rsid w:val="001F593A"/>
    <w:rsid w:val="001F5E2E"/>
    <w:rsid w:val="001F68C6"/>
    <w:rsid w:val="00200CBD"/>
    <w:rsid w:val="00201B38"/>
    <w:rsid w:val="00202661"/>
    <w:rsid w:val="00202ECC"/>
    <w:rsid w:val="00205FF8"/>
    <w:rsid w:val="00206473"/>
    <w:rsid w:val="0020740B"/>
    <w:rsid w:val="002113C7"/>
    <w:rsid w:val="00217A90"/>
    <w:rsid w:val="002209B6"/>
    <w:rsid w:val="00220C60"/>
    <w:rsid w:val="002212DF"/>
    <w:rsid w:val="00222258"/>
    <w:rsid w:val="00222927"/>
    <w:rsid w:val="00224620"/>
    <w:rsid w:val="00224D1B"/>
    <w:rsid w:val="002258D9"/>
    <w:rsid w:val="002304FE"/>
    <w:rsid w:val="00232730"/>
    <w:rsid w:val="0023414A"/>
    <w:rsid w:val="002343F0"/>
    <w:rsid w:val="00235748"/>
    <w:rsid w:val="0023595D"/>
    <w:rsid w:val="00240615"/>
    <w:rsid w:val="00240A5B"/>
    <w:rsid w:val="00241C7B"/>
    <w:rsid w:val="00241EC6"/>
    <w:rsid w:val="00243021"/>
    <w:rsid w:val="002451CA"/>
    <w:rsid w:val="00246DE2"/>
    <w:rsid w:val="00247855"/>
    <w:rsid w:val="00250F6D"/>
    <w:rsid w:val="00254351"/>
    <w:rsid w:val="00254FD9"/>
    <w:rsid w:val="00257117"/>
    <w:rsid w:val="00260A01"/>
    <w:rsid w:val="00262FCA"/>
    <w:rsid w:val="00265C70"/>
    <w:rsid w:val="00266D37"/>
    <w:rsid w:val="0027002B"/>
    <w:rsid w:val="002704FA"/>
    <w:rsid w:val="002714DD"/>
    <w:rsid w:val="00271870"/>
    <w:rsid w:val="00271A28"/>
    <w:rsid w:val="00274E60"/>
    <w:rsid w:val="00277CEA"/>
    <w:rsid w:val="00283914"/>
    <w:rsid w:val="002841F8"/>
    <w:rsid w:val="00284D75"/>
    <w:rsid w:val="002866A4"/>
    <w:rsid w:val="00286B39"/>
    <w:rsid w:val="00292513"/>
    <w:rsid w:val="00294278"/>
    <w:rsid w:val="00296CD2"/>
    <w:rsid w:val="002A5262"/>
    <w:rsid w:val="002A675A"/>
    <w:rsid w:val="002B0F78"/>
    <w:rsid w:val="002B334A"/>
    <w:rsid w:val="002B51BE"/>
    <w:rsid w:val="002B55BE"/>
    <w:rsid w:val="002B5ED4"/>
    <w:rsid w:val="002C2F57"/>
    <w:rsid w:val="002C2F60"/>
    <w:rsid w:val="002C3672"/>
    <w:rsid w:val="002C4865"/>
    <w:rsid w:val="002C4D15"/>
    <w:rsid w:val="002C72EA"/>
    <w:rsid w:val="002D02EC"/>
    <w:rsid w:val="002D17C5"/>
    <w:rsid w:val="002D26EB"/>
    <w:rsid w:val="002D61AA"/>
    <w:rsid w:val="002D7184"/>
    <w:rsid w:val="002E006F"/>
    <w:rsid w:val="002E2542"/>
    <w:rsid w:val="002E72E1"/>
    <w:rsid w:val="002E7B9A"/>
    <w:rsid w:val="002F2C10"/>
    <w:rsid w:val="002F2FDC"/>
    <w:rsid w:val="002F344F"/>
    <w:rsid w:val="003004BA"/>
    <w:rsid w:val="003014AD"/>
    <w:rsid w:val="00301526"/>
    <w:rsid w:val="00307CE1"/>
    <w:rsid w:val="003122DE"/>
    <w:rsid w:val="00314B99"/>
    <w:rsid w:val="0031502F"/>
    <w:rsid w:val="00317A2B"/>
    <w:rsid w:val="00317EB7"/>
    <w:rsid w:val="003210D4"/>
    <w:rsid w:val="00325BC9"/>
    <w:rsid w:val="00326843"/>
    <w:rsid w:val="003309C6"/>
    <w:rsid w:val="00330F9A"/>
    <w:rsid w:val="003322B0"/>
    <w:rsid w:val="003338AE"/>
    <w:rsid w:val="003338D3"/>
    <w:rsid w:val="00335765"/>
    <w:rsid w:val="003363F1"/>
    <w:rsid w:val="00344D3E"/>
    <w:rsid w:val="003503E4"/>
    <w:rsid w:val="003504D6"/>
    <w:rsid w:val="003527CB"/>
    <w:rsid w:val="00353007"/>
    <w:rsid w:val="00353828"/>
    <w:rsid w:val="0035538C"/>
    <w:rsid w:val="00364071"/>
    <w:rsid w:val="00365067"/>
    <w:rsid w:val="00366D06"/>
    <w:rsid w:val="00367D62"/>
    <w:rsid w:val="00371024"/>
    <w:rsid w:val="0037168E"/>
    <w:rsid w:val="00373F14"/>
    <w:rsid w:val="00377135"/>
    <w:rsid w:val="0037732D"/>
    <w:rsid w:val="00377CE7"/>
    <w:rsid w:val="00381C57"/>
    <w:rsid w:val="00383034"/>
    <w:rsid w:val="00384745"/>
    <w:rsid w:val="0038673F"/>
    <w:rsid w:val="00387D72"/>
    <w:rsid w:val="00390420"/>
    <w:rsid w:val="00393005"/>
    <w:rsid w:val="00395DD1"/>
    <w:rsid w:val="00395E9D"/>
    <w:rsid w:val="00396A8C"/>
    <w:rsid w:val="00396B62"/>
    <w:rsid w:val="003972AD"/>
    <w:rsid w:val="003A074B"/>
    <w:rsid w:val="003A53B5"/>
    <w:rsid w:val="003A5C4D"/>
    <w:rsid w:val="003A68F4"/>
    <w:rsid w:val="003A7C99"/>
    <w:rsid w:val="003B0052"/>
    <w:rsid w:val="003B00E2"/>
    <w:rsid w:val="003B2BC7"/>
    <w:rsid w:val="003B376A"/>
    <w:rsid w:val="003B3C70"/>
    <w:rsid w:val="003B4992"/>
    <w:rsid w:val="003B6087"/>
    <w:rsid w:val="003B7C56"/>
    <w:rsid w:val="003C1C77"/>
    <w:rsid w:val="003C1F2B"/>
    <w:rsid w:val="003C1F48"/>
    <w:rsid w:val="003C3103"/>
    <w:rsid w:val="003C312C"/>
    <w:rsid w:val="003C4E4E"/>
    <w:rsid w:val="003C628E"/>
    <w:rsid w:val="003C6E1D"/>
    <w:rsid w:val="003C73E8"/>
    <w:rsid w:val="003D02DD"/>
    <w:rsid w:val="003D055A"/>
    <w:rsid w:val="003D1E52"/>
    <w:rsid w:val="003D369A"/>
    <w:rsid w:val="003D3B9C"/>
    <w:rsid w:val="003D5A69"/>
    <w:rsid w:val="003D6AE8"/>
    <w:rsid w:val="003E0372"/>
    <w:rsid w:val="003E271D"/>
    <w:rsid w:val="003E5535"/>
    <w:rsid w:val="003E6036"/>
    <w:rsid w:val="003E79B1"/>
    <w:rsid w:val="003F12BA"/>
    <w:rsid w:val="003F223C"/>
    <w:rsid w:val="003F2F6F"/>
    <w:rsid w:val="003F37F4"/>
    <w:rsid w:val="003F42BC"/>
    <w:rsid w:val="003F4F2F"/>
    <w:rsid w:val="004003E2"/>
    <w:rsid w:val="00402D4C"/>
    <w:rsid w:val="0040490C"/>
    <w:rsid w:val="00407D21"/>
    <w:rsid w:val="004101C6"/>
    <w:rsid w:val="00412978"/>
    <w:rsid w:val="00413710"/>
    <w:rsid w:val="00413A33"/>
    <w:rsid w:val="00414DA5"/>
    <w:rsid w:val="00415138"/>
    <w:rsid w:val="0041704D"/>
    <w:rsid w:val="00422B2A"/>
    <w:rsid w:val="004230CE"/>
    <w:rsid w:val="004232F6"/>
    <w:rsid w:val="00423D57"/>
    <w:rsid w:val="00424303"/>
    <w:rsid w:val="004251F2"/>
    <w:rsid w:val="00426BAE"/>
    <w:rsid w:val="00426D09"/>
    <w:rsid w:val="00427067"/>
    <w:rsid w:val="004273CB"/>
    <w:rsid w:val="00431F3A"/>
    <w:rsid w:val="0043295B"/>
    <w:rsid w:val="004329A6"/>
    <w:rsid w:val="0043383F"/>
    <w:rsid w:val="00436770"/>
    <w:rsid w:val="00436F40"/>
    <w:rsid w:val="004406B3"/>
    <w:rsid w:val="00440CCD"/>
    <w:rsid w:val="00446074"/>
    <w:rsid w:val="00446FD5"/>
    <w:rsid w:val="00451EBF"/>
    <w:rsid w:val="00452755"/>
    <w:rsid w:val="004543F7"/>
    <w:rsid w:val="00456237"/>
    <w:rsid w:val="00460D1B"/>
    <w:rsid w:val="00461D98"/>
    <w:rsid w:val="00462B64"/>
    <w:rsid w:val="00465308"/>
    <w:rsid w:val="00470629"/>
    <w:rsid w:val="00476A46"/>
    <w:rsid w:val="00480091"/>
    <w:rsid w:val="0048205C"/>
    <w:rsid w:val="00482074"/>
    <w:rsid w:val="004832BB"/>
    <w:rsid w:val="00486694"/>
    <w:rsid w:val="00490F7F"/>
    <w:rsid w:val="00491E6A"/>
    <w:rsid w:val="00492C25"/>
    <w:rsid w:val="0049545C"/>
    <w:rsid w:val="004958AA"/>
    <w:rsid w:val="004A0508"/>
    <w:rsid w:val="004A111A"/>
    <w:rsid w:val="004A1C8E"/>
    <w:rsid w:val="004A27A5"/>
    <w:rsid w:val="004A45DE"/>
    <w:rsid w:val="004A49AC"/>
    <w:rsid w:val="004A5835"/>
    <w:rsid w:val="004A58E2"/>
    <w:rsid w:val="004B06E4"/>
    <w:rsid w:val="004B25FB"/>
    <w:rsid w:val="004B37DD"/>
    <w:rsid w:val="004B3D30"/>
    <w:rsid w:val="004B5BD6"/>
    <w:rsid w:val="004B64D5"/>
    <w:rsid w:val="004B6A22"/>
    <w:rsid w:val="004C045A"/>
    <w:rsid w:val="004C0B0C"/>
    <w:rsid w:val="004D1147"/>
    <w:rsid w:val="004D1B7A"/>
    <w:rsid w:val="004D2068"/>
    <w:rsid w:val="004D6C5F"/>
    <w:rsid w:val="004D736B"/>
    <w:rsid w:val="004E515E"/>
    <w:rsid w:val="004E6D75"/>
    <w:rsid w:val="004F153D"/>
    <w:rsid w:val="004F3768"/>
    <w:rsid w:val="004F54BA"/>
    <w:rsid w:val="004F67B3"/>
    <w:rsid w:val="004F7C29"/>
    <w:rsid w:val="0050069A"/>
    <w:rsid w:val="0050472C"/>
    <w:rsid w:val="00505F4C"/>
    <w:rsid w:val="00506B7C"/>
    <w:rsid w:val="00506E1A"/>
    <w:rsid w:val="00510D7A"/>
    <w:rsid w:val="0051155B"/>
    <w:rsid w:val="005153D2"/>
    <w:rsid w:val="005167C3"/>
    <w:rsid w:val="00520D8D"/>
    <w:rsid w:val="005243FB"/>
    <w:rsid w:val="0052541E"/>
    <w:rsid w:val="00526267"/>
    <w:rsid w:val="00532358"/>
    <w:rsid w:val="00534301"/>
    <w:rsid w:val="0053433E"/>
    <w:rsid w:val="00536038"/>
    <w:rsid w:val="00536106"/>
    <w:rsid w:val="00542237"/>
    <w:rsid w:val="00543AF4"/>
    <w:rsid w:val="0054456B"/>
    <w:rsid w:val="00546B6B"/>
    <w:rsid w:val="00547767"/>
    <w:rsid w:val="00550EBF"/>
    <w:rsid w:val="00552C85"/>
    <w:rsid w:val="00552F8D"/>
    <w:rsid w:val="00555B00"/>
    <w:rsid w:val="00555B8A"/>
    <w:rsid w:val="0055643D"/>
    <w:rsid w:val="00557453"/>
    <w:rsid w:val="0056452D"/>
    <w:rsid w:val="0057012B"/>
    <w:rsid w:val="00570200"/>
    <w:rsid w:val="0057276A"/>
    <w:rsid w:val="00574E8A"/>
    <w:rsid w:val="005772BD"/>
    <w:rsid w:val="005814EB"/>
    <w:rsid w:val="00581C4D"/>
    <w:rsid w:val="00582DC5"/>
    <w:rsid w:val="00583627"/>
    <w:rsid w:val="00590C50"/>
    <w:rsid w:val="00591461"/>
    <w:rsid w:val="0059291B"/>
    <w:rsid w:val="005929DF"/>
    <w:rsid w:val="00592F77"/>
    <w:rsid w:val="00593BD5"/>
    <w:rsid w:val="0059470D"/>
    <w:rsid w:val="005A3497"/>
    <w:rsid w:val="005A5565"/>
    <w:rsid w:val="005A6C79"/>
    <w:rsid w:val="005B046A"/>
    <w:rsid w:val="005B2731"/>
    <w:rsid w:val="005B4B95"/>
    <w:rsid w:val="005B4C1E"/>
    <w:rsid w:val="005B7E1A"/>
    <w:rsid w:val="005C34D9"/>
    <w:rsid w:val="005C3DB5"/>
    <w:rsid w:val="005C469F"/>
    <w:rsid w:val="005C5779"/>
    <w:rsid w:val="005D3822"/>
    <w:rsid w:val="005D4A88"/>
    <w:rsid w:val="005D5CBF"/>
    <w:rsid w:val="005E3686"/>
    <w:rsid w:val="005E5170"/>
    <w:rsid w:val="005E5F01"/>
    <w:rsid w:val="005F08FA"/>
    <w:rsid w:val="005F6627"/>
    <w:rsid w:val="006051E2"/>
    <w:rsid w:val="00607E4C"/>
    <w:rsid w:val="006106C1"/>
    <w:rsid w:val="00615AD0"/>
    <w:rsid w:val="0061700A"/>
    <w:rsid w:val="00620129"/>
    <w:rsid w:val="00620448"/>
    <w:rsid w:val="00620AC7"/>
    <w:rsid w:val="00630CC7"/>
    <w:rsid w:val="00631165"/>
    <w:rsid w:val="00631667"/>
    <w:rsid w:val="00632113"/>
    <w:rsid w:val="006343E3"/>
    <w:rsid w:val="00635512"/>
    <w:rsid w:val="0063714F"/>
    <w:rsid w:val="00640E46"/>
    <w:rsid w:val="00643FDF"/>
    <w:rsid w:val="00644EA8"/>
    <w:rsid w:val="00645BB6"/>
    <w:rsid w:val="00650085"/>
    <w:rsid w:val="00653477"/>
    <w:rsid w:val="00655327"/>
    <w:rsid w:val="006560A9"/>
    <w:rsid w:val="006566DA"/>
    <w:rsid w:val="00656C4F"/>
    <w:rsid w:val="0065798D"/>
    <w:rsid w:val="00657A31"/>
    <w:rsid w:val="0066058A"/>
    <w:rsid w:val="00662AD4"/>
    <w:rsid w:val="006653E4"/>
    <w:rsid w:val="00666146"/>
    <w:rsid w:val="00666C20"/>
    <w:rsid w:val="00666FE4"/>
    <w:rsid w:val="00667D00"/>
    <w:rsid w:val="0067071D"/>
    <w:rsid w:val="00674F25"/>
    <w:rsid w:val="006751F3"/>
    <w:rsid w:val="00675F44"/>
    <w:rsid w:val="006872A0"/>
    <w:rsid w:val="0069068A"/>
    <w:rsid w:val="0069112A"/>
    <w:rsid w:val="00694254"/>
    <w:rsid w:val="00695505"/>
    <w:rsid w:val="00696891"/>
    <w:rsid w:val="00697067"/>
    <w:rsid w:val="00697D88"/>
    <w:rsid w:val="006A036F"/>
    <w:rsid w:val="006A1723"/>
    <w:rsid w:val="006A1E1F"/>
    <w:rsid w:val="006A23A7"/>
    <w:rsid w:val="006A25EE"/>
    <w:rsid w:val="006A3475"/>
    <w:rsid w:val="006A40A1"/>
    <w:rsid w:val="006A73AF"/>
    <w:rsid w:val="006A7BC6"/>
    <w:rsid w:val="006A7CE9"/>
    <w:rsid w:val="006A7E5A"/>
    <w:rsid w:val="006B26BA"/>
    <w:rsid w:val="006B3CE6"/>
    <w:rsid w:val="006B417B"/>
    <w:rsid w:val="006B71FD"/>
    <w:rsid w:val="006C0C47"/>
    <w:rsid w:val="006C38A8"/>
    <w:rsid w:val="006C41EA"/>
    <w:rsid w:val="006C4581"/>
    <w:rsid w:val="006D00F6"/>
    <w:rsid w:val="006D1004"/>
    <w:rsid w:val="006D156F"/>
    <w:rsid w:val="006D251F"/>
    <w:rsid w:val="006D2949"/>
    <w:rsid w:val="006D2A3E"/>
    <w:rsid w:val="006D35D1"/>
    <w:rsid w:val="006D3F67"/>
    <w:rsid w:val="006D4720"/>
    <w:rsid w:val="006D548C"/>
    <w:rsid w:val="006D778F"/>
    <w:rsid w:val="006E0885"/>
    <w:rsid w:val="006E0907"/>
    <w:rsid w:val="006E0E58"/>
    <w:rsid w:val="006E2827"/>
    <w:rsid w:val="006E339A"/>
    <w:rsid w:val="006E35D0"/>
    <w:rsid w:val="006E4FBF"/>
    <w:rsid w:val="006E7861"/>
    <w:rsid w:val="006E7A25"/>
    <w:rsid w:val="006F3371"/>
    <w:rsid w:val="007017C8"/>
    <w:rsid w:val="00701B9B"/>
    <w:rsid w:val="00701E6E"/>
    <w:rsid w:val="007033D7"/>
    <w:rsid w:val="007054D6"/>
    <w:rsid w:val="00714C76"/>
    <w:rsid w:val="007161E6"/>
    <w:rsid w:val="00720B37"/>
    <w:rsid w:val="00722A4C"/>
    <w:rsid w:val="00724CF4"/>
    <w:rsid w:val="007257EA"/>
    <w:rsid w:val="00726B59"/>
    <w:rsid w:val="00726C1B"/>
    <w:rsid w:val="00726E4F"/>
    <w:rsid w:val="0072702F"/>
    <w:rsid w:val="00731645"/>
    <w:rsid w:val="007340C8"/>
    <w:rsid w:val="00740504"/>
    <w:rsid w:val="00742A5F"/>
    <w:rsid w:val="00742BF6"/>
    <w:rsid w:val="00744D9E"/>
    <w:rsid w:val="00745674"/>
    <w:rsid w:val="00746A6F"/>
    <w:rsid w:val="00747BB9"/>
    <w:rsid w:val="007519A8"/>
    <w:rsid w:val="00752720"/>
    <w:rsid w:val="00753550"/>
    <w:rsid w:val="007544DA"/>
    <w:rsid w:val="00756379"/>
    <w:rsid w:val="007600B5"/>
    <w:rsid w:val="0076117E"/>
    <w:rsid w:val="00765447"/>
    <w:rsid w:val="00766ABD"/>
    <w:rsid w:val="0076737A"/>
    <w:rsid w:val="007723D6"/>
    <w:rsid w:val="00772E70"/>
    <w:rsid w:val="00775880"/>
    <w:rsid w:val="00776457"/>
    <w:rsid w:val="007766E9"/>
    <w:rsid w:val="00776B67"/>
    <w:rsid w:val="00777546"/>
    <w:rsid w:val="00781044"/>
    <w:rsid w:val="00781661"/>
    <w:rsid w:val="007833DD"/>
    <w:rsid w:val="007855F5"/>
    <w:rsid w:val="00785746"/>
    <w:rsid w:val="00787A95"/>
    <w:rsid w:val="00790A3B"/>
    <w:rsid w:val="00790BC6"/>
    <w:rsid w:val="00792830"/>
    <w:rsid w:val="00792E57"/>
    <w:rsid w:val="00793E46"/>
    <w:rsid w:val="00795593"/>
    <w:rsid w:val="007A011B"/>
    <w:rsid w:val="007A17F0"/>
    <w:rsid w:val="007A258B"/>
    <w:rsid w:val="007A5133"/>
    <w:rsid w:val="007A576C"/>
    <w:rsid w:val="007B4BF8"/>
    <w:rsid w:val="007B591A"/>
    <w:rsid w:val="007B626D"/>
    <w:rsid w:val="007C0D40"/>
    <w:rsid w:val="007C39E4"/>
    <w:rsid w:val="007C49D3"/>
    <w:rsid w:val="007C51DC"/>
    <w:rsid w:val="007C5905"/>
    <w:rsid w:val="007D53AA"/>
    <w:rsid w:val="007E12FA"/>
    <w:rsid w:val="007E1EF2"/>
    <w:rsid w:val="007E37DE"/>
    <w:rsid w:val="007E3F1A"/>
    <w:rsid w:val="007E5479"/>
    <w:rsid w:val="007E6D6B"/>
    <w:rsid w:val="007E7FC6"/>
    <w:rsid w:val="007F22C5"/>
    <w:rsid w:val="007F2387"/>
    <w:rsid w:val="007F2F72"/>
    <w:rsid w:val="007F5CFB"/>
    <w:rsid w:val="007F63D8"/>
    <w:rsid w:val="008002DB"/>
    <w:rsid w:val="0080246D"/>
    <w:rsid w:val="00802638"/>
    <w:rsid w:val="0080340E"/>
    <w:rsid w:val="008066FC"/>
    <w:rsid w:val="00807A21"/>
    <w:rsid w:val="00812005"/>
    <w:rsid w:val="0081212C"/>
    <w:rsid w:val="00812425"/>
    <w:rsid w:val="00812F6E"/>
    <w:rsid w:val="00813A11"/>
    <w:rsid w:val="00814443"/>
    <w:rsid w:val="00815281"/>
    <w:rsid w:val="0081746D"/>
    <w:rsid w:val="00821615"/>
    <w:rsid w:val="00822EC0"/>
    <w:rsid w:val="00824182"/>
    <w:rsid w:val="00826255"/>
    <w:rsid w:val="00826B80"/>
    <w:rsid w:val="00830279"/>
    <w:rsid w:val="00833330"/>
    <w:rsid w:val="0083338C"/>
    <w:rsid w:val="00834A30"/>
    <w:rsid w:val="00844146"/>
    <w:rsid w:val="008452A3"/>
    <w:rsid w:val="00845813"/>
    <w:rsid w:val="008473D0"/>
    <w:rsid w:val="00850052"/>
    <w:rsid w:val="00852C36"/>
    <w:rsid w:val="008530E6"/>
    <w:rsid w:val="0085331D"/>
    <w:rsid w:val="00853DC6"/>
    <w:rsid w:val="00854B3A"/>
    <w:rsid w:val="00856690"/>
    <w:rsid w:val="00857731"/>
    <w:rsid w:val="00861744"/>
    <w:rsid w:val="00861F11"/>
    <w:rsid w:val="00864C0A"/>
    <w:rsid w:val="00866A2B"/>
    <w:rsid w:val="00867511"/>
    <w:rsid w:val="008700D8"/>
    <w:rsid w:val="00870C4B"/>
    <w:rsid w:val="00871137"/>
    <w:rsid w:val="00871DAE"/>
    <w:rsid w:val="0087244B"/>
    <w:rsid w:val="00873091"/>
    <w:rsid w:val="0087379F"/>
    <w:rsid w:val="008741AB"/>
    <w:rsid w:val="00874757"/>
    <w:rsid w:val="0088129C"/>
    <w:rsid w:val="008837BC"/>
    <w:rsid w:val="00884752"/>
    <w:rsid w:val="008852E8"/>
    <w:rsid w:val="00885426"/>
    <w:rsid w:val="00885C78"/>
    <w:rsid w:val="00885FC7"/>
    <w:rsid w:val="00887464"/>
    <w:rsid w:val="00890667"/>
    <w:rsid w:val="0089215C"/>
    <w:rsid w:val="00892197"/>
    <w:rsid w:val="00892E06"/>
    <w:rsid w:val="008933F8"/>
    <w:rsid w:val="00894559"/>
    <w:rsid w:val="00894977"/>
    <w:rsid w:val="00894CB3"/>
    <w:rsid w:val="00895461"/>
    <w:rsid w:val="008A3710"/>
    <w:rsid w:val="008A5586"/>
    <w:rsid w:val="008A5E7A"/>
    <w:rsid w:val="008B3794"/>
    <w:rsid w:val="008B59A2"/>
    <w:rsid w:val="008B5B40"/>
    <w:rsid w:val="008B5CFB"/>
    <w:rsid w:val="008B7449"/>
    <w:rsid w:val="008C5771"/>
    <w:rsid w:val="008D2D27"/>
    <w:rsid w:val="008D3A87"/>
    <w:rsid w:val="008D4942"/>
    <w:rsid w:val="008E06B8"/>
    <w:rsid w:val="008E0D7B"/>
    <w:rsid w:val="008E0DFC"/>
    <w:rsid w:val="008E202A"/>
    <w:rsid w:val="008E4523"/>
    <w:rsid w:val="008E53E0"/>
    <w:rsid w:val="008E5F75"/>
    <w:rsid w:val="008E658C"/>
    <w:rsid w:val="008F06C4"/>
    <w:rsid w:val="008F18CD"/>
    <w:rsid w:val="008F197F"/>
    <w:rsid w:val="008F1D4B"/>
    <w:rsid w:val="008F1D7F"/>
    <w:rsid w:val="008F2334"/>
    <w:rsid w:val="008F23F5"/>
    <w:rsid w:val="008F6C41"/>
    <w:rsid w:val="008F74FC"/>
    <w:rsid w:val="008F7D9C"/>
    <w:rsid w:val="00900446"/>
    <w:rsid w:val="0090111B"/>
    <w:rsid w:val="00903B4F"/>
    <w:rsid w:val="009046B0"/>
    <w:rsid w:val="00904E3A"/>
    <w:rsid w:val="00905437"/>
    <w:rsid w:val="009105B3"/>
    <w:rsid w:val="009134DA"/>
    <w:rsid w:val="00915652"/>
    <w:rsid w:val="009160EF"/>
    <w:rsid w:val="00916AA3"/>
    <w:rsid w:val="00916BBA"/>
    <w:rsid w:val="00921A4F"/>
    <w:rsid w:val="009220EC"/>
    <w:rsid w:val="00922561"/>
    <w:rsid w:val="00923A09"/>
    <w:rsid w:val="00924A78"/>
    <w:rsid w:val="009312EE"/>
    <w:rsid w:val="0093202A"/>
    <w:rsid w:val="0093596B"/>
    <w:rsid w:val="00940D52"/>
    <w:rsid w:val="00941103"/>
    <w:rsid w:val="0094275D"/>
    <w:rsid w:val="0094379B"/>
    <w:rsid w:val="00944C87"/>
    <w:rsid w:val="00944F8E"/>
    <w:rsid w:val="009530DD"/>
    <w:rsid w:val="009607AD"/>
    <w:rsid w:val="00960C8F"/>
    <w:rsid w:val="00962495"/>
    <w:rsid w:val="00962B69"/>
    <w:rsid w:val="009631D2"/>
    <w:rsid w:val="00964BAB"/>
    <w:rsid w:val="0096580D"/>
    <w:rsid w:val="009659F5"/>
    <w:rsid w:val="00965B72"/>
    <w:rsid w:val="00967490"/>
    <w:rsid w:val="00972179"/>
    <w:rsid w:val="00972716"/>
    <w:rsid w:val="00972E27"/>
    <w:rsid w:val="00972E89"/>
    <w:rsid w:val="009735B6"/>
    <w:rsid w:val="009744F9"/>
    <w:rsid w:val="00974F29"/>
    <w:rsid w:val="009754D2"/>
    <w:rsid w:val="00975F94"/>
    <w:rsid w:val="009771CD"/>
    <w:rsid w:val="00986127"/>
    <w:rsid w:val="009864AF"/>
    <w:rsid w:val="00986FB6"/>
    <w:rsid w:val="00990A9D"/>
    <w:rsid w:val="0099310C"/>
    <w:rsid w:val="00995A2A"/>
    <w:rsid w:val="009961C0"/>
    <w:rsid w:val="0099661B"/>
    <w:rsid w:val="009A09D0"/>
    <w:rsid w:val="009A12A8"/>
    <w:rsid w:val="009A13F5"/>
    <w:rsid w:val="009A1506"/>
    <w:rsid w:val="009A1C08"/>
    <w:rsid w:val="009A1DB9"/>
    <w:rsid w:val="009A236A"/>
    <w:rsid w:val="009A34E7"/>
    <w:rsid w:val="009A6EA4"/>
    <w:rsid w:val="009A7579"/>
    <w:rsid w:val="009B3917"/>
    <w:rsid w:val="009B3B89"/>
    <w:rsid w:val="009B794E"/>
    <w:rsid w:val="009B7B44"/>
    <w:rsid w:val="009C00DB"/>
    <w:rsid w:val="009C15A7"/>
    <w:rsid w:val="009C29E7"/>
    <w:rsid w:val="009C76CF"/>
    <w:rsid w:val="009D1F89"/>
    <w:rsid w:val="009D5632"/>
    <w:rsid w:val="009D5E90"/>
    <w:rsid w:val="009D62EE"/>
    <w:rsid w:val="009E070F"/>
    <w:rsid w:val="009E226C"/>
    <w:rsid w:val="009E749B"/>
    <w:rsid w:val="009E7E37"/>
    <w:rsid w:val="009F0517"/>
    <w:rsid w:val="009F1708"/>
    <w:rsid w:val="009F1A56"/>
    <w:rsid w:val="009F5807"/>
    <w:rsid w:val="009F7C7C"/>
    <w:rsid w:val="00A00D79"/>
    <w:rsid w:val="00A014BD"/>
    <w:rsid w:val="00A01EA1"/>
    <w:rsid w:val="00A038D4"/>
    <w:rsid w:val="00A04FB9"/>
    <w:rsid w:val="00A05F64"/>
    <w:rsid w:val="00A1165A"/>
    <w:rsid w:val="00A15B3E"/>
    <w:rsid w:val="00A15E19"/>
    <w:rsid w:val="00A175C7"/>
    <w:rsid w:val="00A23D5A"/>
    <w:rsid w:val="00A24A8A"/>
    <w:rsid w:val="00A32381"/>
    <w:rsid w:val="00A32C66"/>
    <w:rsid w:val="00A355D1"/>
    <w:rsid w:val="00A35E11"/>
    <w:rsid w:val="00A36776"/>
    <w:rsid w:val="00A400AF"/>
    <w:rsid w:val="00A405CD"/>
    <w:rsid w:val="00A4072B"/>
    <w:rsid w:val="00A433E3"/>
    <w:rsid w:val="00A434C6"/>
    <w:rsid w:val="00A446D2"/>
    <w:rsid w:val="00A4499C"/>
    <w:rsid w:val="00A51A46"/>
    <w:rsid w:val="00A52174"/>
    <w:rsid w:val="00A53097"/>
    <w:rsid w:val="00A56A7D"/>
    <w:rsid w:val="00A57E84"/>
    <w:rsid w:val="00A60338"/>
    <w:rsid w:val="00A61D99"/>
    <w:rsid w:val="00A63531"/>
    <w:rsid w:val="00A63AC3"/>
    <w:rsid w:val="00A6481B"/>
    <w:rsid w:val="00A64A36"/>
    <w:rsid w:val="00A64CDE"/>
    <w:rsid w:val="00A73BD5"/>
    <w:rsid w:val="00A85FEC"/>
    <w:rsid w:val="00A92A68"/>
    <w:rsid w:val="00A933D7"/>
    <w:rsid w:val="00A938C2"/>
    <w:rsid w:val="00A93AFD"/>
    <w:rsid w:val="00A967D6"/>
    <w:rsid w:val="00A96AED"/>
    <w:rsid w:val="00AA2B14"/>
    <w:rsid w:val="00AA7842"/>
    <w:rsid w:val="00AB0020"/>
    <w:rsid w:val="00AB3930"/>
    <w:rsid w:val="00AB3B46"/>
    <w:rsid w:val="00AB5F7C"/>
    <w:rsid w:val="00AB65E4"/>
    <w:rsid w:val="00AB72C0"/>
    <w:rsid w:val="00AB730F"/>
    <w:rsid w:val="00AC34AD"/>
    <w:rsid w:val="00AC56D1"/>
    <w:rsid w:val="00AC6A24"/>
    <w:rsid w:val="00AC6AA6"/>
    <w:rsid w:val="00AC7A69"/>
    <w:rsid w:val="00AD2C7B"/>
    <w:rsid w:val="00AD653E"/>
    <w:rsid w:val="00AD7038"/>
    <w:rsid w:val="00AE48C3"/>
    <w:rsid w:val="00AE5089"/>
    <w:rsid w:val="00AE5AE6"/>
    <w:rsid w:val="00AE7AC0"/>
    <w:rsid w:val="00AF05F3"/>
    <w:rsid w:val="00AF061F"/>
    <w:rsid w:val="00AF135C"/>
    <w:rsid w:val="00AF157B"/>
    <w:rsid w:val="00AF15B4"/>
    <w:rsid w:val="00AF1D05"/>
    <w:rsid w:val="00AF2C41"/>
    <w:rsid w:val="00AF4804"/>
    <w:rsid w:val="00B0096D"/>
    <w:rsid w:val="00B03A17"/>
    <w:rsid w:val="00B03F14"/>
    <w:rsid w:val="00B053B3"/>
    <w:rsid w:val="00B06F19"/>
    <w:rsid w:val="00B0775C"/>
    <w:rsid w:val="00B2198A"/>
    <w:rsid w:val="00B2424E"/>
    <w:rsid w:val="00B250EA"/>
    <w:rsid w:val="00B30B92"/>
    <w:rsid w:val="00B35A4C"/>
    <w:rsid w:val="00B40403"/>
    <w:rsid w:val="00B41A6A"/>
    <w:rsid w:val="00B41C3A"/>
    <w:rsid w:val="00B41EF6"/>
    <w:rsid w:val="00B42520"/>
    <w:rsid w:val="00B4384C"/>
    <w:rsid w:val="00B47847"/>
    <w:rsid w:val="00B47BB0"/>
    <w:rsid w:val="00B50549"/>
    <w:rsid w:val="00B51384"/>
    <w:rsid w:val="00B51988"/>
    <w:rsid w:val="00B51EF4"/>
    <w:rsid w:val="00B51FC6"/>
    <w:rsid w:val="00B574E6"/>
    <w:rsid w:val="00B6413F"/>
    <w:rsid w:val="00B644A2"/>
    <w:rsid w:val="00B73621"/>
    <w:rsid w:val="00B73B1C"/>
    <w:rsid w:val="00B73EBB"/>
    <w:rsid w:val="00B75953"/>
    <w:rsid w:val="00B767FC"/>
    <w:rsid w:val="00B76D7A"/>
    <w:rsid w:val="00B773AB"/>
    <w:rsid w:val="00B81108"/>
    <w:rsid w:val="00B81128"/>
    <w:rsid w:val="00B82608"/>
    <w:rsid w:val="00B8288F"/>
    <w:rsid w:val="00B83341"/>
    <w:rsid w:val="00B833A8"/>
    <w:rsid w:val="00B91314"/>
    <w:rsid w:val="00B91F14"/>
    <w:rsid w:val="00B9269D"/>
    <w:rsid w:val="00B9477A"/>
    <w:rsid w:val="00B948F2"/>
    <w:rsid w:val="00B9568E"/>
    <w:rsid w:val="00BA2394"/>
    <w:rsid w:val="00BA3FA4"/>
    <w:rsid w:val="00BA5802"/>
    <w:rsid w:val="00BA6D09"/>
    <w:rsid w:val="00BA7469"/>
    <w:rsid w:val="00BB24C6"/>
    <w:rsid w:val="00BB368A"/>
    <w:rsid w:val="00BB46DF"/>
    <w:rsid w:val="00BB4B97"/>
    <w:rsid w:val="00BB7DF3"/>
    <w:rsid w:val="00BC0FA2"/>
    <w:rsid w:val="00BC3A9C"/>
    <w:rsid w:val="00BD111E"/>
    <w:rsid w:val="00BD6C1A"/>
    <w:rsid w:val="00BD6F52"/>
    <w:rsid w:val="00BE177C"/>
    <w:rsid w:val="00BE46D9"/>
    <w:rsid w:val="00BE4F44"/>
    <w:rsid w:val="00BE6409"/>
    <w:rsid w:val="00BF0095"/>
    <w:rsid w:val="00BF1A41"/>
    <w:rsid w:val="00BF2C19"/>
    <w:rsid w:val="00BF35A1"/>
    <w:rsid w:val="00BF4C93"/>
    <w:rsid w:val="00C009A4"/>
    <w:rsid w:val="00C0210D"/>
    <w:rsid w:val="00C044D1"/>
    <w:rsid w:val="00C06052"/>
    <w:rsid w:val="00C07040"/>
    <w:rsid w:val="00C13C6D"/>
    <w:rsid w:val="00C14C28"/>
    <w:rsid w:val="00C16B87"/>
    <w:rsid w:val="00C21143"/>
    <w:rsid w:val="00C23E75"/>
    <w:rsid w:val="00C308FD"/>
    <w:rsid w:val="00C3096A"/>
    <w:rsid w:val="00C34D02"/>
    <w:rsid w:val="00C35F8A"/>
    <w:rsid w:val="00C369FE"/>
    <w:rsid w:val="00C40CB2"/>
    <w:rsid w:val="00C40D88"/>
    <w:rsid w:val="00C4110E"/>
    <w:rsid w:val="00C418BD"/>
    <w:rsid w:val="00C4436F"/>
    <w:rsid w:val="00C50F36"/>
    <w:rsid w:val="00C5327A"/>
    <w:rsid w:val="00C542ED"/>
    <w:rsid w:val="00C556FC"/>
    <w:rsid w:val="00C635AC"/>
    <w:rsid w:val="00C74762"/>
    <w:rsid w:val="00C75EDF"/>
    <w:rsid w:val="00C76DEC"/>
    <w:rsid w:val="00C819BF"/>
    <w:rsid w:val="00C828BE"/>
    <w:rsid w:val="00C84426"/>
    <w:rsid w:val="00C844F0"/>
    <w:rsid w:val="00C86AC0"/>
    <w:rsid w:val="00C86B4F"/>
    <w:rsid w:val="00C94DE8"/>
    <w:rsid w:val="00CA0B7D"/>
    <w:rsid w:val="00CA149B"/>
    <w:rsid w:val="00CA2FB9"/>
    <w:rsid w:val="00CA3D45"/>
    <w:rsid w:val="00CA53C3"/>
    <w:rsid w:val="00CA6A4B"/>
    <w:rsid w:val="00CB05EC"/>
    <w:rsid w:val="00CB104D"/>
    <w:rsid w:val="00CB2F8B"/>
    <w:rsid w:val="00CB3346"/>
    <w:rsid w:val="00CB334F"/>
    <w:rsid w:val="00CB660A"/>
    <w:rsid w:val="00CB7615"/>
    <w:rsid w:val="00CC0FEE"/>
    <w:rsid w:val="00CC2D0F"/>
    <w:rsid w:val="00CC3A9B"/>
    <w:rsid w:val="00CC3F05"/>
    <w:rsid w:val="00CC42B4"/>
    <w:rsid w:val="00CC5C2F"/>
    <w:rsid w:val="00CC624A"/>
    <w:rsid w:val="00CC72ED"/>
    <w:rsid w:val="00CC7977"/>
    <w:rsid w:val="00CD03FF"/>
    <w:rsid w:val="00CD269E"/>
    <w:rsid w:val="00CD48E8"/>
    <w:rsid w:val="00CD4D1B"/>
    <w:rsid w:val="00CE0737"/>
    <w:rsid w:val="00CE14BB"/>
    <w:rsid w:val="00CE1A27"/>
    <w:rsid w:val="00CE49C8"/>
    <w:rsid w:val="00CE688A"/>
    <w:rsid w:val="00CE74B4"/>
    <w:rsid w:val="00CF1233"/>
    <w:rsid w:val="00CF3346"/>
    <w:rsid w:val="00CF3FF1"/>
    <w:rsid w:val="00D00209"/>
    <w:rsid w:val="00D00596"/>
    <w:rsid w:val="00D012F3"/>
    <w:rsid w:val="00D10174"/>
    <w:rsid w:val="00D10723"/>
    <w:rsid w:val="00D10953"/>
    <w:rsid w:val="00D1193F"/>
    <w:rsid w:val="00D12E67"/>
    <w:rsid w:val="00D16B5F"/>
    <w:rsid w:val="00D173B4"/>
    <w:rsid w:val="00D17438"/>
    <w:rsid w:val="00D20F4D"/>
    <w:rsid w:val="00D224DD"/>
    <w:rsid w:val="00D23E4A"/>
    <w:rsid w:val="00D2506E"/>
    <w:rsid w:val="00D254A2"/>
    <w:rsid w:val="00D26F35"/>
    <w:rsid w:val="00D3003B"/>
    <w:rsid w:val="00D33F62"/>
    <w:rsid w:val="00D3445C"/>
    <w:rsid w:val="00D360FA"/>
    <w:rsid w:val="00D3751D"/>
    <w:rsid w:val="00D4347A"/>
    <w:rsid w:val="00D43EDA"/>
    <w:rsid w:val="00D459FF"/>
    <w:rsid w:val="00D45ABC"/>
    <w:rsid w:val="00D463D3"/>
    <w:rsid w:val="00D47F26"/>
    <w:rsid w:val="00D50A99"/>
    <w:rsid w:val="00D5177F"/>
    <w:rsid w:val="00D52547"/>
    <w:rsid w:val="00D52729"/>
    <w:rsid w:val="00D5390D"/>
    <w:rsid w:val="00D53D1F"/>
    <w:rsid w:val="00D5540B"/>
    <w:rsid w:val="00D57060"/>
    <w:rsid w:val="00D57840"/>
    <w:rsid w:val="00D67DD8"/>
    <w:rsid w:val="00D71679"/>
    <w:rsid w:val="00D73362"/>
    <w:rsid w:val="00D74317"/>
    <w:rsid w:val="00D77619"/>
    <w:rsid w:val="00D80782"/>
    <w:rsid w:val="00D80E24"/>
    <w:rsid w:val="00D80F10"/>
    <w:rsid w:val="00D83209"/>
    <w:rsid w:val="00D83DA2"/>
    <w:rsid w:val="00D85D81"/>
    <w:rsid w:val="00D86DE0"/>
    <w:rsid w:val="00D95306"/>
    <w:rsid w:val="00D97999"/>
    <w:rsid w:val="00DA2187"/>
    <w:rsid w:val="00DA25B8"/>
    <w:rsid w:val="00DA4AD3"/>
    <w:rsid w:val="00DA7430"/>
    <w:rsid w:val="00DB042D"/>
    <w:rsid w:val="00DB0CB9"/>
    <w:rsid w:val="00DB1AF9"/>
    <w:rsid w:val="00DB2B5D"/>
    <w:rsid w:val="00DB3D43"/>
    <w:rsid w:val="00DB4822"/>
    <w:rsid w:val="00DB4DF8"/>
    <w:rsid w:val="00DB5512"/>
    <w:rsid w:val="00DC0137"/>
    <w:rsid w:val="00DC3784"/>
    <w:rsid w:val="00DC5AD5"/>
    <w:rsid w:val="00DD0703"/>
    <w:rsid w:val="00DD3F30"/>
    <w:rsid w:val="00DD691C"/>
    <w:rsid w:val="00DD6CB4"/>
    <w:rsid w:val="00DE03ED"/>
    <w:rsid w:val="00DE0AA4"/>
    <w:rsid w:val="00DE0C8F"/>
    <w:rsid w:val="00DE0C9B"/>
    <w:rsid w:val="00DE2279"/>
    <w:rsid w:val="00DE3061"/>
    <w:rsid w:val="00DE3880"/>
    <w:rsid w:val="00DE536B"/>
    <w:rsid w:val="00DE594C"/>
    <w:rsid w:val="00DE5C7A"/>
    <w:rsid w:val="00DF1F48"/>
    <w:rsid w:val="00DF2AE2"/>
    <w:rsid w:val="00DF6DFA"/>
    <w:rsid w:val="00DF7C20"/>
    <w:rsid w:val="00E0093C"/>
    <w:rsid w:val="00E00AFB"/>
    <w:rsid w:val="00E0154C"/>
    <w:rsid w:val="00E01685"/>
    <w:rsid w:val="00E020F4"/>
    <w:rsid w:val="00E0264F"/>
    <w:rsid w:val="00E059FC"/>
    <w:rsid w:val="00E05CB2"/>
    <w:rsid w:val="00E07F0F"/>
    <w:rsid w:val="00E1093E"/>
    <w:rsid w:val="00E11A8D"/>
    <w:rsid w:val="00E12E43"/>
    <w:rsid w:val="00E23543"/>
    <w:rsid w:val="00E24AFA"/>
    <w:rsid w:val="00E2602E"/>
    <w:rsid w:val="00E2641B"/>
    <w:rsid w:val="00E31C96"/>
    <w:rsid w:val="00E33E06"/>
    <w:rsid w:val="00E35BA9"/>
    <w:rsid w:val="00E35CEE"/>
    <w:rsid w:val="00E37F62"/>
    <w:rsid w:val="00E466CE"/>
    <w:rsid w:val="00E467E0"/>
    <w:rsid w:val="00E505EE"/>
    <w:rsid w:val="00E524A1"/>
    <w:rsid w:val="00E52DDB"/>
    <w:rsid w:val="00E534D0"/>
    <w:rsid w:val="00E547E8"/>
    <w:rsid w:val="00E54BE4"/>
    <w:rsid w:val="00E5761E"/>
    <w:rsid w:val="00E57DEB"/>
    <w:rsid w:val="00E61391"/>
    <w:rsid w:val="00E65C8D"/>
    <w:rsid w:val="00E71D3D"/>
    <w:rsid w:val="00E720B9"/>
    <w:rsid w:val="00E734A9"/>
    <w:rsid w:val="00E75ADF"/>
    <w:rsid w:val="00E8060E"/>
    <w:rsid w:val="00E8066C"/>
    <w:rsid w:val="00E8096F"/>
    <w:rsid w:val="00E8231E"/>
    <w:rsid w:val="00E83202"/>
    <w:rsid w:val="00E83EDE"/>
    <w:rsid w:val="00E84DF9"/>
    <w:rsid w:val="00E857EF"/>
    <w:rsid w:val="00E86712"/>
    <w:rsid w:val="00E86D94"/>
    <w:rsid w:val="00E87504"/>
    <w:rsid w:val="00E8787A"/>
    <w:rsid w:val="00E90306"/>
    <w:rsid w:val="00E90D58"/>
    <w:rsid w:val="00E92A8D"/>
    <w:rsid w:val="00E932DA"/>
    <w:rsid w:val="00E95E30"/>
    <w:rsid w:val="00EA09BB"/>
    <w:rsid w:val="00EA20B6"/>
    <w:rsid w:val="00EA3341"/>
    <w:rsid w:val="00EA3A4E"/>
    <w:rsid w:val="00EA42B0"/>
    <w:rsid w:val="00EA5256"/>
    <w:rsid w:val="00EA5603"/>
    <w:rsid w:val="00EA57E1"/>
    <w:rsid w:val="00EA73B4"/>
    <w:rsid w:val="00EB0FA4"/>
    <w:rsid w:val="00EB1431"/>
    <w:rsid w:val="00EB2F7F"/>
    <w:rsid w:val="00EC0BFE"/>
    <w:rsid w:val="00ED0CE4"/>
    <w:rsid w:val="00ED0F8C"/>
    <w:rsid w:val="00ED13F6"/>
    <w:rsid w:val="00ED1C46"/>
    <w:rsid w:val="00ED24E1"/>
    <w:rsid w:val="00ED3749"/>
    <w:rsid w:val="00ED679D"/>
    <w:rsid w:val="00ED71DC"/>
    <w:rsid w:val="00EE0DCD"/>
    <w:rsid w:val="00EE1A8B"/>
    <w:rsid w:val="00EE39D3"/>
    <w:rsid w:val="00EE63AD"/>
    <w:rsid w:val="00EF08AE"/>
    <w:rsid w:val="00EF15A6"/>
    <w:rsid w:val="00EF1F74"/>
    <w:rsid w:val="00EF73FD"/>
    <w:rsid w:val="00F01D8D"/>
    <w:rsid w:val="00F02515"/>
    <w:rsid w:val="00F03002"/>
    <w:rsid w:val="00F066A8"/>
    <w:rsid w:val="00F102B7"/>
    <w:rsid w:val="00F119C6"/>
    <w:rsid w:val="00F155E9"/>
    <w:rsid w:val="00F1585C"/>
    <w:rsid w:val="00F16673"/>
    <w:rsid w:val="00F17508"/>
    <w:rsid w:val="00F17FD8"/>
    <w:rsid w:val="00F2241C"/>
    <w:rsid w:val="00F23E60"/>
    <w:rsid w:val="00F253F0"/>
    <w:rsid w:val="00F275E4"/>
    <w:rsid w:val="00F308D8"/>
    <w:rsid w:val="00F332EC"/>
    <w:rsid w:val="00F36856"/>
    <w:rsid w:val="00F36D5F"/>
    <w:rsid w:val="00F37574"/>
    <w:rsid w:val="00F3797C"/>
    <w:rsid w:val="00F429B2"/>
    <w:rsid w:val="00F43735"/>
    <w:rsid w:val="00F46219"/>
    <w:rsid w:val="00F47BB1"/>
    <w:rsid w:val="00F508FB"/>
    <w:rsid w:val="00F50DEC"/>
    <w:rsid w:val="00F55603"/>
    <w:rsid w:val="00F566AA"/>
    <w:rsid w:val="00F57B80"/>
    <w:rsid w:val="00F61E26"/>
    <w:rsid w:val="00F634E1"/>
    <w:rsid w:val="00F64028"/>
    <w:rsid w:val="00F65612"/>
    <w:rsid w:val="00F7035A"/>
    <w:rsid w:val="00F711EC"/>
    <w:rsid w:val="00F717E5"/>
    <w:rsid w:val="00F7284C"/>
    <w:rsid w:val="00F72A6E"/>
    <w:rsid w:val="00F73B96"/>
    <w:rsid w:val="00F74E63"/>
    <w:rsid w:val="00F74F7D"/>
    <w:rsid w:val="00F760C2"/>
    <w:rsid w:val="00F80CEF"/>
    <w:rsid w:val="00F82450"/>
    <w:rsid w:val="00F82E6F"/>
    <w:rsid w:val="00F877D8"/>
    <w:rsid w:val="00F903B3"/>
    <w:rsid w:val="00F91489"/>
    <w:rsid w:val="00F9512F"/>
    <w:rsid w:val="00F9577B"/>
    <w:rsid w:val="00F95912"/>
    <w:rsid w:val="00F963FE"/>
    <w:rsid w:val="00F96924"/>
    <w:rsid w:val="00F974B6"/>
    <w:rsid w:val="00F9768D"/>
    <w:rsid w:val="00FA2A9E"/>
    <w:rsid w:val="00FA466F"/>
    <w:rsid w:val="00FA5049"/>
    <w:rsid w:val="00FA53CB"/>
    <w:rsid w:val="00FB13AD"/>
    <w:rsid w:val="00FB167A"/>
    <w:rsid w:val="00FB176F"/>
    <w:rsid w:val="00FB1F51"/>
    <w:rsid w:val="00FB25B2"/>
    <w:rsid w:val="00FB48BC"/>
    <w:rsid w:val="00FB4D60"/>
    <w:rsid w:val="00FB7518"/>
    <w:rsid w:val="00FC12A3"/>
    <w:rsid w:val="00FC224E"/>
    <w:rsid w:val="00FC3AEC"/>
    <w:rsid w:val="00FC3DFD"/>
    <w:rsid w:val="00FC5AEA"/>
    <w:rsid w:val="00FC6F6E"/>
    <w:rsid w:val="00FD1FBE"/>
    <w:rsid w:val="00FD3D7E"/>
    <w:rsid w:val="00FD4452"/>
    <w:rsid w:val="00FD4A26"/>
    <w:rsid w:val="00FD5A20"/>
    <w:rsid w:val="00FD6A9A"/>
    <w:rsid w:val="00FD7EF7"/>
    <w:rsid w:val="00FE299D"/>
    <w:rsid w:val="00FE2ABC"/>
    <w:rsid w:val="00FE2F78"/>
    <w:rsid w:val="00FE3007"/>
    <w:rsid w:val="00FE3549"/>
    <w:rsid w:val="00FE3C76"/>
    <w:rsid w:val="00FE5BCD"/>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A2B14"/>
  </w:style>
  <w:style w:type="paragraph" w:styleId="Heading2">
    <w:name w:val="heading 2"/>
    <w:basedOn w:val="Normal"/>
    <w:next w:val="Normal"/>
    <w:qFormat/>
    <w:rsid w:val="00870C4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AA2B14"/>
    <w:pPr>
      <w:tabs>
        <w:tab w:val="left" w:pos="720"/>
      </w:tabs>
      <w:ind w:left="720" w:hanging="720"/>
    </w:pPr>
    <w:rPr>
      <w:rFonts w:ascii="Courier 10cpi" w:hAnsi="Courier 10cpi"/>
      <w:snapToGrid w:val="0"/>
      <w:sz w:val="24"/>
    </w:rPr>
  </w:style>
  <w:style w:type="paragraph" w:styleId="Footer">
    <w:name w:val="footer"/>
    <w:basedOn w:val="Normal"/>
    <w:rsid w:val="0088129C"/>
    <w:pPr>
      <w:tabs>
        <w:tab w:val="center" w:pos="4320"/>
        <w:tab w:val="right" w:pos="8640"/>
      </w:tabs>
    </w:pPr>
  </w:style>
  <w:style w:type="character" w:styleId="PageNumber">
    <w:name w:val="page number"/>
    <w:basedOn w:val="DefaultParagraphFont"/>
    <w:rsid w:val="0088129C"/>
  </w:style>
  <w:style w:type="paragraph" w:styleId="Header">
    <w:name w:val="header"/>
    <w:basedOn w:val="Normal"/>
    <w:rsid w:val="0088129C"/>
    <w:pPr>
      <w:tabs>
        <w:tab w:val="center" w:pos="4320"/>
        <w:tab w:val="right" w:pos="8640"/>
      </w:tabs>
    </w:pPr>
  </w:style>
  <w:style w:type="character" w:styleId="CommentReference">
    <w:name w:val="annotation reference"/>
    <w:basedOn w:val="DefaultParagraphFont"/>
    <w:rsid w:val="00884752"/>
    <w:rPr>
      <w:sz w:val="16"/>
      <w:szCs w:val="16"/>
    </w:rPr>
  </w:style>
  <w:style w:type="paragraph" w:styleId="CommentText">
    <w:name w:val="annotation text"/>
    <w:basedOn w:val="Normal"/>
    <w:link w:val="CommentTextChar"/>
    <w:rsid w:val="00884752"/>
  </w:style>
  <w:style w:type="character" w:customStyle="1" w:styleId="CommentTextChar">
    <w:name w:val="Comment Text Char"/>
    <w:basedOn w:val="DefaultParagraphFont"/>
    <w:link w:val="CommentText"/>
    <w:rsid w:val="00884752"/>
  </w:style>
  <w:style w:type="paragraph" w:styleId="CommentSubject">
    <w:name w:val="annotation subject"/>
    <w:basedOn w:val="CommentText"/>
    <w:next w:val="CommentText"/>
    <w:link w:val="CommentSubjectChar"/>
    <w:rsid w:val="00884752"/>
    <w:rPr>
      <w:b/>
      <w:bCs/>
    </w:rPr>
  </w:style>
  <w:style w:type="character" w:customStyle="1" w:styleId="CommentSubjectChar">
    <w:name w:val="Comment Subject Char"/>
    <w:basedOn w:val="CommentTextChar"/>
    <w:link w:val="CommentSubject"/>
    <w:rsid w:val="00884752"/>
    <w:rPr>
      <w:b/>
      <w:bCs/>
    </w:rPr>
  </w:style>
  <w:style w:type="paragraph" w:styleId="BalloonText">
    <w:name w:val="Balloon Text"/>
    <w:basedOn w:val="Normal"/>
    <w:link w:val="BalloonTextChar"/>
    <w:rsid w:val="00884752"/>
    <w:rPr>
      <w:rFonts w:ascii="Tahoma" w:hAnsi="Tahoma" w:cs="Tahoma"/>
      <w:sz w:val="16"/>
      <w:szCs w:val="16"/>
    </w:rPr>
  </w:style>
  <w:style w:type="character" w:customStyle="1" w:styleId="BalloonTextChar">
    <w:name w:val="Balloon Text Char"/>
    <w:basedOn w:val="DefaultParagraphFont"/>
    <w:link w:val="BalloonText"/>
    <w:rsid w:val="00884752"/>
    <w:rPr>
      <w:rFonts w:ascii="Tahoma" w:hAnsi="Tahoma" w:cs="Tahoma"/>
      <w:sz w:val="16"/>
      <w:szCs w:val="16"/>
    </w:rPr>
  </w:style>
  <w:style w:type="paragraph" w:styleId="NormalWeb">
    <w:name w:val="Normal (Web)"/>
    <w:basedOn w:val="Normal"/>
    <w:uiPriority w:val="99"/>
    <w:rsid w:val="007B626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STATISTICAL METHODS</vt:lpstr>
    </vt:vector>
  </TitlesOfParts>
  <Company>DHHS</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METHODS</dc:title>
  <dc:creator>wcarroll</dc:creator>
  <cp:lastModifiedBy>CTAC</cp:lastModifiedBy>
  <cp:revision>2</cp:revision>
  <cp:lastPrinted>2012-01-04T18:01:00Z</cp:lastPrinted>
  <dcterms:created xsi:type="dcterms:W3CDTF">2012-05-25T18:04:00Z</dcterms:created>
  <dcterms:modified xsi:type="dcterms:W3CDTF">2012-05-25T18:04:00Z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