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09" w:rsidRDefault="00932809" w:rsidP="009A7B1A">
      <w:pPr>
        <w:jc w:val="center"/>
        <w:rPr>
          <w:b/>
          <w:sz w:val="24"/>
        </w:rPr>
      </w:pPr>
      <w:bookmarkStart w:id="0" w:name="_GoBack"/>
      <w:bookmarkEnd w:id="0"/>
    </w:p>
    <w:p w:rsidR="00932809" w:rsidRDefault="00932809" w:rsidP="009A7B1A">
      <w:pPr>
        <w:jc w:val="center"/>
        <w:rPr>
          <w:b/>
          <w:sz w:val="24"/>
        </w:rPr>
      </w:pPr>
    </w:p>
    <w:p w:rsidR="00932809" w:rsidRDefault="00932809" w:rsidP="009A7B1A">
      <w:pPr>
        <w:jc w:val="center"/>
        <w:rPr>
          <w:b/>
          <w:sz w:val="24"/>
        </w:rPr>
      </w:pPr>
    </w:p>
    <w:p w:rsidR="00932809" w:rsidRDefault="00932809" w:rsidP="009A7B1A">
      <w:pPr>
        <w:jc w:val="center"/>
        <w:rPr>
          <w:b/>
          <w:sz w:val="24"/>
        </w:rPr>
      </w:pPr>
    </w:p>
    <w:p w:rsidR="00932809" w:rsidRDefault="00932809" w:rsidP="009A7B1A">
      <w:pPr>
        <w:jc w:val="center"/>
        <w:rPr>
          <w:b/>
          <w:sz w:val="24"/>
        </w:rPr>
      </w:pPr>
    </w:p>
    <w:p w:rsidR="00932809" w:rsidRDefault="00932809" w:rsidP="009A7B1A">
      <w:pPr>
        <w:jc w:val="center"/>
        <w:rPr>
          <w:b/>
          <w:sz w:val="24"/>
        </w:rPr>
      </w:pPr>
      <w:r>
        <w:rPr>
          <w:b/>
          <w:sz w:val="24"/>
        </w:rPr>
        <w:t>SUPPORTING STATEMENT</w:t>
      </w:r>
    </w:p>
    <w:p w:rsidR="00932809" w:rsidRDefault="00932809" w:rsidP="009A7B1A">
      <w:pPr>
        <w:jc w:val="center"/>
        <w:rPr>
          <w:b/>
          <w:sz w:val="24"/>
        </w:rPr>
      </w:pPr>
    </w:p>
    <w:p w:rsidR="00932809" w:rsidRDefault="00932809" w:rsidP="009A7B1A">
      <w:pPr>
        <w:jc w:val="center"/>
        <w:rPr>
          <w:b/>
          <w:sz w:val="24"/>
        </w:rPr>
      </w:pPr>
      <w:r>
        <w:rPr>
          <w:b/>
          <w:sz w:val="24"/>
        </w:rPr>
        <w:t>Part A</w:t>
      </w:r>
    </w:p>
    <w:p w:rsidR="00932809" w:rsidRDefault="00932809" w:rsidP="009A7B1A">
      <w:pPr>
        <w:rPr>
          <w:b/>
          <w:sz w:val="24"/>
        </w:rPr>
      </w:pPr>
    </w:p>
    <w:p w:rsidR="00932809" w:rsidRDefault="00932809" w:rsidP="009A7B1A">
      <w:pPr>
        <w:jc w:val="center"/>
        <w:rPr>
          <w:b/>
          <w:sz w:val="24"/>
        </w:rPr>
      </w:pPr>
    </w:p>
    <w:p w:rsidR="005C4116" w:rsidRDefault="005C4116" w:rsidP="005C4116">
      <w:pPr>
        <w:jc w:val="center"/>
        <w:rPr>
          <w:b/>
          <w:sz w:val="24"/>
        </w:rPr>
      </w:pPr>
      <w:r w:rsidRPr="006A7E5A">
        <w:rPr>
          <w:b/>
          <w:sz w:val="24"/>
        </w:rPr>
        <w:t>Assessing the Feasibility</w:t>
      </w:r>
      <w:r>
        <w:rPr>
          <w:b/>
          <w:sz w:val="24"/>
        </w:rPr>
        <w:t xml:space="preserve"> </w:t>
      </w:r>
      <w:r w:rsidRPr="006A7E5A">
        <w:rPr>
          <w:b/>
          <w:sz w:val="24"/>
        </w:rPr>
        <w:t xml:space="preserve">of Disseminating Effective Health </w:t>
      </w:r>
    </w:p>
    <w:p w:rsidR="005C4116" w:rsidRDefault="005C4116" w:rsidP="005C4116">
      <w:pPr>
        <w:jc w:val="center"/>
        <w:rPr>
          <w:b/>
          <w:sz w:val="24"/>
        </w:rPr>
      </w:pPr>
      <w:r w:rsidRPr="006A7E5A">
        <w:rPr>
          <w:b/>
          <w:sz w:val="24"/>
        </w:rPr>
        <w:t xml:space="preserve">Center Products through Educational Activities Planned </w:t>
      </w:r>
    </w:p>
    <w:p w:rsidR="005C4116" w:rsidRDefault="005C4116" w:rsidP="005C4116">
      <w:pPr>
        <w:jc w:val="center"/>
        <w:rPr>
          <w:b/>
          <w:sz w:val="24"/>
        </w:rPr>
      </w:pPr>
      <w:r w:rsidRPr="006A7E5A">
        <w:rPr>
          <w:b/>
          <w:sz w:val="24"/>
        </w:rPr>
        <w:t xml:space="preserve">and Implemented in Partnership with the </w:t>
      </w:r>
    </w:p>
    <w:p w:rsidR="005C4116" w:rsidRPr="002C4865" w:rsidRDefault="005C4116" w:rsidP="005C4116">
      <w:pPr>
        <w:jc w:val="center"/>
        <w:rPr>
          <w:b/>
          <w:sz w:val="24"/>
        </w:rPr>
      </w:pPr>
      <w:r w:rsidRPr="006A7E5A">
        <w:rPr>
          <w:b/>
          <w:sz w:val="24"/>
        </w:rPr>
        <w:t xml:space="preserve">Society of Academic Continuing Medical Education </w:t>
      </w:r>
    </w:p>
    <w:p w:rsidR="00932809" w:rsidRDefault="00932809" w:rsidP="000A4137">
      <w:pPr>
        <w:jc w:val="center"/>
        <w:rPr>
          <w:b/>
          <w:sz w:val="24"/>
        </w:rPr>
      </w:pPr>
    </w:p>
    <w:p w:rsidR="00932809" w:rsidRDefault="00932809" w:rsidP="009A7B1A">
      <w:pPr>
        <w:jc w:val="center"/>
        <w:rPr>
          <w:b/>
          <w:sz w:val="24"/>
        </w:rPr>
      </w:pPr>
    </w:p>
    <w:p w:rsidR="00932809" w:rsidRDefault="00932809" w:rsidP="009A7B1A">
      <w:pPr>
        <w:jc w:val="center"/>
        <w:rPr>
          <w:b/>
          <w:sz w:val="24"/>
        </w:rPr>
      </w:pPr>
    </w:p>
    <w:p w:rsidR="00932809" w:rsidRDefault="00932809" w:rsidP="00F03A28">
      <w:pPr>
        <w:jc w:val="center"/>
        <w:rPr>
          <w:b/>
          <w:sz w:val="24"/>
        </w:rPr>
      </w:pPr>
    </w:p>
    <w:p w:rsidR="00932809" w:rsidRDefault="00932809">
      <w:pPr>
        <w:jc w:val="center"/>
        <w:rPr>
          <w:b/>
          <w:sz w:val="24"/>
        </w:rPr>
      </w:pPr>
    </w:p>
    <w:p w:rsidR="00932809" w:rsidRDefault="00932809">
      <w:pPr>
        <w:jc w:val="center"/>
        <w:rPr>
          <w:b/>
          <w:sz w:val="24"/>
        </w:rPr>
      </w:pPr>
    </w:p>
    <w:p w:rsidR="00932809" w:rsidRDefault="00932809" w:rsidP="00FC25CA">
      <w:pPr>
        <w:jc w:val="center"/>
        <w:rPr>
          <w:b/>
          <w:sz w:val="24"/>
        </w:rPr>
      </w:pPr>
    </w:p>
    <w:p w:rsidR="00EC0B45" w:rsidRDefault="00EC0B45" w:rsidP="00FC25CA">
      <w:pPr>
        <w:jc w:val="center"/>
        <w:rPr>
          <w:b/>
          <w:sz w:val="24"/>
        </w:rPr>
      </w:pPr>
    </w:p>
    <w:p w:rsidR="008B0F87" w:rsidRDefault="008B0F87" w:rsidP="00FC25CA">
      <w:pPr>
        <w:jc w:val="center"/>
        <w:rPr>
          <w:b/>
          <w:sz w:val="24"/>
        </w:rPr>
      </w:pPr>
    </w:p>
    <w:p w:rsidR="008B0F87" w:rsidRDefault="008B0F87" w:rsidP="00FC25CA">
      <w:pPr>
        <w:jc w:val="center"/>
        <w:rPr>
          <w:b/>
          <w:sz w:val="24"/>
        </w:rPr>
      </w:pPr>
      <w:r>
        <w:rPr>
          <w:b/>
          <w:sz w:val="24"/>
        </w:rPr>
        <w:br/>
      </w:r>
    </w:p>
    <w:p w:rsidR="006B5BA4" w:rsidRDefault="006B5BA4" w:rsidP="00FC25CA">
      <w:pPr>
        <w:jc w:val="center"/>
        <w:rPr>
          <w:b/>
          <w:sz w:val="24"/>
        </w:rPr>
      </w:pPr>
    </w:p>
    <w:p w:rsidR="006B5BA4" w:rsidRDefault="006B5BA4" w:rsidP="00FC25CA">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Pr="009A7B1A" w:rsidRDefault="00932809" w:rsidP="009A7B1A">
      <w:pPr>
        <w:jc w:val="center"/>
        <w:rPr>
          <w:b/>
          <w:i/>
          <w:sz w:val="28"/>
          <w:szCs w:val="28"/>
        </w:rPr>
      </w:pPr>
      <w:r>
        <w:rPr>
          <w:b/>
          <w:sz w:val="28"/>
          <w:szCs w:val="28"/>
        </w:rPr>
        <w:t xml:space="preserve">Version: </w:t>
      </w:r>
      <w:r w:rsidR="00B05BAC" w:rsidRPr="00B05BAC">
        <w:rPr>
          <w:sz w:val="28"/>
          <w:szCs w:val="28"/>
        </w:rPr>
        <w:t xml:space="preserve"> May 17, 2011</w:t>
      </w:r>
    </w:p>
    <w:p w:rsidR="00932809" w:rsidRDefault="00932809" w:rsidP="009A7B1A">
      <w:pPr>
        <w:jc w:val="center"/>
        <w:rPr>
          <w:sz w:val="28"/>
          <w:szCs w:val="28"/>
        </w:rPr>
      </w:pPr>
    </w:p>
    <w:p w:rsidR="00932809" w:rsidRDefault="00932809" w:rsidP="009A7B1A">
      <w:pPr>
        <w:jc w:val="center"/>
        <w:rPr>
          <w:sz w:val="28"/>
          <w:szCs w:val="28"/>
        </w:rPr>
      </w:pPr>
    </w:p>
    <w:p w:rsidR="00932809" w:rsidRDefault="00932809" w:rsidP="009A7B1A">
      <w:pPr>
        <w:jc w:val="center"/>
        <w:rPr>
          <w:sz w:val="28"/>
          <w:szCs w:val="28"/>
        </w:rPr>
      </w:pPr>
    </w:p>
    <w:p w:rsidR="00932809" w:rsidRDefault="00932809" w:rsidP="009A7B1A">
      <w:pPr>
        <w:jc w:val="center"/>
        <w:rPr>
          <w:sz w:val="28"/>
          <w:szCs w:val="28"/>
        </w:rPr>
      </w:pPr>
    </w:p>
    <w:p w:rsidR="00932809" w:rsidRDefault="00932809" w:rsidP="009A7B1A">
      <w:pPr>
        <w:jc w:val="center"/>
        <w:rPr>
          <w:sz w:val="28"/>
          <w:szCs w:val="28"/>
        </w:rPr>
      </w:pPr>
    </w:p>
    <w:p w:rsidR="00932809" w:rsidRDefault="00932809" w:rsidP="009A7B1A">
      <w:pPr>
        <w:jc w:val="center"/>
        <w:rPr>
          <w:sz w:val="28"/>
          <w:szCs w:val="28"/>
        </w:rPr>
      </w:pPr>
      <w:r w:rsidRPr="00677A0B">
        <w:rPr>
          <w:sz w:val="28"/>
          <w:szCs w:val="28"/>
        </w:rPr>
        <w:t>Agency of Healthcare Research and Quality (AHRQ)</w:t>
      </w: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6B5BA4" w:rsidRDefault="006B5BA4">
      <w:pPr>
        <w:rPr>
          <w:b/>
          <w:sz w:val="24"/>
        </w:rPr>
      </w:pPr>
    </w:p>
    <w:p w:rsidR="006B5BA4" w:rsidRDefault="006B5BA4" w:rsidP="009A7B1A">
      <w:pPr>
        <w:rPr>
          <w:b/>
        </w:rPr>
      </w:pPr>
    </w:p>
    <w:p w:rsidR="00932809" w:rsidRPr="00767B75" w:rsidRDefault="00932809" w:rsidP="009A7B1A">
      <w:pPr>
        <w:rPr>
          <w:b/>
        </w:rPr>
      </w:pPr>
      <w:r w:rsidRPr="0045210B">
        <w:rPr>
          <w:b/>
          <w:highlight w:val="yellow"/>
        </w:rPr>
        <w:t>Table of contents</w:t>
      </w:r>
    </w:p>
    <w:p w:rsidR="00932809" w:rsidRPr="00767B75" w:rsidRDefault="00932809" w:rsidP="009A7B1A">
      <w:pPr>
        <w:jc w:val="center"/>
        <w:rPr>
          <w:b/>
        </w:rPr>
      </w:pPr>
    </w:p>
    <w:p w:rsidR="00932809" w:rsidRPr="00767B75" w:rsidRDefault="00932809" w:rsidP="009A7B1A">
      <w:pPr>
        <w:tabs>
          <w:tab w:val="left" w:leader="dot" w:pos="8280"/>
        </w:tabs>
      </w:pPr>
      <w:r w:rsidRPr="00767B75">
        <w:t>A. Justification</w:t>
      </w:r>
      <w:r w:rsidRPr="00767B75">
        <w:tab/>
        <w:t>3</w:t>
      </w:r>
    </w:p>
    <w:p w:rsidR="00932809" w:rsidRPr="00767B75" w:rsidRDefault="00932809" w:rsidP="009A7B1A">
      <w:pPr>
        <w:tabs>
          <w:tab w:val="left" w:pos="360"/>
          <w:tab w:val="left" w:leader="dot" w:pos="8280"/>
        </w:tabs>
      </w:pPr>
      <w:r w:rsidRPr="00767B75">
        <w:tab/>
      </w:r>
      <w:r>
        <w:t xml:space="preserve">  </w:t>
      </w:r>
      <w:r w:rsidRPr="00767B75">
        <w:t>1. Circumstances that make the collection of information necessary</w:t>
      </w:r>
      <w:r w:rsidRPr="00767B75">
        <w:tab/>
        <w:t>3</w:t>
      </w:r>
    </w:p>
    <w:p w:rsidR="00932809" w:rsidRPr="00767B75" w:rsidRDefault="00932809" w:rsidP="009A7B1A">
      <w:pPr>
        <w:tabs>
          <w:tab w:val="left" w:pos="360"/>
          <w:tab w:val="left" w:leader="dot" w:pos="8280"/>
        </w:tabs>
      </w:pPr>
      <w:r w:rsidRPr="00767B75">
        <w:tab/>
      </w:r>
      <w:r>
        <w:t xml:space="preserve">  </w:t>
      </w:r>
      <w:r w:rsidRPr="00767B75">
        <w:t>2. Purpose and Use of Information</w:t>
      </w:r>
      <w:r w:rsidRPr="00767B75">
        <w:tab/>
        <w:t>6</w:t>
      </w:r>
    </w:p>
    <w:p w:rsidR="00932809" w:rsidRPr="00767B75" w:rsidRDefault="00932809" w:rsidP="009A7B1A">
      <w:pPr>
        <w:tabs>
          <w:tab w:val="left" w:pos="360"/>
          <w:tab w:val="left" w:leader="dot" w:pos="8280"/>
        </w:tabs>
      </w:pPr>
      <w:r w:rsidRPr="00767B75">
        <w:tab/>
      </w:r>
      <w:r>
        <w:t xml:space="preserve">  </w:t>
      </w:r>
      <w:r w:rsidRPr="00767B75">
        <w:t>3. Use of Improved Information Technology</w:t>
      </w:r>
      <w:r w:rsidRPr="00767B75">
        <w:tab/>
      </w:r>
      <w:r w:rsidR="00EC0B45">
        <w:t>6</w:t>
      </w:r>
    </w:p>
    <w:p w:rsidR="00932809" w:rsidRPr="00767B75" w:rsidRDefault="00932809" w:rsidP="009A7B1A">
      <w:pPr>
        <w:tabs>
          <w:tab w:val="left" w:pos="360"/>
          <w:tab w:val="left" w:leader="dot" w:pos="8280"/>
        </w:tabs>
      </w:pPr>
      <w:r w:rsidRPr="00767B75">
        <w:tab/>
      </w:r>
      <w:r>
        <w:t xml:space="preserve">  </w:t>
      </w:r>
      <w:r w:rsidRPr="00767B75">
        <w:t>4. Efforts to Identify Duplication</w:t>
      </w:r>
      <w:r w:rsidRPr="00767B75">
        <w:tab/>
      </w:r>
      <w:r w:rsidR="00EC0B45">
        <w:t>6</w:t>
      </w:r>
    </w:p>
    <w:p w:rsidR="00932809" w:rsidRPr="00767B75" w:rsidRDefault="00932809" w:rsidP="009A7B1A">
      <w:pPr>
        <w:tabs>
          <w:tab w:val="left" w:pos="360"/>
          <w:tab w:val="left" w:leader="dot" w:pos="8280"/>
        </w:tabs>
      </w:pPr>
      <w:r w:rsidRPr="00767B75">
        <w:tab/>
      </w:r>
      <w:r>
        <w:t xml:space="preserve">  </w:t>
      </w:r>
      <w:r w:rsidRPr="00767B75">
        <w:t>5. Involvement of Small Entities</w:t>
      </w:r>
      <w:r w:rsidRPr="00767B75">
        <w:tab/>
      </w:r>
      <w:r>
        <w:t>7</w:t>
      </w:r>
    </w:p>
    <w:p w:rsidR="00932809" w:rsidRPr="00767B75" w:rsidRDefault="00932809" w:rsidP="009A7B1A">
      <w:pPr>
        <w:tabs>
          <w:tab w:val="left" w:pos="360"/>
          <w:tab w:val="left" w:leader="dot" w:pos="8280"/>
        </w:tabs>
      </w:pPr>
      <w:r w:rsidRPr="00767B75">
        <w:tab/>
      </w:r>
      <w:r>
        <w:t xml:space="preserve">  </w:t>
      </w:r>
      <w:r w:rsidRPr="00767B75">
        <w:t>6. Consequences if Information Collected Less Frequently</w:t>
      </w:r>
      <w:r w:rsidRPr="00767B75">
        <w:tab/>
      </w:r>
      <w:r w:rsidR="00EC0B45">
        <w:t>7</w:t>
      </w:r>
    </w:p>
    <w:p w:rsidR="00932809" w:rsidRPr="00767B75" w:rsidRDefault="00932809" w:rsidP="009A7B1A">
      <w:pPr>
        <w:tabs>
          <w:tab w:val="left" w:pos="360"/>
          <w:tab w:val="left" w:leader="dot" w:pos="8280"/>
        </w:tabs>
      </w:pPr>
      <w:r w:rsidRPr="00767B75">
        <w:tab/>
      </w:r>
      <w:r>
        <w:t xml:space="preserve">  </w:t>
      </w:r>
      <w:r w:rsidRPr="00767B75">
        <w:t>7. Special Circumstances</w:t>
      </w:r>
      <w:r w:rsidRPr="00767B75">
        <w:tab/>
      </w:r>
      <w:r w:rsidR="00EC0B45">
        <w:t>7</w:t>
      </w:r>
    </w:p>
    <w:p w:rsidR="00932809" w:rsidRPr="00767B75" w:rsidRDefault="00932809" w:rsidP="00AC586E">
      <w:pPr>
        <w:tabs>
          <w:tab w:val="left" w:pos="360"/>
          <w:tab w:val="left" w:leader="dot" w:pos="8280"/>
        </w:tabs>
      </w:pPr>
      <w:r w:rsidRPr="00767B75">
        <w:tab/>
      </w:r>
      <w:r>
        <w:t xml:space="preserve">  </w:t>
      </w:r>
      <w:r w:rsidRPr="00767B75">
        <w:t xml:space="preserve">8. </w:t>
      </w:r>
      <w:r>
        <w:t>Consultation Outside the Agency</w:t>
      </w:r>
      <w:r w:rsidRPr="00767B75">
        <w:tab/>
      </w:r>
      <w:r>
        <w:t>8</w:t>
      </w:r>
    </w:p>
    <w:p w:rsidR="00932809" w:rsidRPr="00767B75" w:rsidRDefault="00932809" w:rsidP="00AC586E">
      <w:pPr>
        <w:tabs>
          <w:tab w:val="left" w:pos="360"/>
          <w:tab w:val="left" w:leader="dot" w:pos="8280"/>
        </w:tabs>
      </w:pPr>
      <w:r w:rsidRPr="00767B75">
        <w:tab/>
      </w:r>
      <w:r>
        <w:t xml:space="preserve">  9</w:t>
      </w:r>
      <w:r w:rsidRPr="00767B75">
        <w:t xml:space="preserve">. </w:t>
      </w:r>
      <w:r>
        <w:t>Payments/Gifts to Respondents</w:t>
      </w:r>
      <w:r w:rsidRPr="00767B75">
        <w:tab/>
      </w:r>
      <w:r w:rsidR="00EC0B45">
        <w:t>8</w:t>
      </w:r>
    </w:p>
    <w:p w:rsidR="00932809" w:rsidRPr="00767B75" w:rsidRDefault="00932809" w:rsidP="009A7B1A">
      <w:pPr>
        <w:tabs>
          <w:tab w:val="left" w:pos="360"/>
          <w:tab w:val="left" w:leader="dot" w:pos="8280"/>
        </w:tabs>
      </w:pPr>
      <w:r w:rsidRPr="00767B75">
        <w:tab/>
        <w:t>10. Assurance of Confidentiality</w:t>
      </w:r>
      <w:r w:rsidRPr="00767B75">
        <w:tab/>
      </w:r>
      <w:r w:rsidR="00EC0B45">
        <w:t>8</w:t>
      </w:r>
    </w:p>
    <w:p w:rsidR="00932809" w:rsidRPr="00767B75" w:rsidRDefault="00932809" w:rsidP="009A7B1A">
      <w:pPr>
        <w:tabs>
          <w:tab w:val="left" w:pos="360"/>
          <w:tab w:val="left" w:leader="dot" w:pos="8280"/>
        </w:tabs>
      </w:pPr>
      <w:r w:rsidRPr="00767B75">
        <w:tab/>
        <w:t>11. Questions of a Sensitive Nature</w:t>
      </w:r>
      <w:r w:rsidRPr="00767B75">
        <w:tab/>
      </w:r>
      <w:r w:rsidR="00EC0B45">
        <w:t>8</w:t>
      </w:r>
    </w:p>
    <w:p w:rsidR="00932809" w:rsidRPr="00767B75" w:rsidRDefault="00932809" w:rsidP="009A7B1A">
      <w:pPr>
        <w:tabs>
          <w:tab w:val="left" w:pos="360"/>
          <w:tab w:val="left" w:leader="dot" w:pos="8280"/>
        </w:tabs>
      </w:pPr>
      <w:r w:rsidRPr="00767B75">
        <w:tab/>
        <w:t>12. Estimates of Annualized Burden Hours and Costs</w:t>
      </w:r>
      <w:r w:rsidRPr="00767B75">
        <w:tab/>
      </w:r>
      <w:r>
        <w:t>9</w:t>
      </w:r>
    </w:p>
    <w:p w:rsidR="00932809" w:rsidRPr="00767B75" w:rsidRDefault="00932809" w:rsidP="009A7B1A">
      <w:pPr>
        <w:tabs>
          <w:tab w:val="left" w:pos="360"/>
          <w:tab w:val="left" w:leader="dot" w:pos="8280"/>
        </w:tabs>
      </w:pPr>
      <w:r w:rsidRPr="00767B75">
        <w:tab/>
        <w:t>13. Estimates of Annualized Respondent Capital and Maintenance Costs</w:t>
      </w:r>
      <w:r w:rsidRPr="00767B75">
        <w:tab/>
        <w:t>1</w:t>
      </w:r>
      <w:r>
        <w:t>0</w:t>
      </w:r>
    </w:p>
    <w:p w:rsidR="00932809" w:rsidRPr="00767B75" w:rsidRDefault="00932809" w:rsidP="009A7B1A">
      <w:pPr>
        <w:tabs>
          <w:tab w:val="left" w:pos="360"/>
          <w:tab w:val="left" w:leader="dot" w:pos="8280"/>
        </w:tabs>
      </w:pPr>
      <w:r w:rsidRPr="00767B75">
        <w:tab/>
        <w:t>14. Estimates of Annualized Cost to the Government</w:t>
      </w:r>
      <w:r w:rsidRPr="00767B75">
        <w:tab/>
        <w:t>1</w:t>
      </w:r>
      <w:r>
        <w:t>0</w:t>
      </w:r>
    </w:p>
    <w:p w:rsidR="00932809" w:rsidRPr="00767B75" w:rsidRDefault="00932809" w:rsidP="009A7B1A">
      <w:pPr>
        <w:tabs>
          <w:tab w:val="left" w:pos="360"/>
          <w:tab w:val="left" w:leader="dot" w:pos="8280"/>
        </w:tabs>
      </w:pPr>
      <w:r w:rsidRPr="00767B75">
        <w:tab/>
        <w:t>15. Changes in Hour Burden</w:t>
      </w:r>
      <w:r w:rsidRPr="00767B75">
        <w:tab/>
        <w:t>1</w:t>
      </w:r>
      <w:r w:rsidR="00EC0B45">
        <w:t>0</w:t>
      </w:r>
    </w:p>
    <w:p w:rsidR="00932809" w:rsidRPr="00767B75" w:rsidRDefault="00932809" w:rsidP="009A7B1A">
      <w:pPr>
        <w:tabs>
          <w:tab w:val="left" w:pos="360"/>
          <w:tab w:val="left" w:leader="dot" w:pos="8280"/>
        </w:tabs>
      </w:pPr>
      <w:r w:rsidRPr="00767B75">
        <w:tab/>
        <w:t>16. Time Schedule, Publication and Analysis Plans</w:t>
      </w:r>
      <w:r w:rsidRPr="00767B75">
        <w:tab/>
        <w:t>1</w:t>
      </w:r>
      <w:r w:rsidR="00EC0B45">
        <w:t>0</w:t>
      </w:r>
    </w:p>
    <w:p w:rsidR="00932809" w:rsidRPr="00767B75" w:rsidRDefault="00932809" w:rsidP="009A7B1A">
      <w:pPr>
        <w:tabs>
          <w:tab w:val="left" w:pos="360"/>
          <w:tab w:val="left" w:leader="dot" w:pos="8280"/>
        </w:tabs>
      </w:pPr>
      <w:r w:rsidRPr="00767B75">
        <w:tab/>
        <w:t>17. Exemption for Display of Expiration Date</w:t>
      </w:r>
      <w:r w:rsidRPr="00767B75">
        <w:tab/>
        <w:t>1</w:t>
      </w:r>
      <w:r w:rsidR="00EC0B45">
        <w:t>2</w:t>
      </w:r>
    </w:p>
    <w:p w:rsidR="00932809" w:rsidRDefault="00932809" w:rsidP="00AC586E">
      <w:pPr>
        <w:tabs>
          <w:tab w:val="left" w:leader="dot" w:pos="8280"/>
        </w:tabs>
      </w:pPr>
      <w:r>
        <w:t xml:space="preserve">        </w:t>
      </w:r>
      <w:r w:rsidRPr="00767B75">
        <w:t>List of Attachments</w:t>
      </w:r>
      <w:r w:rsidRPr="00767B75">
        <w:tab/>
        <w:t>12</w:t>
      </w:r>
    </w:p>
    <w:p w:rsidR="00932809" w:rsidRDefault="00932809" w:rsidP="009A7B1A">
      <w:pPr>
        <w:tabs>
          <w:tab w:val="left" w:pos="360"/>
          <w:tab w:val="left" w:leader="dot" w:pos="8280"/>
        </w:tabs>
      </w:pPr>
      <w:r>
        <w:tab/>
      </w: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pPr>
        <w:jc w:val="center"/>
        <w:rPr>
          <w:b/>
          <w:sz w:val="24"/>
        </w:rPr>
      </w:pPr>
    </w:p>
    <w:p w:rsidR="00932809" w:rsidRDefault="00932809" w:rsidP="005E0787">
      <w:pPr>
        <w:rPr>
          <w:b/>
          <w:sz w:val="24"/>
        </w:rPr>
      </w:pPr>
    </w:p>
    <w:p w:rsidR="00932809" w:rsidRDefault="00932809" w:rsidP="005E0787">
      <w:pPr>
        <w:rPr>
          <w:b/>
          <w:sz w:val="24"/>
        </w:rPr>
      </w:pPr>
    </w:p>
    <w:p w:rsidR="00932809" w:rsidRDefault="00932809">
      <w:pPr>
        <w:rPr>
          <w:b/>
          <w:sz w:val="24"/>
        </w:rPr>
      </w:pPr>
    </w:p>
    <w:p w:rsidR="00932809" w:rsidRDefault="00932809">
      <w:pPr>
        <w:rPr>
          <w:b/>
          <w:sz w:val="24"/>
        </w:rPr>
      </w:pPr>
    </w:p>
    <w:p w:rsidR="00932809" w:rsidRDefault="00932809">
      <w:pPr>
        <w:rPr>
          <w:sz w:val="24"/>
        </w:rPr>
      </w:pPr>
      <w:r>
        <w:rPr>
          <w:b/>
          <w:sz w:val="24"/>
        </w:rPr>
        <w:t>A.  JUSTIFICATION</w:t>
      </w:r>
    </w:p>
    <w:p w:rsidR="00932809" w:rsidRDefault="00932809">
      <w:pPr>
        <w:rPr>
          <w:sz w:val="24"/>
        </w:rPr>
      </w:pPr>
    </w:p>
    <w:p w:rsidR="00932809" w:rsidRPr="005E0787" w:rsidRDefault="00932809" w:rsidP="005E0787">
      <w:pPr>
        <w:rPr>
          <w:b/>
          <w:bCs/>
          <w:i/>
          <w:iCs/>
          <w:sz w:val="24"/>
        </w:rPr>
      </w:pPr>
      <w:bookmarkStart w:id="1" w:name="_Toc151782176"/>
      <w:bookmarkStart w:id="2" w:name="_Toc158526216"/>
      <w:r w:rsidRPr="005E0787">
        <w:rPr>
          <w:b/>
          <w:bCs/>
          <w:i/>
          <w:iCs/>
          <w:sz w:val="24"/>
        </w:rPr>
        <w:t xml:space="preserve">1. </w:t>
      </w:r>
      <w:bookmarkEnd w:id="1"/>
      <w:bookmarkEnd w:id="2"/>
      <w:r w:rsidRPr="005E0787">
        <w:rPr>
          <w:b/>
          <w:bCs/>
          <w:i/>
          <w:iCs/>
          <w:sz w:val="24"/>
        </w:rPr>
        <w:t>Circumstances that make the collection of information necessary</w:t>
      </w:r>
    </w:p>
    <w:p w:rsidR="00932809" w:rsidRPr="005E0787" w:rsidRDefault="00932809" w:rsidP="005E0787">
      <w:pPr>
        <w:rPr>
          <w:sz w:val="24"/>
        </w:rPr>
      </w:pPr>
    </w:p>
    <w:p w:rsidR="00932809" w:rsidRPr="005E0787" w:rsidRDefault="00932809" w:rsidP="005E0787">
      <w:pPr>
        <w:rPr>
          <w:sz w:val="24"/>
        </w:rPr>
      </w:pPr>
      <w:r w:rsidRPr="005E0787">
        <w:rPr>
          <w:sz w:val="24"/>
        </w:rPr>
        <w:t xml:space="preserve">The mission of the Agency for Healthcare Research and Quality (AHRQ) set out in its authorizing legislation, The Healthcare Research and Quality Act of 1999 (see </w:t>
      </w:r>
      <w:r w:rsidRPr="00B4214C">
        <w:rPr>
          <w:sz w:val="24"/>
        </w:rPr>
        <w:t>http://www.ahrq.gov/hrqa99.pdf</w:t>
      </w:r>
      <w:r w:rsidRPr="005E0787">
        <w:rPr>
          <w:sz w:val="24"/>
        </w:rP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932809" w:rsidRPr="005E0787" w:rsidRDefault="00932809" w:rsidP="005E0787">
      <w:pPr>
        <w:rPr>
          <w:sz w:val="24"/>
        </w:rPr>
      </w:pPr>
      <w:r w:rsidRPr="005E0787">
        <w:rPr>
          <w:sz w:val="24"/>
        </w:rPr>
        <w:tab/>
      </w:r>
    </w:p>
    <w:p w:rsidR="00932809" w:rsidRPr="005E0787" w:rsidRDefault="00932809" w:rsidP="005E0787">
      <w:pPr>
        <w:tabs>
          <w:tab w:val="left" w:pos="360"/>
        </w:tabs>
        <w:rPr>
          <w:sz w:val="24"/>
        </w:rPr>
      </w:pPr>
      <w:r>
        <w:rPr>
          <w:sz w:val="24"/>
        </w:rPr>
        <w:tab/>
      </w:r>
      <w:r w:rsidRPr="005E0787">
        <w:rPr>
          <w:sz w:val="24"/>
        </w:rPr>
        <w:t>1.</w:t>
      </w:r>
      <w:r w:rsidRPr="005E0787">
        <w:rPr>
          <w:sz w:val="24"/>
        </w:rPr>
        <w:tab/>
        <w:t xml:space="preserve">research that develops and presents scientific evidence regarding all aspects of </w:t>
      </w:r>
      <w:r w:rsidRPr="005E0787">
        <w:rPr>
          <w:sz w:val="24"/>
        </w:rPr>
        <w:tab/>
      </w:r>
      <w:r w:rsidRPr="005E0787">
        <w:rPr>
          <w:sz w:val="24"/>
        </w:rPr>
        <w:tab/>
      </w:r>
      <w:r>
        <w:rPr>
          <w:sz w:val="24"/>
        </w:rPr>
        <w:tab/>
      </w:r>
      <w:r>
        <w:rPr>
          <w:sz w:val="24"/>
        </w:rPr>
        <w:tab/>
      </w:r>
      <w:r w:rsidRPr="005E0787">
        <w:rPr>
          <w:sz w:val="24"/>
        </w:rPr>
        <w:t xml:space="preserve">health care; </w:t>
      </w:r>
    </w:p>
    <w:p w:rsidR="00932809" w:rsidRPr="005E0787" w:rsidRDefault="00932809" w:rsidP="005E0787">
      <w:pPr>
        <w:rPr>
          <w:sz w:val="24"/>
        </w:rPr>
      </w:pPr>
    </w:p>
    <w:p w:rsidR="00932809" w:rsidRPr="005E0787" w:rsidRDefault="00932809" w:rsidP="005E0787">
      <w:pPr>
        <w:tabs>
          <w:tab w:val="left" w:pos="360"/>
        </w:tabs>
        <w:rPr>
          <w:sz w:val="24"/>
        </w:rPr>
      </w:pPr>
      <w:r>
        <w:rPr>
          <w:sz w:val="24"/>
        </w:rPr>
        <w:tab/>
      </w:r>
      <w:r w:rsidRPr="005E0787">
        <w:rPr>
          <w:sz w:val="24"/>
        </w:rPr>
        <w:t>2.</w:t>
      </w:r>
      <w:r w:rsidRPr="005E0787">
        <w:rPr>
          <w:sz w:val="24"/>
        </w:rPr>
        <w:tab/>
        <w:t xml:space="preserve">the synthesis and dissemination of available scientific evidence for use by </w:t>
      </w:r>
      <w:r w:rsidRPr="005E0787">
        <w:rPr>
          <w:sz w:val="24"/>
        </w:rPr>
        <w:tab/>
      </w:r>
      <w:r>
        <w:rPr>
          <w:sz w:val="24"/>
        </w:rPr>
        <w:tab/>
      </w:r>
      <w:r>
        <w:rPr>
          <w:sz w:val="24"/>
        </w:rPr>
        <w:tab/>
      </w:r>
      <w:r>
        <w:rPr>
          <w:sz w:val="24"/>
        </w:rPr>
        <w:tab/>
      </w:r>
      <w:r>
        <w:rPr>
          <w:sz w:val="24"/>
        </w:rPr>
        <w:tab/>
      </w:r>
      <w:r w:rsidRPr="005E0787">
        <w:rPr>
          <w:sz w:val="24"/>
        </w:rPr>
        <w:t xml:space="preserve">patients, consumers, practitioners, providers, </w:t>
      </w:r>
      <w:r>
        <w:rPr>
          <w:sz w:val="24"/>
        </w:rPr>
        <w:t xml:space="preserve">purchasers, policy makers, and </w:t>
      </w:r>
      <w:r>
        <w:rPr>
          <w:sz w:val="24"/>
        </w:rPr>
        <w:tab/>
      </w:r>
      <w:r>
        <w:rPr>
          <w:sz w:val="24"/>
        </w:rPr>
        <w:tab/>
      </w:r>
      <w:r>
        <w:rPr>
          <w:sz w:val="24"/>
        </w:rPr>
        <w:tab/>
      </w:r>
      <w:r>
        <w:rPr>
          <w:sz w:val="24"/>
        </w:rPr>
        <w:tab/>
      </w:r>
      <w:r w:rsidRPr="005E0787">
        <w:rPr>
          <w:sz w:val="24"/>
        </w:rPr>
        <w:t>educators; and</w:t>
      </w:r>
    </w:p>
    <w:p w:rsidR="00932809" w:rsidRPr="005E0787" w:rsidRDefault="00932809" w:rsidP="005E0787">
      <w:pPr>
        <w:rPr>
          <w:sz w:val="24"/>
        </w:rPr>
      </w:pPr>
    </w:p>
    <w:p w:rsidR="00932809" w:rsidRPr="005E0787" w:rsidRDefault="00932809" w:rsidP="005E0787">
      <w:pPr>
        <w:tabs>
          <w:tab w:val="left" w:pos="360"/>
        </w:tabs>
        <w:rPr>
          <w:sz w:val="24"/>
        </w:rPr>
      </w:pPr>
      <w:r>
        <w:rPr>
          <w:sz w:val="24"/>
        </w:rPr>
        <w:tab/>
      </w:r>
      <w:r w:rsidRPr="005E0787">
        <w:rPr>
          <w:sz w:val="24"/>
        </w:rPr>
        <w:t>3.</w:t>
      </w:r>
      <w:r w:rsidRPr="005E0787">
        <w:rPr>
          <w:sz w:val="24"/>
        </w:rPr>
        <w:tab/>
        <w:t>initiatives to advance private and public efforts to improve health care quality.</w:t>
      </w:r>
    </w:p>
    <w:p w:rsidR="00932809" w:rsidRPr="005E0787" w:rsidRDefault="00932809" w:rsidP="005E0787">
      <w:pPr>
        <w:rPr>
          <w:sz w:val="24"/>
        </w:rPr>
      </w:pPr>
    </w:p>
    <w:p w:rsidR="00932809" w:rsidRDefault="00932809" w:rsidP="005E0787">
      <w:pPr>
        <w:rPr>
          <w:sz w:val="24"/>
        </w:rPr>
      </w:pPr>
      <w:r w:rsidRPr="005E0787">
        <w:rPr>
          <w:sz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932809" w:rsidRDefault="00932809" w:rsidP="005E0787">
      <w:pPr>
        <w:rPr>
          <w:sz w:val="24"/>
        </w:rPr>
      </w:pPr>
    </w:p>
    <w:p w:rsidR="00932809" w:rsidRDefault="001458DB">
      <w:pPr>
        <w:rPr>
          <w:sz w:val="24"/>
          <w:szCs w:val="24"/>
        </w:rPr>
      </w:pPr>
      <w:r w:rsidRPr="001458DB">
        <w:rPr>
          <w:b/>
          <w:sz w:val="24"/>
          <w:szCs w:val="24"/>
        </w:rPr>
        <w:t xml:space="preserve">Request for information collection approval. </w:t>
      </w:r>
      <w:r w:rsidR="00932809">
        <w:rPr>
          <w:sz w:val="24"/>
          <w:szCs w:val="24"/>
        </w:rPr>
        <w:t>The Agency for Healthcare Research and Quality (AHRQ) requests that the Office of Management and Budget (OMB) approve</w:t>
      </w:r>
      <w:r w:rsidR="00932809">
        <w:rPr>
          <w:sz w:val="24"/>
        </w:rPr>
        <w:t xml:space="preserve"> under the Paperwork Reduction Act of 1995 this Project Clearance to collect information from users of products </w:t>
      </w:r>
      <w:r w:rsidR="00150684">
        <w:rPr>
          <w:sz w:val="24"/>
        </w:rPr>
        <w:t xml:space="preserve">provided </w:t>
      </w:r>
      <w:r w:rsidR="00932809">
        <w:rPr>
          <w:sz w:val="24"/>
        </w:rPr>
        <w:t xml:space="preserve">by the John M. Eisenberg Clinical Decisions and </w:t>
      </w:r>
      <w:smartTag w:uri="urn:schemas-microsoft-com:office:smarttags" w:element="PlaceName">
        <w:r w:rsidR="00932809">
          <w:rPr>
            <w:sz w:val="24"/>
          </w:rPr>
          <w:t>Communications</w:t>
        </w:r>
      </w:smartTag>
      <w:r w:rsidR="00932809">
        <w:rPr>
          <w:sz w:val="24"/>
        </w:rPr>
        <w:t xml:space="preserve"> </w:t>
      </w:r>
      <w:smartTag w:uri="urn:schemas-microsoft-com:office:smarttags" w:element="PlaceName">
        <w:r w:rsidR="00932809">
          <w:rPr>
            <w:sz w:val="24"/>
          </w:rPr>
          <w:t>Science</w:t>
        </w:r>
      </w:smartTag>
      <w:r w:rsidR="00932809">
        <w:rPr>
          <w:sz w:val="24"/>
        </w:rPr>
        <w:t xml:space="preserve"> </w:t>
      </w:r>
      <w:smartTag w:uri="urn:schemas-microsoft-com:office:smarttags" w:element="PlaceType">
        <w:r w:rsidR="00932809">
          <w:rPr>
            <w:sz w:val="24"/>
          </w:rPr>
          <w:t>Center</w:t>
        </w:r>
      </w:smartTag>
      <w:r w:rsidR="00932809">
        <w:rPr>
          <w:sz w:val="24"/>
        </w:rPr>
        <w:t xml:space="preserve"> (</w:t>
      </w:r>
      <w:smartTag w:uri="urn:schemas-microsoft-com:office:smarttags" w:element="PlaceName">
        <w:smartTag w:uri="urn:schemas-microsoft-com:office:smarttags" w:element="place">
          <w:r w:rsidR="00932809">
            <w:rPr>
              <w:iCs/>
              <w:sz w:val="24"/>
              <w:szCs w:val="24"/>
            </w:rPr>
            <w:t>Eisenberg</w:t>
          </w:r>
        </w:smartTag>
        <w:r w:rsidR="00932809">
          <w:rPr>
            <w:sz w:val="24"/>
          </w:rPr>
          <w:t xml:space="preserve"> </w:t>
        </w:r>
        <w:smartTag w:uri="urn:schemas-microsoft-com:office:smarttags" w:element="PlaceType">
          <w:r w:rsidR="00932809">
            <w:rPr>
              <w:sz w:val="24"/>
            </w:rPr>
            <w:t>Center</w:t>
          </w:r>
        </w:smartTag>
      </w:smartTag>
      <w:r w:rsidR="00932809">
        <w:rPr>
          <w:sz w:val="24"/>
        </w:rPr>
        <w:t>)</w:t>
      </w:r>
      <w:r w:rsidR="00932809">
        <w:rPr>
          <w:sz w:val="24"/>
          <w:szCs w:val="24"/>
        </w:rPr>
        <w:t>.</w:t>
      </w:r>
      <w:r>
        <w:rPr>
          <w:sz w:val="24"/>
          <w:szCs w:val="24"/>
        </w:rPr>
        <w:t xml:space="preserve"> Information collected </w:t>
      </w:r>
      <w:r w:rsidR="0000556E">
        <w:rPr>
          <w:sz w:val="24"/>
          <w:szCs w:val="24"/>
        </w:rPr>
        <w:t xml:space="preserve">consists of feedback from managers, instructors, and learners about </w:t>
      </w:r>
      <w:r w:rsidR="007602B6">
        <w:rPr>
          <w:sz w:val="24"/>
          <w:szCs w:val="24"/>
        </w:rPr>
        <w:t xml:space="preserve">these </w:t>
      </w:r>
      <w:r w:rsidR="00150684">
        <w:rPr>
          <w:sz w:val="24"/>
          <w:szCs w:val="24"/>
        </w:rPr>
        <w:t xml:space="preserve">health care guides and other </w:t>
      </w:r>
      <w:r w:rsidR="0000556E">
        <w:rPr>
          <w:sz w:val="24"/>
          <w:szCs w:val="24"/>
        </w:rPr>
        <w:t xml:space="preserve">products presented </w:t>
      </w:r>
      <w:r w:rsidR="00150684">
        <w:rPr>
          <w:sz w:val="24"/>
          <w:szCs w:val="24"/>
        </w:rPr>
        <w:t xml:space="preserve">as part of </w:t>
      </w:r>
      <w:r w:rsidR="0000556E">
        <w:rPr>
          <w:sz w:val="24"/>
          <w:szCs w:val="24"/>
        </w:rPr>
        <w:t xml:space="preserve">Continuing </w:t>
      </w:r>
      <w:r w:rsidR="00150684">
        <w:rPr>
          <w:sz w:val="24"/>
          <w:szCs w:val="24"/>
        </w:rPr>
        <w:t xml:space="preserve">Medical </w:t>
      </w:r>
      <w:r w:rsidR="0000556E">
        <w:rPr>
          <w:sz w:val="24"/>
          <w:szCs w:val="24"/>
        </w:rPr>
        <w:t>Education activi</w:t>
      </w:r>
      <w:r w:rsidR="003C268A">
        <w:rPr>
          <w:sz w:val="24"/>
          <w:szCs w:val="24"/>
        </w:rPr>
        <w:t>ti</w:t>
      </w:r>
      <w:r w:rsidR="0000556E">
        <w:rPr>
          <w:sz w:val="24"/>
          <w:szCs w:val="24"/>
        </w:rPr>
        <w:t xml:space="preserve">es.  </w:t>
      </w:r>
    </w:p>
    <w:p w:rsidR="00932809" w:rsidRDefault="00932809">
      <w:pPr>
        <w:rPr>
          <w:sz w:val="24"/>
          <w:szCs w:val="24"/>
        </w:rPr>
      </w:pPr>
    </w:p>
    <w:p w:rsidR="00932809" w:rsidRDefault="001458DB">
      <w:pPr>
        <w:rPr>
          <w:iCs/>
          <w:sz w:val="24"/>
          <w:szCs w:val="24"/>
        </w:rPr>
      </w:pPr>
      <w:r w:rsidRPr="0000556E">
        <w:rPr>
          <w:b/>
          <w:sz w:val="24"/>
          <w:szCs w:val="24"/>
        </w:rPr>
        <w:t xml:space="preserve">Background on </w:t>
      </w:r>
      <w:r w:rsidR="0000556E" w:rsidRPr="0000556E">
        <w:rPr>
          <w:b/>
          <w:iCs/>
          <w:sz w:val="24"/>
          <w:szCs w:val="24"/>
        </w:rPr>
        <w:t>AHRQ’s</w:t>
      </w:r>
      <w:r w:rsidR="00EA359A" w:rsidRPr="00EA359A">
        <w:rPr>
          <w:b/>
          <w:iCs/>
          <w:sz w:val="24"/>
          <w:szCs w:val="24"/>
        </w:rPr>
        <w:t xml:space="preserve"> Eisenberg Center (EC) </w:t>
      </w:r>
      <w:r w:rsidR="0000556E" w:rsidRPr="0000556E">
        <w:rPr>
          <w:b/>
          <w:iCs/>
          <w:sz w:val="24"/>
          <w:szCs w:val="24"/>
        </w:rPr>
        <w:t>and</w:t>
      </w:r>
      <w:r w:rsidR="00EA359A" w:rsidRPr="00EA359A">
        <w:rPr>
          <w:b/>
          <w:iCs/>
          <w:sz w:val="24"/>
          <w:szCs w:val="24"/>
        </w:rPr>
        <w:t xml:space="preserve"> Effective Health Care (EHC) Program.</w:t>
      </w:r>
      <w:r w:rsidDel="001458DB">
        <w:rPr>
          <w:sz w:val="24"/>
          <w:szCs w:val="24"/>
        </w:rPr>
        <w:t xml:space="preserve"> </w:t>
      </w:r>
      <w:r w:rsidR="00932809">
        <w:rPr>
          <w:iCs/>
          <w:sz w:val="24"/>
          <w:szCs w:val="24"/>
        </w:rPr>
        <w:t xml:space="preserve">AHRQ’s </w:t>
      </w:r>
      <w:smartTag w:uri="urn:schemas-microsoft-com:office:smarttags" w:element="PlaceName">
        <w:smartTag w:uri="urn:schemas-microsoft-com:office:smarttags" w:element="place">
          <w:r w:rsidR="00932809">
            <w:rPr>
              <w:iCs/>
              <w:sz w:val="24"/>
              <w:szCs w:val="24"/>
            </w:rPr>
            <w:t>Eisenberg</w:t>
          </w:r>
        </w:smartTag>
        <w:r w:rsidR="00932809">
          <w:rPr>
            <w:iCs/>
            <w:sz w:val="24"/>
            <w:szCs w:val="24"/>
          </w:rPr>
          <w:t xml:space="preserve"> </w:t>
        </w:r>
        <w:smartTag w:uri="urn:schemas-microsoft-com:office:smarttags" w:element="PlaceType">
          <w:r w:rsidR="00932809">
            <w:rPr>
              <w:iCs/>
              <w:sz w:val="24"/>
              <w:szCs w:val="24"/>
            </w:rPr>
            <w:t>Center</w:t>
          </w:r>
        </w:smartTag>
      </w:smartTag>
      <w:r w:rsidR="00932809">
        <w:rPr>
          <w:iCs/>
          <w:sz w:val="24"/>
          <w:szCs w:val="24"/>
        </w:rPr>
        <w:t xml:space="preserve"> </w:t>
      </w:r>
      <w:r>
        <w:rPr>
          <w:iCs/>
          <w:sz w:val="24"/>
          <w:szCs w:val="24"/>
        </w:rPr>
        <w:t xml:space="preserve">(EC) </w:t>
      </w:r>
      <w:r w:rsidR="00932809">
        <w:rPr>
          <w:iCs/>
          <w:sz w:val="24"/>
          <w:szCs w:val="24"/>
        </w:rPr>
        <w:t xml:space="preserve">aims at improving communication of research findings to a variety of audiences (“customers”), including consumers, clinicians, and health care policymakers.  The </w:t>
      </w:r>
      <w:r w:rsidR="007602B6">
        <w:rPr>
          <w:iCs/>
          <w:sz w:val="24"/>
          <w:szCs w:val="24"/>
        </w:rPr>
        <w:t xml:space="preserve">EC </w:t>
      </w:r>
      <w:r w:rsidR="00932809">
        <w:rPr>
          <w:iCs/>
          <w:sz w:val="24"/>
          <w:szCs w:val="24"/>
        </w:rPr>
        <w:t>compiles research results into useful formats for customer stakeholders</w:t>
      </w:r>
      <w:r w:rsidR="007602B6">
        <w:rPr>
          <w:iCs/>
          <w:sz w:val="24"/>
          <w:szCs w:val="24"/>
        </w:rPr>
        <w:t xml:space="preserve"> and </w:t>
      </w:r>
      <w:r w:rsidR="00932809">
        <w:rPr>
          <w:iCs/>
          <w:sz w:val="24"/>
          <w:szCs w:val="24"/>
        </w:rPr>
        <w:t xml:space="preserve">conducts investigations into effective communication of research findings in order to improve the usability and rapid incorporation of findings into medical practice.  </w:t>
      </w:r>
      <w:r w:rsidR="007602B6">
        <w:rPr>
          <w:iCs/>
          <w:sz w:val="24"/>
          <w:szCs w:val="24"/>
        </w:rPr>
        <w:t xml:space="preserve">It </w:t>
      </w:r>
      <w:r w:rsidR="00932809">
        <w:rPr>
          <w:iCs/>
          <w:sz w:val="24"/>
          <w:szCs w:val="24"/>
        </w:rPr>
        <w:t xml:space="preserve">is one of three components of AHRQ’s Effective Health Care (EHC) Program.  From 2005 until September 2008, the EC operated through a contract with the Oregon Health and </w:t>
      </w:r>
      <w:smartTag w:uri="urn:schemas-microsoft-com:office:smarttags" w:element="PlaceName">
        <w:r w:rsidR="00932809">
          <w:rPr>
            <w:iCs/>
            <w:sz w:val="24"/>
            <w:szCs w:val="24"/>
          </w:rPr>
          <w:t>Science</w:t>
        </w:r>
      </w:smartTag>
      <w:r w:rsidR="00932809">
        <w:rPr>
          <w:iCs/>
          <w:sz w:val="24"/>
          <w:szCs w:val="24"/>
        </w:rPr>
        <w:t xml:space="preserve"> </w:t>
      </w:r>
      <w:smartTag w:uri="urn:schemas-microsoft-com:office:smarttags" w:element="PlaceType">
        <w:r w:rsidR="00932809">
          <w:rPr>
            <w:iCs/>
            <w:sz w:val="24"/>
            <w:szCs w:val="24"/>
          </w:rPr>
          <w:t>University</w:t>
        </w:r>
      </w:smartTag>
      <w:r w:rsidR="00932809">
        <w:rPr>
          <w:iCs/>
          <w:sz w:val="24"/>
          <w:szCs w:val="24"/>
        </w:rPr>
        <w:t xml:space="preserve"> (EC-OHSU) Department of Medicine</w:t>
      </w:r>
      <w:r w:rsidR="006F4C6D">
        <w:rPr>
          <w:iCs/>
          <w:sz w:val="24"/>
          <w:szCs w:val="24"/>
        </w:rPr>
        <w:t xml:space="preserve"> </w:t>
      </w:r>
      <w:r w:rsidR="00932809">
        <w:rPr>
          <w:iCs/>
          <w:sz w:val="24"/>
          <w:szCs w:val="24"/>
        </w:rPr>
        <w:t xml:space="preserve">in </w:t>
      </w:r>
      <w:smartTag w:uri="urn:schemas-microsoft-com:office:smarttags" w:element="City">
        <w:smartTag w:uri="urn:schemas-microsoft-com:office:smarttags" w:element="place">
          <w:r w:rsidR="00932809">
            <w:rPr>
              <w:iCs/>
              <w:sz w:val="24"/>
              <w:szCs w:val="24"/>
            </w:rPr>
            <w:t>Portland</w:t>
          </w:r>
        </w:smartTag>
        <w:r w:rsidR="00932809">
          <w:rPr>
            <w:iCs/>
            <w:sz w:val="24"/>
            <w:szCs w:val="24"/>
          </w:rPr>
          <w:t xml:space="preserve">, </w:t>
        </w:r>
        <w:smartTag w:uri="urn:schemas-microsoft-com:office:smarttags" w:element="State">
          <w:r w:rsidR="00932809">
            <w:rPr>
              <w:iCs/>
              <w:sz w:val="24"/>
              <w:szCs w:val="24"/>
            </w:rPr>
            <w:t>Oregon</w:t>
          </w:r>
        </w:smartTag>
      </w:smartTag>
      <w:r w:rsidR="00932809">
        <w:rPr>
          <w:iCs/>
          <w:sz w:val="24"/>
          <w:szCs w:val="24"/>
        </w:rPr>
        <w:t>.  In September 2008, the contract to operate the EC was awarded to Baylor College of Medicine (EC-BCM), in Houston</w:t>
      </w:r>
      <w:r>
        <w:rPr>
          <w:iCs/>
          <w:sz w:val="24"/>
          <w:szCs w:val="24"/>
        </w:rPr>
        <w:t>,</w:t>
      </w:r>
      <w:r w:rsidR="00932809">
        <w:rPr>
          <w:iCs/>
          <w:sz w:val="24"/>
          <w:szCs w:val="24"/>
        </w:rPr>
        <w:t xml:space="preserve"> </w:t>
      </w:r>
      <w:smartTag w:uri="urn:schemas-microsoft-com:office:smarttags" w:element="State">
        <w:r w:rsidR="00932809">
          <w:rPr>
            <w:iCs/>
            <w:sz w:val="24"/>
            <w:szCs w:val="24"/>
          </w:rPr>
          <w:t>Texas</w:t>
        </w:r>
      </w:smartTag>
      <w:r w:rsidR="00932809">
        <w:rPr>
          <w:iCs/>
          <w:sz w:val="24"/>
          <w:szCs w:val="24"/>
        </w:rPr>
        <w:t xml:space="preserve">.     </w:t>
      </w:r>
    </w:p>
    <w:p w:rsidR="00932809" w:rsidRDefault="00932809">
      <w:pPr>
        <w:rPr>
          <w:iCs/>
          <w:sz w:val="24"/>
          <w:szCs w:val="24"/>
        </w:rPr>
      </w:pPr>
    </w:p>
    <w:p w:rsidR="00932809" w:rsidRDefault="001458DB" w:rsidP="00F55E53">
      <w:pPr>
        <w:rPr>
          <w:iCs/>
          <w:sz w:val="24"/>
          <w:szCs w:val="24"/>
        </w:rPr>
      </w:pPr>
      <w:r w:rsidRPr="001458DB">
        <w:rPr>
          <w:b/>
          <w:iCs/>
          <w:sz w:val="24"/>
          <w:szCs w:val="24"/>
        </w:rPr>
        <w:t xml:space="preserve">Rationale for the information collection. </w:t>
      </w:r>
      <w:r w:rsidR="00932809">
        <w:rPr>
          <w:iCs/>
          <w:sz w:val="24"/>
          <w:szCs w:val="24"/>
        </w:rPr>
        <w:t>As had been the case with the OHSU, the primary focus of the EC-BCM is to translate results from systematic reviews of evidence comparing the effectiveness of two or more clinical care processes into information that can be used to support</w:t>
      </w:r>
      <w:r>
        <w:rPr>
          <w:iCs/>
          <w:sz w:val="24"/>
          <w:szCs w:val="24"/>
        </w:rPr>
        <w:t xml:space="preserve"> </w:t>
      </w:r>
      <w:r w:rsidR="00932809">
        <w:rPr>
          <w:iCs/>
          <w:sz w:val="24"/>
          <w:szCs w:val="24"/>
        </w:rPr>
        <w:t>clinical decision-making.  The major products of such efforts are brief guides designed for clinicians, patients, and policymakers that summarize the evidence concerning the effectiveness of various diagnostic and treatment processes</w:t>
      </w:r>
      <w:r w:rsidR="004A211D">
        <w:rPr>
          <w:iCs/>
          <w:sz w:val="24"/>
          <w:szCs w:val="24"/>
        </w:rPr>
        <w:t xml:space="preserve">. Effective dissemination of these products </w:t>
      </w:r>
      <w:r w:rsidRPr="001458DB">
        <w:rPr>
          <w:iCs/>
          <w:sz w:val="24"/>
          <w:szCs w:val="24"/>
        </w:rPr>
        <w:t>support</w:t>
      </w:r>
      <w:r w:rsidR="004A211D">
        <w:rPr>
          <w:iCs/>
          <w:sz w:val="24"/>
          <w:szCs w:val="24"/>
        </w:rPr>
        <w:t>s</w:t>
      </w:r>
      <w:r>
        <w:rPr>
          <w:iCs/>
          <w:sz w:val="24"/>
          <w:szCs w:val="24"/>
        </w:rPr>
        <w:t xml:space="preserve"> AHRQ's </w:t>
      </w:r>
      <w:r w:rsidR="00150684">
        <w:rPr>
          <w:iCs/>
          <w:sz w:val="24"/>
          <w:szCs w:val="24"/>
        </w:rPr>
        <w:t>mandate to improve the quality of healthcare, reduce its cost, improve patient safety, decrease medical errors, and broaden access to essential services.</w:t>
      </w:r>
      <w:r w:rsidR="00150684" w:rsidDel="00150684">
        <w:rPr>
          <w:iCs/>
          <w:sz w:val="24"/>
          <w:szCs w:val="24"/>
        </w:rPr>
        <w:t xml:space="preserve"> </w:t>
      </w:r>
    </w:p>
    <w:p w:rsidR="006F4C6D" w:rsidRDefault="006F4C6D" w:rsidP="00F55E53">
      <w:pPr>
        <w:rPr>
          <w:iCs/>
          <w:sz w:val="24"/>
          <w:szCs w:val="24"/>
        </w:rPr>
      </w:pPr>
    </w:p>
    <w:p w:rsidR="00932809" w:rsidRDefault="00932809" w:rsidP="00F55E53">
      <w:pPr>
        <w:rPr>
          <w:sz w:val="24"/>
        </w:rPr>
      </w:pPr>
      <w:r>
        <w:rPr>
          <w:iCs/>
          <w:sz w:val="24"/>
          <w:szCs w:val="24"/>
        </w:rPr>
        <w:t>For health care professionals, the guides are prepared in formats using professional-level language, with appropriate references and sophisticated graphics to illustrate scientific and/or clinical care processes.</w:t>
      </w:r>
      <w:r w:rsidDel="00F95A2B">
        <w:rPr>
          <w:iCs/>
          <w:sz w:val="24"/>
          <w:szCs w:val="24"/>
        </w:rPr>
        <w:t xml:space="preserve"> </w:t>
      </w:r>
      <w:r>
        <w:rPr>
          <w:iCs/>
          <w:sz w:val="24"/>
          <w:szCs w:val="24"/>
        </w:rPr>
        <w:t xml:space="preserve">For patients, these materials are typically prepared in English and Spanish at about the seventh-grade reading level.  For some products, versions of the guides are prepared for persons who have even lower level reading skills, with information conveyed in simple graphical formats and limited text. Other products might include decision aids that clinicians can use to present key clinical information about different care options, including information on risks and benefits associated with different treatment choices presented in ways to help patients make choices that are best for them.  </w:t>
      </w:r>
      <w:r>
        <w:rPr>
          <w:sz w:val="24"/>
        </w:rPr>
        <w:t>All of t</w:t>
      </w:r>
      <w:r w:rsidRPr="00FA3FA0">
        <w:rPr>
          <w:sz w:val="24"/>
        </w:rPr>
        <w:t>he gu</w:t>
      </w:r>
      <w:r>
        <w:rPr>
          <w:sz w:val="24"/>
        </w:rPr>
        <w:t xml:space="preserve">ides are designed to help </w:t>
      </w:r>
      <w:r w:rsidRPr="00FA3FA0">
        <w:rPr>
          <w:sz w:val="24"/>
        </w:rPr>
        <w:t>decision makers</w:t>
      </w:r>
      <w:r>
        <w:rPr>
          <w:sz w:val="24"/>
        </w:rPr>
        <w:t>, including clinicians and health care consumers, use research evidence</w:t>
      </w:r>
      <w:r w:rsidRPr="00FA3FA0">
        <w:rPr>
          <w:sz w:val="24"/>
        </w:rPr>
        <w:t xml:space="preserve"> to maximize the benefits of health care, minimize harm, and optimize the use of health care resources.</w:t>
      </w:r>
      <w:r>
        <w:rPr>
          <w:sz w:val="24"/>
        </w:rPr>
        <w:t xml:space="preserve"> </w:t>
      </w:r>
    </w:p>
    <w:p w:rsidR="00932809" w:rsidRDefault="00932809" w:rsidP="00F55E53">
      <w:pPr>
        <w:rPr>
          <w:sz w:val="24"/>
        </w:rPr>
      </w:pPr>
    </w:p>
    <w:p w:rsidR="00932809" w:rsidRDefault="00932809" w:rsidP="00171481">
      <w:pPr>
        <w:rPr>
          <w:bCs/>
          <w:sz w:val="24"/>
          <w:szCs w:val="24"/>
        </w:rPr>
      </w:pPr>
      <w:r w:rsidRPr="00595080">
        <w:rPr>
          <w:sz w:val="24"/>
        </w:rPr>
        <w:t xml:space="preserve">The collections proposed under this </w:t>
      </w:r>
      <w:r>
        <w:rPr>
          <w:sz w:val="24"/>
        </w:rPr>
        <w:t xml:space="preserve">project </w:t>
      </w:r>
      <w:r w:rsidRPr="00595080">
        <w:rPr>
          <w:sz w:val="24"/>
        </w:rPr>
        <w:t xml:space="preserve">include activities to assess the feasibility of disseminating EHC </w:t>
      </w:r>
      <w:r w:rsidR="004A211D">
        <w:rPr>
          <w:sz w:val="24"/>
        </w:rPr>
        <w:t xml:space="preserve">products through </w:t>
      </w:r>
      <w:r>
        <w:rPr>
          <w:sz w:val="24"/>
        </w:rPr>
        <w:t>C</w:t>
      </w:r>
      <w:r w:rsidRPr="00595080">
        <w:rPr>
          <w:sz w:val="24"/>
        </w:rPr>
        <w:t xml:space="preserve">ontinuing </w:t>
      </w:r>
      <w:r>
        <w:rPr>
          <w:sz w:val="24"/>
        </w:rPr>
        <w:t>M</w:t>
      </w:r>
      <w:r w:rsidRPr="00595080">
        <w:rPr>
          <w:sz w:val="24"/>
        </w:rPr>
        <w:t xml:space="preserve">edical </w:t>
      </w:r>
      <w:r>
        <w:rPr>
          <w:sz w:val="24"/>
        </w:rPr>
        <w:t>E</w:t>
      </w:r>
      <w:r w:rsidRPr="00595080">
        <w:rPr>
          <w:sz w:val="24"/>
        </w:rPr>
        <w:t>ducation (CME) activities</w:t>
      </w:r>
      <w:r w:rsidR="001458DB">
        <w:rPr>
          <w:sz w:val="24"/>
        </w:rPr>
        <w:t>, specifically those</w:t>
      </w:r>
      <w:r>
        <w:rPr>
          <w:sz w:val="24"/>
        </w:rPr>
        <w:t xml:space="preserve"> planned and implemented by member organizations of the Society of Academic Continuing Medical Education (SACME).  SACME is an organization with members in both the </w:t>
      </w:r>
      <w:r w:rsidRPr="00913F7C">
        <w:rPr>
          <w:sz w:val="24"/>
        </w:rPr>
        <w:t>U.S. and Canada formed in 1976 to “</w:t>
      </w:r>
      <w:r w:rsidRPr="00913F7C">
        <w:rPr>
          <w:rStyle w:val="apple-style-span"/>
          <w:sz w:val="24"/>
          <w:szCs w:val="24"/>
        </w:rPr>
        <w:t>promote the research, scholarship, evaluation and development of CME</w:t>
      </w:r>
      <w:r w:rsidR="00D10D86">
        <w:rPr>
          <w:rStyle w:val="apple-style-span"/>
          <w:sz w:val="24"/>
          <w:szCs w:val="24"/>
        </w:rPr>
        <w:t xml:space="preserve"> and </w:t>
      </w:r>
      <w:r>
        <w:rPr>
          <w:rStyle w:val="apple-style-span"/>
          <w:sz w:val="24"/>
          <w:szCs w:val="24"/>
        </w:rPr>
        <w:t>C</w:t>
      </w:r>
      <w:r w:rsidRPr="00913F7C">
        <w:rPr>
          <w:rStyle w:val="apple-style-span"/>
          <w:sz w:val="24"/>
          <w:szCs w:val="24"/>
        </w:rPr>
        <w:t xml:space="preserve">ontinuing </w:t>
      </w:r>
      <w:r>
        <w:rPr>
          <w:rStyle w:val="apple-style-span"/>
          <w:sz w:val="24"/>
          <w:szCs w:val="24"/>
        </w:rPr>
        <w:t>P</w:t>
      </w:r>
      <w:r w:rsidRPr="00913F7C">
        <w:rPr>
          <w:rStyle w:val="apple-style-span"/>
          <w:sz w:val="24"/>
          <w:szCs w:val="24"/>
        </w:rPr>
        <w:t xml:space="preserve">rofessional </w:t>
      </w:r>
      <w:r>
        <w:rPr>
          <w:rStyle w:val="apple-style-span"/>
          <w:sz w:val="24"/>
          <w:szCs w:val="24"/>
        </w:rPr>
        <w:t>D</w:t>
      </w:r>
      <w:r w:rsidRPr="00913F7C">
        <w:rPr>
          <w:rStyle w:val="apple-style-span"/>
          <w:sz w:val="24"/>
          <w:szCs w:val="24"/>
        </w:rPr>
        <w:t>evelopment</w:t>
      </w:r>
      <w:r w:rsidR="00D10D86">
        <w:rPr>
          <w:rStyle w:val="apple-style-span"/>
          <w:sz w:val="24"/>
          <w:szCs w:val="24"/>
        </w:rPr>
        <w:t xml:space="preserve"> (CPD</w:t>
      </w:r>
      <w:r w:rsidRPr="00913F7C">
        <w:rPr>
          <w:rStyle w:val="apple-style-span"/>
          <w:sz w:val="24"/>
          <w:szCs w:val="24"/>
        </w:rPr>
        <w:t>) that helps to enhance the performance of physicians and other healthcare professionals practicing in the United States, Canada, and elsewhere for purposes of improving individual and population health.</w:t>
      </w:r>
      <w:r w:rsidRPr="00913F7C">
        <w:rPr>
          <w:bCs/>
          <w:sz w:val="24"/>
          <w:szCs w:val="24"/>
        </w:rPr>
        <w:t xml:space="preserve">”  </w:t>
      </w:r>
    </w:p>
    <w:p w:rsidR="00932809" w:rsidRDefault="00932809" w:rsidP="00171481">
      <w:pPr>
        <w:rPr>
          <w:bCs/>
          <w:sz w:val="24"/>
          <w:szCs w:val="24"/>
        </w:rPr>
      </w:pPr>
    </w:p>
    <w:p w:rsidR="00932809" w:rsidRDefault="00932809" w:rsidP="00171481">
      <w:pPr>
        <w:rPr>
          <w:sz w:val="24"/>
        </w:rPr>
      </w:pPr>
      <w:r>
        <w:rPr>
          <w:bCs/>
          <w:sz w:val="24"/>
          <w:szCs w:val="24"/>
        </w:rPr>
        <w:t xml:space="preserve">For this project, the EC-BCM is working with </w:t>
      </w:r>
      <w:r w:rsidR="006F4C6D">
        <w:rPr>
          <w:bCs/>
          <w:sz w:val="24"/>
          <w:szCs w:val="24"/>
        </w:rPr>
        <w:t xml:space="preserve">six </w:t>
      </w:r>
      <w:r>
        <w:rPr>
          <w:bCs/>
          <w:sz w:val="24"/>
          <w:szCs w:val="24"/>
        </w:rPr>
        <w:t xml:space="preserve">organizations selected from applications submitted by SACME members that had been invited to compete for funding.  Organizations selected for participation in the feasibility study have committed to specific activities designed to disseminate EHC Program summary guides to physicians, other clinicians, instructional faculty, and clinical researchers who </w:t>
      </w:r>
      <w:r w:rsidR="00D759DD">
        <w:rPr>
          <w:bCs/>
          <w:sz w:val="24"/>
          <w:szCs w:val="24"/>
        </w:rPr>
        <w:t xml:space="preserve">participate in CME activities. </w:t>
      </w:r>
      <w:r>
        <w:rPr>
          <w:bCs/>
          <w:sz w:val="24"/>
          <w:szCs w:val="24"/>
        </w:rPr>
        <w:t>Another partner in these efforts is the Association of American Medical Colleges (AAMC), which is assisting the project through access to MedEdPORTAL and CME4docs, two recently launched initiatives that are designed to encourage use of high quality CME resources by medical school faculty and others involved in development and delivery of CME.</w:t>
      </w:r>
    </w:p>
    <w:p w:rsidR="00932809" w:rsidRDefault="00932809" w:rsidP="00F55E53">
      <w:pPr>
        <w:rPr>
          <w:sz w:val="24"/>
        </w:rPr>
      </w:pPr>
    </w:p>
    <w:p w:rsidR="00932809" w:rsidRDefault="00932809" w:rsidP="00595080">
      <w:pPr>
        <w:rPr>
          <w:sz w:val="24"/>
        </w:rPr>
      </w:pPr>
      <w:r w:rsidRPr="00595080">
        <w:rPr>
          <w:sz w:val="24"/>
        </w:rPr>
        <w:t>This research has the following goals:</w:t>
      </w:r>
    </w:p>
    <w:p w:rsidR="005508F3" w:rsidRPr="00595080" w:rsidRDefault="005508F3" w:rsidP="00595080">
      <w:pPr>
        <w:rPr>
          <w:sz w:val="24"/>
        </w:rPr>
      </w:pPr>
    </w:p>
    <w:p w:rsidR="00932809" w:rsidRPr="00595080" w:rsidRDefault="00932809" w:rsidP="00390333">
      <w:pPr>
        <w:ind w:left="360" w:hanging="360"/>
        <w:rPr>
          <w:sz w:val="24"/>
        </w:rPr>
      </w:pPr>
      <w:r w:rsidRPr="00595080">
        <w:rPr>
          <w:sz w:val="24"/>
        </w:rPr>
        <w:t>1)</w:t>
      </w:r>
      <w:r w:rsidRPr="00595080">
        <w:rPr>
          <w:sz w:val="24"/>
        </w:rPr>
        <w:tab/>
      </w:r>
      <w:r>
        <w:rPr>
          <w:sz w:val="24"/>
        </w:rPr>
        <w:t xml:space="preserve">Identify critical factors that enhance or impede integration of EHC </w:t>
      </w:r>
      <w:r w:rsidR="001458DB">
        <w:rPr>
          <w:sz w:val="24"/>
        </w:rPr>
        <w:t>products</w:t>
      </w:r>
      <w:r>
        <w:rPr>
          <w:sz w:val="24"/>
        </w:rPr>
        <w:t xml:space="preserve"> into CME activities; </w:t>
      </w:r>
    </w:p>
    <w:p w:rsidR="00932809" w:rsidRDefault="00932809" w:rsidP="00217E9D">
      <w:pPr>
        <w:ind w:left="360" w:hanging="360"/>
        <w:rPr>
          <w:sz w:val="24"/>
        </w:rPr>
      </w:pPr>
      <w:r w:rsidRPr="00595080">
        <w:rPr>
          <w:sz w:val="24"/>
        </w:rPr>
        <w:t>2)</w:t>
      </w:r>
      <w:r w:rsidRPr="00595080">
        <w:rPr>
          <w:sz w:val="24"/>
        </w:rPr>
        <w:tab/>
      </w:r>
      <w:r>
        <w:rPr>
          <w:sz w:val="24"/>
        </w:rPr>
        <w:t xml:space="preserve">Assess strategies to remove, overcome, or </w:t>
      </w:r>
      <w:r w:rsidR="00101359">
        <w:rPr>
          <w:sz w:val="24"/>
        </w:rPr>
        <w:t xml:space="preserve">work around </w:t>
      </w:r>
      <w:r>
        <w:rPr>
          <w:sz w:val="24"/>
        </w:rPr>
        <w:t xml:space="preserve">barriers to </w:t>
      </w:r>
      <w:r w:rsidR="001458DB">
        <w:rPr>
          <w:sz w:val="24"/>
        </w:rPr>
        <w:t xml:space="preserve">integration of EHC products into </w:t>
      </w:r>
      <w:r>
        <w:rPr>
          <w:sz w:val="24"/>
        </w:rPr>
        <w:t>CME programming with selected audiences;</w:t>
      </w:r>
    </w:p>
    <w:p w:rsidR="00932809" w:rsidRDefault="00932809" w:rsidP="00217E9D">
      <w:pPr>
        <w:ind w:left="360" w:hanging="360"/>
        <w:rPr>
          <w:sz w:val="24"/>
        </w:rPr>
      </w:pPr>
      <w:r>
        <w:rPr>
          <w:sz w:val="24"/>
        </w:rPr>
        <w:t>3)</w:t>
      </w:r>
      <w:r>
        <w:rPr>
          <w:sz w:val="24"/>
        </w:rPr>
        <w:tab/>
        <w:t xml:space="preserve">Confirm approaches that can be used in whole or in part to create and deliver effective CME instruction about </w:t>
      </w:r>
      <w:r w:rsidR="001458DB">
        <w:rPr>
          <w:sz w:val="24"/>
        </w:rPr>
        <w:t xml:space="preserve">EHC </w:t>
      </w:r>
      <w:r>
        <w:rPr>
          <w:sz w:val="24"/>
        </w:rPr>
        <w:t>products (e.g., clinician guides, consumer guides</w:t>
      </w:r>
      <w:r w:rsidR="00E91B4E">
        <w:rPr>
          <w:sz w:val="24"/>
        </w:rPr>
        <w:t>, faculty slide sets</w:t>
      </w:r>
      <w:r>
        <w:rPr>
          <w:sz w:val="24"/>
        </w:rPr>
        <w:t>); and</w:t>
      </w:r>
    </w:p>
    <w:p w:rsidR="00932809" w:rsidRPr="00595080" w:rsidRDefault="00932809" w:rsidP="00217E9D">
      <w:pPr>
        <w:ind w:left="360" w:hanging="360"/>
        <w:rPr>
          <w:sz w:val="24"/>
        </w:rPr>
      </w:pPr>
      <w:r>
        <w:rPr>
          <w:sz w:val="24"/>
        </w:rPr>
        <w:t>4)</w:t>
      </w:r>
      <w:r>
        <w:rPr>
          <w:sz w:val="24"/>
        </w:rPr>
        <w:tab/>
        <w:t xml:space="preserve">Review early educational program outcomes associated with integration of EHC </w:t>
      </w:r>
      <w:r w:rsidR="00E91B4E">
        <w:rPr>
          <w:sz w:val="24"/>
        </w:rPr>
        <w:t>products</w:t>
      </w:r>
      <w:r>
        <w:rPr>
          <w:sz w:val="24"/>
        </w:rPr>
        <w:t xml:space="preserve"> into CME activities.      </w:t>
      </w:r>
    </w:p>
    <w:p w:rsidR="00932809" w:rsidRPr="00595080" w:rsidRDefault="00932809" w:rsidP="00595080">
      <w:pPr>
        <w:rPr>
          <w:sz w:val="24"/>
        </w:rPr>
      </w:pPr>
    </w:p>
    <w:p w:rsidR="00932809" w:rsidRDefault="00932809" w:rsidP="00595080">
      <w:pPr>
        <w:rPr>
          <w:sz w:val="24"/>
        </w:rPr>
      </w:pPr>
      <w:r w:rsidRPr="00595080">
        <w:rPr>
          <w:sz w:val="24"/>
        </w:rPr>
        <w:t>To achieve the goals of this project the following data collections will be implemented:</w:t>
      </w:r>
    </w:p>
    <w:p w:rsidR="005508F3" w:rsidRPr="00595080" w:rsidRDefault="005508F3" w:rsidP="00595080">
      <w:pPr>
        <w:rPr>
          <w:sz w:val="24"/>
        </w:rPr>
      </w:pPr>
    </w:p>
    <w:p w:rsidR="00932809" w:rsidRDefault="00932809" w:rsidP="00D54416">
      <w:pPr>
        <w:tabs>
          <w:tab w:val="left" w:pos="360"/>
        </w:tabs>
        <w:ind w:left="360" w:hanging="360"/>
        <w:rPr>
          <w:sz w:val="24"/>
        </w:rPr>
      </w:pPr>
      <w:r>
        <w:rPr>
          <w:sz w:val="24"/>
        </w:rPr>
        <w:t>1)</w:t>
      </w:r>
      <w:r>
        <w:rPr>
          <w:sz w:val="24"/>
        </w:rPr>
        <w:tab/>
        <w:t xml:space="preserve">Interviews with CME </w:t>
      </w:r>
      <w:r w:rsidR="00790F5E">
        <w:rPr>
          <w:sz w:val="24"/>
        </w:rPr>
        <w:t xml:space="preserve">Project </w:t>
      </w:r>
      <w:r w:rsidR="0045210B">
        <w:rPr>
          <w:sz w:val="24"/>
        </w:rPr>
        <w:t>Directors</w:t>
      </w:r>
      <w:r>
        <w:rPr>
          <w:sz w:val="24"/>
        </w:rPr>
        <w:t>—</w:t>
      </w:r>
      <w:r w:rsidR="00026748">
        <w:rPr>
          <w:sz w:val="24"/>
          <w:szCs w:val="24"/>
        </w:rPr>
        <w:t>S</w:t>
      </w:r>
      <w:r>
        <w:rPr>
          <w:sz w:val="24"/>
          <w:szCs w:val="24"/>
        </w:rPr>
        <w:t>emi-structured interviews will be conducted with</w:t>
      </w:r>
      <w:r w:rsidR="00367B12">
        <w:rPr>
          <w:sz w:val="24"/>
          <w:szCs w:val="24"/>
        </w:rPr>
        <w:t xml:space="preserve"> </w:t>
      </w:r>
      <w:r w:rsidR="0045210B">
        <w:rPr>
          <w:sz w:val="24"/>
          <w:szCs w:val="24"/>
        </w:rPr>
        <w:t xml:space="preserve">the </w:t>
      </w:r>
      <w:r w:rsidR="003727B4">
        <w:rPr>
          <w:sz w:val="24"/>
          <w:szCs w:val="24"/>
        </w:rPr>
        <w:t>representative</w:t>
      </w:r>
      <w:r w:rsidR="001A4462">
        <w:rPr>
          <w:sz w:val="24"/>
          <w:szCs w:val="24"/>
        </w:rPr>
        <w:t xml:space="preserve"> </w:t>
      </w:r>
      <w:r w:rsidR="00367B12">
        <w:rPr>
          <w:sz w:val="24"/>
          <w:szCs w:val="24"/>
        </w:rPr>
        <w:t>of</w:t>
      </w:r>
      <w:r w:rsidR="00790F5E">
        <w:rPr>
          <w:sz w:val="24"/>
          <w:szCs w:val="24"/>
        </w:rPr>
        <w:t xml:space="preserve"> </w:t>
      </w:r>
      <w:r w:rsidR="00E91B4E">
        <w:rPr>
          <w:sz w:val="24"/>
          <w:szCs w:val="24"/>
        </w:rPr>
        <w:t>each</w:t>
      </w:r>
      <w:r>
        <w:rPr>
          <w:sz w:val="24"/>
          <w:szCs w:val="24"/>
        </w:rPr>
        <w:t xml:space="preserve"> </w:t>
      </w:r>
      <w:r w:rsidR="006F3DF6">
        <w:rPr>
          <w:sz w:val="24"/>
          <w:szCs w:val="24"/>
        </w:rPr>
        <w:t xml:space="preserve">participating </w:t>
      </w:r>
      <w:r>
        <w:rPr>
          <w:sz w:val="24"/>
          <w:szCs w:val="24"/>
        </w:rPr>
        <w:t xml:space="preserve">CME </w:t>
      </w:r>
      <w:r w:rsidR="0045210B">
        <w:rPr>
          <w:sz w:val="24"/>
          <w:szCs w:val="24"/>
        </w:rPr>
        <w:t>institution</w:t>
      </w:r>
      <w:r w:rsidR="001A4462">
        <w:rPr>
          <w:sz w:val="24"/>
          <w:szCs w:val="24"/>
        </w:rPr>
        <w:t xml:space="preserve"> leading </w:t>
      </w:r>
      <w:r w:rsidR="006F3DF6">
        <w:rPr>
          <w:sz w:val="24"/>
          <w:szCs w:val="24"/>
        </w:rPr>
        <w:t>the development and implementation of t</w:t>
      </w:r>
      <w:r w:rsidR="00790F5E">
        <w:rPr>
          <w:sz w:val="24"/>
          <w:szCs w:val="24"/>
        </w:rPr>
        <w:t xml:space="preserve">he </w:t>
      </w:r>
      <w:r w:rsidR="006F3DF6">
        <w:rPr>
          <w:sz w:val="24"/>
          <w:szCs w:val="24"/>
        </w:rPr>
        <w:t xml:space="preserve">educational </w:t>
      </w:r>
      <w:r w:rsidR="00790F5E">
        <w:rPr>
          <w:sz w:val="24"/>
          <w:szCs w:val="24"/>
        </w:rPr>
        <w:t>activities</w:t>
      </w:r>
      <w:r w:rsidR="006F3DF6" w:rsidRPr="006F3DF6">
        <w:rPr>
          <w:sz w:val="24"/>
          <w:szCs w:val="24"/>
        </w:rPr>
        <w:t xml:space="preserve"> associated with th</w:t>
      </w:r>
      <w:r w:rsidR="001458DB">
        <w:rPr>
          <w:sz w:val="24"/>
          <w:szCs w:val="24"/>
        </w:rPr>
        <w:t>e</w:t>
      </w:r>
      <w:r w:rsidR="006F3DF6" w:rsidRPr="006F3DF6">
        <w:rPr>
          <w:sz w:val="24"/>
          <w:szCs w:val="24"/>
        </w:rPr>
        <w:t xml:space="preserve"> study</w:t>
      </w:r>
      <w:r w:rsidR="001A4462">
        <w:rPr>
          <w:sz w:val="24"/>
          <w:szCs w:val="24"/>
        </w:rPr>
        <w:t xml:space="preserve">. </w:t>
      </w:r>
      <w:r w:rsidR="00E91B4E">
        <w:rPr>
          <w:sz w:val="24"/>
          <w:szCs w:val="24"/>
        </w:rPr>
        <w:t xml:space="preserve">The director is typically, but not always, an expert physician. </w:t>
      </w:r>
      <w:r w:rsidR="001A4462">
        <w:rPr>
          <w:sz w:val="24"/>
          <w:szCs w:val="24"/>
        </w:rPr>
        <w:t>The interviews will be designed to:</w:t>
      </w:r>
      <w:r>
        <w:rPr>
          <w:sz w:val="24"/>
        </w:rPr>
        <w:t xml:space="preserve"> a) assess perceived feasibility and obtain feedback </w:t>
      </w:r>
      <w:r>
        <w:rPr>
          <w:sz w:val="24"/>
          <w:szCs w:val="24"/>
        </w:rPr>
        <w:t xml:space="preserve">on strategies </w:t>
      </w:r>
      <w:r w:rsidR="00B15195">
        <w:rPr>
          <w:sz w:val="24"/>
          <w:szCs w:val="24"/>
        </w:rPr>
        <w:t xml:space="preserve">used to integrate </w:t>
      </w:r>
      <w:r>
        <w:rPr>
          <w:sz w:val="24"/>
          <w:szCs w:val="24"/>
        </w:rPr>
        <w:t xml:space="preserve">EHC </w:t>
      </w:r>
      <w:r w:rsidR="003C268A">
        <w:rPr>
          <w:sz w:val="24"/>
          <w:szCs w:val="24"/>
        </w:rPr>
        <w:t xml:space="preserve">products </w:t>
      </w:r>
      <w:r>
        <w:rPr>
          <w:sz w:val="24"/>
          <w:szCs w:val="24"/>
        </w:rPr>
        <w:t>into their planned CME activities</w:t>
      </w:r>
      <w:r w:rsidR="00B15195">
        <w:rPr>
          <w:sz w:val="24"/>
          <w:szCs w:val="24"/>
        </w:rPr>
        <w:t xml:space="preserve"> </w:t>
      </w:r>
      <w:r w:rsidR="00B15195">
        <w:rPr>
          <w:sz w:val="24"/>
        </w:rPr>
        <w:t>involving varied content, instructional methods, and delivery formats</w:t>
      </w:r>
      <w:r>
        <w:rPr>
          <w:sz w:val="24"/>
          <w:szCs w:val="24"/>
        </w:rPr>
        <w:t xml:space="preserve">; </w:t>
      </w:r>
      <w:r>
        <w:rPr>
          <w:sz w:val="24"/>
        </w:rPr>
        <w:t xml:space="preserve">and b) characterize barriers and facilitators to the integration of EHC products into specific CME activities. The interview guide </w:t>
      </w:r>
      <w:r w:rsidR="008B0F87">
        <w:rPr>
          <w:sz w:val="24"/>
        </w:rPr>
        <w:t xml:space="preserve">for use with project directors </w:t>
      </w:r>
      <w:r>
        <w:rPr>
          <w:sz w:val="24"/>
        </w:rPr>
        <w:t>is in Attachment A.</w:t>
      </w:r>
    </w:p>
    <w:p w:rsidR="00932809" w:rsidRPr="00595080" w:rsidRDefault="00932809" w:rsidP="00D54416">
      <w:pPr>
        <w:tabs>
          <w:tab w:val="left" w:pos="360"/>
        </w:tabs>
        <w:ind w:left="360" w:hanging="360"/>
        <w:rPr>
          <w:sz w:val="24"/>
        </w:rPr>
      </w:pPr>
    </w:p>
    <w:p w:rsidR="00932809" w:rsidRDefault="00932809" w:rsidP="00D54416">
      <w:pPr>
        <w:tabs>
          <w:tab w:val="left" w:pos="360"/>
        </w:tabs>
        <w:ind w:left="360" w:hanging="360"/>
        <w:rPr>
          <w:sz w:val="24"/>
        </w:rPr>
      </w:pPr>
      <w:r>
        <w:rPr>
          <w:sz w:val="24"/>
        </w:rPr>
        <w:t>2)</w:t>
      </w:r>
      <w:r>
        <w:rPr>
          <w:sz w:val="24"/>
        </w:rPr>
        <w:tab/>
        <w:t>Focus Group with CME</w:t>
      </w:r>
      <w:r w:rsidR="00D321D1">
        <w:rPr>
          <w:sz w:val="24"/>
        </w:rPr>
        <w:t xml:space="preserve"> Project Directors </w:t>
      </w:r>
      <w:r>
        <w:rPr>
          <w:sz w:val="24"/>
        </w:rPr>
        <w:t xml:space="preserve">– A focus group will </w:t>
      </w:r>
      <w:r w:rsidR="004303F6">
        <w:rPr>
          <w:sz w:val="24"/>
        </w:rPr>
        <w:t xml:space="preserve">also </w:t>
      </w:r>
      <w:r>
        <w:rPr>
          <w:sz w:val="24"/>
        </w:rPr>
        <w:t xml:space="preserve">be convened </w:t>
      </w:r>
      <w:r w:rsidR="004303F6">
        <w:rPr>
          <w:sz w:val="24"/>
        </w:rPr>
        <w:t xml:space="preserve">with the CME Project Directors described above </w:t>
      </w:r>
      <w:r>
        <w:rPr>
          <w:sz w:val="24"/>
        </w:rPr>
        <w:t xml:space="preserve">near the </w:t>
      </w:r>
      <w:r w:rsidR="004303F6">
        <w:rPr>
          <w:sz w:val="24"/>
        </w:rPr>
        <w:t xml:space="preserve">midpoint of the </w:t>
      </w:r>
      <w:r>
        <w:rPr>
          <w:sz w:val="24"/>
        </w:rPr>
        <w:t>project to: a) obtain feedback on the perceived usefulness, currency and quality of the EHC products; and b) explore the overall implications concerning CME activities as an avenue for disseminating EHC products. The focus group topic guide is in Attachment B.</w:t>
      </w:r>
    </w:p>
    <w:p w:rsidR="00932809" w:rsidRDefault="00932809" w:rsidP="00D54416">
      <w:pPr>
        <w:tabs>
          <w:tab w:val="left" w:pos="360"/>
        </w:tabs>
        <w:ind w:left="360" w:hanging="360"/>
        <w:rPr>
          <w:sz w:val="24"/>
        </w:rPr>
      </w:pPr>
    </w:p>
    <w:p w:rsidR="00932809" w:rsidRDefault="00D37047" w:rsidP="00606F12">
      <w:pPr>
        <w:rPr>
          <w:sz w:val="24"/>
          <w:szCs w:val="24"/>
        </w:rPr>
      </w:pPr>
      <w:r>
        <w:rPr>
          <w:sz w:val="24"/>
        </w:rPr>
        <w:t>3</w:t>
      </w:r>
      <w:r w:rsidR="00932809">
        <w:rPr>
          <w:sz w:val="24"/>
        </w:rPr>
        <w:t>)   Interviews with Faculty Members—</w:t>
      </w:r>
      <w:r w:rsidR="00932809" w:rsidRPr="007D52C7">
        <w:rPr>
          <w:sz w:val="24"/>
          <w:szCs w:val="24"/>
        </w:rPr>
        <w:t xml:space="preserve"> </w:t>
      </w:r>
      <w:r w:rsidR="006363AF">
        <w:rPr>
          <w:sz w:val="24"/>
          <w:szCs w:val="24"/>
        </w:rPr>
        <w:t>Semi-structured i</w:t>
      </w:r>
      <w:r w:rsidR="00932809">
        <w:rPr>
          <w:sz w:val="24"/>
          <w:szCs w:val="24"/>
        </w:rPr>
        <w:t xml:space="preserve">nterviews will be conducted with clinicians who served as faculty in </w:t>
      </w:r>
      <w:r w:rsidR="00FE316B">
        <w:rPr>
          <w:sz w:val="24"/>
          <w:szCs w:val="24"/>
        </w:rPr>
        <w:t xml:space="preserve">the </w:t>
      </w:r>
      <w:r w:rsidR="00932809">
        <w:rPr>
          <w:sz w:val="24"/>
          <w:szCs w:val="24"/>
        </w:rPr>
        <w:t xml:space="preserve">CME activities </w:t>
      </w:r>
      <w:r w:rsidR="00FE316B">
        <w:rPr>
          <w:sz w:val="24"/>
          <w:szCs w:val="24"/>
        </w:rPr>
        <w:t xml:space="preserve">associated with this study </w:t>
      </w:r>
      <w:r w:rsidR="00932809">
        <w:rPr>
          <w:sz w:val="24"/>
          <w:szCs w:val="24"/>
        </w:rPr>
        <w:t>to: a) obtain perspectives on the quality, relevancy, and utility of the resources that they accessed and integrated into their CME activities; b</w:t>
      </w:r>
      <w:r w:rsidR="00932809">
        <w:rPr>
          <w:sz w:val="24"/>
        </w:rPr>
        <w:t xml:space="preserve">) identify obstacles to the integration of EHC products </w:t>
      </w:r>
      <w:r w:rsidR="00E91B4E">
        <w:rPr>
          <w:sz w:val="24"/>
        </w:rPr>
        <w:t xml:space="preserve">into </w:t>
      </w:r>
      <w:r w:rsidR="00932809">
        <w:rPr>
          <w:sz w:val="24"/>
        </w:rPr>
        <w:t xml:space="preserve">specific CME activities and contexts; and c) identify additional tools or resources that could facilitate the integration of EHC </w:t>
      </w:r>
      <w:r w:rsidR="00E91B4E">
        <w:rPr>
          <w:sz w:val="24"/>
        </w:rPr>
        <w:t xml:space="preserve">content </w:t>
      </w:r>
      <w:r w:rsidR="00932809">
        <w:rPr>
          <w:sz w:val="24"/>
        </w:rPr>
        <w:t xml:space="preserve">into CME activities.  The </w:t>
      </w:r>
      <w:r w:rsidR="00B15195">
        <w:rPr>
          <w:sz w:val="24"/>
        </w:rPr>
        <w:t xml:space="preserve">faculty </w:t>
      </w:r>
      <w:r w:rsidR="00932809">
        <w:rPr>
          <w:sz w:val="24"/>
        </w:rPr>
        <w:t>interview guide is included in Attachment C.</w:t>
      </w:r>
    </w:p>
    <w:p w:rsidR="00932809" w:rsidRDefault="00932809" w:rsidP="00B84C67">
      <w:pPr>
        <w:rPr>
          <w:sz w:val="24"/>
        </w:rPr>
      </w:pPr>
    </w:p>
    <w:p w:rsidR="001B7CF1" w:rsidRDefault="001B7CF1" w:rsidP="00606F12">
      <w:pPr>
        <w:rPr>
          <w:sz w:val="24"/>
        </w:rPr>
      </w:pPr>
    </w:p>
    <w:p w:rsidR="00932809" w:rsidRDefault="00932809" w:rsidP="00937C6F">
      <w:pPr>
        <w:rPr>
          <w:sz w:val="24"/>
        </w:rPr>
      </w:pPr>
      <w:r w:rsidRPr="00595080">
        <w:rPr>
          <w:sz w:val="24"/>
        </w:rPr>
        <w:t xml:space="preserve">This study is being conducted by AHRQ through its contractor, </w:t>
      </w:r>
      <w:r>
        <w:rPr>
          <w:sz w:val="24"/>
        </w:rPr>
        <w:t>EC-BMC</w:t>
      </w:r>
      <w:r w:rsidRPr="00595080">
        <w:rPr>
          <w:sz w:val="24"/>
        </w:rPr>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932809" w:rsidRDefault="00932809" w:rsidP="00BF4F81">
      <w:pPr>
        <w:rPr>
          <w:iCs/>
          <w:sz w:val="24"/>
          <w:szCs w:val="24"/>
        </w:rPr>
      </w:pPr>
    </w:p>
    <w:p w:rsidR="00932809" w:rsidRDefault="00932809" w:rsidP="00685C7E">
      <w:pPr>
        <w:rPr>
          <w:sz w:val="24"/>
        </w:rPr>
      </w:pPr>
      <w:r>
        <w:rPr>
          <w:b/>
          <w:bCs/>
          <w:i/>
          <w:iCs/>
          <w:sz w:val="24"/>
        </w:rPr>
        <w:t>2</w:t>
      </w:r>
      <w:r w:rsidRPr="005E0787">
        <w:rPr>
          <w:b/>
          <w:bCs/>
          <w:i/>
          <w:iCs/>
          <w:sz w:val="24"/>
        </w:rPr>
        <w:t xml:space="preserve">. </w:t>
      </w:r>
      <w:r>
        <w:rPr>
          <w:b/>
          <w:bCs/>
          <w:i/>
          <w:iCs/>
          <w:sz w:val="24"/>
        </w:rPr>
        <w:t>Purpose and Use of Information</w:t>
      </w:r>
    </w:p>
    <w:p w:rsidR="00932809" w:rsidRDefault="00932809" w:rsidP="00685C7E">
      <w:pPr>
        <w:rPr>
          <w:sz w:val="24"/>
        </w:rPr>
      </w:pPr>
      <w:r>
        <w:rPr>
          <w:sz w:val="24"/>
        </w:rPr>
        <w:t xml:space="preserve"> </w:t>
      </w:r>
    </w:p>
    <w:p w:rsidR="00932809" w:rsidRPr="00F55E53" w:rsidRDefault="00932809" w:rsidP="00685C7E">
      <w:pPr>
        <w:rPr>
          <w:iCs/>
          <w:sz w:val="24"/>
          <w:szCs w:val="24"/>
        </w:rPr>
      </w:pPr>
      <w:r>
        <w:rPr>
          <w:sz w:val="24"/>
        </w:rPr>
        <w:t xml:space="preserve">The collected data will be used to </w:t>
      </w:r>
      <w:r w:rsidR="00D83272">
        <w:rPr>
          <w:sz w:val="24"/>
        </w:rPr>
        <w:t xml:space="preserve">explore </w:t>
      </w:r>
      <w:r>
        <w:rPr>
          <w:sz w:val="24"/>
        </w:rPr>
        <w:t xml:space="preserve">the feasibility of: a) including EHC </w:t>
      </w:r>
      <w:r w:rsidR="00E91B4E">
        <w:rPr>
          <w:sz w:val="24"/>
        </w:rPr>
        <w:t>products</w:t>
      </w:r>
      <w:r w:rsidR="00D321D1">
        <w:rPr>
          <w:sz w:val="24"/>
        </w:rPr>
        <w:t xml:space="preserve"> (i.e., clinician</w:t>
      </w:r>
      <w:r w:rsidR="00E91B4E">
        <w:rPr>
          <w:sz w:val="24"/>
        </w:rPr>
        <w:t xml:space="preserve"> guides, consumer guides</w:t>
      </w:r>
      <w:r w:rsidR="00D321D1">
        <w:rPr>
          <w:sz w:val="24"/>
        </w:rPr>
        <w:t>, faculty slide sets)</w:t>
      </w:r>
      <w:r>
        <w:rPr>
          <w:sz w:val="24"/>
        </w:rPr>
        <w:t xml:space="preserve"> in CME activities that employ varied delivery modalities; and b) initiating additional studies to identify factors that promote effective integration of </w:t>
      </w:r>
      <w:r w:rsidR="00E91B4E">
        <w:rPr>
          <w:sz w:val="24"/>
        </w:rPr>
        <w:t>evidence-based content</w:t>
      </w:r>
      <w:r w:rsidR="00217EA4">
        <w:rPr>
          <w:sz w:val="24"/>
        </w:rPr>
        <w:t xml:space="preserve"> </w:t>
      </w:r>
      <w:r>
        <w:rPr>
          <w:sz w:val="24"/>
        </w:rPr>
        <w:t>into educational activities.</w:t>
      </w:r>
      <w:r w:rsidR="00D321D1">
        <w:rPr>
          <w:sz w:val="24"/>
        </w:rPr>
        <w:t xml:space="preserve"> The data </w:t>
      </w:r>
      <w:r w:rsidR="0060453A">
        <w:rPr>
          <w:sz w:val="24"/>
        </w:rPr>
        <w:t xml:space="preserve">gathered from physicians and other clinical professionals who are participating in CME activities </w:t>
      </w:r>
      <w:r w:rsidR="00D321D1">
        <w:rPr>
          <w:sz w:val="24"/>
        </w:rPr>
        <w:t xml:space="preserve">will </w:t>
      </w:r>
      <w:r w:rsidR="003300E3">
        <w:rPr>
          <w:sz w:val="24"/>
        </w:rPr>
        <w:t xml:space="preserve">foster </w:t>
      </w:r>
      <w:r w:rsidR="00D321D1">
        <w:rPr>
          <w:sz w:val="24"/>
        </w:rPr>
        <w:t xml:space="preserve">understanding </w:t>
      </w:r>
      <w:r w:rsidR="003300E3">
        <w:rPr>
          <w:sz w:val="24"/>
        </w:rPr>
        <w:t xml:space="preserve">of </w:t>
      </w:r>
      <w:r w:rsidR="00D321D1">
        <w:rPr>
          <w:sz w:val="24"/>
        </w:rPr>
        <w:t xml:space="preserve">the current state of awareness of and willingness to learn about </w:t>
      </w:r>
      <w:r w:rsidR="003300E3">
        <w:rPr>
          <w:sz w:val="24"/>
        </w:rPr>
        <w:t xml:space="preserve">results from </w:t>
      </w:r>
      <w:r w:rsidR="00D321D1">
        <w:rPr>
          <w:sz w:val="24"/>
        </w:rPr>
        <w:t xml:space="preserve">comparative effectiveness research studies. </w:t>
      </w:r>
      <w:r w:rsidR="0060453A">
        <w:rPr>
          <w:sz w:val="24"/>
        </w:rPr>
        <w:t>The planned assessment approaches</w:t>
      </w:r>
      <w:r w:rsidR="00D321D1">
        <w:rPr>
          <w:sz w:val="24"/>
        </w:rPr>
        <w:t xml:space="preserve"> will promote better understanding of strategies that are most appropriate for use in incorporating comparativeness effectiveness research findings into CME</w:t>
      </w:r>
      <w:r w:rsidR="0060453A">
        <w:rPr>
          <w:sz w:val="24"/>
        </w:rPr>
        <w:t xml:space="preserve"> activities</w:t>
      </w:r>
      <w:r w:rsidR="00D321D1">
        <w:rPr>
          <w:sz w:val="24"/>
        </w:rPr>
        <w:t xml:space="preserve">, as well as understanding which strategies produce desired </w:t>
      </w:r>
      <w:r w:rsidR="006D16FA">
        <w:rPr>
          <w:sz w:val="24"/>
        </w:rPr>
        <w:t xml:space="preserve">educational </w:t>
      </w:r>
      <w:r w:rsidR="00D321D1">
        <w:rPr>
          <w:sz w:val="24"/>
        </w:rPr>
        <w:t xml:space="preserve">outcomes and are most acceptable to targeted learners—in this case clinical professionals.  The information generated will be used in designing learning programs for delivery through the Eisenberg Center for Clinical Decisions and Communications Science and will be shared with others in the CME community through journal articles, Web-based publications, and scientific presentations.  </w:t>
      </w:r>
    </w:p>
    <w:p w:rsidR="00932809" w:rsidRDefault="00932809">
      <w:pPr>
        <w:rPr>
          <w:sz w:val="24"/>
        </w:rPr>
      </w:pPr>
    </w:p>
    <w:p w:rsidR="00932809" w:rsidRPr="00FE6100" w:rsidRDefault="00932809">
      <w:pPr>
        <w:rPr>
          <w:b/>
          <w:i/>
          <w:sz w:val="24"/>
        </w:rPr>
      </w:pPr>
      <w:r w:rsidRPr="00FE6100">
        <w:rPr>
          <w:b/>
          <w:i/>
          <w:sz w:val="24"/>
        </w:rPr>
        <w:t>3.  Use of Improved Information Technology</w:t>
      </w:r>
    </w:p>
    <w:p w:rsidR="00932809" w:rsidRDefault="00932809">
      <w:pPr>
        <w:rPr>
          <w:sz w:val="24"/>
        </w:rPr>
      </w:pPr>
    </w:p>
    <w:p w:rsidR="00932809" w:rsidRDefault="00932809" w:rsidP="00C94B02">
      <w:pPr>
        <w:rPr>
          <w:sz w:val="24"/>
        </w:rPr>
      </w:pPr>
      <w:r>
        <w:rPr>
          <w:sz w:val="24"/>
        </w:rPr>
        <w:t xml:space="preserve">Improved electronic technology (e.g., Web-based materials) will be used whenever possible to reduce the burden on the public.    </w:t>
      </w:r>
    </w:p>
    <w:p w:rsidR="00932809" w:rsidRDefault="00932809">
      <w:pPr>
        <w:rPr>
          <w:sz w:val="24"/>
        </w:rPr>
      </w:pPr>
    </w:p>
    <w:p w:rsidR="00932809" w:rsidRPr="00C83B36" w:rsidRDefault="00932809">
      <w:pPr>
        <w:rPr>
          <w:b/>
          <w:i/>
          <w:sz w:val="24"/>
        </w:rPr>
      </w:pPr>
      <w:r w:rsidRPr="00C83B36">
        <w:rPr>
          <w:b/>
          <w:i/>
          <w:sz w:val="24"/>
        </w:rPr>
        <w:t>4.  Efforts to Identify Duplication</w:t>
      </w:r>
    </w:p>
    <w:p w:rsidR="00932809" w:rsidRDefault="00932809">
      <w:pPr>
        <w:rPr>
          <w:sz w:val="24"/>
        </w:rPr>
      </w:pPr>
    </w:p>
    <w:p w:rsidR="00932809" w:rsidRDefault="00932809" w:rsidP="001E5BEA">
      <w:pPr>
        <w:rPr>
          <w:sz w:val="24"/>
        </w:rPr>
      </w:pPr>
      <w:r>
        <w:rPr>
          <w:sz w:val="24"/>
        </w:rPr>
        <w:t xml:space="preserve">Through August of 2011, no reports could be identified in the literature that described data-gathering activities related to integration of products and findings from AHRQ’s Effective Health Care (EHC) Program into varied modes of CME.  </w:t>
      </w:r>
      <w:r w:rsidR="0001179F">
        <w:rPr>
          <w:sz w:val="24"/>
        </w:rPr>
        <w:t xml:space="preserve">AHRQ has </w:t>
      </w:r>
      <w:r>
        <w:rPr>
          <w:sz w:val="24"/>
        </w:rPr>
        <w:t xml:space="preserve">completed literature searches using both the PubMed search capabilities operated through the National Library of Medicine and using the Google search engine to determine if any data similar to this has been reported in the literature.  Based on reviews of the literature, it is clear that the work proposed through the project described, including the data gathering with the participating organizations, represents a new area of research that in no way duplicates previous efforts.        </w:t>
      </w:r>
    </w:p>
    <w:p w:rsidR="00932809" w:rsidRDefault="00932809">
      <w:pPr>
        <w:rPr>
          <w:sz w:val="24"/>
        </w:rPr>
      </w:pPr>
    </w:p>
    <w:p w:rsidR="00932809" w:rsidRPr="00C83B36" w:rsidRDefault="00932809" w:rsidP="00C83B36">
      <w:pPr>
        <w:rPr>
          <w:b/>
          <w:bCs/>
          <w:i/>
          <w:iCs/>
          <w:sz w:val="24"/>
        </w:rPr>
      </w:pPr>
      <w:bookmarkStart w:id="3" w:name="_Toc151782180"/>
      <w:bookmarkStart w:id="4" w:name="_Toc158526220"/>
      <w:r w:rsidRPr="00C83B36">
        <w:rPr>
          <w:b/>
          <w:bCs/>
          <w:i/>
          <w:iCs/>
          <w:sz w:val="24"/>
        </w:rPr>
        <w:t>5. Involvement of Small Entities</w:t>
      </w:r>
      <w:bookmarkEnd w:id="3"/>
      <w:bookmarkEnd w:id="4"/>
    </w:p>
    <w:p w:rsidR="00932809" w:rsidRDefault="00932809">
      <w:pPr>
        <w:rPr>
          <w:sz w:val="24"/>
        </w:rPr>
      </w:pPr>
    </w:p>
    <w:p w:rsidR="00932809" w:rsidRDefault="00932809" w:rsidP="00BD560E">
      <w:pPr>
        <w:rPr>
          <w:sz w:val="24"/>
        </w:rPr>
      </w:pPr>
      <w:r>
        <w:rPr>
          <w:sz w:val="24"/>
        </w:rPr>
        <w:t xml:space="preserve">The survey instruments </w:t>
      </w:r>
      <w:r w:rsidR="00D83272">
        <w:rPr>
          <w:sz w:val="24"/>
        </w:rPr>
        <w:t xml:space="preserve">independently developed and distributed by each participating institution </w:t>
      </w:r>
      <w:r w:rsidR="006D16FA">
        <w:rPr>
          <w:sz w:val="24"/>
        </w:rPr>
        <w:t xml:space="preserve">have been </w:t>
      </w:r>
      <w:r>
        <w:rPr>
          <w:sz w:val="24"/>
        </w:rPr>
        <w:t>designed to minimize the burden on all respondents and will not have a significant impact on small businesses or other small entities.  The methods are very familiar to developers and faculty of academic CME programs</w:t>
      </w:r>
      <w:r w:rsidR="0097438F">
        <w:rPr>
          <w:sz w:val="24"/>
        </w:rPr>
        <w:t>. C</w:t>
      </w:r>
      <w:r>
        <w:rPr>
          <w:sz w:val="24"/>
        </w:rPr>
        <w:t xml:space="preserve">linicians, including those required to obtain CME credit to maintain specialty certification or licensure, are accustomed to completing instruments of the type that will be used.  </w:t>
      </w:r>
    </w:p>
    <w:p w:rsidR="00932809" w:rsidRDefault="00932809">
      <w:pPr>
        <w:rPr>
          <w:sz w:val="24"/>
        </w:rPr>
      </w:pPr>
    </w:p>
    <w:p w:rsidR="00932809" w:rsidRPr="00C83B36" w:rsidRDefault="00932809">
      <w:pPr>
        <w:rPr>
          <w:b/>
          <w:bCs/>
          <w:i/>
          <w:iCs/>
          <w:sz w:val="24"/>
        </w:rPr>
      </w:pPr>
      <w:bookmarkStart w:id="5" w:name="_Toc151782181"/>
      <w:bookmarkStart w:id="6" w:name="_Toc158526221"/>
      <w:r w:rsidRPr="00C83B36">
        <w:rPr>
          <w:b/>
          <w:bCs/>
          <w:i/>
          <w:iCs/>
          <w:sz w:val="24"/>
        </w:rPr>
        <w:t>6. Consequences if Information Collected Less Frequently</w:t>
      </w:r>
      <w:bookmarkEnd w:id="5"/>
      <w:bookmarkEnd w:id="6"/>
    </w:p>
    <w:p w:rsidR="00932809" w:rsidRDefault="00932809">
      <w:pPr>
        <w:rPr>
          <w:sz w:val="24"/>
        </w:rPr>
      </w:pPr>
    </w:p>
    <w:p w:rsidR="00D759DD" w:rsidRDefault="00932809">
      <w:pPr>
        <w:rPr>
          <w:sz w:val="24"/>
        </w:rPr>
      </w:pPr>
      <w:r>
        <w:rPr>
          <w:sz w:val="24"/>
        </w:rPr>
        <w:t>The proposed data collection activities are one-time efforts designed to guide future development of materials for use by academic health science centers in disseminating EHC products to academic audiences.  There are no plans to gather this information again, but the results will guide preparation of future data collection efforts associated with development, delivery, and assessment of other CME offerings that integrate EHC products.</w:t>
      </w:r>
    </w:p>
    <w:p w:rsidR="00932809" w:rsidRDefault="00932809">
      <w:pPr>
        <w:rPr>
          <w:b/>
          <w:i/>
          <w:sz w:val="24"/>
        </w:rPr>
      </w:pPr>
      <w:r>
        <w:rPr>
          <w:sz w:val="24"/>
        </w:rPr>
        <w:t xml:space="preserve"> </w:t>
      </w:r>
    </w:p>
    <w:p w:rsidR="00932809" w:rsidRPr="00C83B36" w:rsidRDefault="00932809">
      <w:pPr>
        <w:rPr>
          <w:b/>
          <w:i/>
          <w:sz w:val="24"/>
        </w:rPr>
      </w:pPr>
      <w:r w:rsidRPr="00C83B36">
        <w:rPr>
          <w:b/>
          <w:i/>
          <w:sz w:val="24"/>
        </w:rPr>
        <w:t>7. Special Circumstances</w:t>
      </w:r>
    </w:p>
    <w:p w:rsidR="00932809" w:rsidRDefault="00932809">
      <w:pPr>
        <w:rPr>
          <w:sz w:val="24"/>
        </w:rPr>
      </w:pPr>
    </w:p>
    <w:p w:rsidR="00932809" w:rsidRPr="003A53F9" w:rsidRDefault="00932809">
      <w:pPr>
        <w:rPr>
          <w:color w:val="FF0000"/>
          <w:sz w:val="24"/>
        </w:rPr>
      </w:pPr>
      <w:r w:rsidRPr="00C83B36">
        <w:rPr>
          <w:sz w:val="24"/>
        </w:rPr>
        <w:t>This request is consistent with the general information collection guidelines of 5 CFR 1320.5(d)(2).  No special circumstances apply.</w:t>
      </w:r>
      <w:r>
        <w:rPr>
          <w:sz w:val="24"/>
        </w:rPr>
        <w:t xml:space="preserve">  </w:t>
      </w:r>
    </w:p>
    <w:p w:rsidR="00932809" w:rsidRDefault="00932809">
      <w:pPr>
        <w:rPr>
          <w:sz w:val="24"/>
        </w:rPr>
      </w:pPr>
    </w:p>
    <w:p w:rsidR="00932809" w:rsidRDefault="00932809">
      <w:pPr>
        <w:rPr>
          <w:b/>
          <w:i/>
          <w:sz w:val="24"/>
        </w:rPr>
      </w:pPr>
      <w:bookmarkStart w:id="7" w:name="_Toc151782183"/>
      <w:bookmarkStart w:id="8" w:name="_Toc158526223"/>
      <w:r w:rsidRPr="00C83B36">
        <w:rPr>
          <w:b/>
          <w:i/>
          <w:sz w:val="24"/>
        </w:rPr>
        <w:t xml:space="preserve">8. </w:t>
      </w:r>
      <w:bookmarkEnd w:id="7"/>
      <w:bookmarkEnd w:id="8"/>
      <w:r w:rsidRPr="00C83B36">
        <w:rPr>
          <w:b/>
          <w:i/>
          <w:sz w:val="24"/>
        </w:rPr>
        <w:t>Federal Register Notice and Outside Consultations</w:t>
      </w:r>
    </w:p>
    <w:p w:rsidR="00932809" w:rsidRDefault="00932809">
      <w:pPr>
        <w:rPr>
          <w:b/>
          <w:i/>
          <w:sz w:val="24"/>
        </w:rPr>
      </w:pPr>
    </w:p>
    <w:p w:rsidR="00932809" w:rsidRPr="0090230D" w:rsidRDefault="00932809" w:rsidP="0090230D">
      <w:pPr>
        <w:rPr>
          <w:b/>
          <w:bCs/>
          <w:i/>
          <w:iCs/>
          <w:sz w:val="24"/>
        </w:rPr>
      </w:pPr>
      <w:r w:rsidRPr="0090230D">
        <w:rPr>
          <w:b/>
          <w:i/>
          <w:sz w:val="24"/>
        </w:rPr>
        <w:t xml:space="preserve">8.a. </w:t>
      </w:r>
      <w:r w:rsidRPr="0090230D">
        <w:rPr>
          <w:b/>
          <w:bCs/>
          <w:i/>
          <w:iCs/>
          <w:sz w:val="24"/>
        </w:rPr>
        <w:t>Federal Register Notice</w:t>
      </w:r>
    </w:p>
    <w:p w:rsidR="00932809" w:rsidRDefault="00932809">
      <w:pPr>
        <w:rPr>
          <w:sz w:val="24"/>
        </w:rPr>
      </w:pPr>
    </w:p>
    <w:p w:rsidR="00932809" w:rsidRDefault="00932809">
      <w:pPr>
        <w:rPr>
          <w:sz w:val="24"/>
        </w:rPr>
      </w:pPr>
      <w:r w:rsidRPr="0090230D">
        <w:rPr>
          <w:sz w:val="24"/>
        </w:rPr>
        <w:t xml:space="preserve">As required by 5 CFR 1320.8(d), notice was published in the Federal Register on </w:t>
      </w:r>
      <w:r w:rsidRPr="0090230D">
        <w:rPr>
          <w:i/>
          <w:sz w:val="24"/>
        </w:rPr>
        <w:t>(date and page number of 60 day notice)</w:t>
      </w:r>
      <w:r w:rsidRPr="0090230D">
        <w:rPr>
          <w:sz w:val="24"/>
        </w:rPr>
        <w:t xml:space="preserve"> for 60 days (see attachment </w:t>
      </w:r>
      <w:r w:rsidRPr="0090230D">
        <w:rPr>
          <w:i/>
          <w:sz w:val="24"/>
        </w:rPr>
        <w:t>X</w:t>
      </w:r>
      <w:r w:rsidRPr="0090230D">
        <w:rPr>
          <w:sz w:val="24"/>
        </w:rPr>
        <w:t>).</w:t>
      </w:r>
    </w:p>
    <w:p w:rsidR="00932809" w:rsidRDefault="00932809">
      <w:pPr>
        <w:rPr>
          <w:sz w:val="24"/>
        </w:rPr>
      </w:pPr>
    </w:p>
    <w:p w:rsidR="00932809" w:rsidRPr="00912B73" w:rsidRDefault="00932809">
      <w:pPr>
        <w:rPr>
          <w:b/>
          <w:i/>
          <w:sz w:val="24"/>
        </w:rPr>
      </w:pPr>
      <w:r w:rsidRPr="00912B73">
        <w:rPr>
          <w:b/>
          <w:i/>
          <w:sz w:val="24"/>
        </w:rPr>
        <w:t xml:space="preserve">8.b.  </w:t>
      </w:r>
      <w:r w:rsidRPr="00912B73">
        <w:rPr>
          <w:b/>
          <w:i/>
          <w:sz w:val="24"/>
          <w:szCs w:val="24"/>
        </w:rPr>
        <w:t>Outside Consultations</w:t>
      </w:r>
    </w:p>
    <w:p w:rsidR="00932809" w:rsidRDefault="00932809">
      <w:pPr>
        <w:rPr>
          <w:sz w:val="24"/>
        </w:rPr>
      </w:pPr>
    </w:p>
    <w:p w:rsidR="00932809" w:rsidRPr="005C4B92" w:rsidRDefault="00932809" w:rsidP="00DE2474">
      <w:pPr>
        <w:rPr>
          <w:sz w:val="24"/>
        </w:rPr>
      </w:pPr>
      <w:r w:rsidRPr="005C4B92">
        <w:rPr>
          <w:sz w:val="24"/>
        </w:rPr>
        <w:t xml:space="preserve">To achieve its evaluation goals, the </w:t>
      </w:r>
      <w:r>
        <w:rPr>
          <w:sz w:val="24"/>
        </w:rPr>
        <w:t>EC-BCM work</w:t>
      </w:r>
      <w:r w:rsidR="006D16FA">
        <w:rPr>
          <w:sz w:val="24"/>
        </w:rPr>
        <w:t>s</w:t>
      </w:r>
      <w:r>
        <w:rPr>
          <w:sz w:val="24"/>
        </w:rPr>
        <w:t xml:space="preserve"> </w:t>
      </w:r>
      <w:r w:rsidRPr="005C4B92">
        <w:rPr>
          <w:sz w:val="24"/>
        </w:rPr>
        <w:t>closely with a three-member panel of CME thought leaders</w:t>
      </w:r>
      <w:r w:rsidR="00E02014">
        <w:rPr>
          <w:sz w:val="24"/>
        </w:rPr>
        <w:t xml:space="preserve"> </w:t>
      </w:r>
      <w:r w:rsidR="00E02014" w:rsidRPr="00E02014">
        <w:rPr>
          <w:sz w:val="24"/>
        </w:rPr>
        <w:t xml:space="preserve">(i.e., individuals who have gained national recognition for </w:t>
      </w:r>
      <w:r w:rsidR="006D16FA">
        <w:rPr>
          <w:sz w:val="24"/>
        </w:rPr>
        <w:t xml:space="preserve">their knowledge of advancing CME through research and dissemination </w:t>
      </w:r>
      <w:r w:rsidR="00E02014" w:rsidRPr="00E02014">
        <w:rPr>
          <w:sz w:val="24"/>
        </w:rPr>
        <w:t>)</w:t>
      </w:r>
      <w:r w:rsidR="00E02014">
        <w:rPr>
          <w:sz w:val="24"/>
        </w:rPr>
        <w:t>,</w:t>
      </w:r>
      <w:r w:rsidR="005655CD">
        <w:rPr>
          <w:sz w:val="24"/>
        </w:rPr>
        <w:t xml:space="preserve"> </w:t>
      </w:r>
      <w:r w:rsidRPr="005C4B92">
        <w:rPr>
          <w:sz w:val="24"/>
        </w:rPr>
        <w:t>supplemented by two</w:t>
      </w:r>
      <w:r>
        <w:rPr>
          <w:sz w:val="24"/>
        </w:rPr>
        <w:t xml:space="preserve"> EC-BCM </w:t>
      </w:r>
      <w:r w:rsidRPr="005C4B92">
        <w:rPr>
          <w:sz w:val="24"/>
        </w:rPr>
        <w:t xml:space="preserve">members who have high levels of expertise and experience in evaluation methodology and applied research. This Evaluation Subcommittee </w:t>
      </w:r>
      <w:r>
        <w:rPr>
          <w:sz w:val="24"/>
        </w:rPr>
        <w:t xml:space="preserve">has provided guidance in designing the instruments and assessment methodologies and </w:t>
      </w:r>
      <w:r w:rsidRPr="005C4B92">
        <w:rPr>
          <w:sz w:val="24"/>
        </w:rPr>
        <w:t xml:space="preserve">will continue to be engaged throughout the course of the </w:t>
      </w:r>
      <w:r>
        <w:rPr>
          <w:sz w:val="24"/>
        </w:rPr>
        <w:t>evaluation activities</w:t>
      </w:r>
      <w:r w:rsidRPr="005C4B92">
        <w:rPr>
          <w:sz w:val="24"/>
        </w:rPr>
        <w:t xml:space="preserve">. </w:t>
      </w:r>
      <w:r>
        <w:rPr>
          <w:sz w:val="24"/>
        </w:rPr>
        <w:t xml:space="preserve">No other external entities will be engaged for consultation. </w:t>
      </w:r>
      <w:r w:rsidRPr="005C4B92">
        <w:rPr>
          <w:sz w:val="24"/>
        </w:rPr>
        <w:t xml:space="preserve">  </w:t>
      </w:r>
    </w:p>
    <w:p w:rsidR="00F53FDB" w:rsidRDefault="00F53FDB">
      <w:pPr>
        <w:tabs>
          <w:tab w:val="left" w:pos="720"/>
          <w:tab w:val="left" w:pos="1440"/>
          <w:tab w:val="left" w:pos="2160"/>
          <w:tab w:val="left" w:pos="2880"/>
          <w:tab w:val="left" w:pos="3600"/>
        </w:tabs>
        <w:ind w:left="3715" w:hanging="3715"/>
        <w:rPr>
          <w:b/>
          <w:i/>
          <w:sz w:val="24"/>
        </w:rPr>
      </w:pPr>
    </w:p>
    <w:p w:rsidR="00932809" w:rsidRPr="00912C87" w:rsidRDefault="00932809">
      <w:pPr>
        <w:tabs>
          <w:tab w:val="left" w:pos="720"/>
          <w:tab w:val="left" w:pos="1440"/>
          <w:tab w:val="left" w:pos="2160"/>
          <w:tab w:val="left" w:pos="2880"/>
          <w:tab w:val="left" w:pos="3600"/>
        </w:tabs>
        <w:ind w:left="3715" w:hanging="3715"/>
        <w:rPr>
          <w:b/>
          <w:i/>
          <w:sz w:val="24"/>
        </w:rPr>
      </w:pPr>
      <w:r w:rsidRPr="00912C87">
        <w:rPr>
          <w:b/>
          <w:i/>
          <w:sz w:val="24"/>
        </w:rPr>
        <w:t>9. Payments/Gifts to Respondents</w:t>
      </w:r>
      <w:r w:rsidRPr="00912C87">
        <w:rPr>
          <w:b/>
          <w:i/>
          <w:sz w:val="24"/>
        </w:rPr>
        <w:tab/>
        <w:t xml:space="preserve">   </w:t>
      </w:r>
    </w:p>
    <w:p w:rsidR="00932809" w:rsidRDefault="00932809">
      <w:pPr>
        <w:rPr>
          <w:sz w:val="24"/>
        </w:rPr>
      </w:pPr>
    </w:p>
    <w:p w:rsidR="00932809" w:rsidRDefault="00932809">
      <w:pPr>
        <w:rPr>
          <w:sz w:val="24"/>
        </w:rPr>
      </w:pPr>
      <w:r>
        <w:rPr>
          <w:sz w:val="24"/>
        </w:rPr>
        <w:t xml:space="preserve">No remuneration will be given to respondents for written, web, or other forms of surveys, though consideration will be given </w:t>
      </w:r>
      <w:r w:rsidR="005752FD">
        <w:rPr>
          <w:sz w:val="24"/>
        </w:rPr>
        <w:t>to</w:t>
      </w:r>
      <w:r>
        <w:rPr>
          <w:sz w:val="24"/>
        </w:rPr>
        <w:t xml:space="preserve"> </w:t>
      </w:r>
      <w:r w:rsidR="005752FD">
        <w:rPr>
          <w:sz w:val="24"/>
        </w:rPr>
        <w:t xml:space="preserve">providing </w:t>
      </w:r>
      <w:r>
        <w:rPr>
          <w:sz w:val="24"/>
        </w:rPr>
        <w:t xml:space="preserve">modest remuneration </w:t>
      </w:r>
      <w:r w:rsidR="005752FD">
        <w:rPr>
          <w:sz w:val="24"/>
        </w:rPr>
        <w:t xml:space="preserve">to </w:t>
      </w:r>
      <w:r w:rsidR="00E351F7">
        <w:rPr>
          <w:sz w:val="24"/>
        </w:rPr>
        <w:t xml:space="preserve">interviewed faculty members who are </w:t>
      </w:r>
      <w:r>
        <w:rPr>
          <w:sz w:val="24"/>
        </w:rPr>
        <w:t xml:space="preserve">clinicians.  In such cases, the remuneration </w:t>
      </w:r>
      <w:r w:rsidR="005752FD">
        <w:rPr>
          <w:sz w:val="24"/>
        </w:rPr>
        <w:t xml:space="preserve">amount </w:t>
      </w:r>
      <w:r>
        <w:rPr>
          <w:sz w:val="24"/>
        </w:rPr>
        <w:t>will not exceed $250 per individual</w:t>
      </w:r>
      <w:r w:rsidR="00FE4AA9">
        <w:rPr>
          <w:sz w:val="24"/>
        </w:rPr>
        <w:t>,</w:t>
      </w:r>
      <w:r>
        <w:rPr>
          <w:sz w:val="24"/>
        </w:rPr>
        <w:t xml:space="preserve"> with the same remuneration offered to all clinicians participating in a specific activity.  </w:t>
      </w:r>
      <w:r w:rsidR="00204ACF">
        <w:rPr>
          <w:sz w:val="24"/>
        </w:rPr>
        <w:t xml:space="preserve">Clinicians </w:t>
      </w:r>
      <w:r w:rsidRPr="007442AF">
        <w:rPr>
          <w:sz w:val="24"/>
        </w:rPr>
        <w:t xml:space="preserve">have limited time availability and are accustomed to receiving similar levels of recompense for their input. </w:t>
      </w:r>
      <w:r w:rsidR="007442AF">
        <w:rPr>
          <w:sz w:val="24"/>
        </w:rPr>
        <w:t xml:space="preserve">In a 2005 paper examining payment practices </w:t>
      </w:r>
      <w:r w:rsidR="009C7BD6">
        <w:rPr>
          <w:sz w:val="24"/>
        </w:rPr>
        <w:t>used in</w:t>
      </w:r>
      <w:r w:rsidR="007442AF" w:rsidRPr="007442AF">
        <w:rPr>
          <w:sz w:val="24"/>
        </w:rPr>
        <w:t xml:space="preserve"> 467 studies involving patients and non-patients, including physicians</w:t>
      </w:r>
      <w:r w:rsidR="007442AF">
        <w:rPr>
          <w:sz w:val="24"/>
        </w:rPr>
        <w:t xml:space="preserve">, in over half </w:t>
      </w:r>
      <w:r w:rsidR="007442AF" w:rsidRPr="007442AF">
        <w:rPr>
          <w:sz w:val="24"/>
        </w:rPr>
        <w:t xml:space="preserve">(55.8%) </w:t>
      </w:r>
      <w:r w:rsidR="007442AF">
        <w:rPr>
          <w:sz w:val="24"/>
        </w:rPr>
        <w:t xml:space="preserve">of </w:t>
      </w:r>
      <w:r w:rsidR="007442AF" w:rsidRPr="007442AF">
        <w:rPr>
          <w:sz w:val="24"/>
        </w:rPr>
        <w:t>the studies, payments ranged from $100 to $500, and in 14.8% of studies, payment for participation exceeded $500.  Even with the reimbursement levels reported, the study authors questioned “whether people receive enough for the contribution they are making to research”</w:t>
      </w:r>
      <w:r w:rsidR="00E351F7">
        <w:rPr>
          <w:sz w:val="24"/>
        </w:rPr>
        <w:t xml:space="preserve"> (</w:t>
      </w:r>
      <w:r w:rsidR="00E351F7" w:rsidRPr="00E351F7">
        <w:rPr>
          <w:sz w:val="24"/>
        </w:rPr>
        <w:t>Grady C, Dickert N</w:t>
      </w:r>
      <w:r w:rsidR="00E351F7">
        <w:rPr>
          <w:sz w:val="24"/>
        </w:rPr>
        <w:t>.</w:t>
      </w:r>
      <w:r w:rsidR="00E351F7" w:rsidRPr="00E351F7">
        <w:rPr>
          <w:sz w:val="24"/>
        </w:rPr>
        <w:t>, Jawetz T</w:t>
      </w:r>
      <w:r w:rsidR="00E351F7">
        <w:rPr>
          <w:sz w:val="24"/>
        </w:rPr>
        <w:t>.</w:t>
      </w:r>
      <w:r w:rsidR="00E351F7" w:rsidRPr="00E351F7">
        <w:rPr>
          <w:sz w:val="24"/>
        </w:rPr>
        <w:t>, Gensler G</w:t>
      </w:r>
      <w:r w:rsidR="00E351F7">
        <w:rPr>
          <w:sz w:val="24"/>
        </w:rPr>
        <w:t>.</w:t>
      </w:r>
      <w:r w:rsidR="00E351F7" w:rsidRPr="00E351F7">
        <w:rPr>
          <w:sz w:val="24"/>
        </w:rPr>
        <w:t xml:space="preserve">, Emanuel E. </w:t>
      </w:r>
      <w:r w:rsidR="00E351F7">
        <w:rPr>
          <w:sz w:val="24"/>
        </w:rPr>
        <w:t>"</w:t>
      </w:r>
      <w:r w:rsidR="00E351F7" w:rsidRPr="00E351F7">
        <w:rPr>
          <w:sz w:val="24"/>
        </w:rPr>
        <w:t xml:space="preserve">An analysis of U.S. practices </w:t>
      </w:r>
      <w:r w:rsidR="00E351F7">
        <w:rPr>
          <w:sz w:val="24"/>
        </w:rPr>
        <w:t>of paying research participants,"</w:t>
      </w:r>
      <w:r w:rsidR="00E351F7" w:rsidRPr="00E351F7">
        <w:rPr>
          <w:sz w:val="24"/>
        </w:rPr>
        <w:t xml:space="preserve"> Contemp</w:t>
      </w:r>
      <w:r w:rsidR="00E351F7">
        <w:rPr>
          <w:sz w:val="24"/>
        </w:rPr>
        <w:t>orary</w:t>
      </w:r>
      <w:r w:rsidR="00E351F7" w:rsidRPr="00E351F7">
        <w:rPr>
          <w:sz w:val="24"/>
        </w:rPr>
        <w:t xml:space="preserve"> Clin</w:t>
      </w:r>
      <w:r w:rsidR="00E351F7">
        <w:rPr>
          <w:sz w:val="24"/>
        </w:rPr>
        <w:t>incal Trials,</w:t>
      </w:r>
      <w:r w:rsidR="00E351F7" w:rsidRPr="00E351F7">
        <w:rPr>
          <w:sz w:val="24"/>
        </w:rPr>
        <w:t xml:space="preserve"> Jun</w:t>
      </w:r>
      <w:r w:rsidR="00E351F7">
        <w:rPr>
          <w:sz w:val="24"/>
        </w:rPr>
        <w:t>e</w:t>
      </w:r>
      <w:r w:rsidR="00E351F7" w:rsidRPr="00E351F7">
        <w:rPr>
          <w:sz w:val="24"/>
        </w:rPr>
        <w:t xml:space="preserve"> 2005;</w:t>
      </w:r>
      <w:r w:rsidR="00E351F7">
        <w:rPr>
          <w:sz w:val="24"/>
        </w:rPr>
        <w:t xml:space="preserve"> </w:t>
      </w:r>
      <w:r w:rsidR="00E351F7" w:rsidRPr="00E351F7">
        <w:rPr>
          <w:sz w:val="24"/>
        </w:rPr>
        <w:t>26(3):</w:t>
      </w:r>
      <w:r w:rsidR="00E351F7">
        <w:rPr>
          <w:sz w:val="24"/>
        </w:rPr>
        <w:t xml:space="preserve"> </w:t>
      </w:r>
      <w:r w:rsidR="00E351F7" w:rsidRPr="00E351F7">
        <w:rPr>
          <w:sz w:val="24"/>
        </w:rPr>
        <w:t>365-375</w:t>
      </w:r>
      <w:r w:rsidR="00E351F7">
        <w:rPr>
          <w:sz w:val="24"/>
        </w:rPr>
        <w:t>)</w:t>
      </w:r>
      <w:r w:rsidR="00E351F7" w:rsidRPr="00E351F7">
        <w:rPr>
          <w:sz w:val="24"/>
        </w:rPr>
        <w:t>.</w:t>
      </w:r>
      <w:r w:rsidR="007442AF">
        <w:rPr>
          <w:sz w:val="24"/>
          <w:vertAlign w:val="superscript"/>
        </w:rPr>
        <w:t xml:space="preserve">  </w:t>
      </w:r>
      <w:r>
        <w:rPr>
          <w:sz w:val="24"/>
        </w:rPr>
        <w:t xml:space="preserve">Remuneration for interviews and other activities demanding </w:t>
      </w:r>
      <w:r w:rsidR="00204ACF">
        <w:rPr>
          <w:sz w:val="24"/>
        </w:rPr>
        <w:t xml:space="preserve">clinician </w:t>
      </w:r>
      <w:r>
        <w:rPr>
          <w:sz w:val="24"/>
        </w:rPr>
        <w:t xml:space="preserve">time is a recognized standard industry practice, without which it would be difficult to achieve appropriate and adequate participation. </w:t>
      </w:r>
    </w:p>
    <w:p w:rsidR="006D16FA" w:rsidRDefault="006D16FA">
      <w:pPr>
        <w:rPr>
          <w:sz w:val="24"/>
        </w:rPr>
      </w:pPr>
    </w:p>
    <w:p w:rsidR="00932809" w:rsidRPr="006535FA" w:rsidRDefault="00932809">
      <w:pPr>
        <w:rPr>
          <w:b/>
          <w:i/>
          <w:sz w:val="24"/>
        </w:rPr>
      </w:pPr>
      <w:r>
        <w:rPr>
          <w:sz w:val="24"/>
        </w:rPr>
        <w:t xml:space="preserve">  </w:t>
      </w:r>
      <w:r w:rsidRPr="006535FA">
        <w:rPr>
          <w:b/>
          <w:i/>
          <w:sz w:val="24"/>
        </w:rPr>
        <w:t>10.  Assurance of Confidentiality</w:t>
      </w:r>
    </w:p>
    <w:p w:rsidR="00932809" w:rsidRDefault="00932809">
      <w:pPr>
        <w:rPr>
          <w:b/>
          <w:sz w:val="24"/>
          <w:u w:val="single"/>
        </w:rPr>
      </w:pPr>
    </w:p>
    <w:p w:rsidR="00932809" w:rsidRDefault="00932809" w:rsidP="006535FA">
      <w:pPr>
        <w:rPr>
          <w:sz w:val="24"/>
        </w:rPr>
      </w:pPr>
      <w:r w:rsidRPr="006535FA">
        <w:rPr>
          <w:sz w:val="24"/>
        </w:rPr>
        <w:t>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w:t>
      </w:r>
    </w:p>
    <w:p w:rsidR="00932809" w:rsidRPr="006535FA" w:rsidRDefault="00932809" w:rsidP="006535FA">
      <w:pPr>
        <w:rPr>
          <w:sz w:val="24"/>
        </w:rPr>
      </w:pPr>
      <w:r w:rsidRPr="006535FA">
        <w:rPr>
          <w:sz w:val="24"/>
        </w:rPr>
        <w:t xml:space="preserve"> </w:t>
      </w:r>
    </w:p>
    <w:p w:rsidR="00932809" w:rsidRDefault="00932809">
      <w:pPr>
        <w:rPr>
          <w:sz w:val="24"/>
        </w:rPr>
      </w:pPr>
      <w:r>
        <w:rPr>
          <w:sz w:val="24"/>
        </w:rPr>
        <w:t xml:space="preserve">Respondents will be advised that </w:t>
      </w:r>
      <w:r w:rsidR="00DB46A4">
        <w:rPr>
          <w:sz w:val="24"/>
        </w:rPr>
        <w:t>the</w:t>
      </w:r>
      <w:r>
        <w:rPr>
          <w:sz w:val="24"/>
        </w:rPr>
        <w:t xml:space="preserve"> data collection activities in which they may be asked to participate are entirely voluntary, any information they provide will be combined and summarized with information provided by others</w:t>
      </w:r>
      <w:r w:rsidR="006D16FA">
        <w:rPr>
          <w:sz w:val="24"/>
        </w:rPr>
        <w:t>,</w:t>
      </w:r>
      <w:r>
        <w:rPr>
          <w:sz w:val="24"/>
        </w:rPr>
        <w:t xml:space="preserve"> and no individually identifiable information will be released.  In instances where respondent identifiers are needed, information collection will fully comply with all requirements of the Privacy Act.  </w:t>
      </w:r>
    </w:p>
    <w:p w:rsidR="00932809" w:rsidRDefault="00932809">
      <w:pPr>
        <w:rPr>
          <w:sz w:val="24"/>
        </w:rPr>
      </w:pPr>
    </w:p>
    <w:p w:rsidR="00932809" w:rsidRPr="00F345B2" w:rsidRDefault="00932809">
      <w:pPr>
        <w:rPr>
          <w:b/>
          <w:i/>
          <w:sz w:val="24"/>
        </w:rPr>
      </w:pPr>
      <w:r w:rsidRPr="00F345B2">
        <w:rPr>
          <w:b/>
          <w:i/>
          <w:sz w:val="24"/>
        </w:rPr>
        <w:t>11.  Questions of a Sensitive Nature</w:t>
      </w:r>
    </w:p>
    <w:p w:rsidR="00932809" w:rsidRDefault="00932809">
      <w:pPr>
        <w:rPr>
          <w:sz w:val="24"/>
        </w:rPr>
      </w:pPr>
    </w:p>
    <w:p w:rsidR="00932809" w:rsidRDefault="006D16FA" w:rsidP="002F7931">
      <w:pPr>
        <w:rPr>
          <w:sz w:val="24"/>
        </w:rPr>
      </w:pPr>
      <w:r>
        <w:rPr>
          <w:sz w:val="24"/>
        </w:rPr>
        <w:t>There are n</w:t>
      </w:r>
      <w:r w:rsidR="00932809">
        <w:rPr>
          <w:sz w:val="24"/>
        </w:rPr>
        <w:t>o ques</w:t>
      </w:r>
      <w:r w:rsidR="00932809" w:rsidRPr="00446925">
        <w:rPr>
          <w:sz w:val="24"/>
        </w:rPr>
        <w:t xml:space="preserve">tions of a sensitive nature.  </w:t>
      </w:r>
      <w:r w:rsidR="00932809" w:rsidRPr="003573CB">
        <w:rPr>
          <w:sz w:val="24"/>
        </w:rPr>
        <w:t>Although some data gathering may deal with specific health conditions</w:t>
      </w:r>
      <w:r w:rsidR="00932809">
        <w:rPr>
          <w:sz w:val="24"/>
        </w:rPr>
        <w:t xml:space="preserve"> as an educational topic</w:t>
      </w:r>
      <w:r w:rsidR="00932809" w:rsidRPr="003573CB">
        <w:rPr>
          <w:sz w:val="24"/>
        </w:rPr>
        <w:t xml:space="preserve">, the focus of the </w:t>
      </w:r>
      <w:r w:rsidR="00932809">
        <w:rPr>
          <w:sz w:val="24"/>
        </w:rPr>
        <w:t xml:space="preserve">assessment </w:t>
      </w:r>
      <w:r w:rsidR="009370AE">
        <w:rPr>
          <w:sz w:val="24"/>
        </w:rPr>
        <w:t xml:space="preserve">is </w:t>
      </w:r>
      <w:r w:rsidR="00932809" w:rsidRPr="003573CB">
        <w:rPr>
          <w:sz w:val="24"/>
        </w:rPr>
        <w:t xml:space="preserve">on </w:t>
      </w:r>
      <w:r w:rsidR="00932809">
        <w:rPr>
          <w:sz w:val="24"/>
        </w:rPr>
        <w:t xml:space="preserve">knowledge gained of the topic and </w:t>
      </w:r>
      <w:r w:rsidR="00932809" w:rsidRPr="003573CB">
        <w:rPr>
          <w:sz w:val="24"/>
        </w:rPr>
        <w:t>the method of delivery of the information, rather than on any personal issues around a health condition or how it is managed.</w:t>
      </w:r>
      <w:r w:rsidR="00932809">
        <w:rPr>
          <w:sz w:val="24"/>
        </w:rPr>
        <w:t xml:space="preserve"> </w:t>
      </w:r>
      <w:bookmarkStart w:id="9" w:name="_Toc151782187"/>
      <w:bookmarkStart w:id="10" w:name="_Toc158526227"/>
    </w:p>
    <w:p w:rsidR="00932809" w:rsidRDefault="00932809" w:rsidP="002F7931">
      <w:pPr>
        <w:rPr>
          <w:sz w:val="24"/>
        </w:rPr>
      </w:pPr>
    </w:p>
    <w:p w:rsidR="004A211D" w:rsidRDefault="004A211D">
      <w:pPr>
        <w:rPr>
          <w:b/>
          <w:i/>
          <w:sz w:val="24"/>
        </w:rPr>
      </w:pPr>
      <w:r>
        <w:rPr>
          <w:b/>
          <w:i/>
          <w:sz w:val="24"/>
        </w:rPr>
        <w:br w:type="page"/>
      </w:r>
    </w:p>
    <w:p w:rsidR="00932809" w:rsidRDefault="00932809" w:rsidP="002F7931">
      <w:pPr>
        <w:rPr>
          <w:b/>
          <w:i/>
          <w:sz w:val="24"/>
        </w:rPr>
      </w:pPr>
      <w:r w:rsidRPr="00952D0A">
        <w:rPr>
          <w:b/>
          <w:i/>
          <w:sz w:val="24"/>
        </w:rPr>
        <w:t>12. Estimates of</w:t>
      </w:r>
      <w:r>
        <w:rPr>
          <w:b/>
          <w:i/>
          <w:sz w:val="24"/>
        </w:rPr>
        <w:t xml:space="preserve"> Annualized</w:t>
      </w:r>
      <w:r w:rsidRPr="00952D0A">
        <w:rPr>
          <w:b/>
          <w:i/>
          <w:sz w:val="24"/>
        </w:rPr>
        <w:t xml:space="preserve"> Burden Hours and Costs</w:t>
      </w:r>
      <w:bookmarkEnd w:id="9"/>
      <w:bookmarkEnd w:id="10"/>
    </w:p>
    <w:p w:rsidR="00932809" w:rsidRDefault="00932809" w:rsidP="00F66DDB">
      <w:pPr>
        <w:rPr>
          <w:sz w:val="24"/>
        </w:rPr>
      </w:pPr>
    </w:p>
    <w:p w:rsidR="00932809" w:rsidRPr="00117D4A" w:rsidRDefault="00932809" w:rsidP="00F66DDB">
      <w:pPr>
        <w:rPr>
          <w:sz w:val="24"/>
          <w:szCs w:val="24"/>
        </w:rPr>
      </w:pPr>
      <w:r w:rsidRPr="00117D4A">
        <w:rPr>
          <w:sz w:val="24"/>
          <w:szCs w:val="24"/>
        </w:rPr>
        <w:t>Exhibit 1 shows the estimated annualized burden for the respondents' time to</w:t>
      </w:r>
      <w:r w:rsidR="00DB46A4">
        <w:rPr>
          <w:sz w:val="24"/>
          <w:szCs w:val="24"/>
        </w:rPr>
        <w:t xml:space="preserve"> participate in this research. </w:t>
      </w:r>
      <w:r>
        <w:rPr>
          <w:sz w:val="24"/>
          <w:szCs w:val="24"/>
        </w:rPr>
        <w:t xml:space="preserve">Interviews will be conducted with </w:t>
      </w:r>
      <w:r w:rsidR="007454FA">
        <w:rPr>
          <w:sz w:val="24"/>
          <w:szCs w:val="24"/>
        </w:rPr>
        <w:t xml:space="preserve">each </w:t>
      </w:r>
      <w:r>
        <w:rPr>
          <w:sz w:val="24"/>
          <w:szCs w:val="24"/>
        </w:rPr>
        <w:t xml:space="preserve">CME </w:t>
      </w:r>
      <w:r w:rsidR="008A7757">
        <w:rPr>
          <w:sz w:val="24"/>
          <w:szCs w:val="24"/>
        </w:rPr>
        <w:t xml:space="preserve">Project Director </w:t>
      </w:r>
      <w:r>
        <w:rPr>
          <w:sz w:val="24"/>
          <w:szCs w:val="24"/>
        </w:rPr>
        <w:t xml:space="preserve">and will last </w:t>
      </w:r>
      <w:r w:rsidR="008A7757">
        <w:rPr>
          <w:sz w:val="24"/>
          <w:szCs w:val="24"/>
        </w:rPr>
        <w:t xml:space="preserve">about </w:t>
      </w:r>
      <w:r>
        <w:rPr>
          <w:sz w:val="24"/>
          <w:szCs w:val="24"/>
        </w:rPr>
        <w:t>30 minutes, while the f</w:t>
      </w:r>
      <w:r w:rsidRPr="00117D4A">
        <w:rPr>
          <w:sz w:val="24"/>
          <w:szCs w:val="24"/>
        </w:rPr>
        <w:t>ocus group</w:t>
      </w:r>
      <w:r>
        <w:rPr>
          <w:sz w:val="24"/>
          <w:szCs w:val="24"/>
        </w:rPr>
        <w:t xml:space="preserve"> </w:t>
      </w:r>
      <w:r w:rsidRPr="00117D4A">
        <w:rPr>
          <w:sz w:val="24"/>
          <w:szCs w:val="24"/>
        </w:rPr>
        <w:t xml:space="preserve">will last about 90 minutes.  </w:t>
      </w:r>
      <w:r>
        <w:rPr>
          <w:sz w:val="24"/>
          <w:szCs w:val="24"/>
        </w:rPr>
        <w:t xml:space="preserve">A </w:t>
      </w:r>
      <w:r w:rsidR="007454FA">
        <w:rPr>
          <w:sz w:val="24"/>
          <w:szCs w:val="24"/>
        </w:rPr>
        <w:t xml:space="preserve">maximum of </w:t>
      </w:r>
      <w:r w:rsidR="00EE0863">
        <w:rPr>
          <w:sz w:val="24"/>
          <w:szCs w:val="24"/>
        </w:rPr>
        <w:t>3</w:t>
      </w:r>
      <w:r w:rsidR="007454FA">
        <w:rPr>
          <w:sz w:val="24"/>
          <w:szCs w:val="24"/>
        </w:rPr>
        <w:t xml:space="preserve">0 </w:t>
      </w:r>
      <w:r>
        <w:rPr>
          <w:sz w:val="24"/>
          <w:szCs w:val="24"/>
        </w:rPr>
        <w:t>interviews will be conducted with CME faculty members</w:t>
      </w:r>
      <w:r w:rsidR="008A7757">
        <w:rPr>
          <w:sz w:val="24"/>
          <w:szCs w:val="24"/>
        </w:rPr>
        <w:t xml:space="preserve">. These </w:t>
      </w:r>
      <w:r w:rsidRPr="00C36F55">
        <w:rPr>
          <w:sz w:val="24"/>
          <w:szCs w:val="24"/>
        </w:rPr>
        <w:t xml:space="preserve">are estimated to take </w:t>
      </w:r>
      <w:r>
        <w:rPr>
          <w:sz w:val="24"/>
          <w:szCs w:val="24"/>
        </w:rPr>
        <w:t>30 minutes</w:t>
      </w:r>
      <w:r w:rsidRPr="00C36F55">
        <w:rPr>
          <w:sz w:val="24"/>
          <w:szCs w:val="24"/>
        </w:rPr>
        <w:t xml:space="preserve"> to complete. </w:t>
      </w:r>
      <w:r w:rsidR="00A1709A">
        <w:rPr>
          <w:sz w:val="24"/>
          <w:szCs w:val="24"/>
        </w:rPr>
        <w:t xml:space="preserve"> </w:t>
      </w:r>
    </w:p>
    <w:p w:rsidR="00932809" w:rsidRDefault="00932809" w:rsidP="00F01D50">
      <w:pPr>
        <w:rPr>
          <w:sz w:val="24"/>
        </w:rPr>
      </w:pPr>
      <w:r>
        <w:rPr>
          <w:sz w:val="24"/>
        </w:rPr>
        <w:t xml:space="preserve">  </w:t>
      </w:r>
    </w:p>
    <w:p w:rsidR="00932809" w:rsidRDefault="00932809" w:rsidP="00952D0A">
      <w:pPr>
        <w:rPr>
          <w:b/>
          <w:bCs/>
          <w:sz w:val="24"/>
        </w:rPr>
      </w:pPr>
      <w:r w:rsidRPr="00952D0A">
        <w:rPr>
          <w:b/>
          <w:bCs/>
          <w:sz w:val="24"/>
        </w:rPr>
        <w:t xml:space="preserve">Exhibit 1.  Estimated </w:t>
      </w:r>
      <w:r>
        <w:rPr>
          <w:b/>
          <w:bCs/>
          <w:sz w:val="24"/>
        </w:rPr>
        <w:t>annualized</w:t>
      </w:r>
      <w:r w:rsidRPr="00952D0A">
        <w:rPr>
          <w:b/>
          <w:bCs/>
          <w:sz w:val="24"/>
        </w:rPr>
        <w:t xml:space="preserve"> burden hours</w:t>
      </w:r>
      <w:r>
        <w:rPr>
          <w:b/>
          <w:bCs/>
          <w:sz w:val="24"/>
        </w:rPr>
        <w:t xml:space="preserve"> </w:t>
      </w:r>
    </w:p>
    <w:tbl>
      <w:tblPr>
        <w:tblW w:w="0" w:type="auto"/>
        <w:tblCellMar>
          <w:left w:w="0" w:type="dxa"/>
          <w:right w:w="0" w:type="dxa"/>
        </w:tblCellMar>
        <w:tblLook w:val="0000" w:firstRow="0" w:lastRow="0" w:firstColumn="0" w:lastColumn="0" w:noHBand="0" w:noVBand="0"/>
      </w:tblPr>
      <w:tblGrid>
        <w:gridCol w:w="3708"/>
        <w:gridCol w:w="1440"/>
        <w:gridCol w:w="1440"/>
        <w:gridCol w:w="1209"/>
        <w:gridCol w:w="900"/>
      </w:tblGrid>
      <w:tr w:rsidR="00932809" w:rsidTr="004303F6">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Default="00932809" w:rsidP="003C43EA">
            <w:pPr>
              <w:jc w:val="center"/>
            </w:pPr>
            <w:r>
              <w:rPr>
                <w:color w:val="000000"/>
              </w:rPr>
              <w:t>Type of Data 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2809" w:rsidRDefault="00932809" w:rsidP="003C43EA">
            <w:pPr>
              <w:jc w:val="center"/>
            </w:pPr>
            <w:r>
              <w:rPr>
                <w:color w:val="000000"/>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2809" w:rsidRPr="00E97584" w:rsidRDefault="00932809" w:rsidP="00D06360">
            <w:pPr>
              <w:jc w:val="center"/>
            </w:pPr>
            <w:r w:rsidRPr="00E97584">
              <w:t xml:space="preserve">Number of </w:t>
            </w:r>
            <w:r>
              <w:t>responses</w:t>
            </w:r>
            <w:r w:rsidRPr="00E97584">
              <w:t xml:space="preserve"> per respondent</w:t>
            </w:r>
          </w:p>
        </w:tc>
        <w:tc>
          <w:tcPr>
            <w:tcW w:w="1209" w:type="dxa"/>
            <w:tcBorders>
              <w:top w:val="single" w:sz="8" w:space="0" w:color="auto"/>
              <w:left w:val="nil"/>
              <w:bottom w:val="single" w:sz="8" w:space="0" w:color="auto"/>
              <w:right w:val="single" w:sz="8" w:space="0" w:color="auto"/>
            </w:tcBorders>
            <w:vAlign w:val="center"/>
          </w:tcPr>
          <w:p w:rsidR="00932809" w:rsidRDefault="00932809" w:rsidP="003C43EA">
            <w:pPr>
              <w:jc w:val="center"/>
            </w:pPr>
            <w:r>
              <w:rPr>
                <w:color w:val="00000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Default="00932809" w:rsidP="003C43EA">
            <w:pPr>
              <w:jc w:val="center"/>
            </w:pPr>
            <w:r>
              <w:rPr>
                <w:color w:val="000000"/>
              </w:rPr>
              <w:t>Total burden hours</w:t>
            </w:r>
          </w:p>
        </w:tc>
      </w:tr>
      <w:tr w:rsidR="004303F6" w:rsidTr="004303F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303F6" w:rsidRPr="00B93890" w:rsidRDefault="004303F6" w:rsidP="004303F6">
            <w:r>
              <w:t xml:space="preserve">Interviews </w:t>
            </w:r>
            <w:r w:rsidRPr="00C36F55">
              <w:t xml:space="preserve">with CME </w:t>
            </w:r>
            <w:r>
              <w:t>Project Directors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303F6" w:rsidRDefault="00122979" w:rsidP="004303F6">
            <w:pPr>
              <w:jc w:val="center"/>
            </w:pPr>
            <w: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303F6" w:rsidRDefault="004303F6" w:rsidP="004303F6">
            <w:pPr>
              <w:jc w:val="center"/>
            </w:pPr>
            <w:r>
              <w:t>1</w:t>
            </w:r>
          </w:p>
        </w:tc>
        <w:tc>
          <w:tcPr>
            <w:tcW w:w="1209" w:type="dxa"/>
            <w:tcBorders>
              <w:top w:val="nil"/>
              <w:left w:val="nil"/>
              <w:bottom w:val="single" w:sz="8" w:space="0" w:color="auto"/>
              <w:right w:val="single" w:sz="8" w:space="0" w:color="auto"/>
            </w:tcBorders>
            <w:vAlign w:val="center"/>
          </w:tcPr>
          <w:p w:rsidR="004303F6" w:rsidRDefault="00320B55" w:rsidP="004303F6">
            <w:pPr>
              <w:jc w:val="center"/>
            </w:pPr>
            <w:r>
              <w:t>30/60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303F6" w:rsidRDefault="00122979" w:rsidP="004303F6">
            <w:pPr>
              <w:jc w:val="center"/>
            </w:pPr>
            <w:r>
              <w:t>5</w:t>
            </w:r>
          </w:p>
        </w:tc>
      </w:tr>
      <w:tr w:rsidR="004303F6" w:rsidTr="004303F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303F6" w:rsidRDefault="004303F6" w:rsidP="004303F6">
            <w:r>
              <w:t>Focus Group with CME Project Directors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303F6" w:rsidRDefault="00122979" w:rsidP="004303F6">
            <w:pPr>
              <w:jc w:val="center"/>
            </w:pPr>
            <w: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303F6" w:rsidRDefault="004303F6" w:rsidP="004303F6">
            <w:pPr>
              <w:jc w:val="center"/>
            </w:pPr>
            <w:r>
              <w:t>1</w:t>
            </w:r>
          </w:p>
        </w:tc>
        <w:tc>
          <w:tcPr>
            <w:tcW w:w="1209" w:type="dxa"/>
            <w:tcBorders>
              <w:top w:val="nil"/>
              <w:left w:val="nil"/>
              <w:bottom w:val="single" w:sz="8" w:space="0" w:color="auto"/>
              <w:right w:val="single" w:sz="8" w:space="0" w:color="auto"/>
            </w:tcBorders>
            <w:vAlign w:val="center"/>
          </w:tcPr>
          <w:p w:rsidR="004303F6" w:rsidRDefault="00320B55" w:rsidP="004303F6">
            <w:pPr>
              <w:jc w:val="center"/>
            </w:pPr>
            <w:r>
              <w:t>1 and 30/60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303F6" w:rsidRDefault="00122979" w:rsidP="004303F6">
            <w:pPr>
              <w:jc w:val="center"/>
            </w:pPr>
            <w:r>
              <w:t>15</w:t>
            </w:r>
          </w:p>
        </w:tc>
      </w:tr>
      <w:tr w:rsidR="00932809" w:rsidTr="004303F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Pr="00B93890" w:rsidRDefault="00932809" w:rsidP="003C43EA">
            <w:r>
              <w:t xml:space="preserve">Interviews with </w:t>
            </w:r>
            <w:r w:rsidRPr="00C36F55">
              <w:t>Faculty Member</w:t>
            </w:r>
            <w:r>
              <w: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Default="006B7D99" w:rsidP="00D06360">
            <w:pPr>
              <w:jc w:val="center"/>
            </w:pPr>
            <w:r>
              <w:t>3</w:t>
            </w:r>
            <w:r w:rsidR="00932809">
              <w:t>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Default="00932809" w:rsidP="003C43EA">
            <w:pPr>
              <w:jc w:val="center"/>
            </w:pPr>
            <w:r>
              <w:t>1</w:t>
            </w:r>
          </w:p>
        </w:tc>
        <w:tc>
          <w:tcPr>
            <w:tcW w:w="1209" w:type="dxa"/>
            <w:tcBorders>
              <w:top w:val="nil"/>
              <w:left w:val="nil"/>
              <w:bottom w:val="single" w:sz="8" w:space="0" w:color="auto"/>
              <w:right w:val="single" w:sz="8" w:space="0" w:color="auto"/>
            </w:tcBorders>
            <w:vAlign w:val="center"/>
          </w:tcPr>
          <w:p w:rsidR="00932809" w:rsidRDefault="00320B55" w:rsidP="003C43EA">
            <w:pPr>
              <w:jc w:val="center"/>
            </w:pPr>
            <w:r>
              <w:t>30/60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Default="006B7D99" w:rsidP="00D06360">
            <w:pPr>
              <w:jc w:val="center"/>
            </w:pPr>
            <w:r>
              <w:t>15</w:t>
            </w:r>
          </w:p>
        </w:tc>
      </w:tr>
      <w:tr w:rsidR="00932809" w:rsidTr="004303F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Pr="00B93890" w:rsidRDefault="00932809" w:rsidP="003C43EA">
            <w:r w:rsidRPr="00B93890">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Default="007B3BDF" w:rsidP="00E67950">
            <w:pPr>
              <w:jc w:val="center"/>
            </w:pPr>
            <w:r>
              <w:t>5</w:t>
            </w:r>
            <w:r w:rsidR="00122979">
              <w:t>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Default="00932809" w:rsidP="003C43EA">
            <w:pPr>
              <w:jc w:val="center"/>
            </w:pPr>
            <w:r>
              <w:t>na</w:t>
            </w:r>
          </w:p>
        </w:tc>
        <w:tc>
          <w:tcPr>
            <w:tcW w:w="1209" w:type="dxa"/>
            <w:tcBorders>
              <w:top w:val="nil"/>
              <w:left w:val="nil"/>
              <w:bottom w:val="single" w:sz="8" w:space="0" w:color="auto"/>
              <w:right w:val="single" w:sz="8" w:space="0" w:color="auto"/>
            </w:tcBorders>
          </w:tcPr>
          <w:p w:rsidR="00932809" w:rsidRPr="00D430AF" w:rsidRDefault="00932809" w:rsidP="003C43EA">
            <w:pPr>
              <w:jc w:val="center"/>
              <w:rPr>
                <w:bCs/>
                <w:color w:val="000000"/>
              </w:rPr>
            </w:pPr>
            <w:r w:rsidRPr="00D430AF">
              <w:rPr>
                <w:bCs/>
                <w:color w:val="00000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Default="00DB46A4" w:rsidP="00E26355">
            <w:pPr>
              <w:jc w:val="center"/>
            </w:pPr>
            <w:r>
              <w:t>35</w:t>
            </w:r>
          </w:p>
        </w:tc>
      </w:tr>
    </w:tbl>
    <w:p w:rsidR="00932809" w:rsidRDefault="00932809" w:rsidP="00080514"/>
    <w:p w:rsidR="00932809" w:rsidRDefault="00932809" w:rsidP="00080514"/>
    <w:p w:rsidR="001137E5" w:rsidRPr="00117D4A" w:rsidRDefault="001137E5" w:rsidP="001137E5">
      <w:pPr>
        <w:rPr>
          <w:sz w:val="24"/>
          <w:szCs w:val="24"/>
        </w:rPr>
      </w:pPr>
      <w:r w:rsidRPr="00C36F55">
        <w:rPr>
          <w:sz w:val="24"/>
          <w:szCs w:val="24"/>
        </w:rPr>
        <w:t xml:space="preserve">Exhibit 2 shows the estimated annualized cost burden associated with the respondent’s time to participate in this research.  The total annual cost burden is estimated </w:t>
      </w:r>
      <w:r w:rsidRPr="00111D79">
        <w:rPr>
          <w:sz w:val="24"/>
          <w:szCs w:val="24"/>
        </w:rPr>
        <w:t xml:space="preserve">to be </w:t>
      </w:r>
      <w:r w:rsidR="00A727D7" w:rsidRPr="00111D79">
        <w:rPr>
          <w:sz w:val="24"/>
          <w:szCs w:val="24"/>
        </w:rPr>
        <w:t>$</w:t>
      </w:r>
      <w:r w:rsidR="00DB46A4">
        <w:rPr>
          <w:sz w:val="24"/>
          <w:szCs w:val="24"/>
        </w:rPr>
        <w:t>2,541</w:t>
      </w:r>
      <w:r w:rsidRPr="00111D79">
        <w:rPr>
          <w:sz w:val="24"/>
          <w:szCs w:val="24"/>
        </w:rPr>
        <w:t>.</w:t>
      </w:r>
    </w:p>
    <w:p w:rsidR="001137E5" w:rsidRDefault="001137E5" w:rsidP="001137E5">
      <w:pPr>
        <w:rPr>
          <w:sz w:val="24"/>
        </w:rPr>
      </w:pPr>
    </w:p>
    <w:p w:rsidR="00932809" w:rsidRPr="00111BF8" w:rsidRDefault="00932809" w:rsidP="001137E5">
      <w:pPr>
        <w:rPr>
          <w:b/>
          <w:sz w:val="24"/>
          <w:szCs w:val="24"/>
        </w:rPr>
      </w:pPr>
      <w:r w:rsidRPr="00111BF8">
        <w:rPr>
          <w:b/>
          <w:sz w:val="24"/>
          <w:szCs w:val="24"/>
        </w:rPr>
        <w:t xml:space="preserve">Exhibit 2.  Estimated </w:t>
      </w:r>
      <w:r>
        <w:rPr>
          <w:b/>
          <w:sz w:val="24"/>
          <w:szCs w:val="24"/>
        </w:rPr>
        <w:t>annualized</w:t>
      </w:r>
      <w:r w:rsidRPr="00111BF8">
        <w:rPr>
          <w:b/>
          <w:sz w:val="24"/>
          <w:szCs w:val="24"/>
        </w:rPr>
        <w:t xml:space="preserve"> cost burden</w:t>
      </w:r>
    </w:p>
    <w:tbl>
      <w:tblPr>
        <w:tblW w:w="0" w:type="auto"/>
        <w:tblLayout w:type="fixed"/>
        <w:tblCellMar>
          <w:left w:w="0" w:type="dxa"/>
          <w:right w:w="0" w:type="dxa"/>
        </w:tblCellMar>
        <w:tblLook w:val="0000" w:firstRow="0" w:lastRow="0" w:firstColumn="0" w:lastColumn="0" w:noHBand="0" w:noVBand="0"/>
      </w:tblPr>
      <w:tblGrid>
        <w:gridCol w:w="3708"/>
        <w:gridCol w:w="1440"/>
        <w:gridCol w:w="1116"/>
        <w:gridCol w:w="1460"/>
        <w:gridCol w:w="1204"/>
      </w:tblGrid>
      <w:tr w:rsidR="00932809" w:rsidTr="00EA69EA">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Default="00932809" w:rsidP="003C43EA">
            <w:pPr>
              <w:jc w:val="center"/>
            </w:pPr>
            <w:r>
              <w:rPr>
                <w:color w:val="000000"/>
              </w:rPr>
              <w:t>Type of Data 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2809" w:rsidRPr="00111D79" w:rsidRDefault="00932809" w:rsidP="003C43EA">
            <w:pPr>
              <w:jc w:val="center"/>
            </w:pPr>
            <w:r w:rsidRPr="00111D79">
              <w:rPr>
                <w:color w:val="000000"/>
              </w:rPr>
              <w:t>Number of respondents</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2809" w:rsidRDefault="00932809" w:rsidP="003C43EA">
            <w:pPr>
              <w:jc w:val="center"/>
            </w:pPr>
            <w:r>
              <w:rPr>
                <w:color w:val="00000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2809" w:rsidRDefault="00932809" w:rsidP="002B0F2F">
            <w:pPr>
              <w:jc w:val="center"/>
            </w:pPr>
            <w:r>
              <w:rPr>
                <w:color w:val="000000"/>
              </w:rPr>
              <w:t>Average hourly wage rate</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2809" w:rsidRDefault="00932809" w:rsidP="00EA69EA">
            <w:pPr>
              <w:jc w:val="center"/>
            </w:pPr>
            <w:r>
              <w:rPr>
                <w:color w:val="000000"/>
              </w:rPr>
              <w:t>Total  cost burden</w:t>
            </w:r>
          </w:p>
        </w:tc>
      </w:tr>
      <w:tr w:rsidR="00122979"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2979" w:rsidRPr="00B93890" w:rsidRDefault="00122979" w:rsidP="00122979">
            <w:r>
              <w:t xml:space="preserve">Interviews </w:t>
            </w:r>
            <w:r w:rsidRPr="00C36F55">
              <w:t xml:space="preserve">with CME </w:t>
            </w:r>
            <w:r>
              <w:t>Project Directors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111D79" w:rsidRDefault="00122979" w:rsidP="00657DB1">
            <w:pPr>
              <w:jc w:val="center"/>
            </w:pPr>
            <w:r w:rsidRPr="00111D79">
              <w:t>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657DB1">
            <w:pPr>
              <w:jc w:val="center"/>
            </w:pPr>
            <w:r>
              <w:t>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E26355">
            <w:pPr>
              <w:jc w:val="center"/>
            </w:pPr>
            <w:r>
              <w:t>$</w:t>
            </w:r>
            <w:r w:rsidR="00E26355">
              <w:t>64.31</w:t>
            </w:r>
            <w:r w:rsidR="002B0F2F">
              <w:rPr>
                <w:rFonts w:ascii="Georgia" w:hAnsi="Georgia"/>
                <w:color w:val="000000"/>
              </w:rPr>
              <w:t>†</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A727D7" w:rsidRDefault="00122979" w:rsidP="00E26355">
            <w:pPr>
              <w:jc w:val="center"/>
            </w:pPr>
            <w:r w:rsidRPr="00A727D7">
              <w:t>$</w:t>
            </w:r>
            <w:r w:rsidR="00E26355">
              <w:t>322</w:t>
            </w:r>
          </w:p>
        </w:tc>
      </w:tr>
      <w:tr w:rsidR="00122979"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2979" w:rsidRDefault="00122979" w:rsidP="00122979">
            <w:r>
              <w:t>Focus Group with CME Project Directors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111D79" w:rsidRDefault="00122979" w:rsidP="00657DB1">
            <w:pPr>
              <w:jc w:val="center"/>
            </w:pPr>
            <w:r w:rsidRPr="00111D79">
              <w:t>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657DB1">
            <w:pPr>
              <w:jc w:val="center"/>
            </w:pPr>
            <w:r>
              <w:t>15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E26355">
            <w:pPr>
              <w:jc w:val="center"/>
            </w:pPr>
            <w:r>
              <w:t>$</w:t>
            </w:r>
            <w:r w:rsidR="00E26355">
              <w:t>64.31</w:t>
            </w:r>
            <w:r w:rsidR="002B0F2F">
              <w:rPr>
                <w:rFonts w:ascii="Georgia" w:hAnsi="Georgia"/>
                <w:color w:val="000000"/>
              </w:rPr>
              <w:t>†</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A727D7" w:rsidRDefault="00122979" w:rsidP="00E26355">
            <w:pPr>
              <w:jc w:val="center"/>
            </w:pPr>
            <w:r w:rsidRPr="00A727D7">
              <w:t>$</w:t>
            </w:r>
            <w:r w:rsidR="00E26355">
              <w:t>965</w:t>
            </w:r>
          </w:p>
        </w:tc>
      </w:tr>
      <w:tr w:rsidR="00122979"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2979" w:rsidRPr="00B93890" w:rsidRDefault="00122979" w:rsidP="003C43EA">
            <w:r>
              <w:t>Interviews with Faculty Members</w:t>
            </w:r>
            <w:r w:rsidRPr="00C36F55">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111D79" w:rsidRDefault="006B7D99" w:rsidP="00657DB1">
            <w:pPr>
              <w:jc w:val="center"/>
            </w:pPr>
            <w:r w:rsidRPr="00111D79">
              <w:t>3</w:t>
            </w:r>
            <w:r w:rsidR="00122979" w:rsidRPr="00111D79">
              <w:t>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6B7D99" w:rsidP="00657DB1">
            <w:pPr>
              <w:jc w:val="center"/>
            </w:pPr>
            <w:r>
              <w:t>15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B439D5">
            <w:pPr>
              <w:jc w:val="center"/>
            </w:pPr>
            <w:r>
              <w:t>$83.59</w:t>
            </w:r>
            <w:r w:rsidR="002B0F2F">
              <w:rPr>
                <w:rFonts w:ascii="Georgia" w:hAnsi="Georgia"/>
                <w:color w:val="000000"/>
              </w:rPr>
              <w:t>‡</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A727D7" w:rsidRDefault="00122979" w:rsidP="00F10AD2">
            <w:pPr>
              <w:jc w:val="center"/>
            </w:pPr>
            <w:r w:rsidRPr="00A727D7">
              <w:t>$</w:t>
            </w:r>
            <w:r w:rsidR="00F10AD2">
              <w:t>1,254</w:t>
            </w:r>
          </w:p>
        </w:tc>
      </w:tr>
      <w:tr w:rsidR="00122979"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2979" w:rsidRPr="00C36F55" w:rsidRDefault="00122979" w:rsidP="00657DB1"/>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111D79" w:rsidRDefault="00122979" w:rsidP="00E67950">
            <w:pPr>
              <w:jc w:val="center"/>
            </w:pP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E67950">
            <w:pPr>
              <w:jc w:val="center"/>
            </w:pP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B439D5">
            <w:pPr>
              <w:jc w:val="center"/>
            </w:pP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A727D7" w:rsidRDefault="00122979" w:rsidP="00E67950">
            <w:pPr>
              <w:jc w:val="center"/>
            </w:pPr>
          </w:p>
        </w:tc>
      </w:tr>
      <w:tr w:rsidR="00122979"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2979" w:rsidRPr="00B93890" w:rsidRDefault="00122979" w:rsidP="006B7D99"/>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111D79" w:rsidRDefault="00122979" w:rsidP="00E67950">
            <w:pPr>
              <w:jc w:val="center"/>
            </w:pP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E67950">
            <w:pPr>
              <w:jc w:val="center"/>
            </w:pP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B439D5">
            <w:pPr>
              <w:jc w:val="center"/>
            </w:pP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A727D7" w:rsidRDefault="00122979" w:rsidP="00E67950">
            <w:pPr>
              <w:jc w:val="center"/>
            </w:pPr>
          </w:p>
        </w:tc>
      </w:tr>
      <w:tr w:rsidR="00122979"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2979" w:rsidRPr="00B93890" w:rsidRDefault="00122979" w:rsidP="003C43EA">
            <w:r w:rsidRPr="00B93890">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111D79" w:rsidRDefault="007B3BDF" w:rsidP="00E67950">
            <w:pPr>
              <w:jc w:val="center"/>
            </w:pPr>
            <w:r>
              <w:t>5</w:t>
            </w:r>
            <w:r w:rsidR="00122979" w:rsidRPr="00111D79">
              <w:t>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DB46A4" w:rsidP="00E67950">
            <w:pPr>
              <w:jc w:val="center"/>
            </w:pPr>
            <w:r>
              <w:t>35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Default="00122979" w:rsidP="003C43EA">
            <w:pPr>
              <w:jc w:val="center"/>
            </w:pPr>
            <w:r>
              <w:t>na</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2979" w:rsidRPr="00A727D7" w:rsidRDefault="00122979" w:rsidP="00DB46A4">
            <w:pPr>
              <w:jc w:val="center"/>
            </w:pPr>
            <w:r w:rsidRPr="00A727D7">
              <w:t>$</w:t>
            </w:r>
            <w:r w:rsidR="00DB46A4">
              <w:t>2,541</w:t>
            </w:r>
          </w:p>
        </w:tc>
      </w:tr>
    </w:tbl>
    <w:p w:rsidR="002B0F2F" w:rsidRDefault="002B0F2F" w:rsidP="002B0F2F">
      <w:pPr>
        <w:rPr>
          <w:sz w:val="24"/>
          <w:szCs w:val="24"/>
        </w:rPr>
      </w:pPr>
      <w:r>
        <w:rPr>
          <w:rFonts w:ascii="Georgia" w:hAnsi="Georgia"/>
          <w:color w:val="000000"/>
        </w:rPr>
        <w:t>†</w:t>
      </w:r>
      <w:r>
        <w:rPr>
          <w:color w:val="000000"/>
        </w:rPr>
        <w:t xml:space="preserve">Based upon the mean wages for clinicians (29-1062 family and general practitioners) and </w:t>
      </w:r>
      <w:r w:rsidR="00E26355">
        <w:rPr>
          <w:color w:val="000000"/>
        </w:rPr>
        <w:t>medical and health services managers</w:t>
      </w:r>
      <w:r w:rsidRPr="000133FE">
        <w:rPr>
          <w:color w:val="000000"/>
        </w:rPr>
        <w:t xml:space="preserve"> (</w:t>
      </w:r>
      <w:r w:rsidR="000133FE" w:rsidRPr="000133FE">
        <w:rPr>
          <w:color w:val="000000"/>
        </w:rPr>
        <w:t>11-</w:t>
      </w:r>
      <w:r w:rsidR="00E26355">
        <w:rPr>
          <w:color w:val="000000"/>
        </w:rPr>
        <w:t>9111</w:t>
      </w:r>
      <w:r w:rsidRPr="000133FE">
        <w:rPr>
          <w:color w:val="000000"/>
        </w:rPr>
        <w:t>), National Compensation Survey: Occupational wages in the United Sta</w:t>
      </w:r>
      <w:r>
        <w:rPr>
          <w:color w:val="000000"/>
        </w:rPr>
        <w:t>tes May 2010 “U.S. Department of Labor, Bureau of Labor Statistics.”</w:t>
      </w:r>
      <w:r>
        <w:rPr>
          <w:sz w:val="24"/>
          <w:szCs w:val="24"/>
        </w:rPr>
        <w:t xml:space="preserve"> </w:t>
      </w:r>
      <w:r w:rsidR="00604967" w:rsidRPr="00FF0A21">
        <w:rPr>
          <w:color w:val="000000"/>
        </w:rPr>
        <w:t>http://www.bls.gov/oes/current/oes_nat.htm</w:t>
      </w:r>
      <w:r>
        <w:rPr>
          <w:sz w:val="24"/>
          <w:szCs w:val="24"/>
        </w:rPr>
        <w:t xml:space="preserve">     </w:t>
      </w:r>
    </w:p>
    <w:p w:rsidR="002B0F2F" w:rsidRDefault="002B0F2F" w:rsidP="002B0F2F">
      <w:pPr>
        <w:rPr>
          <w:sz w:val="24"/>
          <w:szCs w:val="24"/>
        </w:rPr>
      </w:pPr>
      <w:r>
        <w:rPr>
          <w:rFonts w:ascii="Georgia" w:hAnsi="Georgia"/>
          <w:color w:val="000000"/>
        </w:rPr>
        <w:t>‡</w:t>
      </w:r>
      <w:r>
        <w:rPr>
          <w:color w:val="000000"/>
        </w:rPr>
        <w:t>Based upon the mean wages for clinicians (29-1062 family and general practitioners), National Compensation Survey: Occupational wages in the United States May 2010 “U.S. Department of Labor, Bureau of Labor Statistics.”</w:t>
      </w:r>
      <w:r w:rsidR="00604967">
        <w:rPr>
          <w:color w:val="000000"/>
        </w:rPr>
        <w:t xml:space="preserve"> </w:t>
      </w:r>
      <w:r w:rsidR="00604967" w:rsidRPr="00FF0A21">
        <w:rPr>
          <w:color w:val="000000"/>
        </w:rPr>
        <w:t>http://www.bls.gov/oes/current/oes_nat.htm</w:t>
      </w:r>
      <w:r>
        <w:rPr>
          <w:sz w:val="24"/>
          <w:szCs w:val="24"/>
        </w:rPr>
        <w:t xml:space="preserve">      </w:t>
      </w:r>
    </w:p>
    <w:p w:rsidR="00932809" w:rsidRDefault="00932809">
      <w:pPr>
        <w:rPr>
          <w:sz w:val="24"/>
          <w:szCs w:val="24"/>
        </w:rPr>
      </w:pPr>
    </w:p>
    <w:p w:rsidR="00932809" w:rsidRDefault="00932809">
      <w:pPr>
        <w:rPr>
          <w:sz w:val="24"/>
          <w:szCs w:val="24"/>
        </w:rPr>
      </w:pPr>
    </w:p>
    <w:p w:rsidR="004A211D" w:rsidRDefault="004A211D">
      <w:pPr>
        <w:rPr>
          <w:sz w:val="24"/>
          <w:szCs w:val="24"/>
        </w:rPr>
      </w:pPr>
      <w:r>
        <w:rPr>
          <w:sz w:val="24"/>
          <w:szCs w:val="24"/>
        </w:rPr>
        <w:br w:type="page"/>
      </w:r>
    </w:p>
    <w:p w:rsidR="00932809" w:rsidRDefault="00932809" w:rsidP="00C90770">
      <w:pPr>
        <w:rPr>
          <w:b/>
          <w:bCs/>
          <w:i/>
          <w:iCs/>
          <w:sz w:val="24"/>
        </w:rPr>
      </w:pPr>
      <w:r>
        <w:rPr>
          <w:sz w:val="24"/>
          <w:szCs w:val="24"/>
        </w:rPr>
        <w:t xml:space="preserve"> </w:t>
      </w:r>
      <w:bookmarkStart w:id="11" w:name="_Toc151782188"/>
      <w:bookmarkStart w:id="12" w:name="_Toc158526228"/>
      <w:r w:rsidRPr="00C90770">
        <w:rPr>
          <w:b/>
          <w:bCs/>
          <w:i/>
          <w:iCs/>
          <w:sz w:val="24"/>
        </w:rPr>
        <w:t>13. Estimates of Annualized Respondent Capital and Maintenance Costs</w:t>
      </w:r>
      <w:bookmarkEnd w:id="11"/>
      <w:bookmarkEnd w:id="12"/>
    </w:p>
    <w:p w:rsidR="00932809" w:rsidRPr="00C90770" w:rsidRDefault="00932809" w:rsidP="00C90770">
      <w:pPr>
        <w:rPr>
          <w:bCs/>
          <w:iCs/>
          <w:sz w:val="24"/>
        </w:rPr>
      </w:pPr>
    </w:p>
    <w:p w:rsidR="00932809" w:rsidRDefault="00932809" w:rsidP="00C90770">
      <w:pPr>
        <w:rPr>
          <w:sz w:val="24"/>
        </w:rPr>
      </w:pPr>
      <w:r w:rsidRPr="00C90770">
        <w:rPr>
          <w:sz w:val="24"/>
        </w:rP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r>
        <w:rPr>
          <w:sz w:val="24"/>
        </w:rPr>
        <w:t xml:space="preserve">  </w:t>
      </w:r>
    </w:p>
    <w:p w:rsidR="00932809" w:rsidRDefault="00932809">
      <w:pPr>
        <w:rPr>
          <w:sz w:val="24"/>
        </w:rPr>
      </w:pPr>
    </w:p>
    <w:p w:rsidR="00932809" w:rsidRPr="0020497D" w:rsidRDefault="00932809">
      <w:pPr>
        <w:rPr>
          <w:b/>
          <w:i/>
          <w:sz w:val="24"/>
        </w:rPr>
      </w:pPr>
      <w:r w:rsidRPr="0020497D">
        <w:rPr>
          <w:b/>
          <w:i/>
          <w:sz w:val="24"/>
        </w:rPr>
        <w:t>14.  Estimates of Annualized Cost to the Government</w:t>
      </w:r>
    </w:p>
    <w:p w:rsidR="00932809" w:rsidRDefault="00932809">
      <w:pPr>
        <w:rPr>
          <w:sz w:val="24"/>
        </w:rPr>
      </w:pPr>
    </w:p>
    <w:p w:rsidR="00932809" w:rsidRPr="00263FE0" w:rsidRDefault="00932809">
      <w:pPr>
        <w:rPr>
          <w:sz w:val="24"/>
        </w:rPr>
      </w:pPr>
      <w:r w:rsidRPr="00263FE0">
        <w:rPr>
          <w:sz w:val="24"/>
        </w:rPr>
        <w:t>The maximum cost to the Federal Government is estimated to be $</w:t>
      </w:r>
      <w:r w:rsidR="003E7E3F">
        <w:rPr>
          <w:sz w:val="24"/>
        </w:rPr>
        <w:t>166,417</w:t>
      </w:r>
      <w:r w:rsidRPr="00263FE0">
        <w:rPr>
          <w:sz w:val="24"/>
        </w:rPr>
        <w:t xml:space="preserve"> annually.  Exhibit 3 shows the total and annualized cost by the major cost components. </w:t>
      </w:r>
    </w:p>
    <w:p w:rsidR="00932809" w:rsidRPr="00263FE0" w:rsidRDefault="00932809">
      <w:pPr>
        <w:rPr>
          <w:sz w:val="24"/>
        </w:rPr>
      </w:pPr>
    </w:p>
    <w:p w:rsidR="00932809" w:rsidRPr="00263FE0" w:rsidRDefault="00932809" w:rsidP="003210AA">
      <w:pPr>
        <w:rPr>
          <w:sz w:val="24"/>
          <w:szCs w:val="24"/>
        </w:rPr>
      </w:pPr>
      <w:r w:rsidRPr="00263FE0">
        <w:rPr>
          <w:b/>
          <w:bCs/>
          <w:color w:val="000000"/>
          <w:sz w:val="24"/>
          <w:szCs w:val="24"/>
        </w:rPr>
        <w:t>Exhibit 3.  Estimated Total and Annualized Cost</w:t>
      </w:r>
    </w:p>
    <w:tbl>
      <w:tblPr>
        <w:tblW w:w="7128" w:type="dxa"/>
        <w:tblCellMar>
          <w:left w:w="0" w:type="dxa"/>
          <w:right w:w="0" w:type="dxa"/>
        </w:tblCellMar>
        <w:tblLook w:val="0000" w:firstRow="0" w:lastRow="0" w:firstColumn="0" w:lastColumn="0" w:noHBand="0" w:noVBand="0"/>
      </w:tblPr>
      <w:tblGrid>
        <w:gridCol w:w="3708"/>
        <w:gridCol w:w="1440"/>
        <w:gridCol w:w="1980"/>
      </w:tblGrid>
      <w:tr w:rsidR="00932809" w:rsidRPr="00263FE0" w:rsidTr="005C6760">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32809" w:rsidRPr="00263FE0" w:rsidRDefault="00932809" w:rsidP="00390BA0">
            <w:pPr>
              <w:rPr>
                <w:b/>
                <w:sz w:val="24"/>
                <w:szCs w:val="24"/>
              </w:rPr>
            </w:pPr>
            <w:r w:rsidRPr="00263FE0">
              <w:rPr>
                <w:b/>
                <w:color w:val="000000"/>
                <w:sz w:val="24"/>
                <w:szCs w:val="24"/>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390BA0">
            <w:pPr>
              <w:jc w:val="center"/>
              <w:rPr>
                <w:b/>
                <w:sz w:val="24"/>
                <w:szCs w:val="24"/>
              </w:rPr>
            </w:pPr>
            <w:r w:rsidRPr="00263FE0">
              <w:rPr>
                <w:b/>
                <w:sz w:val="24"/>
                <w:szCs w:val="24"/>
              </w:rPr>
              <w:t>Total Cost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390BA0">
            <w:pPr>
              <w:jc w:val="center"/>
              <w:rPr>
                <w:b/>
                <w:sz w:val="24"/>
                <w:szCs w:val="24"/>
              </w:rPr>
            </w:pPr>
            <w:r w:rsidRPr="00263FE0">
              <w:rPr>
                <w:b/>
                <w:sz w:val="24"/>
                <w:szCs w:val="24"/>
              </w:rPr>
              <w:t>Annualized Cost</w:t>
            </w:r>
          </w:p>
        </w:tc>
      </w:tr>
      <w:tr w:rsidR="00932809" w:rsidRPr="00263FE0"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390BA0">
            <w:pPr>
              <w:rPr>
                <w:sz w:val="24"/>
                <w:szCs w:val="24"/>
              </w:rPr>
            </w:pPr>
            <w:r w:rsidRPr="00263FE0">
              <w:rPr>
                <w:sz w:val="24"/>
                <w:szCs w:val="24"/>
              </w:rP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C04A50">
            <w:pPr>
              <w:jc w:val="center"/>
              <w:rPr>
                <w:sz w:val="24"/>
                <w:szCs w:val="24"/>
              </w:rPr>
            </w:pPr>
            <w:r>
              <w:rPr>
                <w:sz w:val="24"/>
                <w:szCs w:val="24"/>
              </w:rPr>
              <w:t>$</w:t>
            </w:r>
            <w:r w:rsidR="00C04A50">
              <w:rPr>
                <w:sz w:val="24"/>
                <w:szCs w:val="24"/>
              </w:rPr>
              <w:t>110,846</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E328C2">
            <w:pPr>
              <w:jc w:val="center"/>
              <w:rPr>
                <w:sz w:val="24"/>
                <w:szCs w:val="24"/>
              </w:rPr>
            </w:pPr>
            <w:r>
              <w:rPr>
                <w:sz w:val="24"/>
                <w:szCs w:val="24"/>
              </w:rPr>
              <w:t>$</w:t>
            </w:r>
            <w:r w:rsidR="00C04A50">
              <w:rPr>
                <w:sz w:val="24"/>
                <w:szCs w:val="24"/>
              </w:rPr>
              <w:t>55,423</w:t>
            </w:r>
          </w:p>
        </w:tc>
      </w:tr>
      <w:tr w:rsidR="00932809" w:rsidRPr="00263FE0"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390BA0">
            <w:pPr>
              <w:rPr>
                <w:sz w:val="24"/>
                <w:szCs w:val="24"/>
              </w:rPr>
            </w:pPr>
            <w:r w:rsidRPr="00263FE0">
              <w:rPr>
                <w:sz w:val="24"/>
                <w:szCs w:val="24"/>
              </w:rP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BE0B70">
            <w:pPr>
              <w:jc w:val="center"/>
              <w:rPr>
                <w:sz w:val="24"/>
                <w:szCs w:val="24"/>
              </w:rPr>
            </w:pPr>
            <w:r>
              <w:rPr>
                <w:sz w:val="24"/>
                <w:szCs w:val="24"/>
              </w:rPr>
              <w:t>$</w:t>
            </w:r>
            <w:r w:rsidR="00BE0B70">
              <w:rPr>
                <w:sz w:val="24"/>
                <w:szCs w:val="24"/>
              </w:rPr>
              <w:t>47,563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BE0B70">
            <w:pPr>
              <w:jc w:val="center"/>
              <w:rPr>
                <w:sz w:val="24"/>
                <w:szCs w:val="24"/>
              </w:rPr>
            </w:pPr>
            <w:r>
              <w:rPr>
                <w:sz w:val="24"/>
                <w:szCs w:val="24"/>
              </w:rPr>
              <w:t>$</w:t>
            </w:r>
            <w:r w:rsidR="00BE0B70">
              <w:rPr>
                <w:sz w:val="24"/>
                <w:szCs w:val="24"/>
              </w:rPr>
              <w:t>23,781</w:t>
            </w:r>
          </w:p>
        </w:tc>
      </w:tr>
      <w:tr w:rsidR="00932809" w:rsidRPr="00263FE0"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390BA0">
            <w:pPr>
              <w:rPr>
                <w:sz w:val="24"/>
                <w:szCs w:val="24"/>
              </w:rPr>
            </w:pPr>
            <w:r w:rsidRPr="00263FE0">
              <w:rPr>
                <w:sz w:val="24"/>
                <w:szCs w:val="24"/>
              </w:rP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BE0B70">
            <w:pPr>
              <w:jc w:val="center"/>
              <w:rPr>
                <w:sz w:val="24"/>
                <w:szCs w:val="24"/>
              </w:rPr>
            </w:pPr>
            <w:r>
              <w:rPr>
                <w:sz w:val="24"/>
                <w:szCs w:val="24"/>
              </w:rPr>
              <w:t>$</w:t>
            </w:r>
            <w:r w:rsidR="00BE0B70">
              <w:rPr>
                <w:sz w:val="24"/>
                <w:szCs w:val="24"/>
              </w:rPr>
              <w:t>38,250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BE0B70">
            <w:pPr>
              <w:jc w:val="center"/>
              <w:rPr>
                <w:sz w:val="24"/>
                <w:szCs w:val="24"/>
              </w:rPr>
            </w:pPr>
            <w:r>
              <w:rPr>
                <w:sz w:val="24"/>
                <w:szCs w:val="24"/>
              </w:rPr>
              <w:t>$</w:t>
            </w:r>
            <w:r w:rsidR="00BE0B70">
              <w:rPr>
                <w:sz w:val="24"/>
                <w:szCs w:val="24"/>
              </w:rPr>
              <w:t>19,125</w:t>
            </w:r>
          </w:p>
        </w:tc>
      </w:tr>
      <w:tr w:rsidR="00932809" w:rsidRPr="00263FE0"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390BA0">
            <w:pPr>
              <w:rPr>
                <w:sz w:val="24"/>
                <w:szCs w:val="24"/>
              </w:rPr>
            </w:pPr>
            <w:r w:rsidRPr="00263FE0">
              <w:rPr>
                <w:sz w:val="24"/>
                <w:szCs w:val="24"/>
              </w:rPr>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2964BC">
            <w:pPr>
              <w:jc w:val="center"/>
              <w:rPr>
                <w:sz w:val="24"/>
                <w:szCs w:val="24"/>
              </w:rPr>
            </w:pPr>
            <w:r>
              <w:rPr>
                <w:sz w:val="24"/>
                <w:szCs w:val="24"/>
              </w:rPr>
              <w:t>$73,675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2964BC">
            <w:pPr>
              <w:jc w:val="center"/>
              <w:rPr>
                <w:sz w:val="24"/>
                <w:szCs w:val="24"/>
              </w:rPr>
            </w:pPr>
            <w:r>
              <w:rPr>
                <w:sz w:val="24"/>
                <w:szCs w:val="24"/>
              </w:rPr>
              <w:t>$36,838</w:t>
            </w:r>
          </w:p>
        </w:tc>
      </w:tr>
      <w:tr w:rsidR="00932809" w:rsidRPr="00263FE0"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390BA0">
            <w:pPr>
              <w:rPr>
                <w:sz w:val="24"/>
                <w:szCs w:val="24"/>
              </w:rPr>
            </w:pPr>
            <w:r w:rsidRPr="00263FE0">
              <w:rPr>
                <w:sz w:val="24"/>
                <w:szCs w:val="24"/>
              </w:rPr>
              <w:t>Overhead</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B44EC2">
            <w:pPr>
              <w:jc w:val="center"/>
              <w:rPr>
                <w:sz w:val="24"/>
                <w:szCs w:val="24"/>
              </w:rPr>
            </w:pPr>
            <w:r>
              <w:rPr>
                <w:sz w:val="24"/>
                <w:szCs w:val="24"/>
              </w:rPr>
              <w:t>$62,500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B44EC2">
            <w:pPr>
              <w:jc w:val="center"/>
              <w:rPr>
                <w:sz w:val="24"/>
                <w:szCs w:val="24"/>
              </w:rPr>
            </w:pPr>
            <w:r>
              <w:rPr>
                <w:sz w:val="24"/>
                <w:szCs w:val="24"/>
              </w:rPr>
              <w:t>$31,250</w:t>
            </w:r>
          </w:p>
        </w:tc>
      </w:tr>
      <w:tr w:rsidR="00932809"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390BA0">
            <w:pPr>
              <w:rPr>
                <w:sz w:val="24"/>
                <w:szCs w:val="24"/>
              </w:rPr>
            </w:pPr>
            <w:r w:rsidRPr="00263FE0">
              <w:rPr>
                <w:b/>
                <w:bCs/>
                <w:color w:val="000000"/>
                <w:sz w:val="24"/>
                <w:szCs w:val="24"/>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263FE0" w:rsidRDefault="00932809" w:rsidP="00E328C2">
            <w:pPr>
              <w:jc w:val="center"/>
              <w:rPr>
                <w:sz w:val="24"/>
                <w:szCs w:val="24"/>
              </w:rPr>
            </w:pPr>
            <w:r>
              <w:rPr>
                <w:sz w:val="24"/>
                <w:szCs w:val="24"/>
              </w:rPr>
              <w:t>$</w:t>
            </w:r>
            <w:r w:rsidR="00C04A50">
              <w:rPr>
                <w:sz w:val="24"/>
                <w:szCs w:val="24"/>
              </w:rPr>
              <w:t>332,834</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932809" w:rsidRPr="003210AA" w:rsidRDefault="00932809" w:rsidP="00C04A50">
            <w:pPr>
              <w:jc w:val="center"/>
              <w:rPr>
                <w:sz w:val="24"/>
                <w:szCs w:val="24"/>
              </w:rPr>
            </w:pPr>
            <w:r>
              <w:rPr>
                <w:sz w:val="24"/>
                <w:szCs w:val="24"/>
              </w:rPr>
              <w:t>$</w:t>
            </w:r>
            <w:r w:rsidR="00C04A50">
              <w:rPr>
                <w:sz w:val="24"/>
                <w:szCs w:val="24"/>
              </w:rPr>
              <w:t>166,417</w:t>
            </w:r>
          </w:p>
        </w:tc>
      </w:tr>
    </w:tbl>
    <w:p w:rsidR="00932809" w:rsidRDefault="00932809">
      <w:pPr>
        <w:rPr>
          <w:sz w:val="24"/>
        </w:rPr>
      </w:pPr>
    </w:p>
    <w:p w:rsidR="00932809" w:rsidRPr="00945908" w:rsidRDefault="00932809">
      <w:pPr>
        <w:rPr>
          <w:b/>
          <w:i/>
          <w:sz w:val="24"/>
        </w:rPr>
      </w:pPr>
      <w:r w:rsidRPr="00945908">
        <w:rPr>
          <w:b/>
          <w:i/>
          <w:sz w:val="24"/>
        </w:rPr>
        <w:t>15.  Changes in Hour Burden</w:t>
      </w:r>
    </w:p>
    <w:p w:rsidR="00932809" w:rsidRDefault="00932809">
      <w:pPr>
        <w:rPr>
          <w:sz w:val="24"/>
        </w:rPr>
      </w:pPr>
    </w:p>
    <w:p w:rsidR="00932809" w:rsidRDefault="00932809">
      <w:pPr>
        <w:rPr>
          <w:sz w:val="24"/>
        </w:rPr>
      </w:pPr>
      <w:r>
        <w:rPr>
          <w:sz w:val="24"/>
        </w:rPr>
        <w:t xml:space="preserve">This </w:t>
      </w:r>
      <w:r w:rsidR="0052327B">
        <w:rPr>
          <w:sz w:val="24"/>
        </w:rPr>
        <w:t xml:space="preserve">is </w:t>
      </w:r>
      <w:r>
        <w:rPr>
          <w:sz w:val="24"/>
        </w:rPr>
        <w:t xml:space="preserve">a new </w:t>
      </w:r>
      <w:r w:rsidR="001C57B4">
        <w:rPr>
          <w:sz w:val="24"/>
        </w:rPr>
        <w:t xml:space="preserve">collection of information. </w:t>
      </w:r>
    </w:p>
    <w:p w:rsidR="00EC0B45" w:rsidRDefault="00EC0B45">
      <w:pPr>
        <w:rPr>
          <w:sz w:val="24"/>
        </w:rPr>
      </w:pPr>
    </w:p>
    <w:p w:rsidR="00932809" w:rsidRDefault="00932809">
      <w:pPr>
        <w:rPr>
          <w:b/>
          <w:i/>
          <w:sz w:val="24"/>
        </w:rPr>
      </w:pPr>
      <w:r w:rsidRPr="00827880">
        <w:rPr>
          <w:b/>
          <w:i/>
          <w:sz w:val="24"/>
        </w:rPr>
        <w:t>16. Time Schedule, Publication and Analysis Plans</w:t>
      </w:r>
    </w:p>
    <w:p w:rsidR="00932809" w:rsidRDefault="00932809">
      <w:pPr>
        <w:rPr>
          <w:b/>
          <w:i/>
          <w:sz w:val="24"/>
        </w:rPr>
      </w:pPr>
    </w:p>
    <w:p w:rsidR="00932809" w:rsidRDefault="00932809" w:rsidP="00327803">
      <w:pPr>
        <w:rPr>
          <w:b/>
          <w:bCs/>
          <w:color w:val="000000"/>
          <w:sz w:val="24"/>
          <w:szCs w:val="24"/>
        </w:rPr>
      </w:pPr>
      <w:r w:rsidRPr="00327803">
        <w:rPr>
          <w:b/>
          <w:bCs/>
          <w:color w:val="000000"/>
          <w:sz w:val="24"/>
          <w:szCs w:val="24"/>
        </w:rPr>
        <w:t xml:space="preserve"> Exhibit 4.  Approximate Timeline for Data Gathering Activities</w:t>
      </w:r>
    </w:p>
    <w:p w:rsidR="00932809" w:rsidRDefault="00932809" w:rsidP="0032780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2"/>
        <w:gridCol w:w="247"/>
        <w:gridCol w:w="247"/>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48"/>
      </w:tblGrid>
      <w:tr w:rsidR="00B22741" w:rsidRPr="00327803" w:rsidTr="008A7757">
        <w:trPr>
          <w:trHeight w:val="432"/>
        </w:trPr>
        <w:tc>
          <w:tcPr>
            <w:tcW w:w="0" w:type="auto"/>
            <w:gridSpan w:val="23"/>
            <w:tcBorders>
              <w:bottom w:val="single" w:sz="4" w:space="0" w:color="auto"/>
            </w:tcBorders>
            <w:shd w:val="clear" w:color="auto" w:fill="D9D9D9"/>
            <w:vAlign w:val="center"/>
          </w:tcPr>
          <w:p w:rsidR="00B22741" w:rsidRPr="00327803" w:rsidRDefault="00B22741" w:rsidP="008A7757">
            <w:pPr>
              <w:spacing w:before="120" w:after="120"/>
              <w:jc w:val="center"/>
              <w:rPr>
                <w:b/>
                <w:sz w:val="22"/>
                <w:szCs w:val="22"/>
              </w:rPr>
            </w:pPr>
            <w:r w:rsidRPr="00327803">
              <w:rPr>
                <w:b/>
              </w:rPr>
              <w:t>Timeline for Data Gathering to Assess the Feasibility</w:t>
            </w:r>
            <w:r>
              <w:rPr>
                <w:b/>
              </w:rPr>
              <w:t xml:space="preserve"> of Integrating Effective Health Care </w:t>
            </w:r>
            <w:r w:rsidR="004A211D">
              <w:rPr>
                <w:b/>
              </w:rPr>
              <w:t xml:space="preserve">(EHC) </w:t>
            </w:r>
            <w:r>
              <w:rPr>
                <w:b/>
              </w:rPr>
              <w:t>Program Products in Academic Continuing Medical Education (CME) Activities</w:t>
            </w:r>
          </w:p>
        </w:tc>
      </w:tr>
      <w:tr w:rsidR="00B22741" w:rsidRPr="00950F46" w:rsidTr="008A7757">
        <w:tc>
          <w:tcPr>
            <w:tcW w:w="0" w:type="auto"/>
            <w:shd w:val="clear" w:color="auto" w:fill="D9D9D9"/>
            <w:vAlign w:val="center"/>
          </w:tcPr>
          <w:p w:rsidR="00B22741" w:rsidRPr="00AA4171" w:rsidRDefault="00B22741" w:rsidP="008A7757">
            <w:pPr>
              <w:jc w:val="center"/>
              <w:rPr>
                <w:b/>
                <w:sz w:val="16"/>
                <w:szCs w:val="16"/>
              </w:rPr>
            </w:pPr>
            <w:r w:rsidRPr="00AA4171">
              <w:rPr>
                <w:b/>
                <w:sz w:val="16"/>
                <w:szCs w:val="16"/>
              </w:rPr>
              <w:t>Major Data Gathering Tasks to Be Completed</w:t>
            </w:r>
          </w:p>
          <w:p w:rsidR="00B22741" w:rsidRPr="00AA4171" w:rsidRDefault="00B22741" w:rsidP="008A7757">
            <w:pPr>
              <w:rPr>
                <w:b/>
                <w:sz w:val="16"/>
                <w:szCs w:val="16"/>
              </w:rPr>
            </w:pPr>
          </w:p>
        </w:tc>
        <w:tc>
          <w:tcPr>
            <w:tcW w:w="0" w:type="auto"/>
            <w:gridSpan w:val="14"/>
            <w:tcBorders>
              <w:bottom w:val="single" w:sz="4" w:space="0" w:color="auto"/>
            </w:tcBorders>
            <w:shd w:val="clear" w:color="auto" w:fill="D9D9D9"/>
            <w:vAlign w:val="center"/>
          </w:tcPr>
          <w:p w:rsidR="00B22741" w:rsidRDefault="00B22741" w:rsidP="008A7757">
            <w:pPr>
              <w:jc w:val="center"/>
              <w:rPr>
                <w:b/>
                <w:sz w:val="16"/>
                <w:szCs w:val="16"/>
              </w:rPr>
            </w:pPr>
            <w:r w:rsidRPr="00950F46">
              <w:rPr>
                <w:b/>
                <w:sz w:val="16"/>
                <w:szCs w:val="16"/>
              </w:rPr>
              <w:t>Pre-OMB Clearance</w:t>
            </w:r>
          </w:p>
          <w:p w:rsidR="007574A2" w:rsidRPr="00950F46" w:rsidRDefault="004A211D" w:rsidP="008A7757">
            <w:pPr>
              <w:jc w:val="center"/>
              <w:rPr>
                <w:b/>
                <w:sz w:val="16"/>
                <w:szCs w:val="16"/>
              </w:rPr>
            </w:pPr>
            <w:r>
              <w:rPr>
                <w:b/>
                <w:sz w:val="16"/>
                <w:szCs w:val="16"/>
              </w:rPr>
              <w:t>(months)</w:t>
            </w:r>
          </w:p>
        </w:tc>
        <w:tc>
          <w:tcPr>
            <w:tcW w:w="0" w:type="auto"/>
            <w:gridSpan w:val="8"/>
            <w:tcBorders>
              <w:bottom w:val="single" w:sz="4" w:space="0" w:color="auto"/>
            </w:tcBorders>
            <w:shd w:val="clear" w:color="auto" w:fill="D9D9D9"/>
            <w:vAlign w:val="center"/>
          </w:tcPr>
          <w:p w:rsidR="00B22741" w:rsidRDefault="00B22741" w:rsidP="008A7757">
            <w:pPr>
              <w:jc w:val="center"/>
              <w:rPr>
                <w:b/>
                <w:sz w:val="16"/>
                <w:szCs w:val="16"/>
              </w:rPr>
            </w:pPr>
            <w:r w:rsidRPr="00950F46">
              <w:rPr>
                <w:b/>
                <w:sz w:val="16"/>
                <w:szCs w:val="16"/>
              </w:rPr>
              <w:t>Post-OMB Clearance</w:t>
            </w:r>
          </w:p>
          <w:p w:rsidR="007574A2" w:rsidRPr="00950F46" w:rsidRDefault="004A211D" w:rsidP="008A7757">
            <w:pPr>
              <w:jc w:val="center"/>
              <w:rPr>
                <w:b/>
                <w:sz w:val="16"/>
                <w:szCs w:val="16"/>
              </w:rPr>
            </w:pPr>
            <w:r>
              <w:rPr>
                <w:b/>
                <w:sz w:val="16"/>
                <w:szCs w:val="16"/>
              </w:rPr>
              <w:t>(months)</w:t>
            </w:r>
          </w:p>
        </w:tc>
      </w:tr>
      <w:tr w:rsidR="00B22741" w:rsidRPr="00327803" w:rsidTr="007574A2">
        <w:tc>
          <w:tcPr>
            <w:tcW w:w="0" w:type="auto"/>
          </w:tcPr>
          <w:p w:rsidR="00B22741" w:rsidRPr="00327803" w:rsidRDefault="00B22741" w:rsidP="008A7757">
            <w:pPr>
              <w:rPr>
                <w:sz w:val="22"/>
                <w:szCs w:val="22"/>
              </w:rPr>
            </w:pPr>
            <w:r>
              <w:t xml:space="preserve">CME activities completed by partner academic organizations in staggered fashion </w:t>
            </w:r>
          </w:p>
        </w:tc>
        <w:tc>
          <w:tcPr>
            <w:tcW w:w="0" w:type="auto"/>
            <w:shd w:val="clear" w:color="auto" w:fill="0066FF"/>
          </w:tcPr>
          <w:p w:rsidR="00B22741" w:rsidRPr="007574A2" w:rsidRDefault="00B22741" w:rsidP="008A7757">
            <w:pPr>
              <w:spacing w:after="200" w:line="276" w:lineRule="auto"/>
              <w:rPr>
                <w:color w:val="0066FF"/>
                <w:sz w:val="22"/>
                <w:szCs w:val="22"/>
              </w:rPr>
            </w:pPr>
          </w:p>
        </w:tc>
        <w:tc>
          <w:tcPr>
            <w:tcW w:w="0" w:type="auto"/>
            <w:shd w:val="clear" w:color="auto" w:fill="0066FF"/>
          </w:tcPr>
          <w:p w:rsidR="00B22741" w:rsidRPr="007574A2" w:rsidRDefault="00B22741" w:rsidP="008A7757">
            <w:pPr>
              <w:spacing w:after="200" w:line="276" w:lineRule="auto"/>
              <w:rPr>
                <w:color w:val="0066FF"/>
                <w:sz w:val="22"/>
                <w:szCs w:val="22"/>
              </w:rPr>
            </w:pPr>
          </w:p>
        </w:tc>
        <w:tc>
          <w:tcPr>
            <w:tcW w:w="0" w:type="auto"/>
            <w:tcBorders>
              <w:bottom w:val="single" w:sz="4" w:space="0" w:color="auto"/>
            </w:tcBorders>
            <w:shd w:val="clear" w:color="auto" w:fill="0066FF"/>
          </w:tcPr>
          <w:p w:rsidR="00B22741" w:rsidRPr="007574A2" w:rsidRDefault="00B22741" w:rsidP="008A7757">
            <w:pPr>
              <w:spacing w:after="200" w:line="276" w:lineRule="auto"/>
              <w:rPr>
                <w:color w:val="0066FF"/>
                <w:sz w:val="22"/>
                <w:szCs w:val="22"/>
              </w:rPr>
            </w:pPr>
          </w:p>
        </w:tc>
        <w:tc>
          <w:tcPr>
            <w:tcW w:w="0" w:type="auto"/>
            <w:shd w:val="clear" w:color="auto" w:fill="0066FF"/>
          </w:tcPr>
          <w:p w:rsidR="00B22741" w:rsidRPr="007574A2" w:rsidRDefault="00B22741" w:rsidP="008A7757">
            <w:pPr>
              <w:spacing w:after="200" w:line="276" w:lineRule="auto"/>
              <w:rPr>
                <w:color w:val="0066FF"/>
                <w:sz w:val="22"/>
                <w:szCs w:val="22"/>
              </w:rPr>
            </w:pPr>
          </w:p>
        </w:tc>
        <w:tc>
          <w:tcPr>
            <w:tcW w:w="0" w:type="auto"/>
            <w:shd w:val="clear" w:color="auto" w:fill="0066FF"/>
          </w:tcPr>
          <w:p w:rsidR="00B22741" w:rsidRPr="007574A2" w:rsidRDefault="00B22741" w:rsidP="008A7757">
            <w:pPr>
              <w:spacing w:after="200" w:line="276" w:lineRule="auto"/>
              <w:rPr>
                <w:color w:val="0066FF"/>
                <w:sz w:val="22"/>
                <w:szCs w:val="22"/>
              </w:rPr>
            </w:pPr>
          </w:p>
        </w:tc>
        <w:tc>
          <w:tcPr>
            <w:tcW w:w="0" w:type="auto"/>
            <w:tcBorders>
              <w:bottom w:val="single" w:sz="4" w:space="0" w:color="auto"/>
            </w:tcBorders>
            <w:shd w:val="clear" w:color="auto" w:fill="0066FF"/>
          </w:tcPr>
          <w:p w:rsidR="00B22741" w:rsidRPr="007574A2" w:rsidRDefault="00B22741" w:rsidP="008A7757">
            <w:pPr>
              <w:spacing w:after="200" w:line="276" w:lineRule="auto"/>
              <w:rPr>
                <w:color w:val="0066FF"/>
                <w:sz w:val="22"/>
                <w:szCs w:val="22"/>
              </w:rPr>
            </w:pPr>
          </w:p>
        </w:tc>
        <w:tc>
          <w:tcPr>
            <w:tcW w:w="0" w:type="auto"/>
            <w:shd w:val="clear" w:color="auto" w:fill="0066FF"/>
          </w:tcPr>
          <w:p w:rsidR="00B22741" w:rsidRPr="007574A2" w:rsidRDefault="00B22741" w:rsidP="008A7757">
            <w:pPr>
              <w:spacing w:after="200" w:line="276" w:lineRule="auto"/>
              <w:rPr>
                <w:color w:val="0066FF"/>
                <w:sz w:val="22"/>
                <w:szCs w:val="22"/>
              </w:rPr>
            </w:pPr>
          </w:p>
        </w:tc>
        <w:tc>
          <w:tcPr>
            <w:tcW w:w="0" w:type="auto"/>
            <w:tcBorders>
              <w:bottom w:val="single" w:sz="4" w:space="0" w:color="auto"/>
            </w:tcBorders>
            <w:shd w:val="clear" w:color="auto" w:fill="0066FF"/>
          </w:tcPr>
          <w:p w:rsidR="00B22741" w:rsidRPr="007574A2" w:rsidRDefault="00B22741" w:rsidP="008A7757">
            <w:pPr>
              <w:spacing w:after="200" w:line="276" w:lineRule="auto"/>
              <w:rPr>
                <w:color w:val="0066FF"/>
                <w:sz w:val="22"/>
                <w:szCs w:val="22"/>
              </w:rPr>
            </w:pPr>
          </w:p>
        </w:tc>
        <w:tc>
          <w:tcPr>
            <w:tcW w:w="0" w:type="auto"/>
            <w:shd w:val="clear" w:color="auto" w:fill="0066FF"/>
          </w:tcPr>
          <w:p w:rsidR="00B22741" w:rsidRPr="007574A2" w:rsidRDefault="00B22741" w:rsidP="008A7757">
            <w:pPr>
              <w:spacing w:after="200" w:line="276" w:lineRule="auto"/>
              <w:rPr>
                <w:color w:val="0066FF"/>
                <w:sz w:val="22"/>
                <w:szCs w:val="22"/>
              </w:rPr>
            </w:pPr>
          </w:p>
        </w:tc>
        <w:tc>
          <w:tcPr>
            <w:tcW w:w="0" w:type="auto"/>
            <w:shd w:val="clear" w:color="auto" w:fill="0066FF"/>
          </w:tcPr>
          <w:p w:rsidR="00B22741" w:rsidRPr="007574A2" w:rsidRDefault="00B22741" w:rsidP="008A7757">
            <w:pPr>
              <w:spacing w:after="200" w:line="276" w:lineRule="auto"/>
              <w:rPr>
                <w:color w:val="0066FF"/>
                <w:sz w:val="22"/>
                <w:szCs w:val="22"/>
              </w:rPr>
            </w:pPr>
          </w:p>
        </w:tc>
        <w:tc>
          <w:tcPr>
            <w:tcW w:w="0" w:type="auto"/>
            <w:shd w:val="clear" w:color="auto" w:fill="0066FF"/>
          </w:tcPr>
          <w:p w:rsidR="00B22741" w:rsidRPr="007574A2" w:rsidRDefault="00B22741" w:rsidP="008A7757">
            <w:pPr>
              <w:spacing w:after="200" w:line="276" w:lineRule="auto"/>
              <w:rPr>
                <w:color w:val="0066FF"/>
                <w:sz w:val="22"/>
                <w:szCs w:val="22"/>
              </w:rPr>
            </w:pPr>
          </w:p>
        </w:tc>
        <w:tc>
          <w:tcPr>
            <w:tcW w:w="0" w:type="auto"/>
            <w:tcBorders>
              <w:bottom w:val="single" w:sz="4" w:space="0" w:color="auto"/>
            </w:tcBorders>
            <w:shd w:val="clear" w:color="auto" w:fill="0066FF"/>
          </w:tcPr>
          <w:p w:rsidR="00B22741" w:rsidRPr="007574A2" w:rsidRDefault="00B22741" w:rsidP="008A7757">
            <w:pPr>
              <w:spacing w:after="200" w:line="276" w:lineRule="auto"/>
              <w:rPr>
                <w:color w:val="0066FF"/>
                <w:sz w:val="22"/>
                <w:szCs w:val="22"/>
              </w:rPr>
            </w:pPr>
          </w:p>
        </w:tc>
        <w:tc>
          <w:tcPr>
            <w:tcW w:w="0" w:type="auto"/>
            <w:tcBorders>
              <w:bottom w:val="single" w:sz="4" w:space="0" w:color="auto"/>
            </w:tcBorders>
            <w:shd w:val="clear" w:color="auto" w:fill="0066FF"/>
          </w:tcPr>
          <w:p w:rsidR="00B22741" w:rsidRPr="007574A2" w:rsidRDefault="00B22741" w:rsidP="008A7757">
            <w:pPr>
              <w:spacing w:after="200" w:line="276" w:lineRule="auto"/>
              <w:rPr>
                <w:color w:val="0066FF"/>
                <w:sz w:val="22"/>
                <w:szCs w:val="22"/>
              </w:rPr>
            </w:pPr>
          </w:p>
        </w:tc>
        <w:tc>
          <w:tcPr>
            <w:tcW w:w="0" w:type="auto"/>
            <w:tcBorders>
              <w:bottom w:val="single" w:sz="4" w:space="0" w:color="auto"/>
            </w:tcBorders>
            <w:shd w:val="clear" w:color="auto" w:fill="0066FF"/>
          </w:tcPr>
          <w:p w:rsidR="00B22741" w:rsidRPr="007574A2" w:rsidRDefault="00B22741" w:rsidP="008A7757">
            <w:pPr>
              <w:spacing w:after="200" w:line="276" w:lineRule="auto"/>
              <w:rPr>
                <w:color w:val="0066FF"/>
                <w:sz w:val="22"/>
                <w:szCs w:val="22"/>
              </w:rPr>
            </w:pPr>
          </w:p>
        </w:tc>
        <w:tc>
          <w:tcPr>
            <w:tcW w:w="0" w:type="auto"/>
            <w:tcBorders>
              <w:bottom w:val="single" w:sz="4" w:space="0" w:color="auto"/>
            </w:tcBorders>
            <w:shd w:val="clear" w:color="auto" w:fill="0066FF"/>
          </w:tcPr>
          <w:p w:rsidR="00B22741" w:rsidRPr="007574A2" w:rsidRDefault="00B22741" w:rsidP="008A7757">
            <w:pPr>
              <w:spacing w:after="200" w:line="276" w:lineRule="auto"/>
              <w:rPr>
                <w:color w:val="0066FF"/>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r>
      <w:tr w:rsidR="00B22741" w:rsidRPr="00327803" w:rsidTr="008A7757">
        <w:tc>
          <w:tcPr>
            <w:tcW w:w="0" w:type="auto"/>
          </w:tcPr>
          <w:p w:rsidR="00B22741" w:rsidRPr="00327803" w:rsidRDefault="00B22741" w:rsidP="00D61209">
            <w:r w:rsidRPr="00327803">
              <w:t>Submit initial OMB clearance request to include information on selected test sites</w:t>
            </w: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r>
      <w:tr w:rsidR="00B22741" w:rsidRPr="00327803" w:rsidTr="008A7757">
        <w:tc>
          <w:tcPr>
            <w:tcW w:w="0" w:type="auto"/>
          </w:tcPr>
          <w:p w:rsidR="00B22741" w:rsidRPr="00327803" w:rsidRDefault="00B22741" w:rsidP="008A7757">
            <w:r w:rsidRPr="00327803">
              <w:t>Work with OMB representatives in revising and refining clearance request</w:t>
            </w: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r>
      <w:tr w:rsidR="00B22741" w:rsidRPr="00327803" w:rsidTr="008A7757">
        <w:tc>
          <w:tcPr>
            <w:tcW w:w="0" w:type="auto"/>
          </w:tcPr>
          <w:p w:rsidR="00B22741" w:rsidRPr="00327803" w:rsidRDefault="00B22741" w:rsidP="008A7757">
            <w:r>
              <w:t>Complete the public comment period required for OMB clearance</w:t>
            </w: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r>
      <w:tr w:rsidR="00B22741" w:rsidRPr="00327803" w:rsidTr="008A7757">
        <w:tc>
          <w:tcPr>
            <w:tcW w:w="0" w:type="auto"/>
          </w:tcPr>
          <w:p w:rsidR="00B22741" w:rsidRPr="00327803" w:rsidRDefault="00B22741" w:rsidP="007574A2">
            <w:r>
              <w:t xml:space="preserve">Conduct </w:t>
            </w:r>
            <w:r w:rsidRPr="00327803">
              <w:t xml:space="preserve">interviews </w:t>
            </w:r>
            <w:r w:rsidR="007574A2">
              <w:t>with f</w:t>
            </w:r>
            <w:r>
              <w:t xml:space="preserve">aculty </w:t>
            </w:r>
            <w:r w:rsidR="007574A2">
              <w:t>of CME programs</w:t>
            </w: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r>
      <w:tr w:rsidR="00B22741" w:rsidRPr="00327803" w:rsidTr="008A7757">
        <w:tc>
          <w:tcPr>
            <w:tcW w:w="0" w:type="auto"/>
          </w:tcPr>
          <w:p w:rsidR="00B22741" w:rsidRPr="00327803" w:rsidRDefault="00B22741" w:rsidP="00D61209">
            <w:r w:rsidRPr="00327803">
              <w:t xml:space="preserve">Administer </w:t>
            </w:r>
            <w:r>
              <w:t xml:space="preserve">initial survey assessments to CME </w:t>
            </w:r>
            <w:r w:rsidR="00D61209">
              <w:t>learners</w:t>
            </w:r>
            <w:r>
              <w:t xml:space="preserve"> </w:t>
            </w: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r>
      <w:tr w:rsidR="00B22741" w:rsidRPr="00327803" w:rsidTr="008A7757">
        <w:tc>
          <w:tcPr>
            <w:tcW w:w="0" w:type="auto"/>
          </w:tcPr>
          <w:p w:rsidR="00B22741" w:rsidRPr="00327803" w:rsidRDefault="00B22741" w:rsidP="00D61209">
            <w:r w:rsidRPr="00327803">
              <w:t xml:space="preserve">Administer </w:t>
            </w:r>
            <w:r>
              <w:t xml:space="preserve">follow up survey assessments to CME </w:t>
            </w:r>
            <w:r w:rsidR="00D61209">
              <w:t>learners</w:t>
            </w: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r>
      <w:tr w:rsidR="007574A2" w:rsidRPr="00327803" w:rsidTr="008A7757">
        <w:tc>
          <w:tcPr>
            <w:tcW w:w="0" w:type="auto"/>
          </w:tcPr>
          <w:p w:rsidR="007574A2" w:rsidRPr="00327803" w:rsidRDefault="007574A2" w:rsidP="007574A2">
            <w:r>
              <w:t>Conduct focus group with CME Project Directors</w:t>
            </w: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shd w:val="clear" w:color="auto" w:fill="0066FF"/>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Borders>
              <w:bottom w:val="single" w:sz="4" w:space="0" w:color="auto"/>
            </w:tcBorders>
          </w:tcPr>
          <w:p w:rsidR="007574A2" w:rsidRPr="00327803" w:rsidRDefault="007574A2" w:rsidP="008A7757">
            <w:pPr>
              <w:spacing w:after="200" w:line="276" w:lineRule="auto"/>
              <w:rPr>
                <w:sz w:val="22"/>
                <w:szCs w:val="22"/>
              </w:rPr>
            </w:pPr>
          </w:p>
        </w:tc>
        <w:tc>
          <w:tcPr>
            <w:tcW w:w="0" w:type="auto"/>
            <w:shd w:val="clear" w:color="auto" w:fill="auto"/>
          </w:tcPr>
          <w:p w:rsidR="007574A2" w:rsidRPr="00327803" w:rsidRDefault="007574A2" w:rsidP="008A7757">
            <w:pPr>
              <w:spacing w:after="200" w:line="276" w:lineRule="auto"/>
              <w:rPr>
                <w:sz w:val="22"/>
                <w:szCs w:val="22"/>
              </w:rPr>
            </w:pPr>
          </w:p>
        </w:tc>
        <w:tc>
          <w:tcPr>
            <w:tcW w:w="0" w:type="auto"/>
            <w:shd w:val="clear" w:color="auto" w:fill="auto"/>
          </w:tcPr>
          <w:p w:rsidR="007574A2" w:rsidRPr="00327803" w:rsidRDefault="007574A2" w:rsidP="008A7757">
            <w:pPr>
              <w:spacing w:after="200" w:line="276" w:lineRule="auto"/>
              <w:rPr>
                <w:sz w:val="22"/>
                <w:szCs w:val="22"/>
              </w:rPr>
            </w:pPr>
          </w:p>
        </w:tc>
      </w:tr>
      <w:tr w:rsidR="00B22741" w:rsidRPr="00327803" w:rsidTr="008A7757">
        <w:tc>
          <w:tcPr>
            <w:tcW w:w="0" w:type="auto"/>
          </w:tcPr>
          <w:p w:rsidR="00B22741" w:rsidRPr="00327803" w:rsidRDefault="00B22741" w:rsidP="007574A2">
            <w:r>
              <w:t xml:space="preserve">Conduct </w:t>
            </w:r>
            <w:r w:rsidR="007574A2">
              <w:t>interviews with CME Project Directors</w:t>
            </w: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r>
      <w:tr w:rsidR="00B22741" w:rsidRPr="00327803" w:rsidTr="007574A2">
        <w:tc>
          <w:tcPr>
            <w:tcW w:w="0" w:type="auto"/>
          </w:tcPr>
          <w:p w:rsidR="00B22741" w:rsidRPr="00327803" w:rsidRDefault="00B22741" w:rsidP="008A7757">
            <w:r>
              <w:t>Analyze data</w:t>
            </w:r>
            <w:r w:rsidR="007574A2">
              <w:t xml:space="preserve"> and prepare final report on feasibility</w:t>
            </w: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0066FF"/>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c>
          <w:tcPr>
            <w:tcW w:w="0" w:type="auto"/>
            <w:tcBorders>
              <w:bottom w:val="single" w:sz="4" w:space="0" w:color="auto"/>
            </w:tcBorders>
            <w:shd w:val="clear" w:color="auto" w:fill="auto"/>
          </w:tcPr>
          <w:p w:rsidR="00B22741" w:rsidRPr="00327803" w:rsidRDefault="00B22741" w:rsidP="008A7757">
            <w:pPr>
              <w:spacing w:after="200" w:line="276" w:lineRule="auto"/>
              <w:rPr>
                <w:sz w:val="22"/>
                <w:szCs w:val="22"/>
              </w:rPr>
            </w:pPr>
          </w:p>
        </w:tc>
      </w:tr>
      <w:tr w:rsidR="007574A2" w:rsidRPr="00327803" w:rsidTr="007574A2">
        <w:tc>
          <w:tcPr>
            <w:tcW w:w="0" w:type="auto"/>
          </w:tcPr>
          <w:p w:rsidR="007574A2" w:rsidRPr="00327803" w:rsidRDefault="007574A2" w:rsidP="007574A2">
            <w:r>
              <w:t>Publish results via the EHC Program Web site and journal article(s)</w:t>
            </w: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tcPr>
          <w:p w:rsidR="007574A2" w:rsidRPr="00327803" w:rsidRDefault="007574A2" w:rsidP="008A7757">
            <w:pPr>
              <w:spacing w:after="200" w:line="276" w:lineRule="auto"/>
              <w:rPr>
                <w:sz w:val="22"/>
                <w:szCs w:val="22"/>
              </w:rPr>
            </w:pPr>
          </w:p>
        </w:tc>
        <w:tc>
          <w:tcPr>
            <w:tcW w:w="0" w:type="auto"/>
            <w:shd w:val="clear" w:color="auto" w:fill="0066FF"/>
          </w:tcPr>
          <w:p w:rsidR="007574A2" w:rsidRPr="00327803" w:rsidRDefault="007574A2" w:rsidP="008A7757">
            <w:pPr>
              <w:spacing w:after="200" w:line="276" w:lineRule="auto"/>
              <w:rPr>
                <w:sz w:val="22"/>
                <w:szCs w:val="22"/>
              </w:rPr>
            </w:pPr>
          </w:p>
        </w:tc>
        <w:tc>
          <w:tcPr>
            <w:tcW w:w="0" w:type="auto"/>
            <w:shd w:val="clear" w:color="auto" w:fill="0066FF"/>
          </w:tcPr>
          <w:p w:rsidR="007574A2" w:rsidRPr="00327803" w:rsidRDefault="007574A2" w:rsidP="008A7757">
            <w:pPr>
              <w:spacing w:after="200" w:line="276" w:lineRule="auto"/>
              <w:rPr>
                <w:sz w:val="22"/>
                <w:szCs w:val="22"/>
              </w:rPr>
            </w:pPr>
          </w:p>
        </w:tc>
      </w:tr>
    </w:tbl>
    <w:p w:rsidR="00B22741" w:rsidRPr="00327803" w:rsidRDefault="00B22741" w:rsidP="00327803">
      <w:pPr>
        <w:rPr>
          <w:sz w:val="24"/>
        </w:rPr>
      </w:pPr>
    </w:p>
    <w:p w:rsidR="00932809" w:rsidRDefault="00932809">
      <w:pPr>
        <w:rPr>
          <w:sz w:val="24"/>
        </w:rPr>
      </w:pPr>
    </w:p>
    <w:p w:rsidR="00932809" w:rsidRDefault="00932809">
      <w:pPr>
        <w:rPr>
          <w:sz w:val="24"/>
        </w:rPr>
      </w:pPr>
      <w:r w:rsidRPr="00B219FF">
        <w:rPr>
          <w:sz w:val="24"/>
        </w:rPr>
        <w:t>Qualitative data collected using focus groups and interviews will be analyzed to identify themes, patterns and possible explanations. Constant comparison method will be used to group answers to common questions and analyze different perspectives on central issues. The analysis of the qualitative data will identif</w:t>
      </w:r>
      <w:r w:rsidR="001C57B4">
        <w:rPr>
          <w:sz w:val="24"/>
        </w:rPr>
        <w:t>y</w:t>
      </w:r>
      <w:r w:rsidRPr="00B219FF">
        <w:rPr>
          <w:sz w:val="24"/>
        </w:rPr>
        <w:t xml:space="preserve"> </w:t>
      </w:r>
      <w:r w:rsidR="004A211D">
        <w:rPr>
          <w:sz w:val="24"/>
        </w:rPr>
        <w:t xml:space="preserve">a) </w:t>
      </w:r>
      <w:r w:rsidRPr="00B219FF">
        <w:rPr>
          <w:sz w:val="24"/>
        </w:rPr>
        <w:t xml:space="preserve">critical factors that enhance or impede the integration of EHC evidence into CME activities; </w:t>
      </w:r>
      <w:r w:rsidR="004A211D">
        <w:rPr>
          <w:sz w:val="24"/>
        </w:rPr>
        <w:t xml:space="preserve">b) </w:t>
      </w:r>
      <w:r w:rsidRPr="00B219FF">
        <w:rPr>
          <w:sz w:val="24"/>
        </w:rPr>
        <w:t>types of CME activities (e.g., live program activities, interactive workshops using case-based materials, enduring materials, regularly scheduled conferences) for which EHC products can be used</w:t>
      </w:r>
      <w:r w:rsidR="001C57B4">
        <w:rPr>
          <w:sz w:val="24"/>
        </w:rPr>
        <w:t xml:space="preserve"> effectively</w:t>
      </w:r>
      <w:r w:rsidRPr="00B219FF">
        <w:rPr>
          <w:sz w:val="24"/>
        </w:rPr>
        <w:t xml:space="preserve">; and </w:t>
      </w:r>
      <w:r w:rsidR="004A211D">
        <w:rPr>
          <w:sz w:val="24"/>
        </w:rPr>
        <w:t xml:space="preserve">c) </w:t>
      </w:r>
      <w:r w:rsidRPr="00B219FF">
        <w:rPr>
          <w:sz w:val="24"/>
        </w:rPr>
        <w:t xml:space="preserve">modifications and support structures necessary to facilitate the integration of EHC evidence into educational programming. </w:t>
      </w:r>
    </w:p>
    <w:p w:rsidR="00932809" w:rsidRDefault="00932809">
      <w:pPr>
        <w:rPr>
          <w:sz w:val="24"/>
        </w:rPr>
      </w:pPr>
    </w:p>
    <w:p w:rsidR="00932809" w:rsidRDefault="00E52A13">
      <w:pPr>
        <w:rPr>
          <w:sz w:val="24"/>
        </w:rPr>
      </w:pPr>
      <w:r>
        <w:rPr>
          <w:sz w:val="24"/>
        </w:rPr>
        <w:t>Limited qu</w:t>
      </w:r>
      <w:r w:rsidR="00932809" w:rsidRPr="00B219FF">
        <w:rPr>
          <w:sz w:val="24"/>
        </w:rPr>
        <w:t xml:space="preserve">antitative data will </w:t>
      </w:r>
      <w:r w:rsidR="00932809">
        <w:rPr>
          <w:sz w:val="24"/>
        </w:rPr>
        <w:t>be collected</w:t>
      </w:r>
      <w:r>
        <w:rPr>
          <w:sz w:val="24"/>
        </w:rPr>
        <w:t xml:space="preserve"> via the questionnaire surveys </w:t>
      </w:r>
      <w:r w:rsidRPr="00E52A13">
        <w:rPr>
          <w:sz w:val="24"/>
        </w:rPr>
        <w:t>of learners</w:t>
      </w:r>
      <w:r w:rsidR="00932809" w:rsidRPr="00E52A13">
        <w:rPr>
          <w:sz w:val="24"/>
        </w:rPr>
        <w:t xml:space="preserve">. </w:t>
      </w:r>
      <w:r w:rsidRPr="00E52A13">
        <w:rPr>
          <w:sz w:val="24"/>
        </w:rPr>
        <w:t>The q</w:t>
      </w:r>
      <w:r w:rsidR="00932809" w:rsidRPr="00E52A13">
        <w:rPr>
          <w:sz w:val="24"/>
        </w:rPr>
        <w:t>uestionnaire data will be summarized using descriptive statistics</w:t>
      </w:r>
      <w:r>
        <w:rPr>
          <w:sz w:val="24"/>
        </w:rPr>
        <w:t xml:space="preserve"> and limited inferential </w:t>
      </w:r>
      <w:r w:rsidR="008F265C">
        <w:rPr>
          <w:sz w:val="24"/>
        </w:rPr>
        <w:t>statistics</w:t>
      </w:r>
      <w:r w:rsidR="00D14216">
        <w:rPr>
          <w:sz w:val="24"/>
        </w:rPr>
        <w:t xml:space="preserve"> as applicable. The </w:t>
      </w:r>
      <w:r>
        <w:rPr>
          <w:sz w:val="24"/>
        </w:rPr>
        <w:t xml:space="preserve">importance of findings will be </w:t>
      </w:r>
      <w:r w:rsidR="00BD214D">
        <w:rPr>
          <w:sz w:val="24"/>
        </w:rPr>
        <w:t>informed</w:t>
      </w:r>
      <w:r w:rsidR="008F265C">
        <w:rPr>
          <w:sz w:val="24"/>
        </w:rPr>
        <w:t xml:space="preserve"> </w:t>
      </w:r>
      <w:r>
        <w:rPr>
          <w:sz w:val="24"/>
        </w:rPr>
        <w:t xml:space="preserve">not only </w:t>
      </w:r>
      <w:r w:rsidR="00D14216">
        <w:rPr>
          <w:sz w:val="24"/>
        </w:rPr>
        <w:t xml:space="preserve">by </w:t>
      </w:r>
      <w:r>
        <w:rPr>
          <w:sz w:val="24"/>
        </w:rPr>
        <w:t>statistical significanc</w:t>
      </w:r>
      <w:r w:rsidR="008F265C">
        <w:rPr>
          <w:sz w:val="24"/>
        </w:rPr>
        <w:t>e</w:t>
      </w:r>
      <w:r w:rsidR="00D14216">
        <w:rPr>
          <w:sz w:val="24"/>
        </w:rPr>
        <w:t>,</w:t>
      </w:r>
      <w:r>
        <w:rPr>
          <w:sz w:val="24"/>
        </w:rPr>
        <w:t xml:space="preserve"> but </w:t>
      </w:r>
      <w:r w:rsidR="008F265C">
        <w:rPr>
          <w:sz w:val="24"/>
        </w:rPr>
        <w:t xml:space="preserve">also </w:t>
      </w:r>
      <w:r w:rsidR="00011B70">
        <w:rPr>
          <w:sz w:val="24"/>
        </w:rPr>
        <w:t xml:space="preserve">using estimated </w:t>
      </w:r>
      <w:r>
        <w:rPr>
          <w:sz w:val="24"/>
        </w:rPr>
        <w:t>effect size</w:t>
      </w:r>
      <w:r w:rsidR="008F265C">
        <w:rPr>
          <w:sz w:val="24"/>
        </w:rPr>
        <w:t>s</w:t>
      </w:r>
      <w:r>
        <w:rPr>
          <w:sz w:val="24"/>
        </w:rPr>
        <w:t xml:space="preserve"> and </w:t>
      </w:r>
      <w:r w:rsidR="00D14216">
        <w:rPr>
          <w:sz w:val="24"/>
        </w:rPr>
        <w:t xml:space="preserve">appraisal of the </w:t>
      </w:r>
      <w:r>
        <w:rPr>
          <w:sz w:val="24"/>
        </w:rPr>
        <w:t>“clinical significance”</w:t>
      </w:r>
      <w:r w:rsidR="008F265C">
        <w:rPr>
          <w:sz w:val="24"/>
        </w:rPr>
        <w:t xml:space="preserve"> or impact of results on practice. N</w:t>
      </w:r>
      <w:r w:rsidR="00932809" w:rsidRPr="00B219FF">
        <w:rPr>
          <w:sz w:val="24"/>
        </w:rPr>
        <w:t xml:space="preserve">onparametric techniques will be used if distributional </w:t>
      </w:r>
      <w:r>
        <w:rPr>
          <w:sz w:val="24"/>
        </w:rPr>
        <w:t xml:space="preserve">or small sample </w:t>
      </w:r>
      <w:r w:rsidR="00932809" w:rsidRPr="00B219FF">
        <w:rPr>
          <w:sz w:val="24"/>
        </w:rPr>
        <w:t>conditions warrant. Moderating variables, such as identified barriers to implementing change, may be investigated to inform understanding of any non-significant effects observed.</w:t>
      </w:r>
      <w:r w:rsidR="00932809" w:rsidRPr="00B219FF">
        <w:rPr>
          <w:sz w:val="24"/>
        </w:rPr>
        <w:br/>
      </w:r>
    </w:p>
    <w:p w:rsidR="00932809" w:rsidRDefault="00932809">
      <w:pPr>
        <w:rPr>
          <w:sz w:val="24"/>
        </w:rPr>
      </w:pPr>
      <w:r>
        <w:rPr>
          <w:sz w:val="24"/>
        </w:rPr>
        <w:t xml:space="preserve">It is expected that at least two types of publications will be developed from results of this project.  The first will be a summary prepared for publication on the Effective Health Care Program Web Site.  This summary will describe the </w:t>
      </w:r>
      <w:r w:rsidR="001B6394">
        <w:rPr>
          <w:sz w:val="24"/>
        </w:rPr>
        <w:t xml:space="preserve">project methodologies and results including </w:t>
      </w:r>
      <w:r w:rsidR="004A211D">
        <w:rPr>
          <w:sz w:val="24"/>
        </w:rPr>
        <w:t xml:space="preserve">information on </w:t>
      </w:r>
      <w:r w:rsidR="001B6394">
        <w:rPr>
          <w:sz w:val="24"/>
        </w:rPr>
        <w:t xml:space="preserve">the </w:t>
      </w:r>
      <w:r>
        <w:rPr>
          <w:sz w:val="24"/>
        </w:rPr>
        <w:t>target audience</w:t>
      </w:r>
      <w:r w:rsidR="004A211D">
        <w:rPr>
          <w:sz w:val="24"/>
        </w:rPr>
        <w:t xml:space="preserve"> of the </w:t>
      </w:r>
      <w:r>
        <w:rPr>
          <w:sz w:val="24"/>
        </w:rPr>
        <w:t>CME</w:t>
      </w:r>
      <w:r w:rsidR="001B6394">
        <w:rPr>
          <w:sz w:val="24"/>
        </w:rPr>
        <w:t>;</w:t>
      </w:r>
      <w:r>
        <w:rPr>
          <w:sz w:val="24"/>
        </w:rPr>
        <w:t xml:space="preserve"> the topical content</w:t>
      </w:r>
      <w:r w:rsidR="004A211D">
        <w:rPr>
          <w:sz w:val="24"/>
        </w:rPr>
        <w:t xml:space="preserve"> and </w:t>
      </w:r>
      <w:r>
        <w:rPr>
          <w:sz w:val="24"/>
        </w:rPr>
        <w:t xml:space="preserve">the methods employed </w:t>
      </w:r>
      <w:r w:rsidR="004A211D">
        <w:rPr>
          <w:sz w:val="24"/>
        </w:rPr>
        <w:t xml:space="preserve">in </w:t>
      </w:r>
      <w:r w:rsidR="001B6394">
        <w:rPr>
          <w:sz w:val="24"/>
        </w:rPr>
        <w:t xml:space="preserve">the </w:t>
      </w:r>
      <w:r>
        <w:rPr>
          <w:sz w:val="24"/>
        </w:rPr>
        <w:t>CME</w:t>
      </w:r>
      <w:r w:rsidR="001B6394">
        <w:rPr>
          <w:sz w:val="24"/>
        </w:rPr>
        <w:t xml:space="preserve"> (e.g., online case studies, live presentations, academic detailing);</w:t>
      </w:r>
      <w:r>
        <w:rPr>
          <w:sz w:val="24"/>
        </w:rPr>
        <w:t xml:space="preserve"> </w:t>
      </w:r>
      <w:r w:rsidR="00910E16">
        <w:rPr>
          <w:sz w:val="24"/>
        </w:rPr>
        <w:t xml:space="preserve">the </w:t>
      </w:r>
      <w:r w:rsidR="001B6394">
        <w:rPr>
          <w:sz w:val="24"/>
        </w:rPr>
        <w:t xml:space="preserve">assessment </w:t>
      </w:r>
      <w:r>
        <w:rPr>
          <w:sz w:val="24"/>
        </w:rPr>
        <w:t xml:space="preserve">tools used to </w:t>
      </w:r>
      <w:r w:rsidR="001B6394">
        <w:rPr>
          <w:sz w:val="24"/>
        </w:rPr>
        <w:t>determine educational outcomes;</w:t>
      </w:r>
      <w:r w:rsidR="00910E16">
        <w:rPr>
          <w:sz w:val="24"/>
        </w:rPr>
        <w:t xml:space="preserve"> and findings on ways to integrate EHC products </w:t>
      </w:r>
      <w:r w:rsidR="009D2416">
        <w:rPr>
          <w:sz w:val="24"/>
        </w:rPr>
        <w:t xml:space="preserve">successfully </w:t>
      </w:r>
      <w:r w:rsidR="00910E16">
        <w:rPr>
          <w:sz w:val="24"/>
        </w:rPr>
        <w:t>into CME activities</w:t>
      </w:r>
      <w:r>
        <w:rPr>
          <w:sz w:val="24"/>
        </w:rPr>
        <w:t>. In addition, data from follow-up activities will be prepared for submission to at least one peer-reviewed professional journal</w:t>
      </w:r>
      <w:r w:rsidR="00253563">
        <w:rPr>
          <w:sz w:val="24"/>
        </w:rPr>
        <w:t xml:space="preserve">, such as </w:t>
      </w:r>
      <w:r>
        <w:rPr>
          <w:sz w:val="24"/>
        </w:rPr>
        <w:t xml:space="preserve">the </w:t>
      </w:r>
      <w:r>
        <w:rPr>
          <w:i/>
          <w:sz w:val="24"/>
        </w:rPr>
        <w:t>Journal of Continuing Education in the Health Professions</w:t>
      </w:r>
      <w:r w:rsidR="00253563">
        <w:rPr>
          <w:i/>
          <w:sz w:val="24"/>
        </w:rPr>
        <w:t>,</w:t>
      </w:r>
      <w:r>
        <w:rPr>
          <w:sz w:val="24"/>
        </w:rPr>
        <w:t xml:space="preserve"> </w:t>
      </w:r>
      <w:r>
        <w:rPr>
          <w:i/>
          <w:sz w:val="24"/>
        </w:rPr>
        <w:t>Advances in Health Sciences Education</w:t>
      </w:r>
      <w:r>
        <w:rPr>
          <w:sz w:val="24"/>
        </w:rPr>
        <w:t xml:space="preserve">, </w:t>
      </w:r>
      <w:r>
        <w:rPr>
          <w:i/>
          <w:sz w:val="24"/>
        </w:rPr>
        <w:t>Medical Education</w:t>
      </w:r>
      <w:r>
        <w:rPr>
          <w:sz w:val="24"/>
        </w:rPr>
        <w:t xml:space="preserve">, </w:t>
      </w:r>
      <w:r w:rsidR="00253563">
        <w:rPr>
          <w:sz w:val="24"/>
        </w:rPr>
        <w:t xml:space="preserve">or </w:t>
      </w:r>
      <w:r>
        <w:rPr>
          <w:sz w:val="24"/>
        </w:rPr>
        <w:t xml:space="preserve">others. </w:t>
      </w:r>
    </w:p>
    <w:p w:rsidR="00932809" w:rsidRDefault="00932809">
      <w:pPr>
        <w:tabs>
          <w:tab w:val="left" w:pos="3550"/>
        </w:tabs>
        <w:rPr>
          <w:sz w:val="24"/>
          <w:szCs w:val="24"/>
        </w:rPr>
      </w:pPr>
    </w:p>
    <w:p w:rsidR="00CB1E6C" w:rsidRDefault="00CB1E6C">
      <w:pPr>
        <w:tabs>
          <w:tab w:val="left" w:pos="3550"/>
        </w:tabs>
        <w:rPr>
          <w:sz w:val="24"/>
          <w:szCs w:val="24"/>
        </w:rPr>
      </w:pPr>
    </w:p>
    <w:p w:rsidR="00932809" w:rsidRPr="00984FBC" w:rsidRDefault="00932809">
      <w:pPr>
        <w:rPr>
          <w:b/>
          <w:i/>
          <w:sz w:val="24"/>
        </w:rPr>
      </w:pPr>
      <w:r w:rsidRPr="00984FBC">
        <w:rPr>
          <w:b/>
          <w:i/>
          <w:sz w:val="24"/>
        </w:rPr>
        <w:t>17.  Exemption for Display of Expiration Date</w:t>
      </w:r>
    </w:p>
    <w:p w:rsidR="00932809" w:rsidRDefault="00932809">
      <w:pPr>
        <w:rPr>
          <w:sz w:val="24"/>
        </w:rPr>
      </w:pPr>
    </w:p>
    <w:p w:rsidR="00932809" w:rsidRPr="00984FBC" w:rsidRDefault="00932809" w:rsidP="00984FBC">
      <w:pPr>
        <w:rPr>
          <w:sz w:val="24"/>
        </w:rPr>
      </w:pPr>
      <w:r w:rsidRPr="00984FBC">
        <w:rPr>
          <w:sz w:val="24"/>
        </w:rPr>
        <w:t>AHRQ does not seek this exemption.</w:t>
      </w:r>
    </w:p>
    <w:p w:rsidR="00932809" w:rsidRDefault="00932809" w:rsidP="00586526">
      <w:pPr>
        <w:rPr>
          <w:b/>
          <w:sz w:val="24"/>
          <w:szCs w:val="24"/>
        </w:rPr>
      </w:pPr>
    </w:p>
    <w:p w:rsidR="00990DB3" w:rsidRDefault="00990DB3" w:rsidP="00586526">
      <w:pPr>
        <w:rPr>
          <w:b/>
          <w:sz w:val="24"/>
          <w:szCs w:val="24"/>
        </w:rPr>
      </w:pPr>
    </w:p>
    <w:p w:rsidR="00932809" w:rsidRDefault="00932809" w:rsidP="00586526">
      <w:pPr>
        <w:rPr>
          <w:b/>
          <w:sz w:val="24"/>
          <w:szCs w:val="24"/>
        </w:rPr>
      </w:pPr>
    </w:p>
    <w:p w:rsidR="00932809" w:rsidRPr="00586526" w:rsidRDefault="00932809" w:rsidP="00586526">
      <w:pPr>
        <w:rPr>
          <w:b/>
          <w:sz w:val="24"/>
          <w:szCs w:val="24"/>
        </w:rPr>
      </w:pPr>
      <w:r>
        <w:rPr>
          <w:b/>
          <w:sz w:val="24"/>
          <w:szCs w:val="24"/>
        </w:rPr>
        <w:t xml:space="preserve">List of </w:t>
      </w:r>
      <w:r w:rsidRPr="00586526">
        <w:rPr>
          <w:b/>
          <w:sz w:val="24"/>
          <w:szCs w:val="24"/>
        </w:rPr>
        <w:t>Attachments:</w:t>
      </w:r>
    </w:p>
    <w:p w:rsidR="00932809" w:rsidRPr="00586526" w:rsidRDefault="00932809" w:rsidP="00586526">
      <w:pPr>
        <w:rPr>
          <w:b/>
          <w:sz w:val="24"/>
          <w:szCs w:val="24"/>
        </w:rPr>
      </w:pPr>
    </w:p>
    <w:p w:rsidR="00932809" w:rsidRDefault="00932809" w:rsidP="000D25C4">
      <w:pPr>
        <w:spacing w:after="100" w:afterAutospacing="1"/>
        <w:rPr>
          <w:sz w:val="24"/>
          <w:szCs w:val="24"/>
        </w:rPr>
      </w:pPr>
      <w:r w:rsidRPr="003D2358">
        <w:rPr>
          <w:sz w:val="24"/>
          <w:szCs w:val="24"/>
        </w:rPr>
        <w:t>Attachment A:</w:t>
      </w:r>
      <w:r>
        <w:rPr>
          <w:sz w:val="24"/>
          <w:szCs w:val="24"/>
        </w:rPr>
        <w:t xml:space="preserve"> </w:t>
      </w:r>
      <w:r w:rsidRPr="003D2358">
        <w:rPr>
          <w:sz w:val="24"/>
          <w:szCs w:val="24"/>
        </w:rPr>
        <w:t xml:space="preserve"> </w:t>
      </w:r>
      <w:r>
        <w:rPr>
          <w:sz w:val="24"/>
          <w:szCs w:val="24"/>
        </w:rPr>
        <w:t xml:space="preserve">Interview guide for CME </w:t>
      </w:r>
      <w:r w:rsidR="00C46D42">
        <w:rPr>
          <w:sz w:val="24"/>
          <w:szCs w:val="24"/>
        </w:rPr>
        <w:t>project directors</w:t>
      </w:r>
    </w:p>
    <w:p w:rsidR="00932809" w:rsidRPr="00494A1D" w:rsidRDefault="00932809" w:rsidP="000D25C4">
      <w:pPr>
        <w:spacing w:after="100" w:afterAutospacing="1"/>
        <w:rPr>
          <w:sz w:val="24"/>
          <w:szCs w:val="24"/>
        </w:rPr>
      </w:pPr>
      <w:r>
        <w:rPr>
          <w:sz w:val="24"/>
          <w:szCs w:val="24"/>
        </w:rPr>
        <w:t xml:space="preserve">Attachment B:  Focus group topic guide for CME </w:t>
      </w:r>
      <w:r w:rsidR="00C46D42">
        <w:rPr>
          <w:sz w:val="24"/>
          <w:szCs w:val="24"/>
        </w:rPr>
        <w:t>project directors</w:t>
      </w:r>
    </w:p>
    <w:p w:rsidR="00932809" w:rsidRPr="00494A1D" w:rsidRDefault="00932809" w:rsidP="000D25C4">
      <w:pPr>
        <w:spacing w:after="100" w:afterAutospacing="1"/>
        <w:rPr>
          <w:sz w:val="24"/>
          <w:szCs w:val="24"/>
        </w:rPr>
      </w:pPr>
      <w:r>
        <w:rPr>
          <w:sz w:val="24"/>
          <w:szCs w:val="24"/>
        </w:rPr>
        <w:t xml:space="preserve">Attachment C:  Interview guide for </w:t>
      </w:r>
      <w:r w:rsidR="00C46D42">
        <w:rPr>
          <w:sz w:val="24"/>
          <w:szCs w:val="24"/>
        </w:rPr>
        <w:t>f</w:t>
      </w:r>
      <w:r>
        <w:rPr>
          <w:sz w:val="24"/>
          <w:szCs w:val="24"/>
        </w:rPr>
        <w:t>aculty members</w:t>
      </w:r>
    </w:p>
    <w:p w:rsidR="00932809" w:rsidRDefault="00932809" w:rsidP="00E8709C">
      <w:pPr>
        <w:pStyle w:val="NormalWeb"/>
        <w:spacing w:before="0" w:beforeAutospacing="0"/>
      </w:pPr>
    </w:p>
    <w:sectPr w:rsidR="00932809" w:rsidSect="003218B0">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94" w:rsidRDefault="00567F94">
      <w:r>
        <w:separator/>
      </w:r>
    </w:p>
  </w:endnote>
  <w:endnote w:type="continuationSeparator" w:id="0">
    <w:p w:rsidR="00567F94" w:rsidRDefault="0056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P TypographicSymbol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55" w:rsidRDefault="00FE1395">
    <w:pPr>
      <w:pStyle w:val="Footer"/>
      <w:framePr w:w="576" w:wrap="around" w:vAnchor="page" w:hAnchor="page" w:x="5545" w:y="15121"/>
      <w:jc w:val="right"/>
      <w:rPr>
        <w:rStyle w:val="PageNumber"/>
      </w:rPr>
    </w:pPr>
    <w:r>
      <w:rPr>
        <w:rStyle w:val="PageNumber"/>
      </w:rPr>
      <w:fldChar w:fldCharType="begin"/>
    </w:r>
    <w:r w:rsidR="00E26355">
      <w:rPr>
        <w:rStyle w:val="PageNumber"/>
      </w:rPr>
      <w:instrText xml:space="preserve">PAGE  </w:instrText>
    </w:r>
    <w:r>
      <w:rPr>
        <w:rStyle w:val="PageNumber"/>
      </w:rPr>
      <w:fldChar w:fldCharType="separate"/>
    </w:r>
    <w:r w:rsidR="00E26355">
      <w:rPr>
        <w:rStyle w:val="PageNumber"/>
        <w:noProof/>
      </w:rPr>
      <w:t>2</w:t>
    </w:r>
    <w:r>
      <w:rPr>
        <w:rStyle w:val="PageNumber"/>
      </w:rPr>
      <w:fldChar w:fldCharType="end"/>
    </w:r>
  </w:p>
  <w:p w:rsidR="00E26355" w:rsidRDefault="00E26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55" w:rsidRDefault="00FE1395">
    <w:pPr>
      <w:pStyle w:val="Footer"/>
      <w:framePr w:w="576" w:wrap="around" w:vAnchor="page" w:hAnchor="page" w:x="5545" w:y="15121"/>
      <w:jc w:val="right"/>
      <w:rPr>
        <w:rStyle w:val="PageNumber"/>
      </w:rPr>
    </w:pPr>
    <w:r>
      <w:rPr>
        <w:rStyle w:val="PageNumber"/>
      </w:rPr>
      <w:fldChar w:fldCharType="begin"/>
    </w:r>
    <w:r w:rsidR="00E26355">
      <w:rPr>
        <w:rStyle w:val="PageNumber"/>
      </w:rPr>
      <w:instrText xml:space="preserve">PAGE  </w:instrText>
    </w:r>
    <w:r>
      <w:rPr>
        <w:rStyle w:val="PageNumber"/>
      </w:rPr>
      <w:fldChar w:fldCharType="separate"/>
    </w:r>
    <w:r w:rsidR="00792FCE">
      <w:rPr>
        <w:rStyle w:val="PageNumber"/>
        <w:noProof/>
      </w:rPr>
      <w:t>1</w:t>
    </w:r>
    <w:r>
      <w:rPr>
        <w:rStyle w:val="PageNumber"/>
      </w:rPr>
      <w:fldChar w:fldCharType="end"/>
    </w:r>
  </w:p>
  <w:p w:rsidR="00E26355" w:rsidRDefault="00E26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94" w:rsidRDefault="00567F94">
      <w:r>
        <w:separator/>
      </w:r>
    </w:p>
  </w:footnote>
  <w:footnote w:type="continuationSeparator" w:id="0">
    <w:p w:rsidR="00567F94" w:rsidRDefault="00567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
    <w:nsid w:val="09274059"/>
    <w:multiLevelType w:val="hybridMultilevel"/>
    <w:tmpl w:val="05502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C11CB"/>
    <w:multiLevelType w:val="hybridMultilevel"/>
    <w:tmpl w:val="7B40B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95756"/>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5">
    <w:nsid w:val="0AF05B39"/>
    <w:multiLevelType w:val="hybridMultilevel"/>
    <w:tmpl w:val="D5269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1A2859"/>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7">
    <w:nsid w:val="0C762C45"/>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8">
    <w:nsid w:val="13FE2AD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9">
    <w:nsid w:val="15B16F1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0">
    <w:nsid w:val="162545F5"/>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1">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20501F"/>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3">
    <w:nsid w:val="2BD5461F"/>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4">
    <w:nsid w:val="3556572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5">
    <w:nsid w:val="37CB293E"/>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6">
    <w:nsid w:val="39E07B5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7">
    <w:nsid w:val="3B736837"/>
    <w:multiLevelType w:val="singleLevel"/>
    <w:tmpl w:val="921CBF02"/>
    <w:lvl w:ilvl="0">
      <w:start w:val="1"/>
      <w:numFmt w:val="decimal"/>
      <w:lvlText w:val="(%1)"/>
      <w:lvlJc w:val="left"/>
      <w:pPr>
        <w:tabs>
          <w:tab w:val="num" w:pos="360"/>
        </w:tabs>
        <w:ind w:left="360" w:hanging="360"/>
      </w:pPr>
      <w:rPr>
        <w:rFonts w:cs="Times New Roman" w:hint="default"/>
      </w:rPr>
    </w:lvl>
  </w:abstractNum>
  <w:abstractNum w:abstractNumId="18">
    <w:nsid w:val="3CE7261A"/>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9">
    <w:nsid w:val="42976C6C"/>
    <w:multiLevelType w:val="hybridMultilevel"/>
    <w:tmpl w:val="697E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F7510"/>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1">
    <w:nsid w:val="45A87F34"/>
    <w:multiLevelType w:val="hybridMultilevel"/>
    <w:tmpl w:val="A5EE2B40"/>
    <w:lvl w:ilvl="0" w:tplc="A852E726">
      <w:start w:val="1"/>
      <w:numFmt w:val="bullet"/>
      <w:lvlText w:val=""/>
      <w:lvlJc w:val="left"/>
      <w:pPr>
        <w:tabs>
          <w:tab w:val="num" w:pos="720"/>
        </w:tabs>
        <w:ind w:left="72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270DBE"/>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3">
    <w:nsid w:val="4CB803E0"/>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4">
    <w:nsid w:val="4CFE7BF1"/>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5">
    <w:nsid w:val="4D341742"/>
    <w:multiLevelType w:val="hybridMultilevel"/>
    <w:tmpl w:val="F94A2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9E7D0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7">
    <w:nsid w:val="50FE64EA"/>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8">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9">
    <w:nsid w:val="53937705"/>
    <w:multiLevelType w:val="multilevel"/>
    <w:tmpl w:val="AB00C94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0">
    <w:nsid w:val="5528336B"/>
    <w:multiLevelType w:val="singleLevel"/>
    <w:tmpl w:val="5368266C"/>
    <w:lvl w:ilvl="0">
      <w:start w:val="2"/>
      <w:numFmt w:val="lowerLetter"/>
      <w:lvlText w:val="%1."/>
      <w:lvlJc w:val="left"/>
      <w:pPr>
        <w:tabs>
          <w:tab w:val="num" w:pos="720"/>
        </w:tabs>
        <w:ind w:left="720" w:hanging="720"/>
      </w:pPr>
      <w:rPr>
        <w:rFonts w:cs="Times New Roman" w:hint="default"/>
      </w:rPr>
    </w:lvl>
  </w:abstractNum>
  <w:abstractNum w:abstractNumId="31">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2">
    <w:nsid w:val="5DED20F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3">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4">
    <w:nsid w:val="677B21F4"/>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5">
    <w:nsid w:val="6B2C3E9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6">
    <w:nsid w:val="76641D51"/>
    <w:multiLevelType w:val="hybridMultilevel"/>
    <w:tmpl w:val="E2EC3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8">
    <w:nsid w:val="7A9032C3"/>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9">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40">
    <w:nsid w:val="7EF67C3E"/>
    <w:multiLevelType w:val="hybridMultilevel"/>
    <w:tmpl w:val="3DA44D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1"/>
  </w:num>
  <w:num w:numId="3">
    <w:abstractNumId w:val="1"/>
  </w:num>
  <w:num w:numId="4">
    <w:abstractNumId w:val="33"/>
  </w:num>
  <w:num w:numId="5">
    <w:abstractNumId w:val="16"/>
  </w:num>
  <w:num w:numId="6">
    <w:abstractNumId w:val="22"/>
  </w:num>
  <w:num w:numId="7">
    <w:abstractNumId w:val="14"/>
  </w:num>
  <w:num w:numId="8">
    <w:abstractNumId w:val="12"/>
  </w:num>
  <w:num w:numId="9">
    <w:abstractNumId w:val="35"/>
  </w:num>
  <w:num w:numId="10">
    <w:abstractNumId w:val="4"/>
  </w:num>
  <w:num w:numId="11">
    <w:abstractNumId w:val="23"/>
  </w:num>
  <w:num w:numId="12">
    <w:abstractNumId w:val="38"/>
  </w:num>
  <w:num w:numId="13">
    <w:abstractNumId w:val="18"/>
  </w:num>
  <w:num w:numId="14">
    <w:abstractNumId w:val="27"/>
  </w:num>
  <w:num w:numId="15">
    <w:abstractNumId w:val="9"/>
  </w:num>
  <w:num w:numId="16">
    <w:abstractNumId w:val="37"/>
  </w:num>
  <w:num w:numId="17">
    <w:abstractNumId w:val="28"/>
  </w:num>
  <w:num w:numId="18">
    <w:abstractNumId w:val="39"/>
  </w:num>
  <w:num w:numId="19">
    <w:abstractNumId w:val="24"/>
  </w:num>
  <w:num w:numId="20">
    <w:abstractNumId w:val="6"/>
  </w:num>
  <w:num w:numId="21">
    <w:abstractNumId w:val="13"/>
  </w:num>
  <w:num w:numId="22">
    <w:abstractNumId w:val="20"/>
  </w:num>
  <w:num w:numId="23">
    <w:abstractNumId w:val="34"/>
  </w:num>
  <w:num w:numId="24">
    <w:abstractNumId w:val="7"/>
  </w:num>
  <w:num w:numId="25">
    <w:abstractNumId w:val="15"/>
  </w:num>
  <w:num w:numId="26">
    <w:abstractNumId w:val="26"/>
  </w:num>
  <w:num w:numId="27">
    <w:abstractNumId w:val="10"/>
  </w:num>
  <w:num w:numId="28">
    <w:abstractNumId w:val="32"/>
  </w:num>
  <w:num w:numId="29">
    <w:abstractNumId w:val="11"/>
  </w:num>
  <w:num w:numId="30">
    <w:abstractNumId w:val="0"/>
  </w:num>
  <w:num w:numId="31">
    <w:abstractNumId w:val="30"/>
  </w:num>
  <w:num w:numId="32">
    <w:abstractNumId w:val="17"/>
  </w:num>
  <w:num w:numId="33">
    <w:abstractNumId w:val="3"/>
  </w:num>
  <w:num w:numId="34">
    <w:abstractNumId w:val="5"/>
  </w:num>
  <w:num w:numId="35">
    <w:abstractNumId w:val="36"/>
  </w:num>
  <w:num w:numId="36">
    <w:abstractNumId w:val="29"/>
  </w:num>
  <w:num w:numId="37">
    <w:abstractNumId w:val="21"/>
  </w:num>
  <w:num w:numId="38">
    <w:abstractNumId w:val="2"/>
  </w:num>
  <w:num w:numId="39">
    <w:abstractNumId w:val="25"/>
  </w:num>
  <w:num w:numId="40">
    <w:abstractNumId w:val="4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739B6"/>
    <w:rsid w:val="00000322"/>
    <w:rsid w:val="0000418B"/>
    <w:rsid w:val="0000556E"/>
    <w:rsid w:val="0001179F"/>
    <w:rsid w:val="00011B70"/>
    <w:rsid w:val="000133FE"/>
    <w:rsid w:val="00014465"/>
    <w:rsid w:val="00020F7D"/>
    <w:rsid w:val="0002601D"/>
    <w:rsid w:val="00026748"/>
    <w:rsid w:val="00027A0E"/>
    <w:rsid w:val="00034CC5"/>
    <w:rsid w:val="0003799D"/>
    <w:rsid w:val="00040C94"/>
    <w:rsid w:val="00050F32"/>
    <w:rsid w:val="00053B13"/>
    <w:rsid w:val="00053F23"/>
    <w:rsid w:val="000571F5"/>
    <w:rsid w:val="00057990"/>
    <w:rsid w:val="000604DF"/>
    <w:rsid w:val="000653A5"/>
    <w:rsid w:val="00065487"/>
    <w:rsid w:val="00071AD8"/>
    <w:rsid w:val="00072E47"/>
    <w:rsid w:val="00073002"/>
    <w:rsid w:val="00080514"/>
    <w:rsid w:val="00081F9A"/>
    <w:rsid w:val="00082AE1"/>
    <w:rsid w:val="00082BC5"/>
    <w:rsid w:val="0008500E"/>
    <w:rsid w:val="00091103"/>
    <w:rsid w:val="000914D5"/>
    <w:rsid w:val="00095293"/>
    <w:rsid w:val="00097214"/>
    <w:rsid w:val="000A1F0D"/>
    <w:rsid w:val="000A4137"/>
    <w:rsid w:val="000A5F33"/>
    <w:rsid w:val="000A6210"/>
    <w:rsid w:val="000B7BE2"/>
    <w:rsid w:val="000C0281"/>
    <w:rsid w:val="000C10CF"/>
    <w:rsid w:val="000C21C2"/>
    <w:rsid w:val="000C4AD9"/>
    <w:rsid w:val="000C4FCF"/>
    <w:rsid w:val="000C567D"/>
    <w:rsid w:val="000D25C4"/>
    <w:rsid w:val="000D33FF"/>
    <w:rsid w:val="000D3D89"/>
    <w:rsid w:val="000E6F98"/>
    <w:rsid w:val="000E77DE"/>
    <w:rsid w:val="000F2532"/>
    <w:rsid w:val="000F28E7"/>
    <w:rsid w:val="000F669E"/>
    <w:rsid w:val="001001A1"/>
    <w:rsid w:val="001004A9"/>
    <w:rsid w:val="00101359"/>
    <w:rsid w:val="0010266A"/>
    <w:rsid w:val="00102DB4"/>
    <w:rsid w:val="00102ED0"/>
    <w:rsid w:val="00103079"/>
    <w:rsid w:val="00106093"/>
    <w:rsid w:val="00106811"/>
    <w:rsid w:val="00111BF8"/>
    <w:rsid w:val="00111D79"/>
    <w:rsid w:val="001137E5"/>
    <w:rsid w:val="00114E5C"/>
    <w:rsid w:val="00116FA3"/>
    <w:rsid w:val="00117D4A"/>
    <w:rsid w:val="00121DA0"/>
    <w:rsid w:val="00122979"/>
    <w:rsid w:val="00125623"/>
    <w:rsid w:val="00126096"/>
    <w:rsid w:val="00127C9F"/>
    <w:rsid w:val="00130324"/>
    <w:rsid w:val="00130AF7"/>
    <w:rsid w:val="001322D7"/>
    <w:rsid w:val="00133225"/>
    <w:rsid w:val="00136DB9"/>
    <w:rsid w:val="00141484"/>
    <w:rsid w:val="001458DB"/>
    <w:rsid w:val="0014767E"/>
    <w:rsid w:val="00150684"/>
    <w:rsid w:val="00155D27"/>
    <w:rsid w:val="00161EAB"/>
    <w:rsid w:val="00162389"/>
    <w:rsid w:val="00165655"/>
    <w:rsid w:val="0016568C"/>
    <w:rsid w:val="00170F62"/>
    <w:rsid w:val="00171481"/>
    <w:rsid w:val="00173015"/>
    <w:rsid w:val="00173D75"/>
    <w:rsid w:val="00182D14"/>
    <w:rsid w:val="0018395F"/>
    <w:rsid w:val="00184950"/>
    <w:rsid w:val="00190E7D"/>
    <w:rsid w:val="00195D20"/>
    <w:rsid w:val="001967C4"/>
    <w:rsid w:val="00197766"/>
    <w:rsid w:val="00197FB4"/>
    <w:rsid w:val="001A0BEF"/>
    <w:rsid w:val="001A4462"/>
    <w:rsid w:val="001A4D29"/>
    <w:rsid w:val="001B04FD"/>
    <w:rsid w:val="001B6394"/>
    <w:rsid w:val="001B6445"/>
    <w:rsid w:val="001B7772"/>
    <w:rsid w:val="001B7CF1"/>
    <w:rsid w:val="001C57B4"/>
    <w:rsid w:val="001C694A"/>
    <w:rsid w:val="001D0454"/>
    <w:rsid w:val="001D14FC"/>
    <w:rsid w:val="001D4A4F"/>
    <w:rsid w:val="001D4C44"/>
    <w:rsid w:val="001E5BEA"/>
    <w:rsid w:val="001E5F6B"/>
    <w:rsid w:val="001E6DC0"/>
    <w:rsid w:val="001F01A8"/>
    <w:rsid w:val="001F0B8B"/>
    <w:rsid w:val="001F27C9"/>
    <w:rsid w:val="001F2E86"/>
    <w:rsid w:val="001F6ACF"/>
    <w:rsid w:val="0020337A"/>
    <w:rsid w:val="002033F1"/>
    <w:rsid w:val="0020497D"/>
    <w:rsid w:val="00204ACF"/>
    <w:rsid w:val="002071FD"/>
    <w:rsid w:val="00212070"/>
    <w:rsid w:val="0021366F"/>
    <w:rsid w:val="00213A45"/>
    <w:rsid w:val="00217E9D"/>
    <w:rsid w:val="00217EA4"/>
    <w:rsid w:val="002242BF"/>
    <w:rsid w:val="00224404"/>
    <w:rsid w:val="00226F4D"/>
    <w:rsid w:val="0023032C"/>
    <w:rsid w:val="00231D07"/>
    <w:rsid w:val="002352BD"/>
    <w:rsid w:val="002366CD"/>
    <w:rsid w:val="00236FB9"/>
    <w:rsid w:val="0024165F"/>
    <w:rsid w:val="00241C39"/>
    <w:rsid w:val="00243277"/>
    <w:rsid w:val="002458CA"/>
    <w:rsid w:val="00251F89"/>
    <w:rsid w:val="00252102"/>
    <w:rsid w:val="00252752"/>
    <w:rsid w:val="00253563"/>
    <w:rsid w:val="0025447D"/>
    <w:rsid w:val="002563DF"/>
    <w:rsid w:val="0025696D"/>
    <w:rsid w:val="00263FE0"/>
    <w:rsid w:val="002725F2"/>
    <w:rsid w:val="00275DA6"/>
    <w:rsid w:val="00276795"/>
    <w:rsid w:val="00276979"/>
    <w:rsid w:val="00276D35"/>
    <w:rsid w:val="00281B32"/>
    <w:rsid w:val="002856EC"/>
    <w:rsid w:val="00290592"/>
    <w:rsid w:val="00293C1E"/>
    <w:rsid w:val="002964BC"/>
    <w:rsid w:val="002969A5"/>
    <w:rsid w:val="00297700"/>
    <w:rsid w:val="00297B28"/>
    <w:rsid w:val="002A418D"/>
    <w:rsid w:val="002A676D"/>
    <w:rsid w:val="002B0F2F"/>
    <w:rsid w:val="002B0F82"/>
    <w:rsid w:val="002B1005"/>
    <w:rsid w:val="002B1EAB"/>
    <w:rsid w:val="002B66DE"/>
    <w:rsid w:val="002B7698"/>
    <w:rsid w:val="002C1DB9"/>
    <w:rsid w:val="002C1E5A"/>
    <w:rsid w:val="002C34A8"/>
    <w:rsid w:val="002C5F22"/>
    <w:rsid w:val="002C6FB9"/>
    <w:rsid w:val="002D0930"/>
    <w:rsid w:val="002D272D"/>
    <w:rsid w:val="002D2A0E"/>
    <w:rsid w:val="002D3C45"/>
    <w:rsid w:val="002D4A29"/>
    <w:rsid w:val="002D6991"/>
    <w:rsid w:val="002D724D"/>
    <w:rsid w:val="002E381E"/>
    <w:rsid w:val="002E5A72"/>
    <w:rsid w:val="002E7AE4"/>
    <w:rsid w:val="002F7931"/>
    <w:rsid w:val="002F7C1E"/>
    <w:rsid w:val="002F7DAF"/>
    <w:rsid w:val="0030154A"/>
    <w:rsid w:val="00304C3F"/>
    <w:rsid w:val="003167B1"/>
    <w:rsid w:val="00320B55"/>
    <w:rsid w:val="003210AA"/>
    <w:rsid w:val="003218B0"/>
    <w:rsid w:val="00321C08"/>
    <w:rsid w:val="00323282"/>
    <w:rsid w:val="00324BFA"/>
    <w:rsid w:val="00325D4D"/>
    <w:rsid w:val="00325E92"/>
    <w:rsid w:val="00327803"/>
    <w:rsid w:val="003300E3"/>
    <w:rsid w:val="00330C59"/>
    <w:rsid w:val="0033774D"/>
    <w:rsid w:val="003412E0"/>
    <w:rsid w:val="003461A1"/>
    <w:rsid w:val="00347AAC"/>
    <w:rsid w:val="00352343"/>
    <w:rsid w:val="003552C2"/>
    <w:rsid w:val="00356ABF"/>
    <w:rsid w:val="00356B45"/>
    <w:rsid w:val="003573CB"/>
    <w:rsid w:val="00357635"/>
    <w:rsid w:val="00361CF9"/>
    <w:rsid w:val="00362DE0"/>
    <w:rsid w:val="00362EE1"/>
    <w:rsid w:val="00363652"/>
    <w:rsid w:val="0036600F"/>
    <w:rsid w:val="00367B12"/>
    <w:rsid w:val="003727B4"/>
    <w:rsid w:val="0037348B"/>
    <w:rsid w:val="00373A50"/>
    <w:rsid w:val="00375761"/>
    <w:rsid w:val="003770CC"/>
    <w:rsid w:val="00377C5A"/>
    <w:rsid w:val="00383C8A"/>
    <w:rsid w:val="00390333"/>
    <w:rsid w:val="00390BA0"/>
    <w:rsid w:val="00391478"/>
    <w:rsid w:val="003953B7"/>
    <w:rsid w:val="003A53F9"/>
    <w:rsid w:val="003A745E"/>
    <w:rsid w:val="003B13D4"/>
    <w:rsid w:val="003C268A"/>
    <w:rsid w:val="003C43EA"/>
    <w:rsid w:val="003D2358"/>
    <w:rsid w:val="003E06FA"/>
    <w:rsid w:val="003E3B58"/>
    <w:rsid w:val="003E658B"/>
    <w:rsid w:val="003E7E3F"/>
    <w:rsid w:val="003F1D8F"/>
    <w:rsid w:val="003F289B"/>
    <w:rsid w:val="003F75D1"/>
    <w:rsid w:val="00401229"/>
    <w:rsid w:val="0040239C"/>
    <w:rsid w:val="00404F1A"/>
    <w:rsid w:val="0040793C"/>
    <w:rsid w:val="00412368"/>
    <w:rsid w:val="00415C32"/>
    <w:rsid w:val="00417CCF"/>
    <w:rsid w:val="004243EF"/>
    <w:rsid w:val="0042627E"/>
    <w:rsid w:val="004276B2"/>
    <w:rsid w:val="004303F6"/>
    <w:rsid w:val="004347EA"/>
    <w:rsid w:val="00436C9E"/>
    <w:rsid w:val="0044072A"/>
    <w:rsid w:val="00443AE1"/>
    <w:rsid w:val="004451BC"/>
    <w:rsid w:val="00446925"/>
    <w:rsid w:val="0045210B"/>
    <w:rsid w:val="00453B74"/>
    <w:rsid w:val="00455AE7"/>
    <w:rsid w:val="004579CF"/>
    <w:rsid w:val="00465092"/>
    <w:rsid w:val="00465F82"/>
    <w:rsid w:val="004712F6"/>
    <w:rsid w:val="004716CA"/>
    <w:rsid w:val="0047187D"/>
    <w:rsid w:val="0047218E"/>
    <w:rsid w:val="004725BF"/>
    <w:rsid w:val="00475F38"/>
    <w:rsid w:val="00481A54"/>
    <w:rsid w:val="00481BA4"/>
    <w:rsid w:val="0048255F"/>
    <w:rsid w:val="004832F9"/>
    <w:rsid w:val="00483EC6"/>
    <w:rsid w:val="004904B7"/>
    <w:rsid w:val="004925DC"/>
    <w:rsid w:val="00494A14"/>
    <w:rsid w:val="00494A1D"/>
    <w:rsid w:val="004A0CA3"/>
    <w:rsid w:val="004A211D"/>
    <w:rsid w:val="004A542E"/>
    <w:rsid w:val="004A65FA"/>
    <w:rsid w:val="004B0B88"/>
    <w:rsid w:val="004B2C96"/>
    <w:rsid w:val="004B2FF6"/>
    <w:rsid w:val="004B6F74"/>
    <w:rsid w:val="004C21BC"/>
    <w:rsid w:val="004C29C0"/>
    <w:rsid w:val="004C559A"/>
    <w:rsid w:val="004C5C63"/>
    <w:rsid w:val="004D0355"/>
    <w:rsid w:val="004D0365"/>
    <w:rsid w:val="004D5BD3"/>
    <w:rsid w:val="004E0CB2"/>
    <w:rsid w:val="004E1BAF"/>
    <w:rsid w:val="004E294C"/>
    <w:rsid w:val="004F08E1"/>
    <w:rsid w:val="004F391E"/>
    <w:rsid w:val="004F5E1C"/>
    <w:rsid w:val="005027C4"/>
    <w:rsid w:val="00504860"/>
    <w:rsid w:val="00512868"/>
    <w:rsid w:val="00515BF4"/>
    <w:rsid w:val="00516A62"/>
    <w:rsid w:val="005201DE"/>
    <w:rsid w:val="00522CE2"/>
    <w:rsid w:val="0052327B"/>
    <w:rsid w:val="005240DC"/>
    <w:rsid w:val="0053406A"/>
    <w:rsid w:val="005348E3"/>
    <w:rsid w:val="005364EF"/>
    <w:rsid w:val="00540F09"/>
    <w:rsid w:val="0054142A"/>
    <w:rsid w:val="00542933"/>
    <w:rsid w:val="00543418"/>
    <w:rsid w:val="005508F3"/>
    <w:rsid w:val="00550C30"/>
    <w:rsid w:val="00554603"/>
    <w:rsid w:val="00554A8B"/>
    <w:rsid w:val="00554E96"/>
    <w:rsid w:val="00556066"/>
    <w:rsid w:val="00560B4D"/>
    <w:rsid w:val="00561636"/>
    <w:rsid w:val="005622BA"/>
    <w:rsid w:val="00564B85"/>
    <w:rsid w:val="005655CD"/>
    <w:rsid w:val="00567B1A"/>
    <w:rsid w:val="00567F94"/>
    <w:rsid w:val="00571BEE"/>
    <w:rsid w:val="00573DC7"/>
    <w:rsid w:val="005752FD"/>
    <w:rsid w:val="00576352"/>
    <w:rsid w:val="0058073B"/>
    <w:rsid w:val="00581C5B"/>
    <w:rsid w:val="00586526"/>
    <w:rsid w:val="00595080"/>
    <w:rsid w:val="005A0BC0"/>
    <w:rsid w:val="005A2F40"/>
    <w:rsid w:val="005A4409"/>
    <w:rsid w:val="005B2128"/>
    <w:rsid w:val="005B6546"/>
    <w:rsid w:val="005C4116"/>
    <w:rsid w:val="005C4B92"/>
    <w:rsid w:val="005C6760"/>
    <w:rsid w:val="005C67CE"/>
    <w:rsid w:val="005C70D6"/>
    <w:rsid w:val="005D0021"/>
    <w:rsid w:val="005D2C07"/>
    <w:rsid w:val="005D4905"/>
    <w:rsid w:val="005D4C64"/>
    <w:rsid w:val="005E0685"/>
    <w:rsid w:val="005E0787"/>
    <w:rsid w:val="005E225F"/>
    <w:rsid w:val="005E40C8"/>
    <w:rsid w:val="005E7C5B"/>
    <w:rsid w:val="005F137D"/>
    <w:rsid w:val="005F184D"/>
    <w:rsid w:val="005F602B"/>
    <w:rsid w:val="0060092B"/>
    <w:rsid w:val="006014DB"/>
    <w:rsid w:val="0060277E"/>
    <w:rsid w:val="0060442B"/>
    <w:rsid w:val="0060453A"/>
    <w:rsid w:val="00604967"/>
    <w:rsid w:val="006059A2"/>
    <w:rsid w:val="00606F12"/>
    <w:rsid w:val="00610545"/>
    <w:rsid w:val="00611B01"/>
    <w:rsid w:val="00611D7B"/>
    <w:rsid w:val="006128AE"/>
    <w:rsid w:val="006144B2"/>
    <w:rsid w:val="0062546E"/>
    <w:rsid w:val="006270B1"/>
    <w:rsid w:val="006274F1"/>
    <w:rsid w:val="0063172B"/>
    <w:rsid w:val="00631B0C"/>
    <w:rsid w:val="00635076"/>
    <w:rsid w:val="006363AF"/>
    <w:rsid w:val="006425EE"/>
    <w:rsid w:val="0064593A"/>
    <w:rsid w:val="00647D6A"/>
    <w:rsid w:val="00650DE9"/>
    <w:rsid w:val="00651C8B"/>
    <w:rsid w:val="006535FA"/>
    <w:rsid w:val="006573C5"/>
    <w:rsid w:val="00657DB1"/>
    <w:rsid w:val="00662F29"/>
    <w:rsid w:val="00663F80"/>
    <w:rsid w:val="00665A41"/>
    <w:rsid w:val="006667B8"/>
    <w:rsid w:val="006668CC"/>
    <w:rsid w:val="00672E04"/>
    <w:rsid w:val="006739B6"/>
    <w:rsid w:val="00674B09"/>
    <w:rsid w:val="00677A0B"/>
    <w:rsid w:val="0068001C"/>
    <w:rsid w:val="00680874"/>
    <w:rsid w:val="00682880"/>
    <w:rsid w:val="00685C7E"/>
    <w:rsid w:val="00686309"/>
    <w:rsid w:val="006869C2"/>
    <w:rsid w:val="006906EA"/>
    <w:rsid w:val="0069408C"/>
    <w:rsid w:val="00695D99"/>
    <w:rsid w:val="006968AD"/>
    <w:rsid w:val="006A0DA8"/>
    <w:rsid w:val="006A2C52"/>
    <w:rsid w:val="006A7905"/>
    <w:rsid w:val="006B5BA4"/>
    <w:rsid w:val="006B6245"/>
    <w:rsid w:val="006B7D99"/>
    <w:rsid w:val="006C14B9"/>
    <w:rsid w:val="006C1836"/>
    <w:rsid w:val="006C2CBF"/>
    <w:rsid w:val="006C4096"/>
    <w:rsid w:val="006C5DE3"/>
    <w:rsid w:val="006C60CF"/>
    <w:rsid w:val="006D16FA"/>
    <w:rsid w:val="006D5941"/>
    <w:rsid w:val="006E10DE"/>
    <w:rsid w:val="006E4F1E"/>
    <w:rsid w:val="006F2231"/>
    <w:rsid w:val="006F3DF6"/>
    <w:rsid w:val="006F4C6D"/>
    <w:rsid w:val="00703E62"/>
    <w:rsid w:val="00703F1A"/>
    <w:rsid w:val="00715778"/>
    <w:rsid w:val="0071591F"/>
    <w:rsid w:val="00727DEE"/>
    <w:rsid w:val="007300B4"/>
    <w:rsid w:val="007378EA"/>
    <w:rsid w:val="007411E9"/>
    <w:rsid w:val="007442AF"/>
    <w:rsid w:val="007454FA"/>
    <w:rsid w:val="0075063E"/>
    <w:rsid w:val="00750743"/>
    <w:rsid w:val="00752C61"/>
    <w:rsid w:val="00753B2F"/>
    <w:rsid w:val="007540FA"/>
    <w:rsid w:val="007574A2"/>
    <w:rsid w:val="007602B6"/>
    <w:rsid w:val="00760B9D"/>
    <w:rsid w:val="00763AAF"/>
    <w:rsid w:val="0076585E"/>
    <w:rsid w:val="00765960"/>
    <w:rsid w:val="00767B75"/>
    <w:rsid w:val="00775268"/>
    <w:rsid w:val="00780562"/>
    <w:rsid w:val="00780DD2"/>
    <w:rsid w:val="00787F0D"/>
    <w:rsid w:val="00790F5E"/>
    <w:rsid w:val="00792FCE"/>
    <w:rsid w:val="00797769"/>
    <w:rsid w:val="007B21EB"/>
    <w:rsid w:val="007B3488"/>
    <w:rsid w:val="007B3A8E"/>
    <w:rsid w:val="007B3BDF"/>
    <w:rsid w:val="007B7E74"/>
    <w:rsid w:val="007B7ED6"/>
    <w:rsid w:val="007C2806"/>
    <w:rsid w:val="007C360E"/>
    <w:rsid w:val="007D213E"/>
    <w:rsid w:val="007D52C7"/>
    <w:rsid w:val="007D7232"/>
    <w:rsid w:val="007E68DA"/>
    <w:rsid w:val="007F1345"/>
    <w:rsid w:val="007F679D"/>
    <w:rsid w:val="0080385F"/>
    <w:rsid w:val="0080461F"/>
    <w:rsid w:val="00812F44"/>
    <w:rsid w:val="00815554"/>
    <w:rsid w:val="00824049"/>
    <w:rsid w:val="00826322"/>
    <w:rsid w:val="00827880"/>
    <w:rsid w:val="00831D8D"/>
    <w:rsid w:val="008358D6"/>
    <w:rsid w:val="00845171"/>
    <w:rsid w:val="00846614"/>
    <w:rsid w:val="00847151"/>
    <w:rsid w:val="0084761C"/>
    <w:rsid w:val="00850B36"/>
    <w:rsid w:val="00851C4D"/>
    <w:rsid w:val="00864210"/>
    <w:rsid w:val="0086481D"/>
    <w:rsid w:val="008674AF"/>
    <w:rsid w:val="00867856"/>
    <w:rsid w:val="00871148"/>
    <w:rsid w:val="00874A9E"/>
    <w:rsid w:val="00876A3E"/>
    <w:rsid w:val="00876EAB"/>
    <w:rsid w:val="00877DC9"/>
    <w:rsid w:val="008808B8"/>
    <w:rsid w:val="00891D8C"/>
    <w:rsid w:val="00894B63"/>
    <w:rsid w:val="00895C82"/>
    <w:rsid w:val="008A63C4"/>
    <w:rsid w:val="008A7757"/>
    <w:rsid w:val="008B0655"/>
    <w:rsid w:val="008B0F87"/>
    <w:rsid w:val="008B2C50"/>
    <w:rsid w:val="008B7B95"/>
    <w:rsid w:val="008C2151"/>
    <w:rsid w:val="008C3DF4"/>
    <w:rsid w:val="008C580E"/>
    <w:rsid w:val="008D278F"/>
    <w:rsid w:val="008D3272"/>
    <w:rsid w:val="008D4EEB"/>
    <w:rsid w:val="008E54AC"/>
    <w:rsid w:val="008E5C36"/>
    <w:rsid w:val="008E5C71"/>
    <w:rsid w:val="008F265C"/>
    <w:rsid w:val="008F30B9"/>
    <w:rsid w:val="008F4E1D"/>
    <w:rsid w:val="008F64BE"/>
    <w:rsid w:val="008F724E"/>
    <w:rsid w:val="0090230D"/>
    <w:rsid w:val="009050DD"/>
    <w:rsid w:val="00910229"/>
    <w:rsid w:val="00910E16"/>
    <w:rsid w:val="00910E5A"/>
    <w:rsid w:val="009120B8"/>
    <w:rsid w:val="00912B73"/>
    <w:rsid w:val="00912C87"/>
    <w:rsid w:val="00913F7C"/>
    <w:rsid w:val="00916056"/>
    <w:rsid w:val="00916EF8"/>
    <w:rsid w:val="00917613"/>
    <w:rsid w:val="00921463"/>
    <w:rsid w:val="009215E3"/>
    <w:rsid w:val="00930C08"/>
    <w:rsid w:val="00932809"/>
    <w:rsid w:val="00932BD5"/>
    <w:rsid w:val="009370AE"/>
    <w:rsid w:val="00937C6F"/>
    <w:rsid w:val="00940F77"/>
    <w:rsid w:val="009424C9"/>
    <w:rsid w:val="009424E4"/>
    <w:rsid w:val="00942B10"/>
    <w:rsid w:val="00942DAE"/>
    <w:rsid w:val="00943ED9"/>
    <w:rsid w:val="009449BE"/>
    <w:rsid w:val="00945908"/>
    <w:rsid w:val="00952D0A"/>
    <w:rsid w:val="00955CCF"/>
    <w:rsid w:val="009579E2"/>
    <w:rsid w:val="009659AA"/>
    <w:rsid w:val="00965D51"/>
    <w:rsid w:val="00967F56"/>
    <w:rsid w:val="0097438F"/>
    <w:rsid w:val="009768D7"/>
    <w:rsid w:val="00976973"/>
    <w:rsid w:val="009800BE"/>
    <w:rsid w:val="0098073D"/>
    <w:rsid w:val="00980A74"/>
    <w:rsid w:val="00981B96"/>
    <w:rsid w:val="00984FBC"/>
    <w:rsid w:val="00985627"/>
    <w:rsid w:val="009870F3"/>
    <w:rsid w:val="00990DB3"/>
    <w:rsid w:val="009950A5"/>
    <w:rsid w:val="00996075"/>
    <w:rsid w:val="00996DD5"/>
    <w:rsid w:val="00997D90"/>
    <w:rsid w:val="009A4582"/>
    <w:rsid w:val="009A7B1A"/>
    <w:rsid w:val="009A7BD3"/>
    <w:rsid w:val="009B1868"/>
    <w:rsid w:val="009B4717"/>
    <w:rsid w:val="009B7CDE"/>
    <w:rsid w:val="009C4437"/>
    <w:rsid w:val="009C6192"/>
    <w:rsid w:val="009C7BD6"/>
    <w:rsid w:val="009D1379"/>
    <w:rsid w:val="009D2416"/>
    <w:rsid w:val="009D4700"/>
    <w:rsid w:val="009D701F"/>
    <w:rsid w:val="009E117A"/>
    <w:rsid w:val="009E2672"/>
    <w:rsid w:val="009E548A"/>
    <w:rsid w:val="009E6CA7"/>
    <w:rsid w:val="009F36D5"/>
    <w:rsid w:val="009F471F"/>
    <w:rsid w:val="009F5B53"/>
    <w:rsid w:val="009F608E"/>
    <w:rsid w:val="009F63D9"/>
    <w:rsid w:val="009F6E4B"/>
    <w:rsid w:val="00A14480"/>
    <w:rsid w:val="00A14FD6"/>
    <w:rsid w:val="00A15FE9"/>
    <w:rsid w:val="00A1709A"/>
    <w:rsid w:val="00A17922"/>
    <w:rsid w:val="00A2627F"/>
    <w:rsid w:val="00A26508"/>
    <w:rsid w:val="00A272EA"/>
    <w:rsid w:val="00A276DE"/>
    <w:rsid w:val="00A27B4A"/>
    <w:rsid w:val="00A32773"/>
    <w:rsid w:val="00A33FDA"/>
    <w:rsid w:val="00A3557C"/>
    <w:rsid w:val="00A35626"/>
    <w:rsid w:val="00A35A47"/>
    <w:rsid w:val="00A41116"/>
    <w:rsid w:val="00A45B10"/>
    <w:rsid w:val="00A56C9A"/>
    <w:rsid w:val="00A60128"/>
    <w:rsid w:val="00A62030"/>
    <w:rsid w:val="00A70C3C"/>
    <w:rsid w:val="00A70D61"/>
    <w:rsid w:val="00A71E6D"/>
    <w:rsid w:val="00A727D7"/>
    <w:rsid w:val="00A75B29"/>
    <w:rsid w:val="00A762FC"/>
    <w:rsid w:val="00A774D2"/>
    <w:rsid w:val="00A82728"/>
    <w:rsid w:val="00A833CE"/>
    <w:rsid w:val="00AA1443"/>
    <w:rsid w:val="00AA434A"/>
    <w:rsid w:val="00AA60FB"/>
    <w:rsid w:val="00AA68C3"/>
    <w:rsid w:val="00AB1F06"/>
    <w:rsid w:val="00AC262E"/>
    <w:rsid w:val="00AC586E"/>
    <w:rsid w:val="00AD110C"/>
    <w:rsid w:val="00AD479F"/>
    <w:rsid w:val="00AD71B8"/>
    <w:rsid w:val="00AE55E3"/>
    <w:rsid w:val="00AF4F3C"/>
    <w:rsid w:val="00AF663B"/>
    <w:rsid w:val="00B009FF"/>
    <w:rsid w:val="00B05BAC"/>
    <w:rsid w:val="00B07BF6"/>
    <w:rsid w:val="00B07C84"/>
    <w:rsid w:val="00B10AEC"/>
    <w:rsid w:val="00B13500"/>
    <w:rsid w:val="00B14375"/>
    <w:rsid w:val="00B14748"/>
    <w:rsid w:val="00B148FF"/>
    <w:rsid w:val="00B15195"/>
    <w:rsid w:val="00B17EDE"/>
    <w:rsid w:val="00B219FF"/>
    <w:rsid w:val="00B22507"/>
    <w:rsid w:val="00B22741"/>
    <w:rsid w:val="00B23E8A"/>
    <w:rsid w:val="00B25B00"/>
    <w:rsid w:val="00B263BF"/>
    <w:rsid w:val="00B3263A"/>
    <w:rsid w:val="00B35F61"/>
    <w:rsid w:val="00B37173"/>
    <w:rsid w:val="00B4214C"/>
    <w:rsid w:val="00B439D5"/>
    <w:rsid w:val="00B44EC2"/>
    <w:rsid w:val="00B4520A"/>
    <w:rsid w:val="00B4720E"/>
    <w:rsid w:val="00B47A47"/>
    <w:rsid w:val="00B47BED"/>
    <w:rsid w:val="00B55B79"/>
    <w:rsid w:val="00B57D24"/>
    <w:rsid w:val="00B62BA1"/>
    <w:rsid w:val="00B725CD"/>
    <w:rsid w:val="00B80B9D"/>
    <w:rsid w:val="00B84659"/>
    <w:rsid w:val="00B84C67"/>
    <w:rsid w:val="00B90570"/>
    <w:rsid w:val="00B910D8"/>
    <w:rsid w:val="00B91157"/>
    <w:rsid w:val="00B936F2"/>
    <w:rsid w:val="00B93890"/>
    <w:rsid w:val="00B95F1F"/>
    <w:rsid w:val="00B9700A"/>
    <w:rsid w:val="00B97763"/>
    <w:rsid w:val="00BA4CB2"/>
    <w:rsid w:val="00BB06AF"/>
    <w:rsid w:val="00BB6C0F"/>
    <w:rsid w:val="00BB7313"/>
    <w:rsid w:val="00BB7740"/>
    <w:rsid w:val="00BC0B87"/>
    <w:rsid w:val="00BC0D81"/>
    <w:rsid w:val="00BC1602"/>
    <w:rsid w:val="00BC2863"/>
    <w:rsid w:val="00BC530E"/>
    <w:rsid w:val="00BD1AD2"/>
    <w:rsid w:val="00BD214D"/>
    <w:rsid w:val="00BD31B7"/>
    <w:rsid w:val="00BD560E"/>
    <w:rsid w:val="00BE03D2"/>
    <w:rsid w:val="00BE0665"/>
    <w:rsid w:val="00BE0B70"/>
    <w:rsid w:val="00BE0FCB"/>
    <w:rsid w:val="00BE1CEA"/>
    <w:rsid w:val="00BF2176"/>
    <w:rsid w:val="00BF4BD0"/>
    <w:rsid w:val="00BF4F81"/>
    <w:rsid w:val="00BF7A1A"/>
    <w:rsid w:val="00C02977"/>
    <w:rsid w:val="00C03F6A"/>
    <w:rsid w:val="00C041BE"/>
    <w:rsid w:val="00C04A50"/>
    <w:rsid w:val="00C060CF"/>
    <w:rsid w:val="00C16799"/>
    <w:rsid w:val="00C20E52"/>
    <w:rsid w:val="00C21896"/>
    <w:rsid w:val="00C22B82"/>
    <w:rsid w:val="00C259A3"/>
    <w:rsid w:val="00C25ECF"/>
    <w:rsid w:val="00C359B9"/>
    <w:rsid w:val="00C35E1B"/>
    <w:rsid w:val="00C36F55"/>
    <w:rsid w:val="00C3716B"/>
    <w:rsid w:val="00C412FE"/>
    <w:rsid w:val="00C442B8"/>
    <w:rsid w:val="00C46D42"/>
    <w:rsid w:val="00C5200F"/>
    <w:rsid w:val="00C55F4C"/>
    <w:rsid w:val="00C616DA"/>
    <w:rsid w:val="00C71524"/>
    <w:rsid w:val="00C72FD4"/>
    <w:rsid w:val="00C76DF2"/>
    <w:rsid w:val="00C83B36"/>
    <w:rsid w:val="00C85CAC"/>
    <w:rsid w:val="00C87155"/>
    <w:rsid w:val="00C90770"/>
    <w:rsid w:val="00C90E4F"/>
    <w:rsid w:val="00C94B02"/>
    <w:rsid w:val="00C94E19"/>
    <w:rsid w:val="00C94EE7"/>
    <w:rsid w:val="00C96713"/>
    <w:rsid w:val="00C96B4A"/>
    <w:rsid w:val="00C97494"/>
    <w:rsid w:val="00CA0D41"/>
    <w:rsid w:val="00CA1268"/>
    <w:rsid w:val="00CA52FA"/>
    <w:rsid w:val="00CA5455"/>
    <w:rsid w:val="00CA758B"/>
    <w:rsid w:val="00CB068D"/>
    <w:rsid w:val="00CB1E6C"/>
    <w:rsid w:val="00CB2011"/>
    <w:rsid w:val="00CB32DA"/>
    <w:rsid w:val="00CB4B5B"/>
    <w:rsid w:val="00CC1396"/>
    <w:rsid w:val="00CC51DB"/>
    <w:rsid w:val="00CD730E"/>
    <w:rsid w:val="00CE1969"/>
    <w:rsid w:val="00CE3F42"/>
    <w:rsid w:val="00CF2038"/>
    <w:rsid w:val="00CF40A3"/>
    <w:rsid w:val="00CF55B7"/>
    <w:rsid w:val="00CF6632"/>
    <w:rsid w:val="00CF73BD"/>
    <w:rsid w:val="00D06360"/>
    <w:rsid w:val="00D066C1"/>
    <w:rsid w:val="00D10D86"/>
    <w:rsid w:val="00D11C2D"/>
    <w:rsid w:val="00D126B6"/>
    <w:rsid w:val="00D14216"/>
    <w:rsid w:val="00D1511C"/>
    <w:rsid w:val="00D16ABF"/>
    <w:rsid w:val="00D1759D"/>
    <w:rsid w:val="00D2306E"/>
    <w:rsid w:val="00D321D1"/>
    <w:rsid w:val="00D37047"/>
    <w:rsid w:val="00D430AF"/>
    <w:rsid w:val="00D54416"/>
    <w:rsid w:val="00D550BF"/>
    <w:rsid w:val="00D5569A"/>
    <w:rsid w:val="00D60D73"/>
    <w:rsid w:val="00D61209"/>
    <w:rsid w:val="00D622FA"/>
    <w:rsid w:val="00D6237F"/>
    <w:rsid w:val="00D64C4F"/>
    <w:rsid w:val="00D709BF"/>
    <w:rsid w:val="00D7218B"/>
    <w:rsid w:val="00D73791"/>
    <w:rsid w:val="00D74A7C"/>
    <w:rsid w:val="00D759DD"/>
    <w:rsid w:val="00D83272"/>
    <w:rsid w:val="00D86772"/>
    <w:rsid w:val="00D91C4F"/>
    <w:rsid w:val="00D93DE1"/>
    <w:rsid w:val="00D94B33"/>
    <w:rsid w:val="00D97BC2"/>
    <w:rsid w:val="00DA113D"/>
    <w:rsid w:val="00DA245F"/>
    <w:rsid w:val="00DA33C5"/>
    <w:rsid w:val="00DA5FD4"/>
    <w:rsid w:val="00DB46A4"/>
    <w:rsid w:val="00DB7203"/>
    <w:rsid w:val="00DC13DB"/>
    <w:rsid w:val="00DC2B9A"/>
    <w:rsid w:val="00DC36AF"/>
    <w:rsid w:val="00DC3EC8"/>
    <w:rsid w:val="00DC43D6"/>
    <w:rsid w:val="00DC4BA4"/>
    <w:rsid w:val="00DC5A44"/>
    <w:rsid w:val="00DC6463"/>
    <w:rsid w:val="00DD049B"/>
    <w:rsid w:val="00DE2474"/>
    <w:rsid w:val="00DE2A7E"/>
    <w:rsid w:val="00DE4EB7"/>
    <w:rsid w:val="00DE6AC4"/>
    <w:rsid w:val="00DF7483"/>
    <w:rsid w:val="00E0046D"/>
    <w:rsid w:val="00E01492"/>
    <w:rsid w:val="00E02014"/>
    <w:rsid w:val="00E04349"/>
    <w:rsid w:val="00E050FC"/>
    <w:rsid w:val="00E0708F"/>
    <w:rsid w:val="00E1125B"/>
    <w:rsid w:val="00E16AAB"/>
    <w:rsid w:val="00E222DE"/>
    <w:rsid w:val="00E258B4"/>
    <w:rsid w:val="00E25AF2"/>
    <w:rsid w:val="00E26355"/>
    <w:rsid w:val="00E3061D"/>
    <w:rsid w:val="00E328C2"/>
    <w:rsid w:val="00E351F7"/>
    <w:rsid w:val="00E40C44"/>
    <w:rsid w:val="00E43FA9"/>
    <w:rsid w:val="00E45E2C"/>
    <w:rsid w:val="00E46648"/>
    <w:rsid w:val="00E52A13"/>
    <w:rsid w:val="00E53287"/>
    <w:rsid w:val="00E61D97"/>
    <w:rsid w:val="00E63C87"/>
    <w:rsid w:val="00E644C5"/>
    <w:rsid w:val="00E6507F"/>
    <w:rsid w:val="00E67950"/>
    <w:rsid w:val="00E700CC"/>
    <w:rsid w:val="00E721B4"/>
    <w:rsid w:val="00E7231A"/>
    <w:rsid w:val="00E73669"/>
    <w:rsid w:val="00E75EB3"/>
    <w:rsid w:val="00E76555"/>
    <w:rsid w:val="00E80EBE"/>
    <w:rsid w:val="00E83660"/>
    <w:rsid w:val="00E8709C"/>
    <w:rsid w:val="00E91351"/>
    <w:rsid w:val="00E91B4E"/>
    <w:rsid w:val="00E9345B"/>
    <w:rsid w:val="00E94316"/>
    <w:rsid w:val="00E97584"/>
    <w:rsid w:val="00EA1FA4"/>
    <w:rsid w:val="00EA359A"/>
    <w:rsid w:val="00EA3D69"/>
    <w:rsid w:val="00EA5428"/>
    <w:rsid w:val="00EA5BC8"/>
    <w:rsid w:val="00EA5D28"/>
    <w:rsid w:val="00EA6533"/>
    <w:rsid w:val="00EA69EA"/>
    <w:rsid w:val="00EA6B5A"/>
    <w:rsid w:val="00EB0985"/>
    <w:rsid w:val="00EB1685"/>
    <w:rsid w:val="00EB2CF1"/>
    <w:rsid w:val="00EB3E72"/>
    <w:rsid w:val="00EB4184"/>
    <w:rsid w:val="00EC0B45"/>
    <w:rsid w:val="00EC333F"/>
    <w:rsid w:val="00EE0863"/>
    <w:rsid w:val="00EE67CF"/>
    <w:rsid w:val="00EE67DF"/>
    <w:rsid w:val="00EE6C7A"/>
    <w:rsid w:val="00EF107E"/>
    <w:rsid w:val="00EF4DE6"/>
    <w:rsid w:val="00EF7DAC"/>
    <w:rsid w:val="00F003DB"/>
    <w:rsid w:val="00F01D50"/>
    <w:rsid w:val="00F0324F"/>
    <w:rsid w:val="00F03A28"/>
    <w:rsid w:val="00F10AD2"/>
    <w:rsid w:val="00F12F44"/>
    <w:rsid w:val="00F1360A"/>
    <w:rsid w:val="00F16B6D"/>
    <w:rsid w:val="00F1759D"/>
    <w:rsid w:val="00F207E7"/>
    <w:rsid w:val="00F20A11"/>
    <w:rsid w:val="00F2183F"/>
    <w:rsid w:val="00F2462C"/>
    <w:rsid w:val="00F27C78"/>
    <w:rsid w:val="00F345B2"/>
    <w:rsid w:val="00F348DF"/>
    <w:rsid w:val="00F34C64"/>
    <w:rsid w:val="00F3622B"/>
    <w:rsid w:val="00F37D34"/>
    <w:rsid w:val="00F37D48"/>
    <w:rsid w:val="00F37D7B"/>
    <w:rsid w:val="00F41FC7"/>
    <w:rsid w:val="00F44490"/>
    <w:rsid w:val="00F4708C"/>
    <w:rsid w:val="00F50A4D"/>
    <w:rsid w:val="00F519E4"/>
    <w:rsid w:val="00F53FDB"/>
    <w:rsid w:val="00F54D4D"/>
    <w:rsid w:val="00F55E53"/>
    <w:rsid w:val="00F57741"/>
    <w:rsid w:val="00F57C9A"/>
    <w:rsid w:val="00F637A0"/>
    <w:rsid w:val="00F63D12"/>
    <w:rsid w:val="00F65AA8"/>
    <w:rsid w:val="00F66DDB"/>
    <w:rsid w:val="00F72180"/>
    <w:rsid w:val="00F742D3"/>
    <w:rsid w:val="00F74F3E"/>
    <w:rsid w:val="00F75325"/>
    <w:rsid w:val="00F81743"/>
    <w:rsid w:val="00F822B8"/>
    <w:rsid w:val="00F8295F"/>
    <w:rsid w:val="00F857F4"/>
    <w:rsid w:val="00F85E5E"/>
    <w:rsid w:val="00F93DD2"/>
    <w:rsid w:val="00F94066"/>
    <w:rsid w:val="00F95A2B"/>
    <w:rsid w:val="00F96B0C"/>
    <w:rsid w:val="00F977C6"/>
    <w:rsid w:val="00FA3FA0"/>
    <w:rsid w:val="00FB0C67"/>
    <w:rsid w:val="00FB1839"/>
    <w:rsid w:val="00FB3BEE"/>
    <w:rsid w:val="00FC0A0F"/>
    <w:rsid w:val="00FC25CA"/>
    <w:rsid w:val="00FC7360"/>
    <w:rsid w:val="00FC7743"/>
    <w:rsid w:val="00FD3B4E"/>
    <w:rsid w:val="00FE0E76"/>
    <w:rsid w:val="00FE1395"/>
    <w:rsid w:val="00FE19B8"/>
    <w:rsid w:val="00FE316B"/>
    <w:rsid w:val="00FE4AA9"/>
    <w:rsid w:val="00FE6100"/>
    <w:rsid w:val="00FE69C1"/>
    <w:rsid w:val="00FE6B92"/>
    <w:rsid w:val="00FF254F"/>
    <w:rsid w:val="00FF2819"/>
    <w:rsid w:val="00FF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1"/>
    <w:rPr>
      <w:sz w:val="20"/>
      <w:szCs w:val="20"/>
    </w:rPr>
  </w:style>
  <w:style w:type="paragraph" w:styleId="Heading2">
    <w:name w:val="heading 2"/>
    <w:basedOn w:val="Normal"/>
    <w:next w:val="Normal"/>
    <w:link w:val="Heading2Char"/>
    <w:uiPriority w:val="99"/>
    <w:qFormat/>
    <w:rsid w:val="00C9077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44490"/>
    <w:rPr>
      <w:rFonts w:ascii="Cambria" w:hAnsi="Cambria" w:cs="Times New Roman"/>
      <w:b/>
      <w:bCs/>
      <w:i/>
      <w:iCs/>
      <w:sz w:val="28"/>
      <w:szCs w:val="28"/>
    </w:rPr>
  </w:style>
  <w:style w:type="paragraph" w:customStyle="1" w:styleId="1AutoList2">
    <w:name w:val="1AutoList2"/>
    <w:uiPriority w:val="99"/>
    <w:rsid w:val="006F2231"/>
    <w:pPr>
      <w:tabs>
        <w:tab w:val="left" w:pos="720"/>
      </w:tabs>
      <w:ind w:left="720" w:hanging="720"/>
    </w:pPr>
    <w:rPr>
      <w:rFonts w:ascii="Courier 10cpi" w:hAnsi="Courier 10cpi"/>
      <w:sz w:val="24"/>
      <w:szCs w:val="20"/>
    </w:rPr>
  </w:style>
  <w:style w:type="character" w:styleId="PageNumber">
    <w:name w:val="page number"/>
    <w:basedOn w:val="DefaultParagraphFont"/>
    <w:uiPriority w:val="99"/>
    <w:rsid w:val="006F2231"/>
    <w:rPr>
      <w:rFonts w:cs="Times New Roman"/>
    </w:rPr>
  </w:style>
  <w:style w:type="paragraph" w:styleId="Footer">
    <w:name w:val="footer"/>
    <w:basedOn w:val="Normal"/>
    <w:link w:val="FooterChar"/>
    <w:uiPriority w:val="99"/>
    <w:rsid w:val="006F2231"/>
    <w:pPr>
      <w:tabs>
        <w:tab w:val="center" w:pos="4320"/>
        <w:tab w:val="right" w:pos="8640"/>
      </w:tabs>
    </w:pPr>
    <w:rPr>
      <w:rFonts w:ascii="Courier 10cpi" w:hAnsi="Courier 10cpi"/>
    </w:rPr>
  </w:style>
  <w:style w:type="character" w:customStyle="1" w:styleId="FooterChar">
    <w:name w:val="Footer Char"/>
    <w:basedOn w:val="DefaultParagraphFont"/>
    <w:link w:val="Footer"/>
    <w:uiPriority w:val="99"/>
    <w:semiHidden/>
    <w:locked/>
    <w:rsid w:val="00F44490"/>
    <w:rPr>
      <w:rFonts w:cs="Times New Roman"/>
      <w:sz w:val="20"/>
      <w:szCs w:val="20"/>
    </w:rPr>
  </w:style>
  <w:style w:type="paragraph" w:customStyle="1" w:styleId="H3">
    <w:name w:val="H3"/>
    <w:basedOn w:val="Normal"/>
    <w:next w:val="Normal"/>
    <w:uiPriority w:val="99"/>
    <w:rsid w:val="006F2231"/>
    <w:pPr>
      <w:keepNext/>
      <w:spacing w:before="100" w:after="100"/>
      <w:outlineLvl w:val="3"/>
    </w:pPr>
    <w:rPr>
      <w:b/>
      <w:sz w:val="28"/>
    </w:rPr>
  </w:style>
  <w:style w:type="character" w:styleId="Emphasis">
    <w:name w:val="Emphasis"/>
    <w:basedOn w:val="DefaultParagraphFont"/>
    <w:uiPriority w:val="99"/>
    <w:qFormat/>
    <w:rsid w:val="006F2231"/>
    <w:rPr>
      <w:rFonts w:cs="Times New Roman"/>
      <w:i/>
    </w:rPr>
  </w:style>
  <w:style w:type="character" w:styleId="Strong">
    <w:name w:val="Strong"/>
    <w:basedOn w:val="DefaultParagraphFont"/>
    <w:uiPriority w:val="99"/>
    <w:qFormat/>
    <w:rsid w:val="006F2231"/>
    <w:rPr>
      <w:rFonts w:cs="Times New Roman"/>
      <w:b/>
    </w:rPr>
  </w:style>
  <w:style w:type="paragraph" w:styleId="BalloonText">
    <w:name w:val="Balloon Text"/>
    <w:basedOn w:val="Normal"/>
    <w:link w:val="BalloonTextChar"/>
    <w:uiPriority w:val="99"/>
    <w:semiHidden/>
    <w:rsid w:val="006F22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490"/>
    <w:rPr>
      <w:rFonts w:cs="Times New Roman"/>
      <w:sz w:val="2"/>
    </w:rPr>
  </w:style>
  <w:style w:type="character" w:styleId="CommentReference">
    <w:name w:val="annotation reference"/>
    <w:basedOn w:val="DefaultParagraphFont"/>
    <w:uiPriority w:val="99"/>
    <w:semiHidden/>
    <w:rsid w:val="006F2231"/>
    <w:rPr>
      <w:rFonts w:cs="Times New Roman"/>
      <w:sz w:val="16"/>
      <w:szCs w:val="16"/>
    </w:rPr>
  </w:style>
  <w:style w:type="paragraph" w:styleId="CommentText">
    <w:name w:val="annotation text"/>
    <w:basedOn w:val="Normal"/>
    <w:link w:val="CommentTextChar"/>
    <w:uiPriority w:val="99"/>
    <w:semiHidden/>
    <w:rsid w:val="006F2231"/>
  </w:style>
  <w:style w:type="character" w:customStyle="1" w:styleId="CommentTextChar">
    <w:name w:val="Comment Text Char"/>
    <w:basedOn w:val="DefaultParagraphFont"/>
    <w:link w:val="CommentText"/>
    <w:uiPriority w:val="99"/>
    <w:semiHidden/>
    <w:locked/>
    <w:rsid w:val="00F44490"/>
    <w:rPr>
      <w:rFonts w:cs="Times New Roman"/>
      <w:sz w:val="20"/>
      <w:szCs w:val="20"/>
    </w:rPr>
  </w:style>
  <w:style w:type="paragraph" w:styleId="CommentSubject">
    <w:name w:val="annotation subject"/>
    <w:basedOn w:val="CommentText"/>
    <w:next w:val="CommentText"/>
    <w:link w:val="CommentSubjectChar"/>
    <w:uiPriority w:val="99"/>
    <w:semiHidden/>
    <w:rsid w:val="006F2231"/>
    <w:rPr>
      <w:b/>
      <w:bCs/>
    </w:rPr>
  </w:style>
  <w:style w:type="character" w:customStyle="1" w:styleId="CommentSubjectChar">
    <w:name w:val="Comment Subject Char"/>
    <w:basedOn w:val="CommentTextChar"/>
    <w:link w:val="CommentSubject"/>
    <w:uiPriority w:val="99"/>
    <w:semiHidden/>
    <w:locked/>
    <w:rsid w:val="00F44490"/>
    <w:rPr>
      <w:rFonts w:cs="Times New Roman"/>
      <w:b/>
      <w:bCs/>
      <w:sz w:val="20"/>
      <w:szCs w:val="20"/>
    </w:rPr>
  </w:style>
  <w:style w:type="paragraph" w:styleId="Header">
    <w:name w:val="header"/>
    <w:basedOn w:val="Normal"/>
    <w:link w:val="HeaderChar"/>
    <w:uiPriority w:val="99"/>
    <w:rsid w:val="006F2231"/>
    <w:pPr>
      <w:tabs>
        <w:tab w:val="center" w:pos="4320"/>
        <w:tab w:val="right" w:pos="8640"/>
      </w:tabs>
    </w:pPr>
  </w:style>
  <w:style w:type="character" w:customStyle="1" w:styleId="HeaderChar">
    <w:name w:val="Header Char"/>
    <w:basedOn w:val="DefaultParagraphFont"/>
    <w:link w:val="Header"/>
    <w:uiPriority w:val="99"/>
    <w:semiHidden/>
    <w:locked/>
    <w:rsid w:val="00F44490"/>
    <w:rPr>
      <w:rFonts w:cs="Times New Roman"/>
      <w:sz w:val="20"/>
      <w:szCs w:val="20"/>
    </w:rPr>
  </w:style>
  <w:style w:type="paragraph" w:styleId="BodyText">
    <w:name w:val="Body Text"/>
    <w:basedOn w:val="Normal"/>
    <w:link w:val="BodyTextChar"/>
    <w:uiPriority w:val="99"/>
    <w:rsid w:val="006F2231"/>
    <w:pPr>
      <w:autoSpaceDE w:val="0"/>
      <w:autoSpaceDN w:val="0"/>
      <w:adjustRightInd w:val="0"/>
    </w:pPr>
    <w:rPr>
      <w:sz w:val="24"/>
    </w:rPr>
  </w:style>
  <w:style w:type="character" w:customStyle="1" w:styleId="BodyTextChar">
    <w:name w:val="Body Text Char"/>
    <w:basedOn w:val="DefaultParagraphFont"/>
    <w:link w:val="BodyText"/>
    <w:uiPriority w:val="99"/>
    <w:semiHidden/>
    <w:locked/>
    <w:rsid w:val="00F44490"/>
    <w:rPr>
      <w:rFonts w:cs="Times New Roman"/>
      <w:sz w:val="20"/>
      <w:szCs w:val="20"/>
    </w:rPr>
  </w:style>
  <w:style w:type="paragraph" w:styleId="NormalWeb">
    <w:name w:val="Normal (Web)"/>
    <w:basedOn w:val="Normal"/>
    <w:uiPriority w:val="99"/>
    <w:rsid w:val="00586526"/>
    <w:pPr>
      <w:spacing w:before="100" w:beforeAutospacing="1" w:after="100" w:afterAutospacing="1"/>
    </w:pPr>
    <w:rPr>
      <w:sz w:val="24"/>
      <w:szCs w:val="24"/>
    </w:rPr>
  </w:style>
  <w:style w:type="paragraph" w:styleId="ListParagraph">
    <w:name w:val="List Paragraph"/>
    <w:basedOn w:val="Normal"/>
    <w:uiPriority w:val="99"/>
    <w:qFormat/>
    <w:rsid w:val="006144B2"/>
    <w:pPr>
      <w:ind w:left="720"/>
    </w:pPr>
  </w:style>
  <w:style w:type="character" w:styleId="Hyperlink">
    <w:name w:val="Hyperlink"/>
    <w:basedOn w:val="DefaultParagraphFont"/>
    <w:uiPriority w:val="99"/>
    <w:semiHidden/>
    <w:rsid w:val="008F64BE"/>
    <w:rPr>
      <w:rFonts w:cs="Times New Roman"/>
      <w:color w:val="0000FF"/>
      <w:u w:val="single"/>
    </w:rPr>
  </w:style>
  <w:style w:type="character" w:customStyle="1" w:styleId="apple-style-span">
    <w:name w:val="apple-style-span"/>
    <w:basedOn w:val="DefaultParagraphFont"/>
    <w:uiPriority w:val="99"/>
    <w:rsid w:val="00913F7C"/>
    <w:rPr>
      <w:rFonts w:cs="Times New Roman"/>
    </w:rPr>
  </w:style>
  <w:style w:type="paragraph" w:customStyle="1" w:styleId="Default">
    <w:name w:val="Default"/>
    <w:uiPriority w:val="99"/>
    <w:rsid w:val="002D724D"/>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E67DF"/>
    <w:rPr>
      <w:sz w:val="20"/>
      <w:szCs w:val="20"/>
    </w:rPr>
  </w:style>
  <w:style w:type="paragraph" w:styleId="FootnoteText">
    <w:name w:val="footnote text"/>
    <w:basedOn w:val="Normal"/>
    <w:link w:val="FootnoteTextChar"/>
    <w:uiPriority w:val="99"/>
    <w:semiHidden/>
    <w:unhideWhenUsed/>
    <w:rsid w:val="007442AF"/>
  </w:style>
  <w:style w:type="character" w:customStyle="1" w:styleId="FootnoteTextChar">
    <w:name w:val="Footnote Text Char"/>
    <w:basedOn w:val="DefaultParagraphFont"/>
    <w:link w:val="FootnoteText"/>
    <w:uiPriority w:val="99"/>
    <w:semiHidden/>
    <w:rsid w:val="007442AF"/>
    <w:rPr>
      <w:sz w:val="20"/>
      <w:szCs w:val="20"/>
    </w:rPr>
  </w:style>
  <w:style w:type="character" w:styleId="FootnoteReference">
    <w:name w:val="footnote reference"/>
    <w:basedOn w:val="DefaultParagraphFont"/>
    <w:uiPriority w:val="99"/>
    <w:semiHidden/>
    <w:unhideWhenUsed/>
    <w:rsid w:val="007442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7D943-4478-479E-9AE5-46D8265F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CTAC</cp:lastModifiedBy>
  <cp:revision>2</cp:revision>
  <cp:lastPrinted>2011-10-24T20:11:00Z</cp:lastPrinted>
  <dcterms:created xsi:type="dcterms:W3CDTF">2012-05-25T18:05:00Z</dcterms:created>
  <dcterms:modified xsi:type="dcterms:W3CDTF">2012-05-25T18:05:00Z</dcterms:modified>
</cp:coreProperties>
</file>