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D00" w:rsidRDefault="00667D00" w:rsidP="00667D00">
      <w:pPr>
        <w:jc w:val="center"/>
        <w:rPr>
          <w:b/>
          <w:sz w:val="24"/>
        </w:rPr>
      </w:pPr>
      <w:bookmarkStart w:id="0" w:name="_GoBack"/>
      <w:bookmarkEnd w:id="0"/>
    </w:p>
    <w:p w:rsidR="00667D00" w:rsidRDefault="00667D00" w:rsidP="00667D00">
      <w:pPr>
        <w:jc w:val="center"/>
        <w:rPr>
          <w:b/>
          <w:sz w:val="24"/>
        </w:rPr>
      </w:pPr>
    </w:p>
    <w:p w:rsidR="00667D00" w:rsidRPr="002C4865" w:rsidRDefault="00667D00" w:rsidP="00667D00">
      <w:pPr>
        <w:jc w:val="center"/>
        <w:rPr>
          <w:b/>
          <w:sz w:val="24"/>
        </w:rPr>
      </w:pPr>
      <w:r w:rsidRPr="002C4865">
        <w:rPr>
          <w:b/>
          <w:sz w:val="24"/>
        </w:rPr>
        <w:t>SUPPORTING STATEMENT</w:t>
      </w:r>
    </w:p>
    <w:p w:rsidR="00667D00" w:rsidRPr="002C4865" w:rsidRDefault="00667D00" w:rsidP="00667D00">
      <w:pPr>
        <w:jc w:val="center"/>
        <w:rPr>
          <w:b/>
          <w:sz w:val="24"/>
        </w:rPr>
      </w:pPr>
    </w:p>
    <w:p w:rsidR="00667D00" w:rsidRPr="002C4865" w:rsidRDefault="00667D00" w:rsidP="00667D00">
      <w:pPr>
        <w:jc w:val="center"/>
        <w:rPr>
          <w:b/>
          <w:sz w:val="24"/>
        </w:rPr>
      </w:pPr>
      <w:r w:rsidRPr="002C4865">
        <w:rPr>
          <w:b/>
          <w:sz w:val="24"/>
        </w:rPr>
        <w:t>Part B</w:t>
      </w:r>
    </w:p>
    <w:p w:rsidR="00667D00" w:rsidRPr="002C4865" w:rsidRDefault="00667D00" w:rsidP="00667D00">
      <w:pPr>
        <w:rPr>
          <w:b/>
          <w:sz w:val="24"/>
        </w:rPr>
      </w:pPr>
    </w:p>
    <w:p w:rsidR="00667D00" w:rsidRPr="002C4865" w:rsidRDefault="00667D00" w:rsidP="00667D00">
      <w:pPr>
        <w:jc w:val="center"/>
        <w:rPr>
          <w:b/>
          <w:sz w:val="24"/>
        </w:rPr>
      </w:pPr>
    </w:p>
    <w:p w:rsidR="002C32A5" w:rsidRDefault="002C32A5" w:rsidP="002C32A5">
      <w:pPr>
        <w:jc w:val="center"/>
        <w:rPr>
          <w:b/>
          <w:sz w:val="24"/>
        </w:rPr>
      </w:pPr>
      <w:r>
        <w:rPr>
          <w:b/>
          <w:sz w:val="24"/>
        </w:rPr>
        <w:t>Feasibility Assessment for Marketing and Deployment</w:t>
      </w:r>
    </w:p>
    <w:p w:rsidR="002C32A5" w:rsidRDefault="002C32A5" w:rsidP="002C32A5">
      <w:pPr>
        <w:jc w:val="center"/>
        <w:rPr>
          <w:b/>
          <w:sz w:val="24"/>
        </w:rPr>
      </w:pPr>
      <w:r>
        <w:rPr>
          <w:b/>
          <w:sz w:val="24"/>
        </w:rPr>
        <w:t xml:space="preserve">of Mobile Phone Applications </w:t>
      </w: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A7E5A" w:rsidP="00667D00">
      <w:pPr>
        <w:jc w:val="center"/>
        <w:rPr>
          <w:b/>
          <w:sz w:val="24"/>
        </w:rPr>
      </w:pPr>
      <w:r>
        <w:rPr>
          <w:b/>
          <w:sz w:val="24"/>
        </w:rPr>
        <w:t>OMB No. xxxxxxx</w:t>
      </w: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Default="00667D00" w:rsidP="00667D00">
      <w:pPr>
        <w:jc w:val="center"/>
        <w:rPr>
          <w:b/>
          <w:sz w:val="24"/>
        </w:rPr>
      </w:pPr>
    </w:p>
    <w:p w:rsidR="006A7E5A" w:rsidRDefault="006A7E5A" w:rsidP="00667D00">
      <w:pPr>
        <w:jc w:val="center"/>
        <w:rPr>
          <w:b/>
          <w:sz w:val="24"/>
        </w:rPr>
      </w:pPr>
    </w:p>
    <w:p w:rsidR="006A7E5A" w:rsidRPr="002C4865" w:rsidRDefault="006A7E5A"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i/>
          <w:sz w:val="28"/>
          <w:szCs w:val="28"/>
        </w:rPr>
      </w:pPr>
      <w:r w:rsidRPr="002C4865">
        <w:rPr>
          <w:b/>
          <w:sz w:val="28"/>
          <w:szCs w:val="28"/>
        </w:rPr>
        <w:t xml:space="preserve">Version: </w:t>
      </w:r>
      <w:r w:rsidR="00171154">
        <w:rPr>
          <w:sz w:val="28"/>
          <w:szCs w:val="28"/>
        </w:rPr>
        <w:t>May 17, 2012</w:t>
      </w:r>
    </w:p>
    <w:p w:rsidR="00667D00" w:rsidRPr="002C4865" w:rsidRDefault="00667D00" w:rsidP="00667D00">
      <w:pPr>
        <w:jc w:val="center"/>
        <w:rPr>
          <w:sz w:val="28"/>
          <w:szCs w:val="28"/>
        </w:rPr>
      </w:pPr>
    </w:p>
    <w:p w:rsidR="00667D00" w:rsidRPr="002C4865" w:rsidRDefault="00667D00" w:rsidP="00667D00">
      <w:pPr>
        <w:jc w:val="center"/>
        <w:rPr>
          <w:sz w:val="28"/>
          <w:szCs w:val="28"/>
        </w:rPr>
      </w:pPr>
    </w:p>
    <w:p w:rsidR="00667D00" w:rsidRPr="002C4865" w:rsidRDefault="00667D00" w:rsidP="00667D00">
      <w:pPr>
        <w:jc w:val="center"/>
        <w:rPr>
          <w:sz w:val="28"/>
          <w:szCs w:val="28"/>
        </w:rPr>
      </w:pPr>
    </w:p>
    <w:p w:rsidR="00667D00" w:rsidRPr="002C4865" w:rsidRDefault="00667D00" w:rsidP="00667D00">
      <w:pPr>
        <w:jc w:val="center"/>
        <w:rPr>
          <w:sz w:val="28"/>
          <w:szCs w:val="28"/>
        </w:rPr>
      </w:pPr>
    </w:p>
    <w:p w:rsidR="00667D00" w:rsidRPr="002C4865" w:rsidRDefault="00667D00" w:rsidP="00667D00">
      <w:pPr>
        <w:jc w:val="center"/>
        <w:rPr>
          <w:sz w:val="28"/>
          <w:szCs w:val="28"/>
        </w:rPr>
      </w:pPr>
    </w:p>
    <w:p w:rsidR="00667D00" w:rsidRPr="002C4865" w:rsidRDefault="00667D00" w:rsidP="00667D00">
      <w:pPr>
        <w:jc w:val="center"/>
        <w:rPr>
          <w:sz w:val="28"/>
          <w:szCs w:val="28"/>
        </w:rPr>
      </w:pPr>
      <w:r w:rsidRPr="002C4865">
        <w:rPr>
          <w:sz w:val="28"/>
          <w:szCs w:val="28"/>
        </w:rPr>
        <w:t>Agency of Healthcare Research and Quality (AHRQ)</w:t>
      </w: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870C4B" w:rsidRPr="002C4865" w:rsidRDefault="00870C4B" w:rsidP="00870C4B">
      <w:pPr>
        <w:jc w:val="center"/>
        <w:rPr>
          <w:b/>
          <w:sz w:val="24"/>
          <w:szCs w:val="24"/>
        </w:rPr>
      </w:pPr>
      <w:r w:rsidRPr="002C4865">
        <w:rPr>
          <w:b/>
          <w:sz w:val="24"/>
          <w:szCs w:val="24"/>
        </w:rPr>
        <w:t>Table of contents</w:t>
      </w:r>
    </w:p>
    <w:p w:rsidR="00870C4B" w:rsidRPr="002C4865" w:rsidRDefault="00870C4B" w:rsidP="00870C4B">
      <w:pPr>
        <w:rPr>
          <w:sz w:val="24"/>
          <w:szCs w:val="24"/>
        </w:rPr>
      </w:pPr>
    </w:p>
    <w:p w:rsidR="00870C4B" w:rsidRPr="002C4865" w:rsidRDefault="00870C4B" w:rsidP="00870C4B">
      <w:pPr>
        <w:tabs>
          <w:tab w:val="left" w:leader="dot" w:pos="8460"/>
        </w:tabs>
        <w:rPr>
          <w:sz w:val="24"/>
          <w:szCs w:val="24"/>
        </w:rPr>
      </w:pPr>
      <w:r w:rsidRPr="002C4865">
        <w:rPr>
          <w:sz w:val="24"/>
          <w:szCs w:val="24"/>
        </w:rPr>
        <w:t>B. Collections of Information Employing Statistical Methods</w:t>
      </w:r>
      <w:r w:rsidRPr="002C4865">
        <w:rPr>
          <w:sz w:val="24"/>
          <w:szCs w:val="24"/>
        </w:rPr>
        <w:tab/>
        <w:t>3</w:t>
      </w:r>
    </w:p>
    <w:p w:rsidR="00870C4B" w:rsidRPr="002C4865" w:rsidRDefault="00870C4B" w:rsidP="00870C4B">
      <w:pPr>
        <w:tabs>
          <w:tab w:val="left" w:pos="360"/>
          <w:tab w:val="left" w:leader="dot" w:pos="8460"/>
        </w:tabs>
        <w:rPr>
          <w:sz w:val="24"/>
          <w:szCs w:val="24"/>
        </w:rPr>
      </w:pPr>
      <w:r w:rsidRPr="002C4865">
        <w:rPr>
          <w:sz w:val="24"/>
          <w:szCs w:val="24"/>
        </w:rPr>
        <w:tab/>
        <w:t>1. Respondent universe and sampling methods</w:t>
      </w:r>
      <w:r w:rsidRPr="002C4865">
        <w:rPr>
          <w:sz w:val="24"/>
          <w:szCs w:val="24"/>
        </w:rPr>
        <w:tab/>
      </w:r>
      <w:r w:rsidR="0088129C" w:rsidRPr="002C4865">
        <w:rPr>
          <w:sz w:val="24"/>
          <w:szCs w:val="24"/>
        </w:rPr>
        <w:t>3</w:t>
      </w:r>
    </w:p>
    <w:p w:rsidR="00870C4B" w:rsidRPr="002C4865" w:rsidRDefault="00870C4B" w:rsidP="00870C4B">
      <w:pPr>
        <w:tabs>
          <w:tab w:val="left" w:pos="360"/>
          <w:tab w:val="left" w:leader="dot" w:pos="8460"/>
        </w:tabs>
        <w:rPr>
          <w:sz w:val="24"/>
          <w:szCs w:val="24"/>
        </w:rPr>
      </w:pPr>
      <w:r w:rsidRPr="002C4865">
        <w:rPr>
          <w:sz w:val="24"/>
          <w:szCs w:val="24"/>
        </w:rPr>
        <w:tab/>
        <w:t>2. Information Collection Procedures</w:t>
      </w:r>
      <w:r w:rsidRPr="002C4865">
        <w:rPr>
          <w:sz w:val="24"/>
          <w:szCs w:val="24"/>
        </w:rPr>
        <w:tab/>
      </w:r>
      <w:r w:rsidR="0088129C" w:rsidRPr="002C4865">
        <w:rPr>
          <w:sz w:val="24"/>
          <w:szCs w:val="24"/>
        </w:rPr>
        <w:t>3</w:t>
      </w:r>
    </w:p>
    <w:p w:rsidR="00870C4B" w:rsidRPr="002C4865" w:rsidRDefault="00870C4B" w:rsidP="00870C4B">
      <w:pPr>
        <w:tabs>
          <w:tab w:val="left" w:pos="360"/>
          <w:tab w:val="left" w:leader="dot" w:pos="8460"/>
        </w:tabs>
        <w:rPr>
          <w:sz w:val="24"/>
          <w:szCs w:val="24"/>
        </w:rPr>
      </w:pPr>
      <w:r w:rsidRPr="002C4865">
        <w:rPr>
          <w:sz w:val="24"/>
          <w:szCs w:val="24"/>
        </w:rPr>
        <w:tab/>
        <w:t>3. Methods to Maximize Response Rates</w:t>
      </w:r>
      <w:r w:rsidRPr="002C4865">
        <w:rPr>
          <w:sz w:val="24"/>
          <w:szCs w:val="24"/>
        </w:rPr>
        <w:tab/>
      </w:r>
      <w:r w:rsidR="00D00209">
        <w:rPr>
          <w:sz w:val="24"/>
          <w:szCs w:val="24"/>
        </w:rPr>
        <w:t>4</w:t>
      </w:r>
    </w:p>
    <w:p w:rsidR="00870C4B" w:rsidRPr="002C4865" w:rsidRDefault="00870C4B" w:rsidP="00870C4B">
      <w:pPr>
        <w:tabs>
          <w:tab w:val="left" w:pos="360"/>
          <w:tab w:val="left" w:leader="dot" w:pos="8460"/>
        </w:tabs>
        <w:rPr>
          <w:sz w:val="24"/>
          <w:szCs w:val="24"/>
        </w:rPr>
      </w:pPr>
      <w:r w:rsidRPr="002C4865">
        <w:rPr>
          <w:sz w:val="24"/>
          <w:szCs w:val="24"/>
        </w:rPr>
        <w:tab/>
        <w:t>4. Tests of Procedures</w:t>
      </w:r>
      <w:r w:rsidRPr="002C4865">
        <w:rPr>
          <w:sz w:val="24"/>
          <w:szCs w:val="24"/>
        </w:rPr>
        <w:tab/>
      </w:r>
      <w:r w:rsidR="00D00209">
        <w:rPr>
          <w:sz w:val="24"/>
          <w:szCs w:val="24"/>
        </w:rPr>
        <w:t>4</w:t>
      </w:r>
    </w:p>
    <w:p w:rsidR="00C35F8A" w:rsidRPr="002C4865" w:rsidRDefault="00870C4B" w:rsidP="00870C4B">
      <w:pPr>
        <w:tabs>
          <w:tab w:val="left" w:pos="360"/>
          <w:tab w:val="left" w:leader="dot" w:pos="8460"/>
        </w:tabs>
        <w:rPr>
          <w:b/>
          <w:sz w:val="24"/>
        </w:rPr>
      </w:pPr>
      <w:r w:rsidRPr="002C4865">
        <w:rPr>
          <w:sz w:val="24"/>
          <w:szCs w:val="24"/>
        </w:rPr>
        <w:tab/>
        <w:t>5. Statistical Consultants</w:t>
      </w:r>
      <w:r w:rsidRPr="002C4865">
        <w:rPr>
          <w:sz w:val="24"/>
          <w:szCs w:val="24"/>
        </w:rPr>
        <w:tab/>
      </w:r>
      <w:r w:rsidR="0088129C" w:rsidRPr="002C4865">
        <w:rPr>
          <w:sz w:val="24"/>
          <w:szCs w:val="24"/>
        </w:rPr>
        <w:t>4</w:t>
      </w: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AA2B14" w:rsidRPr="002C4865" w:rsidRDefault="00870C4B" w:rsidP="00AA2B14">
      <w:pPr>
        <w:rPr>
          <w:b/>
          <w:sz w:val="24"/>
          <w:szCs w:val="24"/>
        </w:rPr>
      </w:pPr>
      <w:r w:rsidRPr="002C4865">
        <w:rPr>
          <w:b/>
          <w:sz w:val="24"/>
          <w:szCs w:val="24"/>
        </w:rPr>
        <w:lastRenderedPageBreak/>
        <w:t>B. Collections of Information Employing Statistical Methods</w:t>
      </w:r>
    </w:p>
    <w:p w:rsidR="00870C4B" w:rsidRPr="002C4865" w:rsidRDefault="00870C4B" w:rsidP="00AA2B14">
      <w:pPr>
        <w:rPr>
          <w:sz w:val="24"/>
        </w:rPr>
      </w:pPr>
    </w:p>
    <w:p w:rsidR="00AA2B14" w:rsidRPr="002C4865" w:rsidRDefault="00AA2B14" w:rsidP="00AA2B14">
      <w:pPr>
        <w:rPr>
          <w:b/>
          <w:i/>
          <w:sz w:val="24"/>
        </w:rPr>
      </w:pPr>
      <w:r w:rsidRPr="002C4865">
        <w:rPr>
          <w:b/>
          <w:i/>
          <w:sz w:val="24"/>
        </w:rPr>
        <w:t xml:space="preserve">1.  </w:t>
      </w:r>
      <w:r w:rsidR="00870C4B" w:rsidRPr="002C4865">
        <w:rPr>
          <w:b/>
          <w:i/>
          <w:sz w:val="24"/>
        </w:rPr>
        <w:t xml:space="preserve">Respondent Universe and Sampling </w:t>
      </w:r>
      <w:r w:rsidRPr="002C4865">
        <w:rPr>
          <w:b/>
          <w:i/>
          <w:sz w:val="24"/>
        </w:rPr>
        <w:t>Method</w:t>
      </w:r>
      <w:r w:rsidR="00870C4B" w:rsidRPr="002C4865">
        <w:rPr>
          <w:b/>
          <w:i/>
          <w:sz w:val="24"/>
        </w:rPr>
        <w:t>s</w:t>
      </w:r>
    </w:p>
    <w:p w:rsidR="00AA2B14" w:rsidRPr="002C4865" w:rsidRDefault="00AA2B14" w:rsidP="00AA2B14">
      <w:pPr>
        <w:rPr>
          <w:sz w:val="24"/>
        </w:rPr>
      </w:pPr>
    </w:p>
    <w:p w:rsidR="00590EF9" w:rsidRDefault="00590EF9" w:rsidP="00E50117">
      <w:pPr>
        <w:rPr>
          <w:sz w:val="24"/>
        </w:rPr>
      </w:pPr>
      <w:r>
        <w:rPr>
          <w:sz w:val="24"/>
        </w:rPr>
        <w:t xml:space="preserve">Data collection activities will </w:t>
      </w:r>
      <w:r w:rsidR="00E7103E">
        <w:rPr>
          <w:sz w:val="24"/>
        </w:rPr>
        <w:t>involve patients, clinicians and clinical support staff</w:t>
      </w:r>
      <w:r>
        <w:rPr>
          <w:sz w:val="24"/>
        </w:rPr>
        <w:t xml:space="preserve"> </w:t>
      </w:r>
      <w:r w:rsidR="00E7103E">
        <w:rPr>
          <w:sz w:val="24"/>
        </w:rPr>
        <w:t>at</w:t>
      </w:r>
      <w:r w:rsidRPr="00590EF9">
        <w:rPr>
          <w:sz w:val="24"/>
        </w:rPr>
        <w:t xml:space="preserve"> </w:t>
      </w:r>
      <w:r w:rsidR="00043B9E">
        <w:rPr>
          <w:sz w:val="24"/>
        </w:rPr>
        <w:t>four</w:t>
      </w:r>
      <w:r w:rsidR="00043B9E" w:rsidRPr="00590EF9">
        <w:rPr>
          <w:sz w:val="24"/>
        </w:rPr>
        <w:t xml:space="preserve"> </w:t>
      </w:r>
      <w:r w:rsidRPr="00590EF9">
        <w:rPr>
          <w:sz w:val="24"/>
        </w:rPr>
        <w:t xml:space="preserve">Harris County Hospital District </w:t>
      </w:r>
      <w:r w:rsidR="00E15FD2" w:rsidRPr="00590EF9">
        <w:rPr>
          <w:sz w:val="24"/>
        </w:rPr>
        <w:t xml:space="preserve">(HCHD) clinics </w:t>
      </w:r>
      <w:r w:rsidR="00E7103E">
        <w:rPr>
          <w:sz w:val="24"/>
        </w:rPr>
        <w:t xml:space="preserve">in </w:t>
      </w:r>
      <w:r w:rsidR="00E15FD2" w:rsidRPr="00590EF9">
        <w:rPr>
          <w:sz w:val="24"/>
        </w:rPr>
        <w:t>Houston, Texas</w:t>
      </w:r>
      <w:r w:rsidR="001961D1">
        <w:rPr>
          <w:sz w:val="24"/>
        </w:rPr>
        <w:t xml:space="preserve"> -  </w:t>
      </w:r>
      <w:r w:rsidRPr="00590EF9">
        <w:rPr>
          <w:sz w:val="24"/>
        </w:rPr>
        <w:t>Northwest Health Center</w:t>
      </w:r>
      <w:r w:rsidR="00043B9E">
        <w:rPr>
          <w:sz w:val="24"/>
        </w:rPr>
        <w:t>,</w:t>
      </w:r>
      <w:r w:rsidR="00043B9E" w:rsidRPr="00043B9E">
        <w:rPr>
          <w:rFonts w:ascii="Arial" w:hAnsi="Arial" w:cs="Arial"/>
          <w:color w:val="000000"/>
          <w:sz w:val="18"/>
          <w:szCs w:val="18"/>
        </w:rPr>
        <w:t xml:space="preserve"> </w:t>
      </w:r>
      <w:r w:rsidR="00043B9E" w:rsidRPr="00043B9E">
        <w:rPr>
          <w:sz w:val="24"/>
        </w:rPr>
        <w:t>Gulfgate Community Health Center</w:t>
      </w:r>
      <w:r w:rsidR="00043B9E">
        <w:rPr>
          <w:sz w:val="24"/>
        </w:rPr>
        <w:t xml:space="preserve">,  </w:t>
      </w:r>
      <w:r w:rsidR="00043B9E" w:rsidRPr="00043B9E">
        <w:rPr>
          <w:sz w:val="24"/>
        </w:rPr>
        <w:t>Martin Luther King Jr. Community Health Center</w:t>
      </w:r>
      <w:r w:rsidRPr="00590EF9">
        <w:rPr>
          <w:sz w:val="24"/>
        </w:rPr>
        <w:t xml:space="preserve"> and People's Health Center</w:t>
      </w:r>
      <w:r w:rsidR="001961D1">
        <w:rPr>
          <w:sz w:val="24"/>
        </w:rPr>
        <w:t xml:space="preserve"> -</w:t>
      </w:r>
      <w:r w:rsidRPr="00590EF9">
        <w:rPr>
          <w:sz w:val="24"/>
        </w:rPr>
        <w:t xml:space="preserve"> and </w:t>
      </w:r>
      <w:r w:rsidR="00E7103E">
        <w:rPr>
          <w:sz w:val="24"/>
        </w:rPr>
        <w:t xml:space="preserve">at </w:t>
      </w:r>
      <w:r w:rsidRPr="00590EF9">
        <w:rPr>
          <w:sz w:val="24"/>
        </w:rPr>
        <w:t xml:space="preserve">the </w:t>
      </w:r>
      <w:r w:rsidR="00E7103E">
        <w:rPr>
          <w:sz w:val="24"/>
        </w:rPr>
        <w:t>Meharry General Hospital Internal Medicine Clinic in Nashville, Tennessee</w:t>
      </w:r>
      <w:r>
        <w:rPr>
          <w:sz w:val="24"/>
        </w:rPr>
        <w:t>.</w:t>
      </w:r>
      <w:r w:rsidRPr="00590EF9">
        <w:rPr>
          <w:sz w:val="24"/>
        </w:rPr>
        <w:t xml:space="preserve"> </w:t>
      </w:r>
      <w:r w:rsidR="00043B9E">
        <w:rPr>
          <w:sz w:val="24"/>
        </w:rPr>
        <w:t>These facilities serve large numbers of medically</w:t>
      </w:r>
      <w:r w:rsidR="00E51EA5">
        <w:rPr>
          <w:sz w:val="24"/>
        </w:rPr>
        <w:t xml:space="preserve"> </w:t>
      </w:r>
      <w:r w:rsidR="00043B9E">
        <w:rPr>
          <w:sz w:val="24"/>
        </w:rPr>
        <w:t>underserved and</w:t>
      </w:r>
      <w:r w:rsidR="00E15FD2">
        <w:rPr>
          <w:sz w:val="24"/>
        </w:rPr>
        <w:t xml:space="preserve"> demographically mixed populations as follow</w:t>
      </w:r>
      <w:r w:rsidR="00B8285E">
        <w:rPr>
          <w:sz w:val="24"/>
        </w:rPr>
        <w:t>s</w:t>
      </w:r>
      <w:r w:rsidR="00E15FD2">
        <w:rPr>
          <w:sz w:val="24"/>
        </w:rPr>
        <w:t>:</w:t>
      </w:r>
    </w:p>
    <w:p w:rsidR="00E15FD2" w:rsidRDefault="00E15FD2" w:rsidP="00E15FD2">
      <w:pPr>
        <w:pStyle w:val="ListParagraph"/>
        <w:numPr>
          <w:ilvl w:val="0"/>
          <w:numId w:val="3"/>
        </w:numPr>
        <w:rPr>
          <w:sz w:val="24"/>
        </w:rPr>
      </w:pPr>
      <w:r w:rsidRPr="00590EF9">
        <w:rPr>
          <w:sz w:val="24"/>
        </w:rPr>
        <w:t xml:space="preserve">Northwest Health Clinic </w:t>
      </w:r>
      <w:r>
        <w:rPr>
          <w:sz w:val="24"/>
        </w:rPr>
        <w:t xml:space="preserve">serves a </w:t>
      </w:r>
      <w:r w:rsidRPr="00590EF9">
        <w:rPr>
          <w:sz w:val="24"/>
        </w:rPr>
        <w:t>population</w:t>
      </w:r>
      <w:r>
        <w:rPr>
          <w:sz w:val="24"/>
        </w:rPr>
        <w:t xml:space="preserve"> of </w:t>
      </w:r>
      <w:r w:rsidR="00D63EDB">
        <w:rPr>
          <w:sz w:val="24"/>
        </w:rPr>
        <w:t>48,000 individuals</w:t>
      </w:r>
      <w:r w:rsidR="00B8285E">
        <w:rPr>
          <w:sz w:val="24"/>
        </w:rPr>
        <w:t>,</w:t>
      </w:r>
      <w:r w:rsidR="00D63EDB">
        <w:rPr>
          <w:sz w:val="24"/>
        </w:rPr>
        <w:t xml:space="preserve"> of which</w:t>
      </w:r>
      <w:r w:rsidR="00B8285E">
        <w:rPr>
          <w:sz w:val="24"/>
        </w:rPr>
        <w:t xml:space="preserve"> </w:t>
      </w:r>
      <w:r w:rsidR="00D63EDB" w:rsidRPr="00590EF9">
        <w:rPr>
          <w:sz w:val="24"/>
        </w:rPr>
        <w:t xml:space="preserve">15.6% </w:t>
      </w:r>
      <w:r w:rsidR="00B8285E">
        <w:rPr>
          <w:sz w:val="24"/>
        </w:rPr>
        <w:t xml:space="preserve">are </w:t>
      </w:r>
      <w:r w:rsidR="00D63EDB" w:rsidRPr="00590EF9">
        <w:rPr>
          <w:sz w:val="24"/>
        </w:rPr>
        <w:t>White, 18.6% Black, 59.3% Hispanic, and 5.5% Asian</w:t>
      </w:r>
      <w:r w:rsidR="00D63EDB">
        <w:rPr>
          <w:sz w:val="24"/>
        </w:rPr>
        <w:t>;</w:t>
      </w:r>
    </w:p>
    <w:p w:rsidR="00DF76DE" w:rsidRDefault="00043B9E" w:rsidP="00590EF9">
      <w:pPr>
        <w:pStyle w:val="ListParagraph"/>
        <w:numPr>
          <w:ilvl w:val="0"/>
          <w:numId w:val="3"/>
        </w:numPr>
        <w:rPr>
          <w:sz w:val="24"/>
        </w:rPr>
      </w:pPr>
      <w:r w:rsidRPr="00DF76DE">
        <w:rPr>
          <w:sz w:val="24"/>
        </w:rPr>
        <w:t xml:space="preserve">Gulfgate Community Health Center </w:t>
      </w:r>
      <w:r w:rsidR="005003FF">
        <w:rPr>
          <w:sz w:val="24"/>
        </w:rPr>
        <w:t xml:space="preserve">serves </w:t>
      </w:r>
      <w:r w:rsidR="00DF76DE">
        <w:rPr>
          <w:sz w:val="24"/>
        </w:rPr>
        <w:t xml:space="preserve">a population of </w:t>
      </w:r>
      <w:r w:rsidR="005003FF">
        <w:rPr>
          <w:sz w:val="24"/>
        </w:rPr>
        <w:t xml:space="preserve">45,000 </w:t>
      </w:r>
      <w:r w:rsidR="00DF76DE">
        <w:rPr>
          <w:sz w:val="24"/>
        </w:rPr>
        <w:t>individuals</w:t>
      </w:r>
      <w:r w:rsidR="005003FF">
        <w:rPr>
          <w:sz w:val="24"/>
        </w:rPr>
        <w:t>,</w:t>
      </w:r>
      <w:r w:rsidR="00DF76DE">
        <w:rPr>
          <w:sz w:val="24"/>
        </w:rPr>
        <w:t xml:space="preserve"> of which 4.5% are White, 12.7% Black, 82% Hispanic, and 0.7% Asian;</w:t>
      </w:r>
    </w:p>
    <w:p w:rsidR="00043B9E" w:rsidRPr="00DF76DE" w:rsidRDefault="00DF76DE" w:rsidP="00590EF9">
      <w:pPr>
        <w:pStyle w:val="ListParagraph"/>
        <w:numPr>
          <w:ilvl w:val="0"/>
          <w:numId w:val="3"/>
        </w:numPr>
        <w:rPr>
          <w:sz w:val="24"/>
        </w:rPr>
      </w:pPr>
      <w:r>
        <w:rPr>
          <w:sz w:val="24"/>
        </w:rPr>
        <w:t xml:space="preserve"> </w:t>
      </w:r>
      <w:r w:rsidRPr="00043B9E">
        <w:rPr>
          <w:sz w:val="24"/>
        </w:rPr>
        <w:t>Martin Luther King Jr. Community Health Center</w:t>
      </w:r>
      <w:r>
        <w:rPr>
          <w:sz w:val="24"/>
        </w:rPr>
        <w:t xml:space="preserve"> </w:t>
      </w:r>
      <w:r w:rsidR="005003FF">
        <w:rPr>
          <w:sz w:val="24"/>
        </w:rPr>
        <w:t xml:space="preserve">serves a population of </w:t>
      </w:r>
      <w:r>
        <w:rPr>
          <w:sz w:val="24"/>
        </w:rPr>
        <w:t>50,000 individuals</w:t>
      </w:r>
      <w:r w:rsidR="005003FF">
        <w:rPr>
          <w:sz w:val="24"/>
        </w:rPr>
        <w:t>,</w:t>
      </w:r>
      <w:r>
        <w:rPr>
          <w:sz w:val="24"/>
        </w:rPr>
        <w:t xml:space="preserve"> of which 4.9% are White, 67.3% Black, 26.1% Hispanic, and 1.4% Asian;</w:t>
      </w:r>
    </w:p>
    <w:p w:rsidR="00590EF9" w:rsidRDefault="00E50117" w:rsidP="00590EF9">
      <w:pPr>
        <w:pStyle w:val="ListParagraph"/>
        <w:numPr>
          <w:ilvl w:val="0"/>
          <w:numId w:val="3"/>
        </w:numPr>
        <w:rPr>
          <w:sz w:val="24"/>
        </w:rPr>
      </w:pPr>
      <w:r w:rsidRPr="00DF76DE">
        <w:rPr>
          <w:sz w:val="24"/>
        </w:rPr>
        <w:t>People’s Clinic</w:t>
      </w:r>
      <w:r w:rsidR="00590EF9" w:rsidRPr="00DF76DE">
        <w:rPr>
          <w:sz w:val="24"/>
        </w:rPr>
        <w:t xml:space="preserve"> </w:t>
      </w:r>
      <w:r w:rsidR="00D63EDB" w:rsidRPr="00DF76DE">
        <w:rPr>
          <w:sz w:val="24"/>
        </w:rPr>
        <w:t>serves a</w:t>
      </w:r>
      <w:r w:rsidR="00590EF9" w:rsidRPr="00DF76DE">
        <w:rPr>
          <w:sz w:val="24"/>
        </w:rPr>
        <w:t xml:space="preserve"> </w:t>
      </w:r>
      <w:r w:rsidRPr="00DF76DE">
        <w:rPr>
          <w:sz w:val="24"/>
        </w:rPr>
        <w:t>population</w:t>
      </w:r>
      <w:r w:rsidR="00590EF9" w:rsidRPr="00DF76DE">
        <w:rPr>
          <w:sz w:val="24"/>
        </w:rPr>
        <w:t xml:space="preserve"> of </w:t>
      </w:r>
      <w:r w:rsidRPr="00DF76DE">
        <w:rPr>
          <w:sz w:val="24"/>
        </w:rPr>
        <w:t>82,000</w:t>
      </w:r>
      <w:r w:rsidR="00B8285E" w:rsidRPr="00DF76DE">
        <w:rPr>
          <w:sz w:val="24"/>
        </w:rPr>
        <w:t xml:space="preserve">, </w:t>
      </w:r>
      <w:r w:rsidR="00590EF9" w:rsidRPr="00DF76DE">
        <w:rPr>
          <w:sz w:val="24"/>
        </w:rPr>
        <w:t xml:space="preserve">of which </w:t>
      </w:r>
      <w:r w:rsidRPr="00DF76DE">
        <w:rPr>
          <w:sz w:val="24"/>
        </w:rPr>
        <w:t xml:space="preserve">7.2% </w:t>
      </w:r>
      <w:r w:rsidR="00B8285E" w:rsidRPr="00DF76DE">
        <w:rPr>
          <w:sz w:val="24"/>
        </w:rPr>
        <w:t xml:space="preserve">are </w:t>
      </w:r>
      <w:r w:rsidRPr="00DF76DE">
        <w:rPr>
          <w:sz w:val="24"/>
        </w:rPr>
        <w:t>White, 19.7</w:t>
      </w:r>
      <w:r w:rsidR="00D63EDB" w:rsidRPr="00DF76DE">
        <w:rPr>
          <w:sz w:val="24"/>
        </w:rPr>
        <w:t>%</w:t>
      </w:r>
      <w:r w:rsidRPr="00DF76DE">
        <w:rPr>
          <w:sz w:val="24"/>
        </w:rPr>
        <w:t xml:space="preserve"> Black, </w:t>
      </w:r>
      <w:r w:rsidR="00590EF9" w:rsidRPr="00DF76DE">
        <w:rPr>
          <w:sz w:val="24"/>
        </w:rPr>
        <w:t>58.7% Hispanic, and 12.0% Asian;</w:t>
      </w:r>
      <w:r w:rsidR="00B8285E" w:rsidRPr="00DF76DE">
        <w:rPr>
          <w:sz w:val="24"/>
        </w:rPr>
        <w:t xml:space="preserve"> and</w:t>
      </w:r>
    </w:p>
    <w:p w:rsidR="00E50117" w:rsidRPr="00590EF9" w:rsidRDefault="00E50117" w:rsidP="00590EF9">
      <w:pPr>
        <w:pStyle w:val="ListParagraph"/>
        <w:numPr>
          <w:ilvl w:val="0"/>
          <w:numId w:val="3"/>
        </w:numPr>
        <w:rPr>
          <w:sz w:val="24"/>
        </w:rPr>
      </w:pPr>
      <w:r w:rsidRPr="00590EF9">
        <w:rPr>
          <w:sz w:val="24"/>
        </w:rPr>
        <w:t xml:space="preserve">Meharry General Hospital Internal Medicine </w:t>
      </w:r>
      <w:r w:rsidR="00D63EDB" w:rsidRPr="00590EF9">
        <w:rPr>
          <w:sz w:val="24"/>
        </w:rPr>
        <w:t>Clinic</w:t>
      </w:r>
      <w:r w:rsidR="00D63EDB">
        <w:rPr>
          <w:sz w:val="24"/>
        </w:rPr>
        <w:t xml:space="preserve"> </w:t>
      </w:r>
      <w:r w:rsidR="00D63EDB" w:rsidRPr="00590EF9">
        <w:rPr>
          <w:sz w:val="24"/>
        </w:rPr>
        <w:t>serves</w:t>
      </w:r>
      <w:r w:rsidRPr="00590EF9">
        <w:rPr>
          <w:sz w:val="24"/>
        </w:rPr>
        <w:t xml:space="preserve"> </w:t>
      </w:r>
      <w:r w:rsidR="005003FF">
        <w:rPr>
          <w:sz w:val="24"/>
        </w:rPr>
        <w:t xml:space="preserve">a population of </w:t>
      </w:r>
      <w:r w:rsidRPr="00590EF9">
        <w:rPr>
          <w:sz w:val="24"/>
        </w:rPr>
        <w:t>33,000 patients</w:t>
      </w:r>
      <w:r w:rsidR="00B8285E">
        <w:rPr>
          <w:sz w:val="24"/>
        </w:rPr>
        <w:t>,</w:t>
      </w:r>
      <w:r w:rsidRPr="00590EF9">
        <w:rPr>
          <w:sz w:val="24"/>
        </w:rPr>
        <w:t xml:space="preserve"> </w:t>
      </w:r>
      <w:r w:rsidR="00D63EDB">
        <w:rPr>
          <w:sz w:val="24"/>
        </w:rPr>
        <w:t xml:space="preserve">of which </w:t>
      </w:r>
      <w:r w:rsidRPr="00590EF9">
        <w:rPr>
          <w:sz w:val="24"/>
        </w:rPr>
        <w:t xml:space="preserve">21.0% </w:t>
      </w:r>
      <w:r w:rsidR="00B8285E">
        <w:rPr>
          <w:sz w:val="24"/>
        </w:rPr>
        <w:t xml:space="preserve">are </w:t>
      </w:r>
      <w:r w:rsidRPr="00590EF9">
        <w:rPr>
          <w:sz w:val="24"/>
        </w:rPr>
        <w:t xml:space="preserve">White, 43.1% Black, 13.8% Hispanic, and 0.2% Asian.  </w:t>
      </w:r>
    </w:p>
    <w:p w:rsidR="006C7EC9" w:rsidRDefault="006C7EC9" w:rsidP="00AA2B14">
      <w:pPr>
        <w:rPr>
          <w:sz w:val="24"/>
        </w:rPr>
      </w:pPr>
    </w:p>
    <w:p w:rsidR="00A74F07" w:rsidRDefault="00A74F07" w:rsidP="00AA2B14">
      <w:pPr>
        <w:rPr>
          <w:sz w:val="24"/>
          <w:szCs w:val="24"/>
        </w:rPr>
      </w:pPr>
      <w:r>
        <w:rPr>
          <w:sz w:val="24"/>
          <w:szCs w:val="24"/>
        </w:rPr>
        <w:t xml:space="preserve">The data to be collected will consist primarily of qualitative perceptions to inform our evaluation of this preliminary feasibility study. No attempt will be made to employ probability sampling or draw samples representative of specific patient groups or conditions. </w:t>
      </w:r>
    </w:p>
    <w:p w:rsidR="00A74F07" w:rsidRDefault="00A74F07" w:rsidP="00AA2B14">
      <w:pPr>
        <w:rPr>
          <w:sz w:val="24"/>
          <w:szCs w:val="24"/>
        </w:rPr>
      </w:pPr>
    </w:p>
    <w:p w:rsidR="006C7EC9" w:rsidRDefault="00A74F07" w:rsidP="00AA2B14">
      <w:pPr>
        <w:rPr>
          <w:sz w:val="24"/>
        </w:rPr>
      </w:pPr>
      <w:r>
        <w:rPr>
          <w:sz w:val="24"/>
        </w:rPr>
        <w:t>C</w:t>
      </w:r>
      <w:r w:rsidR="006C7EC9">
        <w:rPr>
          <w:sz w:val="24"/>
        </w:rPr>
        <w:t>onvenience sample</w:t>
      </w:r>
      <w:r>
        <w:rPr>
          <w:sz w:val="24"/>
        </w:rPr>
        <w:t>s</w:t>
      </w:r>
      <w:r w:rsidR="006C7EC9">
        <w:rPr>
          <w:sz w:val="24"/>
        </w:rPr>
        <w:t xml:space="preserve"> of </w:t>
      </w:r>
      <w:r w:rsidR="007A732C">
        <w:rPr>
          <w:sz w:val="24"/>
        </w:rPr>
        <w:t xml:space="preserve">approximately </w:t>
      </w:r>
      <w:r w:rsidR="00155741">
        <w:rPr>
          <w:sz w:val="24"/>
        </w:rPr>
        <w:t xml:space="preserve">60 </w:t>
      </w:r>
      <w:r w:rsidR="006C7EC9">
        <w:rPr>
          <w:sz w:val="24"/>
        </w:rPr>
        <w:t xml:space="preserve">patients per clinic </w:t>
      </w:r>
      <w:r w:rsidR="004D3D35">
        <w:rPr>
          <w:sz w:val="24"/>
        </w:rPr>
        <w:t xml:space="preserve">(total 300) </w:t>
      </w:r>
      <w:r w:rsidR="006C7EC9">
        <w:rPr>
          <w:sz w:val="24"/>
        </w:rPr>
        <w:t xml:space="preserve">will </w:t>
      </w:r>
      <w:r w:rsidR="00171154">
        <w:rPr>
          <w:sz w:val="24"/>
        </w:rPr>
        <w:t xml:space="preserve">be </w:t>
      </w:r>
      <w:r>
        <w:rPr>
          <w:sz w:val="24"/>
        </w:rPr>
        <w:t xml:space="preserve">interviewed as they </w:t>
      </w:r>
      <w:r w:rsidR="001A6389">
        <w:rPr>
          <w:sz w:val="24"/>
        </w:rPr>
        <w:t xml:space="preserve">exit from </w:t>
      </w:r>
      <w:r>
        <w:rPr>
          <w:sz w:val="24"/>
        </w:rPr>
        <w:t xml:space="preserve">their </w:t>
      </w:r>
      <w:r w:rsidR="006C7EC9">
        <w:rPr>
          <w:sz w:val="24"/>
        </w:rPr>
        <w:t>visit</w:t>
      </w:r>
      <w:r>
        <w:rPr>
          <w:sz w:val="24"/>
        </w:rPr>
        <w:t xml:space="preserve"> </w:t>
      </w:r>
      <w:r w:rsidR="004D3D35">
        <w:rPr>
          <w:sz w:val="24"/>
        </w:rPr>
        <w:t xml:space="preserve">to </w:t>
      </w:r>
      <w:r w:rsidR="005A761F">
        <w:rPr>
          <w:sz w:val="24"/>
        </w:rPr>
        <w:t xml:space="preserve">assess </w:t>
      </w:r>
      <w:r w:rsidR="001A6389">
        <w:rPr>
          <w:sz w:val="24"/>
        </w:rPr>
        <w:t xml:space="preserve">whether </w:t>
      </w:r>
      <w:r w:rsidR="005A761F">
        <w:rPr>
          <w:sz w:val="24"/>
        </w:rPr>
        <w:t xml:space="preserve">they </w:t>
      </w:r>
      <w:r w:rsidR="005A761F" w:rsidRPr="00214191">
        <w:rPr>
          <w:sz w:val="24"/>
        </w:rPr>
        <w:t>saw and und</w:t>
      </w:r>
      <w:r w:rsidR="005A761F">
        <w:rPr>
          <w:sz w:val="24"/>
        </w:rPr>
        <w:t xml:space="preserve">erstood the marketing materials displayed in the clinic; </w:t>
      </w:r>
      <w:r w:rsidR="005A761F" w:rsidRPr="00214191">
        <w:rPr>
          <w:sz w:val="24"/>
        </w:rPr>
        <w:t xml:space="preserve">were encouraged by the marketing materials to </w:t>
      </w:r>
      <w:r w:rsidR="001961D1">
        <w:rPr>
          <w:sz w:val="24"/>
        </w:rPr>
        <w:t xml:space="preserve">text </w:t>
      </w:r>
      <w:r w:rsidR="005A761F">
        <w:rPr>
          <w:sz w:val="24"/>
        </w:rPr>
        <w:t xml:space="preserve">or access the EHC mobile </w:t>
      </w:r>
      <w:r w:rsidR="001A6389">
        <w:rPr>
          <w:sz w:val="24"/>
        </w:rPr>
        <w:t xml:space="preserve">Web site </w:t>
      </w:r>
      <w:r w:rsidR="005A761F" w:rsidRPr="00214191">
        <w:rPr>
          <w:sz w:val="24"/>
        </w:rPr>
        <w:t xml:space="preserve">about their health issue(s); </w:t>
      </w:r>
      <w:r w:rsidR="00C11196">
        <w:rPr>
          <w:sz w:val="24"/>
        </w:rPr>
        <w:t xml:space="preserve">and </w:t>
      </w:r>
      <w:r w:rsidR="005A761F">
        <w:rPr>
          <w:sz w:val="24"/>
        </w:rPr>
        <w:t xml:space="preserve">encountered </w:t>
      </w:r>
      <w:r w:rsidR="00C11196">
        <w:rPr>
          <w:sz w:val="24"/>
        </w:rPr>
        <w:t xml:space="preserve">any </w:t>
      </w:r>
      <w:r w:rsidR="005A761F">
        <w:rPr>
          <w:sz w:val="24"/>
        </w:rPr>
        <w:t>barriers to</w:t>
      </w:r>
      <w:r w:rsidR="005A761F" w:rsidRPr="00214191">
        <w:rPr>
          <w:sz w:val="24"/>
        </w:rPr>
        <w:t xml:space="preserve"> text</w:t>
      </w:r>
      <w:r w:rsidR="00C11196">
        <w:rPr>
          <w:sz w:val="24"/>
        </w:rPr>
        <w:t>ing</w:t>
      </w:r>
      <w:r w:rsidR="005A761F">
        <w:rPr>
          <w:sz w:val="24"/>
        </w:rPr>
        <w:t xml:space="preserve"> or access </w:t>
      </w:r>
      <w:r w:rsidR="00C11196">
        <w:rPr>
          <w:sz w:val="24"/>
        </w:rPr>
        <w:t xml:space="preserve">of </w:t>
      </w:r>
      <w:r w:rsidR="005A761F">
        <w:rPr>
          <w:sz w:val="24"/>
        </w:rPr>
        <w:t xml:space="preserve">the mobile </w:t>
      </w:r>
      <w:r w:rsidR="001A6389">
        <w:rPr>
          <w:sz w:val="24"/>
        </w:rPr>
        <w:t>Web site</w:t>
      </w:r>
      <w:r w:rsidR="00C11196">
        <w:rPr>
          <w:sz w:val="24"/>
        </w:rPr>
        <w:t xml:space="preserve"> or materials</w:t>
      </w:r>
      <w:r w:rsidR="005A761F">
        <w:rPr>
          <w:sz w:val="24"/>
        </w:rPr>
        <w:t>.</w:t>
      </w:r>
      <w:r w:rsidR="00155741">
        <w:rPr>
          <w:sz w:val="24"/>
        </w:rPr>
        <w:t xml:space="preserve"> </w:t>
      </w:r>
      <w:r w:rsidR="00171154">
        <w:rPr>
          <w:sz w:val="24"/>
        </w:rPr>
        <w:t>Because</w:t>
      </w:r>
      <w:r w:rsidR="00155741">
        <w:rPr>
          <w:sz w:val="24"/>
        </w:rPr>
        <w:t xml:space="preserve"> </w:t>
      </w:r>
      <w:r w:rsidR="007A732C">
        <w:rPr>
          <w:sz w:val="24"/>
        </w:rPr>
        <w:t xml:space="preserve">clinic restrictions require that </w:t>
      </w:r>
      <w:r w:rsidR="00155741">
        <w:rPr>
          <w:sz w:val="24"/>
        </w:rPr>
        <w:t xml:space="preserve">participants be </w:t>
      </w:r>
      <w:r w:rsidR="008A3716">
        <w:rPr>
          <w:sz w:val="24"/>
        </w:rPr>
        <w:t>passively</w:t>
      </w:r>
      <w:r w:rsidR="00155741">
        <w:rPr>
          <w:sz w:val="24"/>
        </w:rPr>
        <w:t xml:space="preserve"> recruited, it will not be possible to </w:t>
      </w:r>
      <w:r w:rsidR="007A732C">
        <w:rPr>
          <w:sz w:val="24"/>
        </w:rPr>
        <w:t>select individuals having specified characteristics or from defined sub</w:t>
      </w:r>
      <w:r w:rsidR="00E51EA5">
        <w:rPr>
          <w:sz w:val="24"/>
        </w:rPr>
        <w:t>p</w:t>
      </w:r>
      <w:r w:rsidR="00155741">
        <w:rPr>
          <w:sz w:val="24"/>
        </w:rPr>
        <w:t>opulations</w:t>
      </w:r>
      <w:r w:rsidR="008A3716">
        <w:rPr>
          <w:sz w:val="24"/>
        </w:rPr>
        <w:t xml:space="preserve">. </w:t>
      </w:r>
      <w:r w:rsidR="00171154">
        <w:rPr>
          <w:sz w:val="24"/>
        </w:rPr>
        <w:t xml:space="preserve">Although the results of the interviews are not intended to be generalizable, </w:t>
      </w:r>
      <w:r w:rsidR="007A732C">
        <w:rPr>
          <w:sz w:val="24"/>
        </w:rPr>
        <w:t xml:space="preserve">to increase the likelihood of obtaining samples that are generally representative of each clinic’s patient population </w:t>
      </w:r>
      <w:r w:rsidR="008A3716">
        <w:rPr>
          <w:sz w:val="24"/>
        </w:rPr>
        <w:t xml:space="preserve">we </w:t>
      </w:r>
      <w:r w:rsidR="00171154">
        <w:rPr>
          <w:sz w:val="24"/>
        </w:rPr>
        <w:t>plan</w:t>
      </w:r>
      <w:r w:rsidR="008A3716">
        <w:rPr>
          <w:sz w:val="24"/>
        </w:rPr>
        <w:t xml:space="preserve"> </w:t>
      </w:r>
      <w:r w:rsidR="006C48C9">
        <w:rPr>
          <w:sz w:val="24"/>
        </w:rPr>
        <w:t xml:space="preserve">to </w:t>
      </w:r>
      <w:r w:rsidR="00171154">
        <w:rPr>
          <w:sz w:val="24"/>
        </w:rPr>
        <w:t xml:space="preserve">vary the time of day, </w:t>
      </w:r>
      <w:r w:rsidR="006C48C9">
        <w:rPr>
          <w:sz w:val="24"/>
        </w:rPr>
        <w:t xml:space="preserve">the </w:t>
      </w:r>
      <w:r w:rsidR="00171154">
        <w:rPr>
          <w:sz w:val="24"/>
        </w:rPr>
        <w:t>day of the week</w:t>
      </w:r>
      <w:r w:rsidR="006C48C9">
        <w:rPr>
          <w:sz w:val="24"/>
        </w:rPr>
        <w:t>,</w:t>
      </w:r>
      <w:r w:rsidR="00171154">
        <w:rPr>
          <w:sz w:val="24"/>
        </w:rPr>
        <w:t xml:space="preserve"> and </w:t>
      </w:r>
      <w:r w:rsidR="006C48C9">
        <w:rPr>
          <w:sz w:val="24"/>
        </w:rPr>
        <w:t xml:space="preserve">the interview </w:t>
      </w:r>
      <w:r w:rsidR="00171154">
        <w:rPr>
          <w:sz w:val="24"/>
        </w:rPr>
        <w:t>location</w:t>
      </w:r>
      <w:r w:rsidR="006C48C9">
        <w:rPr>
          <w:sz w:val="24"/>
        </w:rPr>
        <w:t>s</w:t>
      </w:r>
      <w:r w:rsidR="00171154">
        <w:rPr>
          <w:sz w:val="24"/>
        </w:rPr>
        <w:t xml:space="preserve"> </w:t>
      </w:r>
      <w:r w:rsidR="006C48C9">
        <w:rPr>
          <w:sz w:val="24"/>
        </w:rPr>
        <w:t>within the clinics</w:t>
      </w:r>
      <w:r w:rsidR="00171154">
        <w:rPr>
          <w:sz w:val="24"/>
        </w:rPr>
        <w:t xml:space="preserve">. Selecting samples of size 60 from each clinic will </w:t>
      </w:r>
      <w:r w:rsidR="006C48C9">
        <w:rPr>
          <w:sz w:val="24"/>
        </w:rPr>
        <w:t xml:space="preserve">also facilitate </w:t>
      </w:r>
      <w:r w:rsidR="00171154">
        <w:rPr>
          <w:sz w:val="24"/>
        </w:rPr>
        <w:t>obtaining</w:t>
      </w:r>
      <w:r w:rsidR="006C48C9">
        <w:rPr>
          <w:sz w:val="24"/>
        </w:rPr>
        <w:t xml:space="preserve"> </w:t>
      </w:r>
      <w:r w:rsidR="00171154">
        <w:rPr>
          <w:sz w:val="24"/>
        </w:rPr>
        <w:t xml:space="preserve">a diverse patient mix. </w:t>
      </w:r>
      <w:r w:rsidR="006C48C9">
        <w:rPr>
          <w:sz w:val="24"/>
        </w:rPr>
        <w:t>Were we to collect smaller sample</w:t>
      </w:r>
      <w:r w:rsidR="00171154">
        <w:rPr>
          <w:sz w:val="24"/>
        </w:rPr>
        <w:t>s</w:t>
      </w:r>
      <w:r w:rsidR="006C48C9">
        <w:rPr>
          <w:sz w:val="24"/>
        </w:rPr>
        <w:t xml:space="preserve"> </w:t>
      </w:r>
      <w:r w:rsidR="008A3716">
        <w:rPr>
          <w:sz w:val="24"/>
        </w:rPr>
        <w:t>the likelihood of</w:t>
      </w:r>
      <w:r w:rsidR="006C48C9">
        <w:rPr>
          <w:sz w:val="24"/>
        </w:rPr>
        <w:t xml:space="preserve"> capturing</w:t>
      </w:r>
      <w:r w:rsidR="00171154">
        <w:rPr>
          <w:sz w:val="24"/>
        </w:rPr>
        <w:t xml:space="preserve"> </w:t>
      </w:r>
      <w:r w:rsidR="008A3716">
        <w:rPr>
          <w:sz w:val="24"/>
        </w:rPr>
        <w:t xml:space="preserve">all relevant patient populations served </w:t>
      </w:r>
      <w:r w:rsidR="006C48C9">
        <w:rPr>
          <w:sz w:val="24"/>
        </w:rPr>
        <w:t>in</w:t>
      </w:r>
      <w:r w:rsidR="008A3716">
        <w:rPr>
          <w:sz w:val="24"/>
        </w:rPr>
        <w:t xml:space="preserve"> each clinic</w:t>
      </w:r>
      <w:r w:rsidR="006C48C9">
        <w:rPr>
          <w:sz w:val="24"/>
        </w:rPr>
        <w:t xml:space="preserve"> would be lessened</w:t>
      </w:r>
      <w:r w:rsidR="008A3716">
        <w:rPr>
          <w:sz w:val="24"/>
        </w:rPr>
        <w:t>.</w:t>
      </w:r>
    </w:p>
    <w:p w:rsidR="005A761F" w:rsidRDefault="005A761F" w:rsidP="00AA2B14">
      <w:pPr>
        <w:rPr>
          <w:sz w:val="24"/>
        </w:rPr>
      </w:pPr>
    </w:p>
    <w:p w:rsidR="005A761F" w:rsidRDefault="005A761F" w:rsidP="00AA2B14">
      <w:pPr>
        <w:rPr>
          <w:sz w:val="24"/>
        </w:rPr>
      </w:pPr>
      <w:r>
        <w:rPr>
          <w:sz w:val="24"/>
        </w:rPr>
        <w:t xml:space="preserve">Clinicians and clinical support staff at the three clinics will take part in </w:t>
      </w:r>
      <w:r w:rsidR="0065296C">
        <w:rPr>
          <w:sz w:val="24"/>
        </w:rPr>
        <w:t xml:space="preserve">separate </w:t>
      </w:r>
      <w:r>
        <w:rPr>
          <w:sz w:val="24"/>
        </w:rPr>
        <w:t>focus group discussion</w:t>
      </w:r>
      <w:r w:rsidR="001961D1">
        <w:rPr>
          <w:sz w:val="24"/>
        </w:rPr>
        <w:t>s</w:t>
      </w:r>
      <w:r>
        <w:rPr>
          <w:sz w:val="24"/>
        </w:rPr>
        <w:t xml:space="preserve"> to determine their perception</w:t>
      </w:r>
      <w:r w:rsidR="001D17F9">
        <w:rPr>
          <w:sz w:val="24"/>
        </w:rPr>
        <w:t>s</w:t>
      </w:r>
      <w:r>
        <w:rPr>
          <w:sz w:val="24"/>
        </w:rPr>
        <w:t xml:space="preserve"> of the impact</w:t>
      </w:r>
      <w:r w:rsidR="001D17F9">
        <w:rPr>
          <w:sz w:val="24"/>
        </w:rPr>
        <w:t>s</w:t>
      </w:r>
      <w:r>
        <w:rPr>
          <w:sz w:val="24"/>
        </w:rPr>
        <w:t xml:space="preserve"> of the EHC materials in clinical care and workflow. Participation in regularly scheduled clinic meetings will determine </w:t>
      </w:r>
      <w:r w:rsidR="001961D1">
        <w:rPr>
          <w:sz w:val="24"/>
        </w:rPr>
        <w:t xml:space="preserve">the </w:t>
      </w:r>
      <w:r>
        <w:rPr>
          <w:sz w:val="24"/>
        </w:rPr>
        <w:t>participation in the focus groups</w:t>
      </w:r>
      <w:r w:rsidR="00A74F07">
        <w:rPr>
          <w:sz w:val="24"/>
        </w:rPr>
        <w:t>. H</w:t>
      </w:r>
      <w:r w:rsidR="0065296C">
        <w:rPr>
          <w:sz w:val="24"/>
        </w:rPr>
        <w:t xml:space="preserve">olding separate focus groups with clinicians and clinical support staff will ensure that </w:t>
      </w:r>
      <w:r w:rsidR="00854F48">
        <w:rPr>
          <w:sz w:val="24"/>
        </w:rPr>
        <w:t xml:space="preserve">the discussions will be focused </w:t>
      </w:r>
      <w:r w:rsidR="005F6BBC">
        <w:rPr>
          <w:sz w:val="24"/>
        </w:rPr>
        <w:t>around the</w:t>
      </w:r>
      <w:r w:rsidR="000F26FD">
        <w:rPr>
          <w:sz w:val="24"/>
        </w:rPr>
        <w:t>ir</w:t>
      </w:r>
      <w:r w:rsidR="005F6BBC">
        <w:rPr>
          <w:sz w:val="24"/>
        </w:rPr>
        <w:t xml:space="preserve"> </w:t>
      </w:r>
      <w:r w:rsidR="000F26FD">
        <w:rPr>
          <w:sz w:val="24"/>
        </w:rPr>
        <w:t>role-specific perception and experiences.</w:t>
      </w:r>
    </w:p>
    <w:p w:rsidR="00585F9C" w:rsidRDefault="00585F9C" w:rsidP="00AA2B14">
      <w:pPr>
        <w:rPr>
          <w:sz w:val="24"/>
        </w:rPr>
      </w:pPr>
    </w:p>
    <w:p w:rsidR="00431363" w:rsidRDefault="00585F9C" w:rsidP="00AA2B14">
      <w:pPr>
        <w:rPr>
          <w:sz w:val="24"/>
        </w:rPr>
      </w:pPr>
      <w:r>
        <w:rPr>
          <w:sz w:val="24"/>
        </w:rPr>
        <w:lastRenderedPageBreak/>
        <w:t>All patients who request to have any of the EHC materials mailed to them will be invited to take part in a short questionnaire aimed at determining their perception</w:t>
      </w:r>
      <w:r w:rsidR="001D17F9">
        <w:rPr>
          <w:sz w:val="24"/>
        </w:rPr>
        <w:t>s</w:t>
      </w:r>
      <w:r>
        <w:rPr>
          <w:sz w:val="24"/>
        </w:rPr>
        <w:t xml:space="preserve"> of the material</w:t>
      </w:r>
      <w:r w:rsidR="001D17F9">
        <w:rPr>
          <w:sz w:val="24"/>
        </w:rPr>
        <w:t>s</w:t>
      </w:r>
      <w:r>
        <w:rPr>
          <w:sz w:val="24"/>
        </w:rPr>
        <w:t xml:space="preserve"> received including usefulness, readability, and relevancy to their information needs. </w:t>
      </w:r>
      <w:r w:rsidR="008535D3">
        <w:rPr>
          <w:sz w:val="24"/>
        </w:rPr>
        <w:t xml:space="preserve">All </w:t>
      </w:r>
      <w:r w:rsidR="007A732C">
        <w:rPr>
          <w:sz w:val="24"/>
        </w:rPr>
        <w:t xml:space="preserve">persons accessing </w:t>
      </w:r>
      <w:r>
        <w:rPr>
          <w:sz w:val="24"/>
        </w:rPr>
        <w:t xml:space="preserve">the EHC materials </w:t>
      </w:r>
      <w:r w:rsidR="007A732C">
        <w:rPr>
          <w:sz w:val="24"/>
        </w:rPr>
        <w:t xml:space="preserve">via </w:t>
      </w:r>
      <w:r>
        <w:rPr>
          <w:sz w:val="24"/>
        </w:rPr>
        <w:t xml:space="preserve">the mobile </w:t>
      </w:r>
      <w:r w:rsidR="001A6389">
        <w:rPr>
          <w:sz w:val="24"/>
        </w:rPr>
        <w:t>W</w:t>
      </w:r>
      <w:r>
        <w:rPr>
          <w:sz w:val="24"/>
        </w:rPr>
        <w:t>eb</w:t>
      </w:r>
      <w:r w:rsidR="001A6389">
        <w:rPr>
          <w:sz w:val="24"/>
        </w:rPr>
        <w:t xml:space="preserve"> </w:t>
      </w:r>
      <w:r>
        <w:rPr>
          <w:sz w:val="24"/>
        </w:rPr>
        <w:t xml:space="preserve">site will be invited to participate in a brief online questionnaire to </w:t>
      </w:r>
      <w:r w:rsidR="007A732C">
        <w:rPr>
          <w:sz w:val="24"/>
        </w:rPr>
        <w:t xml:space="preserve">appraise </w:t>
      </w:r>
      <w:r>
        <w:rPr>
          <w:sz w:val="24"/>
        </w:rPr>
        <w:t>perception</w:t>
      </w:r>
      <w:r w:rsidR="007A732C">
        <w:rPr>
          <w:sz w:val="24"/>
        </w:rPr>
        <w:t>s</w:t>
      </w:r>
      <w:r>
        <w:rPr>
          <w:sz w:val="24"/>
        </w:rPr>
        <w:t xml:space="preserve"> of the </w:t>
      </w:r>
      <w:r w:rsidR="007A732C">
        <w:rPr>
          <w:sz w:val="24"/>
        </w:rPr>
        <w:t xml:space="preserve">accessibility and layout of the mobile Web site in addition to the materials accessed. </w:t>
      </w:r>
      <w:r w:rsidR="000725A5">
        <w:rPr>
          <w:sz w:val="24"/>
        </w:rPr>
        <w:t>G</w:t>
      </w:r>
      <w:r w:rsidR="00AF2257">
        <w:rPr>
          <w:sz w:val="24"/>
        </w:rPr>
        <w:t>iven</w:t>
      </w:r>
      <w:r w:rsidR="008535D3">
        <w:rPr>
          <w:sz w:val="24"/>
        </w:rPr>
        <w:t xml:space="preserve"> the </w:t>
      </w:r>
      <w:r w:rsidR="000725A5">
        <w:rPr>
          <w:sz w:val="24"/>
        </w:rPr>
        <w:t xml:space="preserve">relatively short duration of this feasibility </w:t>
      </w:r>
      <w:r w:rsidR="008535D3">
        <w:rPr>
          <w:sz w:val="24"/>
        </w:rPr>
        <w:t>study</w:t>
      </w:r>
      <w:r w:rsidR="000725A5">
        <w:rPr>
          <w:sz w:val="24"/>
        </w:rPr>
        <w:t xml:space="preserve"> and the brevity of the</w:t>
      </w:r>
      <w:r w:rsidR="00A25A2C">
        <w:rPr>
          <w:sz w:val="24"/>
        </w:rPr>
        <w:t xml:space="preserve"> </w:t>
      </w:r>
      <w:r w:rsidR="007A732C">
        <w:rPr>
          <w:sz w:val="24"/>
        </w:rPr>
        <w:t xml:space="preserve">estimated </w:t>
      </w:r>
      <w:r w:rsidR="000725A5">
        <w:rPr>
          <w:sz w:val="24"/>
        </w:rPr>
        <w:t>questionnaire</w:t>
      </w:r>
      <w:r w:rsidR="007A732C">
        <w:rPr>
          <w:sz w:val="24"/>
        </w:rPr>
        <w:t xml:space="preserve"> completion time</w:t>
      </w:r>
      <w:r w:rsidR="008535D3">
        <w:rPr>
          <w:sz w:val="24"/>
        </w:rPr>
        <w:t xml:space="preserve">, we </w:t>
      </w:r>
      <w:r w:rsidR="001D17F9">
        <w:rPr>
          <w:sz w:val="24"/>
        </w:rPr>
        <w:t xml:space="preserve">elected </w:t>
      </w:r>
      <w:r w:rsidR="008535D3">
        <w:rPr>
          <w:sz w:val="24"/>
        </w:rPr>
        <w:t xml:space="preserve">to maximize </w:t>
      </w:r>
      <w:r w:rsidR="000725A5">
        <w:rPr>
          <w:sz w:val="24"/>
        </w:rPr>
        <w:t xml:space="preserve">our data collection efforts </w:t>
      </w:r>
      <w:r w:rsidR="001D17F9">
        <w:rPr>
          <w:sz w:val="24"/>
        </w:rPr>
        <w:t xml:space="preserve">by </w:t>
      </w:r>
      <w:r w:rsidR="00460E1D">
        <w:rPr>
          <w:sz w:val="24"/>
        </w:rPr>
        <w:t>inviting each</w:t>
      </w:r>
      <w:r w:rsidR="000725A5">
        <w:rPr>
          <w:sz w:val="24"/>
        </w:rPr>
        <w:t xml:space="preserve"> person who self-selects in requesting materials </w:t>
      </w:r>
      <w:r w:rsidR="00072CBA">
        <w:rPr>
          <w:sz w:val="24"/>
        </w:rPr>
        <w:t xml:space="preserve">to complete a questionnaire until reaching </w:t>
      </w:r>
      <w:r w:rsidR="000725A5">
        <w:rPr>
          <w:sz w:val="24"/>
        </w:rPr>
        <w:t>the desired sample size</w:t>
      </w:r>
      <w:r w:rsidR="00072CBA">
        <w:rPr>
          <w:sz w:val="24"/>
        </w:rPr>
        <w:t>. The alternative of limiting</w:t>
      </w:r>
      <w:r w:rsidR="00460E1D">
        <w:rPr>
          <w:sz w:val="24"/>
        </w:rPr>
        <w:t xml:space="preserve"> the number of questionnaires distributed </w:t>
      </w:r>
      <w:r w:rsidR="00072CBA">
        <w:rPr>
          <w:sz w:val="24"/>
        </w:rPr>
        <w:t xml:space="preserve">according to </w:t>
      </w:r>
      <w:r w:rsidR="008B5E88">
        <w:rPr>
          <w:sz w:val="24"/>
        </w:rPr>
        <w:t xml:space="preserve">defined criteria </w:t>
      </w:r>
      <w:r w:rsidR="005D3B06">
        <w:rPr>
          <w:sz w:val="24"/>
        </w:rPr>
        <w:t xml:space="preserve">would be challenging given our lack of knowledge </w:t>
      </w:r>
      <w:r w:rsidR="00072CBA">
        <w:rPr>
          <w:sz w:val="24"/>
        </w:rPr>
        <w:t xml:space="preserve">of </w:t>
      </w:r>
      <w:r w:rsidR="008B5E88">
        <w:rPr>
          <w:sz w:val="24"/>
        </w:rPr>
        <w:t xml:space="preserve"> the characteristics of </w:t>
      </w:r>
      <w:r w:rsidR="005D3B06">
        <w:rPr>
          <w:sz w:val="24"/>
        </w:rPr>
        <w:t xml:space="preserve">those </w:t>
      </w:r>
      <w:r w:rsidR="008B5E88">
        <w:rPr>
          <w:sz w:val="24"/>
        </w:rPr>
        <w:t xml:space="preserve">persons who may be </w:t>
      </w:r>
      <w:r w:rsidR="005D3B06">
        <w:rPr>
          <w:sz w:val="24"/>
        </w:rPr>
        <w:t>interested in requesting materials</w:t>
      </w:r>
      <w:r w:rsidR="00072CBA">
        <w:rPr>
          <w:sz w:val="24"/>
        </w:rPr>
        <w:t xml:space="preserve"> and, in fact, might unnecessarily restrict the amount of data collected if minimal response rates are observed</w:t>
      </w:r>
      <w:r w:rsidR="00460E1D">
        <w:rPr>
          <w:sz w:val="24"/>
        </w:rPr>
        <w:t xml:space="preserve">. </w:t>
      </w:r>
    </w:p>
    <w:p w:rsidR="00A25A2C" w:rsidRDefault="00A25A2C" w:rsidP="00AA2B14">
      <w:pPr>
        <w:rPr>
          <w:sz w:val="24"/>
        </w:rPr>
      </w:pPr>
    </w:p>
    <w:p w:rsidR="00A25A2C" w:rsidRDefault="00A25A2C" w:rsidP="00AA2B14">
      <w:pPr>
        <w:rPr>
          <w:sz w:val="24"/>
        </w:rPr>
      </w:pPr>
    </w:p>
    <w:p w:rsidR="00AA2B14" w:rsidRPr="002C4865" w:rsidRDefault="00AA2B14" w:rsidP="00AA2B14">
      <w:pPr>
        <w:rPr>
          <w:b/>
          <w:i/>
          <w:sz w:val="24"/>
        </w:rPr>
      </w:pPr>
      <w:r w:rsidRPr="002C4865">
        <w:rPr>
          <w:b/>
          <w:i/>
          <w:sz w:val="24"/>
        </w:rPr>
        <w:t>2.  Information Collection Procedures</w:t>
      </w:r>
    </w:p>
    <w:p w:rsidR="00AA2B14" w:rsidRPr="002C4865" w:rsidRDefault="00AA2B14" w:rsidP="00AA2B14">
      <w:pPr>
        <w:rPr>
          <w:sz w:val="24"/>
        </w:rPr>
      </w:pPr>
    </w:p>
    <w:p w:rsidR="00AA2B14" w:rsidRPr="002C4865" w:rsidRDefault="00AA2B14" w:rsidP="00AA2B14">
      <w:pPr>
        <w:rPr>
          <w:sz w:val="24"/>
        </w:rPr>
      </w:pPr>
      <w:r w:rsidRPr="002C4865">
        <w:rPr>
          <w:sz w:val="24"/>
        </w:rPr>
        <w:t>All information collections will be conducted in a manner that is consistent with the following guidelines:</w:t>
      </w:r>
    </w:p>
    <w:p w:rsidR="00AA2B14" w:rsidRPr="002C4865" w:rsidRDefault="00AA2B14" w:rsidP="00AA2B14">
      <w:pPr>
        <w:rPr>
          <w:sz w:val="24"/>
        </w:rPr>
      </w:pPr>
    </w:p>
    <w:p w:rsidR="00AA2B14" w:rsidRPr="002C4865" w:rsidRDefault="00AA2B14" w:rsidP="00AA2B14">
      <w:pPr>
        <w:pStyle w:val="1AutoList2"/>
        <w:numPr>
          <w:ilvl w:val="0"/>
          <w:numId w:val="2"/>
        </w:numPr>
        <w:rPr>
          <w:rFonts w:ascii="Times New Roman" w:hAnsi="Times New Roman"/>
        </w:rPr>
      </w:pPr>
      <w:r w:rsidRPr="002C4865">
        <w:rPr>
          <w:rFonts w:ascii="Times New Roman" w:hAnsi="Times New Roman"/>
        </w:rPr>
        <w:t>Participation will be completely voluntary, and non-participation will have no effect on eligibility for or receipt of future AHRQ-sponsored health services research</w:t>
      </w:r>
      <w:r w:rsidR="00812F6E">
        <w:rPr>
          <w:rFonts w:ascii="Times New Roman" w:hAnsi="Times New Roman"/>
        </w:rPr>
        <w:t xml:space="preserve"> or products</w:t>
      </w:r>
      <w:r w:rsidRPr="002C4865">
        <w:rPr>
          <w:rFonts w:ascii="Times New Roman" w:hAnsi="Times New Roman"/>
        </w:rPr>
        <w:t>.</w:t>
      </w:r>
    </w:p>
    <w:p w:rsidR="00AA2B14" w:rsidRPr="002C4865" w:rsidRDefault="00AA2B14" w:rsidP="00AA2B14">
      <w:pPr>
        <w:rPr>
          <w:sz w:val="24"/>
        </w:rPr>
      </w:pPr>
    </w:p>
    <w:p w:rsidR="00AA2B14" w:rsidRPr="002C4865" w:rsidRDefault="00A74F07" w:rsidP="00AA2B14">
      <w:pPr>
        <w:pStyle w:val="1AutoList2"/>
        <w:numPr>
          <w:ilvl w:val="0"/>
          <w:numId w:val="1"/>
        </w:numPr>
        <w:rPr>
          <w:rFonts w:ascii="Times New Roman" w:hAnsi="Times New Roman"/>
        </w:rPr>
      </w:pPr>
      <w:r>
        <w:rPr>
          <w:rFonts w:ascii="Times New Roman" w:hAnsi="Times New Roman"/>
        </w:rPr>
        <w:t>Approximate</w:t>
      </w:r>
      <w:r w:rsidR="00AA2B14" w:rsidRPr="002C4865">
        <w:rPr>
          <w:rFonts w:ascii="Times New Roman" w:hAnsi="Times New Roman"/>
        </w:rPr>
        <w:t xml:space="preserve"> sample sizes </w:t>
      </w:r>
      <w:r>
        <w:rPr>
          <w:rFonts w:ascii="Times New Roman" w:hAnsi="Times New Roman"/>
        </w:rPr>
        <w:t>are</w:t>
      </w:r>
      <w:r w:rsidR="007B591A">
        <w:rPr>
          <w:rFonts w:ascii="Times New Roman" w:hAnsi="Times New Roman"/>
        </w:rPr>
        <w:t xml:space="preserve"> </w:t>
      </w:r>
      <w:r>
        <w:rPr>
          <w:rFonts w:ascii="Times New Roman" w:hAnsi="Times New Roman"/>
        </w:rPr>
        <w:t>estimated</w:t>
      </w:r>
      <w:r w:rsidR="00AA2B14" w:rsidRPr="002C4865">
        <w:rPr>
          <w:rFonts w:ascii="Times New Roman" w:hAnsi="Times New Roman"/>
        </w:rPr>
        <w:t xml:space="preserve"> for each activity to ensure that burden is minimized while </w:t>
      </w:r>
      <w:r>
        <w:rPr>
          <w:rFonts w:ascii="Times New Roman" w:hAnsi="Times New Roman"/>
        </w:rPr>
        <w:t>valid and reliable data are collected,</w:t>
      </w:r>
      <w:r w:rsidR="004F6C60" w:rsidRPr="004F6C60">
        <w:rPr>
          <w:rFonts w:ascii="Times New Roman" w:hAnsi="Times New Roman"/>
        </w:rPr>
        <w:t xml:space="preserve"> </w:t>
      </w:r>
      <w:r w:rsidR="004F6C60">
        <w:rPr>
          <w:rFonts w:ascii="Times New Roman" w:hAnsi="Times New Roman"/>
        </w:rPr>
        <w:t>to the extent possible in a feasibility study in which generalizations are not being made to larger populations.</w:t>
      </w:r>
    </w:p>
    <w:p w:rsidR="00AA2B14" w:rsidRPr="002C4865" w:rsidRDefault="00AA2B14" w:rsidP="00AA2B14">
      <w:pPr>
        <w:rPr>
          <w:sz w:val="24"/>
        </w:rPr>
      </w:pPr>
    </w:p>
    <w:p w:rsidR="00812F6E" w:rsidRPr="00812F6E" w:rsidRDefault="00AA2B14" w:rsidP="00812F6E">
      <w:pPr>
        <w:pStyle w:val="1AutoList2"/>
        <w:numPr>
          <w:ilvl w:val="0"/>
          <w:numId w:val="1"/>
        </w:numPr>
        <w:rPr>
          <w:rFonts w:ascii="Times New Roman" w:hAnsi="Times New Roman"/>
        </w:rPr>
      </w:pPr>
      <w:r w:rsidRPr="002C4865">
        <w:rPr>
          <w:rFonts w:ascii="Times New Roman" w:hAnsi="Times New Roman"/>
        </w:rPr>
        <w:t>Information collection</w:t>
      </w:r>
      <w:r w:rsidR="00812F6E">
        <w:rPr>
          <w:rFonts w:ascii="Times New Roman" w:hAnsi="Times New Roman"/>
        </w:rPr>
        <w:t>s</w:t>
      </w:r>
      <w:r w:rsidRPr="002C4865">
        <w:rPr>
          <w:rFonts w:ascii="Times New Roman" w:hAnsi="Times New Roman"/>
        </w:rPr>
        <w:t xml:space="preserve"> </w:t>
      </w:r>
      <w:r w:rsidR="00A74F07">
        <w:rPr>
          <w:rFonts w:ascii="Times New Roman" w:hAnsi="Times New Roman"/>
        </w:rPr>
        <w:t>are</w:t>
      </w:r>
      <w:r w:rsidRPr="002C4865">
        <w:rPr>
          <w:rFonts w:ascii="Times New Roman" w:hAnsi="Times New Roman"/>
        </w:rPr>
        <w:t xml:space="preserve"> limited to </w:t>
      </w:r>
      <w:r w:rsidR="00812F6E">
        <w:rPr>
          <w:rFonts w:ascii="Times New Roman" w:hAnsi="Times New Roman"/>
        </w:rPr>
        <w:t xml:space="preserve">those </w:t>
      </w:r>
      <w:r w:rsidR="007B591A">
        <w:rPr>
          <w:rFonts w:ascii="Times New Roman" w:hAnsi="Times New Roman"/>
        </w:rPr>
        <w:t xml:space="preserve">assessments </w:t>
      </w:r>
      <w:r w:rsidR="00A74F07">
        <w:rPr>
          <w:rFonts w:ascii="Times New Roman" w:hAnsi="Times New Roman"/>
        </w:rPr>
        <w:t xml:space="preserve">necessary </w:t>
      </w:r>
      <w:r w:rsidR="007B591A">
        <w:rPr>
          <w:rFonts w:ascii="Times New Roman" w:hAnsi="Times New Roman"/>
        </w:rPr>
        <w:t>to evaluate</w:t>
      </w:r>
      <w:r w:rsidRPr="002C4865">
        <w:rPr>
          <w:rFonts w:ascii="Times New Roman" w:hAnsi="Times New Roman"/>
        </w:rPr>
        <w:t xml:space="preserve"> </w:t>
      </w:r>
      <w:r w:rsidR="00812F6E">
        <w:rPr>
          <w:rFonts w:ascii="Times New Roman" w:hAnsi="Times New Roman"/>
        </w:rPr>
        <w:t>the following:</w:t>
      </w:r>
    </w:p>
    <w:p w:rsidR="004F6C60" w:rsidRPr="004F6C60" w:rsidRDefault="004F6C60" w:rsidP="004F6C60">
      <w:pPr>
        <w:pStyle w:val="1AutoList2"/>
        <w:tabs>
          <w:tab w:val="left" w:pos="1080"/>
        </w:tabs>
        <w:ind w:left="1080" w:hanging="360"/>
      </w:pPr>
    </w:p>
    <w:p w:rsidR="004F6C60" w:rsidRPr="001961D1" w:rsidRDefault="00950C21" w:rsidP="004F6C60">
      <w:pPr>
        <w:pStyle w:val="1AutoList2"/>
        <w:numPr>
          <w:ilvl w:val="0"/>
          <w:numId w:val="4"/>
        </w:numPr>
        <w:tabs>
          <w:tab w:val="left" w:pos="1080"/>
        </w:tabs>
        <w:rPr>
          <w:rFonts w:ascii="Times New Roman" w:hAnsi="Times New Roman"/>
        </w:rPr>
      </w:pPr>
      <w:r>
        <w:rPr>
          <w:rFonts w:ascii="Times New Roman" w:hAnsi="Times New Roman"/>
        </w:rPr>
        <w:t>Summarize</w:t>
      </w:r>
      <w:r w:rsidR="004F6C60" w:rsidRPr="001961D1">
        <w:rPr>
          <w:rFonts w:ascii="Times New Roman" w:hAnsi="Times New Roman"/>
        </w:rPr>
        <w:t xml:space="preserve"> the extent to which persons in targeted patient populations responded to marketing;</w:t>
      </w:r>
    </w:p>
    <w:p w:rsidR="004F6C60" w:rsidRPr="001961D1" w:rsidRDefault="004F6C60" w:rsidP="004F6C60">
      <w:pPr>
        <w:pStyle w:val="1AutoList2"/>
        <w:tabs>
          <w:tab w:val="left" w:pos="1080"/>
        </w:tabs>
        <w:ind w:left="1080" w:hanging="360"/>
        <w:rPr>
          <w:rFonts w:ascii="Times New Roman" w:hAnsi="Times New Roman"/>
        </w:rPr>
      </w:pPr>
    </w:p>
    <w:p w:rsidR="004F6C60" w:rsidRPr="001961D1" w:rsidRDefault="004F6C60" w:rsidP="004F6C60">
      <w:pPr>
        <w:pStyle w:val="1AutoList2"/>
        <w:numPr>
          <w:ilvl w:val="0"/>
          <w:numId w:val="4"/>
        </w:numPr>
        <w:tabs>
          <w:tab w:val="left" w:pos="1080"/>
        </w:tabs>
        <w:rPr>
          <w:rFonts w:ascii="Times New Roman" w:hAnsi="Times New Roman"/>
        </w:rPr>
      </w:pPr>
      <w:r w:rsidRPr="001961D1">
        <w:rPr>
          <w:rFonts w:ascii="Times New Roman" w:hAnsi="Times New Roman"/>
        </w:rPr>
        <w:t xml:space="preserve">Assess patient satisfaction with: a) the </w:t>
      </w:r>
      <w:r w:rsidR="00950C21">
        <w:rPr>
          <w:rFonts w:ascii="Times New Roman" w:hAnsi="Times New Roman"/>
        </w:rPr>
        <w:t xml:space="preserve">means by which patients were alerted as </w:t>
      </w:r>
      <w:r w:rsidRPr="001961D1">
        <w:rPr>
          <w:rFonts w:ascii="Times New Roman" w:hAnsi="Times New Roman"/>
        </w:rPr>
        <w:t xml:space="preserve">to the availability of EHC Program  materials; b) </w:t>
      </w:r>
      <w:r w:rsidR="00950C21" w:rsidRPr="001961D1">
        <w:rPr>
          <w:rFonts w:ascii="Times New Roman" w:hAnsi="Times New Roman"/>
        </w:rPr>
        <w:t>the methods</w:t>
      </w:r>
      <w:r w:rsidR="00950C21">
        <w:rPr>
          <w:rFonts w:ascii="Times New Roman" w:hAnsi="Times New Roman"/>
        </w:rPr>
        <w:t xml:space="preserve"> patients</w:t>
      </w:r>
      <w:r w:rsidR="00950C21" w:rsidRPr="001961D1">
        <w:rPr>
          <w:rFonts w:ascii="Times New Roman" w:hAnsi="Times New Roman"/>
        </w:rPr>
        <w:t xml:space="preserve"> used to request and access the EHC materials</w:t>
      </w:r>
      <w:r w:rsidR="00950C21">
        <w:rPr>
          <w:rFonts w:ascii="Times New Roman" w:hAnsi="Times New Roman"/>
        </w:rPr>
        <w:t xml:space="preserve">; and c) </w:t>
      </w:r>
      <w:r w:rsidRPr="001961D1">
        <w:rPr>
          <w:rFonts w:ascii="Times New Roman" w:hAnsi="Times New Roman"/>
        </w:rPr>
        <w:t>the value and relevancy of the information that they</w:t>
      </w:r>
      <w:r w:rsidR="00950C21">
        <w:rPr>
          <w:rFonts w:ascii="Times New Roman" w:hAnsi="Times New Roman"/>
        </w:rPr>
        <w:t xml:space="preserve"> obtained</w:t>
      </w:r>
      <w:r w:rsidRPr="001961D1">
        <w:rPr>
          <w:rFonts w:ascii="Times New Roman" w:hAnsi="Times New Roman"/>
        </w:rPr>
        <w:t>;</w:t>
      </w:r>
    </w:p>
    <w:p w:rsidR="004F6C60" w:rsidRPr="001961D1" w:rsidRDefault="004F6C60" w:rsidP="004F6C60">
      <w:pPr>
        <w:pStyle w:val="1AutoList2"/>
        <w:tabs>
          <w:tab w:val="left" w:pos="1080"/>
        </w:tabs>
        <w:ind w:left="1080" w:hanging="360"/>
        <w:rPr>
          <w:rFonts w:ascii="Times New Roman" w:hAnsi="Times New Roman"/>
        </w:rPr>
      </w:pPr>
    </w:p>
    <w:p w:rsidR="004F6C60" w:rsidRPr="001961D1" w:rsidRDefault="004F6C60" w:rsidP="004F6C60">
      <w:pPr>
        <w:pStyle w:val="1AutoList2"/>
        <w:numPr>
          <w:ilvl w:val="0"/>
          <w:numId w:val="4"/>
        </w:numPr>
        <w:tabs>
          <w:tab w:val="left" w:pos="1080"/>
        </w:tabs>
        <w:rPr>
          <w:rFonts w:ascii="Times New Roman" w:hAnsi="Times New Roman"/>
        </w:rPr>
      </w:pPr>
      <w:r w:rsidRPr="001961D1">
        <w:rPr>
          <w:rFonts w:ascii="Times New Roman" w:hAnsi="Times New Roman"/>
        </w:rPr>
        <w:t xml:space="preserve">Characterize perceptions of clinical care providers and clinical staff persons in terms of: a) the value of </w:t>
      </w:r>
      <w:r w:rsidR="00972254" w:rsidRPr="001961D1">
        <w:rPr>
          <w:rFonts w:ascii="Times New Roman" w:hAnsi="Times New Roman"/>
        </w:rPr>
        <w:t>efforts to promote</w:t>
      </w:r>
      <w:r w:rsidRPr="001961D1">
        <w:rPr>
          <w:rFonts w:ascii="Times New Roman" w:hAnsi="Times New Roman"/>
        </w:rPr>
        <w:t xml:space="preserve"> patient awareness of EHC Program materials using marketing techniques described in this feasibility project; and b) the </w:t>
      </w:r>
      <w:r w:rsidR="00950C21">
        <w:rPr>
          <w:rFonts w:ascii="Times New Roman" w:hAnsi="Times New Roman"/>
        </w:rPr>
        <w:t>e</w:t>
      </w:r>
      <w:r w:rsidRPr="001961D1">
        <w:rPr>
          <w:rFonts w:ascii="Times New Roman" w:hAnsi="Times New Roman"/>
        </w:rPr>
        <w:t xml:space="preserve">ffect of these efforts on workflow issues and related aspects of clinic operations.  </w:t>
      </w:r>
    </w:p>
    <w:p w:rsidR="00AA2B14" w:rsidRPr="002C4865" w:rsidRDefault="00812F6E" w:rsidP="00972254">
      <w:pPr>
        <w:pStyle w:val="1AutoList2"/>
        <w:tabs>
          <w:tab w:val="clear" w:pos="720"/>
          <w:tab w:val="left" w:pos="1080"/>
        </w:tabs>
        <w:ind w:left="1080" w:hanging="360"/>
        <w:rPr>
          <w:rFonts w:ascii="Times New Roman" w:hAnsi="Times New Roman"/>
        </w:rPr>
      </w:pPr>
      <w:r w:rsidRPr="00812F6E">
        <w:rPr>
          <w:rFonts w:ascii="Times New Roman" w:hAnsi="Times New Roman"/>
        </w:rPr>
        <w:tab/>
        <w:t xml:space="preserve"> </w:t>
      </w:r>
    </w:p>
    <w:p w:rsidR="00AA2B14" w:rsidRPr="00972254" w:rsidRDefault="00AA2B14" w:rsidP="00AA2B14">
      <w:pPr>
        <w:pStyle w:val="1AutoList2"/>
        <w:numPr>
          <w:ilvl w:val="0"/>
          <w:numId w:val="1"/>
        </w:numPr>
      </w:pPr>
      <w:r w:rsidRPr="002C4865">
        <w:rPr>
          <w:rFonts w:ascii="Times New Roman" w:hAnsi="Times New Roman"/>
        </w:rPr>
        <w:t xml:space="preserve">Given the voluntary nature of the information collections, efforts will be made to obtain the highest possible response rates.  </w:t>
      </w:r>
    </w:p>
    <w:p w:rsidR="00972254" w:rsidRPr="00972254" w:rsidRDefault="00972254" w:rsidP="00972254">
      <w:pPr>
        <w:pStyle w:val="1AutoList2"/>
        <w:ind w:left="360" w:firstLine="0"/>
      </w:pPr>
    </w:p>
    <w:p w:rsidR="00AA2B14" w:rsidRPr="002C4865" w:rsidRDefault="00AA2B14" w:rsidP="00AA2B14">
      <w:pPr>
        <w:rPr>
          <w:b/>
          <w:i/>
          <w:sz w:val="24"/>
        </w:rPr>
      </w:pPr>
      <w:r w:rsidRPr="002C4865">
        <w:rPr>
          <w:b/>
          <w:i/>
          <w:sz w:val="24"/>
        </w:rPr>
        <w:t>3.  Methods to Maximize Response Rate</w:t>
      </w:r>
      <w:r w:rsidR="00870C4B" w:rsidRPr="002C4865">
        <w:rPr>
          <w:b/>
          <w:i/>
          <w:sz w:val="24"/>
        </w:rPr>
        <w:t>s</w:t>
      </w:r>
    </w:p>
    <w:p w:rsidR="00AA2B14" w:rsidRPr="002C4865" w:rsidRDefault="00AA2B14" w:rsidP="00AA2B14">
      <w:pPr>
        <w:rPr>
          <w:sz w:val="24"/>
        </w:rPr>
      </w:pPr>
    </w:p>
    <w:p w:rsidR="00AA2B14" w:rsidRPr="002C4865" w:rsidRDefault="00AA2B14" w:rsidP="00AA2B14">
      <w:pPr>
        <w:rPr>
          <w:sz w:val="24"/>
        </w:rPr>
      </w:pPr>
      <w:r w:rsidRPr="002C4865">
        <w:rPr>
          <w:sz w:val="24"/>
        </w:rPr>
        <w:t xml:space="preserve">The design of each information collection will include approaches to maximize response rates, while retaining the voluntary nature </w:t>
      </w:r>
      <w:r w:rsidR="001961D1">
        <w:rPr>
          <w:sz w:val="24"/>
        </w:rPr>
        <w:t xml:space="preserve">of the effort, consistent with </w:t>
      </w:r>
      <w:r w:rsidR="003E2965">
        <w:rPr>
          <w:sz w:val="24"/>
        </w:rPr>
        <w:t>generally accepted survey methodology</w:t>
      </w:r>
      <w:r w:rsidR="007B591A">
        <w:rPr>
          <w:sz w:val="24"/>
        </w:rPr>
        <w:t xml:space="preserve">.  These will include approaches such as </w:t>
      </w:r>
      <w:r w:rsidR="003E2965">
        <w:rPr>
          <w:sz w:val="24"/>
        </w:rPr>
        <w:t>use of</w:t>
      </w:r>
      <w:r w:rsidR="00A74F07">
        <w:rPr>
          <w:sz w:val="24"/>
        </w:rPr>
        <w:t xml:space="preserve"> </w:t>
      </w:r>
      <w:r w:rsidR="00972254">
        <w:rPr>
          <w:sz w:val="24"/>
        </w:rPr>
        <w:t>postage-paid addressed envelop</w:t>
      </w:r>
      <w:r w:rsidR="00A74F07">
        <w:rPr>
          <w:sz w:val="24"/>
        </w:rPr>
        <w:t>e</w:t>
      </w:r>
      <w:r w:rsidR="00972254">
        <w:rPr>
          <w:sz w:val="24"/>
        </w:rPr>
        <w:t xml:space="preserve">s (in the case of paper questionnaires), </w:t>
      </w:r>
      <w:r w:rsidR="003E2965">
        <w:rPr>
          <w:sz w:val="24"/>
        </w:rPr>
        <w:t xml:space="preserve">sending one or more follow-up requests for participation/completion of assessment, </w:t>
      </w:r>
      <w:r w:rsidR="00972254">
        <w:rPr>
          <w:sz w:val="24"/>
        </w:rPr>
        <w:t xml:space="preserve">provision of remuneration </w:t>
      </w:r>
      <w:r w:rsidR="007B591A">
        <w:rPr>
          <w:sz w:val="24"/>
        </w:rPr>
        <w:t xml:space="preserve">to encourage participation, and </w:t>
      </w:r>
      <w:r w:rsidR="003E2965">
        <w:rPr>
          <w:sz w:val="24"/>
        </w:rPr>
        <w:t xml:space="preserve">maintenance of </w:t>
      </w:r>
      <w:r w:rsidR="007B591A">
        <w:rPr>
          <w:sz w:val="24"/>
        </w:rPr>
        <w:t xml:space="preserve">data confidentiality and, when possible, anonymity, to encourage open and honest responses. </w:t>
      </w:r>
    </w:p>
    <w:p w:rsidR="00AA2B14" w:rsidRDefault="00AA2B14" w:rsidP="00AA2B14">
      <w:pPr>
        <w:rPr>
          <w:sz w:val="24"/>
        </w:rPr>
      </w:pPr>
    </w:p>
    <w:p w:rsidR="00AA2B14" w:rsidRPr="002C4865" w:rsidRDefault="00AA2B14" w:rsidP="00AA2B14">
      <w:pPr>
        <w:rPr>
          <w:b/>
          <w:i/>
          <w:sz w:val="24"/>
        </w:rPr>
      </w:pPr>
      <w:r w:rsidRPr="002C4865">
        <w:rPr>
          <w:b/>
          <w:i/>
          <w:sz w:val="24"/>
        </w:rPr>
        <w:t>4.  Tests of Procedures</w:t>
      </w:r>
    </w:p>
    <w:p w:rsidR="00AA2B14" w:rsidRPr="002C4865" w:rsidRDefault="00AA2B14" w:rsidP="00AA2B14">
      <w:pPr>
        <w:rPr>
          <w:sz w:val="24"/>
        </w:rPr>
      </w:pPr>
    </w:p>
    <w:p w:rsidR="00F12FBF" w:rsidRDefault="00F12FBF" w:rsidP="00F12FBF">
      <w:pPr>
        <w:rPr>
          <w:sz w:val="24"/>
        </w:rPr>
      </w:pPr>
      <w:r>
        <w:rPr>
          <w:sz w:val="24"/>
        </w:rPr>
        <w:t xml:space="preserve">The proposed data collection mechanisms have been informed by similar assessment instruments previously developed, tested and administered to clinical and non-clinical participants in health education research studies designed by Baylor College of Medicine and in other AHRQ contracts in their role as the Eisenberg Center. When feasible, instruments have been pretested with representatives of target audiences followed by refinement and finalization. </w:t>
      </w:r>
    </w:p>
    <w:p w:rsidR="00A74F07" w:rsidRDefault="00A74F07" w:rsidP="00F12FBF">
      <w:pPr>
        <w:rPr>
          <w:sz w:val="24"/>
        </w:rPr>
      </w:pPr>
    </w:p>
    <w:p w:rsidR="0004112D" w:rsidRPr="002C4865" w:rsidRDefault="0004112D" w:rsidP="0004112D">
      <w:pPr>
        <w:rPr>
          <w:sz w:val="24"/>
        </w:rPr>
      </w:pPr>
    </w:p>
    <w:p w:rsidR="00870C4B" w:rsidRPr="002C4865" w:rsidRDefault="00870C4B" w:rsidP="00870C4B">
      <w:pPr>
        <w:pStyle w:val="Heading2"/>
        <w:rPr>
          <w:rFonts w:ascii="Times New Roman" w:hAnsi="Times New Roman" w:cs="Times New Roman"/>
          <w:sz w:val="24"/>
        </w:rPr>
      </w:pPr>
      <w:r w:rsidRPr="002C4865">
        <w:rPr>
          <w:rFonts w:ascii="Times New Roman" w:hAnsi="Times New Roman" w:cs="Times New Roman"/>
          <w:sz w:val="24"/>
        </w:rPr>
        <w:t>5. Statistical Consultants</w:t>
      </w:r>
    </w:p>
    <w:p w:rsidR="00AA2B14" w:rsidRPr="002C4865" w:rsidRDefault="00AA2B14" w:rsidP="00AA2B14">
      <w:pPr>
        <w:rPr>
          <w:sz w:val="24"/>
        </w:rPr>
      </w:pPr>
    </w:p>
    <w:p w:rsidR="00D63EDB" w:rsidRDefault="00D63EDB" w:rsidP="00D63EDB">
      <w:pPr>
        <w:rPr>
          <w:sz w:val="24"/>
        </w:rPr>
      </w:pPr>
      <w:r>
        <w:rPr>
          <w:sz w:val="24"/>
        </w:rPr>
        <w:t xml:space="preserve">Neither probability sampling nor complex statistical analytics will be employed in this study; therefore, no external </w:t>
      </w:r>
      <w:r w:rsidRPr="00812F6E">
        <w:rPr>
          <w:sz w:val="24"/>
        </w:rPr>
        <w:t xml:space="preserve">entities </w:t>
      </w:r>
      <w:r>
        <w:rPr>
          <w:sz w:val="24"/>
        </w:rPr>
        <w:t xml:space="preserve">will be </w:t>
      </w:r>
      <w:r w:rsidRPr="00812F6E">
        <w:rPr>
          <w:sz w:val="24"/>
        </w:rPr>
        <w:t>engaged for consultation</w:t>
      </w:r>
      <w:r>
        <w:rPr>
          <w:sz w:val="24"/>
        </w:rPr>
        <w:t xml:space="preserve"> in such matters</w:t>
      </w:r>
      <w:r w:rsidRPr="00812F6E">
        <w:rPr>
          <w:sz w:val="24"/>
        </w:rPr>
        <w:t xml:space="preserve">.   </w:t>
      </w:r>
    </w:p>
    <w:p w:rsidR="00AA2B14" w:rsidRDefault="00AA2B14" w:rsidP="00D63EDB">
      <w:pPr>
        <w:rPr>
          <w:sz w:val="24"/>
        </w:rPr>
      </w:pPr>
    </w:p>
    <w:sectPr w:rsidR="00AA2B14" w:rsidSect="0088129C">
      <w:headerReference w:type="default" r:id="rId8"/>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648" w:rsidRDefault="00B20648">
      <w:r>
        <w:separator/>
      </w:r>
    </w:p>
  </w:endnote>
  <w:endnote w:type="continuationSeparator" w:id="0">
    <w:p w:rsidR="00B20648" w:rsidRDefault="00B2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3FF" w:rsidRDefault="005A6A6C" w:rsidP="0088129C">
    <w:pPr>
      <w:pStyle w:val="Footer"/>
      <w:framePr w:wrap="around" w:vAnchor="text" w:hAnchor="margin" w:xAlign="center" w:y="1"/>
      <w:rPr>
        <w:rStyle w:val="PageNumber"/>
      </w:rPr>
    </w:pPr>
    <w:r>
      <w:rPr>
        <w:rStyle w:val="PageNumber"/>
      </w:rPr>
      <w:fldChar w:fldCharType="begin"/>
    </w:r>
    <w:r w:rsidR="005003FF">
      <w:rPr>
        <w:rStyle w:val="PageNumber"/>
      </w:rPr>
      <w:instrText xml:space="preserve">PAGE  </w:instrText>
    </w:r>
    <w:r>
      <w:rPr>
        <w:rStyle w:val="PageNumber"/>
      </w:rPr>
      <w:fldChar w:fldCharType="end"/>
    </w:r>
  </w:p>
  <w:p w:rsidR="005003FF" w:rsidRDefault="005003FF" w:rsidP="008812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3FF" w:rsidRDefault="005A6A6C" w:rsidP="0088129C">
    <w:pPr>
      <w:pStyle w:val="Footer"/>
      <w:framePr w:wrap="around" w:vAnchor="text" w:hAnchor="margin" w:xAlign="center" w:y="1"/>
      <w:rPr>
        <w:rStyle w:val="PageNumber"/>
      </w:rPr>
    </w:pPr>
    <w:r>
      <w:rPr>
        <w:rStyle w:val="PageNumber"/>
      </w:rPr>
      <w:fldChar w:fldCharType="begin"/>
    </w:r>
    <w:r w:rsidR="005003FF">
      <w:rPr>
        <w:rStyle w:val="PageNumber"/>
      </w:rPr>
      <w:instrText xml:space="preserve">PAGE  </w:instrText>
    </w:r>
    <w:r>
      <w:rPr>
        <w:rStyle w:val="PageNumber"/>
      </w:rPr>
      <w:fldChar w:fldCharType="separate"/>
    </w:r>
    <w:r w:rsidR="00855EA6">
      <w:rPr>
        <w:rStyle w:val="PageNumber"/>
        <w:noProof/>
      </w:rPr>
      <w:t>3</w:t>
    </w:r>
    <w:r>
      <w:rPr>
        <w:rStyle w:val="PageNumber"/>
      </w:rPr>
      <w:fldChar w:fldCharType="end"/>
    </w:r>
  </w:p>
  <w:p w:rsidR="005003FF" w:rsidRDefault="005003FF" w:rsidP="008812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648" w:rsidRDefault="00B20648">
      <w:r>
        <w:separator/>
      </w:r>
    </w:p>
  </w:footnote>
  <w:footnote w:type="continuationSeparator" w:id="0">
    <w:p w:rsidR="00B20648" w:rsidRDefault="00B20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EA5" w:rsidRDefault="00E51E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7D33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C8C5F4B"/>
    <w:multiLevelType w:val="hybridMultilevel"/>
    <w:tmpl w:val="AC443D1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AEF427D"/>
    <w:multiLevelType w:val="hybridMultilevel"/>
    <w:tmpl w:val="FD34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2B14"/>
    <w:rsid w:val="00000028"/>
    <w:rsid w:val="0000041B"/>
    <w:rsid w:val="00000E3F"/>
    <w:rsid w:val="000028E6"/>
    <w:rsid w:val="00003726"/>
    <w:rsid w:val="00007C23"/>
    <w:rsid w:val="0001263A"/>
    <w:rsid w:val="0001418A"/>
    <w:rsid w:val="000144E8"/>
    <w:rsid w:val="00016987"/>
    <w:rsid w:val="00017DD2"/>
    <w:rsid w:val="000204D2"/>
    <w:rsid w:val="00022B2F"/>
    <w:rsid w:val="00023905"/>
    <w:rsid w:val="0002688B"/>
    <w:rsid w:val="00026998"/>
    <w:rsid w:val="00027931"/>
    <w:rsid w:val="00030838"/>
    <w:rsid w:val="000314B9"/>
    <w:rsid w:val="00035968"/>
    <w:rsid w:val="000375C3"/>
    <w:rsid w:val="00040D98"/>
    <w:rsid w:val="00041097"/>
    <w:rsid w:val="0004112D"/>
    <w:rsid w:val="0004144A"/>
    <w:rsid w:val="0004152A"/>
    <w:rsid w:val="00041557"/>
    <w:rsid w:val="00042F92"/>
    <w:rsid w:val="00043B9E"/>
    <w:rsid w:val="00050169"/>
    <w:rsid w:val="00050229"/>
    <w:rsid w:val="00051AB2"/>
    <w:rsid w:val="00053B30"/>
    <w:rsid w:val="00054220"/>
    <w:rsid w:val="000543B1"/>
    <w:rsid w:val="00057859"/>
    <w:rsid w:val="00061808"/>
    <w:rsid w:val="00062815"/>
    <w:rsid w:val="000635A0"/>
    <w:rsid w:val="00064046"/>
    <w:rsid w:val="000661FA"/>
    <w:rsid w:val="00066E33"/>
    <w:rsid w:val="00071753"/>
    <w:rsid w:val="000725A5"/>
    <w:rsid w:val="00072A05"/>
    <w:rsid w:val="00072CBA"/>
    <w:rsid w:val="000733EB"/>
    <w:rsid w:val="00077E68"/>
    <w:rsid w:val="000801FF"/>
    <w:rsid w:val="00080A92"/>
    <w:rsid w:val="000828A9"/>
    <w:rsid w:val="0008338A"/>
    <w:rsid w:val="000846B0"/>
    <w:rsid w:val="00084D1F"/>
    <w:rsid w:val="00084D99"/>
    <w:rsid w:val="00092EF7"/>
    <w:rsid w:val="00097CD8"/>
    <w:rsid w:val="000A034C"/>
    <w:rsid w:val="000A31D5"/>
    <w:rsid w:val="000A3642"/>
    <w:rsid w:val="000A5162"/>
    <w:rsid w:val="000B119D"/>
    <w:rsid w:val="000B1554"/>
    <w:rsid w:val="000B246F"/>
    <w:rsid w:val="000B2925"/>
    <w:rsid w:val="000B4F56"/>
    <w:rsid w:val="000B5DDA"/>
    <w:rsid w:val="000B7057"/>
    <w:rsid w:val="000C052D"/>
    <w:rsid w:val="000C12A6"/>
    <w:rsid w:val="000C2519"/>
    <w:rsid w:val="000C26A4"/>
    <w:rsid w:val="000C273C"/>
    <w:rsid w:val="000C29D8"/>
    <w:rsid w:val="000C64B2"/>
    <w:rsid w:val="000D09DE"/>
    <w:rsid w:val="000D1998"/>
    <w:rsid w:val="000D2FDA"/>
    <w:rsid w:val="000D68E0"/>
    <w:rsid w:val="000E0A8D"/>
    <w:rsid w:val="000E2764"/>
    <w:rsid w:val="000E4F0E"/>
    <w:rsid w:val="000E548C"/>
    <w:rsid w:val="000E5B21"/>
    <w:rsid w:val="000E60E3"/>
    <w:rsid w:val="000F1C4B"/>
    <w:rsid w:val="000F2472"/>
    <w:rsid w:val="000F26FD"/>
    <w:rsid w:val="000F2837"/>
    <w:rsid w:val="000F7582"/>
    <w:rsid w:val="001053D3"/>
    <w:rsid w:val="00107EF6"/>
    <w:rsid w:val="001133C3"/>
    <w:rsid w:val="00115105"/>
    <w:rsid w:val="00121800"/>
    <w:rsid w:val="00124FF5"/>
    <w:rsid w:val="001256BC"/>
    <w:rsid w:val="00125F14"/>
    <w:rsid w:val="00127380"/>
    <w:rsid w:val="001277A0"/>
    <w:rsid w:val="00130D0F"/>
    <w:rsid w:val="00130DC8"/>
    <w:rsid w:val="0013308B"/>
    <w:rsid w:val="001332FD"/>
    <w:rsid w:val="00133642"/>
    <w:rsid w:val="0013418E"/>
    <w:rsid w:val="001363D5"/>
    <w:rsid w:val="00137A01"/>
    <w:rsid w:val="001414E5"/>
    <w:rsid w:val="00144014"/>
    <w:rsid w:val="00145C28"/>
    <w:rsid w:val="00147F10"/>
    <w:rsid w:val="00150C01"/>
    <w:rsid w:val="00150DA9"/>
    <w:rsid w:val="00155741"/>
    <w:rsid w:val="00156619"/>
    <w:rsid w:val="00160B30"/>
    <w:rsid w:val="001623B4"/>
    <w:rsid w:val="0016288A"/>
    <w:rsid w:val="00164BCE"/>
    <w:rsid w:val="00165BFD"/>
    <w:rsid w:val="001661D7"/>
    <w:rsid w:val="00167D7A"/>
    <w:rsid w:val="00171154"/>
    <w:rsid w:val="00171346"/>
    <w:rsid w:val="001717AC"/>
    <w:rsid w:val="00172665"/>
    <w:rsid w:val="001729E1"/>
    <w:rsid w:val="00175504"/>
    <w:rsid w:val="001755C6"/>
    <w:rsid w:val="00175E6F"/>
    <w:rsid w:val="00184281"/>
    <w:rsid w:val="00185F2E"/>
    <w:rsid w:val="00187102"/>
    <w:rsid w:val="001874EF"/>
    <w:rsid w:val="0019039C"/>
    <w:rsid w:val="001914B6"/>
    <w:rsid w:val="001922BD"/>
    <w:rsid w:val="00193730"/>
    <w:rsid w:val="00193D98"/>
    <w:rsid w:val="00194D84"/>
    <w:rsid w:val="001961A5"/>
    <w:rsid w:val="001961D1"/>
    <w:rsid w:val="001A0A59"/>
    <w:rsid w:val="001A3EDD"/>
    <w:rsid w:val="001A437E"/>
    <w:rsid w:val="001A5FF7"/>
    <w:rsid w:val="001A6389"/>
    <w:rsid w:val="001A7603"/>
    <w:rsid w:val="001B05CF"/>
    <w:rsid w:val="001B0BA9"/>
    <w:rsid w:val="001B2EA3"/>
    <w:rsid w:val="001B5D6F"/>
    <w:rsid w:val="001C2CC4"/>
    <w:rsid w:val="001C2FF6"/>
    <w:rsid w:val="001C3D9E"/>
    <w:rsid w:val="001C6297"/>
    <w:rsid w:val="001C78FD"/>
    <w:rsid w:val="001D0014"/>
    <w:rsid w:val="001D17F9"/>
    <w:rsid w:val="001E174A"/>
    <w:rsid w:val="001E1B45"/>
    <w:rsid w:val="001E28A8"/>
    <w:rsid w:val="001E31D0"/>
    <w:rsid w:val="001E60D3"/>
    <w:rsid w:val="001E67BD"/>
    <w:rsid w:val="001E785F"/>
    <w:rsid w:val="001E7C34"/>
    <w:rsid w:val="001F13A8"/>
    <w:rsid w:val="001F474D"/>
    <w:rsid w:val="001F551A"/>
    <w:rsid w:val="001F593A"/>
    <w:rsid w:val="001F5E2E"/>
    <w:rsid w:val="001F68C6"/>
    <w:rsid w:val="00200CBD"/>
    <w:rsid w:val="00201B38"/>
    <w:rsid w:val="00202661"/>
    <w:rsid w:val="00202ECC"/>
    <w:rsid w:val="00205FF8"/>
    <w:rsid w:val="00206473"/>
    <w:rsid w:val="0020740B"/>
    <w:rsid w:val="002113C7"/>
    <w:rsid w:val="00217A90"/>
    <w:rsid w:val="002209B6"/>
    <w:rsid w:val="00220C60"/>
    <w:rsid w:val="002212DF"/>
    <w:rsid w:val="00222258"/>
    <w:rsid w:val="00222927"/>
    <w:rsid w:val="00224620"/>
    <w:rsid w:val="00224D1B"/>
    <w:rsid w:val="002258D9"/>
    <w:rsid w:val="002304FE"/>
    <w:rsid w:val="0023414A"/>
    <w:rsid w:val="002343F0"/>
    <w:rsid w:val="00235748"/>
    <w:rsid w:val="0023595D"/>
    <w:rsid w:val="00240615"/>
    <w:rsid w:val="00240A5B"/>
    <w:rsid w:val="00241C7B"/>
    <w:rsid w:val="00241EC6"/>
    <w:rsid w:val="00243021"/>
    <w:rsid w:val="002451CA"/>
    <w:rsid w:val="00246DE2"/>
    <w:rsid w:val="00247855"/>
    <w:rsid w:val="00250F6D"/>
    <w:rsid w:val="00254351"/>
    <w:rsid w:val="00254FD9"/>
    <w:rsid w:val="00257117"/>
    <w:rsid w:val="00260A01"/>
    <w:rsid w:val="00262FCA"/>
    <w:rsid w:val="00265C70"/>
    <w:rsid w:val="00266D37"/>
    <w:rsid w:val="0027002B"/>
    <w:rsid w:val="002704FA"/>
    <w:rsid w:val="002714DD"/>
    <w:rsid w:val="00271870"/>
    <w:rsid w:val="00271A28"/>
    <w:rsid w:val="00274E60"/>
    <w:rsid w:val="00277CEA"/>
    <w:rsid w:val="00283914"/>
    <w:rsid w:val="002841F8"/>
    <w:rsid w:val="00284D75"/>
    <w:rsid w:val="002866A4"/>
    <w:rsid w:val="00286B39"/>
    <w:rsid w:val="00292513"/>
    <w:rsid w:val="00294278"/>
    <w:rsid w:val="00296CD2"/>
    <w:rsid w:val="002A5262"/>
    <w:rsid w:val="002A675A"/>
    <w:rsid w:val="002B0F78"/>
    <w:rsid w:val="002B334A"/>
    <w:rsid w:val="002B51BE"/>
    <w:rsid w:val="002B55BE"/>
    <w:rsid w:val="002B5ED4"/>
    <w:rsid w:val="002C22D8"/>
    <w:rsid w:val="002C2F57"/>
    <w:rsid w:val="002C2F60"/>
    <w:rsid w:val="002C32A5"/>
    <w:rsid w:val="002C3672"/>
    <w:rsid w:val="002C4865"/>
    <w:rsid w:val="002C4D15"/>
    <w:rsid w:val="002C72EA"/>
    <w:rsid w:val="002D02EC"/>
    <w:rsid w:val="002D17C5"/>
    <w:rsid w:val="002D26EB"/>
    <w:rsid w:val="002D61AA"/>
    <w:rsid w:val="002D7184"/>
    <w:rsid w:val="002E006F"/>
    <w:rsid w:val="002E2542"/>
    <w:rsid w:val="002E72E1"/>
    <w:rsid w:val="002E7B9A"/>
    <w:rsid w:val="002F2FDC"/>
    <w:rsid w:val="002F344F"/>
    <w:rsid w:val="003004BA"/>
    <w:rsid w:val="003014AD"/>
    <w:rsid w:val="00301526"/>
    <w:rsid w:val="00307CE1"/>
    <w:rsid w:val="003122DE"/>
    <w:rsid w:val="00314B99"/>
    <w:rsid w:val="0031502F"/>
    <w:rsid w:val="00317A2B"/>
    <w:rsid w:val="00317EB7"/>
    <w:rsid w:val="00325BC9"/>
    <w:rsid w:val="00326843"/>
    <w:rsid w:val="003309C6"/>
    <w:rsid w:val="00330F9A"/>
    <w:rsid w:val="003322B0"/>
    <w:rsid w:val="003338AE"/>
    <w:rsid w:val="003338D3"/>
    <w:rsid w:val="00335765"/>
    <w:rsid w:val="003363F1"/>
    <w:rsid w:val="00344D3E"/>
    <w:rsid w:val="003503E4"/>
    <w:rsid w:val="003504D6"/>
    <w:rsid w:val="003527CB"/>
    <w:rsid w:val="00353007"/>
    <w:rsid w:val="00353828"/>
    <w:rsid w:val="0035538C"/>
    <w:rsid w:val="00364071"/>
    <w:rsid w:val="00365067"/>
    <w:rsid w:val="00366D06"/>
    <w:rsid w:val="00367D62"/>
    <w:rsid w:val="00371024"/>
    <w:rsid w:val="0037168E"/>
    <w:rsid w:val="00373F14"/>
    <w:rsid w:val="00377135"/>
    <w:rsid w:val="0037732D"/>
    <w:rsid w:val="00377CE7"/>
    <w:rsid w:val="00381C57"/>
    <w:rsid w:val="00383034"/>
    <w:rsid w:val="00384745"/>
    <w:rsid w:val="00387D72"/>
    <w:rsid w:val="00390420"/>
    <w:rsid w:val="00393005"/>
    <w:rsid w:val="00395DD1"/>
    <w:rsid w:val="00395E9D"/>
    <w:rsid w:val="00396A8C"/>
    <w:rsid w:val="00396B62"/>
    <w:rsid w:val="00396F65"/>
    <w:rsid w:val="003972AD"/>
    <w:rsid w:val="003A074B"/>
    <w:rsid w:val="003A53B5"/>
    <w:rsid w:val="003A5C4D"/>
    <w:rsid w:val="003A68F4"/>
    <w:rsid w:val="003A7C99"/>
    <w:rsid w:val="003B0052"/>
    <w:rsid w:val="003B00E2"/>
    <w:rsid w:val="003B2BC7"/>
    <w:rsid w:val="003B376A"/>
    <w:rsid w:val="003B3C70"/>
    <w:rsid w:val="003B4992"/>
    <w:rsid w:val="003B6087"/>
    <w:rsid w:val="003B7C56"/>
    <w:rsid w:val="003C1C77"/>
    <w:rsid w:val="003C1F2B"/>
    <w:rsid w:val="003C1F48"/>
    <w:rsid w:val="003C3103"/>
    <w:rsid w:val="003C312C"/>
    <w:rsid w:val="003C4E4E"/>
    <w:rsid w:val="003C628E"/>
    <w:rsid w:val="003C6E1D"/>
    <w:rsid w:val="003C73E8"/>
    <w:rsid w:val="003D02DD"/>
    <w:rsid w:val="003D055A"/>
    <w:rsid w:val="003D1E52"/>
    <w:rsid w:val="003D369A"/>
    <w:rsid w:val="003D3B9C"/>
    <w:rsid w:val="003D5A69"/>
    <w:rsid w:val="003D6AE8"/>
    <w:rsid w:val="003E0372"/>
    <w:rsid w:val="003E271D"/>
    <w:rsid w:val="003E2965"/>
    <w:rsid w:val="003E5535"/>
    <w:rsid w:val="003E6036"/>
    <w:rsid w:val="003E79B1"/>
    <w:rsid w:val="003F12BA"/>
    <w:rsid w:val="003F1FDB"/>
    <w:rsid w:val="003F223C"/>
    <w:rsid w:val="003F2F6F"/>
    <w:rsid w:val="003F37F4"/>
    <w:rsid w:val="003F42BC"/>
    <w:rsid w:val="003F4F2F"/>
    <w:rsid w:val="004003E2"/>
    <w:rsid w:val="00402D4C"/>
    <w:rsid w:val="0040490C"/>
    <w:rsid w:val="00407D21"/>
    <w:rsid w:val="004101C6"/>
    <w:rsid w:val="00412978"/>
    <w:rsid w:val="00413710"/>
    <w:rsid w:val="00413A33"/>
    <w:rsid w:val="00414DA5"/>
    <w:rsid w:val="00415138"/>
    <w:rsid w:val="0041704D"/>
    <w:rsid w:val="00422B2A"/>
    <w:rsid w:val="004230CE"/>
    <w:rsid w:val="004232F6"/>
    <w:rsid w:val="00423D57"/>
    <w:rsid w:val="004251F2"/>
    <w:rsid w:val="00426BAE"/>
    <w:rsid w:val="00426D09"/>
    <w:rsid w:val="00427067"/>
    <w:rsid w:val="004273CB"/>
    <w:rsid w:val="00431363"/>
    <w:rsid w:val="00431F3A"/>
    <w:rsid w:val="0043295B"/>
    <w:rsid w:val="004329A6"/>
    <w:rsid w:val="0043383F"/>
    <w:rsid w:val="00436770"/>
    <w:rsid w:val="00436F40"/>
    <w:rsid w:val="004406B3"/>
    <w:rsid w:val="00440CCD"/>
    <w:rsid w:val="00446074"/>
    <w:rsid w:val="00446FD5"/>
    <w:rsid w:val="00451EBF"/>
    <w:rsid w:val="00452755"/>
    <w:rsid w:val="004543F7"/>
    <w:rsid w:val="00460D1B"/>
    <w:rsid w:val="00460E1D"/>
    <w:rsid w:val="00461D98"/>
    <w:rsid w:val="00462B64"/>
    <w:rsid w:val="00465308"/>
    <w:rsid w:val="00470629"/>
    <w:rsid w:val="00474821"/>
    <w:rsid w:val="00476A46"/>
    <w:rsid w:val="00480091"/>
    <w:rsid w:val="0048205C"/>
    <w:rsid w:val="00482074"/>
    <w:rsid w:val="004832BB"/>
    <w:rsid w:val="00486694"/>
    <w:rsid w:val="00490F7F"/>
    <w:rsid w:val="00491E6A"/>
    <w:rsid w:val="00492C25"/>
    <w:rsid w:val="0049545C"/>
    <w:rsid w:val="004958AA"/>
    <w:rsid w:val="004A0508"/>
    <w:rsid w:val="004A111A"/>
    <w:rsid w:val="004A1C8E"/>
    <w:rsid w:val="004A27A5"/>
    <w:rsid w:val="004A45DE"/>
    <w:rsid w:val="004A49AC"/>
    <w:rsid w:val="004A5835"/>
    <w:rsid w:val="004A58E2"/>
    <w:rsid w:val="004B06E4"/>
    <w:rsid w:val="004B25FB"/>
    <w:rsid w:val="004B37DD"/>
    <w:rsid w:val="004B3D30"/>
    <w:rsid w:val="004B5BD6"/>
    <w:rsid w:val="004B64D5"/>
    <w:rsid w:val="004C045A"/>
    <w:rsid w:val="004C0B0C"/>
    <w:rsid w:val="004D1147"/>
    <w:rsid w:val="004D1B7A"/>
    <w:rsid w:val="004D2068"/>
    <w:rsid w:val="004D3D35"/>
    <w:rsid w:val="004D6C5F"/>
    <w:rsid w:val="004D736B"/>
    <w:rsid w:val="004E515E"/>
    <w:rsid w:val="004E6D75"/>
    <w:rsid w:val="004F153D"/>
    <w:rsid w:val="004F3768"/>
    <w:rsid w:val="004F54BA"/>
    <w:rsid w:val="004F67B3"/>
    <w:rsid w:val="004F6C60"/>
    <w:rsid w:val="004F7112"/>
    <w:rsid w:val="004F7C29"/>
    <w:rsid w:val="005003FF"/>
    <w:rsid w:val="0050069A"/>
    <w:rsid w:val="0050472C"/>
    <w:rsid w:val="00505F4C"/>
    <w:rsid w:val="00506B7C"/>
    <w:rsid w:val="00506E1A"/>
    <w:rsid w:val="00510D7A"/>
    <w:rsid w:val="0051155B"/>
    <w:rsid w:val="005153D2"/>
    <w:rsid w:val="005167C3"/>
    <w:rsid w:val="00520D8D"/>
    <w:rsid w:val="005243FB"/>
    <w:rsid w:val="0052541E"/>
    <w:rsid w:val="00526267"/>
    <w:rsid w:val="00532358"/>
    <w:rsid w:val="00534301"/>
    <w:rsid w:val="0053433E"/>
    <w:rsid w:val="00536038"/>
    <w:rsid w:val="00536106"/>
    <w:rsid w:val="00542237"/>
    <w:rsid w:val="00543AF4"/>
    <w:rsid w:val="00546B6B"/>
    <w:rsid w:val="00547767"/>
    <w:rsid w:val="00550EBF"/>
    <w:rsid w:val="00552C85"/>
    <w:rsid w:val="00552F8D"/>
    <w:rsid w:val="00555B00"/>
    <w:rsid w:val="00555B8A"/>
    <w:rsid w:val="0055643D"/>
    <w:rsid w:val="00557453"/>
    <w:rsid w:val="0056452D"/>
    <w:rsid w:val="0057012B"/>
    <w:rsid w:val="00570200"/>
    <w:rsid w:val="0057276A"/>
    <w:rsid w:val="00574E8A"/>
    <w:rsid w:val="005772BD"/>
    <w:rsid w:val="005814EB"/>
    <w:rsid w:val="00581C4D"/>
    <w:rsid w:val="00582DC5"/>
    <w:rsid w:val="00583627"/>
    <w:rsid w:val="00585F9C"/>
    <w:rsid w:val="00590C50"/>
    <w:rsid w:val="00590EF9"/>
    <w:rsid w:val="00591461"/>
    <w:rsid w:val="0059291B"/>
    <w:rsid w:val="005929DF"/>
    <w:rsid w:val="00593BD5"/>
    <w:rsid w:val="0059470D"/>
    <w:rsid w:val="005A3497"/>
    <w:rsid w:val="005A5565"/>
    <w:rsid w:val="005A6A6C"/>
    <w:rsid w:val="005A6C79"/>
    <w:rsid w:val="005A761F"/>
    <w:rsid w:val="005A7B86"/>
    <w:rsid w:val="005B046A"/>
    <w:rsid w:val="005B2731"/>
    <w:rsid w:val="005B4B95"/>
    <w:rsid w:val="005B4C1E"/>
    <w:rsid w:val="005B7E1A"/>
    <w:rsid w:val="005C34D9"/>
    <w:rsid w:val="005C3DB5"/>
    <w:rsid w:val="005C469F"/>
    <w:rsid w:val="005C5779"/>
    <w:rsid w:val="005D3822"/>
    <w:rsid w:val="005D3B06"/>
    <w:rsid w:val="005D4A88"/>
    <w:rsid w:val="005D5CBF"/>
    <w:rsid w:val="005E3686"/>
    <w:rsid w:val="005E5170"/>
    <w:rsid w:val="005E5F01"/>
    <w:rsid w:val="005F08FA"/>
    <w:rsid w:val="005F6627"/>
    <w:rsid w:val="005F6BBC"/>
    <w:rsid w:val="006051E2"/>
    <w:rsid w:val="00607E4C"/>
    <w:rsid w:val="006106C1"/>
    <w:rsid w:val="00615AD0"/>
    <w:rsid w:val="0061700A"/>
    <w:rsid w:val="00620129"/>
    <w:rsid w:val="00620448"/>
    <w:rsid w:val="00620AC7"/>
    <w:rsid w:val="00630CC7"/>
    <w:rsid w:val="00631165"/>
    <w:rsid w:val="00631667"/>
    <w:rsid w:val="00632113"/>
    <w:rsid w:val="006343E3"/>
    <w:rsid w:val="00635512"/>
    <w:rsid w:val="0063714F"/>
    <w:rsid w:val="00640E46"/>
    <w:rsid w:val="00644EA8"/>
    <w:rsid w:val="00645BB6"/>
    <w:rsid w:val="00650085"/>
    <w:rsid w:val="0065296C"/>
    <w:rsid w:val="00653477"/>
    <w:rsid w:val="00655327"/>
    <w:rsid w:val="006560A9"/>
    <w:rsid w:val="006566DA"/>
    <w:rsid w:val="00656C4F"/>
    <w:rsid w:val="0065798D"/>
    <w:rsid w:val="00657A31"/>
    <w:rsid w:val="0066058A"/>
    <w:rsid w:val="00661DAC"/>
    <w:rsid w:val="00662AD4"/>
    <w:rsid w:val="00664CB8"/>
    <w:rsid w:val="006653E4"/>
    <w:rsid w:val="00666146"/>
    <w:rsid w:val="00666C20"/>
    <w:rsid w:val="00666FE4"/>
    <w:rsid w:val="00667D00"/>
    <w:rsid w:val="0067071D"/>
    <w:rsid w:val="00674F25"/>
    <w:rsid w:val="006751F3"/>
    <w:rsid w:val="00675F44"/>
    <w:rsid w:val="006872A0"/>
    <w:rsid w:val="0069068A"/>
    <w:rsid w:val="0069112A"/>
    <w:rsid w:val="00694254"/>
    <w:rsid w:val="00695505"/>
    <w:rsid w:val="00696891"/>
    <w:rsid w:val="00697067"/>
    <w:rsid w:val="00697D88"/>
    <w:rsid w:val="006A1723"/>
    <w:rsid w:val="006A1E1F"/>
    <w:rsid w:val="006A23A7"/>
    <w:rsid w:val="006A25EE"/>
    <w:rsid w:val="006A3475"/>
    <w:rsid w:val="006A40A1"/>
    <w:rsid w:val="006A57FE"/>
    <w:rsid w:val="006A73AF"/>
    <w:rsid w:val="006A7BC6"/>
    <w:rsid w:val="006A7CE9"/>
    <w:rsid w:val="006A7E5A"/>
    <w:rsid w:val="006B26BA"/>
    <w:rsid w:val="006B3CE6"/>
    <w:rsid w:val="006B417B"/>
    <w:rsid w:val="006B71FD"/>
    <w:rsid w:val="006C0C47"/>
    <w:rsid w:val="006C38A8"/>
    <w:rsid w:val="006C41EA"/>
    <w:rsid w:val="006C4581"/>
    <w:rsid w:val="006C48C9"/>
    <w:rsid w:val="006C7EC9"/>
    <w:rsid w:val="006D00F6"/>
    <w:rsid w:val="006D1004"/>
    <w:rsid w:val="006D156F"/>
    <w:rsid w:val="006D251F"/>
    <w:rsid w:val="006D2949"/>
    <w:rsid w:val="006D2A3E"/>
    <w:rsid w:val="006D35D1"/>
    <w:rsid w:val="006D3F67"/>
    <w:rsid w:val="006D4720"/>
    <w:rsid w:val="006D548C"/>
    <w:rsid w:val="006D778F"/>
    <w:rsid w:val="006E0885"/>
    <w:rsid w:val="006E0E58"/>
    <w:rsid w:val="006E2827"/>
    <w:rsid w:val="006E339A"/>
    <w:rsid w:val="006E35D0"/>
    <w:rsid w:val="006E4FBF"/>
    <w:rsid w:val="006E7A25"/>
    <w:rsid w:val="006F3371"/>
    <w:rsid w:val="007017C8"/>
    <w:rsid w:val="00701B9B"/>
    <w:rsid w:val="00701E6E"/>
    <w:rsid w:val="007033D7"/>
    <w:rsid w:val="007054D6"/>
    <w:rsid w:val="00714C76"/>
    <w:rsid w:val="007161E6"/>
    <w:rsid w:val="00720B37"/>
    <w:rsid w:val="00722A4C"/>
    <w:rsid w:val="00724CF4"/>
    <w:rsid w:val="007257EA"/>
    <w:rsid w:val="00726C1B"/>
    <w:rsid w:val="00726E4F"/>
    <w:rsid w:val="0072702F"/>
    <w:rsid w:val="00731645"/>
    <w:rsid w:val="007340C8"/>
    <w:rsid w:val="00742A5F"/>
    <w:rsid w:val="00744D9E"/>
    <w:rsid w:val="00745674"/>
    <w:rsid w:val="00746A6F"/>
    <w:rsid w:val="00747BB9"/>
    <w:rsid w:val="007519A8"/>
    <w:rsid w:val="00752720"/>
    <w:rsid w:val="00753550"/>
    <w:rsid w:val="007544DA"/>
    <w:rsid w:val="00756379"/>
    <w:rsid w:val="007600B5"/>
    <w:rsid w:val="0076117E"/>
    <w:rsid w:val="00765447"/>
    <w:rsid w:val="00766ABD"/>
    <w:rsid w:val="0076737A"/>
    <w:rsid w:val="007723D6"/>
    <w:rsid w:val="00772E70"/>
    <w:rsid w:val="00775880"/>
    <w:rsid w:val="00776457"/>
    <w:rsid w:val="007766E9"/>
    <w:rsid w:val="00776B67"/>
    <w:rsid w:val="00777546"/>
    <w:rsid w:val="00781044"/>
    <w:rsid w:val="00781661"/>
    <w:rsid w:val="007833DD"/>
    <w:rsid w:val="007855F5"/>
    <w:rsid w:val="00787A95"/>
    <w:rsid w:val="00790A3B"/>
    <w:rsid w:val="00790BC6"/>
    <w:rsid w:val="00792830"/>
    <w:rsid w:val="00792E57"/>
    <w:rsid w:val="00793E46"/>
    <w:rsid w:val="00795593"/>
    <w:rsid w:val="007A011B"/>
    <w:rsid w:val="007A17F0"/>
    <w:rsid w:val="007A258B"/>
    <w:rsid w:val="007A379A"/>
    <w:rsid w:val="007A5133"/>
    <w:rsid w:val="007A576C"/>
    <w:rsid w:val="007A732C"/>
    <w:rsid w:val="007B4BF8"/>
    <w:rsid w:val="007B591A"/>
    <w:rsid w:val="007C0D40"/>
    <w:rsid w:val="007C39E4"/>
    <w:rsid w:val="007C49D3"/>
    <w:rsid w:val="007C51DC"/>
    <w:rsid w:val="007C5905"/>
    <w:rsid w:val="007D0461"/>
    <w:rsid w:val="007D53AA"/>
    <w:rsid w:val="007E12FA"/>
    <w:rsid w:val="007E1EF2"/>
    <w:rsid w:val="007E37DE"/>
    <w:rsid w:val="007E3F1A"/>
    <w:rsid w:val="007E53A2"/>
    <w:rsid w:val="007E5479"/>
    <w:rsid w:val="007E6D6B"/>
    <w:rsid w:val="007E7FC6"/>
    <w:rsid w:val="007F22C5"/>
    <w:rsid w:val="007F2387"/>
    <w:rsid w:val="007F2F72"/>
    <w:rsid w:val="007F5CFB"/>
    <w:rsid w:val="007F63D8"/>
    <w:rsid w:val="008002DB"/>
    <w:rsid w:val="0080246D"/>
    <w:rsid w:val="00802638"/>
    <w:rsid w:val="0080340E"/>
    <w:rsid w:val="008066FC"/>
    <w:rsid w:val="00807A21"/>
    <w:rsid w:val="00812005"/>
    <w:rsid w:val="0081212C"/>
    <w:rsid w:val="00812425"/>
    <w:rsid w:val="00812F6E"/>
    <w:rsid w:val="00813A11"/>
    <w:rsid w:val="00814443"/>
    <w:rsid w:val="0081746D"/>
    <w:rsid w:val="00821615"/>
    <w:rsid w:val="00822EC0"/>
    <w:rsid w:val="00826255"/>
    <w:rsid w:val="00826B80"/>
    <w:rsid w:val="00830279"/>
    <w:rsid w:val="00833330"/>
    <w:rsid w:val="0083338C"/>
    <w:rsid w:val="00834A30"/>
    <w:rsid w:val="00844146"/>
    <w:rsid w:val="008452A3"/>
    <w:rsid w:val="00845813"/>
    <w:rsid w:val="008473D0"/>
    <w:rsid w:val="00850052"/>
    <w:rsid w:val="00852C36"/>
    <w:rsid w:val="008530E6"/>
    <w:rsid w:val="0085331D"/>
    <w:rsid w:val="008535D3"/>
    <w:rsid w:val="00853DC6"/>
    <w:rsid w:val="00854B3A"/>
    <w:rsid w:val="00854F48"/>
    <w:rsid w:val="00855EA6"/>
    <w:rsid w:val="00856690"/>
    <w:rsid w:val="00857731"/>
    <w:rsid w:val="00861744"/>
    <w:rsid w:val="00864C0A"/>
    <w:rsid w:val="00866A2B"/>
    <w:rsid w:val="00867511"/>
    <w:rsid w:val="008700D8"/>
    <w:rsid w:val="00870C4B"/>
    <w:rsid w:val="00871137"/>
    <w:rsid w:val="00871DAE"/>
    <w:rsid w:val="0087244B"/>
    <w:rsid w:val="00873091"/>
    <w:rsid w:val="0087379F"/>
    <w:rsid w:val="008741AB"/>
    <w:rsid w:val="00874757"/>
    <w:rsid w:val="0088129C"/>
    <w:rsid w:val="008837BC"/>
    <w:rsid w:val="00884752"/>
    <w:rsid w:val="008852E8"/>
    <w:rsid w:val="00885426"/>
    <w:rsid w:val="00885C78"/>
    <w:rsid w:val="00885FC7"/>
    <w:rsid w:val="00887464"/>
    <w:rsid w:val="00890667"/>
    <w:rsid w:val="0089215C"/>
    <w:rsid w:val="00892197"/>
    <w:rsid w:val="00892E06"/>
    <w:rsid w:val="008933F8"/>
    <w:rsid w:val="00894559"/>
    <w:rsid w:val="00894977"/>
    <w:rsid w:val="00894CB3"/>
    <w:rsid w:val="00895461"/>
    <w:rsid w:val="008A3710"/>
    <w:rsid w:val="008A3716"/>
    <w:rsid w:val="008A5586"/>
    <w:rsid w:val="008A5E7A"/>
    <w:rsid w:val="008B3794"/>
    <w:rsid w:val="008B59A2"/>
    <w:rsid w:val="008B5B40"/>
    <w:rsid w:val="008B5CFB"/>
    <w:rsid w:val="008B5E88"/>
    <w:rsid w:val="008B7449"/>
    <w:rsid w:val="008C5771"/>
    <w:rsid w:val="008D1D0F"/>
    <w:rsid w:val="008D2D27"/>
    <w:rsid w:val="008D3A87"/>
    <w:rsid w:val="008D4942"/>
    <w:rsid w:val="008E06B8"/>
    <w:rsid w:val="008E0D7B"/>
    <w:rsid w:val="008E0DFC"/>
    <w:rsid w:val="008E202A"/>
    <w:rsid w:val="008E4523"/>
    <w:rsid w:val="008E53E0"/>
    <w:rsid w:val="008E5F75"/>
    <w:rsid w:val="008E658C"/>
    <w:rsid w:val="008F06C4"/>
    <w:rsid w:val="008F18CD"/>
    <w:rsid w:val="008F197F"/>
    <w:rsid w:val="008F1D4B"/>
    <w:rsid w:val="008F2334"/>
    <w:rsid w:val="008F23F5"/>
    <w:rsid w:val="008F6C41"/>
    <w:rsid w:val="008F74FC"/>
    <w:rsid w:val="008F7D9C"/>
    <w:rsid w:val="00900446"/>
    <w:rsid w:val="0090111B"/>
    <w:rsid w:val="00903B4F"/>
    <w:rsid w:val="009046B0"/>
    <w:rsid w:val="00904E3A"/>
    <w:rsid w:val="00905437"/>
    <w:rsid w:val="009105B3"/>
    <w:rsid w:val="009134DA"/>
    <w:rsid w:val="00915652"/>
    <w:rsid w:val="00915D09"/>
    <w:rsid w:val="00916AA3"/>
    <w:rsid w:val="00916BBA"/>
    <w:rsid w:val="00921A4F"/>
    <w:rsid w:val="009220EC"/>
    <w:rsid w:val="00922561"/>
    <w:rsid w:val="00923A09"/>
    <w:rsid w:val="00924A78"/>
    <w:rsid w:val="009312EE"/>
    <w:rsid w:val="0093202A"/>
    <w:rsid w:val="00935678"/>
    <w:rsid w:val="0093596B"/>
    <w:rsid w:val="00941103"/>
    <w:rsid w:val="0094275D"/>
    <w:rsid w:val="0094379B"/>
    <w:rsid w:val="00944C87"/>
    <w:rsid w:val="00944F8E"/>
    <w:rsid w:val="00950C21"/>
    <w:rsid w:val="009530DD"/>
    <w:rsid w:val="009607AD"/>
    <w:rsid w:val="00960C8F"/>
    <w:rsid w:val="00962495"/>
    <w:rsid w:val="009631D2"/>
    <w:rsid w:val="00964BAB"/>
    <w:rsid w:val="009659F5"/>
    <w:rsid w:val="00965B72"/>
    <w:rsid w:val="00967490"/>
    <w:rsid w:val="00972254"/>
    <w:rsid w:val="00972716"/>
    <w:rsid w:val="00972E27"/>
    <w:rsid w:val="00972E89"/>
    <w:rsid w:val="009735B6"/>
    <w:rsid w:val="00974F29"/>
    <w:rsid w:val="009754D2"/>
    <w:rsid w:val="00975F94"/>
    <w:rsid w:val="009771CD"/>
    <w:rsid w:val="00986127"/>
    <w:rsid w:val="00986FB6"/>
    <w:rsid w:val="00990A9D"/>
    <w:rsid w:val="0099310C"/>
    <w:rsid w:val="00995A2A"/>
    <w:rsid w:val="009961C0"/>
    <w:rsid w:val="0099661B"/>
    <w:rsid w:val="009A09D0"/>
    <w:rsid w:val="009A12A8"/>
    <w:rsid w:val="009A13F5"/>
    <w:rsid w:val="009A1506"/>
    <w:rsid w:val="009A1C08"/>
    <w:rsid w:val="009A1DB9"/>
    <w:rsid w:val="009A236A"/>
    <w:rsid w:val="009A34E7"/>
    <w:rsid w:val="009A6EA4"/>
    <w:rsid w:val="009A7579"/>
    <w:rsid w:val="009B3917"/>
    <w:rsid w:val="009B3B89"/>
    <w:rsid w:val="009B794E"/>
    <w:rsid w:val="009B7B44"/>
    <w:rsid w:val="009C00DB"/>
    <w:rsid w:val="009C15A7"/>
    <w:rsid w:val="009C29E7"/>
    <w:rsid w:val="009C76CF"/>
    <w:rsid w:val="009D5632"/>
    <w:rsid w:val="009D5E90"/>
    <w:rsid w:val="009D62EE"/>
    <w:rsid w:val="009E070F"/>
    <w:rsid w:val="009E226C"/>
    <w:rsid w:val="009E749B"/>
    <w:rsid w:val="009E7E37"/>
    <w:rsid w:val="009F0517"/>
    <w:rsid w:val="009F1708"/>
    <w:rsid w:val="009F1A56"/>
    <w:rsid w:val="009F5807"/>
    <w:rsid w:val="009F7C7C"/>
    <w:rsid w:val="00A00D79"/>
    <w:rsid w:val="00A014BD"/>
    <w:rsid w:val="00A01EA1"/>
    <w:rsid w:val="00A038D4"/>
    <w:rsid w:val="00A04FB9"/>
    <w:rsid w:val="00A05F64"/>
    <w:rsid w:val="00A1165A"/>
    <w:rsid w:val="00A1290B"/>
    <w:rsid w:val="00A15B3E"/>
    <w:rsid w:val="00A15E19"/>
    <w:rsid w:val="00A175C7"/>
    <w:rsid w:val="00A23D5A"/>
    <w:rsid w:val="00A25A2C"/>
    <w:rsid w:val="00A32381"/>
    <w:rsid w:val="00A32C66"/>
    <w:rsid w:val="00A33820"/>
    <w:rsid w:val="00A355D1"/>
    <w:rsid w:val="00A35E11"/>
    <w:rsid w:val="00A36776"/>
    <w:rsid w:val="00A400AF"/>
    <w:rsid w:val="00A405CD"/>
    <w:rsid w:val="00A4072B"/>
    <w:rsid w:val="00A433E3"/>
    <w:rsid w:val="00A434C6"/>
    <w:rsid w:val="00A446D2"/>
    <w:rsid w:val="00A4499C"/>
    <w:rsid w:val="00A51A46"/>
    <w:rsid w:val="00A52174"/>
    <w:rsid w:val="00A53097"/>
    <w:rsid w:val="00A56A7D"/>
    <w:rsid w:val="00A57E84"/>
    <w:rsid w:val="00A60338"/>
    <w:rsid w:val="00A61D99"/>
    <w:rsid w:val="00A63AC3"/>
    <w:rsid w:val="00A6481B"/>
    <w:rsid w:val="00A64A36"/>
    <w:rsid w:val="00A64CDE"/>
    <w:rsid w:val="00A73BD5"/>
    <w:rsid w:val="00A74F07"/>
    <w:rsid w:val="00A85FEC"/>
    <w:rsid w:val="00A92A68"/>
    <w:rsid w:val="00A933D7"/>
    <w:rsid w:val="00A938C2"/>
    <w:rsid w:val="00A93AFD"/>
    <w:rsid w:val="00A967D6"/>
    <w:rsid w:val="00A96AED"/>
    <w:rsid w:val="00AA2B14"/>
    <w:rsid w:val="00AA7842"/>
    <w:rsid w:val="00AB0020"/>
    <w:rsid w:val="00AB3930"/>
    <w:rsid w:val="00AB3B46"/>
    <w:rsid w:val="00AB4EB6"/>
    <w:rsid w:val="00AB5F7C"/>
    <w:rsid w:val="00AB72C0"/>
    <w:rsid w:val="00AB730F"/>
    <w:rsid w:val="00AC34AD"/>
    <w:rsid w:val="00AC56D1"/>
    <w:rsid w:val="00AC6AA6"/>
    <w:rsid w:val="00AC7A69"/>
    <w:rsid w:val="00AD2C7B"/>
    <w:rsid w:val="00AD653E"/>
    <w:rsid w:val="00AD7038"/>
    <w:rsid w:val="00AE48C3"/>
    <w:rsid w:val="00AE5089"/>
    <w:rsid w:val="00AE5AE6"/>
    <w:rsid w:val="00AF05F3"/>
    <w:rsid w:val="00AF061F"/>
    <w:rsid w:val="00AF135C"/>
    <w:rsid w:val="00AF157B"/>
    <w:rsid w:val="00AF15B4"/>
    <w:rsid w:val="00AF1D05"/>
    <w:rsid w:val="00AF2257"/>
    <w:rsid w:val="00AF2C41"/>
    <w:rsid w:val="00AF4804"/>
    <w:rsid w:val="00B0096D"/>
    <w:rsid w:val="00B03A17"/>
    <w:rsid w:val="00B03F14"/>
    <w:rsid w:val="00B053B3"/>
    <w:rsid w:val="00B056F1"/>
    <w:rsid w:val="00B06F19"/>
    <w:rsid w:val="00B0775C"/>
    <w:rsid w:val="00B20648"/>
    <w:rsid w:val="00B2424E"/>
    <w:rsid w:val="00B250EA"/>
    <w:rsid w:val="00B30B92"/>
    <w:rsid w:val="00B35A4C"/>
    <w:rsid w:val="00B40403"/>
    <w:rsid w:val="00B41A6A"/>
    <w:rsid w:val="00B41C3A"/>
    <w:rsid w:val="00B41EF6"/>
    <w:rsid w:val="00B42520"/>
    <w:rsid w:val="00B4384C"/>
    <w:rsid w:val="00B47847"/>
    <w:rsid w:val="00B47BB0"/>
    <w:rsid w:val="00B50549"/>
    <w:rsid w:val="00B51384"/>
    <w:rsid w:val="00B51988"/>
    <w:rsid w:val="00B51EF4"/>
    <w:rsid w:val="00B51FC6"/>
    <w:rsid w:val="00B574E6"/>
    <w:rsid w:val="00B6413F"/>
    <w:rsid w:val="00B644A2"/>
    <w:rsid w:val="00B73B1C"/>
    <w:rsid w:val="00B73EBB"/>
    <w:rsid w:val="00B75953"/>
    <w:rsid w:val="00B767FC"/>
    <w:rsid w:val="00B76D7A"/>
    <w:rsid w:val="00B81108"/>
    <w:rsid w:val="00B81128"/>
    <w:rsid w:val="00B82608"/>
    <w:rsid w:val="00B8285E"/>
    <w:rsid w:val="00B8288F"/>
    <w:rsid w:val="00B83341"/>
    <w:rsid w:val="00B833A8"/>
    <w:rsid w:val="00B91314"/>
    <w:rsid w:val="00B91F14"/>
    <w:rsid w:val="00B9269D"/>
    <w:rsid w:val="00B9477A"/>
    <w:rsid w:val="00B948F2"/>
    <w:rsid w:val="00B9568E"/>
    <w:rsid w:val="00BA2394"/>
    <w:rsid w:val="00BA3FA4"/>
    <w:rsid w:val="00BA5802"/>
    <w:rsid w:val="00BA6D09"/>
    <w:rsid w:val="00BA7469"/>
    <w:rsid w:val="00BB24C6"/>
    <w:rsid w:val="00BB368A"/>
    <w:rsid w:val="00BB46DF"/>
    <w:rsid w:val="00BB4B97"/>
    <w:rsid w:val="00BB7DF3"/>
    <w:rsid w:val="00BC0FA2"/>
    <w:rsid w:val="00BD111E"/>
    <w:rsid w:val="00BD6C1A"/>
    <w:rsid w:val="00BD6F52"/>
    <w:rsid w:val="00BE177C"/>
    <w:rsid w:val="00BE46D9"/>
    <w:rsid w:val="00BE4F44"/>
    <w:rsid w:val="00BE6409"/>
    <w:rsid w:val="00BF0095"/>
    <w:rsid w:val="00BF1A41"/>
    <w:rsid w:val="00BF2C19"/>
    <w:rsid w:val="00BF35A1"/>
    <w:rsid w:val="00BF4C93"/>
    <w:rsid w:val="00C009A4"/>
    <w:rsid w:val="00C00B5B"/>
    <w:rsid w:val="00C0210D"/>
    <w:rsid w:val="00C044D1"/>
    <w:rsid w:val="00C06052"/>
    <w:rsid w:val="00C07040"/>
    <w:rsid w:val="00C11196"/>
    <w:rsid w:val="00C13C6D"/>
    <w:rsid w:val="00C14C28"/>
    <w:rsid w:val="00C16B87"/>
    <w:rsid w:val="00C21143"/>
    <w:rsid w:val="00C214BB"/>
    <w:rsid w:val="00C23E75"/>
    <w:rsid w:val="00C308FD"/>
    <w:rsid w:val="00C3096A"/>
    <w:rsid w:val="00C34D02"/>
    <w:rsid w:val="00C35F8A"/>
    <w:rsid w:val="00C369FE"/>
    <w:rsid w:val="00C40CB2"/>
    <w:rsid w:val="00C40D88"/>
    <w:rsid w:val="00C4110E"/>
    <w:rsid w:val="00C418BD"/>
    <w:rsid w:val="00C4436F"/>
    <w:rsid w:val="00C50F36"/>
    <w:rsid w:val="00C5327A"/>
    <w:rsid w:val="00C542ED"/>
    <w:rsid w:val="00C556FC"/>
    <w:rsid w:val="00C635AC"/>
    <w:rsid w:val="00C72215"/>
    <w:rsid w:val="00C74762"/>
    <w:rsid w:val="00C75EDF"/>
    <w:rsid w:val="00C76DEC"/>
    <w:rsid w:val="00C819BF"/>
    <w:rsid w:val="00C828BE"/>
    <w:rsid w:val="00C84426"/>
    <w:rsid w:val="00C844F0"/>
    <w:rsid w:val="00C86AC0"/>
    <w:rsid w:val="00C86B4F"/>
    <w:rsid w:val="00C94DE8"/>
    <w:rsid w:val="00CA0B7D"/>
    <w:rsid w:val="00CA149B"/>
    <w:rsid w:val="00CA2FB9"/>
    <w:rsid w:val="00CA3D45"/>
    <w:rsid w:val="00CA53C3"/>
    <w:rsid w:val="00CA6A4B"/>
    <w:rsid w:val="00CB05EC"/>
    <w:rsid w:val="00CB104D"/>
    <w:rsid w:val="00CB2F8B"/>
    <w:rsid w:val="00CB3346"/>
    <w:rsid w:val="00CB660A"/>
    <w:rsid w:val="00CB7615"/>
    <w:rsid w:val="00CC0FEE"/>
    <w:rsid w:val="00CC399A"/>
    <w:rsid w:val="00CC3A9B"/>
    <w:rsid w:val="00CC3F05"/>
    <w:rsid w:val="00CC42B4"/>
    <w:rsid w:val="00CC5C2F"/>
    <w:rsid w:val="00CC624A"/>
    <w:rsid w:val="00CC72ED"/>
    <w:rsid w:val="00CC7977"/>
    <w:rsid w:val="00CD03FF"/>
    <w:rsid w:val="00CD269E"/>
    <w:rsid w:val="00CD48E8"/>
    <w:rsid w:val="00CD4D1B"/>
    <w:rsid w:val="00CE0737"/>
    <w:rsid w:val="00CE14BB"/>
    <w:rsid w:val="00CE1A27"/>
    <w:rsid w:val="00CE2CB8"/>
    <w:rsid w:val="00CE49C8"/>
    <w:rsid w:val="00CE688A"/>
    <w:rsid w:val="00CE74B4"/>
    <w:rsid w:val="00CF1233"/>
    <w:rsid w:val="00CF3346"/>
    <w:rsid w:val="00CF3FF1"/>
    <w:rsid w:val="00D00209"/>
    <w:rsid w:val="00D00596"/>
    <w:rsid w:val="00D012F3"/>
    <w:rsid w:val="00D10174"/>
    <w:rsid w:val="00D10953"/>
    <w:rsid w:val="00D1193F"/>
    <w:rsid w:val="00D12E67"/>
    <w:rsid w:val="00D16B5F"/>
    <w:rsid w:val="00D173B4"/>
    <w:rsid w:val="00D17438"/>
    <w:rsid w:val="00D20F4D"/>
    <w:rsid w:val="00D224DD"/>
    <w:rsid w:val="00D23E4A"/>
    <w:rsid w:val="00D2506E"/>
    <w:rsid w:val="00D254A2"/>
    <w:rsid w:val="00D26F35"/>
    <w:rsid w:val="00D3003B"/>
    <w:rsid w:val="00D33F62"/>
    <w:rsid w:val="00D3445C"/>
    <w:rsid w:val="00D360FA"/>
    <w:rsid w:val="00D3751D"/>
    <w:rsid w:val="00D4347A"/>
    <w:rsid w:val="00D43EDA"/>
    <w:rsid w:val="00D459FF"/>
    <w:rsid w:val="00D45ABC"/>
    <w:rsid w:val="00D47F26"/>
    <w:rsid w:val="00D50A99"/>
    <w:rsid w:val="00D5177F"/>
    <w:rsid w:val="00D52547"/>
    <w:rsid w:val="00D5390D"/>
    <w:rsid w:val="00D53D1F"/>
    <w:rsid w:val="00D5540B"/>
    <w:rsid w:val="00D57060"/>
    <w:rsid w:val="00D57840"/>
    <w:rsid w:val="00D63EDB"/>
    <w:rsid w:val="00D67DD8"/>
    <w:rsid w:val="00D71679"/>
    <w:rsid w:val="00D73362"/>
    <w:rsid w:val="00D74317"/>
    <w:rsid w:val="00D77619"/>
    <w:rsid w:val="00D80782"/>
    <w:rsid w:val="00D80E24"/>
    <w:rsid w:val="00D80F10"/>
    <w:rsid w:val="00D83209"/>
    <w:rsid w:val="00D83DA2"/>
    <w:rsid w:val="00D85D81"/>
    <w:rsid w:val="00D95306"/>
    <w:rsid w:val="00D97999"/>
    <w:rsid w:val="00DA2187"/>
    <w:rsid w:val="00DA25B8"/>
    <w:rsid w:val="00DA4AD3"/>
    <w:rsid w:val="00DA7430"/>
    <w:rsid w:val="00DB042D"/>
    <w:rsid w:val="00DB0CB9"/>
    <w:rsid w:val="00DB1AF9"/>
    <w:rsid w:val="00DB2B5D"/>
    <w:rsid w:val="00DB3D43"/>
    <w:rsid w:val="00DB4822"/>
    <w:rsid w:val="00DB4DF8"/>
    <w:rsid w:val="00DB5512"/>
    <w:rsid w:val="00DC0137"/>
    <w:rsid w:val="00DC3784"/>
    <w:rsid w:val="00DC5AD5"/>
    <w:rsid w:val="00DD0703"/>
    <w:rsid w:val="00DD3F30"/>
    <w:rsid w:val="00DD691C"/>
    <w:rsid w:val="00DD6CB4"/>
    <w:rsid w:val="00DE03ED"/>
    <w:rsid w:val="00DE0AA4"/>
    <w:rsid w:val="00DE0C8F"/>
    <w:rsid w:val="00DE0C9B"/>
    <w:rsid w:val="00DE2279"/>
    <w:rsid w:val="00DE3061"/>
    <w:rsid w:val="00DE3880"/>
    <w:rsid w:val="00DE536B"/>
    <w:rsid w:val="00DE594C"/>
    <w:rsid w:val="00DE5C7A"/>
    <w:rsid w:val="00DF1F48"/>
    <w:rsid w:val="00DF2AE2"/>
    <w:rsid w:val="00DF6DFA"/>
    <w:rsid w:val="00DF76DE"/>
    <w:rsid w:val="00DF7C20"/>
    <w:rsid w:val="00E0093C"/>
    <w:rsid w:val="00E00AFB"/>
    <w:rsid w:val="00E0154C"/>
    <w:rsid w:val="00E01685"/>
    <w:rsid w:val="00E020F4"/>
    <w:rsid w:val="00E0264F"/>
    <w:rsid w:val="00E059FC"/>
    <w:rsid w:val="00E05CB2"/>
    <w:rsid w:val="00E07F0F"/>
    <w:rsid w:val="00E1093E"/>
    <w:rsid w:val="00E11A8D"/>
    <w:rsid w:val="00E12E43"/>
    <w:rsid w:val="00E15FD2"/>
    <w:rsid w:val="00E23543"/>
    <w:rsid w:val="00E24AFA"/>
    <w:rsid w:val="00E2602E"/>
    <w:rsid w:val="00E2641B"/>
    <w:rsid w:val="00E31C96"/>
    <w:rsid w:val="00E33E06"/>
    <w:rsid w:val="00E35BA9"/>
    <w:rsid w:val="00E35CEE"/>
    <w:rsid w:val="00E37F62"/>
    <w:rsid w:val="00E41434"/>
    <w:rsid w:val="00E466CE"/>
    <w:rsid w:val="00E467E0"/>
    <w:rsid w:val="00E50117"/>
    <w:rsid w:val="00E505EE"/>
    <w:rsid w:val="00E51EA5"/>
    <w:rsid w:val="00E524A1"/>
    <w:rsid w:val="00E52DDB"/>
    <w:rsid w:val="00E534D0"/>
    <w:rsid w:val="00E54BE4"/>
    <w:rsid w:val="00E5761E"/>
    <w:rsid w:val="00E57DEB"/>
    <w:rsid w:val="00E61391"/>
    <w:rsid w:val="00E65C8D"/>
    <w:rsid w:val="00E7103E"/>
    <w:rsid w:val="00E71D3D"/>
    <w:rsid w:val="00E720B9"/>
    <w:rsid w:val="00E734A9"/>
    <w:rsid w:val="00E75ADF"/>
    <w:rsid w:val="00E8060E"/>
    <w:rsid w:val="00E8066C"/>
    <w:rsid w:val="00E8096F"/>
    <w:rsid w:val="00E8231E"/>
    <w:rsid w:val="00E83202"/>
    <w:rsid w:val="00E83EDE"/>
    <w:rsid w:val="00E84DF9"/>
    <w:rsid w:val="00E857EF"/>
    <w:rsid w:val="00E86712"/>
    <w:rsid w:val="00E86D94"/>
    <w:rsid w:val="00E87504"/>
    <w:rsid w:val="00E8787A"/>
    <w:rsid w:val="00E90D58"/>
    <w:rsid w:val="00E92A8D"/>
    <w:rsid w:val="00E932DA"/>
    <w:rsid w:val="00E95E30"/>
    <w:rsid w:val="00EA09BB"/>
    <w:rsid w:val="00EA20B6"/>
    <w:rsid w:val="00EA3341"/>
    <w:rsid w:val="00EA3A4E"/>
    <w:rsid w:val="00EA42B0"/>
    <w:rsid w:val="00EA5256"/>
    <w:rsid w:val="00EA5603"/>
    <w:rsid w:val="00EA57E1"/>
    <w:rsid w:val="00EA73B4"/>
    <w:rsid w:val="00EB0FA4"/>
    <w:rsid w:val="00EB1431"/>
    <w:rsid w:val="00EB2F7F"/>
    <w:rsid w:val="00ED0CE4"/>
    <w:rsid w:val="00ED0F8C"/>
    <w:rsid w:val="00ED13F6"/>
    <w:rsid w:val="00ED1C46"/>
    <w:rsid w:val="00ED24E1"/>
    <w:rsid w:val="00ED3749"/>
    <w:rsid w:val="00ED679D"/>
    <w:rsid w:val="00ED71DC"/>
    <w:rsid w:val="00EE0DCD"/>
    <w:rsid w:val="00EE1A8B"/>
    <w:rsid w:val="00EE39D3"/>
    <w:rsid w:val="00EE63AD"/>
    <w:rsid w:val="00EF08AE"/>
    <w:rsid w:val="00EF15A6"/>
    <w:rsid w:val="00EF1F74"/>
    <w:rsid w:val="00EF73FD"/>
    <w:rsid w:val="00F01D8D"/>
    <w:rsid w:val="00F02515"/>
    <w:rsid w:val="00F03002"/>
    <w:rsid w:val="00F066A8"/>
    <w:rsid w:val="00F102B7"/>
    <w:rsid w:val="00F119C6"/>
    <w:rsid w:val="00F12FBF"/>
    <w:rsid w:val="00F1365A"/>
    <w:rsid w:val="00F13C09"/>
    <w:rsid w:val="00F147F8"/>
    <w:rsid w:val="00F155E9"/>
    <w:rsid w:val="00F1585C"/>
    <w:rsid w:val="00F16673"/>
    <w:rsid w:val="00F17508"/>
    <w:rsid w:val="00F17FD8"/>
    <w:rsid w:val="00F2241C"/>
    <w:rsid w:val="00F23E60"/>
    <w:rsid w:val="00F253F0"/>
    <w:rsid w:val="00F275E4"/>
    <w:rsid w:val="00F308D8"/>
    <w:rsid w:val="00F332EC"/>
    <w:rsid w:val="00F36856"/>
    <w:rsid w:val="00F36D5F"/>
    <w:rsid w:val="00F37574"/>
    <w:rsid w:val="00F3797C"/>
    <w:rsid w:val="00F429B2"/>
    <w:rsid w:val="00F43735"/>
    <w:rsid w:val="00F46219"/>
    <w:rsid w:val="00F47BB1"/>
    <w:rsid w:val="00F508FB"/>
    <w:rsid w:val="00F50DEC"/>
    <w:rsid w:val="00F55603"/>
    <w:rsid w:val="00F566AA"/>
    <w:rsid w:val="00F57B80"/>
    <w:rsid w:val="00F61E26"/>
    <w:rsid w:val="00F634E1"/>
    <w:rsid w:val="00F64028"/>
    <w:rsid w:val="00F65612"/>
    <w:rsid w:val="00F7035A"/>
    <w:rsid w:val="00F711EC"/>
    <w:rsid w:val="00F717E5"/>
    <w:rsid w:val="00F7284C"/>
    <w:rsid w:val="00F72A6E"/>
    <w:rsid w:val="00F73B96"/>
    <w:rsid w:val="00F74E63"/>
    <w:rsid w:val="00F74F7D"/>
    <w:rsid w:val="00F760C2"/>
    <w:rsid w:val="00F80CEF"/>
    <w:rsid w:val="00F82450"/>
    <w:rsid w:val="00F82E6F"/>
    <w:rsid w:val="00F877D8"/>
    <w:rsid w:val="00F903B3"/>
    <w:rsid w:val="00F91489"/>
    <w:rsid w:val="00F9512F"/>
    <w:rsid w:val="00F9577B"/>
    <w:rsid w:val="00F95912"/>
    <w:rsid w:val="00F963FE"/>
    <w:rsid w:val="00F96924"/>
    <w:rsid w:val="00F974B6"/>
    <w:rsid w:val="00F9768D"/>
    <w:rsid w:val="00FA2A9E"/>
    <w:rsid w:val="00FA466F"/>
    <w:rsid w:val="00FA5049"/>
    <w:rsid w:val="00FA53CB"/>
    <w:rsid w:val="00FB13AD"/>
    <w:rsid w:val="00FB176F"/>
    <w:rsid w:val="00FB1F51"/>
    <w:rsid w:val="00FB48BC"/>
    <w:rsid w:val="00FB4D60"/>
    <w:rsid w:val="00FB7518"/>
    <w:rsid w:val="00FC12A3"/>
    <w:rsid w:val="00FC224E"/>
    <w:rsid w:val="00FC3AEC"/>
    <w:rsid w:val="00FC3DFD"/>
    <w:rsid w:val="00FC5AEA"/>
    <w:rsid w:val="00FC6F6E"/>
    <w:rsid w:val="00FD0E33"/>
    <w:rsid w:val="00FD1FBE"/>
    <w:rsid w:val="00FD3D7E"/>
    <w:rsid w:val="00FD4452"/>
    <w:rsid w:val="00FD4A26"/>
    <w:rsid w:val="00FD5A20"/>
    <w:rsid w:val="00FD7EF7"/>
    <w:rsid w:val="00FE299D"/>
    <w:rsid w:val="00FE2ABC"/>
    <w:rsid w:val="00FE2F78"/>
    <w:rsid w:val="00FE3007"/>
    <w:rsid w:val="00FE3549"/>
    <w:rsid w:val="00FE3C76"/>
    <w:rsid w:val="00FE5BCD"/>
    <w:rsid w:val="00FF0936"/>
    <w:rsid w:val="00FF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B14"/>
  </w:style>
  <w:style w:type="paragraph" w:styleId="Heading2">
    <w:name w:val="heading 2"/>
    <w:basedOn w:val="Normal"/>
    <w:next w:val="Normal"/>
    <w:qFormat/>
    <w:rsid w:val="00870C4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AA2B14"/>
    <w:pPr>
      <w:tabs>
        <w:tab w:val="left" w:pos="720"/>
      </w:tabs>
      <w:ind w:left="720" w:hanging="720"/>
    </w:pPr>
    <w:rPr>
      <w:rFonts w:ascii="Courier 10cpi" w:hAnsi="Courier 10cpi"/>
      <w:snapToGrid w:val="0"/>
      <w:sz w:val="24"/>
    </w:rPr>
  </w:style>
  <w:style w:type="paragraph" w:styleId="Footer">
    <w:name w:val="footer"/>
    <w:basedOn w:val="Normal"/>
    <w:rsid w:val="0088129C"/>
    <w:pPr>
      <w:tabs>
        <w:tab w:val="center" w:pos="4320"/>
        <w:tab w:val="right" w:pos="8640"/>
      </w:tabs>
    </w:pPr>
  </w:style>
  <w:style w:type="character" w:styleId="PageNumber">
    <w:name w:val="page number"/>
    <w:basedOn w:val="DefaultParagraphFont"/>
    <w:rsid w:val="0088129C"/>
  </w:style>
  <w:style w:type="paragraph" w:styleId="Header">
    <w:name w:val="header"/>
    <w:basedOn w:val="Normal"/>
    <w:rsid w:val="0088129C"/>
    <w:pPr>
      <w:tabs>
        <w:tab w:val="center" w:pos="4320"/>
        <w:tab w:val="right" w:pos="8640"/>
      </w:tabs>
    </w:pPr>
  </w:style>
  <w:style w:type="character" w:styleId="CommentReference">
    <w:name w:val="annotation reference"/>
    <w:basedOn w:val="DefaultParagraphFont"/>
    <w:uiPriority w:val="99"/>
    <w:rsid w:val="00884752"/>
    <w:rPr>
      <w:sz w:val="16"/>
      <w:szCs w:val="16"/>
    </w:rPr>
  </w:style>
  <w:style w:type="paragraph" w:styleId="CommentText">
    <w:name w:val="annotation text"/>
    <w:basedOn w:val="Normal"/>
    <w:link w:val="CommentTextChar"/>
    <w:uiPriority w:val="99"/>
    <w:rsid w:val="00884752"/>
  </w:style>
  <w:style w:type="character" w:customStyle="1" w:styleId="CommentTextChar">
    <w:name w:val="Comment Text Char"/>
    <w:basedOn w:val="DefaultParagraphFont"/>
    <w:link w:val="CommentText"/>
    <w:uiPriority w:val="99"/>
    <w:rsid w:val="00884752"/>
  </w:style>
  <w:style w:type="paragraph" w:styleId="CommentSubject">
    <w:name w:val="annotation subject"/>
    <w:basedOn w:val="CommentText"/>
    <w:next w:val="CommentText"/>
    <w:link w:val="CommentSubjectChar"/>
    <w:rsid w:val="00884752"/>
    <w:rPr>
      <w:b/>
      <w:bCs/>
    </w:rPr>
  </w:style>
  <w:style w:type="character" w:customStyle="1" w:styleId="CommentSubjectChar">
    <w:name w:val="Comment Subject Char"/>
    <w:basedOn w:val="CommentTextChar"/>
    <w:link w:val="CommentSubject"/>
    <w:rsid w:val="00884752"/>
    <w:rPr>
      <w:b/>
      <w:bCs/>
    </w:rPr>
  </w:style>
  <w:style w:type="paragraph" w:styleId="BalloonText">
    <w:name w:val="Balloon Text"/>
    <w:basedOn w:val="Normal"/>
    <w:link w:val="BalloonTextChar"/>
    <w:rsid w:val="00884752"/>
    <w:rPr>
      <w:rFonts w:ascii="Tahoma" w:hAnsi="Tahoma" w:cs="Tahoma"/>
      <w:sz w:val="16"/>
      <w:szCs w:val="16"/>
    </w:rPr>
  </w:style>
  <w:style w:type="character" w:customStyle="1" w:styleId="BalloonTextChar">
    <w:name w:val="Balloon Text Char"/>
    <w:basedOn w:val="DefaultParagraphFont"/>
    <w:link w:val="BalloonText"/>
    <w:rsid w:val="00884752"/>
    <w:rPr>
      <w:rFonts w:ascii="Tahoma" w:hAnsi="Tahoma" w:cs="Tahoma"/>
      <w:sz w:val="16"/>
      <w:szCs w:val="16"/>
    </w:rPr>
  </w:style>
  <w:style w:type="paragraph" w:styleId="ListParagraph">
    <w:name w:val="List Paragraph"/>
    <w:basedOn w:val="Normal"/>
    <w:uiPriority w:val="99"/>
    <w:qFormat/>
    <w:rsid w:val="00590E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STATISTICAL METHODS</vt:lpstr>
    </vt:vector>
  </TitlesOfParts>
  <Company>DHHS</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METHODS</dc:title>
  <dc:creator>wcarroll</dc:creator>
  <cp:lastModifiedBy>CTAC</cp:lastModifiedBy>
  <cp:revision>2</cp:revision>
  <cp:lastPrinted>2011-09-14T23:12:00Z</cp:lastPrinted>
  <dcterms:created xsi:type="dcterms:W3CDTF">2012-05-25T18:15:00Z</dcterms:created>
  <dcterms:modified xsi:type="dcterms:W3CDTF">2012-05-25T18:15:00Z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