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29" w:rsidRDefault="00367229" w:rsidP="00367229">
      <w:pPr>
        <w:jc w:val="center"/>
        <w:rPr>
          <w:rFonts w:ascii="Arial" w:hAnsi="Arial" w:cs="Arial"/>
          <w:b/>
          <w:sz w:val="24"/>
          <w:szCs w:val="24"/>
        </w:rPr>
      </w:pPr>
      <w:r w:rsidRPr="00367229">
        <w:rPr>
          <w:rFonts w:ascii="Arial" w:hAnsi="Arial" w:cs="Arial"/>
          <w:b/>
          <w:sz w:val="24"/>
          <w:szCs w:val="24"/>
        </w:rPr>
        <w:t>Justification for Request for Approval of Non-Substantive Changes to OMB-PRA package 0923-0042 “Morbidity Study of Former Marines, Dependents, and Employees Potentially Exposed to Contaminated Drinking Water at USMC Base Camp Lejeune”</w:t>
      </w:r>
    </w:p>
    <w:p w:rsidR="00783D6C" w:rsidRPr="00367229" w:rsidRDefault="00783D6C" w:rsidP="003672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2012</w:t>
      </w:r>
    </w:p>
    <w:p w:rsidR="00367229" w:rsidRDefault="00367229" w:rsidP="00367229">
      <w:pPr>
        <w:jc w:val="center"/>
      </w:pPr>
    </w:p>
    <w:p w:rsidR="00DA66F3" w:rsidRDefault="00AE78D5" w:rsidP="0036722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One component of this </w:t>
      </w:r>
      <w:r w:rsidR="00590D02">
        <w:rPr>
          <w:rFonts w:ascii="Arial" w:hAnsi="Arial"/>
          <w:sz w:val="20"/>
        </w:rPr>
        <w:t xml:space="preserve">project </w:t>
      </w:r>
      <w:r>
        <w:rPr>
          <w:rFonts w:ascii="Arial" w:hAnsi="Arial"/>
          <w:sz w:val="20"/>
        </w:rPr>
        <w:t>involves sending the health survey to people who register with the Marine Corps</w:t>
      </w:r>
      <w:r w:rsidR="00783D6C">
        <w:rPr>
          <w:rFonts w:ascii="Arial" w:hAnsi="Arial"/>
          <w:sz w:val="20"/>
        </w:rPr>
        <w:t xml:space="preserve"> to receive information about the exposure to contaminated water at Camp Lejeune,</w:t>
      </w:r>
      <w:r w:rsidR="00783D6C" w:rsidRPr="00783D6C">
        <w:rPr>
          <w:rFonts w:ascii="Arial" w:hAnsi="Arial"/>
          <w:sz w:val="20"/>
        </w:rPr>
        <w:t xml:space="preserve"> </w:t>
      </w:r>
      <w:r w:rsidR="00783D6C">
        <w:rPr>
          <w:rFonts w:ascii="Arial" w:hAnsi="Arial"/>
          <w:sz w:val="20"/>
        </w:rPr>
        <w:t>referred to in the OMB-PRA package and IRB protocol as the “Registered Group”</w:t>
      </w:r>
      <w:r w:rsidR="00AD61B9">
        <w:rPr>
          <w:rFonts w:ascii="Arial" w:hAnsi="Arial"/>
          <w:sz w:val="20"/>
        </w:rPr>
        <w:t>.  The responses from this group</w:t>
      </w:r>
      <w:r w:rsidR="00BA53E9">
        <w:rPr>
          <w:rFonts w:ascii="Arial" w:hAnsi="Arial"/>
          <w:sz w:val="20"/>
        </w:rPr>
        <w:t xml:space="preserve"> </w:t>
      </w:r>
      <w:proofErr w:type="gramStart"/>
      <w:r w:rsidR="00BA53E9">
        <w:rPr>
          <w:rFonts w:ascii="Arial" w:hAnsi="Arial"/>
          <w:sz w:val="20"/>
        </w:rPr>
        <w:t>will</w:t>
      </w:r>
      <w:r w:rsidR="000D0D36">
        <w:rPr>
          <w:rFonts w:ascii="Arial" w:hAnsi="Arial"/>
          <w:sz w:val="20"/>
        </w:rPr>
        <w:t xml:space="preserve"> be </w:t>
      </w:r>
      <w:r w:rsidR="00AD61B9">
        <w:rPr>
          <w:rFonts w:ascii="Arial" w:hAnsi="Arial"/>
          <w:sz w:val="20"/>
        </w:rPr>
        <w:t>compiled</w:t>
      </w:r>
      <w:proofErr w:type="gramEnd"/>
      <w:r w:rsidR="00AD61B9">
        <w:rPr>
          <w:rFonts w:ascii="Arial" w:hAnsi="Arial"/>
          <w:sz w:val="20"/>
        </w:rPr>
        <w:t xml:space="preserve"> into a </w:t>
      </w:r>
      <w:r w:rsidR="00783D6C">
        <w:rPr>
          <w:rFonts w:ascii="Arial" w:hAnsi="Arial"/>
          <w:sz w:val="20"/>
        </w:rPr>
        <w:t xml:space="preserve">descriptive </w:t>
      </w:r>
      <w:r w:rsidR="00AD61B9">
        <w:rPr>
          <w:rFonts w:ascii="Arial" w:hAnsi="Arial"/>
          <w:sz w:val="20"/>
        </w:rPr>
        <w:t>report, but are not part of the research component of this project</w:t>
      </w:r>
      <w:r w:rsidR="00BA53E9">
        <w:rPr>
          <w:rFonts w:ascii="Arial" w:hAnsi="Arial"/>
          <w:sz w:val="20"/>
        </w:rPr>
        <w:t xml:space="preserve">.  </w:t>
      </w:r>
      <w:r w:rsidR="00AD61B9">
        <w:rPr>
          <w:rFonts w:ascii="Arial" w:hAnsi="Arial"/>
          <w:sz w:val="20"/>
        </w:rPr>
        <w:t>At the time the contract request and OMB package were prepared, an estimate was made of t</w:t>
      </w:r>
      <w:r>
        <w:rPr>
          <w:rFonts w:ascii="Arial" w:hAnsi="Arial"/>
          <w:sz w:val="20"/>
        </w:rPr>
        <w:t>he number of people expected to register with the Marine Corps to receive the health survey.  This estimate was incorrect</w:t>
      </w:r>
      <w:r w:rsidR="00AD61B9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</w:t>
      </w:r>
      <w:r w:rsidR="00AD61B9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he number of people who registered with the Marines </w:t>
      </w:r>
      <w:r w:rsidR="003C7B32">
        <w:rPr>
          <w:rFonts w:ascii="Arial" w:hAnsi="Arial"/>
          <w:sz w:val="20"/>
        </w:rPr>
        <w:t xml:space="preserve">by June 30, 2011 </w:t>
      </w:r>
      <w:r>
        <w:rPr>
          <w:rFonts w:ascii="Arial" w:hAnsi="Arial"/>
          <w:sz w:val="20"/>
        </w:rPr>
        <w:t xml:space="preserve">and </w:t>
      </w:r>
      <w:r w:rsidR="00783D6C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 xml:space="preserve">whom ATSDR </w:t>
      </w:r>
      <w:r w:rsidR="003C7B32">
        <w:rPr>
          <w:rFonts w:ascii="Arial" w:hAnsi="Arial"/>
          <w:sz w:val="20"/>
        </w:rPr>
        <w:t>agreed</w:t>
      </w:r>
      <w:r>
        <w:rPr>
          <w:rFonts w:ascii="Arial" w:hAnsi="Arial"/>
          <w:sz w:val="20"/>
        </w:rPr>
        <w:t xml:space="preserve"> to send a survey exceeded the original estimate by approximately 66,000 people.  </w:t>
      </w:r>
    </w:p>
    <w:p w:rsidR="00590D02" w:rsidRDefault="009B282C" w:rsidP="0036722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Including these additional people in the survey is not expected to result in more respondents than previously approved by OMB for this information collection package.  </w:t>
      </w:r>
      <w:r w:rsidR="00DA66F3">
        <w:rPr>
          <w:rFonts w:ascii="Arial" w:hAnsi="Arial"/>
          <w:sz w:val="20"/>
        </w:rPr>
        <w:t>The response rate for the survey participants is lower than was anticipated.  The actual response rate is estimated to be 27-28% when late responders are included</w:t>
      </w:r>
      <w:r w:rsidR="00CF5B3F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compared to the response rate of 40% noted in the PRA package.  </w:t>
      </w:r>
    </w:p>
    <w:p w:rsidR="00DA66F3" w:rsidRDefault="00783D6C" w:rsidP="0036722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ATSDR is authorized to collect 142,803 responses over the life of this package. </w:t>
      </w:r>
      <w:r w:rsidR="00590D02">
        <w:rPr>
          <w:rFonts w:ascii="Arial" w:hAnsi="Arial"/>
          <w:sz w:val="20"/>
        </w:rPr>
        <w:t xml:space="preserve"> The number of surveys received to date is approximately 7</w:t>
      </w:r>
      <w:r w:rsidR="00153B9C">
        <w:rPr>
          <w:rFonts w:ascii="Arial" w:hAnsi="Arial"/>
          <w:sz w:val="20"/>
        </w:rPr>
        <w:t>7</w:t>
      </w:r>
      <w:r w:rsidR="00590D02">
        <w:rPr>
          <w:rFonts w:ascii="Arial" w:hAnsi="Arial"/>
          <w:sz w:val="20"/>
        </w:rPr>
        <w:t>,100.</w:t>
      </w:r>
      <w:r w:rsidR="009B282C">
        <w:rPr>
          <w:rFonts w:ascii="Arial" w:hAnsi="Arial"/>
          <w:sz w:val="20"/>
        </w:rPr>
        <w:t xml:space="preserve">If the response rate of these additional people is 40%, the total number of respondents will </w:t>
      </w:r>
      <w:r>
        <w:rPr>
          <w:rFonts w:ascii="Arial" w:hAnsi="Arial"/>
          <w:sz w:val="20"/>
        </w:rPr>
        <w:t>be approximately</w:t>
      </w:r>
      <w:r w:rsidR="00590D02">
        <w:rPr>
          <w:rFonts w:ascii="Arial" w:hAnsi="Arial"/>
          <w:sz w:val="20"/>
        </w:rPr>
        <w:t xml:space="preserve"> 10</w:t>
      </w:r>
      <w:r w:rsidR="00153B9C">
        <w:rPr>
          <w:rFonts w:ascii="Arial" w:hAnsi="Arial"/>
          <w:sz w:val="20"/>
        </w:rPr>
        <w:t>3</w:t>
      </w:r>
      <w:r w:rsidR="00590D02">
        <w:rPr>
          <w:rFonts w:ascii="Arial" w:hAnsi="Arial"/>
          <w:sz w:val="20"/>
        </w:rPr>
        <w:t>,500</w:t>
      </w:r>
      <w:r>
        <w:rPr>
          <w:rFonts w:ascii="Arial" w:hAnsi="Arial"/>
          <w:sz w:val="20"/>
        </w:rPr>
        <w:t xml:space="preserve"> </w:t>
      </w:r>
      <w:r w:rsidR="00590D02">
        <w:rPr>
          <w:rFonts w:ascii="Arial" w:hAnsi="Arial"/>
          <w:sz w:val="20"/>
        </w:rPr>
        <w:t>which does</w:t>
      </w:r>
      <w:r w:rsidR="009B282C">
        <w:rPr>
          <w:rFonts w:ascii="Arial" w:hAnsi="Arial"/>
          <w:sz w:val="20"/>
        </w:rPr>
        <w:t xml:space="preserve"> not exceed the </w:t>
      </w:r>
      <w:r w:rsidR="00ED51C6">
        <w:rPr>
          <w:rFonts w:ascii="Arial" w:hAnsi="Arial"/>
          <w:sz w:val="20"/>
        </w:rPr>
        <w:t xml:space="preserve">total </w:t>
      </w:r>
      <w:bookmarkStart w:id="0" w:name="_GoBack"/>
      <w:bookmarkEnd w:id="0"/>
      <w:r w:rsidR="009B282C">
        <w:rPr>
          <w:rFonts w:ascii="Arial" w:hAnsi="Arial"/>
          <w:sz w:val="20"/>
        </w:rPr>
        <w:t xml:space="preserve">number </w:t>
      </w:r>
      <w:r w:rsidR="00590D02">
        <w:rPr>
          <w:rFonts w:ascii="Arial" w:hAnsi="Arial"/>
          <w:sz w:val="20"/>
        </w:rPr>
        <w:t xml:space="preserve">of respondents </w:t>
      </w:r>
      <w:r w:rsidR="009B282C">
        <w:rPr>
          <w:rFonts w:ascii="Arial" w:hAnsi="Arial"/>
          <w:sz w:val="20"/>
        </w:rPr>
        <w:t xml:space="preserve">authorized by OMB for this information collection package. </w:t>
      </w:r>
    </w:p>
    <w:p w:rsidR="00AD61B9" w:rsidRPr="00CF5B3F" w:rsidRDefault="00AD61B9" w:rsidP="0036722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ATSDR is requesting to use a modified process and modified consent document in surveying these </w:t>
      </w:r>
      <w:r w:rsidRPr="00CF5B3F">
        <w:rPr>
          <w:rFonts w:ascii="Arial" w:hAnsi="Arial"/>
          <w:sz w:val="20"/>
          <w:szCs w:val="20"/>
        </w:rPr>
        <w:t>additional registrants.</w:t>
      </w:r>
    </w:p>
    <w:p w:rsidR="00CF5B3F" w:rsidRPr="00CF5B3F" w:rsidRDefault="00CF5B3F" w:rsidP="00CF5B3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5B3F">
        <w:rPr>
          <w:rFonts w:ascii="Arial" w:hAnsi="Arial" w:cs="Arial"/>
          <w:sz w:val="20"/>
          <w:szCs w:val="20"/>
        </w:rPr>
        <w:t>There will only be one mailing</w:t>
      </w:r>
      <w:r w:rsidR="003C7B32">
        <w:rPr>
          <w:rFonts w:ascii="Arial" w:hAnsi="Arial" w:cs="Arial"/>
          <w:sz w:val="20"/>
          <w:szCs w:val="20"/>
        </w:rPr>
        <w:t xml:space="preserve"> instead of also sending a</w:t>
      </w:r>
      <w:r w:rsidRPr="00CF5B3F">
        <w:rPr>
          <w:rFonts w:ascii="Arial" w:hAnsi="Arial" w:cs="Arial"/>
          <w:sz w:val="20"/>
          <w:szCs w:val="20"/>
        </w:rPr>
        <w:t xml:space="preserve"> pre-survey letter notifying them to expect the survey</w:t>
      </w:r>
      <w:r w:rsidR="00BA53E9">
        <w:rPr>
          <w:rFonts w:ascii="Arial" w:hAnsi="Arial" w:cs="Arial"/>
          <w:sz w:val="20"/>
          <w:szCs w:val="20"/>
        </w:rPr>
        <w:t xml:space="preserve">.  </w:t>
      </w:r>
      <w:r w:rsidR="003C7B32">
        <w:rPr>
          <w:rFonts w:ascii="Arial" w:hAnsi="Arial" w:cs="Arial"/>
          <w:sz w:val="20"/>
          <w:szCs w:val="20"/>
        </w:rPr>
        <w:t>O</w:t>
      </w:r>
      <w:r w:rsidRPr="00CF5B3F">
        <w:rPr>
          <w:rFonts w:ascii="Arial" w:hAnsi="Arial" w:cs="Arial"/>
          <w:sz w:val="20"/>
          <w:szCs w:val="20"/>
        </w:rPr>
        <w:t xml:space="preserve">nly the </w:t>
      </w:r>
      <w:r w:rsidR="00783D6C">
        <w:rPr>
          <w:rFonts w:ascii="Arial" w:hAnsi="Arial" w:cs="Arial"/>
          <w:sz w:val="20"/>
          <w:szCs w:val="20"/>
        </w:rPr>
        <w:t>survey packet</w:t>
      </w:r>
      <w:r w:rsidRPr="00CF5B3F">
        <w:rPr>
          <w:rFonts w:ascii="Arial" w:hAnsi="Arial" w:cs="Arial"/>
          <w:sz w:val="20"/>
          <w:szCs w:val="20"/>
        </w:rPr>
        <w:t xml:space="preserve"> containing the letter of </w:t>
      </w:r>
      <w:r w:rsidR="003C7B32">
        <w:rPr>
          <w:rFonts w:ascii="Arial" w:hAnsi="Arial" w:cs="Arial"/>
          <w:sz w:val="20"/>
          <w:szCs w:val="20"/>
        </w:rPr>
        <w:t>invitation</w:t>
      </w:r>
      <w:r w:rsidRPr="00CF5B3F">
        <w:rPr>
          <w:rFonts w:ascii="Arial" w:hAnsi="Arial" w:cs="Arial"/>
          <w:sz w:val="20"/>
          <w:szCs w:val="20"/>
        </w:rPr>
        <w:t>, the consent document, and the survey questions</w:t>
      </w:r>
      <w:r w:rsidR="003C7B32">
        <w:rPr>
          <w:rFonts w:ascii="Arial" w:hAnsi="Arial" w:cs="Arial"/>
          <w:sz w:val="20"/>
          <w:szCs w:val="20"/>
        </w:rPr>
        <w:t xml:space="preserve"> will be sent</w:t>
      </w:r>
      <w:r w:rsidRPr="00CF5B3F">
        <w:rPr>
          <w:rFonts w:ascii="Arial" w:hAnsi="Arial" w:cs="Arial"/>
          <w:sz w:val="20"/>
          <w:szCs w:val="20"/>
        </w:rPr>
        <w:t xml:space="preserve">. </w:t>
      </w:r>
    </w:p>
    <w:p w:rsidR="00CF5B3F" w:rsidRPr="00CF5B3F" w:rsidRDefault="00CF5B3F" w:rsidP="00CF5B3F">
      <w:pPr>
        <w:pStyle w:val="ListParagraph"/>
        <w:rPr>
          <w:rFonts w:ascii="Arial" w:hAnsi="Arial" w:cs="Arial"/>
          <w:sz w:val="20"/>
          <w:szCs w:val="20"/>
        </w:rPr>
      </w:pPr>
    </w:p>
    <w:p w:rsidR="00CF5B3F" w:rsidRDefault="00CF5B3F" w:rsidP="00CF5B3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5B3F">
        <w:rPr>
          <w:rFonts w:ascii="Arial" w:hAnsi="Arial" w:cs="Arial"/>
          <w:sz w:val="20"/>
          <w:szCs w:val="20"/>
        </w:rPr>
        <w:t>The consent document and the survey instructions will be modified. The help desk and web-based survey were staffed by Westat and are no longer active, thus for these survey participants, the number to call for information about the survey will be changed to a number staffed by CDC and the web-based survey option will not be available.</w:t>
      </w:r>
    </w:p>
    <w:p w:rsidR="003E3CFC" w:rsidRPr="003E3CFC" w:rsidRDefault="003E3CFC" w:rsidP="003E3CFC">
      <w:pPr>
        <w:pStyle w:val="ListParagraph"/>
        <w:rPr>
          <w:rFonts w:ascii="Arial" w:hAnsi="Arial" w:cs="Arial"/>
          <w:sz w:val="20"/>
          <w:szCs w:val="20"/>
        </w:rPr>
      </w:pPr>
    </w:p>
    <w:p w:rsidR="003E3CFC" w:rsidRPr="003E3CFC" w:rsidRDefault="003E3CFC" w:rsidP="003E3C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estimated cost to the government for surveying these additional people is $268,000</w:t>
      </w:r>
      <w:r w:rsidR="00BA53E9">
        <w:rPr>
          <w:rFonts w:ascii="Arial" w:hAnsi="Arial" w:cs="Arial"/>
          <w:sz w:val="20"/>
          <w:szCs w:val="20"/>
        </w:rPr>
        <w:t xml:space="preserve"> ($218,000 for the contractor and $50,000 for ATSDR personnel costs)</w:t>
      </w:r>
      <w:r>
        <w:rPr>
          <w:rFonts w:ascii="Arial" w:hAnsi="Arial" w:cs="Arial"/>
          <w:sz w:val="20"/>
          <w:szCs w:val="20"/>
        </w:rPr>
        <w:t>.  This represents an increase of 1.</w:t>
      </w:r>
      <w:r w:rsidR="004E28C8"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 xml:space="preserve">% </w:t>
      </w:r>
      <w:r w:rsidR="00BA53E9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the original budget of $14,700,000.</w:t>
      </w:r>
    </w:p>
    <w:p w:rsidR="00CF5B3F" w:rsidRPr="00CF5B3F" w:rsidRDefault="00CF5B3F" w:rsidP="00CF5B3F">
      <w:pPr>
        <w:pStyle w:val="ListParagraph"/>
        <w:rPr>
          <w:rFonts w:ascii="Arial" w:hAnsi="Arial" w:cs="Arial"/>
          <w:sz w:val="20"/>
          <w:szCs w:val="20"/>
        </w:rPr>
      </w:pPr>
    </w:p>
    <w:sectPr w:rsidR="00CF5B3F" w:rsidRPr="00CF5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0791D"/>
    <w:multiLevelType w:val="hybridMultilevel"/>
    <w:tmpl w:val="80FE02E8"/>
    <w:lvl w:ilvl="0" w:tplc="E3B642F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29"/>
    <w:rsid w:val="000472C6"/>
    <w:rsid w:val="000D0D36"/>
    <w:rsid w:val="00153B9C"/>
    <w:rsid w:val="00367229"/>
    <w:rsid w:val="003C7B32"/>
    <w:rsid w:val="003E3CFC"/>
    <w:rsid w:val="004E28C8"/>
    <w:rsid w:val="00590D02"/>
    <w:rsid w:val="00783D6C"/>
    <w:rsid w:val="00871822"/>
    <w:rsid w:val="009B282C"/>
    <w:rsid w:val="00AD61B9"/>
    <w:rsid w:val="00AE78D5"/>
    <w:rsid w:val="00B65124"/>
    <w:rsid w:val="00BA53E9"/>
    <w:rsid w:val="00CF5B3F"/>
    <w:rsid w:val="00D01CD0"/>
    <w:rsid w:val="00DA66F3"/>
    <w:rsid w:val="00DB35AD"/>
    <w:rsid w:val="00E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7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7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Sowell, Anne (ATSDR/DHS/OD)</dc:creator>
  <cp:lastModifiedBy>Sowell, Anne (ATSDR/DHS/OD)</cp:lastModifiedBy>
  <cp:revision>3</cp:revision>
  <dcterms:created xsi:type="dcterms:W3CDTF">2012-02-02T20:03:00Z</dcterms:created>
  <dcterms:modified xsi:type="dcterms:W3CDTF">2012-02-02T20:57:00Z</dcterms:modified>
</cp:coreProperties>
</file>