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79" w:rsidRDefault="00C71079" w:rsidP="00C71079">
      <w:pPr>
        <w:spacing w:after="0"/>
        <w:rPr>
          <w:rFonts w:asciiTheme="majorHAnsi" w:hAnsiTheme="majorHAnsi" w:cs="Times New Roman"/>
          <w:color w:val="000000"/>
          <w:sz w:val="36"/>
          <w:szCs w:val="36"/>
        </w:rPr>
      </w:pPr>
    </w:p>
    <w:p w:rsidR="00C71079" w:rsidRDefault="00C71079" w:rsidP="00C71079">
      <w:pPr>
        <w:spacing w:after="0"/>
        <w:rPr>
          <w:rFonts w:asciiTheme="majorHAnsi" w:hAnsiTheme="majorHAnsi" w:cs="Times New Roman"/>
          <w:color w:val="000000"/>
          <w:sz w:val="36"/>
          <w:szCs w:val="36"/>
        </w:rPr>
      </w:pPr>
    </w:p>
    <w:p w:rsidR="00C71079" w:rsidRDefault="00C71079" w:rsidP="00C71079">
      <w:pPr>
        <w:spacing w:after="0"/>
        <w:rPr>
          <w:rFonts w:asciiTheme="majorHAnsi" w:hAnsiTheme="majorHAnsi" w:cs="Times New Roman"/>
          <w:color w:val="000000"/>
          <w:sz w:val="36"/>
          <w:szCs w:val="36"/>
        </w:rPr>
      </w:pPr>
    </w:p>
    <w:p w:rsidR="00C71079" w:rsidRDefault="00C71079" w:rsidP="00C71079">
      <w:pPr>
        <w:spacing w:after="0"/>
        <w:rPr>
          <w:rFonts w:asciiTheme="majorHAnsi" w:hAnsiTheme="majorHAnsi" w:cs="Times New Roman"/>
          <w:color w:val="000000"/>
          <w:sz w:val="36"/>
          <w:szCs w:val="36"/>
        </w:rPr>
      </w:pPr>
    </w:p>
    <w:p w:rsidR="00C71079" w:rsidRDefault="00C71079" w:rsidP="00C71079">
      <w:pPr>
        <w:spacing w:after="0"/>
        <w:rPr>
          <w:rFonts w:asciiTheme="majorHAnsi" w:hAnsiTheme="majorHAnsi" w:cs="Times New Roman"/>
          <w:color w:val="000000"/>
          <w:sz w:val="36"/>
          <w:szCs w:val="36"/>
        </w:rPr>
      </w:pPr>
    </w:p>
    <w:p w:rsidR="00C71079" w:rsidRDefault="00C71079" w:rsidP="00C71079">
      <w:pPr>
        <w:jc w:val="center"/>
        <w:rPr>
          <w:rFonts w:asciiTheme="majorHAnsi" w:hAnsiTheme="majorHAnsi" w:cs="Times New Roman"/>
          <w:color w:val="000000"/>
          <w:sz w:val="36"/>
          <w:szCs w:val="36"/>
        </w:rPr>
      </w:pPr>
      <w:r>
        <w:rPr>
          <w:rFonts w:asciiTheme="majorHAnsi" w:hAnsiTheme="majorHAnsi" w:cs="Times New Roman"/>
          <w:color w:val="000000"/>
          <w:sz w:val="36"/>
          <w:szCs w:val="36"/>
        </w:rPr>
        <w:t xml:space="preserve">Appendix </w:t>
      </w:r>
      <w:r w:rsidR="009914D2">
        <w:rPr>
          <w:rFonts w:asciiTheme="majorHAnsi" w:hAnsiTheme="majorHAnsi" w:cs="Times New Roman"/>
          <w:color w:val="000000"/>
          <w:sz w:val="36"/>
          <w:szCs w:val="36"/>
        </w:rPr>
        <w:t>C</w:t>
      </w:r>
      <w:bookmarkStart w:id="0" w:name="_GoBack"/>
      <w:bookmarkEnd w:id="0"/>
    </w:p>
    <w:p w:rsidR="00C71079" w:rsidRDefault="00C71079" w:rsidP="00C71079">
      <w:pPr>
        <w:jc w:val="center"/>
        <w:rPr>
          <w:rFonts w:asciiTheme="majorHAnsi" w:hAnsiTheme="majorHAnsi" w:cs="Times New Roman"/>
          <w:color w:val="000000"/>
          <w:sz w:val="36"/>
          <w:szCs w:val="36"/>
        </w:rPr>
      </w:pPr>
    </w:p>
    <w:p w:rsidR="00C71079" w:rsidRPr="00C71079" w:rsidRDefault="00C71079" w:rsidP="00C71079">
      <w:pPr>
        <w:jc w:val="center"/>
        <w:rPr>
          <w:rFonts w:asciiTheme="majorHAnsi" w:hAnsiTheme="majorHAnsi" w:cs="Times New Roman"/>
          <w:color w:val="000000"/>
          <w:sz w:val="36"/>
          <w:szCs w:val="36"/>
        </w:rPr>
      </w:pPr>
      <w:r>
        <w:rPr>
          <w:rFonts w:asciiTheme="majorHAnsi" w:hAnsiTheme="majorHAnsi" w:cs="Times New Roman"/>
          <w:color w:val="000000"/>
          <w:sz w:val="36"/>
          <w:szCs w:val="36"/>
        </w:rPr>
        <w:t>Excerpt from Division F—Labor, Health, and Human Services, and Education, and Related Agencies Appropriations explanatory statements accompanying the H.R. 1105, FY 2009 Omnibus Appropriations Act</w:t>
      </w:r>
      <w:r w:rsidRPr="00C71079">
        <w:rPr>
          <w:rFonts w:asciiTheme="majorHAnsi" w:hAnsiTheme="majorHAnsi" w:cs="Times New Roman"/>
          <w:color w:val="000000"/>
          <w:sz w:val="36"/>
          <w:szCs w:val="36"/>
        </w:rPr>
        <w:br w:type="page"/>
      </w:r>
    </w:p>
    <w:p w:rsidR="00132FE9" w:rsidRPr="00132FE9" w:rsidRDefault="00132FE9" w:rsidP="00132FE9">
      <w:pPr>
        <w:pStyle w:val="Default"/>
        <w:spacing w:line="276" w:lineRule="auto"/>
        <w:ind w:firstLine="360"/>
        <w:jc w:val="center"/>
      </w:pPr>
      <w:r w:rsidRPr="00132FE9">
        <w:lastRenderedPageBreak/>
        <w:t>Division F—Labor, Health and Human Services, and Education, and Related Agencies Appropriations explanatory statements accompanying the H.R. 1105, FY 2009 Omnibus Appropriations Act</w:t>
      </w:r>
      <w:r w:rsidRPr="00132FE9">
        <w:rPr>
          <w:rStyle w:val="FootnoteReference"/>
        </w:rPr>
        <w:footnoteReference w:id="1"/>
      </w:r>
    </w:p>
    <w:p w:rsidR="00132FE9" w:rsidRPr="00132FE9" w:rsidRDefault="00132FE9" w:rsidP="00132FE9">
      <w:pPr>
        <w:spacing w:after="0"/>
        <w:rPr>
          <w:rFonts w:ascii="Times New Roman" w:hAnsi="Times New Roman" w:cs="Times New Roman"/>
          <w:b/>
          <w:sz w:val="24"/>
          <w:szCs w:val="24"/>
        </w:rPr>
      </w:pPr>
    </w:p>
    <w:p w:rsidR="00132FE9" w:rsidRPr="00132FE9" w:rsidRDefault="00132FE9" w:rsidP="00132FE9">
      <w:pPr>
        <w:ind w:left="720" w:right="720"/>
        <w:rPr>
          <w:rFonts w:ascii="Times New Roman" w:hAnsi="Times New Roman" w:cs="Times New Roman"/>
          <w:sz w:val="24"/>
          <w:szCs w:val="24"/>
        </w:rPr>
      </w:pPr>
      <w:r w:rsidRPr="00132FE9">
        <w:rPr>
          <w:rFonts w:ascii="Times New Roman" w:hAnsi="Times New Roman" w:cs="Times New Roman"/>
          <w:sz w:val="24"/>
          <w:szCs w:val="24"/>
        </w:rPr>
        <w:t>The bill includes $250,000 for NIOSH to undertake follow-up studies on the National Hospital Ambulatory Medical Care Survey</w:t>
      </w:r>
      <w:r w:rsidRPr="00132FE9">
        <w:rPr>
          <w:rStyle w:val="FootnoteReference"/>
          <w:sz w:val="24"/>
          <w:szCs w:val="24"/>
        </w:rPr>
        <w:footnoteReference w:id="2"/>
      </w:r>
      <w:r w:rsidRPr="00132FE9">
        <w:rPr>
          <w:rFonts w:ascii="Times New Roman" w:hAnsi="Times New Roman" w:cs="Times New Roman"/>
          <w:sz w:val="24"/>
          <w:szCs w:val="24"/>
        </w:rPr>
        <w:t xml:space="preserve"> on the underreporting of worker injury data, particularly focusing on the self-employed population. As NIOSH develops research agendas, NIOSH should consider the disproportionate attention paid to acute injuries and illnesses over chronic injuries and illnesses contracted at work places in America. NIOSH shall continue to work with the Bureau of Labor Statistics to improve the statistics that direct Federal enforcement and compliance efforts aimed at preventing illness and injury at our Nation's workplaces. NIOSH shall provide a letter report on activities in this area to the Committees on Appropriations of the House of Representatives and the Senate not later than 90 days after enactment of Act.</w:t>
      </w:r>
    </w:p>
    <w:sectPr w:rsidR="00132FE9" w:rsidRPr="00132FE9" w:rsidSect="003165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E9" w:rsidRDefault="00132FE9" w:rsidP="00132FE9">
      <w:pPr>
        <w:spacing w:after="0" w:line="240" w:lineRule="auto"/>
      </w:pPr>
      <w:r>
        <w:separator/>
      </w:r>
    </w:p>
  </w:endnote>
  <w:endnote w:type="continuationSeparator" w:id="0">
    <w:p w:rsidR="00132FE9" w:rsidRDefault="00132FE9" w:rsidP="0013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E9" w:rsidRDefault="00132FE9" w:rsidP="00132FE9">
      <w:pPr>
        <w:spacing w:after="0" w:line="240" w:lineRule="auto"/>
      </w:pPr>
      <w:r>
        <w:separator/>
      </w:r>
    </w:p>
  </w:footnote>
  <w:footnote w:type="continuationSeparator" w:id="0">
    <w:p w:rsidR="00132FE9" w:rsidRDefault="00132FE9" w:rsidP="00132FE9">
      <w:pPr>
        <w:spacing w:after="0" w:line="240" w:lineRule="auto"/>
      </w:pPr>
      <w:r>
        <w:continuationSeparator/>
      </w:r>
    </w:p>
  </w:footnote>
  <w:footnote w:id="1">
    <w:p w:rsidR="00132FE9" w:rsidRPr="00AE097F" w:rsidRDefault="00132FE9" w:rsidP="00132FE9">
      <w:pPr>
        <w:pStyle w:val="FootnoteText"/>
        <w:rPr>
          <w:rFonts w:ascii="Times New Roman" w:hAnsi="Times New Roman" w:cs="Times New Roman"/>
        </w:rPr>
      </w:pPr>
      <w:r w:rsidRPr="00AE097F">
        <w:rPr>
          <w:rStyle w:val="FootnoteReference"/>
          <w:rFonts w:ascii="Times New Roman" w:hAnsi="Times New Roman" w:cs="Times New Roman"/>
        </w:rPr>
        <w:footnoteRef/>
      </w:r>
      <w:r w:rsidRPr="00AE097F">
        <w:rPr>
          <w:rFonts w:ascii="Times New Roman" w:hAnsi="Times New Roman" w:cs="Times New Roman"/>
        </w:rPr>
        <w:t xml:space="preserve"> http://docs.house.gov/rules/omni/jes/divfjes_111_hromni2009_jes.pdf</w:t>
      </w:r>
    </w:p>
  </w:footnote>
  <w:footnote w:id="2">
    <w:p w:rsidR="00132FE9" w:rsidRPr="00AE097F" w:rsidRDefault="00132FE9" w:rsidP="00132FE9">
      <w:pPr>
        <w:pStyle w:val="FootnoteText"/>
        <w:rPr>
          <w:rFonts w:ascii="Times New Roman" w:hAnsi="Times New Roman" w:cs="Times New Roman"/>
        </w:rPr>
      </w:pPr>
      <w:r w:rsidRPr="00AE097F">
        <w:rPr>
          <w:rStyle w:val="FootnoteReference"/>
          <w:rFonts w:ascii="Times New Roman" w:hAnsi="Times New Roman" w:cs="Times New Roman"/>
        </w:rPr>
        <w:footnoteRef/>
      </w:r>
      <w:r w:rsidRPr="00AE097F">
        <w:rPr>
          <w:rFonts w:ascii="Times New Roman" w:hAnsi="Times New Roman" w:cs="Times New Roman"/>
        </w:rPr>
        <w:t xml:space="preserve"> </w:t>
      </w:r>
      <w:r>
        <w:rPr>
          <w:rFonts w:ascii="Times New Roman" w:hAnsi="Times New Roman" w:cs="Times New Roman"/>
        </w:rPr>
        <w:t xml:space="preserve">After the disadvantages of using the </w:t>
      </w:r>
      <w:r w:rsidRPr="00132FE9">
        <w:rPr>
          <w:rFonts w:ascii="Times New Roman" w:hAnsi="Times New Roman" w:cs="Times New Roman"/>
        </w:rPr>
        <w:t>(NHAMCS)</w:t>
      </w:r>
      <w:r>
        <w:rPr>
          <w:rFonts w:ascii="Times New Roman" w:hAnsi="Times New Roman" w:cs="Times New Roman"/>
        </w:rPr>
        <w:t xml:space="preserve"> and the advantages of using NEISS-Work were presented to CDC and Congress, the use of NEISS-Work instead of NHAMCS for this study was approved.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E9"/>
    <w:rsid w:val="00132FE9"/>
    <w:rsid w:val="00316511"/>
    <w:rsid w:val="00643AA5"/>
    <w:rsid w:val="00784CF8"/>
    <w:rsid w:val="008F7364"/>
    <w:rsid w:val="009914D2"/>
    <w:rsid w:val="00C7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2FE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
    <w:basedOn w:val="Normal"/>
    <w:link w:val="FootnoteTextChar"/>
    <w:semiHidden/>
    <w:unhideWhenUsed/>
    <w:rsid w:val="00132FE9"/>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132FE9"/>
    <w:rPr>
      <w:sz w:val="20"/>
      <w:szCs w:val="20"/>
    </w:rPr>
  </w:style>
  <w:style w:type="character" w:styleId="FootnoteReference">
    <w:name w:val="footnote reference"/>
    <w:basedOn w:val="DefaultParagraphFont"/>
    <w:semiHidden/>
    <w:unhideWhenUsed/>
    <w:rsid w:val="00132F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2FE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
    <w:basedOn w:val="Normal"/>
    <w:link w:val="FootnoteTextChar"/>
    <w:semiHidden/>
    <w:unhideWhenUsed/>
    <w:rsid w:val="00132FE9"/>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132FE9"/>
    <w:rPr>
      <w:sz w:val="20"/>
      <w:szCs w:val="20"/>
    </w:rPr>
  </w:style>
  <w:style w:type="character" w:styleId="FootnoteReference">
    <w:name w:val="footnote reference"/>
    <w:basedOn w:val="DefaultParagraphFont"/>
    <w:semiHidden/>
    <w:unhideWhenUsed/>
    <w:rsid w:val="00132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Suzanne M. (CDC/NIOSH/DSR)</dc:creator>
  <cp:lastModifiedBy>Downes, Amia L. (CDC/NIOSH/OD)</cp:lastModifiedBy>
  <cp:revision>2</cp:revision>
  <dcterms:created xsi:type="dcterms:W3CDTF">2011-11-23T16:21:00Z</dcterms:created>
  <dcterms:modified xsi:type="dcterms:W3CDTF">2011-11-23T16:21:00Z</dcterms:modified>
</cp:coreProperties>
</file>