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A3" w:rsidRPr="00E96552" w:rsidRDefault="004524A3" w:rsidP="00D6361A">
      <w:pPr>
        <w:ind w:firstLine="360"/>
        <w:jc w:val="center"/>
        <w:rPr>
          <w:b/>
          <w:sz w:val="24"/>
          <w:szCs w:val="24"/>
        </w:rPr>
      </w:pPr>
      <w:bookmarkStart w:id="0" w:name="_GoBack"/>
      <w:bookmarkEnd w:id="0"/>
    </w:p>
    <w:p w:rsidR="0070768A" w:rsidRPr="00E96552" w:rsidRDefault="0070768A" w:rsidP="00D6361A">
      <w:pPr>
        <w:ind w:firstLine="360"/>
        <w:jc w:val="center"/>
        <w:rPr>
          <w:b/>
          <w:sz w:val="24"/>
          <w:szCs w:val="24"/>
        </w:rPr>
      </w:pPr>
    </w:p>
    <w:p w:rsidR="0070768A" w:rsidRPr="00E96552" w:rsidRDefault="0070768A" w:rsidP="00D6361A">
      <w:pPr>
        <w:ind w:firstLine="360"/>
        <w:jc w:val="center"/>
        <w:rPr>
          <w:b/>
          <w:sz w:val="24"/>
          <w:szCs w:val="24"/>
        </w:rPr>
      </w:pPr>
    </w:p>
    <w:p w:rsidR="0070768A" w:rsidRPr="00E96552" w:rsidRDefault="0070768A" w:rsidP="00D6361A">
      <w:pPr>
        <w:spacing w:after="0"/>
        <w:ind w:firstLine="360"/>
        <w:jc w:val="center"/>
        <w:rPr>
          <w:b/>
          <w:sz w:val="24"/>
          <w:szCs w:val="24"/>
        </w:rPr>
      </w:pPr>
      <w:r w:rsidRPr="00E96552">
        <w:rPr>
          <w:b/>
          <w:sz w:val="24"/>
          <w:szCs w:val="24"/>
        </w:rPr>
        <w:t>Underreporting of Occupational Injuries and Illnesses by Workers: A NEISS-Work Telephone Interview Survey</w:t>
      </w:r>
    </w:p>
    <w:p w:rsidR="0070768A" w:rsidRPr="00E96552" w:rsidRDefault="0070768A" w:rsidP="00D6361A">
      <w:pPr>
        <w:spacing w:after="0"/>
        <w:ind w:firstLine="360"/>
        <w:jc w:val="center"/>
        <w:rPr>
          <w:b/>
          <w:sz w:val="24"/>
          <w:szCs w:val="24"/>
        </w:rPr>
      </w:pPr>
    </w:p>
    <w:p w:rsidR="0070768A" w:rsidRPr="00E96552" w:rsidRDefault="0070768A" w:rsidP="00D6361A">
      <w:pPr>
        <w:spacing w:after="0"/>
        <w:ind w:firstLine="360"/>
        <w:jc w:val="center"/>
        <w:rPr>
          <w:b/>
          <w:sz w:val="24"/>
          <w:szCs w:val="24"/>
        </w:rPr>
      </w:pPr>
    </w:p>
    <w:p w:rsidR="0070768A" w:rsidRPr="00E96552" w:rsidRDefault="0070768A" w:rsidP="00D6361A">
      <w:pPr>
        <w:spacing w:after="0"/>
        <w:ind w:firstLine="360"/>
        <w:jc w:val="center"/>
        <w:rPr>
          <w:b/>
          <w:sz w:val="24"/>
          <w:szCs w:val="24"/>
        </w:rPr>
      </w:pPr>
      <w:r w:rsidRPr="00E96552">
        <w:rPr>
          <w:b/>
          <w:sz w:val="24"/>
          <w:szCs w:val="24"/>
        </w:rPr>
        <w:t xml:space="preserve">Request for Office of Management and Budget Review and </w:t>
      </w:r>
    </w:p>
    <w:p w:rsidR="0070768A" w:rsidRPr="00E96552" w:rsidRDefault="0070768A" w:rsidP="00D6361A">
      <w:pPr>
        <w:spacing w:after="0"/>
        <w:ind w:firstLine="360"/>
        <w:jc w:val="center"/>
        <w:rPr>
          <w:b/>
          <w:sz w:val="24"/>
          <w:szCs w:val="24"/>
        </w:rPr>
      </w:pPr>
      <w:r w:rsidRPr="00E96552">
        <w:rPr>
          <w:b/>
          <w:sz w:val="24"/>
          <w:szCs w:val="24"/>
        </w:rPr>
        <w:t>Approval for Federally Sponsored Data Collection</w:t>
      </w:r>
    </w:p>
    <w:p w:rsidR="0070768A" w:rsidRPr="00E96552" w:rsidRDefault="0070768A" w:rsidP="00D6361A">
      <w:pPr>
        <w:spacing w:after="0"/>
        <w:ind w:firstLine="360"/>
        <w:jc w:val="center"/>
        <w:rPr>
          <w:b/>
          <w:sz w:val="24"/>
          <w:szCs w:val="24"/>
        </w:rPr>
      </w:pPr>
    </w:p>
    <w:p w:rsidR="0070768A" w:rsidRPr="00E96552" w:rsidRDefault="0070768A" w:rsidP="00D6361A">
      <w:pPr>
        <w:spacing w:after="0"/>
        <w:ind w:firstLine="360"/>
        <w:jc w:val="center"/>
        <w:rPr>
          <w:b/>
          <w:sz w:val="24"/>
          <w:szCs w:val="24"/>
        </w:rPr>
      </w:pPr>
      <w:r w:rsidRPr="00E96552">
        <w:rPr>
          <w:b/>
          <w:sz w:val="24"/>
          <w:szCs w:val="24"/>
        </w:rPr>
        <w:t>Section A</w:t>
      </w: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p>
    <w:p w:rsidR="0070768A" w:rsidRPr="00E96552" w:rsidRDefault="0070768A" w:rsidP="00D6361A">
      <w:pPr>
        <w:spacing w:after="0"/>
        <w:ind w:firstLine="360"/>
        <w:jc w:val="center"/>
        <w:rPr>
          <w:sz w:val="24"/>
          <w:szCs w:val="24"/>
        </w:rPr>
      </w:pPr>
      <w:r w:rsidRPr="00E96552">
        <w:rPr>
          <w:sz w:val="24"/>
          <w:szCs w:val="24"/>
        </w:rPr>
        <w:t xml:space="preserve">Project officer:  Larry </w:t>
      </w:r>
      <w:r w:rsidR="00C750B5">
        <w:rPr>
          <w:sz w:val="24"/>
          <w:szCs w:val="24"/>
        </w:rPr>
        <w:t xml:space="preserve">L. </w:t>
      </w:r>
      <w:r w:rsidRPr="00E96552">
        <w:rPr>
          <w:sz w:val="24"/>
          <w:szCs w:val="24"/>
        </w:rPr>
        <w:t>Jackson, Chief, Injury Surveillance Team</w:t>
      </w:r>
    </w:p>
    <w:p w:rsidR="00022A7E" w:rsidRPr="00E96552" w:rsidRDefault="00022A7E" w:rsidP="00D6361A">
      <w:pPr>
        <w:spacing w:after="0"/>
        <w:ind w:firstLine="360"/>
        <w:jc w:val="center"/>
        <w:rPr>
          <w:sz w:val="24"/>
          <w:szCs w:val="24"/>
        </w:rPr>
      </w:pPr>
      <w:r w:rsidRPr="00E96552">
        <w:rPr>
          <w:sz w:val="24"/>
          <w:szCs w:val="24"/>
        </w:rPr>
        <w:t>National Institute for Occupational Safety and Health</w:t>
      </w:r>
    </w:p>
    <w:p w:rsidR="00022A7E" w:rsidRPr="00E96552" w:rsidRDefault="00022A7E" w:rsidP="00D6361A">
      <w:pPr>
        <w:spacing w:after="0"/>
        <w:ind w:firstLine="360"/>
        <w:jc w:val="center"/>
        <w:rPr>
          <w:sz w:val="24"/>
          <w:szCs w:val="24"/>
        </w:rPr>
      </w:pPr>
      <w:r w:rsidRPr="00E96552">
        <w:rPr>
          <w:sz w:val="24"/>
          <w:szCs w:val="24"/>
        </w:rPr>
        <w:t>Division of Safety Research</w:t>
      </w:r>
    </w:p>
    <w:p w:rsidR="00022A7E" w:rsidRPr="00E96552" w:rsidRDefault="00022A7E" w:rsidP="00D6361A">
      <w:pPr>
        <w:spacing w:after="0"/>
        <w:ind w:firstLine="360"/>
        <w:jc w:val="center"/>
        <w:rPr>
          <w:sz w:val="24"/>
          <w:szCs w:val="24"/>
        </w:rPr>
      </w:pPr>
      <w:r w:rsidRPr="00E96552">
        <w:rPr>
          <w:sz w:val="24"/>
          <w:szCs w:val="24"/>
        </w:rPr>
        <w:t xml:space="preserve">1095 </w:t>
      </w:r>
      <w:proofErr w:type="spellStart"/>
      <w:r w:rsidRPr="00E96552">
        <w:rPr>
          <w:sz w:val="24"/>
          <w:szCs w:val="24"/>
        </w:rPr>
        <w:t>Willowdale</w:t>
      </w:r>
      <w:proofErr w:type="spellEnd"/>
      <w:r w:rsidRPr="00E96552">
        <w:rPr>
          <w:sz w:val="24"/>
          <w:szCs w:val="24"/>
        </w:rPr>
        <w:t xml:space="preserve"> Road, MS H1808</w:t>
      </w:r>
    </w:p>
    <w:p w:rsidR="00022A7E" w:rsidRPr="00E96552" w:rsidRDefault="00022A7E" w:rsidP="00D6361A">
      <w:pPr>
        <w:spacing w:after="0"/>
        <w:ind w:firstLine="360"/>
        <w:jc w:val="center"/>
        <w:rPr>
          <w:sz w:val="24"/>
          <w:szCs w:val="24"/>
        </w:rPr>
      </w:pPr>
      <w:r w:rsidRPr="00E96552">
        <w:rPr>
          <w:sz w:val="24"/>
          <w:szCs w:val="24"/>
        </w:rPr>
        <w:t>Morgantown, WV 26505</w:t>
      </w:r>
    </w:p>
    <w:p w:rsidR="00022A7E" w:rsidRPr="00E96552" w:rsidRDefault="00022A7E" w:rsidP="00D6361A">
      <w:pPr>
        <w:spacing w:after="0"/>
        <w:ind w:firstLine="360"/>
        <w:jc w:val="center"/>
        <w:rPr>
          <w:sz w:val="24"/>
          <w:szCs w:val="24"/>
        </w:rPr>
      </w:pPr>
    </w:p>
    <w:p w:rsidR="00022A7E" w:rsidRPr="00E96552" w:rsidRDefault="00022A7E" w:rsidP="00D6361A">
      <w:pPr>
        <w:spacing w:after="0"/>
        <w:ind w:firstLine="360"/>
        <w:jc w:val="center"/>
        <w:rPr>
          <w:sz w:val="24"/>
          <w:szCs w:val="24"/>
        </w:rPr>
      </w:pPr>
      <w:r w:rsidRPr="00E96552">
        <w:rPr>
          <w:sz w:val="24"/>
          <w:szCs w:val="24"/>
        </w:rPr>
        <w:t xml:space="preserve">Phone: </w:t>
      </w:r>
      <w:r w:rsidR="00E472E8" w:rsidRPr="00E96552">
        <w:rPr>
          <w:sz w:val="24"/>
          <w:szCs w:val="24"/>
        </w:rPr>
        <w:t>304-285-5980</w:t>
      </w:r>
    </w:p>
    <w:p w:rsidR="00E472E8" w:rsidRPr="00E96552" w:rsidRDefault="00E472E8" w:rsidP="00D6361A">
      <w:pPr>
        <w:spacing w:after="0"/>
        <w:ind w:firstLine="360"/>
        <w:jc w:val="center"/>
        <w:rPr>
          <w:sz w:val="24"/>
          <w:szCs w:val="24"/>
        </w:rPr>
      </w:pPr>
      <w:r w:rsidRPr="00E96552">
        <w:rPr>
          <w:sz w:val="24"/>
          <w:szCs w:val="24"/>
        </w:rPr>
        <w:t>Fax: 304-285-5774</w:t>
      </w:r>
    </w:p>
    <w:p w:rsidR="00E472E8" w:rsidRPr="00E96552" w:rsidRDefault="00E472E8" w:rsidP="00D6361A">
      <w:pPr>
        <w:spacing w:after="0"/>
        <w:ind w:firstLine="360"/>
        <w:jc w:val="center"/>
        <w:rPr>
          <w:sz w:val="24"/>
          <w:szCs w:val="24"/>
        </w:rPr>
      </w:pPr>
      <w:r w:rsidRPr="00E96552">
        <w:rPr>
          <w:sz w:val="24"/>
          <w:szCs w:val="24"/>
        </w:rPr>
        <w:t xml:space="preserve">E-mail: </w:t>
      </w:r>
      <w:hyperlink r:id="rId10" w:history="1">
        <w:r w:rsidR="00F86177" w:rsidRPr="008F3A80">
          <w:rPr>
            <w:rStyle w:val="Hyperlink"/>
            <w:sz w:val="24"/>
            <w:szCs w:val="24"/>
          </w:rPr>
          <w:t>LLJackson@cdc.gov</w:t>
        </w:r>
      </w:hyperlink>
    </w:p>
    <w:p w:rsidR="00E472E8" w:rsidRPr="00E96552" w:rsidRDefault="00E472E8" w:rsidP="00D6361A">
      <w:pPr>
        <w:spacing w:after="0"/>
        <w:ind w:firstLine="360"/>
        <w:jc w:val="center"/>
        <w:rPr>
          <w:sz w:val="24"/>
          <w:szCs w:val="24"/>
        </w:rPr>
      </w:pPr>
    </w:p>
    <w:p w:rsidR="00E472E8" w:rsidRPr="00E96552" w:rsidRDefault="008D0D5A" w:rsidP="00D6361A">
      <w:pPr>
        <w:spacing w:after="0"/>
        <w:ind w:firstLine="360"/>
        <w:jc w:val="center"/>
        <w:rPr>
          <w:sz w:val="24"/>
          <w:szCs w:val="24"/>
        </w:rPr>
      </w:pPr>
      <w:r>
        <w:rPr>
          <w:sz w:val="24"/>
          <w:szCs w:val="24"/>
        </w:rPr>
        <w:t xml:space="preserve">May </w:t>
      </w:r>
      <w:r w:rsidR="0033213A">
        <w:rPr>
          <w:sz w:val="24"/>
          <w:szCs w:val="24"/>
        </w:rPr>
        <w:t>2</w:t>
      </w:r>
      <w:r>
        <w:rPr>
          <w:sz w:val="24"/>
          <w:szCs w:val="24"/>
        </w:rPr>
        <w:t>1</w:t>
      </w:r>
      <w:r w:rsidR="000D692F">
        <w:rPr>
          <w:sz w:val="24"/>
          <w:szCs w:val="24"/>
        </w:rPr>
        <w:t>, 2012</w:t>
      </w:r>
    </w:p>
    <w:p w:rsidR="00800484" w:rsidRDefault="00800484">
      <w:pPr>
        <w:rPr>
          <w:sz w:val="24"/>
          <w:szCs w:val="24"/>
        </w:rPr>
      </w:pPr>
      <w:r>
        <w:rPr>
          <w:sz w:val="24"/>
          <w:szCs w:val="24"/>
        </w:rPr>
        <w:br w:type="page"/>
      </w:r>
    </w:p>
    <w:sdt>
      <w:sdtPr>
        <w:rPr>
          <w:rFonts w:asciiTheme="minorHAnsi" w:eastAsiaTheme="minorEastAsia" w:hAnsiTheme="minorHAnsi" w:cstheme="minorBidi"/>
          <w:b w:val="0"/>
          <w:bCs w:val="0"/>
          <w:sz w:val="22"/>
          <w:szCs w:val="22"/>
        </w:rPr>
        <w:id w:val="116291801"/>
        <w:docPartObj>
          <w:docPartGallery w:val="Table of Contents"/>
          <w:docPartUnique/>
        </w:docPartObj>
      </w:sdtPr>
      <w:sdtEndPr/>
      <w:sdtContent>
        <w:p w:rsidR="00800484" w:rsidRPr="000F20D8" w:rsidRDefault="00800484" w:rsidP="000F20D8">
          <w:pPr>
            <w:pStyle w:val="TOCHeading"/>
            <w:jc w:val="center"/>
            <w:rPr>
              <w:rFonts w:asciiTheme="minorHAnsi" w:hAnsiTheme="minorHAnsi"/>
            </w:rPr>
          </w:pPr>
          <w:r w:rsidRPr="000F20D8">
            <w:rPr>
              <w:rFonts w:asciiTheme="minorHAnsi" w:hAnsiTheme="minorHAnsi"/>
            </w:rPr>
            <w:t>Table of Contents</w:t>
          </w:r>
        </w:p>
        <w:p w:rsidR="000F20D8" w:rsidRDefault="000F20D8">
          <w:pPr>
            <w:pStyle w:val="TOC1"/>
            <w:tabs>
              <w:tab w:val="left" w:pos="660"/>
              <w:tab w:val="right" w:leader="dot" w:pos="9350"/>
            </w:tabs>
          </w:pPr>
          <w:r>
            <w:t>List of Appendices</w:t>
          </w:r>
          <w:r>
            <w:tab/>
            <w:t>3</w:t>
          </w:r>
        </w:p>
        <w:p w:rsidR="00545D7C" w:rsidRPr="00545D7C" w:rsidRDefault="00DB6EED">
          <w:pPr>
            <w:pStyle w:val="TOC1"/>
            <w:tabs>
              <w:tab w:val="left" w:pos="660"/>
              <w:tab w:val="right" w:leader="dot" w:pos="9350"/>
            </w:tabs>
            <w:rPr>
              <w:noProof/>
            </w:rPr>
          </w:pPr>
          <w:r>
            <w:fldChar w:fldCharType="begin"/>
          </w:r>
          <w:r w:rsidR="00800484">
            <w:instrText xml:space="preserve"> TOC \o "1-3" \h \z \u </w:instrText>
          </w:r>
          <w:r>
            <w:fldChar w:fldCharType="separate"/>
          </w:r>
          <w:hyperlink w:anchor="_Toc296089960" w:history="1">
            <w:r w:rsidR="00545D7C" w:rsidRPr="00545D7C">
              <w:rPr>
                <w:rStyle w:val="Hyperlink"/>
                <w:noProof/>
              </w:rPr>
              <w:t xml:space="preserve">A. </w:t>
            </w:r>
            <w:r w:rsidR="00545D7C" w:rsidRPr="00545D7C">
              <w:rPr>
                <w:noProof/>
              </w:rPr>
              <w:tab/>
            </w:r>
            <w:r w:rsidR="00545D7C" w:rsidRPr="00545D7C">
              <w:rPr>
                <w:rStyle w:val="Hyperlink"/>
                <w:noProof/>
              </w:rPr>
              <w:t>Justification</w:t>
            </w:r>
            <w:r w:rsidR="00545D7C" w:rsidRPr="00545D7C">
              <w:rPr>
                <w:noProof/>
                <w:webHidden/>
              </w:rPr>
              <w:tab/>
            </w:r>
            <w:r w:rsidR="00317A3D">
              <w:rPr>
                <w:noProof/>
                <w:webHidden/>
              </w:rPr>
              <w:t>4</w:t>
            </w:r>
          </w:hyperlink>
        </w:p>
        <w:p w:rsidR="00545D7C" w:rsidRPr="00545D7C" w:rsidRDefault="003C419C">
          <w:pPr>
            <w:pStyle w:val="TOC2"/>
            <w:tabs>
              <w:tab w:val="left" w:pos="880"/>
              <w:tab w:val="right" w:leader="dot" w:pos="9350"/>
            </w:tabs>
            <w:rPr>
              <w:noProof/>
            </w:rPr>
          </w:pPr>
          <w:hyperlink w:anchor="_Toc296089961" w:history="1">
            <w:r w:rsidR="00545D7C" w:rsidRPr="00545D7C">
              <w:rPr>
                <w:rStyle w:val="Hyperlink"/>
                <w:noProof/>
              </w:rPr>
              <w:t xml:space="preserve">A.1. </w:t>
            </w:r>
            <w:r w:rsidR="00545D7C" w:rsidRPr="00545D7C">
              <w:rPr>
                <w:noProof/>
              </w:rPr>
              <w:tab/>
            </w:r>
            <w:r w:rsidR="00545D7C" w:rsidRPr="00545D7C">
              <w:rPr>
                <w:rStyle w:val="Hyperlink"/>
                <w:noProof/>
              </w:rPr>
              <w:t>Circumstances Making the Collection of Information Necessary</w:t>
            </w:r>
            <w:r w:rsidR="00545D7C" w:rsidRPr="00545D7C">
              <w:rPr>
                <w:noProof/>
                <w:webHidden/>
              </w:rPr>
              <w:tab/>
            </w:r>
            <w:r w:rsidR="00DB6EED" w:rsidRPr="00545D7C">
              <w:rPr>
                <w:noProof/>
                <w:webHidden/>
              </w:rPr>
              <w:fldChar w:fldCharType="begin"/>
            </w:r>
            <w:r w:rsidR="00545D7C" w:rsidRPr="00545D7C">
              <w:rPr>
                <w:noProof/>
                <w:webHidden/>
              </w:rPr>
              <w:instrText xml:space="preserve"> PAGEREF _Toc296089961 \h </w:instrText>
            </w:r>
            <w:r w:rsidR="00DB6EED" w:rsidRPr="00545D7C">
              <w:rPr>
                <w:noProof/>
                <w:webHidden/>
              </w:rPr>
            </w:r>
            <w:r w:rsidR="00DB6EED" w:rsidRPr="00545D7C">
              <w:rPr>
                <w:noProof/>
                <w:webHidden/>
              </w:rPr>
              <w:fldChar w:fldCharType="separate"/>
            </w:r>
            <w:r w:rsidR="0058589B">
              <w:rPr>
                <w:noProof/>
                <w:webHidden/>
              </w:rPr>
              <w:t>4</w:t>
            </w:r>
            <w:r w:rsidR="00DB6EED" w:rsidRPr="00545D7C">
              <w:rPr>
                <w:noProof/>
                <w:webHidden/>
              </w:rPr>
              <w:fldChar w:fldCharType="end"/>
            </w:r>
          </w:hyperlink>
        </w:p>
        <w:p w:rsidR="00545D7C" w:rsidRPr="00545D7C" w:rsidRDefault="003C419C" w:rsidP="001028B0">
          <w:pPr>
            <w:pStyle w:val="TOC2"/>
            <w:tabs>
              <w:tab w:val="left" w:pos="880"/>
              <w:tab w:val="right" w:leader="dot" w:pos="9350"/>
            </w:tabs>
            <w:rPr>
              <w:noProof/>
            </w:rPr>
          </w:pPr>
          <w:hyperlink w:anchor="_Toc296089964" w:history="1">
            <w:r w:rsidR="00545D7C" w:rsidRPr="00545D7C">
              <w:rPr>
                <w:rStyle w:val="Hyperlink"/>
                <w:noProof/>
              </w:rPr>
              <w:t xml:space="preserve">A.2. </w:t>
            </w:r>
            <w:r w:rsidR="00545D7C" w:rsidRPr="00545D7C">
              <w:rPr>
                <w:noProof/>
              </w:rPr>
              <w:tab/>
            </w:r>
            <w:r w:rsidR="00545D7C" w:rsidRPr="00545D7C">
              <w:rPr>
                <w:rStyle w:val="Hyperlink"/>
                <w:noProof/>
              </w:rPr>
              <w:t>Purpose and Use of Information Collection</w:t>
            </w:r>
            <w:r w:rsidR="00545D7C" w:rsidRPr="00545D7C">
              <w:rPr>
                <w:noProof/>
                <w:webHidden/>
              </w:rPr>
              <w:tab/>
            </w:r>
            <w:r w:rsidR="00DB6EED" w:rsidRPr="00545D7C">
              <w:rPr>
                <w:noProof/>
                <w:webHidden/>
              </w:rPr>
              <w:fldChar w:fldCharType="begin"/>
            </w:r>
            <w:r w:rsidR="00545D7C" w:rsidRPr="00545D7C">
              <w:rPr>
                <w:noProof/>
                <w:webHidden/>
              </w:rPr>
              <w:instrText xml:space="preserve"> PAGEREF _Toc296089964 \h </w:instrText>
            </w:r>
            <w:r w:rsidR="00DB6EED" w:rsidRPr="00545D7C">
              <w:rPr>
                <w:noProof/>
                <w:webHidden/>
              </w:rPr>
            </w:r>
            <w:r w:rsidR="00DB6EED" w:rsidRPr="00545D7C">
              <w:rPr>
                <w:noProof/>
                <w:webHidden/>
              </w:rPr>
              <w:fldChar w:fldCharType="separate"/>
            </w:r>
            <w:r w:rsidR="0058589B">
              <w:rPr>
                <w:noProof/>
                <w:webHidden/>
              </w:rPr>
              <w:t>11</w:t>
            </w:r>
            <w:r w:rsidR="00DB6EED" w:rsidRPr="00545D7C">
              <w:rPr>
                <w:noProof/>
                <w:webHidden/>
              </w:rPr>
              <w:fldChar w:fldCharType="end"/>
            </w:r>
          </w:hyperlink>
          <w:hyperlink w:anchor="_Toc296089965" w:history="1"/>
        </w:p>
        <w:p w:rsidR="00545D7C" w:rsidRPr="00545D7C" w:rsidRDefault="003C419C">
          <w:pPr>
            <w:pStyle w:val="TOC2"/>
            <w:tabs>
              <w:tab w:val="left" w:pos="880"/>
              <w:tab w:val="right" w:leader="dot" w:pos="9350"/>
            </w:tabs>
            <w:rPr>
              <w:noProof/>
            </w:rPr>
          </w:pPr>
          <w:hyperlink w:anchor="_Toc296089966" w:history="1">
            <w:r w:rsidR="00545D7C" w:rsidRPr="00545D7C">
              <w:rPr>
                <w:rStyle w:val="Hyperlink"/>
                <w:noProof/>
              </w:rPr>
              <w:t>A.3.</w:t>
            </w:r>
            <w:r w:rsidR="00545D7C" w:rsidRPr="00545D7C">
              <w:rPr>
                <w:noProof/>
              </w:rPr>
              <w:tab/>
            </w:r>
            <w:r w:rsidR="00545D7C" w:rsidRPr="00545D7C">
              <w:rPr>
                <w:rStyle w:val="Hyperlink"/>
                <w:noProof/>
              </w:rPr>
              <w:t>Use of Improved Information Technology and Burden Reduction</w:t>
            </w:r>
            <w:r w:rsidR="00545D7C" w:rsidRPr="00545D7C">
              <w:rPr>
                <w:noProof/>
                <w:webHidden/>
              </w:rPr>
              <w:tab/>
            </w:r>
            <w:r w:rsidR="00DB6EED" w:rsidRPr="00545D7C">
              <w:rPr>
                <w:noProof/>
                <w:webHidden/>
              </w:rPr>
              <w:fldChar w:fldCharType="begin"/>
            </w:r>
            <w:r w:rsidR="00545D7C" w:rsidRPr="00545D7C">
              <w:rPr>
                <w:noProof/>
                <w:webHidden/>
              </w:rPr>
              <w:instrText xml:space="preserve"> PAGEREF _Toc296089966 \h </w:instrText>
            </w:r>
            <w:r w:rsidR="00DB6EED" w:rsidRPr="00545D7C">
              <w:rPr>
                <w:noProof/>
                <w:webHidden/>
              </w:rPr>
            </w:r>
            <w:r w:rsidR="00DB6EED" w:rsidRPr="00545D7C">
              <w:rPr>
                <w:noProof/>
                <w:webHidden/>
              </w:rPr>
              <w:fldChar w:fldCharType="separate"/>
            </w:r>
            <w:r w:rsidR="0058589B">
              <w:rPr>
                <w:noProof/>
                <w:webHidden/>
              </w:rPr>
              <w:t>15</w:t>
            </w:r>
            <w:r w:rsidR="00DB6EED" w:rsidRPr="00545D7C">
              <w:rPr>
                <w:noProof/>
                <w:webHidden/>
              </w:rPr>
              <w:fldChar w:fldCharType="end"/>
            </w:r>
          </w:hyperlink>
        </w:p>
        <w:p w:rsidR="00545D7C" w:rsidRPr="00545D7C" w:rsidRDefault="003C419C">
          <w:pPr>
            <w:pStyle w:val="TOC2"/>
            <w:tabs>
              <w:tab w:val="left" w:pos="880"/>
              <w:tab w:val="right" w:leader="dot" w:pos="9350"/>
            </w:tabs>
            <w:rPr>
              <w:noProof/>
            </w:rPr>
          </w:pPr>
          <w:hyperlink w:anchor="_Toc296089967" w:history="1">
            <w:r w:rsidR="00545D7C" w:rsidRPr="00545D7C">
              <w:rPr>
                <w:rStyle w:val="Hyperlink"/>
                <w:rFonts w:cs="Times New Roman"/>
                <w:noProof/>
              </w:rPr>
              <w:t>A.4.</w:t>
            </w:r>
            <w:r w:rsidR="00545D7C" w:rsidRPr="00545D7C">
              <w:rPr>
                <w:noProof/>
              </w:rPr>
              <w:tab/>
            </w:r>
            <w:r w:rsidR="00545D7C" w:rsidRPr="00545D7C">
              <w:rPr>
                <w:rStyle w:val="Hyperlink"/>
                <w:rFonts w:cs="Times New Roman"/>
                <w:noProof/>
              </w:rPr>
              <w:t>Efforts to Identify Duplication and Use of Similar Information</w:t>
            </w:r>
            <w:r w:rsidR="00545D7C" w:rsidRPr="00545D7C">
              <w:rPr>
                <w:noProof/>
                <w:webHidden/>
              </w:rPr>
              <w:tab/>
            </w:r>
            <w:r w:rsidR="00DB6EED" w:rsidRPr="00545D7C">
              <w:rPr>
                <w:noProof/>
                <w:webHidden/>
              </w:rPr>
              <w:fldChar w:fldCharType="begin"/>
            </w:r>
            <w:r w:rsidR="00545D7C" w:rsidRPr="00545D7C">
              <w:rPr>
                <w:noProof/>
                <w:webHidden/>
              </w:rPr>
              <w:instrText xml:space="preserve"> PAGEREF _Toc296089967 \h </w:instrText>
            </w:r>
            <w:r w:rsidR="00DB6EED" w:rsidRPr="00545D7C">
              <w:rPr>
                <w:noProof/>
                <w:webHidden/>
              </w:rPr>
            </w:r>
            <w:r w:rsidR="00DB6EED" w:rsidRPr="00545D7C">
              <w:rPr>
                <w:noProof/>
                <w:webHidden/>
              </w:rPr>
              <w:fldChar w:fldCharType="separate"/>
            </w:r>
            <w:r w:rsidR="0058589B">
              <w:rPr>
                <w:noProof/>
                <w:webHidden/>
              </w:rPr>
              <w:t>16</w:t>
            </w:r>
            <w:r w:rsidR="00DB6EED" w:rsidRPr="00545D7C">
              <w:rPr>
                <w:noProof/>
                <w:webHidden/>
              </w:rPr>
              <w:fldChar w:fldCharType="end"/>
            </w:r>
          </w:hyperlink>
        </w:p>
        <w:p w:rsidR="00545D7C" w:rsidRPr="00545D7C" w:rsidRDefault="003C419C">
          <w:pPr>
            <w:pStyle w:val="TOC2"/>
            <w:tabs>
              <w:tab w:val="left" w:pos="880"/>
              <w:tab w:val="right" w:leader="dot" w:pos="9350"/>
            </w:tabs>
            <w:rPr>
              <w:noProof/>
            </w:rPr>
          </w:pPr>
          <w:hyperlink w:anchor="_Toc296089968" w:history="1">
            <w:r w:rsidR="00545D7C" w:rsidRPr="00545D7C">
              <w:rPr>
                <w:rStyle w:val="Hyperlink"/>
                <w:rFonts w:cs="Times New Roman"/>
                <w:noProof/>
              </w:rPr>
              <w:t>A.5.</w:t>
            </w:r>
            <w:r w:rsidR="00545D7C" w:rsidRPr="00545D7C">
              <w:rPr>
                <w:noProof/>
              </w:rPr>
              <w:tab/>
            </w:r>
            <w:r w:rsidR="00545D7C" w:rsidRPr="00545D7C">
              <w:rPr>
                <w:rStyle w:val="Hyperlink"/>
                <w:rFonts w:cs="Times New Roman"/>
                <w:noProof/>
              </w:rPr>
              <w:t>Impact on Small Businesses or Other Small Entities</w:t>
            </w:r>
            <w:r w:rsidR="00545D7C" w:rsidRPr="00545D7C">
              <w:rPr>
                <w:noProof/>
                <w:webHidden/>
              </w:rPr>
              <w:tab/>
            </w:r>
            <w:r w:rsidR="00DB6EED" w:rsidRPr="00545D7C">
              <w:rPr>
                <w:noProof/>
                <w:webHidden/>
              </w:rPr>
              <w:fldChar w:fldCharType="begin"/>
            </w:r>
            <w:r w:rsidR="00545D7C" w:rsidRPr="00545D7C">
              <w:rPr>
                <w:noProof/>
                <w:webHidden/>
              </w:rPr>
              <w:instrText xml:space="preserve"> PAGEREF _Toc296089968 \h </w:instrText>
            </w:r>
            <w:r w:rsidR="00DB6EED" w:rsidRPr="00545D7C">
              <w:rPr>
                <w:noProof/>
                <w:webHidden/>
              </w:rPr>
            </w:r>
            <w:r w:rsidR="00DB6EED" w:rsidRPr="00545D7C">
              <w:rPr>
                <w:noProof/>
                <w:webHidden/>
              </w:rPr>
              <w:fldChar w:fldCharType="separate"/>
            </w:r>
            <w:r w:rsidR="0058589B">
              <w:rPr>
                <w:noProof/>
                <w:webHidden/>
              </w:rPr>
              <w:t>17</w:t>
            </w:r>
            <w:r w:rsidR="00DB6EED" w:rsidRPr="00545D7C">
              <w:rPr>
                <w:noProof/>
                <w:webHidden/>
              </w:rPr>
              <w:fldChar w:fldCharType="end"/>
            </w:r>
          </w:hyperlink>
        </w:p>
        <w:p w:rsidR="00545D7C" w:rsidRPr="00545D7C" w:rsidRDefault="003C419C">
          <w:pPr>
            <w:pStyle w:val="TOC2"/>
            <w:tabs>
              <w:tab w:val="left" w:pos="880"/>
              <w:tab w:val="right" w:leader="dot" w:pos="9350"/>
            </w:tabs>
            <w:rPr>
              <w:noProof/>
            </w:rPr>
          </w:pPr>
          <w:hyperlink w:anchor="_Toc296089969" w:history="1">
            <w:r w:rsidR="00545D7C" w:rsidRPr="00545D7C">
              <w:rPr>
                <w:rStyle w:val="Hyperlink"/>
                <w:rFonts w:cs="Times New Roman"/>
                <w:noProof/>
              </w:rPr>
              <w:t xml:space="preserve">A.6. </w:t>
            </w:r>
            <w:r w:rsidR="00545D7C" w:rsidRPr="00545D7C">
              <w:rPr>
                <w:noProof/>
              </w:rPr>
              <w:tab/>
            </w:r>
            <w:r w:rsidR="00545D7C" w:rsidRPr="00545D7C">
              <w:rPr>
                <w:rStyle w:val="Hyperlink"/>
                <w:rFonts w:cs="Times New Roman"/>
                <w:noProof/>
              </w:rPr>
              <w:t>Consequences of Collecting the Information Less Frequently</w:t>
            </w:r>
            <w:r w:rsidR="00545D7C" w:rsidRPr="00545D7C">
              <w:rPr>
                <w:noProof/>
                <w:webHidden/>
              </w:rPr>
              <w:tab/>
            </w:r>
            <w:r w:rsidR="00DB6EED" w:rsidRPr="00545D7C">
              <w:rPr>
                <w:noProof/>
                <w:webHidden/>
              </w:rPr>
              <w:fldChar w:fldCharType="begin"/>
            </w:r>
            <w:r w:rsidR="00545D7C" w:rsidRPr="00545D7C">
              <w:rPr>
                <w:noProof/>
                <w:webHidden/>
              </w:rPr>
              <w:instrText xml:space="preserve"> PAGEREF _Toc296089969 \h </w:instrText>
            </w:r>
            <w:r w:rsidR="00DB6EED" w:rsidRPr="00545D7C">
              <w:rPr>
                <w:noProof/>
                <w:webHidden/>
              </w:rPr>
            </w:r>
            <w:r w:rsidR="00DB6EED" w:rsidRPr="00545D7C">
              <w:rPr>
                <w:noProof/>
                <w:webHidden/>
              </w:rPr>
              <w:fldChar w:fldCharType="separate"/>
            </w:r>
            <w:r w:rsidR="0058589B">
              <w:rPr>
                <w:noProof/>
                <w:webHidden/>
              </w:rPr>
              <w:t>18</w:t>
            </w:r>
            <w:r w:rsidR="00DB6EED" w:rsidRPr="00545D7C">
              <w:rPr>
                <w:noProof/>
                <w:webHidden/>
              </w:rPr>
              <w:fldChar w:fldCharType="end"/>
            </w:r>
          </w:hyperlink>
        </w:p>
        <w:p w:rsidR="00545D7C" w:rsidRPr="00545D7C" w:rsidRDefault="003C419C">
          <w:pPr>
            <w:pStyle w:val="TOC2"/>
            <w:tabs>
              <w:tab w:val="left" w:pos="880"/>
              <w:tab w:val="right" w:leader="dot" w:pos="9350"/>
            </w:tabs>
            <w:rPr>
              <w:noProof/>
            </w:rPr>
          </w:pPr>
          <w:hyperlink w:anchor="_Toc296089970" w:history="1">
            <w:r w:rsidR="00545D7C" w:rsidRPr="00545D7C">
              <w:rPr>
                <w:rStyle w:val="Hyperlink"/>
                <w:rFonts w:cs="Times New Roman"/>
                <w:noProof/>
              </w:rPr>
              <w:t>A.7.</w:t>
            </w:r>
            <w:r w:rsidR="00545D7C" w:rsidRPr="00545D7C">
              <w:rPr>
                <w:noProof/>
              </w:rPr>
              <w:tab/>
            </w:r>
            <w:r w:rsidR="00545D7C" w:rsidRPr="00545D7C">
              <w:rPr>
                <w:rStyle w:val="Hyperlink"/>
                <w:rFonts w:cs="Times New Roman"/>
                <w:noProof/>
              </w:rPr>
              <w:t>Special Circumstances Relating to the Guidelines of 5 CFR 1320.5</w:t>
            </w:r>
            <w:r w:rsidR="00545D7C" w:rsidRPr="00545D7C">
              <w:rPr>
                <w:noProof/>
                <w:webHidden/>
              </w:rPr>
              <w:tab/>
            </w:r>
            <w:r w:rsidR="00DB6EED" w:rsidRPr="00545D7C">
              <w:rPr>
                <w:noProof/>
                <w:webHidden/>
              </w:rPr>
              <w:fldChar w:fldCharType="begin"/>
            </w:r>
            <w:r w:rsidR="00545D7C" w:rsidRPr="00545D7C">
              <w:rPr>
                <w:noProof/>
                <w:webHidden/>
              </w:rPr>
              <w:instrText xml:space="preserve"> PAGEREF _Toc296089970 \h </w:instrText>
            </w:r>
            <w:r w:rsidR="00DB6EED" w:rsidRPr="00545D7C">
              <w:rPr>
                <w:noProof/>
                <w:webHidden/>
              </w:rPr>
            </w:r>
            <w:r w:rsidR="00DB6EED" w:rsidRPr="00545D7C">
              <w:rPr>
                <w:noProof/>
                <w:webHidden/>
              </w:rPr>
              <w:fldChar w:fldCharType="separate"/>
            </w:r>
            <w:r w:rsidR="0058589B">
              <w:rPr>
                <w:noProof/>
                <w:webHidden/>
              </w:rPr>
              <w:t>18</w:t>
            </w:r>
            <w:r w:rsidR="00DB6EED" w:rsidRPr="00545D7C">
              <w:rPr>
                <w:noProof/>
                <w:webHidden/>
              </w:rPr>
              <w:fldChar w:fldCharType="end"/>
            </w:r>
          </w:hyperlink>
        </w:p>
        <w:p w:rsidR="00545D7C" w:rsidRPr="00545D7C" w:rsidRDefault="003C419C">
          <w:pPr>
            <w:pStyle w:val="TOC2"/>
            <w:tabs>
              <w:tab w:val="left" w:pos="880"/>
              <w:tab w:val="right" w:leader="dot" w:pos="9350"/>
            </w:tabs>
            <w:rPr>
              <w:noProof/>
            </w:rPr>
          </w:pPr>
          <w:hyperlink w:anchor="_Toc296089971" w:history="1">
            <w:r w:rsidR="00545D7C" w:rsidRPr="00545D7C">
              <w:rPr>
                <w:rStyle w:val="Hyperlink"/>
                <w:rFonts w:cs="Times New Roman"/>
                <w:noProof/>
                <w:lang w:eastAsia="ja-JP"/>
              </w:rPr>
              <w:t>A.8.</w:t>
            </w:r>
            <w:r w:rsidR="00545D7C" w:rsidRPr="00545D7C">
              <w:rPr>
                <w:noProof/>
              </w:rPr>
              <w:tab/>
            </w:r>
            <w:r w:rsidR="00545D7C" w:rsidRPr="00545D7C">
              <w:rPr>
                <w:rStyle w:val="Hyperlink"/>
                <w:rFonts w:cs="Times New Roman"/>
                <w:noProof/>
                <w:lang w:eastAsia="ja-JP"/>
              </w:rPr>
              <w:t>Comments in Response to the Federal Register Notice and Efforts to Consult Outside the Agency</w:t>
            </w:r>
            <w:r w:rsidR="00545D7C" w:rsidRPr="00545D7C">
              <w:rPr>
                <w:noProof/>
                <w:webHidden/>
              </w:rPr>
              <w:tab/>
            </w:r>
            <w:r w:rsidR="00DB6EED" w:rsidRPr="00545D7C">
              <w:rPr>
                <w:noProof/>
                <w:webHidden/>
              </w:rPr>
              <w:fldChar w:fldCharType="begin"/>
            </w:r>
            <w:r w:rsidR="00545D7C" w:rsidRPr="00545D7C">
              <w:rPr>
                <w:noProof/>
                <w:webHidden/>
              </w:rPr>
              <w:instrText xml:space="preserve"> PAGEREF _Toc296089971 \h </w:instrText>
            </w:r>
            <w:r w:rsidR="00DB6EED" w:rsidRPr="00545D7C">
              <w:rPr>
                <w:noProof/>
                <w:webHidden/>
              </w:rPr>
            </w:r>
            <w:r w:rsidR="00DB6EED" w:rsidRPr="00545D7C">
              <w:rPr>
                <w:noProof/>
                <w:webHidden/>
              </w:rPr>
              <w:fldChar w:fldCharType="separate"/>
            </w:r>
            <w:r w:rsidR="0058589B">
              <w:rPr>
                <w:noProof/>
                <w:webHidden/>
              </w:rPr>
              <w:t>18</w:t>
            </w:r>
            <w:r w:rsidR="00DB6EED" w:rsidRPr="00545D7C">
              <w:rPr>
                <w:noProof/>
                <w:webHidden/>
              </w:rPr>
              <w:fldChar w:fldCharType="end"/>
            </w:r>
          </w:hyperlink>
        </w:p>
        <w:p w:rsidR="00545D7C" w:rsidRDefault="003C419C">
          <w:pPr>
            <w:pStyle w:val="TOC2"/>
            <w:tabs>
              <w:tab w:val="left" w:pos="880"/>
              <w:tab w:val="right" w:leader="dot" w:pos="9350"/>
            </w:tabs>
            <w:rPr>
              <w:noProof/>
            </w:rPr>
          </w:pPr>
          <w:hyperlink w:anchor="_Toc296089974" w:history="1">
            <w:r w:rsidR="00545D7C" w:rsidRPr="00805B10">
              <w:rPr>
                <w:rStyle w:val="Hyperlink"/>
                <w:rFonts w:cs="Times New Roman"/>
                <w:noProof/>
                <w:lang w:eastAsia="ja-JP"/>
              </w:rPr>
              <w:t>A.9.</w:t>
            </w:r>
            <w:r w:rsidR="00545D7C">
              <w:rPr>
                <w:noProof/>
              </w:rPr>
              <w:tab/>
            </w:r>
            <w:r w:rsidR="00545D7C" w:rsidRPr="00805B10">
              <w:rPr>
                <w:rStyle w:val="Hyperlink"/>
                <w:rFonts w:cs="Times New Roman"/>
                <w:noProof/>
                <w:lang w:eastAsia="ja-JP"/>
              </w:rPr>
              <w:t>Explanation of Any Payment or Gift to Respondents</w:t>
            </w:r>
            <w:r w:rsidR="00545D7C">
              <w:rPr>
                <w:noProof/>
                <w:webHidden/>
              </w:rPr>
              <w:tab/>
            </w:r>
            <w:r w:rsidR="00DB6EED">
              <w:rPr>
                <w:noProof/>
                <w:webHidden/>
              </w:rPr>
              <w:fldChar w:fldCharType="begin"/>
            </w:r>
            <w:r w:rsidR="00545D7C">
              <w:rPr>
                <w:noProof/>
                <w:webHidden/>
              </w:rPr>
              <w:instrText xml:space="preserve"> PAGEREF _Toc296089974 \h </w:instrText>
            </w:r>
            <w:r w:rsidR="00DB6EED">
              <w:rPr>
                <w:noProof/>
                <w:webHidden/>
              </w:rPr>
            </w:r>
            <w:r w:rsidR="00DB6EED">
              <w:rPr>
                <w:noProof/>
                <w:webHidden/>
              </w:rPr>
              <w:fldChar w:fldCharType="separate"/>
            </w:r>
            <w:r w:rsidR="0058589B">
              <w:rPr>
                <w:noProof/>
                <w:webHidden/>
              </w:rPr>
              <w:t>19</w:t>
            </w:r>
            <w:r w:rsidR="00DB6EED">
              <w:rPr>
                <w:noProof/>
                <w:webHidden/>
              </w:rPr>
              <w:fldChar w:fldCharType="end"/>
            </w:r>
          </w:hyperlink>
        </w:p>
        <w:p w:rsidR="00545D7C" w:rsidRDefault="003C419C">
          <w:pPr>
            <w:pStyle w:val="TOC2"/>
            <w:tabs>
              <w:tab w:val="left" w:pos="1100"/>
              <w:tab w:val="right" w:leader="dot" w:pos="9350"/>
            </w:tabs>
            <w:rPr>
              <w:noProof/>
            </w:rPr>
          </w:pPr>
          <w:hyperlink w:anchor="_Toc296089975" w:history="1">
            <w:r w:rsidR="00545D7C" w:rsidRPr="00805B10">
              <w:rPr>
                <w:rStyle w:val="Hyperlink"/>
                <w:rFonts w:cs="Times New Roman"/>
                <w:noProof/>
                <w:lang w:eastAsia="ja-JP"/>
              </w:rPr>
              <w:t>A.10.</w:t>
            </w:r>
            <w:r w:rsidR="00545D7C">
              <w:rPr>
                <w:noProof/>
              </w:rPr>
              <w:tab/>
            </w:r>
            <w:r w:rsidR="00545D7C" w:rsidRPr="00805B10">
              <w:rPr>
                <w:rStyle w:val="Hyperlink"/>
                <w:rFonts w:cs="Times New Roman"/>
                <w:noProof/>
                <w:lang w:eastAsia="ja-JP"/>
              </w:rPr>
              <w:t>Assurance of Confidentiality Provided to Respondents</w:t>
            </w:r>
            <w:r w:rsidR="00545D7C">
              <w:rPr>
                <w:noProof/>
                <w:webHidden/>
              </w:rPr>
              <w:tab/>
            </w:r>
            <w:r w:rsidR="00DB6EED">
              <w:rPr>
                <w:noProof/>
                <w:webHidden/>
              </w:rPr>
              <w:fldChar w:fldCharType="begin"/>
            </w:r>
            <w:r w:rsidR="00545D7C">
              <w:rPr>
                <w:noProof/>
                <w:webHidden/>
              </w:rPr>
              <w:instrText xml:space="preserve"> PAGEREF _Toc296089975 \h </w:instrText>
            </w:r>
            <w:r w:rsidR="00DB6EED">
              <w:rPr>
                <w:noProof/>
                <w:webHidden/>
              </w:rPr>
            </w:r>
            <w:r w:rsidR="00DB6EED">
              <w:rPr>
                <w:noProof/>
                <w:webHidden/>
              </w:rPr>
              <w:fldChar w:fldCharType="separate"/>
            </w:r>
            <w:r w:rsidR="0058589B">
              <w:rPr>
                <w:noProof/>
                <w:webHidden/>
              </w:rPr>
              <w:t>19</w:t>
            </w:r>
            <w:r w:rsidR="00DB6EED">
              <w:rPr>
                <w:noProof/>
                <w:webHidden/>
              </w:rPr>
              <w:fldChar w:fldCharType="end"/>
            </w:r>
          </w:hyperlink>
        </w:p>
        <w:p w:rsidR="00545D7C" w:rsidRDefault="003C419C">
          <w:pPr>
            <w:pStyle w:val="TOC2"/>
            <w:tabs>
              <w:tab w:val="left" w:pos="880"/>
              <w:tab w:val="right" w:leader="dot" w:pos="9350"/>
            </w:tabs>
            <w:rPr>
              <w:noProof/>
            </w:rPr>
          </w:pPr>
          <w:hyperlink w:anchor="_Toc296089980" w:history="1">
            <w:r w:rsidR="00545D7C" w:rsidRPr="00805B10">
              <w:rPr>
                <w:rStyle w:val="Hyperlink"/>
                <w:noProof/>
              </w:rPr>
              <w:t>A.11</w:t>
            </w:r>
            <w:r w:rsidR="00545D7C">
              <w:rPr>
                <w:noProof/>
              </w:rPr>
              <w:tab/>
            </w:r>
            <w:r w:rsidR="00545D7C" w:rsidRPr="00805B10">
              <w:rPr>
                <w:rStyle w:val="Hyperlink"/>
                <w:noProof/>
              </w:rPr>
              <w:t>Justification for Sensitive Questions</w:t>
            </w:r>
            <w:r w:rsidR="00545D7C">
              <w:rPr>
                <w:noProof/>
                <w:webHidden/>
              </w:rPr>
              <w:tab/>
            </w:r>
            <w:r w:rsidR="00DB6EED">
              <w:rPr>
                <w:noProof/>
                <w:webHidden/>
              </w:rPr>
              <w:fldChar w:fldCharType="begin"/>
            </w:r>
            <w:r w:rsidR="00545D7C">
              <w:rPr>
                <w:noProof/>
                <w:webHidden/>
              </w:rPr>
              <w:instrText xml:space="preserve"> PAGEREF _Toc296089980 \h </w:instrText>
            </w:r>
            <w:r w:rsidR="00DB6EED">
              <w:rPr>
                <w:noProof/>
                <w:webHidden/>
              </w:rPr>
            </w:r>
            <w:r w:rsidR="00DB6EED">
              <w:rPr>
                <w:noProof/>
                <w:webHidden/>
              </w:rPr>
              <w:fldChar w:fldCharType="separate"/>
            </w:r>
            <w:r w:rsidR="0058589B">
              <w:rPr>
                <w:noProof/>
                <w:webHidden/>
              </w:rPr>
              <w:t>23</w:t>
            </w:r>
            <w:r w:rsidR="00DB6EED">
              <w:rPr>
                <w:noProof/>
                <w:webHidden/>
              </w:rPr>
              <w:fldChar w:fldCharType="end"/>
            </w:r>
          </w:hyperlink>
        </w:p>
        <w:p w:rsidR="00545D7C" w:rsidRDefault="003C419C">
          <w:pPr>
            <w:pStyle w:val="TOC2"/>
            <w:tabs>
              <w:tab w:val="left" w:pos="880"/>
              <w:tab w:val="right" w:leader="dot" w:pos="9350"/>
            </w:tabs>
            <w:rPr>
              <w:noProof/>
            </w:rPr>
          </w:pPr>
          <w:hyperlink w:anchor="_Toc296089981" w:history="1">
            <w:r w:rsidR="00545D7C" w:rsidRPr="00805B10">
              <w:rPr>
                <w:rStyle w:val="Hyperlink"/>
                <w:noProof/>
              </w:rPr>
              <w:t>A.12</w:t>
            </w:r>
            <w:r w:rsidR="00545D7C">
              <w:rPr>
                <w:noProof/>
              </w:rPr>
              <w:tab/>
            </w:r>
            <w:r w:rsidR="00545D7C" w:rsidRPr="00805B10">
              <w:rPr>
                <w:rStyle w:val="Hyperlink"/>
                <w:noProof/>
              </w:rPr>
              <w:t>Estimates of Annualized Burden Hours and Costs</w:t>
            </w:r>
            <w:r w:rsidR="00545D7C">
              <w:rPr>
                <w:noProof/>
                <w:webHidden/>
              </w:rPr>
              <w:tab/>
            </w:r>
            <w:r w:rsidR="00DB6EED">
              <w:rPr>
                <w:noProof/>
                <w:webHidden/>
              </w:rPr>
              <w:fldChar w:fldCharType="begin"/>
            </w:r>
            <w:r w:rsidR="00545D7C">
              <w:rPr>
                <w:noProof/>
                <w:webHidden/>
              </w:rPr>
              <w:instrText xml:space="preserve"> PAGEREF _Toc296089981 \h </w:instrText>
            </w:r>
            <w:r w:rsidR="00DB6EED">
              <w:rPr>
                <w:noProof/>
                <w:webHidden/>
              </w:rPr>
            </w:r>
            <w:r w:rsidR="00DB6EED">
              <w:rPr>
                <w:noProof/>
                <w:webHidden/>
              </w:rPr>
              <w:fldChar w:fldCharType="separate"/>
            </w:r>
            <w:r w:rsidR="0058589B">
              <w:rPr>
                <w:noProof/>
                <w:webHidden/>
              </w:rPr>
              <w:t>24</w:t>
            </w:r>
            <w:r w:rsidR="00DB6EED">
              <w:rPr>
                <w:noProof/>
                <w:webHidden/>
              </w:rPr>
              <w:fldChar w:fldCharType="end"/>
            </w:r>
          </w:hyperlink>
        </w:p>
        <w:p w:rsidR="00545D7C" w:rsidRDefault="003C419C">
          <w:pPr>
            <w:pStyle w:val="TOC2"/>
            <w:tabs>
              <w:tab w:val="left" w:pos="880"/>
              <w:tab w:val="right" w:leader="dot" w:pos="9350"/>
            </w:tabs>
            <w:rPr>
              <w:noProof/>
            </w:rPr>
          </w:pPr>
          <w:hyperlink w:anchor="_Toc296089983" w:history="1">
            <w:r w:rsidR="00545D7C" w:rsidRPr="00805B10">
              <w:rPr>
                <w:rStyle w:val="Hyperlink"/>
                <w:noProof/>
              </w:rPr>
              <w:t>A.13</w:t>
            </w:r>
            <w:r w:rsidR="00545D7C">
              <w:rPr>
                <w:noProof/>
              </w:rPr>
              <w:tab/>
            </w:r>
            <w:r w:rsidR="00545D7C" w:rsidRPr="00805B10">
              <w:rPr>
                <w:rStyle w:val="Hyperlink"/>
                <w:noProof/>
              </w:rPr>
              <w:t>Estimates of Other Total Annual Cost Burden to Respondents or Record Keepers</w:t>
            </w:r>
            <w:r w:rsidR="00545D7C">
              <w:rPr>
                <w:noProof/>
                <w:webHidden/>
              </w:rPr>
              <w:tab/>
            </w:r>
            <w:r w:rsidR="00DB6EED">
              <w:rPr>
                <w:noProof/>
                <w:webHidden/>
              </w:rPr>
              <w:fldChar w:fldCharType="begin"/>
            </w:r>
            <w:r w:rsidR="00545D7C">
              <w:rPr>
                <w:noProof/>
                <w:webHidden/>
              </w:rPr>
              <w:instrText xml:space="preserve"> PAGEREF _Toc296089983 \h </w:instrText>
            </w:r>
            <w:r w:rsidR="00DB6EED">
              <w:rPr>
                <w:noProof/>
                <w:webHidden/>
              </w:rPr>
            </w:r>
            <w:r w:rsidR="00DB6EED">
              <w:rPr>
                <w:noProof/>
                <w:webHidden/>
              </w:rPr>
              <w:fldChar w:fldCharType="separate"/>
            </w:r>
            <w:r w:rsidR="0058589B">
              <w:rPr>
                <w:noProof/>
                <w:webHidden/>
              </w:rPr>
              <w:t>25</w:t>
            </w:r>
            <w:r w:rsidR="00DB6EED">
              <w:rPr>
                <w:noProof/>
                <w:webHidden/>
              </w:rPr>
              <w:fldChar w:fldCharType="end"/>
            </w:r>
          </w:hyperlink>
        </w:p>
        <w:p w:rsidR="00545D7C" w:rsidRDefault="003C419C">
          <w:pPr>
            <w:pStyle w:val="TOC2"/>
            <w:tabs>
              <w:tab w:val="left" w:pos="880"/>
              <w:tab w:val="right" w:leader="dot" w:pos="9350"/>
            </w:tabs>
            <w:rPr>
              <w:noProof/>
            </w:rPr>
          </w:pPr>
          <w:hyperlink w:anchor="_Toc296089984" w:history="1">
            <w:r w:rsidR="00545D7C" w:rsidRPr="00805B10">
              <w:rPr>
                <w:rStyle w:val="Hyperlink"/>
                <w:noProof/>
              </w:rPr>
              <w:t>A.14</w:t>
            </w:r>
            <w:r w:rsidR="00545D7C">
              <w:rPr>
                <w:noProof/>
              </w:rPr>
              <w:tab/>
            </w:r>
            <w:r w:rsidR="00545D7C" w:rsidRPr="00805B10">
              <w:rPr>
                <w:rStyle w:val="Hyperlink"/>
                <w:noProof/>
              </w:rPr>
              <w:t>Annualized Cost to the Government</w:t>
            </w:r>
            <w:r w:rsidR="00545D7C">
              <w:rPr>
                <w:noProof/>
                <w:webHidden/>
              </w:rPr>
              <w:tab/>
            </w:r>
            <w:r w:rsidR="00DB6EED">
              <w:rPr>
                <w:noProof/>
                <w:webHidden/>
              </w:rPr>
              <w:fldChar w:fldCharType="begin"/>
            </w:r>
            <w:r w:rsidR="00545D7C">
              <w:rPr>
                <w:noProof/>
                <w:webHidden/>
              </w:rPr>
              <w:instrText xml:space="preserve"> PAGEREF _Toc296089984 \h </w:instrText>
            </w:r>
            <w:r w:rsidR="00DB6EED">
              <w:rPr>
                <w:noProof/>
                <w:webHidden/>
              </w:rPr>
            </w:r>
            <w:r w:rsidR="00DB6EED">
              <w:rPr>
                <w:noProof/>
                <w:webHidden/>
              </w:rPr>
              <w:fldChar w:fldCharType="separate"/>
            </w:r>
            <w:r w:rsidR="0058589B">
              <w:rPr>
                <w:noProof/>
                <w:webHidden/>
              </w:rPr>
              <w:t>25</w:t>
            </w:r>
            <w:r w:rsidR="00DB6EED">
              <w:rPr>
                <w:noProof/>
                <w:webHidden/>
              </w:rPr>
              <w:fldChar w:fldCharType="end"/>
            </w:r>
          </w:hyperlink>
        </w:p>
        <w:p w:rsidR="00545D7C" w:rsidRDefault="003C419C">
          <w:pPr>
            <w:pStyle w:val="TOC2"/>
            <w:tabs>
              <w:tab w:val="left" w:pos="880"/>
              <w:tab w:val="right" w:leader="dot" w:pos="9350"/>
            </w:tabs>
            <w:rPr>
              <w:noProof/>
            </w:rPr>
          </w:pPr>
          <w:hyperlink w:anchor="_Toc296089985" w:history="1">
            <w:r w:rsidR="00545D7C" w:rsidRPr="00805B10">
              <w:rPr>
                <w:rStyle w:val="Hyperlink"/>
                <w:noProof/>
              </w:rPr>
              <w:t>A.15</w:t>
            </w:r>
            <w:r w:rsidR="00545D7C">
              <w:rPr>
                <w:noProof/>
              </w:rPr>
              <w:tab/>
            </w:r>
            <w:r w:rsidR="00545D7C" w:rsidRPr="00805B10">
              <w:rPr>
                <w:rStyle w:val="Hyperlink"/>
                <w:noProof/>
              </w:rPr>
              <w:t>Explanation for Program Changes or Adjustments</w:t>
            </w:r>
            <w:r w:rsidR="00545D7C">
              <w:rPr>
                <w:noProof/>
                <w:webHidden/>
              </w:rPr>
              <w:tab/>
            </w:r>
            <w:r w:rsidR="00DB6EED">
              <w:rPr>
                <w:noProof/>
                <w:webHidden/>
              </w:rPr>
              <w:fldChar w:fldCharType="begin"/>
            </w:r>
            <w:r w:rsidR="00545D7C">
              <w:rPr>
                <w:noProof/>
                <w:webHidden/>
              </w:rPr>
              <w:instrText xml:space="preserve"> PAGEREF _Toc296089985 \h </w:instrText>
            </w:r>
            <w:r w:rsidR="00DB6EED">
              <w:rPr>
                <w:noProof/>
                <w:webHidden/>
              </w:rPr>
            </w:r>
            <w:r w:rsidR="00DB6EED">
              <w:rPr>
                <w:noProof/>
                <w:webHidden/>
              </w:rPr>
              <w:fldChar w:fldCharType="separate"/>
            </w:r>
            <w:r w:rsidR="0058589B">
              <w:rPr>
                <w:noProof/>
                <w:webHidden/>
              </w:rPr>
              <w:t>26</w:t>
            </w:r>
            <w:r w:rsidR="00DB6EED">
              <w:rPr>
                <w:noProof/>
                <w:webHidden/>
              </w:rPr>
              <w:fldChar w:fldCharType="end"/>
            </w:r>
          </w:hyperlink>
        </w:p>
        <w:p w:rsidR="00545D7C" w:rsidRDefault="003C419C">
          <w:pPr>
            <w:pStyle w:val="TOC2"/>
            <w:tabs>
              <w:tab w:val="left" w:pos="880"/>
              <w:tab w:val="right" w:leader="dot" w:pos="9350"/>
            </w:tabs>
            <w:rPr>
              <w:noProof/>
            </w:rPr>
          </w:pPr>
          <w:hyperlink w:anchor="_Toc296089986" w:history="1">
            <w:r w:rsidR="00545D7C" w:rsidRPr="00805B10">
              <w:rPr>
                <w:rStyle w:val="Hyperlink"/>
                <w:noProof/>
              </w:rPr>
              <w:t>A.16</w:t>
            </w:r>
            <w:r w:rsidR="00545D7C">
              <w:rPr>
                <w:noProof/>
              </w:rPr>
              <w:tab/>
            </w:r>
            <w:r w:rsidR="00545D7C" w:rsidRPr="00805B10">
              <w:rPr>
                <w:rStyle w:val="Hyperlink"/>
                <w:noProof/>
              </w:rPr>
              <w:t>Plans for Tabulation and Publication and Project Time Schedule</w:t>
            </w:r>
            <w:r w:rsidR="00545D7C">
              <w:rPr>
                <w:noProof/>
                <w:webHidden/>
              </w:rPr>
              <w:tab/>
            </w:r>
            <w:r w:rsidR="00DB6EED">
              <w:rPr>
                <w:noProof/>
                <w:webHidden/>
              </w:rPr>
              <w:fldChar w:fldCharType="begin"/>
            </w:r>
            <w:r w:rsidR="00545D7C">
              <w:rPr>
                <w:noProof/>
                <w:webHidden/>
              </w:rPr>
              <w:instrText xml:space="preserve"> PAGEREF _Toc296089986 \h </w:instrText>
            </w:r>
            <w:r w:rsidR="00DB6EED">
              <w:rPr>
                <w:noProof/>
                <w:webHidden/>
              </w:rPr>
            </w:r>
            <w:r w:rsidR="00DB6EED">
              <w:rPr>
                <w:noProof/>
                <w:webHidden/>
              </w:rPr>
              <w:fldChar w:fldCharType="separate"/>
            </w:r>
            <w:r w:rsidR="0058589B">
              <w:rPr>
                <w:noProof/>
                <w:webHidden/>
              </w:rPr>
              <w:t>26</w:t>
            </w:r>
            <w:r w:rsidR="00DB6EED">
              <w:rPr>
                <w:noProof/>
                <w:webHidden/>
              </w:rPr>
              <w:fldChar w:fldCharType="end"/>
            </w:r>
          </w:hyperlink>
        </w:p>
        <w:p w:rsidR="00545D7C" w:rsidRDefault="003C419C">
          <w:pPr>
            <w:pStyle w:val="TOC2"/>
            <w:tabs>
              <w:tab w:val="left" w:pos="880"/>
              <w:tab w:val="right" w:leader="dot" w:pos="9350"/>
            </w:tabs>
            <w:rPr>
              <w:noProof/>
            </w:rPr>
          </w:pPr>
          <w:hyperlink w:anchor="_Toc296089987" w:history="1">
            <w:r w:rsidR="00545D7C" w:rsidRPr="00805B10">
              <w:rPr>
                <w:rStyle w:val="Hyperlink"/>
                <w:noProof/>
              </w:rPr>
              <w:t>A.17</w:t>
            </w:r>
            <w:r w:rsidR="00545D7C">
              <w:rPr>
                <w:noProof/>
              </w:rPr>
              <w:tab/>
            </w:r>
            <w:r w:rsidR="00545D7C" w:rsidRPr="00805B10">
              <w:rPr>
                <w:rStyle w:val="Hyperlink"/>
                <w:noProof/>
              </w:rPr>
              <w:t>Reason(s) Display of OMB Expiration Date is Inappropriate</w:t>
            </w:r>
            <w:r w:rsidR="00545D7C">
              <w:rPr>
                <w:noProof/>
                <w:webHidden/>
              </w:rPr>
              <w:tab/>
            </w:r>
            <w:r w:rsidR="00DB6EED">
              <w:rPr>
                <w:noProof/>
                <w:webHidden/>
              </w:rPr>
              <w:fldChar w:fldCharType="begin"/>
            </w:r>
            <w:r w:rsidR="00545D7C">
              <w:rPr>
                <w:noProof/>
                <w:webHidden/>
              </w:rPr>
              <w:instrText xml:space="preserve"> PAGEREF _Toc296089987 \h </w:instrText>
            </w:r>
            <w:r w:rsidR="00DB6EED">
              <w:rPr>
                <w:noProof/>
                <w:webHidden/>
              </w:rPr>
            </w:r>
            <w:r w:rsidR="00DB6EED">
              <w:rPr>
                <w:noProof/>
                <w:webHidden/>
              </w:rPr>
              <w:fldChar w:fldCharType="separate"/>
            </w:r>
            <w:r w:rsidR="0058589B">
              <w:rPr>
                <w:noProof/>
                <w:webHidden/>
              </w:rPr>
              <w:t>27</w:t>
            </w:r>
            <w:r w:rsidR="00DB6EED">
              <w:rPr>
                <w:noProof/>
                <w:webHidden/>
              </w:rPr>
              <w:fldChar w:fldCharType="end"/>
            </w:r>
          </w:hyperlink>
        </w:p>
        <w:p w:rsidR="00545D7C" w:rsidRDefault="003C419C">
          <w:pPr>
            <w:pStyle w:val="TOC2"/>
            <w:tabs>
              <w:tab w:val="left" w:pos="880"/>
              <w:tab w:val="right" w:leader="dot" w:pos="9350"/>
            </w:tabs>
            <w:rPr>
              <w:noProof/>
            </w:rPr>
          </w:pPr>
          <w:hyperlink w:anchor="_Toc296089988" w:history="1">
            <w:r w:rsidR="00545D7C" w:rsidRPr="00805B10">
              <w:rPr>
                <w:rStyle w:val="Hyperlink"/>
                <w:noProof/>
              </w:rPr>
              <w:t>A.18</w:t>
            </w:r>
            <w:r w:rsidR="00545D7C">
              <w:rPr>
                <w:noProof/>
              </w:rPr>
              <w:tab/>
            </w:r>
            <w:r w:rsidR="00545D7C" w:rsidRPr="00805B10">
              <w:rPr>
                <w:rStyle w:val="Hyperlink"/>
                <w:noProof/>
              </w:rPr>
              <w:t>Exceptions to Certification for Paperwork Reduction Act Submissions</w:t>
            </w:r>
            <w:r w:rsidR="00545D7C">
              <w:rPr>
                <w:noProof/>
                <w:webHidden/>
              </w:rPr>
              <w:tab/>
            </w:r>
            <w:r w:rsidR="00DB6EED">
              <w:rPr>
                <w:noProof/>
                <w:webHidden/>
              </w:rPr>
              <w:fldChar w:fldCharType="begin"/>
            </w:r>
            <w:r w:rsidR="00545D7C">
              <w:rPr>
                <w:noProof/>
                <w:webHidden/>
              </w:rPr>
              <w:instrText xml:space="preserve"> PAGEREF _Toc296089988 \h </w:instrText>
            </w:r>
            <w:r w:rsidR="00DB6EED">
              <w:rPr>
                <w:noProof/>
                <w:webHidden/>
              </w:rPr>
            </w:r>
            <w:r w:rsidR="00DB6EED">
              <w:rPr>
                <w:noProof/>
                <w:webHidden/>
              </w:rPr>
              <w:fldChar w:fldCharType="separate"/>
            </w:r>
            <w:r w:rsidR="0058589B">
              <w:rPr>
                <w:noProof/>
                <w:webHidden/>
              </w:rPr>
              <w:t>27</w:t>
            </w:r>
            <w:r w:rsidR="00DB6EED">
              <w:rPr>
                <w:noProof/>
                <w:webHidden/>
              </w:rPr>
              <w:fldChar w:fldCharType="end"/>
            </w:r>
          </w:hyperlink>
        </w:p>
        <w:p w:rsidR="00545D7C" w:rsidRDefault="003C419C">
          <w:pPr>
            <w:pStyle w:val="TOC1"/>
            <w:tabs>
              <w:tab w:val="right" w:leader="dot" w:pos="9350"/>
            </w:tabs>
            <w:rPr>
              <w:noProof/>
            </w:rPr>
          </w:pPr>
          <w:hyperlink w:anchor="_Toc296089989" w:history="1">
            <w:r w:rsidR="00545D7C" w:rsidRPr="00C14C2D">
              <w:rPr>
                <w:rStyle w:val="Hyperlink"/>
                <w:rFonts w:cs="Times New Roman"/>
                <w:noProof/>
                <w:lang w:eastAsia="ja-JP"/>
              </w:rPr>
              <w:t>Selected Citations</w:t>
            </w:r>
            <w:r w:rsidR="00545D7C">
              <w:rPr>
                <w:noProof/>
                <w:webHidden/>
              </w:rPr>
              <w:tab/>
            </w:r>
            <w:r w:rsidR="00DB6EED">
              <w:rPr>
                <w:noProof/>
                <w:webHidden/>
              </w:rPr>
              <w:fldChar w:fldCharType="begin"/>
            </w:r>
            <w:r w:rsidR="00545D7C">
              <w:rPr>
                <w:noProof/>
                <w:webHidden/>
              </w:rPr>
              <w:instrText xml:space="preserve"> PAGEREF _Toc296089989 \h </w:instrText>
            </w:r>
            <w:r w:rsidR="00DB6EED">
              <w:rPr>
                <w:noProof/>
                <w:webHidden/>
              </w:rPr>
            </w:r>
            <w:r w:rsidR="00DB6EED">
              <w:rPr>
                <w:noProof/>
                <w:webHidden/>
              </w:rPr>
              <w:fldChar w:fldCharType="separate"/>
            </w:r>
            <w:r w:rsidR="0058589B">
              <w:rPr>
                <w:noProof/>
                <w:webHidden/>
              </w:rPr>
              <w:t>27</w:t>
            </w:r>
            <w:r w:rsidR="00DB6EED">
              <w:rPr>
                <w:noProof/>
                <w:webHidden/>
              </w:rPr>
              <w:fldChar w:fldCharType="end"/>
            </w:r>
          </w:hyperlink>
        </w:p>
        <w:p w:rsidR="00800484" w:rsidRPr="001200F6" w:rsidRDefault="00DB6EED" w:rsidP="00800484">
          <w:pPr>
            <w:sectPr w:rsidR="00800484" w:rsidRPr="001200F6" w:rsidSect="004524A3">
              <w:footerReference w:type="default" r:id="rId11"/>
              <w:pgSz w:w="12240" w:h="15840"/>
              <w:pgMar w:top="1440" w:right="1440" w:bottom="1440" w:left="1440" w:header="720" w:footer="720" w:gutter="0"/>
              <w:cols w:space="720"/>
              <w:docGrid w:linePitch="360"/>
            </w:sectPr>
          </w:pPr>
          <w:r>
            <w:fldChar w:fldCharType="end"/>
          </w:r>
        </w:p>
      </w:sdtContent>
    </w:sdt>
    <w:p w:rsidR="000F20D8" w:rsidRPr="000F20D8" w:rsidRDefault="000F20D8" w:rsidP="000F20D8">
      <w:pPr>
        <w:pStyle w:val="TOCHeading"/>
        <w:jc w:val="center"/>
        <w:rPr>
          <w:rFonts w:asciiTheme="minorHAnsi" w:hAnsiTheme="minorHAnsi"/>
        </w:rPr>
      </w:pPr>
      <w:bookmarkStart w:id="1" w:name="_Toc296089960"/>
      <w:r>
        <w:rPr>
          <w:rFonts w:asciiTheme="minorHAnsi" w:hAnsiTheme="minorHAnsi"/>
        </w:rPr>
        <w:lastRenderedPageBreak/>
        <w:t>List of Appendices</w:t>
      </w:r>
    </w:p>
    <w:p w:rsidR="00317A3D" w:rsidRDefault="00317A3D">
      <w:pPr>
        <w:rPr>
          <w:sz w:val="24"/>
          <w:szCs w:val="24"/>
        </w:rPr>
      </w:pPr>
    </w:p>
    <w:p w:rsidR="00317A3D" w:rsidRDefault="00317A3D">
      <w:r w:rsidRPr="00317A3D">
        <w:rPr>
          <w:b/>
        </w:rPr>
        <w:t>Appendix A:</w:t>
      </w:r>
      <w:r w:rsidRPr="00317A3D">
        <w:t xml:space="preserve">  </w:t>
      </w:r>
      <w:r w:rsidR="00247B52" w:rsidRPr="001028B0">
        <w:t>Excerpt from Division F—Labor, Health, and Human Services, and Education, and Related Agencies Appropriations explanatory statements accompanying the H.R. 1105, FY 2009 Omnibus Appropriations Act</w:t>
      </w:r>
    </w:p>
    <w:p w:rsidR="00607551" w:rsidRPr="00317A3D" w:rsidRDefault="00607551" w:rsidP="00607551">
      <w:r w:rsidRPr="00317A3D">
        <w:rPr>
          <w:b/>
        </w:rPr>
        <w:t xml:space="preserve">Appendix </w:t>
      </w:r>
      <w:r>
        <w:rPr>
          <w:b/>
        </w:rPr>
        <w:t>B</w:t>
      </w:r>
      <w:r w:rsidRPr="00317A3D">
        <w:rPr>
          <w:b/>
        </w:rPr>
        <w:t>:</w:t>
      </w:r>
      <w:r>
        <w:rPr>
          <w:b/>
        </w:rPr>
        <w:t xml:space="preserve"> </w:t>
      </w:r>
      <w:r w:rsidRPr="00317A3D">
        <w:t xml:space="preserve"> 60-day Federal Register Notice</w:t>
      </w:r>
    </w:p>
    <w:p w:rsidR="00C807A8" w:rsidRDefault="00317A3D">
      <w:r w:rsidRPr="00317A3D">
        <w:rPr>
          <w:b/>
        </w:rPr>
        <w:t xml:space="preserve">Appendix </w:t>
      </w:r>
      <w:r w:rsidR="00CA3ECC">
        <w:rPr>
          <w:b/>
        </w:rPr>
        <w:t>C</w:t>
      </w:r>
      <w:r w:rsidRPr="00317A3D">
        <w:rPr>
          <w:b/>
        </w:rPr>
        <w:t>:</w:t>
      </w:r>
      <w:r w:rsidRPr="00317A3D">
        <w:t xml:space="preserve"> </w:t>
      </w:r>
      <w:r>
        <w:t xml:space="preserve"> </w:t>
      </w:r>
      <w:r w:rsidR="00247B52" w:rsidRPr="001028B0">
        <w:t>Section 20(a)(1) of the Occupational Safety and Health Act (29 U.S.C. 669)</w:t>
      </w:r>
    </w:p>
    <w:p w:rsidR="00C14C2D" w:rsidRDefault="00C807A8">
      <w:r>
        <w:rPr>
          <w:b/>
        </w:rPr>
        <w:t xml:space="preserve">Appendix </w:t>
      </w:r>
      <w:r w:rsidR="00CA3ECC">
        <w:rPr>
          <w:b/>
        </w:rPr>
        <w:t>D</w:t>
      </w:r>
      <w:r>
        <w:rPr>
          <w:b/>
        </w:rPr>
        <w:t>:</w:t>
      </w:r>
      <w:r w:rsidR="00C14C2D">
        <w:t xml:space="preserve">  </w:t>
      </w:r>
      <w:r w:rsidR="00634CEE">
        <w:t xml:space="preserve">NIOSH Report to Congress: NIOSH Research on Occupational </w:t>
      </w:r>
      <w:r w:rsidR="00C14C2D">
        <w:t xml:space="preserve">Injury </w:t>
      </w:r>
      <w:r w:rsidR="00634CEE">
        <w:t xml:space="preserve">and Illness </w:t>
      </w:r>
      <w:r w:rsidR="00C14C2D">
        <w:t>Underreporting</w:t>
      </w:r>
      <w:r w:rsidR="00634CEE">
        <w:t xml:space="preserve"> (FY2009)</w:t>
      </w:r>
    </w:p>
    <w:p w:rsidR="00C14C2D" w:rsidRDefault="00C14C2D">
      <w:r w:rsidRPr="00C14C2D">
        <w:rPr>
          <w:b/>
        </w:rPr>
        <w:t xml:space="preserve">Appendix </w:t>
      </w:r>
      <w:r w:rsidR="00CA3ECC">
        <w:rPr>
          <w:b/>
        </w:rPr>
        <w:t>E</w:t>
      </w:r>
      <w:r w:rsidRPr="00C14C2D">
        <w:rPr>
          <w:b/>
        </w:rPr>
        <w:t>:</w:t>
      </w:r>
      <w:r>
        <w:t xml:space="preserve">  </w:t>
      </w:r>
      <w:r w:rsidR="00F434BF">
        <w:t>Pre-interview l</w:t>
      </w:r>
      <w:r>
        <w:t>etter sent to potential respondents</w:t>
      </w:r>
    </w:p>
    <w:p w:rsidR="00C14C2D" w:rsidRDefault="00C14C2D">
      <w:r w:rsidRPr="00C14C2D">
        <w:rPr>
          <w:b/>
        </w:rPr>
        <w:t xml:space="preserve">Appendix </w:t>
      </w:r>
      <w:r w:rsidR="00CA3ECC">
        <w:rPr>
          <w:b/>
        </w:rPr>
        <w:t>F</w:t>
      </w:r>
      <w:r w:rsidRPr="00C14C2D">
        <w:rPr>
          <w:b/>
        </w:rPr>
        <w:t>:</w:t>
      </w:r>
      <w:r>
        <w:t xml:space="preserve">  Data collection instrument (</w:t>
      </w:r>
      <w:r w:rsidR="0043715D">
        <w:t>U</w:t>
      </w:r>
      <w:r w:rsidR="00F434BF">
        <w:t>nderreporting</w:t>
      </w:r>
      <w:r>
        <w:t xml:space="preserve"> questionnaire)</w:t>
      </w:r>
    </w:p>
    <w:p w:rsidR="0023584C" w:rsidRDefault="0023584C" w:rsidP="0023584C">
      <w:r w:rsidRPr="00C14C2D">
        <w:rPr>
          <w:b/>
        </w:rPr>
        <w:t xml:space="preserve">Appendix </w:t>
      </w:r>
      <w:r w:rsidR="00CA3ECC">
        <w:rPr>
          <w:b/>
        </w:rPr>
        <w:t>G</w:t>
      </w:r>
      <w:r w:rsidRPr="00C14C2D">
        <w:rPr>
          <w:b/>
        </w:rPr>
        <w:t>:</w:t>
      </w:r>
      <w:r>
        <w:t xml:space="preserve">  Data collection instrument (Underreporting questionnaire) – Spanish version</w:t>
      </w:r>
    </w:p>
    <w:p w:rsidR="00C14C2D" w:rsidRDefault="00C14C2D">
      <w:r w:rsidRPr="00C14C2D">
        <w:rPr>
          <w:b/>
        </w:rPr>
        <w:t xml:space="preserve">Appendix </w:t>
      </w:r>
      <w:r w:rsidR="0023584C">
        <w:rPr>
          <w:b/>
        </w:rPr>
        <w:t>H</w:t>
      </w:r>
      <w:r w:rsidRPr="00C14C2D">
        <w:rPr>
          <w:b/>
        </w:rPr>
        <w:t>:</w:t>
      </w:r>
      <w:r w:rsidR="0081404C">
        <w:rPr>
          <w:b/>
        </w:rPr>
        <w:t xml:space="preserve"> </w:t>
      </w:r>
      <w:r>
        <w:t xml:space="preserve"> Comments </w:t>
      </w:r>
      <w:r w:rsidR="00F434BF">
        <w:t xml:space="preserve">on study protocol </w:t>
      </w:r>
      <w:r>
        <w:t xml:space="preserve">from external reviewers </w:t>
      </w:r>
      <w:r w:rsidR="00F434BF">
        <w:t>(</w:t>
      </w:r>
      <w:r>
        <w:t>with NIOSH response</w:t>
      </w:r>
      <w:r w:rsidR="00F434BF">
        <w:t>s)</w:t>
      </w:r>
    </w:p>
    <w:p w:rsidR="0081404C" w:rsidRDefault="00C14C2D">
      <w:r w:rsidRPr="00C14C2D">
        <w:rPr>
          <w:b/>
        </w:rPr>
        <w:t xml:space="preserve">Appendix </w:t>
      </w:r>
      <w:r w:rsidR="0023584C">
        <w:rPr>
          <w:b/>
        </w:rPr>
        <w:t>I</w:t>
      </w:r>
      <w:r w:rsidRPr="00C14C2D">
        <w:rPr>
          <w:b/>
        </w:rPr>
        <w:t>:</w:t>
      </w:r>
      <w:r w:rsidR="0081404C">
        <w:rPr>
          <w:b/>
        </w:rPr>
        <w:t xml:space="preserve"> </w:t>
      </w:r>
      <w:r>
        <w:t xml:space="preserve"> Notice of </w:t>
      </w:r>
      <w:r w:rsidR="00B30FF4">
        <w:t xml:space="preserve">IRB </w:t>
      </w:r>
      <w:r>
        <w:t>approval</w:t>
      </w:r>
    </w:p>
    <w:p w:rsidR="0097268D" w:rsidRDefault="0081404C">
      <w:r>
        <w:rPr>
          <w:b/>
        </w:rPr>
        <w:t xml:space="preserve">Appendix </w:t>
      </w:r>
      <w:r w:rsidR="0023584C">
        <w:rPr>
          <w:b/>
        </w:rPr>
        <w:t>J</w:t>
      </w:r>
      <w:r>
        <w:rPr>
          <w:b/>
        </w:rPr>
        <w:t>:</w:t>
      </w:r>
      <w:r>
        <w:t xml:space="preserve">  Rationale for excluding day laborers</w:t>
      </w:r>
    </w:p>
    <w:p w:rsidR="000F20D8" w:rsidRPr="00317A3D" w:rsidRDefault="0097268D">
      <w:pPr>
        <w:rPr>
          <w:rFonts w:eastAsiaTheme="majorEastAsia" w:cstheme="majorBidi"/>
          <w:b/>
          <w:bCs/>
        </w:rPr>
      </w:pPr>
      <w:r>
        <w:rPr>
          <w:b/>
        </w:rPr>
        <w:t xml:space="preserve">Appendix </w:t>
      </w:r>
      <w:r w:rsidR="0023584C">
        <w:rPr>
          <w:b/>
        </w:rPr>
        <w:t>K</w:t>
      </w:r>
      <w:r>
        <w:rPr>
          <w:b/>
        </w:rPr>
        <w:t>:</w:t>
      </w:r>
      <w:r>
        <w:t xml:space="preserve">  Pre-interview letter to potential cognitive interview participants</w:t>
      </w:r>
      <w:r w:rsidR="000F20D8" w:rsidRPr="00317A3D">
        <w:br w:type="page"/>
      </w:r>
    </w:p>
    <w:p w:rsidR="00E96552" w:rsidRPr="00545D7C" w:rsidRDefault="00E96552" w:rsidP="00800484">
      <w:pPr>
        <w:pStyle w:val="Heading1"/>
        <w:rPr>
          <w:rFonts w:asciiTheme="minorHAnsi" w:hAnsiTheme="minorHAnsi"/>
          <w:sz w:val="24"/>
          <w:szCs w:val="24"/>
        </w:rPr>
      </w:pPr>
      <w:r w:rsidRPr="00545D7C">
        <w:rPr>
          <w:rFonts w:asciiTheme="minorHAnsi" w:hAnsiTheme="minorHAnsi"/>
          <w:sz w:val="24"/>
          <w:szCs w:val="24"/>
        </w:rPr>
        <w:lastRenderedPageBreak/>
        <w:t xml:space="preserve">A. </w:t>
      </w:r>
      <w:r w:rsidRPr="00545D7C">
        <w:rPr>
          <w:rFonts w:asciiTheme="minorHAnsi" w:hAnsiTheme="minorHAnsi"/>
          <w:sz w:val="24"/>
          <w:szCs w:val="24"/>
        </w:rPr>
        <w:tab/>
        <w:t>Justification</w:t>
      </w:r>
      <w:bookmarkEnd w:id="1"/>
    </w:p>
    <w:p w:rsidR="00E96552" w:rsidRPr="00545D7C" w:rsidRDefault="00E96552" w:rsidP="00800484">
      <w:pPr>
        <w:pStyle w:val="Heading2"/>
        <w:rPr>
          <w:rFonts w:asciiTheme="minorHAnsi" w:hAnsiTheme="minorHAnsi"/>
          <w:sz w:val="24"/>
          <w:szCs w:val="24"/>
        </w:rPr>
      </w:pPr>
      <w:bookmarkStart w:id="2" w:name="_Toc296089961"/>
      <w:r w:rsidRPr="00545D7C">
        <w:rPr>
          <w:rFonts w:asciiTheme="minorHAnsi" w:hAnsiTheme="minorHAnsi"/>
          <w:sz w:val="24"/>
          <w:szCs w:val="24"/>
        </w:rPr>
        <w:t xml:space="preserve">A.1. </w:t>
      </w:r>
      <w:r w:rsidRPr="00545D7C">
        <w:rPr>
          <w:rFonts w:asciiTheme="minorHAnsi" w:hAnsiTheme="minorHAnsi"/>
          <w:sz w:val="24"/>
          <w:szCs w:val="24"/>
        </w:rPr>
        <w:tab/>
        <w:t>Circumstances Making the Collection of Information Necessary</w:t>
      </w:r>
      <w:bookmarkEnd w:id="2"/>
    </w:p>
    <w:p w:rsidR="001028B0" w:rsidRPr="001028B0" w:rsidRDefault="00E96552" w:rsidP="001028B0">
      <w:pPr>
        <w:pStyle w:val="Heading3"/>
        <w:rPr>
          <w:rFonts w:asciiTheme="minorHAnsi" w:hAnsiTheme="minorHAnsi"/>
          <w:sz w:val="24"/>
          <w:szCs w:val="24"/>
          <w:u w:val="single"/>
        </w:rPr>
      </w:pPr>
      <w:bookmarkStart w:id="3" w:name="_Toc296089962"/>
      <w:r w:rsidRPr="001028B0">
        <w:rPr>
          <w:rFonts w:asciiTheme="minorHAnsi" w:hAnsiTheme="minorHAnsi"/>
          <w:sz w:val="24"/>
          <w:szCs w:val="24"/>
          <w:u w:val="single"/>
        </w:rPr>
        <w:t>Background</w:t>
      </w:r>
      <w:bookmarkEnd w:id="3"/>
      <w:r w:rsidR="001028B0">
        <w:rPr>
          <w:rFonts w:asciiTheme="minorHAnsi" w:hAnsiTheme="minorHAnsi"/>
          <w:sz w:val="24"/>
          <w:szCs w:val="24"/>
          <w:u w:val="single"/>
        </w:rPr>
        <w:br/>
      </w:r>
    </w:p>
    <w:p w:rsidR="00E96552" w:rsidRDefault="00E96552" w:rsidP="00D6361A">
      <w:pPr>
        <w:spacing w:after="0"/>
        <w:ind w:firstLine="360"/>
        <w:rPr>
          <w:sz w:val="24"/>
          <w:szCs w:val="24"/>
        </w:rPr>
      </w:pPr>
      <w:r w:rsidRPr="00E96552">
        <w:rPr>
          <w:sz w:val="24"/>
          <w:szCs w:val="24"/>
        </w:rPr>
        <w:t>This is a new Information Collection Request (ICR)</w:t>
      </w:r>
      <w:r w:rsidR="001028B0">
        <w:rPr>
          <w:sz w:val="24"/>
          <w:szCs w:val="24"/>
        </w:rPr>
        <w:t xml:space="preserve"> from the National Institute for Occupational Safety and Health (NIOSH) Centers for Disease Control and Prevention</w:t>
      </w:r>
      <w:r w:rsidRPr="00E96552">
        <w:rPr>
          <w:sz w:val="24"/>
          <w:szCs w:val="24"/>
        </w:rPr>
        <w:t>.</w:t>
      </w:r>
      <w:r w:rsidR="000D692F">
        <w:rPr>
          <w:sz w:val="24"/>
          <w:szCs w:val="24"/>
        </w:rPr>
        <w:t xml:space="preserve"> We are requesting two years of OMB approval. Data collection will occur over 12 months. However, a </w:t>
      </w:r>
      <w:r w:rsidR="00346496">
        <w:rPr>
          <w:sz w:val="24"/>
          <w:szCs w:val="24"/>
        </w:rPr>
        <w:t>two-year</w:t>
      </w:r>
      <w:r w:rsidR="000D692F">
        <w:rPr>
          <w:sz w:val="24"/>
          <w:szCs w:val="24"/>
        </w:rPr>
        <w:t xml:space="preserve"> approval is needed to account for interviewer training and other potential start-up delays.</w:t>
      </w:r>
    </w:p>
    <w:p w:rsidR="00A019F2" w:rsidRDefault="00054AE6" w:rsidP="00D6361A">
      <w:pPr>
        <w:spacing w:after="0"/>
        <w:ind w:firstLine="360"/>
        <w:rPr>
          <w:sz w:val="24"/>
          <w:szCs w:val="24"/>
        </w:rPr>
      </w:pPr>
      <w:r w:rsidRPr="00E96552">
        <w:rPr>
          <w:bCs/>
          <w:sz w:val="24"/>
          <w:szCs w:val="24"/>
        </w:rPr>
        <w:t xml:space="preserve">There is </w:t>
      </w:r>
      <w:r>
        <w:rPr>
          <w:bCs/>
          <w:sz w:val="24"/>
          <w:szCs w:val="24"/>
        </w:rPr>
        <w:t>presently</w:t>
      </w:r>
      <w:r w:rsidRPr="00E96552">
        <w:rPr>
          <w:bCs/>
          <w:sz w:val="24"/>
          <w:szCs w:val="24"/>
        </w:rPr>
        <w:t xml:space="preserve"> a crisis of confidence in the representativeness of U.S. nonfatal occupational injury and illness data. </w:t>
      </w:r>
      <w:r>
        <w:rPr>
          <w:bCs/>
          <w:sz w:val="24"/>
          <w:szCs w:val="24"/>
        </w:rPr>
        <w:t>Current surveillance systems estimate that e</w:t>
      </w:r>
      <w:r w:rsidR="00E96552" w:rsidRPr="00E96552">
        <w:rPr>
          <w:sz w:val="24"/>
          <w:szCs w:val="24"/>
        </w:rPr>
        <w:t xml:space="preserve">ach year about 4 million private industry workers </w:t>
      </w:r>
      <w:r w:rsidR="00E96552">
        <w:rPr>
          <w:sz w:val="24"/>
          <w:szCs w:val="24"/>
        </w:rPr>
        <w:t>report</w:t>
      </w:r>
      <w:r w:rsidR="00E96552" w:rsidRPr="00E96552">
        <w:rPr>
          <w:sz w:val="24"/>
          <w:szCs w:val="24"/>
        </w:rPr>
        <w:t xml:space="preserve"> a nonfatal </w:t>
      </w:r>
      <w:r w:rsidR="00515E6A">
        <w:rPr>
          <w:sz w:val="24"/>
          <w:szCs w:val="24"/>
        </w:rPr>
        <w:t>occupational</w:t>
      </w:r>
      <w:r w:rsidR="00D0497C">
        <w:rPr>
          <w:sz w:val="24"/>
          <w:szCs w:val="24"/>
        </w:rPr>
        <w:t xml:space="preserve"> injury or illness</w:t>
      </w:r>
      <w:r w:rsidR="00E240C1">
        <w:rPr>
          <w:sz w:val="24"/>
          <w:szCs w:val="24"/>
        </w:rPr>
        <w:t xml:space="preserve"> and</w:t>
      </w:r>
      <w:r w:rsidR="00E96552" w:rsidRPr="00E96552">
        <w:rPr>
          <w:sz w:val="24"/>
          <w:szCs w:val="24"/>
        </w:rPr>
        <w:t xml:space="preserve"> </w:t>
      </w:r>
      <w:r w:rsidR="00D0497C">
        <w:rPr>
          <w:sz w:val="24"/>
          <w:szCs w:val="24"/>
        </w:rPr>
        <w:t xml:space="preserve">approximately </w:t>
      </w:r>
      <w:r w:rsidR="00E96552" w:rsidRPr="00E96552">
        <w:rPr>
          <w:sz w:val="24"/>
          <w:szCs w:val="24"/>
        </w:rPr>
        <w:t>3.4 million workers</w:t>
      </w:r>
      <w:r w:rsidR="00D0497C">
        <w:rPr>
          <w:sz w:val="24"/>
          <w:szCs w:val="24"/>
        </w:rPr>
        <w:t>, including both public and private industry employees, are</w:t>
      </w:r>
      <w:r w:rsidR="00E96552" w:rsidRPr="00E96552">
        <w:rPr>
          <w:sz w:val="24"/>
          <w:szCs w:val="24"/>
        </w:rPr>
        <w:t xml:space="preserve"> treated in U.S. hospital emergency departments </w:t>
      </w:r>
      <w:r w:rsidR="005F53D0">
        <w:rPr>
          <w:sz w:val="24"/>
          <w:szCs w:val="24"/>
        </w:rPr>
        <w:t xml:space="preserve">(EDs) </w:t>
      </w:r>
      <w:r w:rsidR="00515E6A">
        <w:rPr>
          <w:sz w:val="24"/>
          <w:szCs w:val="24"/>
        </w:rPr>
        <w:t>for job-related health problems</w:t>
      </w:r>
      <w:r w:rsidR="00844723">
        <w:rPr>
          <w:sz w:val="24"/>
          <w:szCs w:val="24"/>
        </w:rPr>
        <w:t xml:space="preserve"> (CDC, 2011)</w:t>
      </w:r>
      <w:r w:rsidR="00E96552" w:rsidRPr="00E96552">
        <w:rPr>
          <w:sz w:val="24"/>
          <w:szCs w:val="24"/>
        </w:rPr>
        <w:t xml:space="preserve">. </w:t>
      </w:r>
      <w:r w:rsidR="00515E6A">
        <w:rPr>
          <w:bCs/>
          <w:sz w:val="24"/>
          <w:szCs w:val="24"/>
        </w:rPr>
        <w:t>Despite these large numbers, t</w:t>
      </w:r>
      <w:r w:rsidR="00D15C52">
        <w:rPr>
          <w:sz w:val="24"/>
          <w:szCs w:val="24"/>
        </w:rPr>
        <w:t xml:space="preserve">here is continuing evidence that </w:t>
      </w:r>
      <w:r w:rsidR="00E240C1">
        <w:rPr>
          <w:sz w:val="24"/>
          <w:szCs w:val="24"/>
        </w:rPr>
        <w:t xml:space="preserve">U.S. </w:t>
      </w:r>
      <w:r w:rsidR="00D15C52">
        <w:rPr>
          <w:sz w:val="24"/>
          <w:szCs w:val="24"/>
        </w:rPr>
        <w:t>nonfatal occupational surveillance</w:t>
      </w:r>
      <w:r w:rsidR="00217D55">
        <w:rPr>
          <w:sz w:val="24"/>
          <w:szCs w:val="24"/>
        </w:rPr>
        <w:t xml:space="preserve"> systems</w:t>
      </w:r>
      <w:r w:rsidR="00D15C52">
        <w:rPr>
          <w:sz w:val="24"/>
          <w:szCs w:val="24"/>
        </w:rPr>
        <w:t xml:space="preserve"> significantly underreport workplace injuries and illnesses. As a result, though it appears that the number of nonfatal injuries and illnesses has decreased over time, it is not clear if this is due to an actual change in the number of occupational injuries and illnesses, or a change in reporting behaviors over time. </w:t>
      </w:r>
    </w:p>
    <w:p w:rsidR="00DA7CC3" w:rsidRDefault="00217D55" w:rsidP="00D6361A">
      <w:pPr>
        <w:spacing w:after="0"/>
        <w:ind w:firstLine="360"/>
        <w:rPr>
          <w:sz w:val="24"/>
          <w:szCs w:val="24"/>
          <w:lang w:eastAsia="ja-JP"/>
        </w:rPr>
      </w:pPr>
      <w:r w:rsidRPr="00E96552">
        <w:rPr>
          <w:bCs/>
          <w:sz w:val="24"/>
          <w:szCs w:val="24"/>
        </w:rPr>
        <w:t xml:space="preserve">The current </w:t>
      </w:r>
      <w:r>
        <w:rPr>
          <w:bCs/>
          <w:sz w:val="24"/>
          <w:szCs w:val="24"/>
        </w:rPr>
        <w:t xml:space="preserve">presumed </w:t>
      </w:r>
      <w:r w:rsidRPr="00E96552">
        <w:rPr>
          <w:bCs/>
          <w:sz w:val="24"/>
          <w:szCs w:val="24"/>
        </w:rPr>
        <w:t xml:space="preserve">undercount of occupational injuries and illnesses </w:t>
      </w:r>
      <w:r w:rsidR="00AA0913">
        <w:rPr>
          <w:bCs/>
          <w:sz w:val="24"/>
          <w:szCs w:val="24"/>
        </w:rPr>
        <w:t>potentially</w:t>
      </w:r>
      <w:r w:rsidRPr="00E96552">
        <w:rPr>
          <w:bCs/>
          <w:sz w:val="24"/>
          <w:szCs w:val="24"/>
        </w:rPr>
        <w:t xml:space="preserve"> </w:t>
      </w:r>
      <w:r w:rsidR="006F7170">
        <w:rPr>
          <w:bCs/>
          <w:sz w:val="24"/>
          <w:szCs w:val="24"/>
        </w:rPr>
        <w:t>decreases health</w:t>
      </w:r>
      <w:r w:rsidRPr="00E96552">
        <w:rPr>
          <w:bCs/>
          <w:sz w:val="24"/>
          <w:szCs w:val="24"/>
        </w:rPr>
        <w:t xml:space="preserve"> and safety funding because of a false sense of improvement </w:t>
      </w:r>
      <w:r w:rsidR="00AA0913">
        <w:rPr>
          <w:bCs/>
          <w:sz w:val="24"/>
          <w:szCs w:val="24"/>
        </w:rPr>
        <w:t>while</w:t>
      </w:r>
      <w:r w:rsidR="00AA0913" w:rsidRPr="00E96552">
        <w:rPr>
          <w:bCs/>
          <w:sz w:val="24"/>
          <w:szCs w:val="24"/>
        </w:rPr>
        <w:t xml:space="preserve"> </w:t>
      </w:r>
      <w:r w:rsidR="00E240C1">
        <w:rPr>
          <w:bCs/>
          <w:sz w:val="24"/>
          <w:szCs w:val="24"/>
        </w:rPr>
        <w:t>increas</w:t>
      </w:r>
      <w:r w:rsidR="00AA0913">
        <w:rPr>
          <w:bCs/>
          <w:sz w:val="24"/>
          <w:szCs w:val="24"/>
        </w:rPr>
        <w:t>ing</w:t>
      </w:r>
      <w:r w:rsidR="00E240C1">
        <w:rPr>
          <w:bCs/>
          <w:sz w:val="24"/>
          <w:szCs w:val="24"/>
        </w:rPr>
        <w:t xml:space="preserve"> the misdirection of scarce safety and health resources due to an</w:t>
      </w:r>
      <w:r w:rsidRPr="00E96552">
        <w:rPr>
          <w:bCs/>
          <w:sz w:val="24"/>
          <w:szCs w:val="24"/>
        </w:rPr>
        <w:t xml:space="preserve"> inability to appropriately assess hazardous workplaces and target and evaluate intervention efforts. </w:t>
      </w:r>
      <w:r w:rsidR="0065691D" w:rsidRPr="00E96552">
        <w:rPr>
          <w:sz w:val="24"/>
          <w:szCs w:val="24"/>
        </w:rPr>
        <w:t xml:space="preserve">Our proposed research addresses two facets of </w:t>
      </w:r>
      <w:r w:rsidR="0065691D">
        <w:rPr>
          <w:sz w:val="24"/>
          <w:szCs w:val="24"/>
        </w:rPr>
        <w:t>th</w:t>
      </w:r>
      <w:r>
        <w:rPr>
          <w:sz w:val="24"/>
          <w:szCs w:val="24"/>
        </w:rPr>
        <w:t>e</w:t>
      </w:r>
      <w:r w:rsidR="0065691D">
        <w:rPr>
          <w:sz w:val="24"/>
          <w:szCs w:val="24"/>
        </w:rPr>
        <w:t xml:space="preserve"> underreporting problem</w:t>
      </w:r>
      <w:r w:rsidR="00A019F2">
        <w:rPr>
          <w:sz w:val="24"/>
          <w:szCs w:val="24"/>
        </w:rPr>
        <w:t>—first, that we</w:t>
      </w:r>
      <w:r w:rsidR="0065691D" w:rsidRPr="00E96552">
        <w:rPr>
          <w:sz w:val="24"/>
          <w:szCs w:val="24"/>
        </w:rPr>
        <w:t xml:space="preserve"> must thoroughly understand </w:t>
      </w:r>
      <w:r w:rsidR="00AA0913">
        <w:rPr>
          <w:sz w:val="24"/>
          <w:szCs w:val="24"/>
        </w:rPr>
        <w:t xml:space="preserve">the </w:t>
      </w:r>
      <w:r w:rsidR="0065691D" w:rsidRPr="00E96552">
        <w:rPr>
          <w:sz w:val="24"/>
          <w:szCs w:val="24"/>
        </w:rPr>
        <w:t xml:space="preserve">reporting behaviors </w:t>
      </w:r>
      <w:r>
        <w:rPr>
          <w:sz w:val="24"/>
          <w:szCs w:val="24"/>
        </w:rPr>
        <w:t xml:space="preserve">of workers </w:t>
      </w:r>
      <w:r w:rsidR="00AA0913">
        <w:rPr>
          <w:sz w:val="24"/>
          <w:szCs w:val="24"/>
        </w:rPr>
        <w:t xml:space="preserve">with respect to both the employer and the emergency department (ED) </w:t>
      </w:r>
      <w:r w:rsidR="0065691D" w:rsidRPr="00E96552">
        <w:rPr>
          <w:sz w:val="24"/>
          <w:szCs w:val="24"/>
        </w:rPr>
        <w:t>and</w:t>
      </w:r>
      <w:r w:rsidR="00A019F2">
        <w:rPr>
          <w:sz w:val="24"/>
          <w:szCs w:val="24"/>
        </w:rPr>
        <w:t>, second, that we</w:t>
      </w:r>
      <w:r w:rsidR="0065691D" w:rsidRPr="00E96552">
        <w:rPr>
          <w:sz w:val="24"/>
          <w:szCs w:val="24"/>
        </w:rPr>
        <w:t xml:space="preserve"> use this knowledge to assess and improve our surveillance activities.</w:t>
      </w:r>
      <w:r w:rsidR="00A019F2">
        <w:rPr>
          <w:sz w:val="24"/>
          <w:szCs w:val="24"/>
        </w:rPr>
        <w:t xml:space="preserve"> </w:t>
      </w:r>
      <w:r w:rsidR="00A019F2" w:rsidRPr="00E96552">
        <w:rPr>
          <w:bCs/>
          <w:sz w:val="24"/>
          <w:szCs w:val="24"/>
        </w:rPr>
        <w:t xml:space="preserve">Agencies responsible for occupational injury and illness surveillance, </w:t>
      </w:r>
      <w:r w:rsidR="00DB7FDC">
        <w:rPr>
          <w:bCs/>
          <w:sz w:val="24"/>
          <w:szCs w:val="24"/>
        </w:rPr>
        <w:t>the National Institute for Occupational Safety and Health (</w:t>
      </w:r>
      <w:r w:rsidR="00A019F2" w:rsidRPr="00E96552">
        <w:rPr>
          <w:bCs/>
          <w:sz w:val="24"/>
          <w:szCs w:val="24"/>
        </w:rPr>
        <w:t>NIOSH</w:t>
      </w:r>
      <w:r w:rsidR="00DB7FDC">
        <w:rPr>
          <w:bCs/>
          <w:sz w:val="24"/>
          <w:szCs w:val="24"/>
        </w:rPr>
        <w:t>)</w:t>
      </w:r>
      <w:r w:rsidR="00A019F2" w:rsidRPr="00E96552">
        <w:rPr>
          <w:bCs/>
          <w:sz w:val="24"/>
          <w:szCs w:val="24"/>
        </w:rPr>
        <w:t xml:space="preserve"> in particular, will benefit from </w:t>
      </w:r>
      <w:r w:rsidR="00DA7CC3">
        <w:rPr>
          <w:bCs/>
          <w:sz w:val="24"/>
          <w:szCs w:val="24"/>
        </w:rPr>
        <w:t>the better</w:t>
      </w:r>
      <w:r>
        <w:rPr>
          <w:bCs/>
          <w:sz w:val="24"/>
          <w:szCs w:val="24"/>
        </w:rPr>
        <w:t xml:space="preserve"> </w:t>
      </w:r>
      <w:r w:rsidR="00A019F2" w:rsidRPr="00E96552">
        <w:rPr>
          <w:bCs/>
          <w:sz w:val="24"/>
          <w:szCs w:val="24"/>
        </w:rPr>
        <w:t>understanding of reporting behaviors</w:t>
      </w:r>
      <w:r w:rsidR="00DA7CC3">
        <w:rPr>
          <w:bCs/>
          <w:sz w:val="24"/>
          <w:szCs w:val="24"/>
        </w:rPr>
        <w:t xml:space="preserve"> obtained through the proposed project</w:t>
      </w:r>
      <w:r w:rsidR="00A019F2" w:rsidRPr="00E96552">
        <w:rPr>
          <w:bCs/>
          <w:sz w:val="24"/>
          <w:szCs w:val="24"/>
        </w:rPr>
        <w:t>.</w:t>
      </w:r>
      <w:r w:rsidR="00A019F2" w:rsidRPr="00E96552">
        <w:rPr>
          <w:sz w:val="24"/>
          <w:szCs w:val="24"/>
          <w:lang w:eastAsia="ja-JP"/>
        </w:rPr>
        <w:t xml:space="preserve"> </w:t>
      </w:r>
    </w:p>
    <w:p w:rsidR="002A6600" w:rsidRDefault="00E96552" w:rsidP="00D6361A">
      <w:pPr>
        <w:spacing w:after="0"/>
        <w:ind w:firstLine="360"/>
        <w:rPr>
          <w:rFonts w:ascii="Times New Roman" w:hAnsi="Times New Roman" w:cs="Times New Roman"/>
          <w:sz w:val="24"/>
          <w:szCs w:val="24"/>
        </w:rPr>
      </w:pPr>
      <w:r w:rsidRPr="00E96552">
        <w:rPr>
          <w:sz w:val="24"/>
          <w:szCs w:val="24"/>
        </w:rPr>
        <w:t xml:space="preserve">It is </w:t>
      </w:r>
      <w:r w:rsidR="00217D55">
        <w:rPr>
          <w:sz w:val="24"/>
          <w:szCs w:val="24"/>
        </w:rPr>
        <w:t xml:space="preserve">a </w:t>
      </w:r>
      <w:r w:rsidR="00A019F2">
        <w:rPr>
          <w:sz w:val="24"/>
          <w:szCs w:val="24"/>
        </w:rPr>
        <w:t>widely recognized</w:t>
      </w:r>
      <w:r w:rsidRPr="00E96552">
        <w:rPr>
          <w:sz w:val="24"/>
          <w:szCs w:val="24"/>
        </w:rPr>
        <w:t xml:space="preserve"> basic need for reliable and comprehensive occupational injury and illness surveillance that led to the 1987 National Academy of Science report, “Counting Injuries and Illnesses in the Workplace—Proposals for a Better System” </w:t>
      </w:r>
      <w:r w:rsidR="00674B43">
        <w:rPr>
          <w:sz w:val="24"/>
          <w:szCs w:val="24"/>
        </w:rPr>
        <w:t xml:space="preserve">(Pollack &amp; </w:t>
      </w:r>
      <w:proofErr w:type="spellStart"/>
      <w:r w:rsidR="00674B43">
        <w:rPr>
          <w:sz w:val="24"/>
          <w:szCs w:val="24"/>
        </w:rPr>
        <w:t>Keimig</w:t>
      </w:r>
      <w:proofErr w:type="spellEnd"/>
      <w:r w:rsidR="00674B43">
        <w:rPr>
          <w:sz w:val="24"/>
          <w:szCs w:val="24"/>
        </w:rPr>
        <w:t>, 1987)</w:t>
      </w:r>
      <w:r w:rsidR="006F7170">
        <w:rPr>
          <w:sz w:val="24"/>
          <w:szCs w:val="24"/>
        </w:rPr>
        <w:t xml:space="preserve">. </w:t>
      </w:r>
      <w:r w:rsidR="0065691D" w:rsidRPr="00E96552">
        <w:rPr>
          <w:sz w:val="24"/>
          <w:szCs w:val="24"/>
        </w:rPr>
        <w:t>In 2008, the Congressional Committee on Education and Labor released the report, “Hidden Tragedy: Underreporting of Workplace Injuries and Illnesses,” indicating</w:t>
      </w:r>
      <w:r w:rsidR="00844723">
        <w:rPr>
          <w:sz w:val="24"/>
          <w:szCs w:val="24"/>
        </w:rPr>
        <w:t>,</w:t>
      </w:r>
      <w:r w:rsidR="0065691D" w:rsidRPr="00E96552">
        <w:rPr>
          <w:sz w:val="24"/>
          <w:szCs w:val="24"/>
        </w:rPr>
        <w:t xml:space="preserve"> “that work-related injuries and illnesses in the United States are chronically and even grossly underreported.” This report focused on employer-based reporting of occupational injuries and illnesses.  Based in part on the report’s results, Congress allocated funds for </w:t>
      </w:r>
      <w:r w:rsidR="002A6600">
        <w:rPr>
          <w:sz w:val="24"/>
          <w:szCs w:val="24"/>
        </w:rPr>
        <w:t>“</w:t>
      </w:r>
      <w:r w:rsidR="0065691D" w:rsidRPr="00E96552">
        <w:rPr>
          <w:sz w:val="24"/>
          <w:szCs w:val="24"/>
        </w:rPr>
        <w:t xml:space="preserve">NIOSH to </w:t>
      </w:r>
      <w:r w:rsidR="002A6600" w:rsidRPr="00132FE9">
        <w:rPr>
          <w:rFonts w:ascii="Times New Roman" w:hAnsi="Times New Roman" w:cs="Times New Roman"/>
          <w:sz w:val="24"/>
          <w:szCs w:val="24"/>
        </w:rPr>
        <w:lastRenderedPageBreak/>
        <w:t>undertake follow-up studies on the National Hospital Ambulatory Medical Care Survey</w:t>
      </w:r>
      <w:r w:rsidR="001A700D">
        <w:rPr>
          <w:rFonts w:ascii="Times New Roman" w:hAnsi="Times New Roman" w:cs="Times New Roman"/>
          <w:sz w:val="24"/>
          <w:szCs w:val="24"/>
        </w:rPr>
        <w:t xml:space="preserve"> </w:t>
      </w:r>
      <w:r w:rsidR="002A6600" w:rsidRPr="00132FE9">
        <w:rPr>
          <w:rFonts w:ascii="Times New Roman" w:hAnsi="Times New Roman" w:cs="Times New Roman"/>
          <w:sz w:val="24"/>
          <w:szCs w:val="24"/>
        </w:rPr>
        <w:t>on the underreporting of worker injury data, particularly focusing on the self-employed population. As NIOSH develops research agendas, NIOSH should consider the disproportionate attention paid to acute injuries and illnesses over chronic injuries and illnesses contracted at work places in America.</w:t>
      </w:r>
      <w:r w:rsidR="002A6600">
        <w:rPr>
          <w:rFonts w:ascii="Times New Roman" w:hAnsi="Times New Roman" w:cs="Times New Roman"/>
          <w:sz w:val="24"/>
          <w:szCs w:val="24"/>
        </w:rPr>
        <w:t>”</w:t>
      </w:r>
      <w:r w:rsidR="002A6600">
        <w:rPr>
          <w:rStyle w:val="FootnoteReference"/>
          <w:rFonts w:ascii="Times New Roman" w:hAnsi="Times New Roman" w:cs="Times New Roman"/>
          <w:sz w:val="24"/>
          <w:szCs w:val="24"/>
        </w:rPr>
        <w:footnoteReference w:id="1"/>
      </w:r>
      <w:r w:rsidR="002A6600" w:rsidRPr="00132FE9">
        <w:rPr>
          <w:rFonts w:ascii="Times New Roman" w:hAnsi="Times New Roman" w:cs="Times New Roman"/>
          <w:sz w:val="24"/>
          <w:szCs w:val="24"/>
        </w:rPr>
        <w:t xml:space="preserve"> </w:t>
      </w:r>
    </w:p>
    <w:p w:rsidR="00B24B55" w:rsidRDefault="004A7A49" w:rsidP="00D6361A">
      <w:pPr>
        <w:spacing w:after="0"/>
        <w:ind w:firstLine="360"/>
        <w:rPr>
          <w:sz w:val="24"/>
          <w:szCs w:val="24"/>
        </w:rPr>
      </w:pPr>
      <w:r>
        <w:rPr>
          <w:sz w:val="24"/>
          <w:szCs w:val="24"/>
        </w:rPr>
        <w:t>T</w:t>
      </w:r>
      <w:r w:rsidR="00B24B55" w:rsidRPr="00B24B55">
        <w:rPr>
          <w:sz w:val="24"/>
          <w:szCs w:val="24"/>
        </w:rPr>
        <w:t>he appropriation language specifie</w:t>
      </w:r>
      <w:r w:rsidR="001A700D">
        <w:rPr>
          <w:sz w:val="24"/>
          <w:szCs w:val="24"/>
        </w:rPr>
        <w:t>d</w:t>
      </w:r>
      <w:r w:rsidR="00B24B55" w:rsidRPr="00B24B55">
        <w:rPr>
          <w:sz w:val="24"/>
          <w:szCs w:val="24"/>
        </w:rPr>
        <w:t xml:space="preserve"> that NIOSH conduct follow-up studies using the National Center for Health Statistics (NCHS) National Hospital Ambulatory Medical Care Survey (NHAMCS). However, use of NHAMCS for this project is </w:t>
      </w:r>
      <w:r w:rsidR="00B24B55">
        <w:rPr>
          <w:sz w:val="24"/>
          <w:szCs w:val="24"/>
        </w:rPr>
        <w:t xml:space="preserve">not possible </w:t>
      </w:r>
      <w:r w:rsidR="00B24B55" w:rsidRPr="00B24B55">
        <w:rPr>
          <w:sz w:val="24"/>
          <w:szCs w:val="24"/>
        </w:rPr>
        <w:t>because NCHS does not collect any personally identifiable data and the data collected, once accepted by the NCHS, are not linked to individual records maintained by the participating hospitals. This lack of contact information prohibits conducting follow-up studies with NHAMCS</w:t>
      </w:r>
      <w:r w:rsidR="00B24B55">
        <w:rPr>
          <w:sz w:val="24"/>
          <w:szCs w:val="24"/>
        </w:rPr>
        <w:t xml:space="preserve">.  </w:t>
      </w:r>
    </w:p>
    <w:p w:rsidR="00237A52" w:rsidRDefault="00B24B55" w:rsidP="00D6361A">
      <w:pPr>
        <w:spacing w:after="0"/>
        <w:ind w:firstLine="360"/>
        <w:rPr>
          <w:sz w:val="24"/>
          <w:szCs w:val="24"/>
        </w:rPr>
      </w:pPr>
      <w:r>
        <w:rPr>
          <w:sz w:val="24"/>
          <w:szCs w:val="24"/>
        </w:rPr>
        <w:t xml:space="preserve">Rather, NIOSH has elected to conduct </w:t>
      </w:r>
      <w:r w:rsidR="001A700D">
        <w:rPr>
          <w:sz w:val="24"/>
          <w:szCs w:val="24"/>
        </w:rPr>
        <w:t>the</w:t>
      </w:r>
      <w:r w:rsidR="00F055CB">
        <w:rPr>
          <w:sz w:val="24"/>
          <w:szCs w:val="24"/>
        </w:rPr>
        <w:t xml:space="preserve"> </w:t>
      </w:r>
      <w:r w:rsidR="00CF6368">
        <w:rPr>
          <w:sz w:val="24"/>
          <w:szCs w:val="24"/>
        </w:rPr>
        <w:t>telephone follow-</w:t>
      </w:r>
      <w:r w:rsidR="003119BB">
        <w:rPr>
          <w:sz w:val="24"/>
          <w:szCs w:val="24"/>
        </w:rPr>
        <w:t>up</w:t>
      </w:r>
      <w:r w:rsidR="00CF6368">
        <w:rPr>
          <w:sz w:val="24"/>
          <w:szCs w:val="24"/>
        </w:rPr>
        <w:t xml:space="preserve"> study </w:t>
      </w:r>
      <w:r w:rsidR="001A700D">
        <w:rPr>
          <w:sz w:val="24"/>
          <w:szCs w:val="24"/>
        </w:rPr>
        <w:t xml:space="preserve">using </w:t>
      </w:r>
      <w:r w:rsidR="00CF6368">
        <w:rPr>
          <w:sz w:val="24"/>
          <w:szCs w:val="24"/>
        </w:rPr>
        <w:t xml:space="preserve">the occupational supplement </w:t>
      </w:r>
      <w:r w:rsidR="00DB7FDC">
        <w:rPr>
          <w:sz w:val="24"/>
          <w:szCs w:val="24"/>
        </w:rPr>
        <w:t>to the National Electronic Injury Surveillance System (</w:t>
      </w:r>
      <w:r w:rsidR="0065691D" w:rsidRPr="00E96552">
        <w:rPr>
          <w:sz w:val="24"/>
          <w:szCs w:val="24"/>
        </w:rPr>
        <w:t>NEISS-Work</w:t>
      </w:r>
      <w:r w:rsidR="00DB7FDC">
        <w:rPr>
          <w:sz w:val="24"/>
          <w:szCs w:val="24"/>
        </w:rPr>
        <w:t>)</w:t>
      </w:r>
      <w:r w:rsidR="00214306">
        <w:rPr>
          <w:sz w:val="24"/>
          <w:szCs w:val="24"/>
        </w:rPr>
        <w:t>.</w:t>
      </w:r>
      <w:r w:rsidR="001A700D" w:rsidRPr="00132FE9">
        <w:rPr>
          <w:rStyle w:val="FootnoteReference"/>
          <w:sz w:val="24"/>
          <w:szCs w:val="24"/>
        </w:rPr>
        <w:footnoteReference w:id="2"/>
      </w:r>
      <w:r w:rsidR="00CF6368">
        <w:rPr>
          <w:sz w:val="24"/>
          <w:szCs w:val="24"/>
        </w:rPr>
        <w:t xml:space="preserve"> This study will </w:t>
      </w:r>
      <w:r w:rsidR="00084C2E">
        <w:rPr>
          <w:sz w:val="24"/>
          <w:szCs w:val="24"/>
        </w:rPr>
        <w:t xml:space="preserve">illuminate </w:t>
      </w:r>
      <w:r w:rsidR="00084C2E" w:rsidRPr="00E96552">
        <w:rPr>
          <w:sz w:val="24"/>
          <w:szCs w:val="24"/>
        </w:rPr>
        <w:t>underreporting</w:t>
      </w:r>
      <w:r w:rsidR="0065691D" w:rsidRPr="00E96552">
        <w:rPr>
          <w:sz w:val="24"/>
          <w:szCs w:val="24"/>
        </w:rPr>
        <w:t xml:space="preserve"> </w:t>
      </w:r>
      <w:r w:rsidR="0015769B">
        <w:rPr>
          <w:sz w:val="24"/>
          <w:szCs w:val="24"/>
        </w:rPr>
        <w:t>of worker injuries</w:t>
      </w:r>
      <w:r w:rsidR="001A4C0E">
        <w:rPr>
          <w:sz w:val="24"/>
          <w:szCs w:val="24"/>
        </w:rPr>
        <w:t xml:space="preserve">. Specifically, we will </w:t>
      </w:r>
      <w:r w:rsidR="00B412CA">
        <w:rPr>
          <w:sz w:val="24"/>
          <w:szCs w:val="24"/>
        </w:rPr>
        <w:t>follow up on</w:t>
      </w:r>
      <w:r w:rsidR="0065691D" w:rsidRPr="00E96552">
        <w:rPr>
          <w:sz w:val="24"/>
          <w:szCs w:val="24"/>
        </w:rPr>
        <w:t xml:space="preserve"> individuals </w:t>
      </w:r>
      <w:r w:rsidR="006372EB">
        <w:rPr>
          <w:sz w:val="24"/>
          <w:szCs w:val="24"/>
        </w:rPr>
        <w:t>treat</w:t>
      </w:r>
      <w:r w:rsidR="00CC0AFD">
        <w:rPr>
          <w:sz w:val="24"/>
          <w:szCs w:val="24"/>
        </w:rPr>
        <w:t>ed</w:t>
      </w:r>
      <w:r w:rsidR="006372EB">
        <w:rPr>
          <w:sz w:val="24"/>
          <w:szCs w:val="24"/>
        </w:rPr>
        <w:t xml:space="preserve"> for an occupational injury or illness in an</w:t>
      </w:r>
      <w:r w:rsidR="0065691D" w:rsidRPr="00E96552">
        <w:rPr>
          <w:sz w:val="24"/>
          <w:szCs w:val="24"/>
        </w:rPr>
        <w:t xml:space="preserve"> ED</w:t>
      </w:r>
      <w:r w:rsidR="005F2EA5">
        <w:rPr>
          <w:sz w:val="24"/>
          <w:szCs w:val="24"/>
        </w:rPr>
        <w:t xml:space="preserve"> in this national</w:t>
      </w:r>
      <w:r w:rsidR="00084C2E">
        <w:rPr>
          <w:sz w:val="24"/>
          <w:szCs w:val="24"/>
        </w:rPr>
        <w:t>ly</w:t>
      </w:r>
      <w:r w:rsidR="005F2EA5">
        <w:rPr>
          <w:sz w:val="24"/>
          <w:szCs w:val="24"/>
        </w:rPr>
        <w:t xml:space="preserve"> representative</w:t>
      </w:r>
      <w:r w:rsidR="001A700D">
        <w:rPr>
          <w:sz w:val="24"/>
          <w:szCs w:val="24"/>
        </w:rPr>
        <w:t xml:space="preserve"> </w:t>
      </w:r>
      <w:r w:rsidR="00084C2E">
        <w:rPr>
          <w:sz w:val="24"/>
          <w:szCs w:val="24"/>
        </w:rPr>
        <w:t xml:space="preserve">sample </w:t>
      </w:r>
      <w:r w:rsidR="005F2EA5">
        <w:rPr>
          <w:sz w:val="24"/>
          <w:szCs w:val="24"/>
        </w:rPr>
        <w:t xml:space="preserve">of </w:t>
      </w:r>
      <w:r w:rsidR="001A700D">
        <w:rPr>
          <w:sz w:val="24"/>
          <w:szCs w:val="24"/>
        </w:rPr>
        <w:t xml:space="preserve">U.S. </w:t>
      </w:r>
      <w:r w:rsidR="005F2EA5">
        <w:rPr>
          <w:sz w:val="24"/>
          <w:szCs w:val="24"/>
        </w:rPr>
        <w:t>hospitals</w:t>
      </w:r>
      <w:r w:rsidR="006D2F6D">
        <w:rPr>
          <w:sz w:val="24"/>
          <w:szCs w:val="24"/>
        </w:rPr>
        <w:t xml:space="preserve">. </w:t>
      </w:r>
      <w:r w:rsidR="006D2F6D" w:rsidRPr="00E96552">
        <w:rPr>
          <w:sz w:val="24"/>
          <w:szCs w:val="24"/>
        </w:rPr>
        <w:t xml:space="preserve">The </w:t>
      </w:r>
      <w:r w:rsidR="00300AF0">
        <w:rPr>
          <w:sz w:val="24"/>
          <w:szCs w:val="24"/>
        </w:rPr>
        <w:t xml:space="preserve">characteristics and </w:t>
      </w:r>
      <w:r w:rsidR="006D2F6D" w:rsidRPr="00E96552">
        <w:rPr>
          <w:sz w:val="24"/>
          <w:szCs w:val="24"/>
        </w:rPr>
        <w:t xml:space="preserve">reporting behavior of self-employed </w:t>
      </w:r>
      <w:r w:rsidR="006D2F6D">
        <w:rPr>
          <w:sz w:val="24"/>
          <w:szCs w:val="24"/>
        </w:rPr>
        <w:t xml:space="preserve">individuals treated </w:t>
      </w:r>
      <w:r w:rsidR="00F80823">
        <w:rPr>
          <w:sz w:val="24"/>
          <w:szCs w:val="24"/>
        </w:rPr>
        <w:t xml:space="preserve">in </w:t>
      </w:r>
      <w:r w:rsidR="006D2F6D">
        <w:rPr>
          <w:sz w:val="24"/>
          <w:szCs w:val="24"/>
        </w:rPr>
        <w:t>this hospital sample along with workers treated for an occupational illness will receive</w:t>
      </w:r>
      <w:r w:rsidR="006D2F6D" w:rsidRPr="00E96552">
        <w:rPr>
          <w:sz w:val="24"/>
          <w:szCs w:val="24"/>
        </w:rPr>
        <w:t xml:space="preserve"> particular focus</w:t>
      </w:r>
      <w:r w:rsidR="0033213A">
        <w:rPr>
          <w:sz w:val="24"/>
          <w:szCs w:val="24"/>
        </w:rPr>
        <w:t xml:space="preserve"> to help me</w:t>
      </w:r>
      <w:r w:rsidR="000070EE">
        <w:rPr>
          <w:sz w:val="24"/>
          <w:szCs w:val="24"/>
        </w:rPr>
        <w:t>e</w:t>
      </w:r>
      <w:r w:rsidR="0033213A">
        <w:rPr>
          <w:sz w:val="24"/>
          <w:szCs w:val="24"/>
        </w:rPr>
        <w:t>t the Congressional request</w:t>
      </w:r>
      <w:r w:rsidR="006D2F6D">
        <w:rPr>
          <w:sz w:val="24"/>
          <w:szCs w:val="24"/>
        </w:rPr>
        <w:t xml:space="preserve">. </w:t>
      </w:r>
      <w:r w:rsidR="00237A52">
        <w:rPr>
          <w:sz w:val="24"/>
          <w:szCs w:val="24"/>
        </w:rPr>
        <w:t>To understand the implications of reporting behaviors identified through this survey, w</w:t>
      </w:r>
      <w:r w:rsidR="00667F70">
        <w:rPr>
          <w:sz w:val="24"/>
          <w:szCs w:val="24"/>
        </w:rPr>
        <w:t xml:space="preserve">e </w:t>
      </w:r>
      <w:r w:rsidR="00237A52">
        <w:rPr>
          <w:sz w:val="24"/>
          <w:szCs w:val="24"/>
        </w:rPr>
        <w:t>will</w:t>
      </w:r>
      <w:r w:rsidR="00667F70">
        <w:rPr>
          <w:sz w:val="24"/>
          <w:szCs w:val="24"/>
        </w:rPr>
        <w:t xml:space="preserve"> </w:t>
      </w:r>
      <w:r w:rsidR="00B412CA">
        <w:rPr>
          <w:sz w:val="24"/>
          <w:szCs w:val="24"/>
        </w:rPr>
        <w:t xml:space="preserve">collect sufficient information to allow us to characterize potential differences </w:t>
      </w:r>
      <w:r w:rsidR="00667F70">
        <w:rPr>
          <w:sz w:val="24"/>
          <w:szCs w:val="24"/>
        </w:rPr>
        <w:t xml:space="preserve">among respondents </w:t>
      </w:r>
      <w:r w:rsidR="00B412CA">
        <w:rPr>
          <w:sz w:val="24"/>
          <w:szCs w:val="24"/>
        </w:rPr>
        <w:t xml:space="preserve">based </w:t>
      </w:r>
      <w:r w:rsidR="00037CE4">
        <w:rPr>
          <w:sz w:val="24"/>
          <w:szCs w:val="24"/>
        </w:rPr>
        <w:t>on</w:t>
      </w:r>
      <w:r w:rsidR="00084C2E" w:rsidRPr="00E96552">
        <w:rPr>
          <w:sz w:val="24"/>
          <w:szCs w:val="24"/>
        </w:rPr>
        <w:t xml:space="preserve"> </w:t>
      </w:r>
      <w:r w:rsidR="00667F70">
        <w:rPr>
          <w:sz w:val="24"/>
          <w:szCs w:val="24"/>
        </w:rPr>
        <w:t>demographic</w:t>
      </w:r>
      <w:r w:rsidR="00237A52">
        <w:rPr>
          <w:sz w:val="24"/>
          <w:szCs w:val="24"/>
        </w:rPr>
        <w:t>s</w:t>
      </w:r>
      <w:r w:rsidR="00BD023F">
        <w:rPr>
          <w:sz w:val="24"/>
          <w:szCs w:val="24"/>
        </w:rPr>
        <w:t>;</w:t>
      </w:r>
      <w:r w:rsidR="00667F70">
        <w:rPr>
          <w:sz w:val="24"/>
          <w:szCs w:val="24"/>
        </w:rPr>
        <w:t xml:space="preserve"> occupation</w:t>
      </w:r>
      <w:r w:rsidR="00BD023F">
        <w:rPr>
          <w:sz w:val="24"/>
          <w:szCs w:val="24"/>
        </w:rPr>
        <w:t>;</w:t>
      </w:r>
      <w:r w:rsidR="00237A52">
        <w:rPr>
          <w:sz w:val="24"/>
          <w:szCs w:val="24"/>
        </w:rPr>
        <w:t xml:space="preserve"> employment arrangement</w:t>
      </w:r>
      <w:r w:rsidR="00BD023F">
        <w:rPr>
          <w:sz w:val="24"/>
          <w:szCs w:val="24"/>
        </w:rPr>
        <w:t>;</w:t>
      </w:r>
      <w:r w:rsidR="00667F70">
        <w:rPr>
          <w:sz w:val="24"/>
          <w:szCs w:val="24"/>
        </w:rPr>
        <w:t xml:space="preserve"> </w:t>
      </w:r>
      <w:r w:rsidR="00237A52" w:rsidRPr="00E96552">
        <w:rPr>
          <w:sz w:val="24"/>
          <w:szCs w:val="24"/>
        </w:rPr>
        <w:t>characteristics</w:t>
      </w:r>
      <w:r w:rsidR="00237A52">
        <w:rPr>
          <w:sz w:val="24"/>
          <w:szCs w:val="24"/>
        </w:rPr>
        <w:t xml:space="preserve"> of the treated </w:t>
      </w:r>
      <w:r w:rsidR="00667F70">
        <w:rPr>
          <w:sz w:val="24"/>
          <w:szCs w:val="24"/>
        </w:rPr>
        <w:t>injury/illness</w:t>
      </w:r>
      <w:r w:rsidR="00BD023F">
        <w:rPr>
          <w:sz w:val="24"/>
          <w:szCs w:val="24"/>
        </w:rPr>
        <w:t>;</w:t>
      </w:r>
      <w:r w:rsidR="0065691D" w:rsidRPr="00E96552">
        <w:rPr>
          <w:sz w:val="24"/>
          <w:szCs w:val="24"/>
        </w:rPr>
        <w:t xml:space="preserve"> </w:t>
      </w:r>
      <w:r w:rsidR="00237A52">
        <w:rPr>
          <w:sz w:val="24"/>
          <w:szCs w:val="24"/>
        </w:rPr>
        <w:t xml:space="preserve">existing health </w:t>
      </w:r>
      <w:r w:rsidR="000070EE">
        <w:rPr>
          <w:sz w:val="24"/>
          <w:szCs w:val="24"/>
        </w:rPr>
        <w:t>problems related to the specific ED visit or existing work-related conditions that may have significantly influenced the worker’s reporting behavior</w:t>
      </w:r>
      <w:r w:rsidR="00BD023F">
        <w:rPr>
          <w:sz w:val="24"/>
          <w:szCs w:val="24"/>
        </w:rPr>
        <w:t>;</w:t>
      </w:r>
      <w:r w:rsidR="00C62C18">
        <w:rPr>
          <w:sz w:val="24"/>
          <w:szCs w:val="24"/>
        </w:rPr>
        <w:t xml:space="preserve"> and medical payer</w:t>
      </w:r>
      <w:r w:rsidR="00237A52">
        <w:rPr>
          <w:sz w:val="24"/>
          <w:szCs w:val="24"/>
        </w:rPr>
        <w:t xml:space="preserve">. </w:t>
      </w:r>
    </w:p>
    <w:p w:rsidR="00EE4121" w:rsidRDefault="0065691D" w:rsidP="00D6361A">
      <w:pPr>
        <w:spacing w:after="0"/>
        <w:ind w:firstLine="360"/>
        <w:rPr>
          <w:sz w:val="24"/>
          <w:szCs w:val="24"/>
        </w:rPr>
      </w:pPr>
      <w:r w:rsidRPr="00E96552">
        <w:rPr>
          <w:sz w:val="24"/>
          <w:szCs w:val="24"/>
        </w:rPr>
        <w:t xml:space="preserve">To fulfill this request, we </w:t>
      </w:r>
      <w:r w:rsidR="00D650CF">
        <w:rPr>
          <w:sz w:val="24"/>
          <w:szCs w:val="24"/>
        </w:rPr>
        <w:t xml:space="preserve">will </w:t>
      </w:r>
      <w:r w:rsidR="00F327F9">
        <w:rPr>
          <w:sz w:val="24"/>
          <w:szCs w:val="24"/>
        </w:rPr>
        <w:t>use NEISS-Work hospitals, a statistically valid subset of the NEISS hospital sample</w:t>
      </w:r>
      <w:r w:rsidR="0033213A">
        <w:rPr>
          <w:sz w:val="24"/>
          <w:szCs w:val="24"/>
        </w:rPr>
        <w:t>, which is itself a nationally representative probability-based sample</w:t>
      </w:r>
      <w:r w:rsidR="00080326">
        <w:rPr>
          <w:sz w:val="24"/>
          <w:szCs w:val="24"/>
        </w:rPr>
        <w:t>.</w:t>
      </w:r>
      <w:r w:rsidR="00D650CF">
        <w:rPr>
          <w:sz w:val="24"/>
          <w:szCs w:val="24"/>
        </w:rPr>
        <w:t xml:space="preserve"> </w:t>
      </w:r>
      <w:r w:rsidR="00080326">
        <w:rPr>
          <w:sz w:val="24"/>
          <w:szCs w:val="24"/>
        </w:rPr>
        <w:t>The NEISS-Work hospitals</w:t>
      </w:r>
      <w:r w:rsidR="00D650CF">
        <w:rPr>
          <w:sz w:val="24"/>
          <w:szCs w:val="24"/>
        </w:rPr>
        <w:t xml:space="preserve"> routinely </w:t>
      </w:r>
      <w:r w:rsidR="00080326">
        <w:rPr>
          <w:sz w:val="24"/>
          <w:szCs w:val="24"/>
        </w:rPr>
        <w:t>abstract from ED medical records</w:t>
      </w:r>
      <w:r w:rsidR="00D650CF">
        <w:rPr>
          <w:sz w:val="24"/>
          <w:szCs w:val="24"/>
        </w:rPr>
        <w:t xml:space="preserve"> basic injury</w:t>
      </w:r>
      <w:r w:rsidR="00080326">
        <w:rPr>
          <w:sz w:val="24"/>
          <w:szCs w:val="24"/>
        </w:rPr>
        <w:t xml:space="preserve">, </w:t>
      </w:r>
      <w:r w:rsidR="00D650CF">
        <w:rPr>
          <w:sz w:val="24"/>
          <w:szCs w:val="24"/>
        </w:rPr>
        <w:t>illness</w:t>
      </w:r>
      <w:r w:rsidR="00080326">
        <w:rPr>
          <w:sz w:val="24"/>
          <w:szCs w:val="24"/>
        </w:rPr>
        <w:t xml:space="preserve">, and patient </w:t>
      </w:r>
      <w:r w:rsidR="00D650CF">
        <w:rPr>
          <w:sz w:val="24"/>
          <w:szCs w:val="24"/>
        </w:rPr>
        <w:t>information on individuals with a work-related injury or illness presenting to the ED</w:t>
      </w:r>
      <w:r w:rsidR="00F327F9">
        <w:rPr>
          <w:sz w:val="24"/>
          <w:szCs w:val="24"/>
        </w:rPr>
        <w:t xml:space="preserve">. </w:t>
      </w:r>
      <w:r w:rsidR="00080326">
        <w:rPr>
          <w:sz w:val="24"/>
          <w:szCs w:val="24"/>
        </w:rPr>
        <w:t>To gain the additional information needed to meet the Congressional request w</w:t>
      </w:r>
      <w:r w:rsidR="00F327F9">
        <w:rPr>
          <w:sz w:val="24"/>
          <w:szCs w:val="24"/>
        </w:rPr>
        <w:t xml:space="preserve">e will </w:t>
      </w:r>
      <w:r w:rsidR="00080326">
        <w:rPr>
          <w:sz w:val="24"/>
          <w:szCs w:val="24"/>
        </w:rPr>
        <w:t xml:space="preserve">conduct telephone interviews of individual workers by </w:t>
      </w:r>
      <w:r w:rsidR="00F327F9">
        <w:rPr>
          <w:sz w:val="24"/>
          <w:szCs w:val="24"/>
        </w:rPr>
        <w:t>us</w:t>
      </w:r>
      <w:r w:rsidR="00080326">
        <w:rPr>
          <w:sz w:val="24"/>
          <w:szCs w:val="24"/>
        </w:rPr>
        <w:t>ing</w:t>
      </w:r>
      <w:r w:rsidR="00F327F9">
        <w:rPr>
          <w:sz w:val="24"/>
          <w:szCs w:val="24"/>
        </w:rPr>
        <w:t xml:space="preserve"> a statistically valid sample protocol to</w:t>
      </w:r>
      <w:r w:rsidR="00F327F9" w:rsidRPr="00E96552">
        <w:rPr>
          <w:sz w:val="24"/>
          <w:szCs w:val="24"/>
        </w:rPr>
        <w:t xml:space="preserve"> </w:t>
      </w:r>
      <w:r w:rsidR="00D650CF">
        <w:rPr>
          <w:sz w:val="24"/>
          <w:szCs w:val="24"/>
        </w:rPr>
        <w:t xml:space="preserve">select </w:t>
      </w:r>
      <w:r w:rsidR="00240B60">
        <w:rPr>
          <w:sz w:val="24"/>
          <w:szCs w:val="24"/>
        </w:rPr>
        <w:t xml:space="preserve">workers </w:t>
      </w:r>
      <w:r w:rsidR="00080326">
        <w:rPr>
          <w:sz w:val="24"/>
          <w:szCs w:val="24"/>
        </w:rPr>
        <w:t xml:space="preserve">treated </w:t>
      </w:r>
      <w:r w:rsidR="00240B60">
        <w:rPr>
          <w:sz w:val="24"/>
          <w:szCs w:val="24"/>
        </w:rPr>
        <w:t xml:space="preserve">for an occupational injury or illness </w:t>
      </w:r>
      <w:r w:rsidR="00080326">
        <w:rPr>
          <w:sz w:val="24"/>
          <w:szCs w:val="24"/>
        </w:rPr>
        <w:t>in the NEISS-Work hospital subsample.</w:t>
      </w:r>
      <w:r w:rsidR="00240B60">
        <w:rPr>
          <w:sz w:val="24"/>
          <w:szCs w:val="24"/>
        </w:rPr>
        <w:t xml:space="preserve"> </w:t>
      </w:r>
      <w:r w:rsidR="00CC16F2">
        <w:rPr>
          <w:sz w:val="24"/>
          <w:szCs w:val="24"/>
        </w:rPr>
        <w:t xml:space="preserve">The questionnaire will </w:t>
      </w:r>
      <w:r w:rsidR="00C55CA6">
        <w:rPr>
          <w:sz w:val="24"/>
          <w:szCs w:val="24"/>
        </w:rPr>
        <w:t>ask for</w:t>
      </w:r>
      <w:r w:rsidR="00CC16F2">
        <w:rPr>
          <w:sz w:val="24"/>
          <w:szCs w:val="24"/>
        </w:rPr>
        <w:t xml:space="preserve"> additional details on the employment and personal </w:t>
      </w:r>
      <w:r w:rsidRPr="00E96552">
        <w:rPr>
          <w:sz w:val="24"/>
          <w:szCs w:val="24"/>
        </w:rPr>
        <w:t xml:space="preserve">characteristics of </w:t>
      </w:r>
      <w:r w:rsidR="000070EE">
        <w:rPr>
          <w:sz w:val="24"/>
          <w:szCs w:val="24"/>
        </w:rPr>
        <w:t xml:space="preserve">the </w:t>
      </w:r>
      <w:r w:rsidR="00CC16F2">
        <w:rPr>
          <w:sz w:val="24"/>
          <w:szCs w:val="24"/>
        </w:rPr>
        <w:t>individuals treated in the ED for an occupational injury or illness</w:t>
      </w:r>
      <w:r w:rsidRPr="00E96552">
        <w:rPr>
          <w:sz w:val="24"/>
          <w:szCs w:val="24"/>
        </w:rPr>
        <w:t xml:space="preserve">, </w:t>
      </w:r>
      <w:r w:rsidR="000070EE">
        <w:rPr>
          <w:sz w:val="24"/>
          <w:szCs w:val="24"/>
        </w:rPr>
        <w:t>their occupational injury/illness reporting behavior</w:t>
      </w:r>
      <w:r w:rsidR="00A51165">
        <w:rPr>
          <w:sz w:val="24"/>
          <w:szCs w:val="24"/>
        </w:rPr>
        <w:t xml:space="preserve">, and factors that may have influenced their reporting behavior. </w:t>
      </w:r>
    </w:p>
    <w:p w:rsidR="00F97C08" w:rsidRDefault="00F97C08" w:rsidP="00D6361A">
      <w:pPr>
        <w:spacing w:after="0"/>
        <w:ind w:firstLine="360"/>
        <w:rPr>
          <w:sz w:val="24"/>
          <w:szCs w:val="24"/>
        </w:rPr>
      </w:pPr>
      <w:r>
        <w:rPr>
          <w:sz w:val="24"/>
          <w:szCs w:val="24"/>
        </w:rPr>
        <w:lastRenderedPageBreak/>
        <w:t xml:space="preserve">In fulfilling the request from Congress, NIOSH will be acting under P.L. 91-596 Section 20 (Appendix </w:t>
      </w:r>
      <w:r w:rsidR="00BB0307">
        <w:rPr>
          <w:sz w:val="24"/>
          <w:szCs w:val="24"/>
        </w:rPr>
        <w:t>C</w:t>
      </w:r>
      <w:r>
        <w:rPr>
          <w:sz w:val="24"/>
          <w:szCs w:val="24"/>
        </w:rPr>
        <w:t xml:space="preserve">). This law tasks NIOSH with conducting research involving innovative methods, techniques, and approaches for dealing with occupational safety and health problems.  </w:t>
      </w:r>
      <w:r w:rsidR="00B52836">
        <w:rPr>
          <w:sz w:val="24"/>
          <w:szCs w:val="24"/>
        </w:rPr>
        <w:t>Under this law, t</w:t>
      </w:r>
      <w:r>
        <w:rPr>
          <w:sz w:val="24"/>
          <w:szCs w:val="24"/>
        </w:rPr>
        <w:t xml:space="preserve">his project </w:t>
      </w:r>
      <w:r w:rsidR="00B52836">
        <w:rPr>
          <w:sz w:val="24"/>
          <w:szCs w:val="24"/>
        </w:rPr>
        <w:t>will use</w:t>
      </w:r>
      <w:r>
        <w:rPr>
          <w:sz w:val="24"/>
          <w:szCs w:val="24"/>
        </w:rPr>
        <w:t xml:space="preserve"> a routine surveillance system</w:t>
      </w:r>
      <w:r w:rsidR="00A3007F">
        <w:rPr>
          <w:sz w:val="24"/>
          <w:szCs w:val="24"/>
        </w:rPr>
        <w:t xml:space="preserve"> with</w:t>
      </w:r>
      <w:r w:rsidR="00676170">
        <w:rPr>
          <w:sz w:val="24"/>
          <w:szCs w:val="24"/>
        </w:rPr>
        <w:t xml:space="preserve"> a statistically sound sampling methodology to obtain a sample of individuals</w:t>
      </w:r>
      <w:r w:rsidR="00A3007F">
        <w:rPr>
          <w:sz w:val="24"/>
          <w:szCs w:val="24"/>
        </w:rPr>
        <w:t>. These individuals will have</w:t>
      </w:r>
      <w:r w:rsidR="00C55CA6">
        <w:rPr>
          <w:sz w:val="24"/>
          <w:szCs w:val="24"/>
        </w:rPr>
        <w:t xml:space="preserve"> a known probability of selection </w:t>
      </w:r>
      <w:r w:rsidR="00676170">
        <w:rPr>
          <w:sz w:val="24"/>
          <w:szCs w:val="24"/>
        </w:rPr>
        <w:t>from this surveillance system</w:t>
      </w:r>
      <w:r w:rsidR="00A3007F">
        <w:rPr>
          <w:sz w:val="24"/>
          <w:szCs w:val="24"/>
        </w:rPr>
        <w:t>. T</w:t>
      </w:r>
      <w:r>
        <w:rPr>
          <w:sz w:val="24"/>
          <w:szCs w:val="24"/>
        </w:rPr>
        <w:t>elephone interview</w:t>
      </w:r>
      <w:r w:rsidR="00A3007F">
        <w:rPr>
          <w:sz w:val="24"/>
          <w:szCs w:val="24"/>
        </w:rPr>
        <w:t>s</w:t>
      </w:r>
      <w:r>
        <w:rPr>
          <w:sz w:val="24"/>
          <w:szCs w:val="24"/>
        </w:rPr>
        <w:t xml:space="preserve"> </w:t>
      </w:r>
      <w:r w:rsidR="00A3007F">
        <w:rPr>
          <w:sz w:val="24"/>
          <w:szCs w:val="24"/>
        </w:rPr>
        <w:t xml:space="preserve">will be completed with </w:t>
      </w:r>
      <w:r w:rsidR="00C86751">
        <w:rPr>
          <w:sz w:val="24"/>
          <w:szCs w:val="24"/>
        </w:rPr>
        <w:t>the identified individuals.</w:t>
      </w:r>
      <w:r w:rsidR="00676170">
        <w:rPr>
          <w:sz w:val="24"/>
          <w:szCs w:val="24"/>
        </w:rPr>
        <w:t xml:space="preserve"> As noted in the Report to Congress (Appendix </w:t>
      </w:r>
      <w:r w:rsidR="00966961">
        <w:rPr>
          <w:sz w:val="24"/>
          <w:szCs w:val="24"/>
        </w:rPr>
        <w:t>D</w:t>
      </w:r>
      <w:r w:rsidR="00676170">
        <w:rPr>
          <w:sz w:val="24"/>
          <w:szCs w:val="24"/>
        </w:rPr>
        <w:t xml:space="preserve">), NEISS-Work is one of </w:t>
      </w:r>
      <w:r w:rsidR="00F302E5">
        <w:rPr>
          <w:sz w:val="24"/>
          <w:szCs w:val="24"/>
        </w:rPr>
        <w:t xml:space="preserve">only </w:t>
      </w:r>
      <w:r w:rsidR="00676170">
        <w:rPr>
          <w:sz w:val="24"/>
          <w:szCs w:val="24"/>
        </w:rPr>
        <w:t>a few surveillance systems capable of collecting this information, and it is the only surveillance system receiving funding in order to implement such an effort.</w:t>
      </w:r>
    </w:p>
    <w:p w:rsidR="00676170" w:rsidRDefault="006E6B7B" w:rsidP="00D6361A">
      <w:pPr>
        <w:spacing w:after="0"/>
        <w:ind w:firstLine="360"/>
        <w:rPr>
          <w:sz w:val="24"/>
          <w:szCs w:val="24"/>
        </w:rPr>
      </w:pPr>
      <w:r>
        <w:rPr>
          <w:sz w:val="24"/>
          <w:szCs w:val="24"/>
        </w:rPr>
        <w:t>The mission of NIOSH is to “generate new knowledge in the field of occupational safety and health and to transfer that knowledge into practice for the betterment of workers” [</w:t>
      </w:r>
      <w:r w:rsidR="007E716D">
        <w:rPr>
          <w:sz w:val="24"/>
          <w:szCs w:val="24"/>
        </w:rPr>
        <w:t>http://www.cdc.gov/niosh/about.html</w:t>
      </w:r>
      <w:r>
        <w:rPr>
          <w:sz w:val="24"/>
          <w:szCs w:val="24"/>
        </w:rPr>
        <w:t xml:space="preserve">]. Surveillance is an important tool in monitoring and improving worker safety and health. </w:t>
      </w:r>
      <w:r w:rsidR="00676170">
        <w:rPr>
          <w:sz w:val="24"/>
          <w:szCs w:val="24"/>
        </w:rPr>
        <w:t xml:space="preserve">This project will provide needed </w:t>
      </w:r>
      <w:r w:rsidR="00170DE4">
        <w:rPr>
          <w:sz w:val="24"/>
          <w:szCs w:val="24"/>
        </w:rPr>
        <w:t>information</w:t>
      </w:r>
      <w:r w:rsidR="00676170">
        <w:rPr>
          <w:sz w:val="24"/>
          <w:szCs w:val="24"/>
        </w:rPr>
        <w:t xml:space="preserve"> for addressing this goal by </w:t>
      </w:r>
      <w:r w:rsidR="007C01B3">
        <w:rPr>
          <w:sz w:val="24"/>
          <w:szCs w:val="24"/>
        </w:rPr>
        <w:t>elucidating the individual, injury or illness, and employment characteristics associated with reporting, or failing to report, an occupational injury or illness.</w:t>
      </w:r>
      <w:r w:rsidR="0033664D">
        <w:rPr>
          <w:sz w:val="24"/>
          <w:szCs w:val="24"/>
        </w:rPr>
        <w:t xml:space="preserve"> The availability of this information will allow for the development and refinement of surveillance activities and </w:t>
      </w:r>
      <w:r w:rsidR="004C63D8">
        <w:rPr>
          <w:sz w:val="24"/>
          <w:szCs w:val="24"/>
        </w:rPr>
        <w:t>initiatives</w:t>
      </w:r>
      <w:r w:rsidR="0033664D">
        <w:rPr>
          <w:sz w:val="24"/>
          <w:szCs w:val="24"/>
        </w:rPr>
        <w:t xml:space="preserve"> to promote reporting of occupational injuries and illnesses.</w:t>
      </w:r>
      <w:r w:rsidR="00170DE4">
        <w:rPr>
          <w:sz w:val="24"/>
          <w:szCs w:val="24"/>
        </w:rPr>
        <w:t xml:space="preserve"> </w:t>
      </w:r>
    </w:p>
    <w:p w:rsidR="00DB7FDC" w:rsidRPr="001028B0" w:rsidRDefault="00DB7FDC" w:rsidP="00545D7C">
      <w:pPr>
        <w:pStyle w:val="Heading3"/>
        <w:rPr>
          <w:rFonts w:asciiTheme="minorHAnsi" w:hAnsiTheme="minorHAnsi"/>
          <w:sz w:val="24"/>
          <w:szCs w:val="24"/>
          <w:u w:val="single"/>
        </w:rPr>
      </w:pPr>
      <w:bookmarkStart w:id="4" w:name="_Toc296089963"/>
      <w:r w:rsidRPr="001028B0">
        <w:rPr>
          <w:rFonts w:asciiTheme="minorHAnsi" w:hAnsiTheme="minorHAnsi"/>
          <w:sz w:val="24"/>
          <w:szCs w:val="24"/>
          <w:u w:val="single"/>
        </w:rPr>
        <w:t>Privacy Impact Assessment</w:t>
      </w:r>
      <w:bookmarkEnd w:id="4"/>
    </w:p>
    <w:p w:rsidR="001028B0" w:rsidRDefault="001028B0" w:rsidP="00D6361A">
      <w:pPr>
        <w:spacing w:after="0"/>
        <w:ind w:firstLine="360"/>
        <w:rPr>
          <w:sz w:val="24"/>
          <w:szCs w:val="24"/>
          <w:u w:val="single"/>
        </w:rPr>
      </w:pPr>
    </w:p>
    <w:p w:rsidR="008D5A99" w:rsidRPr="009926C8" w:rsidRDefault="008D5A99" w:rsidP="000D692F">
      <w:pPr>
        <w:spacing w:after="0"/>
        <w:rPr>
          <w:sz w:val="24"/>
          <w:szCs w:val="24"/>
        </w:rPr>
      </w:pPr>
      <w:r w:rsidRPr="009926C8">
        <w:rPr>
          <w:sz w:val="24"/>
          <w:szCs w:val="24"/>
          <w:u w:val="single"/>
        </w:rPr>
        <w:t>Overview of the Data Collection System</w:t>
      </w:r>
    </w:p>
    <w:p w:rsidR="00DB7FDC" w:rsidRDefault="00DB7FDC" w:rsidP="00D6361A">
      <w:pPr>
        <w:spacing w:after="0"/>
        <w:ind w:firstLine="360"/>
        <w:rPr>
          <w:sz w:val="24"/>
          <w:szCs w:val="24"/>
        </w:rPr>
      </w:pPr>
      <w:r>
        <w:rPr>
          <w:sz w:val="24"/>
          <w:szCs w:val="24"/>
        </w:rPr>
        <w:t xml:space="preserve">The </w:t>
      </w:r>
      <w:r w:rsidR="004C63D8">
        <w:rPr>
          <w:sz w:val="24"/>
          <w:szCs w:val="24"/>
        </w:rPr>
        <w:t>sampling frame</w:t>
      </w:r>
      <w:r>
        <w:rPr>
          <w:sz w:val="24"/>
          <w:szCs w:val="24"/>
        </w:rPr>
        <w:t xml:space="preserve"> for this study involves cases routinely collected through </w:t>
      </w:r>
      <w:r w:rsidR="008D5A99">
        <w:rPr>
          <w:sz w:val="24"/>
          <w:szCs w:val="24"/>
        </w:rPr>
        <w:t xml:space="preserve">NEISS-Work. </w:t>
      </w:r>
      <w:r w:rsidR="00E90E8D">
        <w:rPr>
          <w:sz w:val="24"/>
          <w:szCs w:val="24"/>
        </w:rPr>
        <w:t xml:space="preserve">Data collection for both </w:t>
      </w:r>
      <w:r w:rsidR="004C63D8">
        <w:rPr>
          <w:sz w:val="24"/>
          <w:szCs w:val="24"/>
        </w:rPr>
        <w:t xml:space="preserve">NEISS-Work and the proposed </w:t>
      </w:r>
      <w:r w:rsidR="00BE0397">
        <w:rPr>
          <w:sz w:val="24"/>
          <w:szCs w:val="24"/>
        </w:rPr>
        <w:t xml:space="preserve">telephone interview </w:t>
      </w:r>
      <w:r w:rsidR="004C63D8">
        <w:rPr>
          <w:sz w:val="24"/>
          <w:szCs w:val="24"/>
        </w:rPr>
        <w:t>follow-up study</w:t>
      </w:r>
      <w:r w:rsidR="00E90E8D">
        <w:rPr>
          <w:sz w:val="24"/>
          <w:szCs w:val="24"/>
        </w:rPr>
        <w:t xml:space="preserve"> will be completed by the Consumer Product Safety Commission (CPSC). The NEISS-Work data are collected in an ongoing, supplemental effort of the </w:t>
      </w:r>
      <w:r w:rsidR="00F302E5">
        <w:rPr>
          <w:sz w:val="24"/>
          <w:szCs w:val="24"/>
        </w:rPr>
        <w:t xml:space="preserve">core </w:t>
      </w:r>
      <w:r w:rsidR="00E90E8D">
        <w:rPr>
          <w:sz w:val="24"/>
          <w:szCs w:val="24"/>
        </w:rPr>
        <w:t>National Electronic Injury Surveillance System (NEISS)</w:t>
      </w:r>
      <w:r w:rsidR="00A51165">
        <w:rPr>
          <w:sz w:val="24"/>
          <w:szCs w:val="24"/>
        </w:rPr>
        <w:t>.</w:t>
      </w:r>
      <w:r w:rsidR="004C63D8">
        <w:rPr>
          <w:sz w:val="24"/>
          <w:szCs w:val="24"/>
        </w:rPr>
        <w:t xml:space="preserve"> </w:t>
      </w:r>
      <w:r w:rsidR="00F86177">
        <w:rPr>
          <w:sz w:val="24"/>
          <w:szCs w:val="24"/>
        </w:rPr>
        <w:t xml:space="preserve">CPSC </w:t>
      </w:r>
      <w:r w:rsidR="00A51165">
        <w:rPr>
          <w:sz w:val="24"/>
          <w:szCs w:val="24"/>
        </w:rPr>
        <w:t xml:space="preserve">uses the core NEISS </w:t>
      </w:r>
      <w:r w:rsidR="00E90E8D">
        <w:rPr>
          <w:sz w:val="24"/>
          <w:szCs w:val="24"/>
        </w:rPr>
        <w:t xml:space="preserve">to capture and report product-related injuries.  </w:t>
      </w:r>
      <w:r w:rsidR="00A51165">
        <w:rPr>
          <w:sz w:val="24"/>
          <w:szCs w:val="24"/>
        </w:rPr>
        <w:t xml:space="preserve">Although </w:t>
      </w:r>
      <w:r w:rsidR="00E90E8D">
        <w:rPr>
          <w:sz w:val="24"/>
          <w:szCs w:val="24"/>
        </w:rPr>
        <w:t>the hospital samples overlap, the data captured for NEISS and NEISS-Work are mutually exclusive.  The telephone interviews will be a new data collection effort, enhancing the information available through NEISS-Work.</w:t>
      </w:r>
    </w:p>
    <w:p w:rsidR="00E90E8D" w:rsidRDefault="00E90E8D" w:rsidP="00D6361A">
      <w:pPr>
        <w:spacing w:after="0"/>
        <w:ind w:firstLine="360"/>
        <w:rPr>
          <w:sz w:val="24"/>
          <w:szCs w:val="24"/>
        </w:rPr>
      </w:pPr>
    </w:p>
    <w:p w:rsidR="00E90E8D" w:rsidRDefault="00E90E8D" w:rsidP="000D692F">
      <w:pPr>
        <w:spacing w:after="0"/>
        <w:rPr>
          <w:sz w:val="24"/>
          <w:szCs w:val="24"/>
        </w:rPr>
      </w:pPr>
      <w:r>
        <w:rPr>
          <w:sz w:val="24"/>
          <w:szCs w:val="24"/>
          <w:u w:val="single"/>
        </w:rPr>
        <w:t>Background on NEISS and NEISS-Work</w:t>
      </w:r>
    </w:p>
    <w:p w:rsidR="00E90E8D" w:rsidRDefault="00E90E8D" w:rsidP="00D6361A">
      <w:pPr>
        <w:spacing w:after="0"/>
        <w:ind w:firstLine="360"/>
        <w:rPr>
          <w:sz w:val="24"/>
          <w:szCs w:val="24"/>
        </w:rPr>
      </w:pPr>
      <w:r>
        <w:rPr>
          <w:sz w:val="24"/>
          <w:szCs w:val="24"/>
        </w:rPr>
        <w:t xml:space="preserve">In 1972, as authorized by statute (the Consumer Product Safety Act Sec. 5. [15 U.S.C. </w:t>
      </w:r>
      <w:r w:rsidR="00E43ADD">
        <w:rPr>
          <w:sz w:val="24"/>
          <w:szCs w:val="24"/>
        </w:rPr>
        <w:t>§ 2054]), CPSC initiated the collection of consumer product-related injury and illness information through a surveillance system that uses a national probability-based sample of hospital emergency departments—the National Electronic Injury and Illness System (NEISS).  Although the CPSC maintains a Privacy Act System of Records CPSC-1 (</w:t>
      </w:r>
      <w:r w:rsidR="00732BDC" w:rsidRPr="006654BF">
        <w:rPr>
          <w:sz w:val="24"/>
          <w:szCs w:val="24"/>
        </w:rPr>
        <w:t>http://www.ofr.gov/privacy/2009/cpsc.aspx#cpsc1</w:t>
      </w:r>
      <w:r w:rsidR="00E43ADD">
        <w:rPr>
          <w:sz w:val="24"/>
          <w:szCs w:val="24"/>
        </w:rPr>
        <w:t xml:space="preserve">) for its Injury Investigation Files, the NEISS records are not retrievable by personal identifiers </w:t>
      </w:r>
      <w:r w:rsidR="004C63D8">
        <w:rPr>
          <w:sz w:val="24"/>
          <w:szCs w:val="24"/>
        </w:rPr>
        <w:t>and</w:t>
      </w:r>
      <w:r w:rsidR="00E43ADD">
        <w:rPr>
          <w:sz w:val="24"/>
          <w:szCs w:val="24"/>
        </w:rPr>
        <w:t xml:space="preserve"> hence are excluded from the </w:t>
      </w:r>
      <w:r w:rsidR="00E43ADD">
        <w:rPr>
          <w:sz w:val="24"/>
          <w:szCs w:val="24"/>
        </w:rPr>
        <w:lastRenderedPageBreak/>
        <w:t xml:space="preserve">CPSC system of records. These records may be provided to another Federal, State, or local agency or authority engaged in activities relating to health, safety, or consumer protection in accordance with section 29(e) of the Consumer Product Safety Act.  The NEISS data are abstractions of existing information from </w:t>
      </w:r>
      <w:r w:rsidR="008E31E5">
        <w:rPr>
          <w:sz w:val="24"/>
          <w:szCs w:val="24"/>
        </w:rPr>
        <w:t>ED</w:t>
      </w:r>
      <w:r w:rsidR="00E43ADD">
        <w:rPr>
          <w:sz w:val="24"/>
          <w:szCs w:val="24"/>
        </w:rPr>
        <w:t xml:space="preserve"> medical records as collected by contract hospitals and paid records abstractors.</w:t>
      </w:r>
      <w:r w:rsidR="00977BB6">
        <w:rPr>
          <w:sz w:val="24"/>
          <w:szCs w:val="24"/>
        </w:rPr>
        <w:t xml:space="preserve"> </w:t>
      </w:r>
      <w:r w:rsidR="008E31E5">
        <w:rPr>
          <w:sz w:val="24"/>
          <w:szCs w:val="24"/>
        </w:rPr>
        <w:t xml:space="preserve">Informed consent of the injured or </w:t>
      </w:r>
      <w:r w:rsidR="00977BB6">
        <w:rPr>
          <w:sz w:val="24"/>
          <w:szCs w:val="24"/>
        </w:rPr>
        <w:t xml:space="preserve">ill patient is not required and data sharing by the hospital with CPSC and other federal agencies is allowed under the Health Insurance Portability and Accountability Act of 1996.  </w:t>
      </w:r>
      <w:r w:rsidR="009C08E9">
        <w:rPr>
          <w:sz w:val="24"/>
          <w:szCs w:val="24"/>
        </w:rPr>
        <w:t xml:space="preserve">With OMB approval for both the initial data collection and follow-up studies (OMB Control No: 3041-0029), </w:t>
      </w:r>
      <w:r w:rsidR="00977BB6">
        <w:rPr>
          <w:sz w:val="24"/>
          <w:szCs w:val="24"/>
        </w:rPr>
        <w:t xml:space="preserve">CPSC </w:t>
      </w:r>
      <w:r w:rsidR="002F7046">
        <w:rPr>
          <w:sz w:val="24"/>
          <w:szCs w:val="24"/>
        </w:rPr>
        <w:t xml:space="preserve">regularly </w:t>
      </w:r>
      <w:r w:rsidR="00977BB6">
        <w:rPr>
          <w:sz w:val="24"/>
          <w:szCs w:val="24"/>
        </w:rPr>
        <w:t>uses information attained through NEISS to conduct in depth follow-up investigations</w:t>
      </w:r>
      <w:r w:rsidR="009C08E9">
        <w:rPr>
          <w:sz w:val="24"/>
          <w:szCs w:val="24"/>
        </w:rPr>
        <w:t>;</w:t>
      </w:r>
      <w:r w:rsidR="00977BB6">
        <w:rPr>
          <w:sz w:val="24"/>
          <w:szCs w:val="24"/>
        </w:rPr>
        <w:t xml:space="preserve"> information collection extension requests </w:t>
      </w:r>
      <w:r w:rsidR="009C08E9">
        <w:rPr>
          <w:sz w:val="24"/>
          <w:szCs w:val="24"/>
        </w:rPr>
        <w:t xml:space="preserve">are submitted </w:t>
      </w:r>
      <w:r w:rsidR="00977BB6">
        <w:rPr>
          <w:sz w:val="24"/>
          <w:szCs w:val="24"/>
        </w:rPr>
        <w:t>every three years (</w:t>
      </w:r>
      <w:r w:rsidR="00037C3E" w:rsidRPr="004255DC">
        <w:rPr>
          <w:sz w:val="24"/>
          <w:szCs w:val="24"/>
        </w:rPr>
        <w:t>e.g., Federal Register: Vol. 7</w:t>
      </w:r>
      <w:r w:rsidR="00037C3E">
        <w:rPr>
          <w:sz w:val="24"/>
          <w:szCs w:val="24"/>
        </w:rPr>
        <w:t>5</w:t>
      </w:r>
      <w:r w:rsidR="00037C3E" w:rsidRPr="004255DC">
        <w:rPr>
          <w:sz w:val="24"/>
          <w:szCs w:val="24"/>
        </w:rPr>
        <w:t xml:space="preserve">, No. </w:t>
      </w:r>
      <w:r w:rsidR="00037C3E">
        <w:rPr>
          <w:sz w:val="24"/>
          <w:szCs w:val="24"/>
        </w:rPr>
        <w:t>65</w:t>
      </w:r>
      <w:r w:rsidR="00037C3E" w:rsidRPr="004255DC">
        <w:rPr>
          <w:sz w:val="24"/>
          <w:szCs w:val="24"/>
        </w:rPr>
        <w:t xml:space="preserve">; </w:t>
      </w:r>
      <w:r w:rsidR="00037C3E">
        <w:rPr>
          <w:sz w:val="24"/>
          <w:szCs w:val="24"/>
        </w:rPr>
        <w:t>Tuesday</w:t>
      </w:r>
      <w:r w:rsidR="00037C3E" w:rsidRPr="004255DC">
        <w:rPr>
          <w:sz w:val="24"/>
          <w:szCs w:val="24"/>
        </w:rPr>
        <w:t xml:space="preserve">, </w:t>
      </w:r>
      <w:r w:rsidR="00037C3E">
        <w:rPr>
          <w:sz w:val="24"/>
          <w:szCs w:val="24"/>
        </w:rPr>
        <w:t>April</w:t>
      </w:r>
      <w:r w:rsidR="00037C3E" w:rsidRPr="004255DC">
        <w:rPr>
          <w:sz w:val="24"/>
          <w:szCs w:val="24"/>
        </w:rPr>
        <w:t xml:space="preserve"> </w:t>
      </w:r>
      <w:r w:rsidR="00037C3E">
        <w:rPr>
          <w:sz w:val="24"/>
          <w:szCs w:val="24"/>
        </w:rPr>
        <w:t>6</w:t>
      </w:r>
      <w:r w:rsidR="00037C3E" w:rsidRPr="004255DC">
        <w:rPr>
          <w:sz w:val="24"/>
          <w:szCs w:val="24"/>
        </w:rPr>
        <w:t>, 20</w:t>
      </w:r>
      <w:r w:rsidR="00037C3E">
        <w:rPr>
          <w:sz w:val="24"/>
          <w:szCs w:val="24"/>
        </w:rPr>
        <w:t>10</w:t>
      </w:r>
      <w:r w:rsidR="00037C3E" w:rsidRPr="004255DC">
        <w:rPr>
          <w:sz w:val="24"/>
          <w:szCs w:val="24"/>
        </w:rPr>
        <w:t xml:space="preserve">; </w:t>
      </w:r>
      <w:r w:rsidR="00037C3E">
        <w:rPr>
          <w:sz w:val="24"/>
          <w:szCs w:val="24"/>
        </w:rPr>
        <w:t>17391</w:t>
      </w:r>
      <w:r w:rsidR="00037C3E" w:rsidRPr="004255DC">
        <w:rPr>
          <w:sz w:val="24"/>
          <w:szCs w:val="24"/>
        </w:rPr>
        <w:t>-</w:t>
      </w:r>
      <w:r w:rsidR="00037C3E">
        <w:rPr>
          <w:sz w:val="24"/>
          <w:szCs w:val="24"/>
        </w:rPr>
        <w:t>17393</w:t>
      </w:r>
      <w:r w:rsidR="00977BB6">
        <w:rPr>
          <w:sz w:val="24"/>
          <w:szCs w:val="24"/>
        </w:rPr>
        <w:t>).</w:t>
      </w:r>
    </w:p>
    <w:p w:rsidR="003E184F" w:rsidRDefault="003E184F" w:rsidP="00D6361A">
      <w:pPr>
        <w:spacing w:after="0"/>
        <w:ind w:firstLine="360"/>
        <w:rPr>
          <w:sz w:val="24"/>
          <w:szCs w:val="24"/>
        </w:rPr>
      </w:pPr>
      <w:r>
        <w:rPr>
          <w:sz w:val="24"/>
          <w:szCs w:val="24"/>
        </w:rPr>
        <w:t>Beginning in 1981, NIOSH began conducting research using NEISS data as authorized by the Occupational Safety and Health Act, Section 20, “Research and Related Activities” and Section 22(d), “Authority of Director, National Institute for Occupational Safety and Health” (29 U.S.C. 669, 671 (d))</w:t>
      </w:r>
      <w:r w:rsidR="00FA5A09">
        <w:rPr>
          <w:sz w:val="24"/>
          <w:szCs w:val="24"/>
        </w:rPr>
        <w:t xml:space="preserve">. </w:t>
      </w:r>
      <w:r>
        <w:rPr>
          <w:sz w:val="24"/>
          <w:szCs w:val="24"/>
        </w:rPr>
        <w:t>The work-related injury data attained by NIOSH from CPSC through what is now referred as NEISS-Work do not contain direct personal identifier</w:t>
      </w:r>
      <w:r w:rsidR="00F91AE6">
        <w:rPr>
          <w:sz w:val="24"/>
          <w:szCs w:val="24"/>
        </w:rPr>
        <w:t>s such as name, social security</w:t>
      </w:r>
      <w:r>
        <w:rPr>
          <w:sz w:val="24"/>
          <w:szCs w:val="24"/>
        </w:rPr>
        <w:t xml:space="preserve"> number, or contact information.  </w:t>
      </w:r>
      <w:r w:rsidR="00D76DBB">
        <w:rPr>
          <w:sz w:val="24"/>
          <w:szCs w:val="24"/>
        </w:rPr>
        <w:t>Similarly,</w:t>
      </w:r>
      <w:r>
        <w:rPr>
          <w:sz w:val="24"/>
          <w:szCs w:val="24"/>
        </w:rPr>
        <w:t xml:space="preserve"> </w:t>
      </w:r>
      <w:r w:rsidR="00F91AE6">
        <w:rPr>
          <w:sz w:val="24"/>
          <w:szCs w:val="24"/>
        </w:rPr>
        <w:t>this information will not be provided to NIOSH in the proposed study, but will be obtained from the participating hospitals and retained by CPSC only for the purposes of conducting the intended follow-up interviews.</w:t>
      </w:r>
    </w:p>
    <w:p w:rsidR="00F91AE6" w:rsidRDefault="00F91AE6" w:rsidP="00D6361A">
      <w:pPr>
        <w:spacing w:after="0"/>
        <w:ind w:firstLine="360"/>
        <w:rPr>
          <w:sz w:val="24"/>
          <w:szCs w:val="24"/>
        </w:rPr>
      </w:pPr>
      <w:r>
        <w:rPr>
          <w:sz w:val="24"/>
          <w:szCs w:val="24"/>
        </w:rPr>
        <w:t>NIOSH used NEISS in 1981-1987 and again in 1991 through the present.  In the 1990’s NIOSH conducted several follow-up telephone interview studies in collaboration with CPSC under their approval to collect information. OMB was regularly informed of such.  Beginning in approximately 2002, CPSC requested that all federal agencies using NEISS for follow-up investigations seek their own OMB approval for the specific follow-up study (as is being done herein).</w:t>
      </w:r>
    </w:p>
    <w:p w:rsidR="00E50D46" w:rsidRDefault="00E50D46" w:rsidP="00D6361A">
      <w:pPr>
        <w:spacing w:after="0"/>
        <w:ind w:firstLine="360"/>
        <w:rPr>
          <w:sz w:val="24"/>
          <w:szCs w:val="24"/>
        </w:rPr>
      </w:pPr>
    </w:p>
    <w:p w:rsidR="00E50D46" w:rsidRDefault="00E50D46" w:rsidP="000D692F">
      <w:pPr>
        <w:spacing w:after="0"/>
        <w:rPr>
          <w:sz w:val="24"/>
          <w:szCs w:val="24"/>
        </w:rPr>
      </w:pPr>
      <w:r>
        <w:rPr>
          <w:sz w:val="24"/>
          <w:szCs w:val="24"/>
          <w:u w:val="single"/>
        </w:rPr>
        <w:t>NEISS-Work</w:t>
      </w:r>
    </w:p>
    <w:p w:rsidR="00E50D46" w:rsidRDefault="00E50D46" w:rsidP="00D6361A">
      <w:pPr>
        <w:spacing w:after="0"/>
        <w:ind w:firstLine="360"/>
        <w:rPr>
          <w:sz w:val="24"/>
          <w:szCs w:val="24"/>
        </w:rPr>
      </w:pPr>
      <w:r>
        <w:rPr>
          <w:sz w:val="24"/>
          <w:szCs w:val="24"/>
        </w:rPr>
        <w:t xml:space="preserve">Routinely collected NEISS-Work data are captured from a national stratified probability sample of 67 of the approximately 5,400 rural and urban hospitals in the U.S. and its territories. At each of these hospitals, a coder employed by CPSC abstracts standardized information from the ED record.  For NEISS-Work, this information is captured for all persons identified as having a work-related injury </w:t>
      </w:r>
      <w:r w:rsidR="00F97C3E">
        <w:rPr>
          <w:sz w:val="24"/>
          <w:szCs w:val="24"/>
        </w:rPr>
        <w:t xml:space="preserve">or illness </w:t>
      </w:r>
      <w:r>
        <w:rPr>
          <w:sz w:val="24"/>
          <w:szCs w:val="24"/>
        </w:rPr>
        <w:t>and meeting the following criteria:</w:t>
      </w:r>
    </w:p>
    <w:p w:rsidR="00E50D46" w:rsidRDefault="00E50D46" w:rsidP="00D6361A">
      <w:pPr>
        <w:spacing w:after="0"/>
        <w:ind w:firstLine="360"/>
        <w:rPr>
          <w:sz w:val="24"/>
          <w:szCs w:val="24"/>
        </w:rPr>
      </w:pPr>
    </w:p>
    <w:p w:rsidR="00E50D46" w:rsidRDefault="00E50D46" w:rsidP="00D6361A">
      <w:pPr>
        <w:pStyle w:val="ListParagraph"/>
        <w:numPr>
          <w:ilvl w:val="0"/>
          <w:numId w:val="3"/>
        </w:numPr>
        <w:spacing w:after="0"/>
        <w:ind w:firstLine="360"/>
        <w:rPr>
          <w:sz w:val="24"/>
          <w:szCs w:val="24"/>
        </w:rPr>
      </w:pPr>
      <w:r>
        <w:rPr>
          <w:sz w:val="24"/>
          <w:szCs w:val="24"/>
        </w:rPr>
        <w:t>First visit for an injury or illness treated in an emergency department;</w:t>
      </w:r>
    </w:p>
    <w:p w:rsidR="008E31E5" w:rsidRDefault="00E50D46" w:rsidP="008E31E5">
      <w:pPr>
        <w:pStyle w:val="ListParagraph"/>
        <w:numPr>
          <w:ilvl w:val="0"/>
          <w:numId w:val="3"/>
        </w:numPr>
        <w:spacing w:after="0"/>
        <w:ind w:firstLine="360"/>
        <w:rPr>
          <w:sz w:val="24"/>
          <w:szCs w:val="24"/>
        </w:rPr>
      </w:pPr>
      <w:r>
        <w:rPr>
          <w:sz w:val="24"/>
          <w:szCs w:val="24"/>
        </w:rPr>
        <w:t xml:space="preserve">Civilian, non-institutionalized worker; and </w:t>
      </w:r>
    </w:p>
    <w:p w:rsidR="00E50D46" w:rsidRPr="008E31E5" w:rsidRDefault="00E50D46" w:rsidP="00F97C3E">
      <w:pPr>
        <w:pStyle w:val="ListParagraph"/>
        <w:numPr>
          <w:ilvl w:val="0"/>
          <w:numId w:val="3"/>
        </w:numPr>
        <w:spacing w:after="0"/>
        <w:ind w:left="720"/>
        <w:rPr>
          <w:sz w:val="24"/>
          <w:szCs w:val="24"/>
        </w:rPr>
      </w:pPr>
      <w:r w:rsidRPr="008E31E5">
        <w:rPr>
          <w:sz w:val="24"/>
          <w:szCs w:val="24"/>
        </w:rPr>
        <w:t>Performing an activity for pay or other compensation, or volunteering for an organized group such as an EMS squad or fire department.</w:t>
      </w:r>
    </w:p>
    <w:p w:rsidR="00E50D46" w:rsidRDefault="00E50D46" w:rsidP="00D6361A">
      <w:pPr>
        <w:spacing w:after="0"/>
        <w:ind w:firstLine="360"/>
        <w:rPr>
          <w:sz w:val="24"/>
          <w:szCs w:val="24"/>
        </w:rPr>
      </w:pPr>
    </w:p>
    <w:p w:rsidR="005520B3" w:rsidRDefault="00E50D46" w:rsidP="00D6361A">
      <w:pPr>
        <w:spacing w:after="0"/>
        <w:ind w:firstLine="360"/>
        <w:rPr>
          <w:sz w:val="24"/>
          <w:szCs w:val="24"/>
        </w:rPr>
      </w:pPr>
      <w:r>
        <w:rPr>
          <w:sz w:val="24"/>
          <w:szCs w:val="24"/>
        </w:rPr>
        <w:lastRenderedPageBreak/>
        <w:t xml:space="preserve">Worker </w:t>
      </w:r>
      <w:r w:rsidR="00863E61">
        <w:rPr>
          <w:sz w:val="24"/>
          <w:szCs w:val="24"/>
        </w:rPr>
        <w:t>ED</w:t>
      </w:r>
      <w:r>
        <w:rPr>
          <w:sz w:val="24"/>
          <w:szCs w:val="24"/>
        </w:rPr>
        <w:t xml:space="preserve"> records are abstracted without restriction by age, type of employer or industry, or employer size.  Work-relatedness is determined by the hospital abstractor based on the information provided in the ED chart at the time of treatment. Indication or filing of a Workers’ Compensation claim is not required. NEISS-Work guidelines for defining a work-related injury</w:t>
      </w:r>
      <w:r w:rsidR="00AB1D8B">
        <w:rPr>
          <w:sz w:val="24"/>
          <w:szCs w:val="24"/>
        </w:rPr>
        <w:t xml:space="preserve"> or illness</w:t>
      </w:r>
      <w:r>
        <w:rPr>
          <w:sz w:val="24"/>
          <w:szCs w:val="24"/>
        </w:rPr>
        <w:t xml:space="preserve"> generally follow the Occupational Safety and Health Administration’s (OSHA) requirements for recordable injuries</w:t>
      </w:r>
      <w:r w:rsidR="00AB1D8B">
        <w:rPr>
          <w:sz w:val="24"/>
          <w:szCs w:val="24"/>
        </w:rPr>
        <w:t xml:space="preserve"> and illnesses</w:t>
      </w:r>
      <w:r>
        <w:rPr>
          <w:sz w:val="24"/>
          <w:szCs w:val="24"/>
        </w:rPr>
        <w:t xml:space="preserve">.  </w:t>
      </w:r>
      <w:r w:rsidR="00A51165">
        <w:rPr>
          <w:sz w:val="24"/>
          <w:szCs w:val="24"/>
        </w:rPr>
        <w:t>OSHA defines work-relatedness in its recordkeeping regulations 29 CFR: 1904.5 as</w:t>
      </w:r>
      <w:r w:rsidR="005520B3">
        <w:rPr>
          <w:sz w:val="24"/>
          <w:szCs w:val="24"/>
        </w:rPr>
        <w:t>:</w:t>
      </w:r>
      <w:r w:rsidR="00A51165">
        <w:rPr>
          <w:sz w:val="24"/>
          <w:szCs w:val="24"/>
        </w:rPr>
        <w:t xml:space="preserve"> </w:t>
      </w:r>
    </w:p>
    <w:p w:rsidR="005520B3" w:rsidRDefault="00A51165" w:rsidP="00BD023F">
      <w:pPr>
        <w:spacing w:after="0"/>
        <w:ind w:left="720" w:right="720"/>
        <w:rPr>
          <w:rFonts w:cstheme="majorHAnsi"/>
          <w:szCs w:val="24"/>
        </w:rPr>
      </w:pPr>
      <w:r w:rsidRPr="00BD023F">
        <w:rPr>
          <w:rFonts w:cstheme="majorHAnsi"/>
          <w:b/>
          <w:szCs w:val="24"/>
        </w:rPr>
        <w:t>Basic requirement.</w:t>
      </w:r>
      <w:r w:rsidRPr="00BD023F">
        <w:rPr>
          <w:rFonts w:cstheme="majorHAnsi"/>
          <w:szCs w:val="24"/>
        </w:rPr>
        <w:t xml:space="preserve"> You must consider an injury or illness to be work-related if an event or exposure in the work environment </w:t>
      </w:r>
      <w:r w:rsidRPr="00BD023F">
        <w:rPr>
          <w:rFonts w:cstheme="majorHAnsi"/>
          <w:szCs w:val="24"/>
          <w:u w:val="single"/>
        </w:rPr>
        <w:t>either caused or contributed to the resulting condition or significantly aggravated a pre-existing injury or illness</w:t>
      </w:r>
      <w:r w:rsidRPr="00BD023F">
        <w:rPr>
          <w:rFonts w:cstheme="majorHAnsi"/>
          <w:szCs w:val="24"/>
        </w:rPr>
        <w:t xml:space="preserve">. Work-relatedness is presumed for injuries and illnesses resulting from events or exposures occurring in the work environment, unless an exception in § 1904.5(b)(2) specifically applies. </w:t>
      </w:r>
    </w:p>
    <w:p w:rsidR="00D76DBB" w:rsidRPr="00BD023F" w:rsidRDefault="00D76DBB" w:rsidP="00BD023F">
      <w:pPr>
        <w:spacing w:after="0"/>
        <w:ind w:left="720" w:right="720"/>
        <w:rPr>
          <w:rFonts w:cstheme="majorHAnsi"/>
          <w:szCs w:val="24"/>
        </w:rPr>
      </w:pPr>
    </w:p>
    <w:p w:rsidR="00E50D46" w:rsidRDefault="00E50D46" w:rsidP="00D6361A">
      <w:pPr>
        <w:spacing w:after="0"/>
        <w:ind w:firstLine="360"/>
        <w:rPr>
          <w:sz w:val="24"/>
          <w:szCs w:val="24"/>
        </w:rPr>
      </w:pPr>
      <w:r>
        <w:rPr>
          <w:sz w:val="24"/>
          <w:szCs w:val="24"/>
        </w:rPr>
        <w:t xml:space="preserve">In addition, </w:t>
      </w:r>
      <w:r w:rsidR="00B351BF">
        <w:rPr>
          <w:sz w:val="24"/>
          <w:szCs w:val="24"/>
        </w:rPr>
        <w:t xml:space="preserve">injuries </w:t>
      </w:r>
      <w:r w:rsidR="007345F3">
        <w:rPr>
          <w:sz w:val="24"/>
          <w:szCs w:val="24"/>
        </w:rPr>
        <w:t xml:space="preserve">and illnesses </w:t>
      </w:r>
      <w:r w:rsidR="00B351BF">
        <w:rPr>
          <w:sz w:val="24"/>
          <w:szCs w:val="24"/>
        </w:rPr>
        <w:t>are captured regardless of product involvement and regardless of intent as long as the</w:t>
      </w:r>
      <w:r w:rsidR="007345F3">
        <w:rPr>
          <w:sz w:val="24"/>
          <w:szCs w:val="24"/>
        </w:rPr>
        <w:t>y</w:t>
      </w:r>
      <w:r w:rsidR="00B351BF">
        <w:rPr>
          <w:sz w:val="24"/>
          <w:szCs w:val="24"/>
        </w:rPr>
        <w:t xml:space="preserve"> occurred while working. Incidents resulting in a loss of consciousness are included as are heart attacks that occur at work, similar to the OSHA requirements. Common illnesses are not reportable within NEISS-Work unless a causal link to work activities can be established (e.g., </w:t>
      </w:r>
      <w:r w:rsidR="003213AD">
        <w:rPr>
          <w:sz w:val="24"/>
          <w:szCs w:val="24"/>
        </w:rPr>
        <w:t xml:space="preserve">tuberculosis </w:t>
      </w:r>
      <w:r w:rsidR="00B351BF">
        <w:rPr>
          <w:sz w:val="24"/>
          <w:szCs w:val="24"/>
        </w:rPr>
        <w:t>exposure at work). Typical non-work-related illnesses, diseases, and chronic conditions include: cancer, diabetes, arthritis, kidney stones, epilepsy, infections, flu, sore throat, colds, urinary tract infections, and sexually transmitted diseases. Routine visits for either screening or treatment referral for drug or alcohol use are also not reportable within NEISS-Work.</w:t>
      </w:r>
    </w:p>
    <w:p w:rsidR="00B351BF" w:rsidRDefault="00344E5D" w:rsidP="00D6361A">
      <w:pPr>
        <w:spacing w:after="0"/>
        <w:ind w:firstLine="360"/>
        <w:rPr>
          <w:sz w:val="24"/>
          <w:szCs w:val="24"/>
        </w:rPr>
      </w:pPr>
      <w:r>
        <w:rPr>
          <w:sz w:val="24"/>
          <w:szCs w:val="24"/>
        </w:rPr>
        <w:t xml:space="preserve">The NEISS-Work data are the property of NIOSH and </w:t>
      </w:r>
      <w:r w:rsidR="007345F3">
        <w:rPr>
          <w:sz w:val="24"/>
          <w:szCs w:val="24"/>
        </w:rPr>
        <w:t xml:space="preserve">are </w:t>
      </w:r>
      <w:r>
        <w:rPr>
          <w:sz w:val="24"/>
          <w:szCs w:val="24"/>
        </w:rPr>
        <w:t>used for a variety of projects</w:t>
      </w:r>
      <w:r w:rsidR="009C08E9">
        <w:rPr>
          <w:sz w:val="24"/>
          <w:szCs w:val="24"/>
        </w:rPr>
        <w:t xml:space="preserve">. </w:t>
      </w:r>
      <w:r>
        <w:rPr>
          <w:sz w:val="24"/>
          <w:szCs w:val="24"/>
        </w:rPr>
        <w:t>They are maintained</w:t>
      </w:r>
      <w:r w:rsidR="00CD48E0">
        <w:rPr>
          <w:sz w:val="24"/>
          <w:szCs w:val="24"/>
        </w:rPr>
        <w:t xml:space="preserve"> on password-</w:t>
      </w:r>
      <w:r>
        <w:rPr>
          <w:sz w:val="24"/>
          <w:szCs w:val="24"/>
        </w:rPr>
        <w:t>protected computers and in secure files in locked NIOSH offices.  They are archived on a secure network drive accessible only by those persons who have completed required annual confidentiality training. The archived NEISS-Work files will be maintained for a minimum of 20 years after the study is completed or becomes inactive in accordance with the CDC Records Control Schedule.</w:t>
      </w:r>
    </w:p>
    <w:p w:rsidR="00D6361A" w:rsidRDefault="00D6361A" w:rsidP="00D6361A">
      <w:pPr>
        <w:spacing w:after="0"/>
        <w:ind w:firstLine="360"/>
        <w:rPr>
          <w:sz w:val="24"/>
          <w:szCs w:val="24"/>
        </w:rPr>
      </w:pPr>
    </w:p>
    <w:p w:rsidR="00D6361A" w:rsidRDefault="00D6361A" w:rsidP="000D692F">
      <w:pPr>
        <w:spacing w:after="0"/>
        <w:rPr>
          <w:sz w:val="24"/>
          <w:szCs w:val="24"/>
        </w:rPr>
      </w:pPr>
      <w:r>
        <w:rPr>
          <w:sz w:val="24"/>
          <w:szCs w:val="24"/>
          <w:u w:val="single"/>
        </w:rPr>
        <w:t>Telephone interview survey</w:t>
      </w:r>
    </w:p>
    <w:p w:rsidR="00D6361A" w:rsidRDefault="00D6361A" w:rsidP="00D6361A">
      <w:pPr>
        <w:spacing w:after="0"/>
        <w:ind w:firstLine="360"/>
        <w:rPr>
          <w:sz w:val="24"/>
          <w:szCs w:val="24"/>
        </w:rPr>
      </w:pPr>
      <w:r>
        <w:rPr>
          <w:sz w:val="24"/>
          <w:szCs w:val="24"/>
        </w:rPr>
        <w:t xml:space="preserve">CPSC has previously used telephone interview survey methods to collect data related to injury incidents, including occupational injury incidents.  CPSC maintains OMB approval “for a collection of information obtained from persons who have been involved in or have witnessed incidents associated with consumer products” (OMB control number 3041-0029). While the cases in the proposed Underreporting study are mutually exclusive of the product-related cases captured by CPSC, the </w:t>
      </w:r>
      <w:r w:rsidR="00CD48E0">
        <w:rPr>
          <w:sz w:val="24"/>
          <w:szCs w:val="24"/>
        </w:rPr>
        <w:t xml:space="preserve">proposed </w:t>
      </w:r>
      <w:r>
        <w:rPr>
          <w:sz w:val="24"/>
          <w:szCs w:val="24"/>
        </w:rPr>
        <w:t xml:space="preserve">study practices </w:t>
      </w:r>
      <w:r w:rsidR="00F302E5">
        <w:rPr>
          <w:sz w:val="24"/>
          <w:szCs w:val="24"/>
        </w:rPr>
        <w:t xml:space="preserve">will </w:t>
      </w:r>
      <w:r>
        <w:rPr>
          <w:sz w:val="24"/>
          <w:szCs w:val="24"/>
        </w:rPr>
        <w:t>follow those used by CPSC in their follow-up activities for consumer product-related activities.</w:t>
      </w:r>
      <w:r w:rsidR="009C08E9">
        <w:rPr>
          <w:sz w:val="24"/>
          <w:szCs w:val="24"/>
        </w:rPr>
        <w:t xml:space="preserve">  </w:t>
      </w:r>
      <w:r w:rsidR="00FA5A09">
        <w:rPr>
          <w:sz w:val="24"/>
          <w:szCs w:val="24"/>
        </w:rPr>
        <w:t>Additionally, NIOSH has received past OMB approval (OMB Control No.: 0920-</w:t>
      </w:r>
      <w:r w:rsidR="00786F4E">
        <w:rPr>
          <w:sz w:val="24"/>
          <w:szCs w:val="24"/>
        </w:rPr>
        <w:t xml:space="preserve">0834, </w:t>
      </w:r>
      <w:r w:rsidR="00786F4E">
        <w:rPr>
          <w:sz w:val="24"/>
          <w:szCs w:val="24"/>
        </w:rPr>
        <w:lastRenderedPageBreak/>
        <w:t>expiration 12/31/2012</w:t>
      </w:r>
      <w:r w:rsidR="00FA5A09">
        <w:rPr>
          <w:sz w:val="24"/>
          <w:szCs w:val="24"/>
        </w:rPr>
        <w:t xml:space="preserve">) for a </w:t>
      </w:r>
      <w:r w:rsidR="009C08E9">
        <w:rPr>
          <w:sz w:val="24"/>
          <w:szCs w:val="24"/>
        </w:rPr>
        <w:t xml:space="preserve">separate study of emergency medical services (EMS) workers </w:t>
      </w:r>
      <w:r w:rsidR="00FA5A09">
        <w:rPr>
          <w:sz w:val="24"/>
          <w:szCs w:val="24"/>
        </w:rPr>
        <w:t>based on the same study practices</w:t>
      </w:r>
      <w:r w:rsidR="009C08E9">
        <w:rPr>
          <w:sz w:val="24"/>
          <w:szCs w:val="24"/>
        </w:rPr>
        <w:t>.</w:t>
      </w:r>
    </w:p>
    <w:p w:rsidR="00D527DC" w:rsidRDefault="000479CC" w:rsidP="00D6361A">
      <w:pPr>
        <w:spacing w:after="0"/>
        <w:ind w:firstLine="360"/>
        <w:rPr>
          <w:sz w:val="24"/>
          <w:szCs w:val="24"/>
        </w:rPr>
      </w:pPr>
      <w:r>
        <w:rPr>
          <w:sz w:val="24"/>
          <w:szCs w:val="24"/>
        </w:rPr>
        <w:t xml:space="preserve">In order to complete interviews in a telephone interview study, CPSC will attempt to obtain contact information for every </w:t>
      </w:r>
      <w:r w:rsidR="00867535">
        <w:rPr>
          <w:sz w:val="24"/>
          <w:szCs w:val="24"/>
        </w:rPr>
        <w:t xml:space="preserve">sampled </w:t>
      </w:r>
      <w:r>
        <w:rPr>
          <w:sz w:val="24"/>
          <w:szCs w:val="24"/>
        </w:rPr>
        <w:t xml:space="preserve">NEISS-Work case from the treating hospital that </w:t>
      </w:r>
      <w:r w:rsidR="00596F29">
        <w:rPr>
          <w:sz w:val="24"/>
          <w:szCs w:val="24"/>
        </w:rPr>
        <w:t>was between the ages of 20 and 64</w:t>
      </w:r>
      <w:r>
        <w:rPr>
          <w:sz w:val="24"/>
          <w:szCs w:val="24"/>
        </w:rPr>
        <w:t xml:space="preserve"> at the time of treatment</w:t>
      </w:r>
      <w:r w:rsidR="00FA5A09">
        <w:rPr>
          <w:sz w:val="24"/>
          <w:szCs w:val="24"/>
        </w:rPr>
        <w:t xml:space="preserve">. </w:t>
      </w:r>
      <w:r w:rsidR="00596F29">
        <w:rPr>
          <w:sz w:val="24"/>
          <w:szCs w:val="24"/>
        </w:rPr>
        <w:t xml:space="preserve">While hospitals are generally cooperative in releasing this information, a few hospitals decline to participate owing to individual hospital privacy rules or require that a letter be sent to the patient providing them the option of having their contact information withheld. Usually in the latter instance, if no response is received from the patient within approximately 10 days, the hospital releases the information to CPSC. There are also instances where the contact information released by the hospital is incorrect or out-of-date. </w:t>
      </w:r>
    </w:p>
    <w:p w:rsidR="00D6361A" w:rsidRDefault="00596F29" w:rsidP="00D6361A">
      <w:pPr>
        <w:spacing w:after="0"/>
        <w:ind w:firstLine="360"/>
        <w:rPr>
          <w:sz w:val="24"/>
          <w:szCs w:val="24"/>
        </w:rPr>
      </w:pPr>
      <w:r>
        <w:rPr>
          <w:sz w:val="24"/>
          <w:szCs w:val="24"/>
        </w:rPr>
        <w:t xml:space="preserve">Once contact information is obtained by CPSC, potential respondents will be sent a letter describing the study, informing them of their rights as a participant, and giving them the opportunity to opt out </w:t>
      </w:r>
      <w:r w:rsidR="00AE7305">
        <w:rPr>
          <w:sz w:val="24"/>
          <w:szCs w:val="24"/>
        </w:rPr>
        <w:t xml:space="preserve">of </w:t>
      </w:r>
      <w:r w:rsidR="00986AA4">
        <w:rPr>
          <w:sz w:val="24"/>
          <w:szCs w:val="24"/>
        </w:rPr>
        <w:t>the study</w:t>
      </w:r>
      <w:r>
        <w:rPr>
          <w:sz w:val="24"/>
          <w:szCs w:val="24"/>
        </w:rPr>
        <w:t xml:space="preserve"> by calling a toll-free number</w:t>
      </w:r>
      <w:r w:rsidR="00582E0F">
        <w:rPr>
          <w:sz w:val="24"/>
          <w:szCs w:val="24"/>
        </w:rPr>
        <w:t xml:space="preserve"> (Appendix </w:t>
      </w:r>
      <w:r w:rsidR="00966961">
        <w:rPr>
          <w:sz w:val="24"/>
          <w:szCs w:val="24"/>
        </w:rPr>
        <w:t>E</w:t>
      </w:r>
      <w:r w:rsidR="00582E0F">
        <w:rPr>
          <w:sz w:val="24"/>
          <w:szCs w:val="24"/>
        </w:rPr>
        <w:t>)</w:t>
      </w:r>
      <w:r>
        <w:rPr>
          <w:sz w:val="24"/>
          <w:szCs w:val="24"/>
        </w:rPr>
        <w:t>. The contact information is then given to telephone interviewers under contract with CPSC to complete the interviews. The telephone interviewers are required to make at least ten attempts to contact each potential respondent. The</w:t>
      </w:r>
      <w:r w:rsidR="00986AA4">
        <w:rPr>
          <w:sz w:val="24"/>
          <w:szCs w:val="24"/>
        </w:rPr>
        <w:t>se</w:t>
      </w:r>
      <w:r>
        <w:rPr>
          <w:sz w:val="24"/>
          <w:szCs w:val="24"/>
        </w:rPr>
        <w:t xml:space="preserve"> attempts are made at varying, but reasonable, hours of the day and on varying days of the week. When no personal contact is made after a number of attempts, the interview is set aside and contact attempts are made at a later date as time permits to maximize the response rate while minimizing recall bias issues. Interviewers are trained to be considerate of respondents and their families, leaving a minimal number of messages or speaking with the respondent or another individual of the residence to arrange a convenient interview time. Messages include a toll-free response number so that the respondent may call at their convenience. When no personal contact is made, no message system is available, or there is no indicator of an incorrect number, the interviewer typically spreads their call attempts over a longer time period and commonly makes more than 10 contact attempts over the initial contact attempt period and the subsequent missed interview follow-ups. The interviewers comply with CPSC contract requirements as approved by OMB. If contact is made with a potential respondent, they are offered the options to participate in the survey at the time of contact, participate in the survey at a later time, or refuse participation. The current response rate for CPSC telephone interviews is approximately 40-45%. We anticipate that the response rate for this project will be similar. </w:t>
      </w:r>
    </w:p>
    <w:p w:rsidR="00D527DC" w:rsidRDefault="00D527DC" w:rsidP="00D6361A">
      <w:pPr>
        <w:spacing w:after="0"/>
        <w:ind w:firstLine="360"/>
        <w:rPr>
          <w:sz w:val="24"/>
          <w:szCs w:val="24"/>
        </w:rPr>
      </w:pPr>
      <w:r>
        <w:rPr>
          <w:sz w:val="24"/>
          <w:szCs w:val="24"/>
        </w:rPr>
        <w:t xml:space="preserve">Because of the inherent cost of the telephone interview data and their intrinsic value to researchers, upon completion of the proposed research, the data will be maintained by the </w:t>
      </w:r>
      <w:r w:rsidR="008C76F6">
        <w:rPr>
          <w:sz w:val="24"/>
          <w:szCs w:val="24"/>
        </w:rPr>
        <w:t xml:space="preserve">NIOSH </w:t>
      </w:r>
      <w:r>
        <w:rPr>
          <w:sz w:val="24"/>
          <w:szCs w:val="24"/>
        </w:rPr>
        <w:t>D</w:t>
      </w:r>
      <w:r w:rsidR="008C76F6">
        <w:rPr>
          <w:sz w:val="24"/>
          <w:szCs w:val="24"/>
        </w:rPr>
        <w:t xml:space="preserve">ivision of </w:t>
      </w:r>
      <w:r>
        <w:rPr>
          <w:sz w:val="24"/>
          <w:szCs w:val="24"/>
        </w:rPr>
        <w:t>S</w:t>
      </w:r>
      <w:r w:rsidR="008C76F6">
        <w:rPr>
          <w:sz w:val="24"/>
          <w:szCs w:val="24"/>
        </w:rPr>
        <w:t xml:space="preserve">afety </w:t>
      </w:r>
      <w:r>
        <w:rPr>
          <w:sz w:val="24"/>
          <w:szCs w:val="24"/>
        </w:rPr>
        <w:t>R</w:t>
      </w:r>
      <w:r w:rsidR="008C76F6">
        <w:rPr>
          <w:sz w:val="24"/>
          <w:szCs w:val="24"/>
        </w:rPr>
        <w:t>esearch</w:t>
      </w:r>
      <w:r>
        <w:rPr>
          <w:sz w:val="24"/>
          <w:szCs w:val="24"/>
        </w:rPr>
        <w:t xml:space="preserve"> as “active” files for a period of up to five years. Subsequently, the data will be maintained as archived protected data files for a period of up to 20 years in accordance with the CDC Records Control Schedule.</w:t>
      </w:r>
    </w:p>
    <w:p w:rsidR="00D527DC" w:rsidRDefault="00D527DC" w:rsidP="00D527DC">
      <w:pPr>
        <w:spacing w:after="0"/>
        <w:rPr>
          <w:sz w:val="24"/>
          <w:szCs w:val="24"/>
        </w:rPr>
      </w:pPr>
    </w:p>
    <w:p w:rsidR="00D76DBB" w:rsidRDefault="00D76DBB">
      <w:pPr>
        <w:rPr>
          <w:b/>
          <w:sz w:val="24"/>
          <w:szCs w:val="24"/>
          <w:u w:val="single"/>
        </w:rPr>
      </w:pPr>
      <w:r>
        <w:rPr>
          <w:b/>
          <w:sz w:val="24"/>
          <w:szCs w:val="24"/>
          <w:u w:val="single"/>
        </w:rPr>
        <w:br w:type="page"/>
      </w:r>
    </w:p>
    <w:p w:rsidR="00D527DC" w:rsidRDefault="00043302" w:rsidP="00D527DC">
      <w:pPr>
        <w:spacing w:after="0"/>
        <w:rPr>
          <w:sz w:val="24"/>
          <w:szCs w:val="24"/>
        </w:rPr>
      </w:pPr>
      <w:r>
        <w:rPr>
          <w:b/>
          <w:sz w:val="24"/>
          <w:szCs w:val="24"/>
          <w:u w:val="single"/>
        </w:rPr>
        <w:lastRenderedPageBreak/>
        <w:t>Items of Information to be Collected</w:t>
      </w:r>
    </w:p>
    <w:p w:rsidR="00043302" w:rsidRDefault="00043302" w:rsidP="00D527DC">
      <w:pPr>
        <w:spacing w:after="0"/>
        <w:rPr>
          <w:sz w:val="24"/>
          <w:szCs w:val="24"/>
          <w:u w:val="single"/>
        </w:rPr>
      </w:pPr>
    </w:p>
    <w:p w:rsidR="00043302" w:rsidRDefault="00043302" w:rsidP="00D527DC">
      <w:pPr>
        <w:spacing w:after="0"/>
        <w:rPr>
          <w:sz w:val="24"/>
          <w:szCs w:val="24"/>
        </w:rPr>
      </w:pPr>
      <w:r>
        <w:rPr>
          <w:sz w:val="24"/>
          <w:szCs w:val="24"/>
          <w:u w:val="single"/>
        </w:rPr>
        <w:t>NEISS-Work</w:t>
      </w:r>
    </w:p>
    <w:p w:rsidR="00043302" w:rsidRDefault="00986AA4" w:rsidP="00043302">
      <w:pPr>
        <w:spacing w:after="0"/>
        <w:ind w:firstLine="360"/>
        <w:rPr>
          <w:sz w:val="24"/>
          <w:szCs w:val="24"/>
        </w:rPr>
      </w:pPr>
      <w:r>
        <w:rPr>
          <w:sz w:val="24"/>
          <w:szCs w:val="24"/>
        </w:rPr>
        <w:t xml:space="preserve">Routine </w:t>
      </w:r>
      <w:r w:rsidR="00043302">
        <w:rPr>
          <w:sz w:val="24"/>
          <w:szCs w:val="24"/>
        </w:rPr>
        <w:t>NEISS-Work data collection includes</w:t>
      </w:r>
      <w:r w:rsidR="00582E0F">
        <w:rPr>
          <w:sz w:val="24"/>
          <w:szCs w:val="24"/>
        </w:rPr>
        <w:t>: demographics (age, sex, race/</w:t>
      </w:r>
      <w:r w:rsidR="00043302">
        <w:rPr>
          <w:sz w:val="24"/>
          <w:szCs w:val="24"/>
        </w:rPr>
        <w:t xml:space="preserve">ethnicity, job title, business type, and employer name); medical characteristics (treatment date, diagnosis, body part affected, and disposition (e.g., treated and released or hospitalized)), and incident characteristics (locale, fire or motor vehicle involvement, and a brief narrative description). NIOSH staff review all cases for work-relatedness, recode selected variables, and add standardized Occupational Injury and Illness Classification System codes for the event or exposure and the source and secondary source of injury. The job title, business type, and employer name variables are collected as free form literal text. Currently, NIOSH </w:t>
      </w:r>
      <w:r w:rsidR="00FA5A09">
        <w:rPr>
          <w:sz w:val="24"/>
          <w:szCs w:val="24"/>
        </w:rPr>
        <w:t>is in the process of recoding these variables</w:t>
      </w:r>
      <w:r w:rsidR="00043302">
        <w:rPr>
          <w:sz w:val="24"/>
          <w:szCs w:val="24"/>
        </w:rPr>
        <w:t xml:space="preserve"> to standardized industry or occupation classification systems. However, </w:t>
      </w:r>
      <w:r w:rsidR="00D1345F">
        <w:rPr>
          <w:sz w:val="24"/>
          <w:szCs w:val="24"/>
        </w:rPr>
        <w:t>NIOSH does</w:t>
      </w:r>
      <w:r w:rsidR="00043302">
        <w:rPr>
          <w:sz w:val="24"/>
          <w:szCs w:val="24"/>
        </w:rPr>
        <w:t xml:space="preserve"> use the information to identify and subset selected worker populations such as EMS workers for special studies.</w:t>
      </w:r>
    </w:p>
    <w:p w:rsidR="00D1345F" w:rsidRDefault="00D1345F" w:rsidP="00D1345F">
      <w:pPr>
        <w:spacing w:after="0"/>
        <w:rPr>
          <w:sz w:val="24"/>
          <w:szCs w:val="24"/>
        </w:rPr>
      </w:pPr>
    </w:p>
    <w:p w:rsidR="00D1345F" w:rsidRDefault="00D1345F" w:rsidP="00D1345F">
      <w:pPr>
        <w:spacing w:after="0"/>
        <w:rPr>
          <w:sz w:val="24"/>
          <w:szCs w:val="24"/>
        </w:rPr>
      </w:pPr>
      <w:r>
        <w:rPr>
          <w:sz w:val="24"/>
          <w:szCs w:val="24"/>
          <w:u w:val="single"/>
        </w:rPr>
        <w:t>Telephone interview survey</w:t>
      </w:r>
    </w:p>
    <w:p w:rsidR="00D1345F" w:rsidRPr="00D1345F" w:rsidRDefault="00D1345F" w:rsidP="00D1345F">
      <w:pPr>
        <w:spacing w:after="0"/>
        <w:ind w:firstLine="360"/>
        <w:rPr>
          <w:rFonts w:cs="Times New Roman"/>
          <w:sz w:val="24"/>
          <w:szCs w:val="24"/>
          <w:lang w:eastAsia="ja-JP"/>
        </w:rPr>
      </w:pPr>
      <w:r w:rsidRPr="00D1345F">
        <w:rPr>
          <w:sz w:val="24"/>
          <w:szCs w:val="24"/>
        </w:rPr>
        <w:t>The data collected via th</w:t>
      </w:r>
      <w:r w:rsidR="00966961">
        <w:rPr>
          <w:sz w:val="24"/>
          <w:szCs w:val="24"/>
        </w:rPr>
        <w:t>e telephone interviews (Appendices</w:t>
      </w:r>
      <w:r w:rsidRPr="00D1345F">
        <w:rPr>
          <w:sz w:val="24"/>
          <w:szCs w:val="24"/>
        </w:rPr>
        <w:t xml:space="preserve"> </w:t>
      </w:r>
      <w:r w:rsidR="00966961">
        <w:rPr>
          <w:sz w:val="24"/>
          <w:szCs w:val="24"/>
        </w:rPr>
        <w:t>F and G</w:t>
      </w:r>
      <w:r w:rsidRPr="00D1345F">
        <w:rPr>
          <w:sz w:val="24"/>
          <w:szCs w:val="24"/>
        </w:rPr>
        <w:t xml:space="preserve">) will capture valuable, detailed information to supplement the routine data collected in NEISS-Work. </w:t>
      </w:r>
      <w:r w:rsidRPr="00D1345F">
        <w:rPr>
          <w:rFonts w:cs="Times New Roman"/>
          <w:sz w:val="24"/>
          <w:szCs w:val="24"/>
          <w:lang w:eastAsia="ja-JP"/>
        </w:rPr>
        <w:t xml:space="preserve">The interview will be about 30 minutes or less in length, including the introductory materials. </w:t>
      </w:r>
      <w:r w:rsidR="00522797">
        <w:rPr>
          <w:rFonts w:cs="Times New Roman"/>
          <w:sz w:val="24"/>
          <w:szCs w:val="24"/>
          <w:lang w:eastAsia="ja-JP"/>
        </w:rPr>
        <w:t>It</w:t>
      </w:r>
      <w:r w:rsidRPr="00D1345F">
        <w:rPr>
          <w:rFonts w:cs="Times New Roman"/>
          <w:sz w:val="24"/>
          <w:szCs w:val="24"/>
          <w:lang w:eastAsia="ja-JP"/>
        </w:rPr>
        <w:t xml:space="preserve"> will begin with an explanation of the study purpose and provide the information needed for informed consent. The subsequent questionnaire will begin with an opportunity for the respondent to give a free form narrative statement of the recent injury or illness event</w:t>
      </w:r>
      <w:r w:rsidR="005433F1">
        <w:rPr>
          <w:rFonts w:cs="Times New Roman"/>
          <w:sz w:val="24"/>
          <w:szCs w:val="24"/>
          <w:lang w:eastAsia="ja-JP"/>
        </w:rPr>
        <w:t>, followed by a series of qualifying questions</w:t>
      </w:r>
      <w:r w:rsidRPr="00D1345F">
        <w:rPr>
          <w:rFonts w:cs="Times New Roman"/>
          <w:sz w:val="24"/>
          <w:szCs w:val="24"/>
          <w:lang w:eastAsia="ja-JP"/>
        </w:rPr>
        <w:t xml:space="preserve">. </w:t>
      </w:r>
      <w:r w:rsidRPr="00EE4121">
        <w:rPr>
          <w:rFonts w:cs="Times New Roman"/>
          <w:sz w:val="24"/>
          <w:szCs w:val="24"/>
          <w:lang w:eastAsia="ja-JP"/>
        </w:rPr>
        <w:t>The remainder of the questionnaire will consist of separate modules that address specific worker or incident characteristics; issues related to reporting the injury or illness</w:t>
      </w:r>
      <w:r w:rsidR="005520B3" w:rsidRPr="00D76DBB">
        <w:rPr>
          <w:rFonts w:cs="Times New Roman"/>
          <w:sz w:val="24"/>
          <w:szCs w:val="24"/>
          <w:lang w:eastAsia="ja-JP"/>
        </w:rPr>
        <w:t>;</w:t>
      </w:r>
      <w:r w:rsidRPr="00EE4121">
        <w:rPr>
          <w:rFonts w:cs="Times New Roman"/>
          <w:sz w:val="24"/>
          <w:szCs w:val="24"/>
          <w:lang w:eastAsia="ja-JP"/>
        </w:rPr>
        <w:t xml:space="preserve"> and the medical payer</w:t>
      </w:r>
      <w:r w:rsidR="00EE4121">
        <w:rPr>
          <w:rFonts w:cs="Times New Roman"/>
          <w:sz w:val="24"/>
          <w:szCs w:val="24"/>
          <w:lang w:eastAsia="ja-JP"/>
        </w:rPr>
        <w:t>.</w:t>
      </w:r>
      <w:r w:rsidRPr="00EE4121">
        <w:rPr>
          <w:rFonts w:cs="Times New Roman"/>
          <w:sz w:val="24"/>
          <w:szCs w:val="24"/>
          <w:lang w:eastAsia="ja-JP"/>
        </w:rPr>
        <w:t xml:space="preserve"> </w:t>
      </w:r>
      <w:r w:rsidRPr="00D1345F">
        <w:rPr>
          <w:rFonts w:cs="Times New Roman"/>
          <w:sz w:val="24"/>
          <w:szCs w:val="24"/>
          <w:lang w:eastAsia="ja-JP"/>
        </w:rPr>
        <w:t>The specific modules included are: (1) initial introduction and screening questions; (2) classification of current injury or illness as acute or chronic; (3) current injury or illness characteristics; (4) type of employment; (5) employment characteristics; (6) E</w:t>
      </w:r>
      <w:r w:rsidR="004A3D2F">
        <w:rPr>
          <w:rFonts w:cs="Times New Roman"/>
          <w:sz w:val="24"/>
          <w:szCs w:val="24"/>
          <w:lang w:eastAsia="ja-JP"/>
        </w:rPr>
        <w:t>D</w:t>
      </w:r>
      <w:r w:rsidRPr="00D1345F">
        <w:rPr>
          <w:rFonts w:cs="Times New Roman"/>
          <w:sz w:val="24"/>
          <w:szCs w:val="24"/>
          <w:lang w:eastAsia="ja-JP"/>
        </w:rPr>
        <w:t xml:space="preserve"> reporting of the current injury or illness; (7) work reporting; (8) medical coverage and return to work; (9) </w:t>
      </w:r>
      <w:r w:rsidR="00240B60">
        <w:rPr>
          <w:rFonts w:cs="Times New Roman"/>
          <w:sz w:val="24"/>
          <w:szCs w:val="24"/>
          <w:lang w:eastAsia="ja-JP"/>
        </w:rPr>
        <w:t>identification of pre-existing work-related health problems</w:t>
      </w:r>
      <w:r w:rsidRPr="00D1345F">
        <w:rPr>
          <w:rFonts w:cs="Times New Roman"/>
          <w:sz w:val="24"/>
          <w:szCs w:val="24"/>
          <w:lang w:eastAsia="ja-JP"/>
        </w:rPr>
        <w:t xml:space="preserve">; (10) demographic information; and (11) post-interview questions for the interviewer. </w:t>
      </w:r>
      <w:r w:rsidR="00D047AF">
        <w:rPr>
          <w:rFonts w:cs="Times New Roman"/>
          <w:sz w:val="24"/>
          <w:szCs w:val="24"/>
          <w:lang w:eastAsia="ja-JP"/>
        </w:rPr>
        <w:t xml:space="preserve"> No information that could be used to directly identify an individual will be collected.  However, it is possible that the combination of injury narrative and other job-related and demographic indicators collected by the interview may be used to indirectly identify individuals.  As a result, strict policies, as detailed above, will be followed to ensure that this information remains </w:t>
      </w:r>
      <w:r w:rsidR="00735968">
        <w:rPr>
          <w:rFonts w:cs="Times New Roman"/>
          <w:sz w:val="24"/>
          <w:szCs w:val="24"/>
          <w:lang w:eastAsia="ja-JP"/>
        </w:rPr>
        <w:t>secure</w:t>
      </w:r>
      <w:r w:rsidR="00D047AF">
        <w:rPr>
          <w:rFonts w:cs="Times New Roman"/>
          <w:sz w:val="24"/>
          <w:szCs w:val="24"/>
          <w:lang w:eastAsia="ja-JP"/>
        </w:rPr>
        <w:t>.</w:t>
      </w:r>
    </w:p>
    <w:p w:rsidR="00D1345F" w:rsidRPr="00D1345F" w:rsidRDefault="00D1345F" w:rsidP="00D1345F">
      <w:pPr>
        <w:spacing w:after="0"/>
        <w:ind w:firstLine="360"/>
        <w:rPr>
          <w:rFonts w:cs="Times New Roman"/>
          <w:sz w:val="24"/>
          <w:szCs w:val="24"/>
          <w:lang w:eastAsia="ja-JP"/>
        </w:rPr>
      </w:pPr>
      <w:r w:rsidRPr="00D1345F">
        <w:rPr>
          <w:rFonts w:cs="Times New Roman"/>
          <w:sz w:val="24"/>
          <w:szCs w:val="24"/>
          <w:lang w:eastAsia="ja-JP"/>
        </w:rPr>
        <w:t xml:space="preserve">The initial draft questionnaire was developed by Westat, Rockville, MD, under contract to NIOSH. NIOSH staff revised the questionnaire extensively and harmonized the questionnaire with another underreporting survey being conducted by NIOSH. Review comments were received from members of the </w:t>
      </w:r>
      <w:r w:rsidR="00986AA4">
        <w:rPr>
          <w:rFonts w:cs="Times New Roman"/>
          <w:sz w:val="24"/>
          <w:szCs w:val="24"/>
          <w:lang w:eastAsia="ja-JP"/>
        </w:rPr>
        <w:t xml:space="preserve">NIOSH </w:t>
      </w:r>
      <w:r w:rsidRPr="00D1345F">
        <w:rPr>
          <w:rFonts w:cs="Times New Roman"/>
          <w:sz w:val="24"/>
          <w:szCs w:val="24"/>
          <w:lang w:eastAsia="ja-JP"/>
        </w:rPr>
        <w:t xml:space="preserve">Division of Safety Research (DSR); the </w:t>
      </w:r>
      <w:r w:rsidR="00986AA4">
        <w:rPr>
          <w:rFonts w:cs="Times New Roman"/>
          <w:sz w:val="24"/>
          <w:szCs w:val="24"/>
          <w:lang w:eastAsia="ja-JP"/>
        </w:rPr>
        <w:t xml:space="preserve">NIOSH </w:t>
      </w:r>
      <w:r w:rsidRPr="00D1345F">
        <w:rPr>
          <w:rFonts w:cs="Times New Roman"/>
          <w:sz w:val="24"/>
          <w:szCs w:val="24"/>
          <w:lang w:eastAsia="ja-JP"/>
        </w:rPr>
        <w:t>Division of Surveillance, Hazard Evaluations, and Field Studies (</w:t>
      </w:r>
      <w:r w:rsidR="00736DC1" w:rsidRPr="00D1345F">
        <w:rPr>
          <w:rFonts w:cs="Times New Roman"/>
          <w:sz w:val="24"/>
          <w:szCs w:val="24"/>
          <w:lang w:eastAsia="ja-JP"/>
        </w:rPr>
        <w:t>DSHEF</w:t>
      </w:r>
      <w:r w:rsidR="00736DC1">
        <w:rPr>
          <w:rFonts w:cs="Times New Roman"/>
          <w:sz w:val="24"/>
          <w:szCs w:val="24"/>
          <w:lang w:eastAsia="ja-JP"/>
        </w:rPr>
        <w:t>S</w:t>
      </w:r>
      <w:r w:rsidRPr="00D1345F">
        <w:rPr>
          <w:rFonts w:cs="Times New Roman"/>
          <w:sz w:val="24"/>
          <w:szCs w:val="24"/>
          <w:lang w:eastAsia="ja-JP"/>
        </w:rPr>
        <w:t xml:space="preserve">); and </w:t>
      </w:r>
      <w:r w:rsidRPr="00D1345F">
        <w:rPr>
          <w:rFonts w:cs="Times New Roman"/>
          <w:sz w:val="24"/>
          <w:szCs w:val="24"/>
          <w:lang w:eastAsia="ja-JP"/>
        </w:rPr>
        <w:lastRenderedPageBreak/>
        <w:t xml:space="preserve">the </w:t>
      </w:r>
      <w:r w:rsidR="00986AA4">
        <w:rPr>
          <w:rFonts w:cs="Times New Roman"/>
          <w:sz w:val="24"/>
          <w:szCs w:val="24"/>
          <w:lang w:eastAsia="ja-JP"/>
        </w:rPr>
        <w:t xml:space="preserve">NIOSH </w:t>
      </w:r>
      <w:r w:rsidRPr="00D1345F">
        <w:rPr>
          <w:rFonts w:cs="Times New Roman"/>
          <w:sz w:val="24"/>
          <w:szCs w:val="24"/>
          <w:lang w:eastAsia="ja-JP"/>
        </w:rPr>
        <w:t xml:space="preserve">Division of Respiratory Disease Studies (DRDS). Revisions were made to the instrument based on the comments that we received. The revised questionnaire was </w:t>
      </w:r>
      <w:r w:rsidR="0095771A">
        <w:rPr>
          <w:rFonts w:cs="Times New Roman"/>
          <w:sz w:val="24"/>
          <w:szCs w:val="24"/>
          <w:lang w:eastAsia="ja-JP"/>
        </w:rPr>
        <w:t xml:space="preserve">pilot </w:t>
      </w:r>
      <w:r w:rsidRPr="00D1345F">
        <w:rPr>
          <w:rFonts w:cs="Times New Roman"/>
          <w:sz w:val="24"/>
          <w:szCs w:val="24"/>
          <w:lang w:eastAsia="ja-JP"/>
        </w:rPr>
        <w:t xml:space="preserve">tested on a small number of employees at the NIOSH Morgantown branch who </w:t>
      </w:r>
      <w:r w:rsidR="0095771A">
        <w:rPr>
          <w:rFonts w:cs="Times New Roman"/>
          <w:sz w:val="24"/>
          <w:szCs w:val="24"/>
          <w:lang w:eastAsia="ja-JP"/>
        </w:rPr>
        <w:t>used</w:t>
      </w:r>
      <w:r w:rsidRPr="00D1345F">
        <w:rPr>
          <w:rFonts w:cs="Times New Roman"/>
          <w:sz w:val="24"/>
          <w:szCs w:val="24"/>
          <w:lang w:eastAsia="ja-JP"/>
        </w:rPr>
        <w:t xml:space="preserve"> constructed scenarios in order to test the skip pattern, flow, understandability, and comprehensiveness of the questions and their answer choices. Again, revisions were made based on </w:t>
      </w:r>
      <w:r w:rsidR="00986AA4">
        <w:rPr>
          <w:rFonts w:cs="Times New Roman"/>
          <w:sz w:val="24"/>
          <w:szCs w:val="24"/>
          <w:lang w:eastAsia="ja-JP"/>
        </w:rPr>
        <w:t xml:space="preserve">identified </w:t>
      </w:r>
      <w:r w:rsidRPr="00D1345F">
        <w:rPr>
          <w:rFonts w:cs="Times New Roman"/>
          <w:sz w:val="24"/>
          <w:szCs w:val="24"/>
          <w:lang w:eastAsia="ja-JP"/>
        </w:rPr>
        <w:t>problems. Subsequently, survey experts from R</w:t>
      </w:r>
      <w:r w:rsidR="002305A1">
        <w:rPr>
          <w:rFonts w:cs="Times New Roman"/>
          <w:sz w:val="24"/>
          <w:szCs w:val="24"/>
          <w:lang w:eastAsia="ja-JP"/>
        </w:rPr>
        <w:t>esearch Triangle Institute (RTI</w:t>
      </w:r>
      <w:r w:rsidRPr="00D1345F">
        <w:rPr>
          <w:rFonts w:cs="Times New Roman"/>
          <w:sz w:val="24"/>
          <w:szCs w:val="24"/>
          <w:lang w:eastAsia="ja-JP"/>
        </w:rPr>
        <w:t>), an independent, nonprofit research institution with more than 45 years of experience in survey methodology, reviewed and commented on the questionnaire</w:t>
      </w:r>
      <w:r w:rsidR="00986AA4">
        <w:rPr>
          <w:rFonts w:cs="Times New Roman"/>
          <w:sz w:val="24"/>
          <w:szCs w:val="24"/>
          <w:lang w:eastAsia="ja-JP"/>
        </w:rPr>
        <w:t xml:space="preserve"> and conduct</w:t>
      </w:r>
      <w:r w:rsidR="00F9125F">
        <w:rPr>
          <w:rFonts w:cs="Times New Roman"/>
          <w:sz w:val="24"/>
          <w:szCs w:val="24"/>
          <w:lang w:eastAsia="ja-JP"/>
        </w:rPr>
        <w:t>ed</w:t>
      </w:r>
      <w:r w:rsidR="00986AA4">
        <w:rPr>
          <w:rFonts w:cs="Times New Roman"/>
          <w:sz w:val="24"/>
          <w:szCs w:val="24"/>
          <w:lang w:eastAsia="ja-JP"/>
        </w:rPr>
        <w:t xml:space="preserve"> cognitive interviews on nine participants</w:t>
      </w:r>
      <w:r w:rsidRPr="00D1345F">
        <w:rPr>
          <w:rFonts w:cs="Times New Roman"/>
          <w:sz w:val="24"/>
          <w:szCs w:val="24"/>
          <w:lang w:eastAsia="ja-JP"/>
        </w:rPr>
        <w:t xml:space="preserve">. </w:t>
      </w:r>
      <w:r w:rsidR="00F9125F">
        <w:rPr>
          <w:rFonts w:cs="Times New Roman"/>
          <w:sz w:val="24"/>
          <w:szCs w:val="24"/>
          <w:lang w:eastAsia="ja-JP"/>
        </w:rPr>
        <w:t>Finally, N</w:t>
      </w:r>
      <w:r w:rsidRPr="00D1345F">
        <w:rPr>
          <w:rFonts w:cs="Times New Roman"/>
          <w:sz w:val="24"/>
          <w:szCs w:val="24"/>
          <w:lang w:eastAsia="ja-JP"/>
        </w:rPr>
        <w:t>IOSH staff work</w:t>
      </w:r>
      <w:r w:rsidR="00F9125F">
        <w:rPr>
          <w:rFonts w:cs="Times New Roman"/>
          <w:sz w:val="24"/>
          <w:szCs w:val="24"/>
          <w:lang w:eastAsia="ja-JP"/>
        </w:rPr>
        <w:t>ed</w:t>
      </w:r>
      <w:r w:rsidRPr="00D1345F">
        <w:rPr>
          <w:rFonts w:cs="Times New Roman"/>
          <w:sz w:val="24"/>
          <w:szCs w:val="24"/>
          <w:lang w:eastAsia="ja-JP"/>
        </w:rPr>
        <w:t xml:space="preserve"> with RTI staff to revise the questionnaire (Appendix </w:t>
      </w:r>
      <w:r w:rsidR="00966961">
        <w:rPr>
          <w:rFonts w:cs="Times New Roman"/>
          <w:sz w:val="24"/>
          <w:szCs w:val="24"/>
          <w:lang w:eastAsia="ja-JP"/>
        </w:rPr>
        <w:t>F</w:t>
      </w:r>
      <w:r w:rsidRPr="00D1345F">
        <w:rPr>
          <w:rFonts w:cs="Times New Roman"/>
          <w:sz w:val="24"/>
          <w:szCs w:val="24"/>
          <w:lang w:eastAsia="ja-JP"/>
        </w:rPr>
        <w:t xml:space="preserve">) </w:t>
      </w:r>
      <w:r w:rsidR="00F3264C">
        <w:rPr>
          <w:rFonts w:cs="Times New Roman"/>
          <w:sz w:val="24"/>
          <w:szCs w:val="24"/>
          <w:lang w:eastAsia="ja-JP"/>
        </w:rPr>
        <w:t>based on the results of</w:t>
      </w:r>
      <w:r w:rsidRPr="00D1345F">
        <w:rPr>
          <w:rFonts w:cs="Times New Roman"/>
          <w:sz w:val="24"/>
          <w:szCs w:val="24"/>
          <w:lang w:eastAsia="ja-JP"/>
        </w:rPr>
        <w:t xml:space="preserve"> cognitive testing. </w:t>
      </w:r>
    </w:p>
    <w:p w:rsidR="00D1345F" w:rsidRPr="00D1345F" w:rsidRDefault="00D1345F" w:rsidP="00D1345F">
      <w:pPr>
        <w:spacing w:after="0"/>
        <w:ind w:firstLine="360"/>
        <w:rPr>
          <w:rFonts w:cs="Times New Roman"/>
          <w:sz w:val="24"/>
          <w:szCs w:val="24"/>
          <w:lang w:eastAsia="ja-JP"/>
        </w:rPr>
      </w:pPr>
      <w:r w:rsidRPr="00D1345F">
        <w:rPr>
          <w:rFonts w:cs="Times New Roman"/>
          <w:sz w:val="24"/>
          <w:szCs w:val="24"/>
          <w:lang w:eastAsia="ja-JP"/>
        </w:rPr>
        <w:t>The final English</w:t>
      </w:r>
      <w:r w:rsidR="00F9125F">
        <w:rPr>
          <w:rFonts w:cs="Times New Roman"/>
          <w:sz w:val="24"/>
          <w:szCs w:val="24"/>
          <w:lang w:eastAsia="ja-JP"/>
        </w:rPr>
        <w:t>-language</w:t>
      </w:r>
      <w:r w:rsidRPr="00D1345F">
        <w:rPr>
          <w:rFonts w:cs="Times New Roman"/>
          <w:sz w:val="24"/>
          <w:szCs w:val="24"/>
          <w:lang w:eastAsia="ja-JP"/>
        </w:rPr>
        <w:t xml:space="preserve"> questionnaire </w:t>
      </w:r>
      <w:r w:rsidR="00EF4DA8">
        <w:rPr>
          <w:rFonts w:cs="Times New Roman"/>
          <w:sz w:val="24"/>
          <w:szCs w:val="24"/>
          <w:lang w:eastAsia="ja-JP"/>
        </w:rPr>
        <w:t>was</w:t>
      </w:r>
      <w:r w:rsidRPr="00D1345F">
        <w:rPr>
          <w:rFonts w:cs="Times New Roman"/>
          <w:sz w:val="24"/>
          <w:szCs w:val="24"/>
          <w:lang w:eastAsia="ja-JP"/>
        </w:rPr>
        <w:t xml:space="preserve"> translated to Spanish</w:t>
      </w:r>
      <w:r w:rsidR="00EF4DA8">
        <w:rPr>
          <w:rFonts w:cs="Times New Roman"/>
          <w:sz w:val="24"/>
          <w:szCs w:val="24"/>
          <w:lang w:eastAsia="ja-JP"/>
        </w:rPr>
        <w:t xml:space="preserve"> (Appendix </w:t>
      </w:r>
      <w:r w:rsidR="00966961">
        <w:rPr>
          <w:rFonts w:cs="Times New Roman"/>
          <w:sz w:val="24"/>
          <w:szCs w:val="24"/>
          <w:lang w:eastAsia="ja-JP"/>
        </w:rPr>
        <w:t>G</w:t>
      </w:r>
      <w:r w:rsidR="00EF4DA8">
        <w:rPr>
          <w:rFonts w:cs="Times New Roman"/>
          <w:sz w:val="24"/>
          <w:szCs w:val="24"/>
          <w:lang w:eastAsia="ja-JP"/>
        </w:rPr>
        <w:t>)</w:t>
      </w:r>
      <w:r w:rsidRPr="00D1345F">
        <w:rPr>
          <w:rFonts w:cs="Times New Roman"/>
          <w:sz w:val="24"/>
          <w:szCs w:val="24"/>
          <w:lang w:eastAsia="ja-JP"/>
        </w:rPr>
        <w:t xml:space="preserve">. The Spanish questionnaire </w:t>
      </w:r>
      <w:r w:rsidR="000F5BEC">
        <w:rPr>
          <w:rFonts w:cs="Times New Roman"/>
          <w:sz w:val="24"/>
          <w:szCs w:val="24"/>
          <w:lang w:eastAsia="ja-JP"/>
        </w:rPr>
        <w:t>was</w:t>
      </w:r>
      <w:r w:rsidRPr="00D1345F">
        <w:rPr>
          <w:rFonts w:cs="Times New Roman"/>
          <w:sz w:val="24"/>
          <w:szCs w:val="24"/>
          <w:lang w:eastAsia="ja-JP"/>
        </w:rPr>
        <w:t xml:space="preserve"> simplified in selected areas to minimize language, cultural, and conceptual differences among English-speaking and Spanish-speaking workers. The Spanish questionnaire version </w:t>
      </w:r>
      <w:r w:rsidR="000F5BEC">
        <w:rPr>
          <w:rFonts w:cs="Times New Roman"/>
          <w:sz w:val="24"/>
          <w:szCs w:val="24"/>
          <w:lang w:eastAsia="ja-JP"/>
        </w:rPr>
        <w:t>was</w:t>
      </w:r>
      <w:r w:rsidRPr="00D1345F">
        <w:rPr>
          <w:rFonts w:cs="Times New Roman"/>
          <w:sz w:val="24"/>
          <w:szCs w:val="24"/>
          <w:lang w:eastAsia="ja-JP"/>
        </w:rPr>
        <w:t xml:space="preserve"> tested using back translation, but </w:t>
      </w:r>
      <w:r w:rsidR="005520B3">
        <w:rPr>
          <w:rFonts w:cs="Times New Roman"/>
          <w:sz w:val="24"/>
          <w:szCs w:val="24"/>
          <w:lang w:eastAsia="ja-JP"/>
        </w:rPr>
        <w:t>did</w:t>
      </w:r>
      <w:r w:rsidR="005520B3" w:rsidRPr="00D1345F">
        <w:rPr>
          <w:rFonts w:cs="Times New Roman"/>
          <w:sz w:val="24"/>
          <w:szCs w:val="24"/>
          <w:lang w:eastAsia="ja-JP"/>
        </w:rPr>
        <w:t xml:space="preserve"> </w:t>
      </w:r>
      <w:r w:rsidRPr="00D1345F">
        <w:rPr>
          <w:rFonts w:cs="Times New Roman"/>
          <w:sz w:val="24"/>
          <w:szCs w:val="24"/>
          <w:lang w:eastAsia="ja-JP"/>
        </w:rPr>
        <w:t>not undergo formal cognitive testing.</w:t>
      </w:r>
      <w:r w:rsidR="00F9125F">
        <w:rPr>
          <w:rFonts w:cs="Times New Roman"/>
          <w:sz w:val="24"/>
          <w:szCs w:val="24"/>
          <w:lang w:eastAsia="ja-JP"/>
        </w:rPr>
        <w:t xml:space="preserve"> Because the questionnaire change</w:t>
      </w:r>
      <w:r w:rsidR="000F5BEC">
        <w:rPr>
          <w:rFonts w:cs="Times New Roman"/>
          <w:sz w:val="24"/>
          <w:szCs w:val="24"/>
          <w:lang w:eastAsia="ja-JP"/>
        </w:rPr>
        <w:t>d</w:t>
      </w:r>
      <w:r w:rsidR="00F9125F">
        <w:rPr>
          <w:rFonts w:cs="Times New Roman"/>
          <w:sz w:val="24"/>
          <w:szCs w:val="24"/>
          <w:lang w:eastAsia="ja-JP"/>
        </w:rPr>
        <w:t xml:space="preserve"> somewhat when translated due to language and cultural differences, data from the Spanish-language interviews will be analyzed separately.</w:t>
      </w:r>
    </w:p>
    <w:p w:rsidR="00D1345F" w:rsidRDefault="00D1345F" w:rsidP="00F3264C">
      <w:pPr>
        <w:spacing w:after="0"/>
        <w:rPr>
          <w:sz w:val="24"/>
          <w:szCs w:val="24"/>
        </w:rPr>
      </w:pPr>
    </w:p>
    <w:p w:rsidR="00F3264C" w:rsidRDefault="00F3264C" w:rsidP="00F3264C">
      <w:pPr>
        <w:spacing w:after="0"/>
        <w:rPr>
          <w:sz w:val="24"/>
          <w:szCs w:val="24"/>
        </w:rPr>
      </w:pPr>
      <w:r>
        <w:rPr>
          <w:sz w:val="24"/>
          <w:szCs w:val="24"/>
          <w:u w:val="single"/>
        </w:rPr>
        <w:t>Identification of Website(s) and Website Content directed at Children Under 13 Years of Age</w:t>
      </w:r>
    </w:p>
    <w:p w:rsidR="00F3264C" w:rsidRDefault="00F3264C" w:rsidP="00F3264C">
      <w:pPr>
        <w:spacing w:after="0"/>
        <w:ind w:firstLine="360"/>
        <w:rPr>
          <w:sz w:val="24"/>
          <w:szCs w:val="24"/>
        </w:rPr>
      </w:pPr>
      <w:r>
        <w:rPr>
          <w:sz w:val="24"/>
          <w:szCs w:val="24"/>
        </w:rPr>
        <w:t>The proposed project does not involve any web-based data collection methods nor is it associated with any websites with content directed at children under 13 years of age.</w:t>
      </w:r>
    </w:p>
    <w:p w:rsidR="00F3264C" w:rsidRDefault="00466915" w:rsidP="00545D7C">
      <w:pPr>
        <w:pStyle w:val="Heading2"/>
        <w:rPr>
          <w:rFonts w:asciiTheme="minorHAnsi" w:hAnsiTheme="minorHAnsi"/>
          <w:sz w:val="24"/>
          <w:szCs w:val="24"/>
        </w:rPr>
      </w:pPr>
      <w:bookmarkStart w:id="5" w:name="_Toc296089964"/>
      <w:r w:rsidRPr="00317A3D">
        <w:rPr>
          <w:rFonts w:asciiTheme="minorHAnsi" w:hAnsiTheme="minorHAnsi"/>
          <w:sz w:val="24"/>
          <w:szCs w:val="24"/>
        </w:rPr>
        <w:t xml:space="preserve">A.2. </w:t>
      </w:r>
      <w:r w:rsidRPr="00317A3D">
        <w:rPr>
          <w:rFonts w:asciiTheme="minorHAnsi" w:hAnsiTheme="minorHAnsi"/>
          <w:sz w:val="24"/>
          <w:szCs w:val="24"/>
        </w:rPr>
        <w:tab/>
        <w:t>Purpose and Use of Information Collection</w:t>
      </w:r>
      <w:bookmarkEnd w:id="5"/>
    </w:p>
    <w:p w:rsidR="00FF5F3C" w:rsidRDefault="00FF5F3C" w:rsidP="00466915">
      <w:pPr>
        <w:spacing w:after="0"/>
        <w:ind w:firstLine="360"/>
        <w:rPr>
          <w:sz w:val="24"/>
          <w:szCs w:val="24"/>
        </w:rPr>
      </w:pPr>
    </w:p>
    <w:p w:rsidR="00607A77" w:rsidRDefault="00466915" w:rsidP="00466915">
      <w:pPr>
        <w:spacing w:after="0"/>
        <w:ind w:firstLine="360"/>
        <w:rPr>
          <w:sz w:val="24"/>
          <w:szCs w:val="24"/>
        </w:rPr>
      </w:pPr>
      <w:r w:rsidRPr="005520B3">
        <w:rPr>
          <w:sz w:val="24"/>
          <w:szCs w:val="24"/>
        </w:rPr>
        <w:t>The data for this project are being collected to provide information on: (1) a national estimate of the number of ED-treated injuries and il</w:t>
      </w:r>
      <w:r w:rsidRPr="00CF2CF6">
        <w:rPr>
          <w:sz w:val="24"/>
          <w:szCs w:val="24"/>
        </w:rPr>
        <w:t xml:space="preserve">lnesses by the worker’s employment status; (2) the reporting behaviors of injured or ill workers who were treated in a NEISS-Work hospital; </w:t>
      </w:r>
      <w:r w:rsidR="005520B3" w:rsidRPr="00BD023F">
        <w:rPr>
          <w:sz w:val="24"/>
          <w:szCs w:val="24"/>
        </w:rPr>
        <w:t xml:space="preserve">and </w:t>
      </w:r>
      <w:r w:rsidRPr="005520B3">
        <w:rPr>
          <w:sz w:val="24"/>
          <w:szCs w:val="24"/>
        </w:rPr>
        <w:t xml:space="preserve">(3) </w:t>
      </w:r>
      <w:r w:rsidR="005520B3" w:rsidRPr="00BD023F">
        <w:rPr>
          <w:sz w:val="24"/>
          <w:szCs w:val="24"/>
        </w:rPr>
        <w:t>factors that may have influenced the worker’s injury/illness reporting behavior.</w:t>
      </w:r>
    </w:p>
    <w:p w:rsidR="00607A77" w:rsidRDefault="00607A77" w:rsidP="00466915">
      <w:pPr>
        <w:spacing w:after="0"/>
        <w:ind w:firstLine="360"/>
        <w:rPr>
          <w:sz w:val="24"/>
          <w:szCs w:val="24"/>
        </w:rPr>
      </w:pPr>
      <w:r>
        <w:rPr>
          <w:sz w:val="24"/>
          <w:szCs w:val="24"/>
        </w:rPr>
        <w:t>There are several reasons the data collected for this project fulfill a positive need:</w:t>
      </w:r>
    </w:p>
    <w:p w:rsidR="00466915" w:rsidRDefault="00607A77" w:rsidP="00607A77">
      <w:pPr>
        <w:pStyle w:val="ListParagraph"/>
        <w:numPr>
          <w:ilvl w:val="0"/>
          <w:numId w:val="4"/>
        </w:numPr>
        <w:spacing w:after="0"/>
        <w:rPr>
          <w:sz w:val="24"/>
          <w:szCs w:val="24"/>
        </w:rPr>
      </w:pPr>
      <w:r w:rsidRPr="00607A77">
        <w:rPr>
          <w:sz w:val="24"/>
          <w:szCs w:val="24"/>
        </w:rPr>
        <w:t>Congress allocated funds in FY2009 for NIOSH to undertake a follow-up study using NEISS-Work</w:t>
      </w:r>
      <w:r w:rsidRPr="00607A77">
        <w:rPr>
          <w:rFonts w:cs="Times New Roman"/>
          <w:sz w:val="24"/>
          <w:szCs w:val="24"/>
        </w:rPr>
        <w:t xml:space="preserve"> on the underreporting of worker injury data, particularly focusing on the self-employed population</w:t>
      </w:r>
      <w:r>
        <w:rPr>
          <w:sz w:val="24"/>
          <w:szCs w:val="24"/>
        </w:rPr>
        <w:t xml:space="preserve">. NIOSH was further instructed to pay </w:t>
      </w:r>
      <w:r w:rsidR="00B03BB1">
        <w:rPr>
          <w:sz w:val="24"/>
          <w:szCs w:val="24"/>
        </w:rPr>
        <w:t>specific</w:t>
      </w:r>
      <w:r>
        <w:rPr>
          <w:sz w:val="24"/>
          <w:szCs w:val="24"/>
        </w:rPr>
        <w:t xml:space="preserve"> attention to work-related chronic injuries and illnesses. </w:t>
      </w:r>
      <w:r w:rsidR="00FF2525">
        <w:rPr>
          <w:sz w:val="24"/>
          <w:szCs w:val="24"/>
        </w:rPr>
        <w:t xml:space="preserve">Data </w:t>
      </w:r>
      <w:r>
        <w:rPr>
          <w:sz w:val="24"/>
          <w:szCs w:val="24"/>
        </w:rPr>
        <w:t xml:space="preserve">obtained </w:t>
      </w:r>
      <w:r w:rsidR="00FF2525">
        <w:rPr>
          <w:sz w:val="24"/>
          <w:szCs w:val="24"/>
        </w:rPr>
        <w:t xml:space="preserve">through this study </w:t>
      </w:r>
      <w:r w:rsidR="00B03BB1">
        <w:rPr>
          <w:sz w:val="24"/>
          <w:szCs w:val="24"/>
        </w:rPr>
        <w:t>will aid NIOSH and the Bureau of Labor Statistics (BLS) in improving the statistics that inform Federal enforcement and compliance efforts related to workplace safety and prevention of injuries and illnesses.</w:t>
      </w:r>
    </w:p>
    <w:p w:rsidR="00394A81" w:rsidRPr="00394A81" w:rsidRDefault="00394A81" w:rsidP="00394A81">
      <w:pPr>
        <w:pStyle w:val="ListParagraph"/>
        <w:numPr>
          <w:ilvl w:val="0"/>
          <w:numId w:val="4"/>
        </w:numPr>
        <w:spacing w:after="0"/>
        <w:rPr>
          <w:sz w:val="24"/>
          <w:szCs w:val="24"/>
        </w:rPr>
      </w:pPr>
      <w:r w:rsidRPr="00394A81">
        <w:rPr>
          <w:sz w:val="24"/>
          <w:szCs w:val="24"/>
        </w:rPr>
        <w:t xml:space="preserve">There is continuing evidence that, despite improvements, significant underreporting of workplace injuries and illnesses still exists. This project will provide </w:t>
      </w:r>
      <w:r>
        <w:rPr>
          <w:sz w:val="24"/>
          <w:szCs w:val="24"/>
        </w:rPr>
        <w:t xml:space="preserve">important </w:t>
      </w:r>
      <w:r w:rsidRPr="00394A81">
        <w:rPr>
          <w:sz w:val="24"/>
          <w:szCs w:val="24"/>
        </w:rPr>
        <w:lastRenderedPageBreak/>
        <w:t xml:space="preserve">information on the </w:t>
      </w:r>
      <w:r>
        <w:rPr>
          <w:sz w:val="24"/>
          <w:szCs w:val="24"/>
        </w:rPr>
        <w:t xml:space="preserve">individual, job, and injury/illness </w:t>
      </w:r>
      <w:r w:rsidRPr="00394A81">
        <w:rPr>
          <w:sz w:val="24"/>
          <w:szCs w:val="24"/>
        </w:rPr>
        <w:t xml:space="preserve">characteristics </w:t>
      </w:r>
      <w:r>
        <w:rPr>
          <w:sz w:val="24"/>
          <w:szCs w:val="24"/>
        </w:rPr>
        <w:t>that are associated with underreporting. This information can be used to better target programs whose objective is to increase reporting of occupational injuries and illnesses.</w:t>
      </w:r>
    </w:p>
    <w:p w:rsidR="00394A81" w:rsidRPr="00AF4A7F" w:rsidRDefault="00AF4A7F" w:rsidP="00607A77">
      <w:pPr>
        <w:pStyle w:val="ListParagraph"/>
        <w:numPr>
          <w:ilvl w:val="0"/>
          <w:numId w:val="4"/>
        </w:numPr>
        <w:spacing w:after="0"/>
        <w:rPr>
          <w:sz w:val="24"/>
          <w:szCs w:val="24"/>
        </w:rPr>
      </w:pPr>
      <w:r w:rsidRPr="00AF4A7F">
        <w:rPr>
          <w:bCs/>
          <w:sz w:val="24"/>
          <w:szCs w:val="24"/>
        </w:rPr>
        <w:t xml:space="preserve">The proposed project will </w:t>
      </w:r>
      <w:r w:rsidR="00A22E67">
        <w:rPr>
          <w:bCs/>
          <w:sz w:val="24"/>
          <w:szCs w:val="24"/>
        </w:rPr>
        <w:t>contribute to an assessment of</w:t>
      </w:r>
      <w:r w:rsidRPr="00AF4A7F">
        <w:rPr>
          <w:bCs/>
          <w:sz w:val="24"/>
          <w:szCs w:val="24"/>
        </w:rPr>
        <w:t xml:space="preserve"> the validity of NEISS-Work cases</w:t>
      </w:r>
      <w:r w:rsidR="00A22E67">
        <w:rPr>
          <w:bCs/>
          <w:sz w:val="24"/>
          <w:szCs w:val="24"/>
        </w:rPr>
        <w:t>, capturing whether or not the injury or illness was truly work-related as reported by the worker. The project will also</w:t>
      </w:r>
      <w:r w:rsidRPr="00AF4A7F">
        <w:rPr>
          <w:bCs/>
          <w:sz w:val="24"/>
          <w:szCs w:val="24"/>
        </w:rPr>
        <w:t xml:space="preserve"> allow us to assess the quality of the data obtained through record abstraction. </w:t>
      </w:r>
      <w:r w:rsidR="00F466A0">
        <w:rPr>
          <w:bCs/>
          <w:sz w:val="24"/>
          <w:szCs w:val="24"/>
        </w:rPr>
        <w:t xml:space="preserve">More specifically, </w:t>
      </w:r>
      <w:r w:rsidRPr="00AF4A7F">
        <w:rPr>
          <w:bCs/>
          <w:sz w:val="24"/>
          <w:szCs w:val="24"/>
        </w:rPr>
        <w:t>N</w:t>
      </w:r>
      <w:r w:rsidRPr="00AF4A7F">
        <w:rPr>
          <w:sz w:val="24"/>
          <w:szCs w:val="24"/>
        </w:rPr>
        <w:t xml:space="preserve">EISS-Work national estimates are dependent on the work relationship of an injury being identified by the patient or provider, recorded in the medical record, and captured by the records abstractors. The interviews will allow us to confirm the work-relationship and other details of cases based on the respondents’ self-declaration. </w:t>
      </w:r>
      <w:r>
        <w:rPr>
          <w:sz w:val="24"/>
          <w:szCs w:val="24"/>
        </w:rPr>
        <w:t>This information</w:t>
      </w:r>
      <w:r w:rsidRPr="00AF4A7F">
        <w:rPr>
          <w:sz w:val="24"/>
          <w:szCs w:val="24"/>
        </w:rPr>
        <w:t xml:space="preserve"> will be used to explore ways that the specificity of the abstraction process to identify work-related cases at NEISS-Work hospital ED’s can be improved.</w:t>
      </w:r>
    </w:p>
    <w:p w:rsidR="00AF4A7F" w:rsidRPr="00AF4A7F" w:rsidRDefault="00AF4A7F" w:rsidP="00AF4A7F">
      <w:pPr>
        <w:pStyle w:val="Default"/>
        <w:numPr>
          <w:ilvl w:val="0"/>
          <w:numId w:val="4"/>
        </w:numPr>
        <w:spacing w:line="276" w:lineRule="auto"/>
        <w:rPr>
          <w:rFonts w:asciiTheme="minorHAnsi" w:hAnsiTheme="minorHAnsi"/>
        </w:rPr>
      </w:pPr>
      <w:r>
        <w:rPr>
          <w:rFonts w:asciiTheme="minorHAnsi" w:hAnsiTheme="minorHAnsi"/>
        </w:rPr>
        <w:t xml:space="preserve">The proposed project </w:t>
      </w:r>
      <w:r w:rsidRPr="00AF4A7F">
        <w:rPr>
          <w:rFonts w:asciiTheme="minorHAnsi" w:hAnsiTheme="minorHAnsi"/>
        </w:rPr>
        <w:t>will ask respondents whether they were asked by ED staff if their injury or illness was work-related. This will give us information on the ability of record abstraction to pick up work-related cases that were not spontaneously self-reported in the ED</w:t>
      </w:r>
      <w:r>
        <w:rPr>
          <w:rFonts w:asciiTheme="minorHAnsi" w:hAnsiTheme="minorHAnsi"/>
        </w:rPr>
        <w:t>.</w:t>
      </w:r>
    </w:p>
    <w:p w:rsidR="00AF4A7F" w:rsidRDefault="00AF4A7F" w:rsidP="00607A77">
      <w:pPr>
        <w:pStyle w:val="ListParagraph"/>
        <w:numPr>
          <w:ilvl w:val="0"/>
          <w:numId w:val="4"/>
        </w:numPr>
        <w:spacing w:after="0"/>
        <w:rPr>
          <w:sz w:val="24"/>
          <w:szCs w:val="24"/>
        </w:rPr>
      </w:pPr>
      <w:r w:rsidRPr="00AF4A7F">
        <w:rPr>
          <w:sz w:val="24"/>
          <w:szCs w:val="24"/>
        </w:rPr>
        <w:t xml:space="preserve">Over time, the study results will be incorporated into new abstractor training, data processes, and routine NEISS-Work data reports such that a </w:t>
      </w:r>
      <w:r w:rsidR="00D7109B">
        <w:rPr>
          <w:sz w:val="24"/>
          <w:szCs w:val="24"/>
        </w:rPr>
        <w:t>diverse</w:t>
      </w:r>
      <w:r w:rsidR="00D7109B" w:rsidRPr="00AF4A7F">
        <w:rPr>
          <w:sz w:val="24"/>
          <w:szCs w:val="24"/>
        </w:rPr>
        <w:t xml:space="preserve"> </w:t>
      </w:r>
      <w:r w:rsidRPr="00AF4A7F">
        <w:rPr>
          <w:sz w:val="24"/>
          <w:szCs w:val="24"/>
        </w:rPr>
        <w:t>dissemination of results occurs. More importantly, we will specifically disseminate the findings from the proposed research through four primary communications channels: traditional scientific journal publications; a NIOSH summary document; surveillance focused meetings such as the</w:t>
      </w:r>
      <w:r w:rsidR="00812EA9">
        <w:rPr>
          <w:sz w:val="24"/>
          <w:szCs w:val="24"/>
        </w:rPr>
        <w:t xml:space="preserve"> Council of State and Territorial Epidemiologists</w:t>
      </w:r>
      <w:r w:rsidRPr="00AF4A7F">
        <w:rPr>
          <w:sz w:val="24"/>
          <w:szCs w:val="24"/>
        </w:rPr>
        <w:t xml:space="preserve"> </w:t>
      </w:r>
      <w:r w:rsidR="00812EA9">
        <w:rPr>
          <w:sz w:val="24"/>
          <w:szCs w:val="24"/>
        </w:rPr>
        <w:t>(</w:t>
      </w:r>
      <w:r w:rsidRPr="00AF4A7F">
        <w:rPr>
          <w:sz w:val="24"/>
          <w:szCs w:val="24"/>
        </w:rPr>
        <w:t>CSTE</w:t>
      </w:r>
      <w:r w:rsidR="00812EA9">
        <w:rPr>
          <w:sz w:val="24"/>
          <w:szCs w:val="24"/>
        </w:rPr>
        <w:t>)</w:t>
      </w:r>
      <w:r w:rsidRPr="00AF4A7F">
        <w:rPr>
          <w:sz w:val="24"/>
          <w:szCs w:val="24"/>
        </w:rPr>
        <w:t xml:space="preserve"> annual meeting; and a final project closeout underreporting workshop. NIOSH will not publicly release micro-data from this study because of </w:t>
      </w:r>
      <w:r w:rsidR="00517ED0">
        <w:rPr>
          <w:sz w:val="24"/>
          <w:szCs w:val="24"/>
        </w:rPr>
        <w:t>privacy</w:t>
      </w:r>
      <w:r w:rsidR="00517ED0" w:rsidRPr="00AF4A7F">
        <w:rPr>
          <w:sz w:val="24"/>
          <w:szCs w:val="24"/>
        </w:rPr>
        <w:t xml:space="preserve"> </w:t>
      </w:r>
      <w:r w:rsidRPr="00AF4A7F">
        <w:rPr>
          <w:sz w:val="24"/>
          <w:szCs w:val="24"/>
        </w:rPr>
        <w:t>requirements.</w:t>
      </w:r>
    </w:p>
    <w:p w:rsidR="00FF5F3C" w:rsidRDefault="00FF5F3C" w:rsidP="00FF5F3C">
      <w:pPr>
        <w:pStyle w:val="ListParagraph"/>
        <w:spacing w:after="0"/>
        <w:rPr>
          <w:sz w:val="24"/>
          <w:szCs w:val="24"/>
        </w:rPr>
      </w:pPr>
    </w:p>
    <w:p w:rsidR="007E4074" w:rsidRDefault="007E4074" w:rsidP="007E4074">
      <w:pPr>
        <w:spacing w:after="0"/>
        <w:ind w:firstLine="360"/>
        <w:rPr>
          <w:sz w:val="24"/>
          <w:szCs w:val="24"/>
        </w:rPr>
      </w:pPr>
      <w:r>
        <w:rPr>
          <w:sz w:val="24"/>
          <w:szCs w:val="24"/>
        </w:rPr>
        <w:t xml:space="preserve">This project has much practical utility in that it will produce and disseminate products that alert workers and others vested in worker health and safety about the factors </w:t>
      </w:r>
      <w:r w:rsidRPr="00105AE9">
        <w:rPr>
          <w:sz w:val="24"/>
          <w:szCs w:val="24"/>
        </w:rPr>
        <w:t>associated with unde</w:t>
      </w:r>
      <w:r w:rsidRPr="00964E0E">
        <w:rPr>
          <w:sz w:val="24"/>
          <w:szCs w:val="24"/>
        </w:rPr>
        <w:t>rreporting</w:t>
      </w:r>
      <w:r w:rsidR="00D5610F" w:rsidRPr="00964E0E">
        <w:rPr>
          <w:sz w:val="24"/>
          <w:szCs w:val="24"/>
        </w:rPr>
        <w:t>.</w:t>
      </w:r>
      <w:r w:rsidR="00D5610F">
        <w:rPr>
          <w:sz w:val="24"/>
          <w:szCs w:val="24"/>
        </w:rPr>
        <w:t xml:space="preserve"> </w:t>
      </w:r>
      <w:r>
        <w:rPr>
          <w:sz w:val="24"/>
          <w:szCs w:val="24"/>
        </w:rPr>
        <w:t xml:space="preserve">Consequently, it will provide information </w:t>
      </w:r>
      <w:r w:rsidR="000B228E">
        <w:rPr>
          <w:sz w:val="24"/>
          <w:szCs w:val="24"/>
        </w:rPr>
        <w:t>to</w:t>
      </w:r>
      <w:r>
        <w:rPr>
          <w:sz w:val="24"/>
          <w:szCs w:val="24"/>
        </w:rPr>
        <w:t xml:space="preserve"> develop campaigns that </w:t>
      </w:r>
      <w:r w:rsidR="00D7109B">
        <w:rPr>
          <w:sz w:val="24"/>
          <w:szCs w:val="24"/>
        </w:rPr>
        <w:t xml:space="preserve">will </w:t>
      </w:r>
      <w:r>
        <w:rPr>
          <w:sz w:val="24"/>
          <w:szCs w:val="24"/>
        </w:rPr>
        <w:t xml:space="preserve">effectively target those workers who are least likely to report their occupational illnesses and injuries. </w:t>
      </w:r>
      <w:r w:rsidR="000B228E">
        <w:rPr>
          <w:sz w:val="24"/>
          <w:szCs w:val="24"/>
        </w:rPr>
        <w:t xml:space="preserve">It will also provide </w:t>
      </w:r>
      <w:r w:rsidR="00782699">
        <w:rPr>
          <w:sz w:val="24"/>
          <w:szCs w:val="24"/>
        </w:rPr>
        <w:t xml:space="preserve">information on the quality of the NEISS-Work data (at least insofar as estimating the number of false occupational cases that it captures) and </w:t>
      </w:r>
      <w:r w:rsidR="00D7109B">
        <w:rPr>
          <w:sz w:val="24"/>
          <w:szCs w:val="24"/>
        </w:rPr>
        <w:t xml:space="preserve">issues that </w:t>
      </w:r>
      <w:r w:rsidR="00782699">
        <w:rPr>
          <w:sz w:val="24"/>
          <w:szCs w:val="24"/>
        </w:rPr>
        <w:t xml:space="preserve">should be </w:t>
      </w:r>
      <w:r w:rsidR="00122D73">
        <w:rPr>
          <w:sz w:val="24"/>
          <w:szCs w:val="24"/>
        </w:rPr>
        <w:t>addressed in</w:t>
      </w:r>
      <w:r w:rsidR="00782699">
        <w:rPr>
          <w:sz w:val="24"/>
          <w:szCs w:val="24"/>
        </w:rPr>
        <w:t xml:space="preserve"> future abstractor trainings</w:t>
      </w:r>
      <w:r w:rsidR="00122D73">
        <w:rPr>
          <w:sz w:val="24"/>
          <w:szCs w:val="24"/>
        </w:rPr>
        <w:t xml:space="preserve">. </w:t>
      </w:r>
      <w:r w:rsidR="00D656CF">
        <w:rPr>
          <w:sz w:val="24"/>
          <w:szCs w:val="24"/>
        </w:rPr>
        <w:t>Without this information, surveillance systems may continue to greatly undercount the number of occupational injuries and illnesses that occur to US workers.</w:t>
      </w:r>
    </w:p>
    <w:p w:rsidR="00297119" w:rsidRPr="00E671A5" w:rsidRDefault="00297119" w:rsidP="007E4074">
      <w:pPr>
        <w:spacing w:after="0"/>
        <w:ind w:firstLine="360"/>
        <w:rPr>
          <w:sz w:val="24"/>
          <w:szCs w:val="24"/>
        </w:rPr>
      </w:pPr>
      <w:r>
        <w:rPr>
          <w:sz w:val="24"/>
          <w:szCs w:val="24"/>
        </w:rPr>
        <w:t>Collecting detailed data that will lead to improved surveillance of occupational injuries and illnes</w:t>
      </w:r>
      <w:r w:rsidR="00513E19">
        <w:rPr>
          <w:sz w:val="24"/>
          <w:szCs w:val="24"/>
        </w:rPr>
        <w:t xml:space="preserve">ses has direct benefit to NIOSH, addressing one of the </w:t>
      </w:r>
      <w:r w:rsidR="00BC3EF9">
        <w:rPr>
          <w:sz w:val="24"/>
          <w:szCs w:val="24"/>
        </w:rPr>
        <w:t>Institute’s</w:t>
      </w:r>
      <w:r w:rsidR="00513E19">
        <w:rPr>
          <w:sz w:val="24"/>
          <w:szCs w:val="24"/>
        </w:rPr>
        <w:t xml:space="preserve"> primary objectives to “conduct research to reduce work-related illnesses and injuries.” Specifically, </w:t>
      </w:r>
      <w:r w:rsidR="00513E19">
        <w:rPr>
          <w:sz w:val="24"/>
          <w:szCs w:val="24"/>
        </w:rPr>
        <w:lastRenderedPageBreak/>
        <w:t>this project will contribute to the surveillance program at NIOSH</w:t>
      </w:r>
      <w:r w:rsidR="0055372A">
        <w:rPr>
          <w:sz w:val="24"/>
          <w:szCs w:val="24"/>
        </w:rPr>
        <w:t>, helping to bridge existing data gaps.  Surveillance activities have been an integral part of NIOSH’s work since it was created by the Occupational Safety and Health Act in 1970.</w:t>
      </w:r>
      <w:r w:rsidR="00F330D9">
        <w:rPr>
          <w:sz w:val="24"/>
          <w:szCs w:val="24"/>
        </w:rPr>
        <w:t xml:space="preserve">  Furthermore, this project addresses several of NIOSH’s surveillance strategic goals to (1) increase the utility of surveillance information for prevention of occupational illnesses, injuries, and hazards; (2) </w:t>
      </w:r>
      <w:r w:rsidR="00966F04">
        <w:rPr>
          <w:sz w:val="24"/>
          <w:szCs w:val="24"/>
        </w:rPr>
        <w:t>promote</w:t>
      </w:r>
      <w:r w:rsidR="00F330D9">
        <w:rPr>
          <w:sz w:val="24"/>
          <w:szCs w:val="24"/>
        </w:rPr>
        <w:t xml:space="preserve"> </w:t>
      </w:r>
      <w:r w:rsidR="00966F04">
        <w:rPr>
          <w:sz w:val="24"/>
          <w:szCs w:val="24"/>
        </w:rPr>
        <w:t>successful</w:t>
      </w:r>
      <w:r w:rsidR="00F330D9">
        <w:rPr>
          <w:sz w:val="24"/>
          <w:szCs w:val="24"/>
        </w:rPr>
        <w:t xml:space="preserve"> occupational safety and health surveillance conducted by employers, unions, and other non-governmental </w:t>
      </w:r>
      <w:r w:rsidR="00F330D9" w:rsidRPr="00E671A5">
        <w:rPr>
          <w:sz w:val="24"/>
          <w:szCs w:val="24"/>
        </w:rPr>
        <w:t>organizations; and (3) increase research to improve surveillance.</w:t>
      </w:r>
    </w:p>
    <w:p w:rsidR="00E671A5" w:rsidRPr="00C64723" w:rsidRDefault="008407F7" w:rsidP="00E671A5">
      <w:pPr>
        <w:spacing w:after="0"/>
        <w:ind w:firstLine="360"/>
        <w:rPr>
          <w:sz w:val="24"/>
          <w:szCs w:val="24"/>
        </w:rPr>
      </w:pPr>
      <w:r>
        <w:rPr>
          <w:sz w:val="24"/>
          <w:szCs w:val="24"/>
        </w:rPr>
        <w:t>Whereas t</w:t>
      </w:r>
      <w:r w:rsidR="00A04F7C">
        <w:rPr>
          <w:sz w:val="24"/>
          <w:szCs w:val="24"/>
        </w:rPr>
        <w:t>his project will collect data from a national sample of hospital EDs, and provide weighted estimates and confidence intervals representative of national numbers of those admitted to EDs</w:t>
      </w:r>
      <w:r>
        <w:rPr>
          <w:sz w:val="24"/>
          <w:szCs w:val="24"/>
        </w:rPr>
        <w:t>,</w:t>
      </w:r>
      <w:r w:rsidR="00A04F7C">
        <w:rPr>
          <w:sz w:val="24"/>
          <w:szCs w:val="24"/>
        </w:rPr>
        <w:t xml:space="preserve"> </w:t>
      </w:r>
      <w:r>
        <w:rPr>
          <w:sz w:val="24"/>
          <w:szCs w:val="24"/>
        </w:rPr>
        <w:t>t</w:t>
      </w:r>
      <w:r w:rsidR="0058589B">
        <w:rPr>
          <w:sz w:val="24"/>
          <w:szCs w:val="24"/>
        </w:rPr>
        <w:t xml:space="preserve">he resulting sample </w:t>
      </w:r>
      <w:r w:rsidR="00C5001F">
        <w:rPr>
          <w:sz w:val="24"/>
          <w:szCs w:val="24"/>
        </w:rPr>
        <w:t xml:space="preserve">will not </w:t>
      </w:r>
      <w:r w:rsidR="0058589B">
        <w:rPr>
          <w:sz w:val="24"/>
          <w:szCs w:val="24"/>
        </w:rPr>
        <w:t>be representative of the national workforce nor all worker injuries for the workers covered in the catchment areas of the ERs in the sample. Of particular note, the sample</w:t>
      </w:r>
      <w:r w:rsidR="00E671A5">
        <w:rPr>
          <w:sz w:val="24"/>
          <w:szCs w:val="24"/>
        </w:rPr>
        <w:t xml:space="preserve"> is limited in that it only provides numbers based on ED-treated injuries</w:t>
      </w:r>
      <w:r w:rsidR="0029029B">
        <w:rPr>
          <w:sz w:val="24"/>
          <w:szCs w:val="24"/>
        </w:rPr>
        <w:t xml:space="preserve"> and illnesses</w:t>
      </w:r>
      <w:r w:rsidR="00E671A5">
        <w:rPr>
          <w:sz w:val="24"/>
          <w:szCs w:val="24"/>
        </w:rPr>
        <w:t xml:space="preserve">. Consequently, the injuries </w:t>
      </w:r>
      <w:r w:rsidR="0029029B">
        <w:rPr>
          <w:sz w:val="24"/>
          <w:szCs w:val="24"/>
        </w:rPr>
        <w:t xml:space="preserve">and illnesses </w:t>
      </w:r>
      <w:r w:rsidR="00E671A5">
        <w:rPr>
          <w:sz w:val="24"/>
          <w:szCs w:val="24"/>
        </w:rPr>
        <w:t xml:space="preserve">captured are those that need immediate medical care. These injuries </w:t>
      </w:r>
      <w:r w:rsidR="0029029B">
        <w:rPr>
          <w:sz w:val="24"/>
          <w:szCs w:val="24"/>
        </w:rPr>
        <w:t xml:space="preserve">and illnesses </w:t>
      </w:r>
      <w:r w:rsidR="00E671A5">
        <w:rPr>
          <w:sz w:val="24"/>
          <w:szCs w:val="24"/>
        </w:rPr>
        <w:t xml:space="preserve">do not frequently result in hospitalization. However, at the present time, this surveillance system offers the best potential for capturing details regarding occupational injuries </w:t>
      </w:r>
      <w:r w:rsidR="0029029B">
        <w:rPr>
          <w:sz w:val="24"/>
          <w:szCs w:val="24"/>
        </w:rPr>
        <w:t xml:space="preserve">and illnesses </w:t>
      </w:r>
      <w:r w:rsidR="00E671A5">
        <w:rPr>
          <w:sz w:val="24"/>
          <w:szCs w:val="24"/>
        </w:rPr>
        <w:t xml:space="preserve">from a national perspective and from a source that is inclusive of </w:t>
      </w:r>
      <w:r w:rsidR="00943B04">
        <w:rPr>
          <w:sz w:val="24"/>
          <w:szCs w:val="24"/>
        </w:rPr>
        <w:t xml:space="preserve">workers from all sectors as well as </w:t>
      </w:r>
      <w:r w:rsidR="0029029B" w:rsidRPr="00C64723">
        <w:rPr>
          <w:sz w:val="24"/>
          <w:szCs w:val="24"/>
        </w:rPr>
        <w:t xml:space="preserve">individuals working without pay on a family farm or business. All products from this project will explicitly acknowledge that the scope is limited to ED-treated injuries and illnesses. </w:t>
      </w:r>
      <w:r w:rsidR="004505A3">
        <w:rPr>
          <w:sz w:val="24"/>
          <w:szCs w:val="24"/>
        </w:rPr>
        <w:t xml:space="preserve">Furthermore, we will clarify in all reports that although the </w:t>
      </w:r>
      <w:r w:rsidR="004505A3" w:rsidRPr="004505A3">
        <w:rPr>
          <w:sz w:val="24"/>
          <w:szCs w:val="24"/>
        </w:rPr>
        <w:t xml:space="preserve">data </w:t>
      </w:r>
      <w:r w:rsidR="00C5001F">
        <w:rPr>
          <w:sz w:val="24"/>
          <w:szCs w:val="24"/>
        </w:rPr>
        <w:t>are not</w:t>
      </w:r>
      <w:r w:rsidR="004505A3" w:rsidRPr="004505A3">
        <w:rPr>
          <w:sz w:val="24"/>
          <w:szCs w:val="24"/>
        </w:rPr>
        <w:t xml:space="preserve"> nationally representative of the workforce,</w:t>
      </w:r>
      <w:r w:rsidR="004505A3">
        <w:rPr>
          <w:sz w:val="24"/>
          <w:szCs w:val="24"/>
        </w:rPr>
        <w:t xml:space="preserve"> they </w:t>
      </w:r>
      <w:r w:rsidR="004505A3" w:rsidRPr="004505A3">
        <w:rPr>
          <w:sz w:val="24"/>
          <w:szCs w:val="24"/>
        </w:rPr>
        <w:t xml:space="preserve">will give an important picture of the potential </w:t>
      </w:r>
      <w:r w:rsidR="004505A3">
        <w:rPr>
          <w:sz w:val="24"/>
          <w:szCs w:val="24"/>
        </w:rPr>
        <w:t>extent</w:t>
      </w:r>
      <w:r w:rsidR="004505A3" w:rsidRPr="004505A3">
        <w:rPr>
          <w:sz w:val="24"/>
          <w:szCs w:val="24"/>
        </w:rPr>
        <w:t xml:space="preserve"> of the under-reporting </w:t>
      </w:r>
      <w:r w:rsidR="004505A3">
        <w:rPr>
          <w:sz w:val="24"/>
          <w:szCs w:val="24"/>
        </w:rPr>
        <w:t xml:space="preserve">of work-related </w:t>
      </w:r>
      <w:r w:rsidR="00D44FBA">
        <w:rPr>
          <w:sz w:val="24"/>
          <w:szCs w:val="24"/>
        </w:rPr>
        <w:t xml:space="preserve">injuries and </w:t>
      </w:r>
      <w:r w:rsidR="004505A3">
        <w:rPr>
          <w:sz w:val="24"/>
          <w:szCs w:val="24"/>
        </w:rPr>
        <w:t xml:space="preserve">illnesses.  </w:t>
      </w:r>
      <w:r w:rsidR="00C64723" w:rsidRPr="00C64723">
        <w:rPr>
          <w:rFonts w:cs="Times New Roman"/>
          <w:bCs/>
          <w:color w:val="000000"/>
          <w:sz w:val="24"/>
          <w:szCs w:val="24"/>
        </w:rPr>
        <w:t xml:space="preserve">Prior research has indicated that about one third of all medically treated occupational injuries and illnesses are treated in an ED </w:t>
      </w:r>
      <w:r w:rsidR="00934ADB">
        <w:rPr>
          <w:rFonts w:cs="Times New Roman"/>
          <w:bCs/>
          <w:color w:val="000000"/>
          <w:sz w:val="24"/>
          <w:szCs w:val="24"/>
        </w:rPr>
        <w:t>(Jackson, 2001).</w:t>
      </w:r>
      <w:r w:rsidR="0029029B" w:rsidRPr="00C64723">
        <w:rPr>
          <w:sz w:val="24"/>
          <w:szCs w:val="24"/>
        </w:rPr>
        <w:t xml:space="preserve"> </w:t>
      </w:r>
    </w:p>
    <w:p w:rsidR="00D7109B" w:rsidRDefault="00D7109B" w:rsidP="00D7109B">
      <w:pPr>
        <w:spacing w:after="0"/>
        <w:ind w:firstLine="360"/>
        <w:rPr>
          <w:sz w:val="24"/>
          <w:szCs w:val="24"/>
        </w:rPr>
      </w:pPr>
      <w:r w:rsidRPr="00E671A5">
        <w:rPr>
          <w:sz w:val="24"/>
          <w:szCs w:val="24"/>
        </w:rPr>
        <w:t>Funds for this project are primarily provided by the United States Congress and cover questionnaire development and data collection. Supplemental funding will come from DSR, NIOSH, as DSR consistently funds routine collection of NEISS-Work data.</w:t>
      </w:r>
    </w:p>
    <w:p w:rsidR="00A355B5" w:rsidRPr="001028B0" w:rsidRDefault="00A355B5" w:rsidP="00545D7C">
      <w:pPr>
        <w:pStyle w:val="Heading3"/>
        <w:rPr>
          <w:rFonts w:asciiTheme="minorHAnsi" w:hAnsiTheme="minorHAnsi"/>
          <w:sz w:val="24"/>
          <w:szCs w:val="24"/>
          <w:u w:val="single"/>
        </w:rPr>
      </w:pPr>
      <w:bookmarkStart w:id="6" w:name="_Toc296089965"/>
      <w:r w:rsidRPr="001028B0">
        <w:rPr>
          <w:rFonts w:asciiTheme="minorHAnsi" w:hAnsiTheme="minorHAnsi"/>
          <w:sz w:val="24"/>
          <w:szCs w:val="24"/>
          <w:u w:val="single"/>
        </w:rPr>
        <w:t>Privacy Impact Assessment Information</w:t>
      </w:r>
      <w:bookmarkEnd w:id="6"/>
    </w:p>
    <w:p w:rsidR="00A355B5" w:rsidRDefault="00A355B5" w:rsidP="00A355B5">
      <w:pPr>
        <w:spacing w:after="0"/>
        <w:rPr>
          <w:sz w:val="24"/>
          <w:szCs w:val="24"/>
        </w:rPr>
      </w:pPr>
    </w:p>
    <w:p w:rsidR="00A355B5" w:rsidRPr="001028B0" w:rsidRDefault="00A355B5" w:rsidP="00A355B5">
      <w:pPr>
        <w:spacing w:after="0"/>
        <w:rPr>
          <w:sz w:val="24"/>
          <w:szCs w:val="24"/>
        </w:rPr>
      </w:pPr>
      <w:r w:rsidRPr="001028B0">
        <w:rPr>
          <w:sz w:val="24"/>
          <w:szCs w:val="24"/>
          <w:u w:val="single"/>
        </w:rPr>
        <w:t>Reason for collection of the information</w:t>
      </w:r>
    </w:p>
    <w:p w:rsidR="00A355B5" w:rsidRDefault="00A355B5" w:rsidP="00A355B5">
      <w:pPr>
        <w:spacing w:after="0"/>
        <w:ind w:firstLine="360"/>
        <w:rPr>
          <w:sz w:val="24"/>
          <w:szCs w:val="24"/>
        </w:rPr>
      </w:pPr>
      <w:r w:rsidRPr="00A355B5">
        <w:rPr>
          <w:sz w:val="24"/>
          <w:szCs w:val="24"/>
        </w:rPr>
        <w:t xml:space="preserve">The </w:t>
      </w:r>
      <w:r>
        <w:rPr>
          <w:sz w:val="24"/>
          <w:szCs w:val="24"/>
        </w:rPr>
        <w:t xml:space="preserve">Underreporting </w:t>
      </w:r>
      <w:r w:rsidRPr="00A355B5">
        <w:rPr>
          <w:sz w:val="24"/>
          <w:szCs w:val="24"/>
        </w:rPr>
        <w:t>project objectives include use of the National Institute for Occupational Safety and Health’s (NIOSH) occupational supplement to the National Electronic Injury Surveillance System (NEISS-Work) as the basis for telephone interview surveys to (1) assess the reporting behavior of injured or ill workers</w:t>
      </w:r>
      <w:r w:rsidR="00D5610F">
        <w:rPr>
          <w:sz w:val="24"/>
          <w:szCs w:val="24"/>
        </w:rPr>
        <w:t xml:space="preserve">; and </w:t>
      </w:r>
      <w:r w:rsidR="00D5610F" w:rsidRPr="00A355B5">
        <w:rPr>
          <w:sz w:val="24"/>
          <w:szCs w:val="24"/>
        </w:rPr>
        <w:t xml:space="preserve">(2) </w:t>
      </w:r>
      <w:r w:rsidR="00D5610F">
        <w:rPr>
          <w:sz w:val="24"/>
          <w:szCs w:val="24"/>
        </w:rPr>
        <w:t xml:space="preserve">worker/employment characteristics that may influence reporting behaviors. </w:t>
      </w:r>
      <w:r w:rsidRPr="00A355B5">
        <w:rPr>
          <w:sz w:val="24"/>
          <w:szCs w:val="24"/>
        </w:rPr>
        <w:t xml:space="preserve">Particular attention will be paid to self-employed workers and workers with </w:t>
      </w:r>
      <w:r w:rsidR="007757FF">
        <w:rPr>
          <w:sz w:val="24"/>
          <w:szCs w:val="24"/>
        </w:rPr>
        <w:t>occupational</w:t>
      </w:r>
      <w:r w:rsidRPr="00A355B5">
        <w:rPr>
          <w:sz w:val="24"/>
          <w:szCs w:val="24"/>
        </w:rPr>
        <w:t xml:space="preserve"> illnesses.</w:t>
      </w:r>
      <w:r>
        <w:rPr>
          <w:sz w:val="24"/>
          <w:szCs w:val="24"/>
        </w:rPr>
        <w:t xml:space="preserve"> Results will be </w:t>
      </w:r>
      <w:r w:rsidR="00E43AE7">
        <w:rPr>
          <w:sz w:val="24"/>
          <w:szCs w:val="24"/>
        </w:rPr>
        <w:t>provided</w:t>
      </w:r>
      <w:r>
        <w:rPr>
          <w:sz w:val="24"/>
          <w:szCs w:val="24"/>
        </w:rPr>
        <w:t xml:space="preserve"> to Congress in a report</w:t>
      </w:r>
      <w:r w:rsidR="00E43AE7">
        <w:rPr>
          <w:sz w:val="24"/>
          <w:szCs w:val="24"/>
        </w:rPr>
        <w:t xml:space="preserve">. Results will also be disseminated </w:t>
      </w:r>
      <w:r>
        <w:rPr>
          <w:sz w:val="24"/>
          <w:szCs w:val="24"/>
        </w:rPr>
        <w:t>in multiple other forms to reach a variety of occupational health and safety stakeholders.</w:t>
      </w:r>
    </w:p>
    <w:p w:rsidR="00E43AE7" w:rsidRPr="001028B0" w:rsidRDefault="00E43AE7" w:rsidP="00E43AE7">
      <w:pPr>
        <w:spacing w:after="0"/>
        <w:rPr>
          <w:sz w:val="24"/>
          <w:szCs w:val="24"/>
        </w:rPr>
      </w:pPr>
      <w:r w:rsidRPr="001028B0">
        <w:rPr>
          <w:sz w:val="24"/>
          <w:szCs w:val="24"/>
          <w:u w:val="single"/>
        </w:rPr>
        <w:lastRenderedPageBreak/>
        <w:t>Intended use of the information</w:t>
      </w:r>
    </w:p>
    <w:p w:rsidR="00E43AE7" w:rsidRPr="00053D31" w:rsidRDefault="00053D31" w:rsidP="00E43AE7">
      <w:pPr>
        <w:spacing w:after="0"/>
        <w:ind w:firstLine="360"/>
        <w:rPr>
          <w:sz w:val="24"/>
          <w:szCs w:val="24"/>
        </w:rPr>
      </w:pPr>
      <w:r w:rsidRPr="00053D31">
        <w:rPr>
          <w:sz w:val="24"/>
          <w:szCs w:val="24"/>
        </w:rPr>
        <w:t xml:space="preserve">The study results will be </w:t>
      </w:r>
      <w:r w:rsidR="007757FF">
        <w:rPr>
          <w:sz w:val="24"/>
          <w:szCs w:val="24"/>
        </w:rPr>
        <w:t xml:space="preserve">presented to Congress in a report.  They will also be </w:t>
      </w:r>
      <w:r w:rsidRPr="00053D31">
        <w:rPr>
          <w:sz w:val="24"/>
          <w:szCs w:val="24"/>
        </w:rPr>
        <w:t xml:space="preserve">incorporated into new abstractor training, data processes, and routine NEISS-Work data reports such that a </w:t>
      </w:r>
      <w:r w:rsidR="00D7109B">
        <w:rPr>
          <w:sz w:val="24"/>
          <w:szCs w:val="24"/>
        </w:rPr>
        <w:t>diverse</w:t>
      </w:r>
      <w:r w:rsidR="00D7109B" w:rsidRPr="00053D31">
        <w:rPr>
          <w:sz w:val="24"/>
          <w:szCs w:val="24"/>
        </w:rPr>
        <w:t xml:space="preserve"> </w:t>
      </w:r>
      <w:r w:rsidRPr="00053D31">
        <w:rPr>
          <w:sz w:val="24"/>
          <w:szCs w:val="24"/>
        </w:rPr>
        <w:t xml:space="preserve">dissemination of results occurs. </w:t>
      </w:r>
      <w:r w:rsidR="007757FF">
        <w:rPr>
          <w:sz w:val="24"/>
          <w:szCs w:val="24"/>
        </w:rPr>
        <w:t>We</w:t>
      </w:r>
      <w:r w:rsidRPr="00053D31">
        <w:rPr>
          <w:sz w:val="24"/>
          <w:szCs w:val="24"/>
        </w:rPr>
        <w:t xml:space="preserve"> will specifically disseminate findings from the proposed research through four primary communications channels: traditional scientific journal publications; a NIOSH summary document; surveillance focused meetings such as the CSTE annual meeting; and a final project closeout underreporting workshop. </w:t>
      </w:r>
    </w:p>
    <w:p w:rsidR="00053D31" w:rsidRPr="00053D31" w:rsidRDefault="00053D31" w:rsidP="00053D31">
      <w:pPr>
        <w:spacing w:after="0"/>
        <w:rPr>
          <w:sz w:val="24"/>
          <w:szCs w:val="24"/>
        </w:rPr>
      </w:pPr>
    </w:p>
    <w:p w:rsidR="00053D31" w:rsidRPr="001028B0" w:rsidRDefault="00053D31" w:rsidP="00053D31">
      <w:pPr>
        <w:spacing w:after="0"/>
        <w:rPr>
          <w:sz w:val="24"/>
          <w:szCs w:val="24"/>
        </w:rPr>
      </w:pPr>
      <w:r w:rsidRPr="001028B0">
        <w:rPr>
          <w:sz w:val="24"/>
          <w:szCs w:val="24"/>
          <w:u w:val="single"/>
        </w:rPr>
        <w:t>Information in Identifiable Form (IIF)</w:t>
      </w:r>
    </w:p>
    <w:p w:rsidR="00053D31" w:rsidRDefault="00053D31" w:rsidP="00053D31">
      <w:pPr>
        <w:spacing w:after="0"/>
        <w:ind w:firstLine="360"/>
        <w:rPr>
          <w:sz w:val="24"/>
          <w:szCs w:val="24"/>
        </w:rPr>
      </w:pPr>
      <w:r>
        <w:rPr>
          <w:sz w:val="24"/>
          <w:szCs w:val="24"/>
        </w:rPr>
        <w:t>The name, phone number, and address of potential telephone interview respondents will be collected by CPSC</w:t>
      </w:r>
      <w:r w:rsidR="00CE7004">
        <w:rPr>
          <w:sz w:val="24"/>
          <w:szCs w:val="24"/>
        </w:rPr>
        <w:t>-</w:t>
      </w:r>
      <w:r>
        <w:rPr>
          <w:sz w:val="24"/>
          <w:szCs w:val="24"/>
        </w:rPr>
        <w:t>contracted medical records coders and given to CPSC</w:t>
      </w:r>
      <w:r w:rsidR="00CE7004">
        <w:rPr>
          <w:sz w:val="24"/>
          <w:szCs w:val="24"/>
        </w:rPr>
        <w:t>-</w:t>
      </w:r>
      <w:r>
        <w:rPr>
          <w:sz w:val="24"/>
          <w:szCs w:val="24"/>
        </w:rPr>
        <w:t>contracted telephone interviewers. This information will be destroyed upon completion of the telephone interview or a declaration by the telephone interviewer that the potential respondent is not reachable, does not meet the case criteria defined within this study, or has re</w:t>
      </w:r>
      <w:r w:rsidR="007757FF">
        <w:rPr>
          <w:sz w:val="24"/>
          <w:szCs w:val="24"/>
        </w:rPr>
        <w:t>fused participation</w:t>
      </w:r>
      <w:r>
        <w:rPr>
          <w:sz w:val="24"/>
          <w:szCs w:val="24"/>
        </w:rPr>
        <w:t>.</w:t>
      </w:r>
      <w:r w:rsidR="00D858E2">
        <w:rPr>
          <w:sz w:val="24"/>
          <w:szCs w:val="24"/>
        </w:rPr>
        <w:t xml:space="preserve"> This information will never be released to NIOSH.</w:t>
      </w:r>
    </w:p>
    <w:p w:rsidR="00D858E2" w:rsidRDefault="00D858E2" w:rsidP="00053D31">
      <w:pPr>
        <w:spacing w:after="0"/>
        <w:ind w:firstLine="360"/>
        <w:rPr>
          <w:sz w:val="24"/>
          <w:szCs w:val="24"/>
        </w:rPr>
      </w:pPr>
      <w:r>
        <w:rPr>
          <w:sz w:val="24"/>
          <w:szCs w:val="24"/>
        </w:rPr>
        <w:t xml:space="preserve">The data collected for this study will capture basic demographic information, such as age, education level, and race/ethnicity. It also will include details about the respondent’s employment at the time of the injury or illness, including the name of their employer and the state in which they work. This information will only be used to determine the industry in which the respondent was working. </w:t>
      </w:r>
      <w:r w:rsidR="00B11303">
        <w:rPr>
          <w:sz w:val="24"/>
          <w:szCs w:val="24"/>
        </w:rPr>
        <w:t xml:space="preserve">Additional employment status information collected </w:t>
      </w:r>
      <w:r w:rsidR="00C831E5">
        <w:rPr>
          <w:sz w:val="24"/>
          <w:szCs w:val="24"/>
        </w:rPr>
        <w:t xml:space="preserve">from each respondent </w:t>
      </w:r>
      <w:r w:rsidR="00B11303">
        <w:rPr>
          <w:sz w:val="24"/>
          <w:szCs w:val="24"/>
        </w:rPr>
        <w:t xml:space="preserve">will </w:t>
      </w:r>
      <w:r w:rsidR="00CE7004">
        <w:rPr>
          <w:sz w:val="24"/>
          <w:szCs w:val="24"/>
        </w:rPr>
        <w:t>include</w:t>
      </w:r>
      <w:r w:rsidR="00B11303">
        <w:rPr>
          <w:sz w:val="24"/>
          <w:szCs w:val="24"/>
        </w:rPr>
        <w:t xml:space="preserve">: (1)  job title and duties; (2) the type of job held (e.g., self-employed or temporary, contract, or permanent employee); (3)  </w:t>
      </w:r>
      <w:r w:rsidR="00C831E5">
        <w:rPr>
          <w:sz w:val="24"/>
          <w:szCs w:val="24"/>
        </w:rPr>
        <w:t xml:space="preserve">employer </w:t>
      </w:r>
      <w:r w:rsidR="00B11303">
        <w:rPr>
          <w:sz w:val="24"/>
          <w:szCs w:val="24"/>
        </w:rPr>
        <w:t xml:space="preserve">size; (4) </w:t>
      </w:r>
      <w:r w:rsidR="00FB52FD">
        <w:rPr>
          <w:sz w:val="24"/>
          <w:szCs w:val="24"/>
        </w:rPr>
        <w:t xml:space="preserve"> </w:t>
      </w:r>
      <w:r w:rsidR="00B11303">
        <w:rPr>
          <w:sz w:val="24"/>
          <w:szCs w:val="24"/>
        </w:rPr>
        <w:t xml:space="preserve">number of hours worked in an average week; (5) number of years or months working for that employer; </w:t>
      </w:r>
      <w:r w:rsidR="00FB52FD">
        <w:rPr>
          <w:sz w:val="24"/>
          <w:szCs w:val="24"/>
        </w:rPr>
        <w:t>(6) labor union status</w:t>
      </w:r>
      <w:r w:rsidR="00C36DC9">
        <w:rPr>
          <w:sz w:val="24"/>
          <w:szCs w:val="24"/>
        </w:rPr>
        <w:t>; (7) workers’ comp coverage</w:t>
      </w:r>
      <w:r w:rsidR="00FB52FD">
        <w:rPr>
          <w:sz w:val="24"/>
          <w:szCs w:val="24"/>
        </w:rPr>
        <w:t>; and (</w:t>
      </w:r>
      <w:r w:rsidR="003925F8">
        <w:rPr>
          <w:sz w:val="24"/>
          <w:szCs w:val="24"/>
        </w:rPr>
        <w:t>8</w:t>
      </w:r>
      <w:r w:rsidR="00FB52FD">
        <w:rPr>
          <w:sz w:val="24"/>
          <w:szCs w:val="24"/>
        </w:rPr>
        <w:t>) reporting policies of both the employer and, where applicable, the employee</w:t>
      </w:r>
      <w:r w:rsidR="00BC3EF9">
        <w:rPr>
          <w:sz w:val="24"/>
          <w:szCs w:val="24"/>
        </w:rPr>
        <w:t>’</w:t>
      </w:r>
      <w:r w:rsidR="00FB52FD">
        <w:rPr>
          <w:sz w:val="24"/>
          <w:szCs w:val="24"/>
        </w:rPr>
        <w:t>s union.</w:t>
      </w:r>
      <w:r w:rsidR="003925F8">
        <w:rPr>
          <w:sz w:val="24"/>
          <w:szCs w:val="24"/>
        </w:rPr>
        <w:t xml:space="preserve"> Collecting </w:t>
      </w:r>
      <w:r w:rsidR="00C831E5">
        <w:rPr>
          <w:sz w:val="24"/>
          <w:szCs w:val="24"/>
        </w:rPr>
        <w:t xml:space="preserve">this additional </w:t>
      </w:r>
      <w:r w:rsidR="00122D73">
        <w:rPr>
          <w:sz w:val="24"/>
          <w:szCs w:val="24"/>
        </w:rPr>
        <w:t>information is</w:t>
      </w:r>
      <w:r w:rsidR="003925F8">
        <w:rPr>
          <w:sz w:val="24"/>
          <w:szCs w:val="24"/>
        </w:rPr>
        <w:t xml:space="preserve"> necessary to better understand </w:t>
      </w:r>
      <w:r w:rsidR="00122D73">
        <w:rPr>
          <w:sz w:val="24"/>
          <w:szCs w:val="24"/>
        </w:rPr>
        <w:t>factors associated</w:t>
      </w:r>
      <w:r w:rsidR="003925F8">
        <w:rPr>
          <w:sz w:val="24"/>
          <w:szCs w:val="24"/>
        </w:rPr>
        <w:t xml:space="preserve"> with underreporting. In turn</w:t>
      </w:r>
      <w:r w:rsidR="00122D73">
        <w:rPr>
          <w:sz w:val="24"/>
          <w:szCs w:val="24"/>
        </w:rPr>
        <w:t>, understanding</w:t>
      </w:r>
      <w:r w:rsidR="003925F8">
        <w:rPr>
          <w:sz w:val="24"/>
          <w:szCs w:val="24"/>
        </w:rPr>
        <w:t xml:space="preserve"> these factors will </w:t>
      </w:r>
      <w:r w:rsidR="00C831E5">
        <w:rPr>
          <w:sz w:val="24"/>
          <w:szCs w:val="24"/>
        </w:rPr>
        <w:t>improve</w:t>
      </w:r>
      <w:r w:rsidR="003925F8">
        <w:rPr>
          <w:sz w:val="24"/>
          <w:szCs w:val="24"/>
        </w:rPr>
        <w:t xml:space="preserve"> programs aimed at increasing workplace reporting. This information will be accessible to NIOSH </w:t>
      </w:r>
      <w:r w:rsidR="00CF1B4F">
        <w:rPr>
          <w:sz w:val="24"/>
          <w:szCs w:val="24"/>
        </w:rPr>
        <w:t>staff</w:t>
      </w:r>
      <w:r w:rsidR="00C831E5">
        <w:rPr>
          <w:sz w:val="24"/>
          <w:szCs w:val="24"/>
        </w:rPr>
        <w:t xml:space="preserve"> and</w:t>
      </w:r>
      <w:r w:rsidR="003925F8">
        <w:rPr>
          <w:sz w:val="24"/>
          <w:szCs w:val="24"/>
        </w:rPr>
        <w:t xml:space="preserve"> will be disseminated to Congress, stakeholders, and the general public in aggregate form only, following NIOSH DSR reporting requirements that were established to ensure protection </w:t>
      </w:r>
      <w:r w:rsidR="00735968">
        <w:rPr>
          <w:sz w:val="24"/>
          <w:szCs w:val="24"/>
        </w:rPr>
        <w:t xml:space="preserve">of respondents’ identities </w:t>
      </w:r>
      <w:r w:rsidR="003925F8">
        <w:rPr>
          <w:sz w:val="24"/>
          <w:szCs w:val="24"/>
        </w:rPr>
        <w:t xml:space="preserve">and the reporting of stable estimates. </w:t>
      </w:r>
    </w:p>
    <w:p w:rsidR="007907B2" w:rsidRDefault="00CF1B4F" w:rsidP="00FF5F3C">
      <w:pPr>
        <w:spacing w:after="0"/>
        <w:ind w:firstLine="360"/>
        <w:rPr>
          <w:rFonts w:asciiTheme="majorHAnsi" w:eastAsiaTheme="majorEastAsia" w:hAnsiTheme="majorHAnsi" w:cstheme="majorBidi"/>
          <w:b/>
          <w:bCs/>
          <w:sz w:val="24"/>
          <w:szCs w:val="24"/>
        </w:rPr>
      </w:pPr>
      <w:r>
        <w:rPr>
          <w:sz w:val="24"/>
          <w:szCs w:val="24"/>
        </w:rPr>
        <w:t xml:space="preserve">CPSC and NIOSH </w:t>
      </w:r>
      <w:r w:rsidR="007757FF">
        <w:rPr>
          <w:sz w:val="24"/>
          <w:szCs w:val="24"/>
        </w:rPr>
        <w:t>both</w:t>
      </w:r>
      <w:r>
        <w:rPr>
          <w:sz w:val="24"/>
          <w:szCs w:val="24"/>
        </w:rPr>
        <w:t xml:space="preserve"> </w:t>
      </w:r>
      <w:r w:rsidR="00C831E5">
        <w:rPr>
          <w:sz w:val="24"/>
          <w:szCs w:val="24"/>
        </w:rPr>
        <w:t>have</w:t>
      </w:r>
      <w:r>
        <w:rPr>
          <w:sz w:val="24"/>
          <w:szCs w:val="24"/>
        </w:rPr>
        <w:t xml:space="preserve"> extensive safeguards to protect against release of individual level data. Aggregated data </w:t>
      </w:r>
      <w:r w:rsidR="008C7E6E">
        <w:rPr>
          <w:sz w:val="24"/>
          <w:szCs w:val="24"/>
        </w:rPr>
        <w:t xml:space="preserve">are </w:t>
      </w:r>
      <w:r>
        <w:rPr>
          <w:sz w:val="24"/>
          <w:szCs w:val="24"/>
        </w:rPr>
        <w:t xml:space="preserve">required to be screened by NIOSH DSR staff intimately familiar with NEISS-Work data. This adherence to data reporting requirements prior to release </w:t>
      </w:r>
      <w:r w:rsidR="00122D73">
        <w:rPr>
          <w:sz w:val="24"/>
          <w:szCs w:val="24"/>
        </w:rPr>
        <w:t>prevents a</w:t>
      </w:r>
      <w:r>
        <w:rPr>
          <w:sz w:val="24"/>
          <w:szCs w:val="24"/>
        </w:rPr>
        <w:t xml:space="preserve"> recipient of the data results from being able to tease apart identifiable individual level data from aggregate results. The largest potential for an adverse event would be related to a breach in </w:t>
      </w:r>
      <w:r w:rsidR="00517ED0">
        <w:rPr>
          <w:sz w:val="24"/>
          <w:szCs w:val="24"/>
        </w:rPr>
        <w:t xml:space="preserve">privacy </w:t>
      </w:r>
      <w:r>
        <w:rPr>
          <w:sz w:val="24"/>
          <w:szCs w:val="24"/>
        </w:rPr>
        <w:t xml:space="preserve">from either NIOSH project staff or CPSC contracted telephone interviewers. The NIOSH project staff will notify CPSC immediately upon: (1) discovering any breach or suspected breach of security; (2) discovering any unauthorized </w:t>
      </w:r>
      <w:r>
        <w:rPr>
          <w:sz w:val="24"/>
          <w:szCs w:val="24"/>
        </w:rPr>
        <w:lastRenderedPageBreak/>
        <w:t xml:space="preserve">disclosure of </w:t>
      </w:r>
      <w:r w:rsidR="005B0AE1">
        <w:rPr>
          <w:sz w:val="24"/>
          <w:szCs w:val="24"/>
        </w:rPr>
        <w:t>project data</w:t>
      </w:r>
      <w:r>
        <w:rPr>
          <w:sz w:val="24"/>
          <w:szCs w:val="24"/>
        </w:rPr>
        <w:t xml:space="preserve">; or (3) receipt of any legal, investigatory, or other demand for access to </w:t>
      </w:r>
      <w:r w:rsidR="005B0AE1">
        <w:rPr>
          <w:sz w:val="24"/>
          <w:szCs w:val="24"/>
        </w:rPr>
        <w:t>project data</w:t>
      </w:r>
      <w:r>
        <w:rPr>
          <w:sz w:val="24"/>
          <w:szCs w:val="24"/>
        </w:rPr>
        <w:t xml:space="preserve"> in any form. Should any of these issues occur, project progress will be halted until approval is received from CPSC to resume project activities. In addition, the </w:t>
      </w:r>
      <w:r w:rsidR="00835811">
        <w:rPr>
          <w:sz w:val="24"/>
          <w:szCs w:val="24"/>
        </w:rPr>
        <w:t xml:space="preserve">NIOSH </w:t>
      </w:r>
      <w:r>
        <w:rPr>
          <w:sz w:val="24"/>
          <w:szCs w:val="24"/>
        </w:rPr>
        <w:t xml:space="preserve">Human Subjects Review Board will be informally notified of any potential breach of </w:t>
      </w:r>
      <w:r w:rsidR="003409B6">
        <w:rPr>
          <w:sz w:val="24"/>
          <w:szCs w:val="24"/>
        </w:rPr>
        <w:t xml:space="preserve">privacy </w:t>
      </w:r>
      <w:r>
        <w:rPr>
          <w:sz w:val="24"/>
          <w:szCs w:val="24"/>
        </w:rPr>
        <w:t xml:space="preserve">within two working days of an incident and formally notified within two weeks of an incident. Proven violation of </w:t>
      </w:r>
      <w:r w:rsidR="005B0AE1">
        <w:rPr>
          <w:sz w:val="24"/>
          <w:szCs w:val="24"/>
        </w:rPr>
        <w:t xml:space="preserve">security </w:t>
      </w:r>
      <w:r w:rsidR="00EC0088">
        <w:rPr>
          <w:sz w:val="24"/>
          <w:szCs w:val="24"/>
        </w:rPr>
        <w:t xml:space="preserve">procedures </w:t>
      </w:r>
      <w:r>
        <w:rPr>
          <w:sz w:val="24"/>
          <w:szCs w:val="24"/>
        </w:rPr>
        <w:t>related to or obtained from the data is cause for immediate termination of access to any data. The violation will be examined and additional safeguarding procedures implemented to decrease the likelihood of a similar incident happening during the remainder of the project.</w:t>
      </w:r>
      <w:bookmarkStart w:id="7" w:name="_Toc296089966"/>
    </w:p>
    <w:p w:rsidR="00EC0088" w:rsidRPr="000B207A" w:rsidRDefault="00EC0088" w:rsidP="00545D7C">
      <w:pPr>
        <w:pStyle w:val="Heading2"/>
        <w:rPr>
          <w:rFonts w:asciiTheme="minorHAnsi" w:hAnsiTheme="minorHAnsi"/>
          <w:sz w:val="24"/>
          <w:szCs w:val="24"/>
        </w:rPr>
      </w:pPr>
      <w:r w:rsidRPr="000B207A">
        <w:rPr>
          <w:rFonts w:asciiTheme="minorHAnsi" w:hAnsiTheme="minorHAnsi"/>
          <w:sz w:val="24"/>
          <w:szCs w:val="24"/>
        </w:rPr>
        <w:t>A.3.</w:t>
      </w:r>
      <w:r w:rsidRPr="000B207A">
        <w:rPr>
          <w:rFonts w:asciiTheme="minorHAnsi" w:hAnsiTheme="minorHAnsi"/>
          <w:sz w:val="24"/>
          <w:szCs w:val="24"/>
        </w:rPr>
        <w:tab/>
        <w:t>Use of Improved Information Technology and Burden Reduction</w:t>
      </w:r>
      <w:bookmarkEnd w:id="7"/>
    </w:p>
    <w:p w:rsidR="00EC0088" w:rsidRDefault="00EC0088" w:rsidP="00EC0088">
      <w:pPr>
        <w:spacing w:after="0"/>
        <w:rPr>
          <w:sz w:val="24"/>
          <w:szCs w:val="24"/>
        </w:rPr>
      </w:pPr>
    </w:p>
    <w:p w:rsidR="002B6866" w:rsidRDefault="002B6866" w:rsidP="002B6866">
      <w:pPr>
        <w:spacing w:after="0"/>
        <w:rPr>
          <w:sz w:val="24"/>
          <w:szCs w:val="24"/>
          <w:u w:val="single"/>
        </w:rPr>
      </w:pPr>
      <w:r>
        <w:rPr>
          <w:sz w:val="24"/>
          <w:szCs w:val="24"/>
          <w:u w:val="single"/>
        </w:rPr>
        <w:t>NEISS and NEISS-Work</w:t>
      </w:r>
    </w:p>
    <w:p w:rsidR="002B6866" w:rsidRDefault="002B6866" w:rsidP="002B6866">
      <w:pPr>
        <w:spacing w:after="0"/>
        <w:ind w:firstLine="360"/>
        <w:rPr>
          <w:sz w:val="24"/>
          <w:szCs w:val="24"/>
        </w:rPr>
      </w:pPr>
      <w:r>
        <w:rPr>
          <w:sz w:val="24"/>
          <w:szCs w:val="24"/>
        </w:rPr>
        <w:t xml:space="preserve">Routine NEISS data are collected by coders in approximately 100 hospitals via abstraction of the information found in ED records. Respondents to NEISS include hospitals that directly report information to NEISS and hospitals that allow access to a CPSC contractor who collects the data. In FY2008, there were 157 NEISS respondents (total hospitals and CPSC contractors). These NEISS respondents reviewed approximately 3.4 million emergency department records and abstracted over 350,000 consumer product-related injuries. Thus, based on FY2008 data, the total burden hours to respondents are estimated to be 41,497 hours. Per hospital, the average number of burden hours is 415. In actuality, the total burden hour per hospital varies by the size and location of the hospital. Estimated burden hours per hospital range from 100 to 1,300. </w:t>
      </w:r>
    </w:p>
    <w:p w:rsidR="002B6866" w:rsidRDefault="002B6866" w:rsidP="002B6866">
      <w:pPr>
        <w:spacing w:after="0"/>
        <w:ind w:firstLine="360"/>
        <w:rPr>
          <w:sz w:val="24"/>
          <w:szCs w:val="24"/>
        </w:rPr>
      </w:pPr>
      <w:r>
        <w:rPr>
          <w:sz w:val="24"/>
          <w:szCs w:val="24"/>
        </w:rPr>
        <w:t xml:space="preserve">The total costs to NEISS respondents based on FY2008 data are approximately $1.5 million per year. NEISS respondents are compensated for these costs by CPSC. The average cost per respondent is estimated to be about $15,000; the estimated cost per burden hour is estimated to be $36 per hour (including wages and overhead) (Bureau of Labor Statistics, June 2009, Total Compensation Civilian workers, Hospitals). The actual cost to each respondent varies due to type of respondent (hospital versus CPSC contractor), size of hospital, and regional differences in wages and overhead. The cost per respondent is </w:t>
      </w:r>
      <w:r w:rsidR="00841CD9">
        <w:rPr>
          <w:sz w:val="24"/>
          <w:szCs w:val="24"/>
        </w:rPr>
        <w:t>e</w:t>
      </w:r>
      <w:r>
        <w:rPr>
          <w:sz w:val="24"/>
          <w:szCs w:val="24"/>
        </w:rPr>
        <w:t>stimated to vary from $2,600 at a small rural hospital to $75,000 at a large metropolitan hospital.</w:t>
      </w:r>
    </w:p>
    <w:p w:rsidR="00841CD9" w:rsidRDefault="00F571CD" w:rsidP="002B6866">
      <w:pPr>
        <w:spacing w:after="0"/>
        <w:ind w:firstLine="360"/>
        <w:rPr>
          <w:sz w:val="24"/>
          <w:szCs w:val="24"/>
        </w:rPr>
      </w:pPr>
      <w:r>
        <w:rPr>
          <w:sz w:val="24"/>
          <w:szCs w:val="24"/>
        </w:rPr>
        <w:t xml:space="preserve">The collection of NEISS-Work supplemental program data occurs at a 67-hospital subset of the 100 NEISS hospitals used by CPSC for product-related injury data (described above). Because CPSC reviews all ED records as a part of the basic NEISS injury data collection, the burden associated with NEISS-Work is the respondent burden associated with the abstraction of the </w:t>
      </w:r>
      <w:r w:rsidRPr="00F571CD">
        <w:rPr>
          <w:sz w:val="24"/>
          <w:szCs w:val="24"/>
        </w:rPr>
        <w:t>additional</w:t>
      </w:r>
      <w:r>
        <w:rPr>
          <w:color w:val="1F497D"/>
          <w:sz w:val="24"/>
          <w:szCs w:val="24"/>
        </w:rPr>
        <w:t xml:space="preserve"> </w:t>
      </w:r>
      <w:r w:rsidRPr="00F571CD">
        <w:rPr>
          <w:sz w:val="24"/>
          <w:szCs w:val="24"/>
        </w:rPr>
        <w:t xml:space="preserve">occupational information for cases already collected by CPSC. Respondent hospitals abstract this additional information for approximately 41,000 occupational injuries and illnesses and account for an estimated 5,400 hours of the total supplemental hours and $0.26 million of the program costs </w:t>
      </w:r>
      <w:r>
        <w:rPr>
          <w:sz w:val="24"/>
          <w:szCs w:val="24"/>
        </w:rPr>
        <w:t xml:space="preserve">paid to respondent </w:t>
      </w:r>
      <w:r>
        <w:rPr>
          <w:sz w:val="24"/>
          <w:szCs w:val="24"/>
        </w:rPr>
        <w:lastRenderedPageBreak/>
        <w:t>hospitals. As noted above for CPSC, the actual cost per respondent hospital varies considerably based on the hospital size and other hospital specific factors.</w:t>
      </w:r>
    </w:p>
    <w:p w:rsidR="00165C8F" w:rsidRDefault="00165C8F" w:rsidP="00165C8F">
      <w:pPr>
        <w:spacing w:after="0"/>
        <w:rPr>
          <w:sz w:val="24"/>
          <w:szCs w:val="24"/>
        </w:rPr>
      </w:pPr>
    </w:p>
    <w:p w:rsidR="00165C8F" w:rsidRDefault="00165C8F" w:rsidP="00165C8F">
      <w:pPr>
        <w:spacing w:after="0"/>
        <w:rPr>
          <w:sz w:val="24"/>
          <w:szCs w:val="24"/>
        </w:rPr>
      </w:pPr>
      <w:r>
        <w:rPr>
          <w:sz w:val="24"/>
          <w:szCs w:val="24"/>
          <w:u w:val="single"/>
        </w:rPr>
        <w:t>Telephone Interview Survey</w:t>
      </w:r>
    </w:p>
    <w:p w:rsidR="00165C8F" w:rsidRPr="00093737" w:rsidRDefault="00CE2221" w:rsidP="00165C8F">
      <w:pPr>
        <w:spacing w:after="0"/>
        <w:ind w:firstLine="360"/>
        <w:rPr>
          <w:sz w:val="24"/>
          <w:szCs w:val="24"/>
        </w:rPr>
      </w:pPr>
      <w:r>
        <w:rPr>
          <w:sz w:val="24"/>
          <w:szCs w:val="24"/>
        </w:rPr>
        <w:t>All follow-</w:t>
      </w:r>
      <w:r w:rsidR="00D656CF">
        <w:rPr>
          <w:sz w:val="24"/>
          <w:szCs w:val="24"/>
        </w:rPr>
        <w:t>up</w:t>
      </w:r>
      <w:r>
        <w:rPr>
          <w:sz w:val="24"/>
          <w:szCs w:val="24"/>
        </w:rPr>
        <w:t xml:space="preserve"> studies performed by CPSC, collecting data directly from the injured person, are done via telephone interview surveys. The data collection process will be guided by and entered into a Computer Assisted Telephone Interview (CATI) system. This CATI system is used by CPSC for other follow-</w:t>
      </w:r>
      <w:r w:rsidR="00D656CF">
        <w:rPr>
          <w:sz w:val="24"/>
          <w:szCs w:val="24"/>
        </w:rPr>
        <w:t>up</w:t>
      </w:r>
      <w:r>
        <w:rPr>
          <w:sz w:val="24"/>
          <w:szCs w:val="24"/>
        </w:rPr>
        <w:t xml:space="preserve"> studies and required for new follow-</w:t>
      </w:r>
      <w:r w:rsidR="00D656CF">
        <w:rPr>
          <w:sz w:val="24"/>
          <w:szCs w:val="24"/>
        </w:rPr>
        <w:t>up</w:t>
      </w:r>
      <w:r>
        <w:rPr>
          <w:sz w:val="24"/>
          <w:szCs w:val="24"/>
        </w:rPr>
        <w:t xml:space="preserve"> studies. Use of the CATI will facilitate administration of the questionnaire as skip patterns will be automated</w:t>
      </w:r>
      <w:r w:rsidR="00CF4467">
        <w:rPr>
          <w:sz w:val="24"/>
          <w:szCs w:val="24"/>
        </w:rPr>
        <w:t xml:space="preserve">, lessening the time the respondent will need to wait for the interviewer to find the correct question and </w:t>
      </w:r>
      <w:r w:rsidR="00CF4467" w:rsidRPr="00093737">
        <w:rPr>
          <w:sz w:val="24"/>
          <w:szCs w:val="24"/>
        </w:rPr>
        <w:t>eliminating concerns with inaccuracy due to incorrectly following skip patterns.</w:t>
      </w:r>
    </w:p>
    <w:p w:rsidR="00520786" w:rsidRPr="00967DC6" w:rsidRDefault="00691B81" w:rsidP="00967DC6">
      <w:pPr>
        <w:pStyle w:val="L1-FlLSp12"/>
        <w:tabs>
          <w:tab w:val="clear" w:pos="1152"/>
          <w:tab w:val="left" w:pos="720"/>
        </w:tabs>
        <w:spacing w:after="0" w:line="276" w:lineRule="auto"/>
        <w:ind w:firstLine="360"/>
        <w:rPr>
          <w:rFonts w:asciiTheme="minorHAnsi" w:hAnsiTheme="minorHAnsi" w:cs="Times New Roman"/>
          <w:szCs w:val="24"/>
        </w:rPr>
      </w:pPr>
      <w:r>
        <w:rPr>
          <w:rFonts w:asciiTheme="minorHAnsi" w:hAnsiTheme="minorHAnsi"/>
          <w:szCs w:val="24"/>
        </w:rPr>
        <w:t>T</w:t>
      </w:r>
      <w:r w:rsidR="00DF14FC" w:rsidRPr="00DF14FC">
        <w:rPr>
          <w:rFonts w:asciiTheme="minorHAnsi" w:hAnsiTheme="minorHAnsi"/>
          <w:szCs w:val="24"/>
        </w:rPr>
        <w:t xml:space="preserve">o ensure that </w:t>
      </w:r>
      <w:r w:rsidR="00B02C05">
        <w:rPr>
          <w:rFonts w:asciiTheme="minorHAnsi" w:hAnsiTheme="minorHAnsi"/>
          <w:szCs w:val="24"/>
        </w:rPr>
        <w:t>the</w:t>
      </w:r>
      <w:r w:rsidR="00B02C05" w:rsidRPr="00DF14FC">
        <w:rPr>
          <w:rFonts w:asciiTheme="minorHAnsi" w:hAnsiTheme="minorHAnsi"/>
          <w:szCs w:val="24"/>
        </w:rPr>
        <w:t xml:space="preserve"> </w:t>
      </w:r>
      <w:r w:rsidR="00DF14FC" w:rsidRPr="00DF14FC">
        <w:rPr>
          <w:rFonts w:asciiTheme="minorHAnsi" w:hAnsiTheme="minorHAnsi"/>
          <w:szCs w:val="24"/>
        </w:rPr>
        <w:t xml:space="preserve">data collected </w:t>
      </w:r>
      <w:r w:rsidR="00B02C05">
        <w:rPr>
          <w:rFonts w:asciiTheme="minorHAnsi" w:hAnsiTheme="minorHAnsi"/>
          <w:szCs w:val="24"/>
        </w:rPr>
        <w:t>will</w:t>
      </w:r>
      <w:r w:rsidR="00DF14FC" w:rsidRPr="00DF14FC">
        <w:rPr>
          <w:rFonts w:asciiTheme="minorHAnsi" w:hAnsiTheme="minorHAnsi"/>
          <w:szCs w:val="24"/>
        </w:rPr>
        <w:t xml:space="preserve"> meet reporting requirements</w:t>
      </w:r>
      <w:r w:rsidR="00965C3D">
        <w:rPr>
          <w:rFonts w:asciiTheme="minorHAnsi" w:hAnsiTheme="minorHAnsi"/>
          <w:szCs w:val="24"/>
        </w:rPr>
        <w:t xml:space="preserve"> and provide an accurate national picture</w:t>
      </w:r>
      <w:r w:rsidR="00DF14FC" w:rsidRPr="00DF14FC">
        <w:rPr>
          <w:rFonts w:asciiTheme="minorHAnsi" w:hAnsiTheme="minorHAnsi"/>
          <w:szCs w:val="24"/>
        </w:rPr>
        <w:t xml:space="preserve">, </w:t>
      </w:r>
      <w:r w:rsidR="00DF14FC">
        <w:rPr>
          <w:rFonts w:asciiTheme="minorHAnsi" w:hAnsiTheme="minorHAnsi" w:cs="Times New Roman"/>
          <w:szCs w:val="24"/>
        </w:rPr>
        <w:t>NIOSH contracted with</w:t>
      </w:r>
      <w:r w:rsidR="00DF14FC" w:rsidRPr="00DF14FC">
        <w:rPr>
          <w:rFonts w:asciiTheme="minorHAnsi" w:hAnsiTheme="minorHAnsi" w:cs="Times New Roman"/>
          <w:szCs w:val="24"/>
        </w:rPr>
        <w:t xml:space="preserve"> Westat, a research services company that provides services to the United States government, among other entities</w:t>
      </w:r>
      <w:r w:rsidR="00DF14FC">
        <w:rPr>
          <w:rFonts w:asciiTheme="minorHAnsi" w:hAnsiTheme="minorHAnsi" w:cs="Times New Roman"/>
          <w:szCs w:val="24"/>
        </w:rPr>
        <w:t xml:space="preserve">, to design the sampling </w:t>
      </w:r>
      <w:r w:rsidR="00DF14FC" w:rsidRPr="00EB6CCE">
        <w:rPr>
          <w:rFonts w:asciiTheme="minorHAnsi" w:hAnsiTheme="minorHAnsi" w:cs="Times New Roman"/>
          <w:szCs w:val="24"/>
        </w:rPr>
        <w:t xml:space="preserve">procedures. Westat has extensive experience in all aspects of survey design and analysis and its staff includes internationally recognized experts in research methodology, sample design, and estimation. </w:t>
      </w:r>
      <w:r w:rsidR="00F515F0">
        <w:rPr>
          <w:rFonts w:asciiTheme="minorHAnsi" w:hAnsiTheme="minorHAnsi" w:cs="Times New Roman"/>
          <w:szCs w:val="24"/>
        </w:rPr>
        <w:t>T</w:t>
      </w:r>
      <w:r w:rsidR="00DF14FC" w:rsidRPr="00EB6CCE">
        <w:rPr>
          <w:rFonts w:asciiTheme="minorHAnsi" w:hAnsiTheme="minorHAnsi" w:cs="Times New Roman"/>
          <w:szCs w:val="24"/>
        </w:rPr>
        <w:t xml:space="preserve">he sample design for selecting interview participants takes into account the underlying stratified hospital sample design for the NEISS-Work surveillance. It maintains the nationally representative aspects of the hospital sample design while maximizing </w:t>
      </w:r>
      <w:r w:rsidR="00C31AEF">
        <w:rPr>
          <w:rFonts w:asciiTheme="minorHAnsi" w:hAnsiTheme="minorHAnsi" w:cs="Times New Roman"/>
          <w:szCs w:val="24"/>
        </w:rPr>
        <w:t>NIOSH’s</w:t>
      </w:r>
      <w:r w:rsidR="00DF14FC" w:rsidRPr="00EB6CCE">
        <w:rPr>
          <w:rFonts w:asciiTheme="minorHAnsi" w:hAnsiTheme="minorHAnsi" w:cs="Times New Roman"/>
          <w:szCs w:val="24"/>
        </w:rPr>
        <w:t xml:space="preserve"> ability to detect significant differences among the study population (e.g., minimize variance </w:t>
      </w:r>
      <w:r w:rsidR="00DF14FC" w:rsidRPr="00967DC6">
        <w:rPr>
          <w:rFonts w:asciiTheme="minorHAnsi" w:hAnsiTheme="minorHAnsi" w:cs="Times New Roman"/>
          <w:szCs w:val="24"/>
        </w:rPr>
        <w:t xml:space="preserve">issues). Finally, the sample design lends itself to a robust data analysis plan. </w:t>
      </w:r>
    </w:p>
    <w:p w:rsidR="00691B81" w:rsidRPr="00967DC6" w:rsidRDefault="00691B81" w:rsidP="00967DC6">
      <w:pPr>
        <w:pStyle w:val="L1-FlLSp12"/>
        <w:tabs>
          <w:tab w:val="clear" w:pos="1152"/>
          <w:tab w:val="left" w:pos="720"/>
        </w:tabs>
        <w:spacing w:after="0" w:line="276" w:lineRule="auto"/>
        <w:rPr>
          <w:rFonts w:asciiTheme="minorHAnsi" w:hAnsiTheme="minorHAnsi" w:cs="Times New Roman"/>
          <w:szCs w:val="24"/>
        </w:rPr>
      </w:pPr>
    </w:p>
    <w:p w:rsidR="00691B81" w:rsidRDefault="00691B81" w:rsidP="00545D7C">
      <w:pPr>
        <w:pStyle w:val="L1-FlLSp12"/>
        <w:tabs>
          <w:tab w:val="clear" w:pos="1152"/>
          <w:tab w:val="left" w:pos="720"/>
        </w:tabs>
        <w:spacing w:after="0" w:line="276" w:lineRule="auto"/>
        <w:outlineLvl w:val="1"/>
        <w:rPr>
          <w:rFonts w:asciiTheme="minorHAnsi" w:hAnsiTheme="minorHAnsi" w:cs="Times New Roman"/>
          <w:b/>
          <w:szCs w:val="24"/>
        </w:rPr>
      </w:pPr>
      <w:bookmarkStart w:id="8" w:name="_Toc296089967"/>
      <w:r w:rsidRPr="00967DC6">
        <w:rPr>
          <w:rFonts w:asciiTheme="minorHAnsi" w:hAnsiTheme="minorHAnsi" w:cs="Times New Roman"/>
          <w:b/>
          <w:szCs w:val="24"/>
        </w:rPr>
        <w:t>A.4.</w:t>
      </w:r>
      <w:r w:rsidRPr="00967DC6">
        <w:rPr>
          <w:rFonts w:asciiTheme="minorHAnsi" w:hAnsiTheme="minorHAnsi" w:cs="Times New Roman"/>
          <w:b/>
          <w:szCs w:val="24"/>
        </w:rPr>
        <w:tab/>
        <w:t>Efforts to Identify Duplication and Use of Similar Information</w:t>
      </w:r>
      <w:bookmarkEnd w:id="8"/>
    </w:p>
    <w:p w:rsidR="001028B0" w:rsidRPr="00967DC6" w:rsidRDefault="001028B0" w:rsidP="00545D7C">
      <w:pPr>
        <w:pStyle w:val="L1-FlLSp12"/>
        <w:tabs>
          <w:tab w:val="clear" w:pos="1152"/>
          <w:tab w:val="left" w:pos="720"/>
        </w:tabs>
        <w:spacing w:after="0" w:line="276" w:lineRule="auto"/>
        <w:outlineLvl w:val="1"/>
        <w:rPr>
          <w:rFonts w:asciiTheme="minorHAnsi" w:hAnsiTheme="minorHAnsi" w:cs="Times New Roman"/>
          <w:szCs w:val="24"/>
        </w:rPr>
      </w:pPr>
    </w:p>
    <w:p w:rsidR="00967DC6" w:rsidRDefault="00967DC6" w:rsidP="00967DC6">
      <w:pPr>
        <w:pStyle w:val="L1-FlLSp12"/>
        <w:tabs>
          <w:tab w:val="left" w:pos="720"/>
        </w:tabs>
        <w:spacing w:after="0" w:line="276" w:lineRule="auto"/>
        <w:ind w:firstLine="360"/>
        <w:rPr>
          <w:rFonts w:asciiTheme="minorHAnsi" w:hAnsiTheme="minorHAnsi"/>
          <w:szCs w:val="24"/>
        </w:rPr>
      </w:pPr>
      <w:r w:rsidRPr="00967DC6">
        <w:rPr>
          <w:rFonts w:asciiTheme="minorHAnsi" w:hAnsiTheme="minorHAnsi"/>
          <w:szCs w:val="24"/>
        </w:rPr>
        <w:t xml:space="preserve">The project was developed based on a report written in 2008 by the Congressional Committee on Education and Labor titled </w:t>
      </w:r>
      <w:r w:rsidRPr="00967DC6">
        <w:rPr>
          <w:rFonts w:asciiTheme="minorHAnsi" w:hAnsiTheme="minorHAnsi"/>
          <w:i/>
          <w:szCs w:val="24"/>
        </w:rPr>
        <w:t>Hidden Tragedy: Underreporting of Workplace Injuries and Illnesses</w:t>
      </w:r>
      <w:r w:rsidRPr="00967DC6">
        <w:rPr>
          <w:rFonts w:asciiTheme="minorHAnsi" w:hAnsiTheme="minorHAnsi"/>
          <w:szCs w:val="24"/>
        </w:rPr>
        <w:t xml:space="preserve">, which found that “work-related injuries and illnesses in the United States are chronically and even grossly underreported.” Based in part on this report, Congress allocated funds NIOSH to conduct a follow-up study using NIOSH’s NEISS-Work. NEISS-Work is unique from other surveillance systems in that it has the option to collect data directly from the worker using telephone interviews, providing greater detail and insight than can be obtained from abstracting data from written records (e.g., medical records or worker’s compensation records) alone. Consequently, much of the data proposed for collection is available only via NEISS-Work. In addition, </w:t>
      </w:r>
      <w:r w:rsidR="00C00175">
        <w:rPr>
          <w:rFonts w:asciiTheme="minorHAnsi" w:hAnsiTheme="minorHAnsi"/>
          <w:szCs w:val="24"/>
        </w:rPr>
        <w:t xml:space="preserve">NEISS-Work </w:t>
      </w:r>
      <w:r w:rsidR="00FF5F3C">
        <w:rPr>
          <w:rFonts w:asciiTheme="minorHAnsi" w:hAnsiTheme="minorHAnsi"/>
          <w:szCs w:val="24"/>
        </w:rPr>
        <w:t xml:space="preserve">captures </w:t>
      </w:r>
      <w:r w:rsidR="00FF5F3C" w:rsidRPr="00967DC6">
        <w:rPr>
          <w:rFonts w:asciiTheme="minorHAnsi" w:hAnsiTheme="minorHAnsi"/>
          <w:szCs w:val="24"/>
        </w:rPr>
        <w:t>cases</w:t>
      </w:r>
      <w:r w:rsidRPr="00967DC6">
        <w:rPr>
          <w:rFonts w:asciiTheme="minorHAnsi" w:hAnsiTheme="minorHAnsi"/>
          <w:szCs w:val="24"/>
        </w:rPr>
        <w:t xml:space="preserve"> from multiple industries and job types</w:t>
      </w:r>
      <w:r w:rsidR="00C00175">
        <w:rPr>
          <w:rFonts w:asciiTheme="minorHAnsi" w:hAnsiTheme="minorHAnsi"/>
          <w:szCs w:val="24"/>
        </w:rPr>
        <w:t xml:space="preserve"> without the employment restrictions inherent in </w:t>
      </w:r>
      <w:r w:rsidRPr="00967DC6">
        <w:rPr>
          <w:rFonts w:asciiTheme="minorHAnsi" w:hAnsiTheme="minorHAnsi"/>
          <w:szCs w:val="24"/>
        </w:rPr>
        <w:t xml:space="preserve">other </w:t>
      </w:r>
      <w:r w:rsidR="00C00175">
        <w:rPr>
          <w:rFonts w:asciiTheme="minorHAnsi" w:hAnsiTheme="minorHAnsi"/>
          <w:szCs w:val="24"/>
        </w:rPr>
        <w:t xml:space="preserve">national occupational injury and illness </w:t>
      </w:r>
      <w:r w:rsidRPr="00967DC6">
        <w:rPr>
          <w:rFonts w:asciiTheme="minorHAnsi" w:hAnsiTheme="minorHAnsi"/>
          <w:szCs w:val="24"/>
        </w:rPr>
        <w:t>data</w:t>
      </w:r>
      <w:r w:rsidR="00C00175">
        <w:rPr>
          <w:rFonts w:asciiTheme="minorHAnsi" w:hAnsiTheme="minorHAnsi"/>
          <w:szCs w:val="24"/>
        </w:rPr>
        <w:t xml:space="preserve"> </w:t>
      </w:r>
      <w:r w:rsidRPr="00967DC6">
        <w:rPr>
          <w:rFonts w:asciiTheme="minorHAnsi" w:hAnsiTheme="minorHAnsi"/>
          <w:szCs w:val="24"/>
        </w:rPr>
        <w:t>s</w:t>
      </w:r>
      <w:r w:rsidR="00C00175">
        <w:rPr>
          <w:rFonts w:asciiTheme="minorHAnsi" w:hAnsiTheme="minorHAnsi"/>
          <w:szCs w:val="24"/>
        </w:rPr>
        <w:t>ystems</w:t>
      </w:r>
      <w:r w:rsidRPr="00967DC6">
        <w:rPr>
          <w:rFonts w:asciiTheme="minorHAnsi" w:hAnsiTheme="minorHAnsi"/>
          <w:szCs w:val="24"/>
        </w:rPr>
        <w:t>.</w:t>
      </w:r>
    </w:p>
    <w:p w:rsidR="004F02A7" w:rsidRDefault="00C5001F" w:rsidP="00C221CF">
      <w:pPr>
        <w:pStyle w:val="L1-FlLSp12"/>
        <w:tabs>
          <w:tab w:val="left" w:pos="720"/>
        </w:tabs>
        <w:spacing w:after="0" w:line="276" w:lineRule="auto"/>
        <w:ind w:firstLine="360"/>
        <w:rPr>
          <w:szCs w:val="24"/>
        </w:rPr>
      </w:pPr>
      <w:r>
        <w:rPr>
          <w:rFonts w:asciiTheme="minorHAnsi" w:hAnsiTheme="minorHAnsi"/>
          <w:szCs w:val="24"/>
        </w:rPr>
        <w:t>As directed by Congress, t</w:t>
      </w:r>
      <w:r w:rsidR="00967DC6" w:rsidRPr="00967DC6">
        <w:rPr>
          <w:rFonts w:asciiTheme="minorHAnsi" w:hAnsiTheme="minorHAnsi"/>
          <w:szCs w:val="24"/>
        </w:rPr>
        <w:t>he proposed project emphasizes</w:t>
      </w:r>
      <w:r w:rsidR="00BD023F">
        <w:rPr>
          <w:rFonts w:asciiTheme="minorHAnsi" w:hAnsiTheme="minorHAnsi"/>
          <w:szCs w:val="24"/>
        </w:rPr>
        <w:t xml:space="preserve"> </w:t>
      </w:r>
      <w:r w:rsidR="00967DC6" w:rsidRPr="00967DC6">
        <w:rPr>
          <w:rFonts w:asciiTheme="minorHAnsi" w:hAnsiTheme="minorHAnsi"/>
          <w:szCs w:val="24"/>
        </w:rPr>
        <w:t xml:space="preserve">reporting </w:t>
      </w:r>
      <w:r w:rsidR="008C7E6E">
        <w:rPr>
          <w:rFonts w:asciiTheme="minorHAnsi" w:hAnsiTheme="minorHAnsi"/>
          <w:szCs w:val="24"/>
        </w:rPr>
        <w:t xml:space="preserve">of occupational injuries by </w:t>
      </w:r>
      <w:r w:rsidR="008C7E6E" w:rsidRPr="00967DC6">
        <w:rPr>
          <w:rFonts w:asciiTheme="minorHAnsi" w:hAnsiTheme="minorHAnsi"/>
          <w:szCs w:val="24"/>
        </w:rPr>
        <w:t xml:space="preserve">self-employed individuals </w:t>
      </w:r>
      <w:r w:rsidR="00967DC6" w:rsidRPr="00967DC6">
        <w:rPr>
          <w:rFonts w:asciiTheme="minorHAnsi" w:hAnsiTheme="minorHAnsi"/>
          <w:szCs w:val="24"/>
        </w:rPr>
        <w:t>that have historically been difficult to enumerate</w:t>
      </w:r>
      <w:r w:rsidR="008C7E6E">
        <w:rPr>
          <w:rFonts w:asciiTheme="minorHAnsi" w:hAnsiTheme="minorHAnsi"/>
          <w:szCs w:val="24"/>
        </w:rPr>
        <w:t xml:space="preserve">. </w:t>
      </w:r>
      <w:r w:rsidR="00967DC6" w:rsidRPr="00967DC6">
        <w:rPr>
          <w:rFonts w:asciiTheme="minorHAnsi" w:hAnsiTheme="minorHAnsi"/>
          <w:szCs w:val="24"/>
        </w:rPr>
        <w:lastRenderedPageBreak/>
        <w:t xml:space="preserve">Self-employed individuals are generally not required to carry worker’s compensation insurance or maintain Occupational Safety and Health Administration (OSHA) logs if they employ less than </w:t>
      </w:r>
      <w:r w:rsidR="005433F1">
        <w:rPr>
          <w:rFonts w:asciiTheme="minorHAnsi" w:hAnsiTheme="minorHAnsi"/>
          <w:szCs w:val="24"/>
        </w:rPr>
        <w:t>eleven</w:t>
      </w:r>
      <w:r w:rsidR="00967DC6" w:rsidRPr="00967DC6">
        <w:rPr>
          <w:rFonts w:asciiTheme="minorHAnsi" w:hAnsiTheme="minorHAnsi"/>
          <w:szCs w:val="24"/>
        </w:rPr>
        <w:t xml:space="preserve"> people. Consequently, understanding reporting behaviors will identify if ED surveillance can effectively contribute to the enumeration of work-related injuries and illnesses for the self-employed. Additionally, this project will obtain information on </w:t>
      </w:r>
      <w:r w:rsidR="00946A5D">
        <w:rPr>
          <w:rFonts w:asciiTheme="minorHAnsi" w:hAnsiTheme="minorHAnsi"/>
          <w:szCs w:val="24"/>
        </w:rPr>
        <w:t xml:space="preserve">pre-existing health problems self-identified by the respondent population as caused or made worse by work. Identification and characterization of these conditions will provide the opportunity </w:t>
      </w:r>
      <w:r w:rsidR="00C34A1C">
        <w:rPr>
          <w:rFonts w:asciiTheme="minorHAnsi" w:hAnsiTheme="minorHAnsi"/>
          <w:szCs w:val="24"/>
        </w:rPr>
        <w:t xml:space="preserve">to </w:t>
      </w:r>
      <w:r w:rsidR="00946A5D">
        <w:rPr>
          <w:rFonts w:asciiTheme="minorHAnsi" w:hAnsiTheme="minorHAnsi"/>
          <w:szCs w:val="24"/>
        </w:rPr>
        <w:t>examine</w:t>
      </w:r>
      <w:r w:rsidR="00C34A1C">
        <w:rPr>
          <w:rFonts w:asciiTheme="minorHAnsi" w:hAnsiTheme="minorHAnsi"/>
          <w:szCs w:val="24"/>
        </w:rPr>
        <w:t xml:space="preserve"> the potential influence of these conditions on reporting behaviors. </w:t>
      </w:r>
      <w:r w:rsidR="00967DC6" w:rsidRPr="00967DC6">
        <w:rPr>
          <w:rFonts w:asciiTheme="minorHAnsi" w:hAnsiTheme="minorHAnsi"/>
          <w:szCs w:val="24"/>
        </w:rPr>
        <w:t xml:space="preserve">Occupational health problems </w:t>
      </w:r>
      <w:r w:rsidR="00964E0E">
        <w:rPr>
          <w:rFonts w:asciiTheme="minorHAnsi" w:hAnsiTheme="minorHAnsi"/>
          <w:szCs w:val="24"/>
        </w:rPr>
        <w:t>that are reported by workers</w:t>
      </w:r>
      <w:r w:rsidR="008C7E6E">
        <w:rPr>
          <w:rFonts w:asciiTheme="minorHAnsi" w:hAnsiTheme="minorHAnsi"/>
          <w:szCs w:val="24"/>
        </w:rPr>
        <w:t xml:space="preserve"> </w:t>
      </w:r>
      <w:r w:rsidR="00964E0E">
        <w:rPr>
          <w:rFonts w:asciiTheme="minorHAnsi" w:hAnsiTheme="minorHAnsi"/>
          <w:szCs w:val="24"/>
        </w:rPr>
        <w:t xml:space="preserve">may result in lost work time that can be </w:t>
      </w:r>
      <w:r w:rsidR="00FF5F3C">
        <w:rPr>
          <w:rFonts w:asciiTheme="minorHAnsi" w:hAnsiTheme="minorHAnsi"/>
          <w:szCs w:val="24"/>
        </w:rPr>
        <w:t>ill afforded</w:t>
      </w:r>
      <w:r w:rsidR="00964E0E">
        <w:rPr>
          <w:rFonts w:asciiTheme="minorHAnsi" w:hAnsiTheme="minorHAnsi"/>
          <w:szCs w:val="24"/>
        </w:rPr>
        <w:t xml:space="preserve"> by the workers, not to mention </w:t>
      </w:r>
      <w:r w:rsidR="00BD023F">
        <w:rPr>
          <w:rFonts w:asciiTheme="minorHAnsi" w:hAnsiTheme="minorHAnsi"/>
          <w:szCs w:val="24"/>
        </w:rPr>
        <w:t>having medical benefits</w:t>
      </w:r>
      <w:r w:rsidR="00964E0E">
        <w:rPr>
          <w:rFonts w:asciiTheme="minorHAnsi" w:hAnsiTheme="minorHAnsi"/>
          <w:szCs w:val="24"/>
        </w:rPr>
        <w:t xml:space="preserve"> denied, or result in other adverse impacts to the worker (</w:t>
      </w:r>
      <w:proofErr w:type="spellStart"/>
      <w:r w:rsidR="00964E0E">
        <w:rPr>
          <w:rFonts w:asciiTheme="minorHAnsi" w:hAnsiTheme="minorHAnsi"/>
          <w:szCs w:val="24"/>
        </w:rPr>
        <w:t>Azaroff</w:t>
      </w:r>
      <w:proofErr w:type="spellEnd"/>
      <w:r w:rsidR="00964E0E">
        <w:rPr>
          <w:rFonts w:asciiTheme="minorHAnsi" w:hAnsiTheme="minorHAnsi"/>
          <w:szCs w:val="24"/>
        </w:rPr>
        <w:t xml:space="preserve"> et al. 2002). Workers with existing work-related health problems may have reporting behaviors </w:t>
      </w:r>
      <w:r w:rsidR="00F06883">
        <w:rPr>
          <w:rFonts w:asciiTheme="minorHAnsi" w:hAnsiTheme="minorHAnsi"/>
          <w:szCs w:val="24"/>
        </w:rPr>
        <w:t>strongly influenced by</w:t>
      </w:r>
      <w:r w:rsidR="00964E0E">
        <w:rPr>
          <w:rFonts w:asciiTheme="minorHAnsi" w:hAnsiTheme="minorHAnsi"/>
          <w:szCs w:val="24"/>
        </w:rPr>
        <w:t xml:space="preserve"> their awareness of the obstac</w:t>
      </w:r>
      <w:r w:rsidR="00CF2CF6">
        <w:rPr>
          <w:rFonts w:asciiTheme="minorHAnsi" w:hAnsiTheme="minorHAnsi"/>
          <w:szCs w:val="24"/>
        </w:rPr>
        <w:t>le</w:t>
      </w:r>
      <w:r w:rsidR="00964E0E">
        <w:rPr>
          <w:rFonts w:asciiTheme="minorHAnsi" w:hAnsiTheme="minorHAnsi"/>
          <w:szCs w:val="24"/>
        </w:rPr>
        <w:t>s</w:t>
      </w:r>
      <w:r w:rsidR="00CF2CF6">
        <w:rPr>
          <w:rFonts w:asciiTheme="minorHAnsi" w:hAnsiTheme="minorHAnsi"/>
          <w:szCs w:val="24"/>
        </w:rPr>
        <w:t xml:space="preserve"> or </w:t>
      </w:r>
      <w:r w:rsidR="008C7E6E">
        <w:rPr>
          <w:rFonts w:asciiTheme="minorHAnsi" w:hAnsiTheme="minorHAnsi"/>
          <w:szCs w:val="24"/>
        </w:rPr>
        <w:t>their</w:t>
      </w:r>
      <w:r w:rsidR="00F06883">
        <w:rPr>
          <w:rFonts w:asciiTheme="minorHAnsi" w:hAnsiTheme="minorHAnsi"/>
          <w:szCs w:val="24"/>
        </w:rPr>
        <w:t xml:space="preserve"> own</w:t>
      </w:r>
      <w:r w:rsidR="008C7E6E">
        <w:rPr>
          <w:rFonts w:asciiTheme="minorHAnsi" w:hAnsiTheme="minorHAnsi"/>
          <w:szCs w:val="24"/>
        </w:rPr>
        <w:t xml:space="preserve"> experiences</w:t>
      </w:r>
      <w:r w:rsidR="00CF2CF6">
        <w:rPr>
          <w:rFonts w:asciiTheme="minorHAnsi" w:hAnsiTheme="minorHAnsi"/>
          <w:szCs w:val="24"/>
        </w:rPr>
        <w:t>.</w:t>
      </w:r>
      <w:r w:rsidR="00964E0E">
        <w:rPr>
          <w:rFonts w:asciiTheme="minorHAnsi" w:hAnsiTheme="minorHAnsi"/>
          <w:szCs w:val="24"/>
        </w:rPr>
        <w:t xml:space="preserve"> </w:t>
      </w:r>
      <w:r w:rsidR="00F06883">
        <w:rPr>
          <w:rFonts w:asciiTheme="minorHAnsi" w:hAnsiTheme="minorHAnsi"/>
          <w:szCs w:val="24"/>
        </w:rPr>
        <w:t xml:space="preserve">Evaluation of reporting biases related to these health conditions </w:t>
      </w:r>
      <w:r w:rsidR="008C7E6E">
        <w:rPr>
          <w:rFonts w:asciiTheme="minorHAnsi" w:hAnsiTheme="minorHAnsi"/>
          <w:szCs w:val="24"/>
        </w:rPr>
        <w:t xml:space="preserve">will </w:t>
      </w:r>
      <w:r w:rsidR="00AA0BB1">
        <w:rPr>
          <w:rFonts w:asciiTheme="minorHAnsi" w:hAnsiTheme="minorHAnsi"/>
          <w:szCs w:val="24"/>
        </w:rPr>
        <w:t>provide</w:t>
      </w:r>
      <w:r w:rsidR="008C7E6E">
        <w:rPr>
          <w:rFonts w:asciiTheme="minorHAnsi" w:hAnsiTheme="minorHAnsi"/>
          <w:szCs w:val="24"/>
        </w:rPr>
        <w:t xml:space="preserve"> important new information, not available elsewhere.</w:t>
      </w:r>
      <w:bookmarkStart w:id="9" w:name="_Toc296089968"/>
    </w:p>
    <w:p w:rsidR="006E2FEC" w:rsidRPr="00C221CF" w:rsidRDefault="005B0AE1" w:rsidP="00C221CF">
      <w:pPr>
        <w:pStyle w:val="L1-FlLSp12"/>
        <w:tabs>
          <w:tab w:val="left" w:pos="720"/>
        </w:tabs>
        <w:spacing w:after="0" w:line="276" w:lineRule="auto"/>
        <w:ind w:firstLine="360"/>
        <w:rPr>
          <w:rFonts w:asciiTheme="minorHAnsi" w:hAnsiTheme="minorHAnsi" w:cs="Times New Roman"/>
        </w:rPr>
      </w:pPr>
      <w:r w:rsidRPr="00C221CF">
        <w:rPr>
          <w:rFonts w:asciiTheme="minorHAnsi" w:hAnsiTheme="minorHAnsi" w:cs="Times New Roman"/>
        </w:rPr>
        <w:t>NIOSH is currently working on a second underreporting project using</w:t>
      </w:r>
      <w:r w:rsidR="00C221CF">
        <w:rPr>
          <w:rFonts w:asciiTheme="minorHAnsi" w:hAnsiTheme="minorHAnsi" w:cs="Times New Roman"/>
        </w:rPr>
        <w:t xml:space="preserve"> </w:t>
      </w:r>
      <w:r w:rsidRPr="00C221CF">
        <w:rPr>
          <w:rFonts w:asciiTheme="minorHAnsi" w:hAnsiTheme="minorHAnsi" w:cs="Times New Roman"/>
        </w:rPr>
        <w:t xml:space="preserve">NEISS-Work </w:t>
      </w:r>
      <w:r w:rsidR="005B5EC1" w:rsidRPr="00C221CF">
        <w:rPr>
          <w:rFonts w:asciiTheme="minorHAnsi" w:hAnsiTheme="minorHAnsi" w:cs="Times New Roman"/>
        </w:rPr>
        <w:t xml:space="preserve">and the NEISS All Injury Program Supplement (NEISS-AIP) </w:t>
      </w:r>
      <w:r w:rsidRPr="00C221CF">
        <w:rPr>
          <w:rFonts w:asciiTheme="minorHAnsi" w:hAnsiTheme="minorHAnsi" w:cs="Times New Roman"/>
        </w:rPr>
        <w:t xml:space="preserve">to obtain data on the characteristics of individuals </w:t>
      </w:r>
      <w:r w:rsidR="008075A9" w:rsidRPr="00C221CF">
        <w:rPr>
          <w:rFonts w:asciiTheme="minorHAnsi" w:hAnsiTheme="minorHAnsi" w:cs="Times New Roman"/>
        </w:rPr>
        <w:t xml:space="preserve">who were treated in the ED for an apparent work-related injury (NEISS-Work) and individuals who were treated for an apparent non-work-related injury but who were employed at the time they were injured (NEISS-AIP). </w:t>
      </w:r>
      <w:r w:rsidRPr="00C221CF">
        <w:rPr>
          <w:rFonts w:asciiTheme="minorHAnsi" w:hAnsiTheme="minorHAnsi" w:cs="Times New Roman"/>
        </w:rPr>
        <w:t xml:space="preserve">This second project </w:t>
      </w:r>
      <w:r w:rsidR="004F02A7">
        <w:rPr>
          <w:rFonts w:asciiTheme="minorHAnsi" w:hAnsiTheme="minorHAnsi" w:cs="Times New Roman"/>
        </w:rPr>
        <w:t xml:space="preserve">is </w:t>
      </w:r>
      <w:r w:rsidR="006E2FEC" w:rsidRPr="00C221CF">
        <w:rPr>
          <w:rFonts w:asciiTheme="minorHAnsi" w:hAnsiTheme="minorHAnsi" w:cs="Times New Roman"/>
        </w:rPr>
        <w:t>r</w:t>
      </w:r>
      <w:r w:rsidRPr="00C221CF">
        <w:rPr>
          <w:rFonts w:asciiTheme="minorHAnsi" w:hAnsiTheme="minorHAnsi" w:cs="Times New Roman"/>
        </w:rPr>
        <w:t xml:space="preserve">eferred to as the </w:t>
      </w:r>
      <w:r w:rsidR="006E2FEC" w:rsidRPr="00C221CF">
        <w:rPr>
          <w:rFonts w:asciiTheme="minorHAnsi" w:hAnsiTheme="minorHAnsi" w:cs="Times New Roman"/>
        </w:rPr>
        <w:t>Barriers</w:t>
      </w:r>
      <w:r w:rsidR="005B5EC1" w:rsidRPr="00C221CF">
        <w:rPr>
          <w:rFonts w:asciiTheme="minorHAnsi" w:hAnsiTheme="minorHAnsi" w:cs="Times New Roman"/>
        </w:rPr>
        <w:t xml:space="preserve"> project (OMB 0920-11JY</w:t>
      </w:r>
      <w:r w:rsidRPr="00C221CF">
        <w:rPr>
          <w:rFonts w:asciiTheme="minorHAnsi" w:hAnsiTheme="minorHAnsi" w:cs="Times New Roman"/>
        </w:rPr>
        <w:t xml:space="preserve">). These studies are different in several important ways. First, this project, </w:t>
      </w:r>
      <w:r w:rsidR="006E2FEC" w:rsidRPr="00C221CF">
        <w:rPr>
          <w:rFonts w:asciiTheme="minorHAnsi" w:hAnsiTheme="minorHAnsi" w:cs="Times New Roman"/>
        </w:rPr>
        <w:t>the Underreporting project, focuses on reporting behaviors and the existence of work-related health problems</w:t>
      </w:r>
      <w:r w:rsidR="00C5001F">
        <w:rPr>
          <w:rFonts w:asciiTheme="minorHAnsi" w:hAnsiTheme="minorHAnsi" w:cs="Times New Roman"/>
        </w:rPr>
        <w:t xml:space="preserve"> that may have an influence on reporting</w:t>
      </w:r>
      <w:r w:rsidR="006E2FEC" w:rsidRPr="00C221CF">
        <w:rPr>
          <w:rFonts w:asciiTheme="minorHAnsi" w:hAnsiTheme="minorHAnsi" w:cs="Times New Roman"/>
        </w:rPr>
        <w:t xml:space="preserve">, while </w:t>
      </w:r>
      <w:r w:rsidRPr="00C221CF">
        <w:rPr>
          <w:rFonts w:asciiTheme="minorHAnsi" w:hAnsiTheme="minorHAnsi" w:cs="Times New Roman"/>
        </w:rPr>
        <w:t xml:space="preserve">the Barriers project is primarily concerned with the barriers and incentives to reporting work-related injuries. </w:t>
      </w:r>
      <w:r w:rsidR="004F02A7" w:rsidRPr="00C221CF">
        <w:rPr>
          <w:rFonts w:asciiTheme="minorHAnsi" w:hAnsiTheme="minorHAnsi" w:cs="Times New Roman"/>
        </w:rPr>
        <w:t>The sample for the Underreporting survey will be different from the Barriers as well as much larger (n=~3,000). </w:t>
      </w:r>
      <w:r w:rsidR="006E2FEC" w:rsidRPr="00C221CF">
        <w:rPr>
          <w:rFonts w:asciiTheme="minorHAnsi" w:hAnsiTheme="minorHAnsi" w:cs="Times New Roman"/>
        </w:rPr>
        <w:t>The Barriers survey is only targeting work-related injuries and is being conducted as a pilot study with a small sample (n=600).  Specific differences in sampling populations are as follows:</w:t>
      </w:r>
    </w:p>
    <w:p w:rsidR="006E2FEC" w:rsidRPr="00C221CF" w:rsidRDefault="006E2FEC" w:rsidP="004F02A7">
      <w:pPr>
        <w:rPr>
          <w:rFonts w:cs="Times New Roman"/>
          <w:sz w:val="24"/>
        </w:rPr>
      </w:pPr>
    </w:p>
    <w:p w:rsidR="006E2FEC" w:rsidRPr="00C221CF" w:rsidRDefault="006E2FEC" w:rsidP="00C221CF">
      <w:pPr>
        <w:numPr>
          <w:ilvl w:val="0"/>
          <w:numId w:val="7"/>
        </w:numPr>
        <w:spacing w:after="0"/>
        <w:rPr>
          <w:rFonts w:cs="Times New Roman"/>
          <w:sz w:val="24"/>
        </w:rPr>
      </w:pPr>
      <w:r w:rsidRPr="00C221CF">
        <w:rPr>
          <w:rFonts w:cs="Times New Roman"/>
          <w:sz w:val="24"/>
        </w:rPr>
        <w:t xml:space="preserve">The </w:t>
      </w:r>
      <w:r w:rsidR="004F02A7" w:rsidRPr="00C221CF">
        <w:rPr>
          <w:rFonts w:cs="Times New Roman"/>
          <w:sz w:val="24"/>
        </w:rPr>
        <w:t>Underreporting</w:t>
      </w:r>
      <w:r w:rsidRPr="00C221CF">
        <w:rPr>
          <w:rFonts w:cs="Times New Roman"/>
          <w:sz w:val="24"/>
        </w:rPr>
        <w:t xml:space="preserve"> survey will oversample self-employed workers and will include all other workers with work-related injuries and illnesses from NEISS-Work. This survey will also include </w:t>
      </w:r>
      <w:r w:rsidR="004F02A7" w:rsidRPr="00C221CF">
        <w:rPr>
          <w:rFonts w:cs="Times New Roman"/>
          <w:sz w:val="24"/>
        </w:rPr>
        <w:t>Spanish-speaking</w:t>
      </w:r>
      <w:r w:rsidRPr="00C221CF">
        <w:rPr>
          <w:rFonts w:cs="Times New Roman"/>
          <w:sz w:val="24"/>
        </w:rPr>
        <w:t xml:space="preserve"> workers. A Spanish version of this questionnaire </w:t>
      </w:r>
      <w:r w:rsidR="004F02A7" w:rsidRPr="00C221CF">
        <w:rPr>
          <w:rFonts w:cs="Times New Roman"/>
          <w:sz w:val="24"/>
        </w:rPr>
        <w:t>is</w:t>
      </w:r>
      <w:r w:rsidRPr="00C221CF">
        <w:rPr>
          <w:rFonts w:cs="Times New Roman"/>
          <w:sz w:val="24"/>
        </w:rPr>
        <w:t xml:space="preserve"> included in </w:t>
      </w:r>
      <w:r w:rsidR="004F02A7" w:rsidRPr="00C221CF">
        <w:rPr>
          <w:rFonts w:cs="Times New Roman"/>
          <w:sz w:val="24"/>
        </w:rPr>
        <w:t>Appendix G</w:t>
      </w:r>
      <w:r w:rsidRPr="00C221CF">
        <w:rPr>
          <w:rFonts w:cs="Times New Roman"/>
          <w:sz w:val="24"/>
        </w:rPr>
        <w:t>.</w:t>
      </w:r>
    </w:p>
    <w:p w:rsidR="006E2FEC" w:rsidRPr="00C221CF" w:rsidRDefault="006E2FEC" w:rsidP="00C221CF">
      <w:pPr>
        <w:numPr>
          <w:ilvl w:val="0"/>
          <w:numId w:val="7"/>
        </w:numPr>
        <w:spacing w:after="0"/>
        <w:rPr>
          <w:rFonts w:cs="Times New Roman"/>
          <w:sz w:val="24"/>
        </w:rPr>
      </w:pPr>
      <w:r w:rsidRPr="00C221CF">
        <w:rPr>
          <w:rFonts w:cs="Times New Roman"/>
          <w:sz w:val="24"/>
        </w:rPr>
        <w:t>The Barriers survey on the other hand will not include illnesses, self-employed workers, farm workers, or Spanish speaking workers</w:t>
      </w:r>
      <w:r w:rsidR="004F02A7" w:rsidRPr="00C221CF">
        <w:rPr>
          <w:rFonts w:cs="Times New Roman"/>
          <w:sz w:val="24"/>
        </w:rPr>
        <w:t>. As stated above, this project incorporates individuals treated in the ED for both work-related and non-work-related injuries, which will allow researchers to explore if the barriers and incentives to reporting work-related injuries differ based on ED visit type.</w:t>
      </w:r>
    </w:p>
    <w:p w:rsidR="004F02A7" w:rsidRPr="00C221CF" w:rsidRDefault="004F02A7" w:rsidP="00C221CF">
      <w:pPr>
        <w:spacing w:after="0"/>
        <w:rPr>
          <w:rFonts w:cs="Times New Roman"/>
          <w:sz w:val="24"/>
        </w:rPr>
      </w:pPr>
    </w:p>
    <w:p w:rsidR="006E2FEC" w:rsidRPr="004F02A7" w:rsidRDefault="006E2FEC" w:rsidP="004F02A7">
      <w:pPr>
        <w:pStyle w:val="L1-FlLSp12"/>
        <w:tabs>
          <w:tab w:val="clear" w:pos="1152"/>
          <w:tab w:val="left" w:pos="720"/>
        </w:tabs>
        <w:spacing w:after="0" w:line="276" w:lineRule="auto"/>
        <w:ind w:firstLine="360"/>
        <w:rPr>
          <w:rFonts w:asciiTheme="minorHAnsi" w:hAnsiTheme="minorHAnsi" w:cs="Times New Roman"/>
        </w:rPr>
      </w:pPr>
      <w:r w:rsidRPr="00C221CF">
        <w:rPr>
          <w:rFonts w:asciiTheme="minorHAnsi" w:hAnsiTheme="minorHAnsi" w:cs="Times New Roman"/>
        </w:rPr>
        <w:lastRenderedPageBreak/>
        <w:t>While we acknowledge that there are some redundancies in the questionnaires, there are also significant differences in the questionnaires based on the goals of the individual surveys. </w:t>
      </w:r>
    </w:p>
    <w:p w:rsidR="0006255C" w:rsidRDefault="0006255C" w:rsidP="0006255C">
      <w:pPr>
        <w:pStyle w:val="L1-FlLSp12"/>
        <w:tabs>
          <w:tab w:val="left" w:pos="720"/>
        </w:tabs>
        <w:spacing w:after="0" w:line="276" w:lineRule="auto"/>
        <w:ind w:firstLine="360"/>
        <w:rPr>
          <w:b/>
        </w:rPr>
      </w:pPr>
    </w:p>
    <w:p w:rsidR="004C4C43" w:rsidRDefault="004C4C43" w:rsidP="00545D7C">
      <w:pPr>
        <w:pStyle w:val="L1-FlLSp12"/>
        <w:tabs>
          <w:tab w:val="clear" w:pos="1152"/>
          <w:tab w:val="left" w:pos="720"/>
        </w:tabs>
        <w:spacing w:after="0" w:line="276" w:lineRule="auto"/>
        <w:outlineLvl w:val="1"/>
        <w:rPr>
          <w:rFonts w:asciiTheme="minorHAnsi" w:hAnsiTheme="minorHAnsi" w:cs="Times New Roman"/>
          <w:b/>
        </w:rPr>
      </w:pPr>
      <w:r w:rsidRPr="00967DC6">
        <w:rPr>
          <w:rFonts w:asciiTheme="minorHAnsi" w:hAnsiTheme="minorHAnsi" w:cs="Times New Roman"/>
          <w:b/>
        </w:rPr>
        <w:t>A.5.</w:t>
      </w:r>
      <w:r w:rsidRPr="00967DC6">
        <w:rPr>
          <w:rFonts w:asciiTheme="minorHAnsi" w:hAnsiTheme="minorHAnsi" w:cs="Times New Roman"/>
          <w:b/>
        </w:rPr>
        <w:tab/>
        <w:t>Impact on Small Businesses or Other Small Entities</w:t>
      </w:r>
      <w:bookmarkEnd w:id="9"/>
    </w:p>
    <w:p w:rsidR="001028B0" w:rsidRPr="00967DC6" w:rsidRDefault="001028B0" w:rsidP="00545D7C">
      <w:pPr>
        <w:pStyle w:val="L1-FlLSp12"/>
        <w:tabs>
          <w:tab w:val="clear" w:pos="1152"/>
          <w:tab w:val="left" w:pos="720"/>
        </w:tabs>
        <w:spacing w:after="0" w:line="276" w:lineRule="auto"/>
        <w:outlineLvl w:val="1"/>
        <w:rPr>
          <w:rFonts w:asciiTheme="minorHAnsi" w:hAnsiTheme="minorHAnsi" w:cs="Times New Roman"/>
        </w:rPr>
      </w:pPr>
    </w:p>
    <w:p w:rsidR="004C4C43" w:rsidRPr="00967DC6" w:rsidRDefault="004C4C43" w:rsidP="00967DC6">
      <w:pPr>
        <w:pStyle w:val="L1-FlLSp12"/>
        <w:tabs>
          <w:tab w:val="clear" w:pos="1152"/>
          <w:tab w:val="left" w:pos="720"/>
        </w:tabs>
        <w:spacing w:after="0" w:line="276" w:lineRule="auto"/>
        <w:ind w:firstLine="360"/>
        <w:rPr>
          <w:rFonts w:asciiTheme="minorHAnsi" w:hAnsiTheme="minorHAnsi" w:cs="Times New Roman"/>
        </w:rPr>
      </w:pPr>
      <w:r w:rsidRPr="00967DC6">
        <w:rPr>
          <w:rFonts w:asciiTheme="minorHAnsi" w:hAnsiTheme="minorHAnsi" w:cs="Times New Roman"/>
        </w:rPr>
        <w:t>No small businesses will be involved in this data collection.</w:t>
      </w:r>
    </w:p>
    <w:p w:rsidR="004C4C43" w:rsidRPr="00967DC6" w:rsidRDefault="004C4C43" w:rsidP="004C4C43">
      <w:pPr>
        <w:pStyle w:val="L1-FlLSp12"/>
        <w:tabs>
          <w:tab w:val="clear" w:pos="1152"/>
          <w:tab w:val="left" w:pos="720"/>
        </w:tabs>
        <w:spacing w:after="0" w:line="276" w:lineRule="auto"/>
        <w:rPr>
          <w:rFonts w:asciiTheme="minorHAnsi" w:hAnsiTheme="minorHAnsi" w:cs="Times New Roman"/>
        </w:rPr>
      </w:pPr>
    </w:p>
    <w:p w:rsidR="004C4C43" w:rsidRDefault="004C4C43" w:rsidP="00545D7C">
      <w:pPr>
        <w:pStyle w:val="L1-FlLSp12"/>
        <w:tabs>
          <w:tab w:val="clear" w:pos="1152"/>
          <w:tab w:val="left" w:pos="720"/>
        </w:tabs>
        <w:spacing w:after="0" w:line="276" w:lineRule="auto"/>
        <w:outlineLvl w:val="1"/>
        <w:rPr>
          <w:rFonts w:asciiTheme="minorHAnsi" w:hAnsiTheme="minorHAnsi" w:cs="Times New Roman"/>
          <w:b/>
        </w:rPr>
      </w:pPr>
      <w:bookmarkStart w:id="10" w:name="_Toc296089969"/>
      <w:r w:rsidRPr="00967DC6">
        <w:rPr>
          <w:rFonts w:asciiTheme="minorHAnsi" w:hAnsiTheme="minorHAnsi" w:cs="Times New Roman"/>
          <w:b/>
        </w:rPr>
        <w:t xml:space="preserve">A.6. </w:t>
      </w:r>
      <w:r w:rsidRPr="00967DC6">
        <w:rPr>
          <w:rFonts w:asciiTheme="minorHAnsi" w:hAnsiTheme="minorHAnsi" w:cs="Times New Roman"/>
          <w:b/>
        </w:rPr>
        <w:tab/>
        <w:t>Consequences of Collecting the Information Less Frequently</w:t>
      </w:r>
      <w:bookmarkEnd w:id="10"/>
    </w:p>
    <w:p w:rsidR="001028B0" w:rsidRPr="00967DC6" w:rsidRDefault="001028B0" w:rsidP="00545D7C">
      <w:pPr>
        <w:pStyle w:val="L1-FlLSp12"/>
        <w:tabs>
          <w:tab w:val="clear" w:pos="1152"/>
          <w:tab w:val="left" w:pos="720"/>
        </w:tabs>
        <w:spacing w:after="0" w:line="276" w:lineRule="auto"/>
        <w:outlineLvl w:val="1"/>
        <w:rPr>
          <w:rFonts w:asciiTheme="minorHAnsi" w:hAnsiTheme="minorHAnsi" w:cs="Times New Roman"/>
        </w:rPr>
      </w:pPr>
    </w:p>
    <w:p w:rsidR="004C4C43" w:rsidRPr="00FF4699" w:rsidRDefault="004C4C43" w:rsidP="004C4C43">
      <w:pPr>
        <w:pStyle w:val="L1-FlLSp12"/>
        <w:tabs>
          <w:tab w:val="clear" w:pos="1152"/>
          <w:tab w:val="left" w:pos="720"/>
        </w:tabs>
        <w:spacing w:after="0" w:line="276" w:lineRule="auto"/>
        <w:ind w:firstLine="360"/>
        <w:rPr>
          <w:rFonts w:asciiTheme="minorHAnsi" w:hAnsiTheme="minorHAnsi" w:cs="Times New Roman"/>
        </w:rPr>
      </w:pPr>
      <w:r w:rsidRPr="00967DC6">
        <w:rPr>
          <w:rFonts w:asciiTheme="minorHAnsi" w:hAnsiTheme="minorHAnsi" w:cs="Times New Roman"/>
        </w:rPr>
        <w:t xml:space="preserve">Without collection of these data, NIOSH will not be able to meet Congress’ request for </w:t>
      </w:r>
      <w:r w:rsidR="00D53295" w:rsidRPr="00967DC6">
        <w:rPr>
          <w:rFonts w:asciiTheme="minorHAnsi" w:hAnsiTheme="minorHAnsi" w:cs="Times New Roman"/>
        </w:rPr>
        <w:t>follow-up studies on “the underreporting of worker injury data, particularly focusing on the</w:t>
      </w:r>
      <w:r w:rsidR="00D53295">
        <w:rPr>
          <w:rFonts w:asciiTheme="minorHAnsi" w:hAnsiTheme="minorHAnsi" w:cs="Times New Roman"/>
        </w:rPr>
        <w:t xml:space="preserve"> self-employed population.” Consequently, </w:t>
      </w:r>
      <w:r w:rsidR="00FF4699">
        <w:rPr>
          <w:rFonts w:asciiTheme="minorHAnsi" w:hAnsiTheme="minorHAnsi" w:cs="Times New Roman"/>
        </w:rPr>
        <w:t xml:space="preserve">the probable undercounting of workplace injuries and illnesses will persist and </w:t>
      </w:r>
      <w:r w:rsidR="00D53295">
        <w:rPr>
          <w:rFonts w:asciiTheme="minorHAnsi" w:hAnsiTheme="minorHAnsi" w:cs="Times New Roman"/>
        </w:rPr>
        <w:t xml:space="preserve">programs to increase reporting of workplace injuries </w:t>
      </w:r>
      <w:r w:rsidR="008937B3">
        <w:rPr>
          <w:rFonts w:asciiTheme="minorHAnsi" w:hAnsiTheme="minorHAnsi" w:cs="Times New Roman"/>
        </w:rPr>
        <w:t xml:space="preserve">and illnesses </w:t>
      </w:r>
      <w:r w:rsidR="00D53295">
        <w:rPr>
          <w:rFonts w:asciiTheme="minorHAnsi" w:hAnsiTheme="minorHAnsi" w:cs="Times New Roman"/>
        </w:rPr>
        <w:t>will continue to lack the data needed to appropriately target program activities. Each respondent will be asked to complete the questionnaire one time for a designated ED-treated injury</w:t>
      </w:r>
      <w:r w:rsidR="00D53295" w:rsidRPr="00FF4699">
        <w:rPr>
          <w:rFonts w:asciiTheme="minorHAnsi" w:hAnsiTheme="minorHAnsi" w:cs="Times New Roman"/>
        </w:rPr>
        <w:t xml:space="preserve">. </w:t>
      </w:r>
      <w:r w:rsidR="00F14403" w:rsidRPr="00FF4699">
        <w:rPr>
          <w:rFonts w:asciiTheme="minorHAnsi" w:hAnsiTheme="minorHAnsi" w:cs="Times New Roman"/>
        </w:rPr>
        <w:t>There are no legal obstacles to reduce the burden</w:t>
      </w:r>
      <w:r w:rsidR="00D53295" w:rsidRPr="00FF4699">
        <w:rPr>
          <w:rFonts w:asciiTheme="minorHAnsi" w:hAnsiTheme="minorHAnsi" w:cs="Times New Roman"/>
        </w:rPr>
        <w:t>.</w:t>
      </w:r>
    </w:p>
    <w:p w:rsidR="004C4C43" w:rsidRPr="004C4C43" w:rsidRDefault="004C4C43" w:rsidP="004C4C43">
      <w:pPr>
        <w:pStyle w:val="L1-FlLSp12"/>
        <w:tabs>
          <w:tab w:val="clear" w:pos="1152"/>
          <w:tab w:val="left" w:pos="720"/>
        </w:tabs>
        <w:spacing w:after="0" w:line="276" w:lineRule="auto"/>
        <w:rPr>
          <w:rFonts w:asciiTheme="minorHAnsi" w:hAnsiTheme="minorHAnsi" w:cs="Times New Roman"/>
        </w:rPr>
      </w:pPr>
    </w:p>
    <w:p w:rsidR="004C4C43" w:rsidRDefault="004C4C43" w:rsidP="00545D7C">
      <w:pPr>
        <w:pStyle w:val="L1-FlLSp12"/>
        <w:tabs>
          <w:tab w:val="clear" w:pos="1152"/>
          <w:tab w:val="left" w:pos="720"/>
        </w:tabs>
        <w:spacing w:after="0" w:line="276" w:lineRule="auto"/>
        <w:outlineLvl w:val="1"/>
        <w:rPr>
          <w:rFonts w:asciiTheme="minorHAnsi" w:hAnsiTheme="minorHAnsi" w:cs="Times New Roman"/>
          <w:b/>
        </w:rPr>
      </w:pPr>
      <w:bookmarkStart w:id="11" w:name="_Toc296089970"/>
      <w:r>
        <w:rPr>
          <w:rFonts w:asciiTheme="minorHAnsi" w:hAnsiTheme="minorHAnsi" w:cs="Times New Roman"/>
          <w:b/>
        </w:rPr>
        <w:t>A.7.</w:t>
      </w:r>
      <w:r>
        <w:rPr>
          <w:rFonts w:asciiTheme="minorHAnsi" w:hAnsiTheme="minorHAnsi" w:cs="Times New Roman"/>
          <w:b/>
        </w:rPr>
        <w:tab/>
        <w:t>Special Circumstances Relating to the Guidelines of 5 CFR 1320.5</w:t>
      </w:r>
      <w:bookmarkEnd w:id="11"/>
    </w:p>
    <w:p w:rsidR="001028B0" w:rsidRPr="004C4C43" w:rsidRDefault="001028B0" w:rsidP="00545D7C">
      <w:pPr>
        <w:pStyle w:val="L1-FlLSp12"/>
        <w:tabs>
          <w:tab w:val="clear" w:pos="1152"/>
          <w:tab w:val="left" w:pos="720"/>
        </w:tabs>
        <w:spacing w:after="0" w:line="276" w:lineRule="auto"/>
        <w:outlineLvl w:val="1"/>
        <w:rPr>
          <w:rFonts w:asciiTheme="minorHAnsi" w:hAnsiTheme="minorHAnsi" w:cs="Times New Roman"/>
          <w:b/>
          <w:szCs w:val="24"/>
        </w:rPr>
      </w:pPr>
    </w:p>
    <w:p w:rsidR="00691B81" w:rsidRDefault="00D53295" w:rsidP="00691B81">
      <w:pPr>
        <w:pStyle w:val="L1-FlLSp12"/>
        <w:tabs>
          <w:tab w:val="clear" w:pos="1152"/>
          <w:tab w:val="left" w:pos="720"/>
        </w:tabs>
        <w:spacing w:after="0" w:line="276" w:lineRule="auto"/>
        <w:ind w:firstLine="360"/>
        <w:rPr>
          <w:rFonts w:asciiTheme="minorHAnsi" w:hAnsiTheme="minorHAnsi" w:cs="Times New Roman"/>
          <w:szCs w:val="24"/>
          <w:lang w:eastAsia="ja-JP"/>
        </w:rPr>
      </w:pPr>
      <w:r>
        <w:rPr>
          <w:rFonts w:asciiTheme="minorHAnsi" w:hAnsiTheme="minorHAnsi" w:cs="Times New Roman"/>
          <w:szCs w:val="24"/>
          <w:lang w:eastAsia="ja-JP"/>
        </w:rPr>
        <w:t>Having reviewed all specific circumstances related to the guidelines of 5 CFR 1320.5, we believe that this request fully complies with the regulation 5 CFR 1320.5.</w:t>
      </w:r>
    </w:p>
    <w:p w:rsidR="00D53295" w:rsidRDefault="002C7994" w:rsidP="00691B81">
      <w:pPr>
        <w:pStyle w:val="L1-FlLSp12"/>
        <w:tabs>
          <w:tab w:val="clear" w:pos="1152"/>
          <w:tab w:val="left" w:pos="720"/>
        </w:tabs>
        <w:spacing w:after="0" w:line="276" w:lineRule="auto"/>
        <w:ind w:firstLine="360"/>
        <w:rPr>
          <w:rFonts w:asciiTheme="minorHAnsi" w:hAnsiTheme="minorHAnsi" w:cs="Times New Roman"/>
          <w:szCs w:val="24"/>
          <w:lang w:eastAsia="ja-JP"/>
        </w:rPr>
      </w:pPr>
      <w:r>
        <w:rPr>
          <w:rFonts w:asciiTheme="minorHAnsi" w:hAnsiTheme="minorHAnsi" w:cs="Times New Roman"/>
          <w:szCs w:val="24"/>
          <w:lang w:eastAsia="ja-JP"/>
        </w:rPr>
        <w:t xml:space="preserve">There is a very small possibility that a worker could be sampled twice because they incurred two or more work-related injuries and illnesses that were treated in a NEISS-Work-associated ED hospital on multiple dates within one year. Should this happen, they would be offered the chance to complete the telephone interview for each of the separate injuries, but they would not be required to do so as the respondent will always maintain the right to refuse participation. We suspect that the likelihood of a respondent participating twice is very small given that </w:t>
      </w:r>
      <w:r w:rsidR="00BB78FD">
        <w:rPr>
          <w:rFonts w:asciiTheme="minorHAnsi" w:hAnsiTheme="minorHAnsi" w:cs="Times New Roman"/>
          <w:szCs w:val="24"/>
          <w:lang w:eastAsia="ja-JP"/>
        </w:rPr>
        <w:t>NEISS-Work does not capture cases seen in the ED that are deemed to be follow-up related to the original injury.</w:t>
      </w:r>
    </w:p>
    <w:p w:rsidR="00476EB4" w:rsidRDefault="00476EB4" w:rsidP="00545D7C">
      <w:pPr>
        <w:pStyle w:val="L1-FlLSp12"/>
        <w:tabs>
          <w:tab w:val="clear" w:pos="1152"/>
          <w:tab w:val="left" w:pos="720"/>
        </w:tabs>
        <w:spacing w:after="0" w:line="276" w:lineRule="auto"/>
        <w:outlineLvl w:val="1"/>
        <w:rPr>
          <w:rFonts w:asciiTheme="minorHAnsi" w:hAnsiTheme="minorHAnsi" w:cs="Times New Roman"/>
          <w:b/>
          <w:szCs w:val="24"/>
          <w:lang w:eastAsia="ja-JP"/>
        </w:rPr>
      </w:pPr>
      <w:bookmarkStart w:id="12" w:name="_Toc296089971"/>
    </w:p>
    <w:p w:rsidR="008671D6" w:rsidRDefault="008671D6" w:rsidP="00545D7C">
      <w:pPr>
        <w:pStyle w:val="L1-FlLSp12"/>
        <w:tabs>
          <w:tab w:val="clear" w:pos="1152"/>
          <w:tab w:val="left" w:pos="720"/>
        </w:tabs>
        <w:spacing w:after="0" w:line="276" w:lineRule="auto"/>
        <w:outlineLvl w:val="1"/>
        <w:rPr>
          <w:rFonts w:asciiTheme="minorHAnsi" w:hAnsiTheme="minorHAnsi" w:cs="Times New Roman"/>
          <w:b/>
          <w:szCs w:val="24"/>
          <w:lang w:eastAsia="ja-JP"/>
        </w:rPr>
      </w:pPr>
      <w:r>
        <w:rPr>
          <w:rFonts w:asciiTheme="minorHAnsi" w:hAnsiTheme="minorHAnsi" w:cs="Times New Roman"/>
          <w:b/>
          <w:szCs w:val="24"/>
          <w:lang w:eastAsia="ja-JP"/>
        </w:rPr>
        <w:t>A.8.</w:t>
      </w:r>
      <w:r>
        <w:rPr>
          <w:rFonts w:asciiTheme="minorHAnsi" w:hAnsiTheme="minorHAnsi" w:cs="Times New Roman"/>
          <w:b/>
          <w:szCs w:val="24"/>
          <w:lang w:eastAsia="ja-JP"/>
        </w:rPr>
        <w:tab/>
        <w:t>Comments in Response to the Federal Register Notice and Efforts to Consult Outside the Agency</w:t>
      </w:r>
      <w:bookmarkEnd w:id="12"/>
    </w:p>
    <w:p w:rsidR="001028B0" w:rsidRDefault="001028B0" w:rsidP="00545D7C">
      <w:pPr>
        <w:pStyle w:val="L1-FlLSp12"/>
        <w:tabs>
          <w:tab w:val="clear" w:pos="1152"/>
          <w:tab w:val="left" w:pos="720"/>
        </w:tabs>
        <w:spacing w:after="0" w:line="276" w:lineRule="auto"/>
        <w:outlineLvl w:val="2"/>
        <w:rPr>
          <w:rFonts w:asciiTheme="minorHAnsi" w:hAnsiTheme="minorHAnsi" w:cs="Times New Roman"/>
          <w:b/>
          <w:szCs w:val="24"/>
          <w:u w:val="single"/>
          <w:lang w:eastAsia="ja-JP"/>
        </w:rPr>
      </w:pPr>
      <w:bookmarkStart w:id="13" w:name="_Toc296089972"/>
    </w:p>
    <w:p w:rsidR="008671D6" w:rsidRDefault="008671D6" w:rsidP="00545D7C">
      <w:pPr>
        <w:pStyle w:val="L1-FlLSp12"/>
        <w:tabs>
          <w:tab w:val="clear" w:pos="1152"/>
          <w:tab w:val="left" w:pos="720"/>
        </w:tabs>
        <w:spacing w:after="0" w:line="276" w:lineRule="auto"/>
        <w:outlineLvl w:val="2"/>
        <w:rPr>
          <w:rFonts w:asciiTheme="minorHAnsi" w:hAnsiTheme="minorHAnsi" w:cs="Times New Roman"/>
          <w:b/>
          <w:szCs w:val="24"/>
          <w:u w:val="single"/>
          <w:lang w:eastAsia="ja-JP"/>
        </w:rPr>
      </w:pPr>
      <w:r w:rsidRPr="001028B0">
        <w:rPr>
          <w:rFonts w:asciiTheme="minorHAnsi" w:hAnsiTheme="minorHAnsi" w:cs="Times New Roman"/>
          <w:b/>
          <w:szCs w:val="24"/>
          <w:u w:val="single"/>
          <w:lang w:eastAsia="ja-JP"/>
        </w:rPr>
        <w:t>60-Day Federal Register Notice Information</w:t>
      </w:r>
      <w:bookmarkEnd w:id="13"/>
    </w:p>
    <w:p w:rsidR="001028B0" w:rsidRPr="001028B0" w:rsidRDefault="001028B0" w:rsidP="00545D7C">
      <w:pPr>
        <w:pStyle w:val="L1-FlLSp12"/>
        <w:tabs>
          <w:tab w:val="clear" w:pos="1152"/>
          <w:tab w:val="left" w:pos="720"/>
        </w:tabs>
        <w:spacing w:after="0" w:line="276" w:lineRule="auto"/>
        <w:outlineLvl w:val="2"/>
        <w:rPr>
          <w:rFonts w:asciiTheme="minorHAnsi" w:hAnsiTheme="minorHAnsi" w:cs="Times New Roman"/>
          <w:szCs w:val="24"/>
          <w:u w:val="single"/>
          <w:lang w:eastAsia="ja-JP"/>
        </w:rPr>
      </w:pPr>
    </w:p>
    <w:p w:rsidR="008671D6" w:rsidRDefault="008671D6" w:rsidP="008671D6">
      <w:pPr>
        <w:pStyle w:val="L1-FlLSp12"/>
        <w:tabs>
          <w:tab w:val="clear" w:pos="1152"/>
          <w:tab w:val="left" w:pos="720"/>
        </w:tabs>
        <w:spacing w:after="0" w:line="276" w:lineRule="auto"/>
        <w:ind w:firstLine="360"/>
        <w:rPr>
          <w:rFonts w:asciiTheme="minorHAnsi" w:hAnsiTheme="minorHAnsi" w:cs="Times New Roman"/>
          <w:szCs w:val="24"/>
          <w:lang w:eastAsia="ja-JP"/>
        </w:rPr>
      </w:pPr>
      <w:r>
        <w:rPr>
          <w:rFonts w:asciiTheme="minorHAnsi" w:hAnsiTheme="minorHAnsi" w:cs="Times New Roman"/>
          <w:szCs w:val="24"/>
          <w:lang w:eastAsia="ja-JP"/>
        </w:rPr>
        <w:t xml:space="preserve">A 60-Day Federal Register Notice is included in this application packet </w:t>
      </w:r>
      <w:r w:rsidR="006F7170">
        <w:rPr>
          <w:rFonts w:asciiTheme="minorHAnsi" w:hAnsiTheme="minorHAnsi" w:cs="Times New Roman"/>
          <w:szCs w:val="24"/>
          <w:lang w:eastAsia="ja-JP"/>
        </w:rPr>
        <w:t xml:space="preserve">(Appendix </w:t>
      </w:r>
      <w:r w:rsidR="00966961">
        <w:rPr>
          <w:rFonts w:asciiTheme="minorHAnsi" w:hAnsiTheme="minorHAnsi" w:cs="Times New Roman"/>
          <w:szCs w:val="24"/>
          <w:lang w:eastAsia="ja-JP"/>
        </w:rPr>
        <w:t>B</w:t>
      </w:r>
      <w:r w:rsidR="006F7170">
        <w:rPr>
          <w:rFonts w:asciiTheme="minorHAnsi" w:hAnsiTheme="minorHAnsi" w:cs="Times New Roman"/>
          <w:szCs w:val="24"/>
          <w:lang w:eastAsia="ja-JP"/>
        </w:rPr>
        <w:t>)</w:t>
      </w:r>
      <w:r>
        <w:rPr>
          <w:rFonts w:asciiTheme="minorHAnsi" w:hAnsiTheme="minorHAnsi" w:cs="Times New Roman"/>
          <w:szCs w:val="24"/>
          <w:lang w:eastAsia="ja-JP"/>
        </w:rPr>
        <w:t xml:space="preserve">. </w:t>
      </w:r>
    </w:p>
    <w:p w:rsidR="008671D6" w:rsidRDefault="008671D6" w:rsidP="00545D7C">
      <w:pPr>
        <w:pStyle w:val="L1-FlLSp12"/>
        <w:tabs>
          <w:tab w:val="clear" w:pos="1152"/>
          <w:tab w:val="left" w:pos="720"/>
        </w:tabs>
        <w:spacing w:after="0" w:line="276" w:lineRule="auto"/>
        <w:outlineLvl w:val="2"/>
        <w:rPr>
          <w:rFonts w:asciiTheme="minorHAnsi" w:hAnsiTheme="minorHAnsi" w:cs="Times New Roman"/>
          <w:b/>
          <w:szCs w:val="24"/>
          <w:u w:val="single"/>
          <w:lang w:eastAsia="ja-JP"/>
        </w:rPr>
      </w:pPr>
      <w:bookmarkStart w:id="14" w:name="_Toc296089973"/>
      <w:r w:rsidRPr="001028B0">
        <w:rPr>
          <w:rFonts w:asciiTheme="minorHAnsi" w:hAnsiTheme="minorHAnsi" w:cs="Times New Roman"/>
          <w:b/>
          <w:szCs w:val="24"/>
          <w:u w:val="single"/>
          <w:lang w:eastAsia="ja-JP"/>
        </w:rPr>
        <w:t>Consultation with Persons Outside the Agency</w:t>
      </w:r>
      <w:bookmarkEnd w:id="14"/>
    </w:p>
    <w:p w:rsidR="001028B0" w:rsidRPr="001028B0" w:rsidRDefault="001028B0" w:rsidP="00545D7C">
      <w:pPr>
        <w:pStyle w:val="L1-FlLSp12"/>
        <w:tabs>
          <w:tab w:val="clear" w:pos="1152"/>
          <w:tab w:val="left" w:pos="720"/>
        </w:tabs>
        <w:spacing w:after="0" w:line="276" w:lineRule="auto"/>
        <w:outlineLvl w:val="2"/>
        <w:rPr>
          <w:rFonts w:asciiTheme="minorHAnsi" w:hAnsiTheme="minorHAnsi" w:cs="Times New Roman"/>
          <w:szCs w:val="24"/>
          <w:u w:val="single"/>
          <w:lang w:eastAsia="ja-JP"/>
        </w:rPr>
      </w:pPr>
    </w:p>
    <w:p w:rsidR="008671D6" w:rsidRDefault="008671D6" w:rsidP="008671D6">
      <w:pPr>
        <w:spacing w:after="0"/>
        <w:ind w:firstLine="360"/>
        <w:rPr>
          <w:rFonts w:cs="Times New Roman"/>
          <w:sz w:val="24"/>
          <w:szCs w:val="24"/>
          <w:lang w:eastAsia="ja-JP"/>
        </w:rPr>
      </w:pPr>
      <w:r w:rsidRPr="00093737">
        <w:rPr>
          <w:sz w:val="24"/>
          <w:szCs w:val="24"/>
        </w:rPr>
        <w:lastRenderedPageBreak/>
        <w:t xml:space="preserve">The telephone interview survey </w:t>
      </w:r>
      <w:r>
        <w:rPr>
          <w:sz w:val="24"/>
          <w:szCs w:val="24"/>
        </w:rPr>
        <w:t xml:space="preserve">instrument has been reviewed and/or tested by several persons outside the agency. </w:t>
      </w:r>
      <w:r w:rsidRPr="00093737">
        <w:rPr>
          <w:rFonts w:cs="Times New Roman"/>
          <w:sz w:val="24"/>
          <w:szCs w:val="24"/>
          <w:lang w:eastAsia="ja-JP"/>
        </w:rPr>
        <w:t xml:space="preserve">The initial draft </w:t>
      </w:r>
      <w:r>
        <w:rPr>
          <w:rFonts w:cs="Times New Roman"/>
          <w:sz w:val="24"/>
          <w:szCs w:val="24"/>
          <w:lang w:eastAsia="ja-JP"/>
        </w:rPr>
        <w:t>q</w:t>
      </w:r>
      <w:r w:rsidRPr="00093737">
        <w:rPr>
          <w:rFonts w:cs="Times New Roman"/>
          <w:sz w:val="24"/>
          <w:szCs w:val="24"/>
          <w:lang w:eastAsia="ja-JP"/>
        </w:rPr>
        <w:t xml:space="preserve">uestionnaire was developed </w:t>
      </w:r>
      <w:r w:rsidR="00143F63">
        <w:rPr>
          <w:rFonts w:cs="Times New Roman"/>
          <w:sz w:val="24"/>
          <w:szCs w:val="24"/>
          <w:lang w:eastAsia="ja-JP"/>
        </w:rPr>
        <w:t xml:space="preserve">in 2010 </w:t>
      </w:r>
      <w:r w:rsidRPr="00093737">
        <w:rPr>
          <w:rFonts w:cs="Times New Roman"/>
          <w:sz w:val="24"/>
          <w:szCs w:val="24"/>
          <w:lang w:eastAsia="ja-JP"/>
        </w:rPr>
        <w:t>by Westat, Rockville, MD, under contract to NIOSH. NIOSH staff revised the questionnaire and</w:t>
      </w:r>
      <w:r>
        <w:rPr>
          <w:rFonts w:cs="Times New Roman"/>
          <w:sz w:val="24"/>
          <w:szCs w:val="24"/>
          <w:lang w:eastAsia="ja-JP"/>
        </w:rPr>
        <w:t xml:space="preserve"> incorporat</w:t>
      </w:r>
      <w:r w:rsidR="006A017D">
        <w:rPr>
          <w:rFonts w:cs="Times New Roman"/>
          <w:sz w:val="24"/>
          <w:szCs w:val="24"/>
          <w:lang w:eastAsia="ja-JP"/>
        </w:rPr>
        <w:t>ed</w:t>
      </w:r>
      <w:r>
        <w:rPr>
          <w:rFonts w:cs="Times New Roman"/>
          <w:sz w:val="24"/>
          <w:szCs w:val="24"/>
          <w:lang w:eastAsia="ja-JP"/>
        </w:rPr>
        <w:t xml:space="preserve"> comments from members of the </w:t>
      </w:r>
      <w:r w:rsidR="00A64769">
        <w:rPr>
          <w:rFonts w:cs="Times New Roman"/>
          <w:sz w:val="24"/>
          <w:szCs w:val="24"/>
          <w:lang w:eastAsia="ja-JP"/>
        </w:rPr>
        <w:t xml:space="preserve">NIOSH </w:t>
      </w:r>
      <w:r w:rsidRPr="00093737">
        <w:rPr>
          <w:rFonts w:cs="Times New Roman"/>
          <w:sz w:val="24"/>
          <w:szCs w:val="24"/>
          <w:lang w:eastAsia="ja-JP"/>
        </w:rPr>
        <w:t xml:space="preserve">Division of Safety Research (DSR); the </w:t>
      </w:r>
      <w:r w:rsidR="00A64769">
        <w:rPr>
          <w:rFonts w:cs="Times New Roman"/>
          <w:sz w:val="24"/>
          <w:szCs w:val="24"/>
          <w:lang w:eastAsia="ja-JP"/>
        </w:rPr>
        <w:t xml:space="preserve">NIOSH </w:t>
      </w:r>
      <w:r w:rsidRPr="00093737">
        <w:rPr>
          <w:rFonts w:cs="Times New Roman"/>
          <w:sz w:val="24"/>
          <w:szCs w:val="24"/>
          <w:lang w:eastAsia="ja-JP"/>
        </w:rPr>
        <w:t>Division of Surveillance, Hazard Evaluations, and Field Studies (DSHEF</w:t>
      </w:r>
      <w:r w:rsidR="00B64994">
        <w:rPr>
          <w:rFonts w:cs="Times New Roman"/>
          <w:sz w:val="24"/>
          <w:szCs w:val="24"/>
          <w:lang w:eastAsia="ja-JP"/>
        </w:rPr>
        <w:t>S</w:t>
      </w:r>
      <w:r w:rsidRPr="00093737">
        <w:rPr>
          <w:rFonts w:cs="Times New Roman"/>
          <w:sz w:val="24"/>
          <w:szCs w:val="24"/>
          <w:lang w:eastAsia="ja-JP"/>
        </w:rPr>
        <w:t xml:space="preserve">); and the </w:t>
      </w:r>
      <w:r w:rsidR="00A64769">
        <w:rPr>
          <w:rFonts w:cs="Times New Roman"/>
          <w:sz w:val="24"/>
          <w:szCs w:val="24"/>
          <w:lang w:eastAsia="ja-JP"/>
        </w:rPr>
        <w:t xml:space="preserve">NIOSH </w:t>
      </w:r>
      <w:r w:rsidRPr="00093737">
        <w:rPr>
          <w:rFonts w:cs="Times New Roman"/>
          <w:sz w:val="24"/>
          <w:szCs w:val="24"/>
          <w:lang w:eastAsia="ja-JP"/>
        </w:rPr>
        <w:t>Division of Respiratory Disease Studies (DRDS)</w:t>
      </w:r>
      <w:r w:rsidR="006A017D">
        <w:rPr>
          <w:rFonts w:cs="Times New Roman"/>
          <w:sz w:val="24"/>
          <w:szCs w:val="24"/>
          <w:lang w:eastAsia="ja-JP"/>
        </w:rPr>
        <w:t xml:space="preserve">. The revised questionnaire was then given </w:t>
      </w:r>
      <w:r w:rsidR="00143F63">
        <w:rPr>
          <w:rFonts w:cs="Times New Roman"/>
          <w:sz w:val="24"/>
          <w:szCs w:val="24"/>
          <w:lang w:eastAsia="ja-JP"/>
        </w:rPr>
        <w:t xml:space="preserve">in 2010 </w:t>
      </w:r>
      <w:r w:rsidR="006A017D">
        <w:rPr>
          <w:rFonts w:cs="Times New Roman"/>
          <w:sz w:val="24"/>
          <w:szCs w:val="24"/>
          <w:lang w:eastAsia="ja-JP"/>
        </w:rPr>
        <w:t>to</w:t>
      </w:r>
      <w:r w:rsidRPr="00093737">
        <w:rPr>
          <w:rFonts w:cs="Times New Roman"/>
          <w:sz w:val="24"/>
          <w:szCs w:val="24"/>
          <w:lang w:eastAsia="ja-JP"/>
        </w:rPr>
        <w:t xml:space="preserve"> survey experts from Re</w:t>
      </w:r>
      <w:r w:rsidR="00F551FD">
        <w:rPr>
          <w:rFonts w:cs="Times New Roman"/>
          <w:sz w:val="24"/>
          <w:szCs w:val="24"/>
          <w:lang w:eastAsia="ja-JP"/>
        </w:rPr>
        <w:t>search Triangle Institute (RTI)</w:t>
      </w:r>
      <w:r w:rsidRPr="00093737">
        <w:rPr>
          <w:rFonts w:cs="Times New Roman"/>
          <w:sz w:val="24"/>
          <w:szCs w:val="24"/>
          <w:lang w:eastAsia="ja-JP"/>
        </w:rPr>
        <w:t xml:space="preserve">, an independent, nonprofit research institution with more than 45 years of experience in survey methodology, </w:t>
      </w:r>
      <w:r w:rsidR="006A017D">
        <w:rPr>
          <w:rFonts w:cs="Times New Roman"/>
          <w:sz w:val="24"/>
          <w:szCs w:val="24"/>
          <w:lang w:eastAsia="ja-JP"/>
        </w:rPr>
        <w:t>for review and comment</w:t>
      </w:r>
      <w:r w:rsidRPr="00093737">
        <w:rPr>
          <w:rFonts w:cs="Times New Roman"/>
          <w:sz w:val="24"/>
          <w:szCs w:val="24"/>
          <w:lang w:eastAsia="ja-JP"/>
        </w:rPr>
        <w:t xml:space="preserve">. Under contract to NIOSH, RTI </w:t>
      </w:r>
      <w:r>
        <w:rPr>
          <w:rFonts w:cs="Times New Roman"/>
          <w:sz w:val="24"/>
          <w:szCs w:val="24"/>
          <w:lang w:eastAsia="ja-JP"/>
        </w:rPr>
        <w:t>also</w:t>
      </w:r>
      <w:r w:rsidRPr="00093737">
        <w:rPr>
          <w:rFonts w:cs="Times New Roman"/>
          <w:sz w:val="24"/>
          <w:szCs w:val="24"/>
          <w:lang w:eastAsia="ja-JP"/>
        </w:rPr>
        <w:t xml:space="preserve"> conduct</w:t>
      </w:r>
      <w:r>
        <w:rPr>
          <w:rFonts w:cs="Times New Roman"/>
          <w:sz w:val="24"/>
          <w:szCs w:val="24"/>
          <w:lang w:eastAsia="ja-JP"/>
        </w:rPr>
        <w:t>ed</w:t>
      </w:r>
      <w:r w:rsidRPr="00093737">
        <w:rPr>
          <w:rFonts w:cs="Times New Roman"/>
          <w:sz w:val="24"/>
          <w:szCs w:val="24"/>
          <w:lang w:eastAsia="ja-JP"/>
        </w:rPr>
        <w:t xml:space="preserve"> cognitive testing </w:t>
      </w:r>
      <w:r w:rsidR="00143F63">
        <w:rPr>
          <w:rFonts w:cs="Times New Roman"/>
          <w:sz w:val="24"/>
          <w:szCs w:val="24"/>
          <w:lang w:eastAsia="ja-JP"/>
        </w:rPr>
        <w:t xml:space="preserve">in early 2011 </w:t>
      </w:r>
      <w:r w:rsidRPr="00093737">
        <w:rPr>
          <w:rFonts w:cs="Times New Roman"/>
          <w:sz w:val="24"/>
          <w:szCs w:val="24"/>
          <w:lang w:eastAsia="ja-JP"/>
        </w:rPr>
        <w:t>of the questionnaire</w:t>
      </w:r>
      <w:r>
        <w:rPr>
          <w:rFonts w:cs="Times New Roman"/>
          <w:sz w:val="24"/>
          <w:szCs w:val="24"/>
          <w:lang w:eastAsia="ja-JP"/>
        </w:rPr>
        <w:t xml:space="preserve"> to increase its reliability and validity</w:t>
      </w:r>
      <w:r w:rsidRPr="00093737">
        <w:rPr>
          <w:rFonts w:cs="Times New Roman"/>
          <w:sz w:val="24"/>
          <w:szCs w:val="24"/>
          <w:lang w:eastAsia="ja-JP"/>
        </w:rPr>
        <w:t xml:space="preserve">. Revisions based on the cognitive testing </w:t>
      </w:r>
      <w:r>
        <w:rPr>
          <w:rFonts w:cs="Times New Roman"/>
          <w:sz w:val="24"/>
          <w:szCs w:val="24"/>
          <w:lang w:eastAsia="ja-JP"/>
        </w:rPr>
        <w:t>resulted in the</w:t>
      </w:r>
      <w:r w:rsidRPr="00093737">
        <w:rPr>
          <w:rFonts w:cs="Times New Roman"/>
          <w:sz w:val="24"/>
          <w:szCs w:val="24"/>
          <w:lang w:eastAsia="ja-JP"/>
        </w:rPr>
        <w:t xml:space="preserve"> final questionnaire for interviewer administration.</w:t>
      </w:r>
    </w:p>
    <w:p w:rsidR="00143F63" w:rsidRDefault="00143F63" w:rsidP="008671D6">
      <w:pPr>
        <w:spacing w:after="0"/>
        <w:ind w:firstLine="360"/>
        <w:rPr>
          <w:rFonts w:cs="Times New Roman"/>
          <w:sz w:val="24"/>
          <w:szCs w:val="24"/>
          <w:lang w:eastAsia="ja-JP"/>
        </w:rPr>
      </w:pPr>
      <w:r>
        <w:rPr>
          <w:rFonts w:cs="Times New Roman"/>
          <w:sz w:val="24"/>
          <w:szCs w:val="24"/>
          <w:lang w:eastAsia="ja-JP"/>
        </w:rPr>
        <w:t xml:space="preserve">While questionnaire development was still underway, the study protocol was given in </w:t>
      </w:r>
      <w:r w:rsidR="00EE7C0D">
        <w:rPr>
          <w:rFonts w:cs="Times New Roman"/>
          <w:sz w:val="24"/>
          <w:szCs w:val="24"/>
          <w:lang w:eastAsia="ja-JP"/>
        </w:rPr>
        <w:t>December</w:t>
      </w:r>
      <w:r>
        <w:rPr>
          <w:rFonts w:cs="Times New Roman"/>
          <w:sz w:val="24"/>
          <w:szCs w:val="24"/>
          <w:lang w:eastAsia="ja-JP"/>
        </w:rPr>
        <w:t xml:space="preserve"> 2010 to three external peer reviewers who are knowledgeable </w:t>
      </w:r>
      <w:r w:rsidR="004322BC">
        <w:rPr>
          <w:rFonts w:cs="Times New Roman"/>
          <w:sz w:val="24"/>
          <w:szCs w:val="24"/>
          <w:lang w:eastAsia="ja-JP"/>
        </w:rPr>
        <w:t xml:space="preserve">in the area </w:t>
      </w:r>
      <w:r w:rsidR="00642BCD">
        <w:rPr>
          <w:rFonts w:cs="Times New Roman"/>
          <w:sz w:val="24"/>
          <w:szCs w:val="24"/>
          <w:lang w:eastAsia="ja-JP"/>
        </w:rPr>
        <w:t>of occupational injuries and illnesses</w:t>
      </w:r>
      <w:r w:rsidR="00EE7C0D">
        <w:rPr>
          <w:rFonts w:cs="Times New Roman"/>
          <w:sz w:val="24"/>
          <w:szCs w:val="24"/>
          <w:lang w:eastAsia="ja-JP"/>
        </w:rPr>
        <w:t xml:space="preserve">. </w:t>
      </w:r>
      <w:r w:rsidR="00FA78FA">
        <w:rPr>
          <w:rFonts w:cs="Times New Roman"/>
          <w:sz w:val="24"/>
          <w:szCs w:val="24"/>
          <w:lang w:eastAsia="ja-JP"/>
        </w:rPr>
        <w:t xml:space="preserve">The comments of the external reviewers and our responses to those comments can be found in Appendix </w:t>
      </w:r>
      <w:r w:rsidR="00EF4DA8">
        <w:rPr>
          <w:rFonts w:cs="Times New Roman"/>
          <w:sz w:val="24"/>
          <w:szCs w:val="24"/>
          <w:lang w:eastAsia="ja-JP"/>
        </w:rPr>
        <w:t>H</w:t>
      </w:r>
      <w:r w:rsidR="00FA78FA">
        <w:rPr>
          <w:rFonts w:cs="Times New Roman"/>
          <w:sz w:val="24"/>
          <w:szCs w:val="24"/>
          <w:lang w:eastAsia="ja-JP"/>
        </w:rPr>
        <w:t>. The external peer reviewers were:</w:t>
      </w:r>
    </w:p>
    <w:p w:rsidR="00FA78FA" w:rsidRDefault="00FA78FA" w:rsidP="00FA78FA">
      <w:pPr>
        <w:pStyle w:val="ListParagraph"/>
        <w:numPr>
          <w:ilvl w:val="0"/>
          <w:numId w:val="6"/>
        </w:numPr>
        <w:spacing w:after="0"/>
        <w:rPr>
          <w:rFonts w:cs="Times New Roman"/>
          <w:sz w:val="24"/>
          <w:szCs w:val="24"/>
          <w:lang w:eastAsia="ja-JP"/>
        </w:rPr>
      </w:pPr>
      <w:r>
        <w:rPr>
          <w:rFonts w:cs="Times New Roman"/>
          <w:sz w:val="24"/>
          <w:szCs w:val="24"/>
          <w:lang w:eastAsia="ja-JP"/>
        </w:rPr>
        <w:t xml:space="preserve">Kenneth D. </w:t>
      </w:r>
      <w:proofErr w:type="spellStart"/>
      <w:r>
        <w:rPr>
          <w:rFonts w:cs="Times New Roman"/>
          <w:sz w:val="24"/>
          <w:szCs w:val="24"/>
          <w:lang w:eastAsia="ja-JP"/>
        </w:rPr>
        <w:t>Rosenman</w:t>
      </w:r>
      <w:proofErr w:type="spellEnd"/>
      <w:r>
        <w:rPr>
          <w:rFonts w:cs="Times New Roman"/>
          <w:sz w:val="24"/>
          <w:szCs w:val="24"/>
          <w:lang w:eastAsia="ja-JP"/>
        </w:rPr>
        <w:t xml:space="preserve">, M.D., Professor of Medicine and Chief of the Division of Occupational and Environmental Medicine, Michigan State University; Phone: (517) 353-1846; E-mail: </w:t>
      </w:r>
      <w:hyperlink r:id="rId12" w:history="1">
        <w:r w:rsidRPr="00DB0364">
          <w:rPr>
            <w:rStyle w:val="Hyperlink"/>
            <w:rFonts w:cs="Times New Roman"/>
            <w:sz w:val="24"/>
            <w:szCs w:val="24"/>
            <w:lang w:eastAsia="ja-JP"/>
          </w:rPr>
          <w:t>Ken.Rosenman@hc.msu.edu</w:t>
        </w:r>
      </w:hyperlink>
    </w:p>
    <w:p w:rsidR="00FA78FA" w:rsidRDefault="00FA78FA" w:rsidP="00FA78FA">
      <w:pPr>
        <w:pStyle w:val="ListParagraph"/>
        <w:numPr>
          <w:ilvl w:val="0"/>
          <w:numId w:val="6"/>
        </w:numPr>
        <w:spacing w:after="0"/>
        <w:rPr>
          <w:rFonts w:cs="Times New Roman"/>
          <w:sz w:val="24"/>
          <w:szCs w:val="24"/>
          <w:lang w:eastAsia="ja-JP"/>
        </w:rPr>
      </w:pPr>
      <w:r>
        <w:rPr>
          <w:rFonts w:cs="Times New Roman"/>
          <w:sz w:val="24"/>
          <w:szCs w:val="24"/>
          <w:lang w:eastAsia="ja-JP"/>
        </w:rPr>
        <w:t xml:space="preserve">Katharine Newman, </w:t>
      </w:r>
      <w:r w:rsidR="00667046">
        <w:rPr>
          <w:rFonts w:cs="Times New Roman"/>
          <w:sz w:val="24"/>
          <w:szCs w:val="24"/>
          <w:lang w:eastAsia="ja-JP"/>
        </w:rPr>
        <w:t>Economist and Division Chief, Occupational Safety and Health Statistics, US Bureau of Labor Statistics</w:t>
      </w:r>
      <w:r>
        <w:rPr>
          <w:rFonts w:cs="Times New Roman"/>
          <w:sz w:val="24"/>
          <w:szCs w:val="24"/>
          <w:lang w:eastAsia="ja-JP"/>
        </w:rPr>
        <w:t xml:space="preserve">; Phone: (202) 691-6162; E-mail: </w:t>
      </w:r>
      <w:hyperlink r:id="rId13" w:history="1">
        <w:r w:rsidRPr="00DB0364">
          <w:rPr>
            <w:rStyle w:val="Hyperlink"/>
            <w:rFonts w:cs="Times New Roman"/>
            <w:sz w:val="24"/>
            <w:szCs w:val="24"/>
            <w:lang w:eastAsia="ja-JP"/>
          </w:rPr>
          <w:t>newman.kate@bls.gov</w:t>
        </w:r>
      </w:hyperlink>
    </w:p>
    <w:p w:rsidR="00FA78FA" w:rsidRDefault="00667046" w:rsidP="00FA78FA">
      <w:pPr>
        <w:pStyle w:val="ListParagraph"/>
        <w:numPr>
          <w:ilvl w:val="0"/>
          <w:numId w:val="6"/>
        </w:numPr>
        <w:spacing w:after="0"/>
        <w:rPr>
          <w:rFonts w:cs="Times New Roman"/>
          <w:sz w:val="24"/>
          <w:szCs w:val="24"/>
          <w:lang w:eastAsia="ja-JP"/>
        </w:rPr>
      </w:pPr>
      <w:proofErr w:type="spellStart"/>
      <w:r>
        <w:rPr>
          <w:rFonts w:cs="Times New Roman"/>
          <w:sz w:val="24"/>
          <w:szCs w:val="24"/>
          <w:lang w:eastAsia="ja-JP"/>
        </w:rPr>
        <w:t>Santosh</w:t>
      </w:r>
      <w:proofErr w:type="spellEnd"/>
      <w:r>
        <w:rPr>
          <w:rFonts w:cs="Times New Roman"/>
          <w:sz w:val="24"/>
          <w:szCs w:val="24"/>
          <w:lang w:eastAsia="ja-JP"/>
        </w:rPr>
        <w:t xml:space="preserve"> K. </w:t>
      </w:r>
      <w:proofErr w:type="spellStart"/>
      <w:r>
        <w:rPr>
          <w:rFonts w:cs="Times New Roman"/>
          <w:sz w:val="24"/>
          <w:szCs w:val="24"/>
          <w:lang w:eastAsia="ja-JP"/>
        </w:rPr>
        <w:t>Verma</w:t>
      </w:r>
      <w:proofErr w:type="spellEnd"/>
      <w:r>
        <w:rPr>
          <w:rFonts w:cs="Times New Roman"/>
          <w:sz w:val="24"/>
          <w:szCs w:val="24"/>
          <w:lang w:eastAsia="ja-JP"/>
        </w:rPr>
        <w:t xml:space="preserve">, Sc.D., M.D., M.P.H., Research Scientist, Center for Injury Epidemiology, Liberty Mutual Research Institute for Safety; Phone: (508) 497-0213; E-mail: </w:t>
      </w:r>
      <w:hyperlink r:id="rId14" w:history="1">
        <w:r w:rsidRPr="00DB0364">
          <w:rPr>
            <w:rStyle w:val="Hyperlink"/>
            <w:rFonts w:cs="Times New Roman"/>
            <w:sz w:val="24"/>
            <w:szCs w:val="24"/>
            <w:lang w:eastAsia="ja-JP"/>
          </w:rPr>
          <w:t>Santosh.Verma@LibertyMutual.com</w:t>
        </w:r>
      </w:hyperlink>
    </w:p>
    <w:p w:rsidR="006957E0" w:rsidRDefault="000D692F" w:rsidP="00476EB4">
      <w:pPr>
        <w:spacing w:after="0"/>
        <w:ind w:firstLine="360"/>
        <w:rPr>
          <w:rFonts w:cs="Times New Roman"/>
          <w:sz w:val="24"/>
          <w:szCs w:val="24"/>
          <w:lang w:eastAsia="ja-JP"/>
        </w:rPr>
      </w:pPr>
      <w:r>
        <w:rPr>
          <w:rFonts w:cs="Times New Roman"/>
          <w:sz w:val="24"/>
          <w:szCs w:val="24"/>
          <w:lang w:eastAsia="ja-JP"/>
        </w:rPr>
        <w:t>Once OMB approval is received</w:t>
      </w:r>
      <w:r w:rsidR="006957E0">
        <w:rPr>
          <w:rFonts w:cs="Times New Roman"/>
          <w:sz w:val="24"/>
          <w:szCs w:val="24"/>
          <w:lang w:eastAsia="ja-JP"/>
        </w:rPr>
        <w:t xml:space="preserve">, NIOSH will have the opportunity to explain this study and provide training to the telephone interviewers participating in the project. Collection of the telephone interview data will be monitored by both CPSC and NIOSH. If any concerns arise during the data collection process, CPSC can address the issues with the telephone interviewers. CPSC maintains regular contact with the medical records coders that abstract NEISS-Work surveillance data from medical records and with the contracted telephone interviewers. In turn, NIOSH maintains regular contact with the CPSC staff responsible for these activities. This includes, but is not limited to, attendance </w:t>
      </w:r>
      <w:r w:rsidR="00154404">
        <w:rPr>
          <w:rFonts w:cs="Times New Roman"/>
          <w:sz w:val="24"/>
          <w:szCs w:val="24"/>
          <w:lang w:eastAsia="ja-JP"/>
        </w:rPr>
        <w:t>at</w:t>
      </w:r>
      <w:r w:rsidR="006957E0">
        <w:rPr>
          <w:rFonts w:cs="Times New Roman"/>
          <w:sz w:val="24"/>
          <w:szCs w:val="24"/>
          <w:lang w:eastAsia="ja-JP"/>
        </w:rPr>
        <w:t xml:space="preserve"> annual coding meetings hosted by CPSC and periodic face-to-face meetings with CPSC staff.</w:t>
      </w:r>
    </w:p>
    <w:p w:rsidR="00FF5F3C" w:rsidRDefault="00FF5F3C">
      <w:pPr>
        <w:rPr>
          <w:rFonts w:eastAsiaTheme="majorEastAsia" w:cs="Times New Roman"/>
          <w:b/>
          <w:bCs/>
          <w:sz w:val="24"/>
          <w:szCs w:val="24"/>
          <w:lang w:eastAsia="ja-JP"/>
        </w:rPr>
      </w:pPr>
      <w:bookmarkStart w:id="15" w:name="_Toc296089974"/>
      <w:r>
        <w:rPr>
          <w:rFonts w:cs="Times New Roman"/>
          <w:sz w:val="24"/>
          <w:szCs w:val="24"/>
          <w:lang w:eastAsia="ja-JP"/>
        </w:rPr>
        <w:br w:type="page"/>
      </w:r>
    </w:p>
    <w:p w:rsidR="006957E0" w:rsidRPr="000B207A" w:rsidRDefault="006957E0" w:rsidP="00545D7C">
      <w:pPr>
        <w:pStyle w:val="Heading2"/>
        <w:rPr>
          <w:rFonts w:asciiTheme="minorHAnsi" w:hAnsiTheme="minorHAnsi" w:cs="Times New Roman"/>
          <w:sz w:val="24"/>
          <w:szCs w:val="24"/>
          <w:lang w:eastAsia="ja-JP"/>
        </w:rPr>
      </w:pPr>
      <w:r w:rsidRPr="000B207A">
        <w:rPr>
          <w:rFonts w:asciiTheme="minorHAnsi" w:hAnsiTheme="minorHAnsi" w:cs="Times New Roman"/>
          <w:sz w:val="24"/>
          <w:szCs w:val="24"/>
          <w:lang w:eastAsia="ja-JP"/>
        </w:rPr>
        <w:lastRenderedPageBreak/>
        <w:t>A.9.</w:t>
      </w:r>
      <w:r w:rsidRPr="000B207A">
        <w:rPr>
          <w:rFonts w:asciiTheme="minorHAnsi" w:hAnsiTheme="minorHAnsi" w:cs="Times New Roman"/>
          <w:sz w:val="24"/>
          <w:szCs w:val="24"/>
          <w:lang w:eastAsia="ja-JP"/>
        </w:rPr>
        <w:tab/>
        <w:t>Explanation of Any Payment or Gift to Respondents</w:t>
      </w:r>
      <w:bookmarkEnd w:id="15"/>
    </w:p>
    <w:p w:rsidR="001028B0" w:rsidRDefault="001028B0" w:rsidP="006957E0">
      <w:pPr>
        <w:spacing w:after="0"/>
        <w:ind w:firstLine="360"/>
        <w:rPr>
          <w:rFonts w:cs="Times New Roman"/>
          <w:sz w:val="24"/>
          <w:szCs w:val="24"/>
          <w:lang w:eastAsia="ja-JP"/>
        </w:rPr>
      </w:pPr>
    </w:p>
    <w:p w:rsidR="006957E0" w:rsidRPr="006957E0" w:rsidRDefault="006957E0" w:rsidP="006957E0">
      <w:pPr>
        <w:spacing w:after="0"/>
        <w:ind w:firstLine="360"/>
        <w:rPr>
          <w:rFonts w:cs="Times New Roman"/>
          <w:sz w:val="24"/>
          <w:szCs w:val="24"/>
          <w:lang w:eastAsia="ja-JP"/>
        </w:rPr>
      </w:pPr>
      <w:r>
        <w:rPr>
          <w:rFonts w:cs="Times New Roman"/>
          <w:sz w:val="24"/>
          <w:szCs w:val="24"/>
          <w:lang w:eastAsia="ja-JP"/>
        </w:rPr>
        <w:t>This study does not provide a payment or gift to the respondents.</w:t>
      </w:r>
    </w:p>
    <w:p w:rsidR="00476EB4" w:rsidRPr="00476EB4" w:rsidRDefault="006957E0" w:rsidP="00476EB4">
      <w:pPr>
        <w:pStyle w:val="Heading2"/>
        <w:rPr>
          <w:lang w:eastAsia="ja-JP"/>
        </w:rPr>
      </w:pPr>
      <w:bookmarkStart w:id="16" w:name="_Toc296089975"/>
      <w:r w:rsidRPr="000B207A">
        <w:rPr>
          <w:rFonts w:asciiTheme="minorHAnsi" w:hAnsiTheme="minorHAnsi" w:cs="Times New Roman"/>
          <w:sz w:val="24"/>
          <w:szCs w:val="24"/>
          <w:lang w:eastAsia="ja-JP"/>
        </w:rPr>
        <w:t>A.10.</w:t>
      </w:r>
      <w:r w:rsidRPr="000B207A">
        <w:rPr>
          <w:rFonts w:asciiTheme="minorHAnsi" w:hAnsiTheme="minorHAnsi" w:cs="Times New Roman"/>
          <w:sz w:val="24"/>
          <w:szCs w:val="24"/>
          <w:lang w:eastAsia="ja-JP"/>
        </w:rPr>
        <w:tab/>
        <w:t>Assurance of Confidentiality Provided to Respondents</w:t>
      </w:r>
      <w:bookmarkEnd w:id="16"/>
      <w:r w:rsidR="00476EB4">
        <w:rPr>
          <w:rFonts w:asciiTheme="minorHAnsi" w:hAnsiTheme="minorHAnsi" w:cs="Times New Roman"/>
          <w:sz w:val="24"/>
          <w:szCs w:val="24"/>
          <w:lang w:eastAsia="ja-JP"/>
        </w:rPr>
        <w:br/>
      </w:r>
    </w:p>
    <w:p w:rsidR="00DB7673" w:rsidRPr="0080211B" w:rsidRDefault="00DB7673" w:rsidP="0080211B">
      <w:pPr>
        <w:spacing w:after="0"/>
        <w:ind w:firstLine="360"/>
        <w:rPr>
          <w:sz w:val="24"/>
          <w:szCs w:val="24"/>
        </w:rPr>
      </w:pPr>
      <w:r w:rsidRPr="0080211B">
        <w:rPr>
          <w:sz w:val="24"/>
          <w:szCs w:val="24"/>
        </w:rPr>
        <w:t xml:space="preserve">In order to contact respondents for participation in the telephone interview survey, the names, addresses, and telephone numbers of </w:t>
      </w:r>
      <w:r w:rsidR="0080211B">
        <w:rPr>
          <w:sz w:val="24"/>
          <w:szCs w:val="24"/>
        </w:rPr>
        <w:t>cases</w:t>
      </w:r>
      <w:r w:rsidRPr="0080211B">
        <w:rPr>
          <w:sz w:val="24"/>
          <w:szCs w:val="24"/>
        </w:rPr>
        <w:t xml:space="preserve"> identified in the NEISS-Work data will be collected from th</w:t>
      </w:r>
      <w:r w:rsidR="00154404">
        <w:rPr>
          <w:sz w:val="24"/>
          <w:szCs w:val="24"/>
        </w:rPr>
        <w:t>eir medical records by the CPSC-</w:t>
      </w:r>
      <w:r w:rsidRPr="0080211B">
        <w:rPr>
          <w:sz w:val="24"/>
          <w:szCs w:val="24"/>
        </w:rPr>
        <w:t xml:space="preserve">supervised hospital coders who abstract routine NEISS-Work data. CPSC will attempt to obtain contact information for every </w:t>
      </w:r>
      <w:r w:rsidR="0080211B">
        <w:rPr>
          <w:sz w:val="24"/>
          <w:szCs w:val="24"/>
        </w:rPr>
        <w:t xml:space="preserve">sampled </w:t>
      </w:r>
      <w:r w:rsidRPr="0080211B">
        <w:rPr>
          <w:sz w:val="24"/>
          <w:szCs w:val="24"/>
        </w:rPr>
        <w:t xml:space="preserve">NEISS-Work case from the treating hospital. While hospitals are generally cooperative in releasing this information, a few hospitals decline to participate owing to individual hospital privacy rules or require that a letter be sent to the patient providing them the option of having their contact information withheld. Usually in the latter instance, if no response is received from the patient within approximately 10 days, the hospital releases the information to CPSC. Once contact information is obtained by CPSC, the contact information is then given to telephone interviewers under contract to CPSC to complete the interviews.  </w:t>
      </w:r>
    </w:p>
    <w:p w:rsidR="00EE16C7" w:rsidRDefault="00DB7673" w:rsidP="00EE16C7">
      <w:pPr>
        <w:spacing w:after="0"/>
        <w:ind w:firstLine="360"/>
        <w:rPr>
          <w:sz w:val="24"/>
          <w:szCs w:val="24"/>
        </w:rPr>
      </w:pPr>
      <w:r w:rsidRPr="0080211B">
        <w:rPr>
          <w:sz w:val="24"/>
          <w:szCs w:val="24"/>
        </w:rPr>
        <w:t xml:space="preserve">At least five business days prior to calling </w:t>
      </w:r>
      <w:r w:rsidR="0080211B">
        <w:rPr>
          <w:sz w:val="24"/>
          <w:szCs w:val="24"/>
        </w:rPr>
        <w:t>a case</w:t>
      </w:r>
      <w:r w:rsidRPr="0080211B">
        <w:rPr>
          <w:sz w:val="24"/>
          <w:szCs w:val="24"/>
        </w:rPr>
        <w:t xml:space="preserve"> identified in the NEISS-Work data, the </w:t>
      </w:r>
      <w:r w:rsidR="00154404">
        <w:rPr>
          <w:sz w:val="24"/>
          <w:szCs w:val="24"/>
        </w:rPr>
        <w:t>worker</w:t>
      </w:r>
      <w:r w:rsidRPr="0080211B">
        <w:rPr>
          <w:sz w:val="24"/>
          <w:szCs w:val="24"/>
        </w:rPr>
        <w:t xml:space="preserve"> will be sent a letter describing the study and the measures that will be taken to protect their privacy should they choose to participate in the study (Appendix </w:t>
      </w:r>
      <w:r w:rsidR="00966961">
        <w:rPr>
          <w:sz w:val="24"/>
          <w:szCs w:val="24"/>
        </w:rPr>
        <w:t>E</w:t>
      </w:r>
      <w:r w:rsidRPr="0080211B">
        <w:rPr>
          <w:sz w:val="24"/>
          <w:szCs w:val="24"/>
        </w:rPr>
        <w:t xml:space="preserve">). The letter being mailed to potential participants has been written to provide them with the information required in an informed consent. A waiver of written informed consent has been granted by the </w:t>
      </w:r>
      <w:r w:rsidR="00A64769">
        <w:rPr>
          <w:sz w:val="24"/>
          <w:szCs w:val="24"/>
        </w:rPr>
        <w:t xml:space="preserve">NIOSH </w:t>
      </w:r>
      <w:r w:rsidR="00B30FF4">
        <w:rPr>
          <w:sz w:val="24"/>
          <w:szCs w:val="24"/>
        </w:rPr>
        <w:t xml:space="preserve">IRB </w:t>
      </w:r>
      <w:r w:rsidR="00154404">
        <w:rPr>
          <w:sz w:val="24"/>
          <w:szCs w:val="24"/>
        </w:rPr>
        <w:t xml:space="preserve">(see Appendix </w:t>
      </w:r>
      <w:r w:rsidR="00EF4DA8">
        <w:rPr>
          <w:sz w:val="24"/>
          <w:szCs w:val="24"/>
        </w:rPr>
        <w:t>I</w:t>
      </w:r>
      <w:r w:rsidR="00154404">
        <w:rPr>
          <w:sz w:val="24"/>
          <w:szCs w:val="24"/>
        </w:rPr>
        <w:t xml:space="preserve"> for the notification of </w:t>
      </w:r>
      <w:r w:rsidR="00B30FF4">
        <w:rPr>
          <w:sz w:val="24"/>
          <w:szCs w:val="24"/>
        </w:rPr>
        <w:t xml:space="preserve">IRB </w:t>
      </w:r>
      <w:r w:rsidR="00154404">
        <w:rPr>
          <w:sz w:val="24"/>
          <w:szCs w:val="24"/>
        </w:rPr>
        <w:t>approval),</w:t>
      </w:r>
      <w:r w:rsidRPr="0080211B">
        <w:rPr>
          <w:sz w:val="24"/>
          <w:szCs w:val="24"/>
        </w:rPr>
        <w:t xml:space="preserve"> as collecting written informed consent would likely be detrimental to the response rate of the study. It would also increase the study cost and the time lapse between the treatment date and interview date. </w:t>
      </w:r>
    </w:p>
    <w:p w:rsidR="00EE16C7" w:rsidRDefault="00DB7673" w:rsidP="00EE16C7">
      <w:pPr>
        <w:spacing w:after="0"/>
        <w:ind w:firstLine="360"/>
        <w:rPr>
          <w:sz w:val="24"/>
          <w:szCs w:val="24"/>
        </w:rPr>
      </w:pPr>
      <w:r w:rsidRPr="00810A94">
        <w:rPr>
          <w:sz w:val="24"/>
          <w:szCs w:val="24"/>
        </w:rPr>
        <w:t>The letter being sent prior to the interview and the script read at the beginning of the telephone interview (included in Appendi</w:t>
      </w:r>
      <w:r w:rsidR="001D33DC">
        <w:rPr>
          <w:sz w:val="24"/>
          <w:szCs w:val="24"/>
        </w:rPr>
        <w:t>ces</w:t>
      </w:r>
      <w:r w:rsidRPr="00810A94">
        <w:rPr>
          <w:sz w:val="24"/>
          <w:szCs w:val="24"/>
        </w:rPr>
        <w:t xml:space="preserve"> </w:t>
      </w:r>
      <w:r w:rsidR="00966961">
        <w:rPr>
          <w:sz w:val="24"/>
          <w:szCs w:val="24"/>
        </w:rPr>
        <w:t>F</w:t>
      </w:r>
      <w:r w:rsidR="00EF4DA8">
        <w:rPr>
          <w:sz w:val="24"/>
          <w:szCs w:val="24"/>
        </w:rPr>
        <w:t xml:space="preserve"> and </w:t>
      </w:r>
      <w:r w:rsidR="00966961">
        <w:rPr>
          <w:sz w:val="24"/>
          <w:szCs w:val="24"/>
        </w:rPr>
        <w:t>G</w:t>
      </w:r>
      <w:r w:rsidRPr="00810A94">
        <w:rPr>
          <w:sz w:val="24"/>
          <w:szCs w:val="24"/>
        </w:rPr>
        <w:t xml:space="preserve">) both emphasize that participation is voluntary and </w:t>
      </w:r>
      <w:r w:rsidR="00810A94" w:rsidRPr="00810A94">
        <w:rPr>
          <w:sz w:val="24"/>
          <w:szCs w:val="24"/>
        </w:rPr>
        <w:t>explain the</w:t>
      </w:r>
      <w:r w:rsidRPr="00810A94">
        <w:rPr>
          <w:sz w:val="24"/>
          <w:szCs w:val="24"/>
        </w:rPr>
        <w:t xml:space="preserve"> </w:t>
      </w:r>
      <w:r w:rsidR="000D692F">
        <w:rPr>
          <w:sz w:val="24"/>
          <w:szCs w:val="24"/>
        </w:rPr>
        <w:t>privacy</w:t>
      </w:r>
      <w:r w:rsidR="000D692F" w:rsidRPr="00810A94">
        <w:rPr>
          <w:sz w:val="24"/>
          <w:szCs w:val="24"/>
        </w:rPr>
        <w:t xml:space="preserve"> </w:t>
      </w:r>
      <w:r w:rsidRPr="00810A94">
        <w:rPr>
          <w:sz w:val="24"/>
          <w:szCs w:val="24"/>
        </w:rPr>
        <w:t xml:space="preserve">protections that will apply should </w:t>
      </w:r>
      <w:r w:rsidR="00BC3EF9">
        <w:rPr>
          <w:sz w:val="24"/>
          <w:szCs w:val="24"/>
        </w:rPr>
        <w:t>the individual</w:t>
      </w:r>
      <w:r w:rsidRPr="00810A94">
        <w:rPr>
          <w:sz w:val="24"/>
          <w:szCs w:val="24"/>
        </w:rPr>
        <w:t xml:space="preserve"> choose to participate. The letter provides the </w:t>
      </w:r>
      <w:r w:rsidR="00810A94" w:rsidRPr="00810A94">
        <w:rPr>
          <w:sz w:val="24"/>
          <w:szCs w:val="24"/>
        </w:rPr>
        <w:t>potential respondents</w:t>
      </w:r>
      <w:r w:rsidRPr="00810A94">
        <w:rPr>
          <w:sz w:val="24"/>
          <w:szCs w:val="24"/>
        </w:rPr>
        <w:t xml:space="preserve"> an option to opt out of the telephone interview study by calling a toll-free number. If they do not opt out, the telephone script confirms their willingness to participate by asking, “Would you please help us by answering some questions?” A positive response to this question will be deemed to be the subject’s verbal consent to participate.</w:t>
      </w:r>
      <w:r w:rsidR="00EE16C7">
        <w:rPr>
          <w:sz w:val="24"/>
          <w:szCs w:val="24"/>
        </w:rPr>
        <w:t xml:space="preserve"> </w:t>
      </w:r>
    </w:p>
    <w:p w:rsidR="00555B17" w:rsidRDefault="00DB7673" w:rsidP="00555B17">
      <w:pPr>
        <w:spacing w:after="0"/>
        <w:ind w:firstLine="360"/>
        <w:rPr>
          <w:sz w:val="24"/>
          <w:szCs w:val="24"/>
        </w:rPr>
      </w:pPr>
      <w:r w:rsidRPr="00810A94">
        <w:rPr>
          <w:sz w:val="24"/>
          <w:szCs w:val="24"/>
        </w:rPr>
        <w:t xml:space="preserve">Completion of contact with a subject will be determined by a potential respondent declining to participate, inability to contact a potential respondent, </w:t>
      </w:r>
      <w:r w:rsidR="00555B17">
        <w:rPr>
          <w:sz w:val="24"/>
          <w:szCs w:val="24"/>
        </w:rPr>
        <w:t>a</w:t>
      </w:r>
      <w:r w:rsidRPr="00810A94">
        <w:rPr>
          <w:sz w:val="24"/>
          <w:szCs w:val="24"/>
        </w:rPr>
        <w:t xml:space="preserve"> decision that the potential respondent does not meet the study eligibility criteria, or a respondent completing the telephone interview survey. Once contact is completed, the subject’s name, phone, and address information will be stripped from the database. CPSC completes quality </w:t>
      </w:r>
      <w:r w:rsidRPr="00810A94">
        <w:rPr>
          <w:sz w:val="24"/>
          <w:szCs w:val="24"/>
        </w:rPr>
        <w:lastRenderedPageBreak/>
        <w:t xml:space="preserve">assurance checks on all data submitted and takes precautions to insure that this information is never transmitted to NIOSH. Contact information will be destroyed following </w:t>
      </w:r>
      <w:r w:rsidR="00555B17">
        <w:rPr>
          <w:sz w:val="24"/>
          <w:szCs w:val="24"/>
        </w:rPr>
        <w:t xml:space="preserve">a case’s </w:t>
      </w:r>
      <w:r w:rsidRPr="00810A94">
        <w:rPr>
          <w:sz w:val="24"/>
          <w:szCs w:val="24"/>
        </w:rPr>
        <w:t xml:space="preserve">removal from </w:t>
      </w:r>
      <w:r w:rsidRPr="00555B17">
        <w:rPr>
          <w:sz w:val="24"/>
          <w:szCs w:val="24"/>
        </w:rPr>
        <w:t>the database</w:t>
      </w:r>
      <w:r w:rsidR="00555B17" w:rsidRPr="00555B17">
        <w:rPr>
          <w:sz w:val="24"/>
          <w:szCs w:val="24"/>
        </w:rPr>
        <w:t>,</w:t>
      </w:r>
      <w:r w:rsidRPr="00555B17">
        <w:rPr>
          <w:sz w:val="24"/>
          <w:szCs w:val="24"/>
        </w:rPr>
        <w:t xml:space="preserve"> as there is no need to maintain this information.</w:t>
      </w:r>
    </w:p>
    <w:p w:rsidR="00EB078D" w:rsidRDefault="00DB7673" w:rsidP="00EB078D">
      <w:pPr>
        <w:spacing w:after="0"/>
        <w:ind w:firstLine="360"/>
        <w:rPr>
          <w:sz w:val="24"/>
          <w:szCs w:val="24"/>
        </w:rPr>
      </w:pPr>
      <w:r w:rsidRPr="00555B17">
        <w:rPr>
          <w:sz w:val="24"/>
          <w:szCs w:val="24"/>
        </w:rPr>
        <w:t>Routinely collected NEISS-Work surveillance data include</w:t>
      </w:r>
      <w:r w:rsidR="009A4C59">
        <w:rPr>
          <w:sz w:val="24"/>
          <w:szCs w:val="24"/>
        </w:rPr>
        <w:t xml:space="preserve"> indirectly</w:t>
      </w:r>
      <w:r w:rsidRPr="00555B17">
        <w:rPr>
          <w:sz w:val="24"/>
          <w:szCs w:val="24"/>
        </w:rPr>
        <w:t xml:space="preserve"> identifiable information involving demographic data (not including birth date), employment status data, and a short narrative describing the injury incident. Analyses of these data will be used to provide a general overview of injuries</w:t>
      </w:r>
      <w:r w:rsidR="00555B17">
        <w:rPr>
          <w:sz w:val="24"/>
          <w:szCs w:val="24"/>
        </w:rPr>
        <w:t xml:space="preserve"> and illnesses</w:t>
      </w:r>
      <w:r w:rsidRPr="00555B17">
        <w:rPr>
          <w:sz w:val="24"/>
          <w:szCs w:val="24"/>
        </w:rPr>
        <w:t xml:space="preserve"> to workers in the surveillance system and to compare telephone interview respondents with non-respondents to determine any potential response biases. </w:t>
      </w:r>
      <w:r w:rsidR="009A4C59">
        <w:rPr>
          <w:sz w:val="24"/>
          <w:szCs w:val="24"/>
        </w:rPr>
        <w:t>Using CPSC’s unique case identification number, t</w:t>
      </w:r>
      <w:r w:rsidRPr="00555B17">
        <w:rPr>
          <w:sz w:val="24"/>
          <w:szCs w:val="24"/>
        </w:rPr>
        <w:t xml:space="preserve">he </w:t>
      </w:r>
      <w:r w:rsidR="009A4C59">
        <w:rPr>
          <w:sz w:val="24"/>
          <w:szCs w:val="24"/>
        </w:rPr>
        <w:t xml:space="preserve">routine </w:t>
      </w:r>
      <w:r w:rsidRPr="00555B17">
        <w:rPr>
          <w:sz w:val="24"/>
          <w:szCs w:val="24"/>
        </w:rPr>
        <w:t>surveillance data will be linked to the individual case data captured via telephone interviews for purposes of validating the information received.</w:t>
      </w:r>
    </w:p>
    <w:p w:rsidR="00DB7673" w:rsidRPr="00555B17" w:rsidRDefault="001014F8" w:rsidP="00EB078D">
      <w:pPr>
        <w:spacing w:after="0"/>
        <w:ind w:firstLine="360"/>
        <w:rPr>
          <w:sz w:val="24"/>
          <w:szCs w:val="24"/>
        </w:rPr>
      </w:pPr>
      <w:r>
        <w:rPr>
          <w:sz w:val="24"/>
          <w:szCs w:val="24"/>
        </w:rPr>
        <w:t>I</w:t>
      </w:r>
      <w:r w:rsidR="00BC3EF9">
        <w:rPr>
          <w:sz w:val="24"/>
          <w:szCs w:val="24"/>
        </w:rPr>
        <w:t xml:space="preserve">tems proposed for </w:t>
      </w:r>
      <w:r w:rsidR="00DB7673" w:rsidRPr="00555B17">
        <w:rPr>
          <w:sz w:val="24"/>
          <w:szCs w:val="24"/>
        </w:rPr>
        <w:t>collection during the telephone interview survey (Appendi</w:t>
      </w:r>
      <w:r w:rsidR="00067CA2">
        <w:rPr>
          <w:sz w:val="24"/>
          <w:szCs w:val="24"/>
        </w:rPr>
        <w:t>ces</w:t>
      </w:r>
      <w:r w:rsidR="00DB7673" w:rsidRPr="00555B17">
        <w:rPr>
          <w:sz w:val="24"/>
          <w:szCs w:val="24"/>
        </w:rPr>
        <w:t xml:space="preserve"> </w:t>
      </w:r>
      <w:r w:rsidR="00966961">
        <w:rPr>
          <w:sz w:val="24"/>
          <w:szCs w:val="24"/>
        </w:rPr>
        <w:t>F</w:t>
      </w:r>
      <w:r w:rsidR="00067CA2">
        <w:rPr>
          <w:sz w:val="24"/>
          <w:szCs w:val="24"/>
        </w:rPr>
        <w:t xml:space="preserve"> and </w:t>
      </w:r>
      <w:r w:rsidR="00966961">
        <w:rPr>
          <w:sz w:val="24"/>
          <w:szCs w:val="24"/>
        </w:rPr>
        <w:t>G</w:t>
      </w:r>
      <w:r w:rsidR="00DB7673" w:rsidRPr="00555B17">
        <w:rPr>
          <w:sz w:val="24"/>
          <w:szCs w:val="24"/>
        </w:rPr>
        <w:t xml:space="preserve">) </w:t>
      </w:r>
      <w:r w:rsidR="00BC3EF9">
        <w:rPr>
          <w:sz w:val="24"/>
          <w:szCs w:val="24"/>
        </w:rPr>
        <w:t xml:space="preserve">include </w:t>
      </w:r>
      <w:r w:rsidR="00DB7673" w:rsidRPr="00555B17">
        <w:rPr>
          <w:sz w:val="24"/>
          <w:szCs w:val="24"/>
        </w:rPr>
        <w:t>employment and demographics</w:t>
      </w:r>
      <w:r>
        <w:rPr>
          <w:sz w:val="24"/>
          <w:szCs w:val="24"/>
        </w:rPr>
        <w:t xml:space="preserve"> data</w:t>
      </w:r>
      <w:r w:rsidR="00DB7673" w:rsidRPr="00555B17">
        <w:rPr>
          <w:sz w:val="24"/>
          <w:szCs w:val="24"/>
        </w:rPr>
        <w:t xml:space="preserve"> (</w:t>
      </w:r>
      <w:r w:rsidR="00EB078D">
        <w:rPr>
          <w:sz w:val="24"/>
          <w:szCs w:val="24"/>
        </w:rPr>
        <w:t xml:space="preserve">e.g., </w:t>
      </w:r>
      <w:r w:rsidR="00DB7673" w:rsidRPr="00555B17">
        <w:rPr>
          <w:sz w:val="24"/>
          <w:szCs w:val="24"/>
        </w:rPr>
        <w:t>sex</w:t>
      </w:r>
      <w:r w:rsidR="00EB078D">
        <w:rPr>
          <w:sz w:val="24"/>
          <w:szCs w:val="24"/>
        </w:rPr>
        <w:t xml:space="preserve"> and race/ethnicity</w:t>
      </w:r>
      <w:r w:rsidR="00DB7673" w:rsidRPr="00555B17">
        <w:rPr>
          <w:sz w:val="24"/>
          <w:szCs w:val="24"/>
        </w:rPr>
        <w:t xml:space="preserve">). This information is necessary to define the target population of greatest need when </w:t>
      </w:r>
      <w:r w:rsidR="00EB078D">
        <w:rPr>
          <w:sz w:val="24"/>
          <w:szCs w:val="24"/>
        </w:rPr>
        <w:t>targeting</w:t>
      </w:r>
      <w:r w:rsidR="00DB7673" w:rsidRPr="00555B17">
        <w:rPr>
          <w:sz w:val="24"/>
          <w:szCs w:val="24"/>
        </w:rPr>
        <w:t xml:space="preserve"> </w:t>
      </w:r>
      <w:r w:rsidR="00EB078D">
        <w:rPr>
          <w:sz w:val="24"/>
          <w:szCs w:val="24"/>
        </w:rPr>
        <w:t>programs that encourage reporting of occupational injuries and illnesses</w:t>
      </w:r>
      <w:r w:rsidR="00DB7673" w:rsidRPr="00555B17">
        <w:rPr>
          <w:sz w:val="24"/>
          <w:szCs w:val="24"/>
        </w:rPr>
        <w:t>. All data collected for this project will only be presented in aggregate form.  Even in aggregate form, the data will need to meet NIOSH NE</w:t>
      </w:r>
      <w:r w:rsidR="00EB078D">
        <w:rPr>
          <w:sz w:val="24"/>
          <w:szCs w:val="24"/>
        </w:rPr>
        <w:t>ISS-Work reporting requirements that are</w:t>
      </w:r>
      <w:r w:rsidR="00DB7673" w:rsidRPr="00555B17">
        <w:rPr>
          <w:sz w:val="24"/>
          <w:szCs w:val="24"/>
        </w:rPr>
        <w:t xml:space="preserve"> designed to insure data stability and </w:t>
      </w:r>
      <w:r w:rsidR="00F3496D">
        <w:rPr>
          <w:sz w:val="24"/>
          <w:szCs w:val="24"/>
        </w:rPr>
        <w:t xml:space="preserve">to </w:t>
      </w:r>
      <w:r w:rsidR="00DB7673" w:rsidRPr="00555B17">
        <w:rPr>
          <w:sz w:val="24"/>
          <w:szCs w:val="24"/>
        </w:rPr>
        <w:t>help protect wo</w:t>
      </w:r>
      <w:r w:rsidR="00DA6346">
        <w:rPr>
          <w:sz w:val="24"/>
          <w:szCs w:val="24"/>
        </w:rPr>
        <w:t xml:space="preserve">rker privacy, prior to release. </w:t>
      </w:r>
      <w:r w:rsidR="00DB7673" w:rsidRPr="00555B17">
        <w:rPr>
          <w:sz w:val="24"/>
          <w:szCs w:val="24"/>
        </w:rPr>
        <w:t>NIOSH has three criteria for determining reportability of NEISS-Work data results:</w:t>
      </w:r>
    </w:p>
    <w:p w:rsidR="00DB7673" w:rsidRPr="00555B17" w:rsidRDefault="00DB7673" w:rsidP="00DA6346">
      <w:pPr>
        <w:spacing w:after="0"/>
        <w:ind w:left="360"/>
        <w:rPr>
          <w:sz w:val="24"/>
          <w:szCs w:val="24"/>
        </w:rPr>
      </w:pPr>
      <w:r w:rsidRPr="00555B17">
        <w:rPr>
          <w:sz w:val="24"/>
          <w:szCs w:val="24"/>
        </w:rPr>
        <w:t>1.</w:t>
      </w:r>
      <w:r w:rsidRPr="00555B17">
        <w:rPr>
          <w:sz w:val="24"/>
          <w:szCs w:val="24"/>
        </w:rPr>
        <w:tab/>
        <w:t>Number of cases treated within the hospital sample must exceed a specified value;</w:t>
      </w:r>
    </w:p>
    <w:p w:rsidR="00DB7673" w:rsidRPr="00555B17" w:rsidRDefault="00DB7673" w:rsidP="00DA6346">
      <w:pPr>
        <w:spacing w:after="0"/>
        <w:ind w:left="360"/>
        <w:rPr>
          <w:sz w:val="24"/>
          <w:szCs w:val="24"/>
        </w:rPr>
      </w:pPr>
      <w:r w:rsidRPr="00555B17">
        <w:rPr>
          <w:sz w:val="24"/>
          <w:szCs w:val="24"/>
        </w:rPr>
        <w:t>2.</w:t>
      </w:r>
      <w:r w:rsidRPr="00555B17">
        <w:rPr>
          <w:sz w:val="24"/>
          <w:szCs w:val="24"/>
        </w:rPr>
        <w:tab/>
        <w:t>The extrapolated national estimates must exceed a specified value; and</w:t>
      </w:r>
    </w:p>
    <w:p w:rsidR="00DB7673" w:rsidRPr="00555B17" w:rsidRDefault="00DB7673" w:rsidP="00DA6346">
      <w:pPr>
        <w:spacing w:after="0"/>
        <w:ind w:left="360"/>
        <w:rPr>
          <w:sz w:val="24"/>
          <w:szCs w:val="24"/>
        </w:rPr>
      </w:pPr>
      <w:r w:rsidRPr="00555B17">
        <w:rPr>
          <w:sz w:val="24"/>
          <w:szCs w:val="24"/>
        </w:rPr>
        <w:t>3.</w:t>
      </w:r>
      <w:r w:rsidRPr="00555B17">
        <w:rPr>
          <w:sz w:val="24"/>
          <w:szCs w:val="24"/>
        </w:rPr>
        <w:tab/>
        <w:t>The coefficient of variation must be less than or equal to 33%.</w:t>
      </w:r>
    </w:p>
    <w:p w:rsidR="003B1F4D" w:rsidRDefault="00DB7673" w:rsidP="003B1F4D">
      <w:pPr>
        <w:spacing w:after="0"/>
        <w:rPr>
          <w:sz w:val="24"/>
          <w:szCs w:val="24"/>
        </w:rPr>
      </w:pPr>
      <w:r w:rsidRPr="00555B17">
        <w:rPr>
          <w:sz w:val="24"/>
          <w:szCs w:val="24"/>
        </w:rPr>
        <w:t xml:space="preserve">Because of </w:t>
      </w:r>
      <w:r w:rsidR="00EE00C8">
        <w:rPr>
          <w:sz w:val="24"/>
          <w:szCs w:val="24"/>
        </w:rPr>
        <w:t>security</w:t>
      </w:r>
      <w:r w:rsidRPr="00555B17">
        <w:rPr>
          <w:sz w:val="24"/>
          <w:szCs w:val="24"/>
        </w:rPr>
        <w:t xml:space="preserve"> restrictions, NIOSH does not publicly release the minimum sample </w:t>
      </w:r>
      <w:r w:rsidR="00F3496D">
        <w:rPr>
          <w:sz w:val="24"/>
          <w:szCs w:val="24"/>
        </w:rPr>
        <w:t>size</w:t>
      </w:r>
      <w:r w:rsidRPr="003B1F4D">
        <w:rPr>
          <w:sz w:val="24"/>
          <w:szCs w:val="24"/>
        </w:rPr>
        <w:t xml:space="preserve"> or national estimate requirements. Variance requirements are released.</w:t>
      </w:r>
    </w:p>
    <w:p w:rsidR="006F7170" w:rsidRDefault="00432B9B" w:rsidP="006F7170">
      <w:pPr>
        <w:spacing w:after="0"/>
        <w:ind w:firstLine="360"/>
        <w:rPr>
          <w:sz w:val="24"/>
          <w:szCs w:val="24"/>
        </w:rPr>
      </w:pPr>
      <w:r w:rsidRPr="00851843">
        <w:rPr>
          <w:sz w:val="24"/>
          <w:szCs w:val="24"/>
        </w:rPr>
        <w:t>The</w:t>
      </w:r>
      <w:r w:rsidR="00DB7673" w:rsidRPr="00851843">
        <w:rPr>
          <w:sz w:val="24"/>
          <w:szCs w:val="24"/>
        </w:rPr>
        <w:t xml:space="preserve"> protocol for this study has been </w:t>
      </w:r>
      <w:r w:rsidR="00851843">
        <w:rPr>
          <w:sz w:val="24"/>
          <w:szCs w:val="24"/>
        </w:rPr>
        <w:t>submitted for review and approval</w:t>
      </w:r>
      <w:r w:rsidR="00DB7673" w:rsidRPr="00851843">
        <w:rPr>
          <w:sz w:val="24"/>
          <w:szCs w:val="24"/>
        </w:rPr>
        <w:t xml:space="preserve"> by the NIOSH </w:t>
      </w:r>
      <w:r w:rsidR="00B30FF4">
        <w:rPr>
          <w:sz w:val="24"/>
          <w:szCs w:val="24"/>
        </w:rPr>
        <w:t>IRB</w:t>
      </w:r>
      <w:r w:rsidR="00B30FF4" w:rsidRPr="00851843">
        <w:rPr>
          <w:sz w:val="24"/>
          <w:szCs w:val="24"/>
        </w:rPr>
        <w:t xml:space="preserve"> </w:t>
      </w:r>
      <w:r w:rsidR="00DB7673" w:rsidRPr="00851843">
        <w:rPr>
          <w:sz w:val="24"/>
          <w:szCs w:val="24"/>
        </w:rPr>
        <w:t>under an expedited review.</w:t>
      </w:r>
      <w:r w:rsidR="00DB7673" w:rsidRPr="003B1F4D">
        <w:rPr>
          <w:sz w:val="24"/>
          <w:szCs w:val="24"/>
        </w:rPr>
        <w:t xml:space="preserve"> </w:t>
      </w:r>
      <w:r w:rsidR="00EE7C0D">
        <w:rPr>
          <w:sz w:val="24"/>
          <w:szCs w:val="24"/>
        </w:rPr>
        <w:t xml:space="preserve">[See </w:t>
      </w:r>
      <w:r w:rsidR="00DB7673" w:rsidRPr="003B1F4D">
        <w:rPr>
          <w:sz w:val="24"/>
          <w:szCs w:val="24"/>
        </w:rPr>
        <w:t xml:space="preserve">Appendix </w:t>
      </w:r>
      <w:r w:rsidR="001D33DC">
        <w:rPr>
          <w:sz w:val="24"/>
          <w:szCs w:val="24"/>
        </w:rPr>
        <w:t>I</w:t>
      </w:r>
      <w:r w:rsidR="00DB7673" w:rsidRPr="003B1F4D">
        <w:rPr>
          <w:sz w:val="24"/>
          <w:szCs w:val="24"/>
        </w:rPr>
        <w:t xml:space="preserve"> for a copy of the </w:t>
      </w:r>
      <w:r w:rsidR="00B30FF4">
        <w:rPr>
          <w:sz w:val="24"/>
          <w:szCs w:val="24"/>
        </w:rPr>
        <w:t>IRB</w:t>
      </w:r>
      <w:r w:rsidR="00B30FF4" w:rsidRPr="003B1F4D">
        <w:rPr>
          <w:sz w:val="24"/>
          <w:szCs w:val="24"/>
        </w:rPr>
        <w:t xml:space="preserve"> </w:t>
      </w:r>
      <w:r w:rsidR="00DB7673" w:rsidRPr="003B1F4D">
        <w:rPr>
          <w:sz w:val="24"/>
          <w:szCs w:val="24"/>
        </w:rPr>
        <w:t>approval.</w:t>
      </w:r>
      <w:r w:rsidR="00EE7C0D">
        <w:rPr>
          <w:sz w:val="24"/>
          <w:szCs w:val="24"/>
        </w:rPr>
        <w:t>]</w:t>
      </w:r>
      <w:r w:rsidR="00DB7673" w:rsidRPr="003B1F4D">
        <w:rPr>
          <w:sz w:val="24"/>
          <w:szCs w:val="24"/>
        </w:rPr>
        <w:t xml:space="preserve"> CPSC </w:t>
      </w:r>
      <w:r>
        <w:rPr>
          <w:sz w:val="24"/>
          <w:szCs w:val="24"/>
        </w:rPr>
        <w:t xml:space="preserve">does not have its own </w:t>
      </w:r>
      <w:r w:rsidR="009A4C59">
        <w:rPr>
          <w:sz w:val="24"/>
          <w:szCs w:val="24"/>
        </w:rPr>
        <w:t>Institutional Review Board</w:t>
      </w:r>
      <w:r>
        <w:rPr>
          <w:sz w:val="24"/>
          <w:szCs w:val="24"/>
        </w:rPr>
        <w:t xml:space="preserve"> and will instead </w:t>
      </w:r>
      <w:r w:rsidR="00DB7673" w:rsidRPr="003B1F4D">
        <w:rPr>
          <w:sz w:val="24"/>
          <w:szCs w:val="24"/>
        </w:rPr>
        <w:t xml:space="preserve">link an organizational </w:t>
      </w:r>
      <w:proofErr w:type="spellStart"/>
      <w:r w:rsidR="00A64769">
        <w:rPr>
          <w:sz w:val="24"/>
          <w:szCs w:val="24"/>
        </w:rPr>
        <w:t>Federalwide</w:t>
      </w:r>
      <w:proofErr w:type="spellEnd"/>
      <w:r w:rsidR="00A64769">
        <w:rPr>
          <w:sz w:val="24"/>
          <w:szCs w:val="24"/>
        </w:rPr>
        <w:t xml:space="preserve"> Assurance (</w:t>
      </w:r>
      <w:r w:rsidR="00DB7673" w:rsidRPr="003B1F4D">
        <w:rPr>
          <w:sz w:val="24"/>
          <w:szCs w:val="24"/>
        </w:rPr>
        <w:t>FWA</w:t>
      </w:r>
      <w:r w:rsidR="00A64769">
        <w:rPr>
          <w:sz w:val="24"/>
          <w:szCs w:val="24"/>
        </w:rPr>
        <w:t>)</w:t>
      </w:r>
      <w:r w:rsidR="00DB7673" w:rsidRPr="003B1F4D">
        <w:rPr>
          <w:sz w:val="24"/>
          <w:szCs w:val="24"/>
        </w:rPr>
        <w:t xml:space="preserve"> to NIOSH to enable them to defer to the NIOSH </w:t>
      </w:r>
      <w:r w:rsidR="009F607F">
        <w:rPr>
          <w:sz w:val="24"/>
          <w:szCs w:val="24"/>
        </w:rPr>
        <w:t>IRB</w:t>
      </w:r>
      <w:r w:rsidR="00DB7673" w:rsidRPr="003B1F4D">
        <w:rPr>
          <w:sz w:val="24"/>
          <w:szCs w:val="24"/>
        </w:rPr>
        <w:t>.</w:t>
      </w:r>
      <w:r w:rsidR="00F3496D">
        <w:rPr>
          <w:sz w:val="24"/>
          <w:szCs w:val="24"/>
        </w:rPr>
        <w:t xml:space="preserve"> Data that result from the proposed project will be owned by NIOSH.</w:t>
      </w:r>
    </w:p>
    <w:p w:rsidR="006F7170" w:rsidRDefault="006F7170" w:rsidP="006F7170">
      <w:pPr>
        <w:spacing w:after="0"/>
        <w:rPr>
          <w:sz w:val="24"/>
          <w:szCs w:val="24"/>
        </w:rPr>
      </w:pPr>
    </w:p>
    <w:p w:rsidR="00DB7673" w:rsidRPr="00476EB4" w:rsidRDefault="00DB7673" w:rsidP="006F7170">
      <w:pPr>
        <w:spacing w:after="0"/>
        <w:rPr>
          <w:b/>
          <w:sz w:val="24"/>
          <w:szCs w:val="24"/>
          <w:u w:val="single"/>
        </w:rPr>
      </w:pPr>
      <w:r w:rsidRPr="00476EB4">
        <w:rPr>
          <w:b/>
          <w:sz w:val="24"/>
          <w:szCs w:val="24"/>
          <w:u w:val="single"/>
        </w:rPr>
        <w:t>Privacy Impact Assessment</w:t>
      </w:r>
    </w:p>
    <w:p w:rsidR="00DB7673" w:rsidRPr="00476EB4" w:rsidRDefault="00DB7673" w:rsidP="00545D7C">
      <w:pPr>
        <w:pStyle w:val="Heading3"/>
        <w:rPr>
          <w:rFonts w:asciiTheme="minorHAnsi" w:hAnsiTheme="minorHAnsi"/>
          <w:b w:val="0"/>
          <w:sz w:val="24"/>
          <w:szCs w:val="24"/>
          <w:u w:val="single"/>
        </w:rPr>
      </w:pPr>
      <w:bookmarkStart w:id="17" w:name="_Toc296089976"/>
      <w:r w:rsidRPr="00476EB4">
        <w:rPr>
          <w:rFonts w:asciiTheme="minorHAnsi" w:hAnsiTheme="minorHAnsi"/>
          <w:b w:val="0"/>
          <w:sz w:val="24"/>
          <w:szCs w:val="24"/>
          <w:u w:val="single"/>
        </w:rPr>
        <w:t>Subject to the Privacy Act</w:t>
      </w:r>
      <w:bookmarkEnd w:id="17"/>
    </w:p>
    <w:p w:rsidR="00DB7673" w:rsidRPr="00432B9B" w:rsidRDefault="00DB7673" w:rsidP="00432B9B">
      <w:pPr>
        <w:spacing w:after="0"/>
        <w:ind w:firstLine="360"/>
        <w:rPr>
          <w:sz w:val="24"/>
          <w:szCs w:val="24"/>
          <w:u w:val="single"/>
        </w:rPr>
      </w:pPr>
      <w:r w:rsidRPr="00432B9B">
        <w:rPr>
          <w:sz w:val="24"/>
          <w:szCs w:val="24"/>
        </w:rPr>
        <w:t xml:space="preserve">This submission has been reviewed by </w:t>
      </w:r>
      <w:r w:rsidR="000B1F1B">
        <w:rPr>
          <w:sz w:val="24"/>
          <w:szCs w:val="24"/>
        </w:rPr>
        <w:t>Information Collection Request Office (</w:t>
      </w:r>
      <w:r w:rsidRPr="00432B9B">
        <w:rPr>
          <w:sz w:val="24"/>
          <w:szCs w:val="24"/>
        </w:rPr>
        <w:t>ICRO</w:t>
      </w:r>
      <w:r w:rsidR="000B1F1B">
        <w:rPr>
          <w:sz w:val="24"/>
          <w:szCs w:val="24"/>
        </w:rPr>
        <w:t>)</w:t>
      </w:r>
      <w:r w:rsidR="00F3496D">
        <w:rPr>
          <w:sz w:val="24"/>
          <w:szCs w:val="24"/>
        </w:rPr>
        <w:t>, who</w:t>
      </w:r>
      <w:r w:rsidRPr="00432B9B">
        <w:rPr>
          <w:sz w:val="24"/>
          <w:szCs w:val="24"/>
        </w:rPr>
        <w:t xml:space="preserve"> determined that the Privacy Act </w:t>
      </w:r>
      <w:r w:rsidR="00F3496D">
        <w:rPr>
          <w:sz w:val="24"/>
          <w:szCs w:val="24"/>
        </w:rPr>
        <w:t>does apply</w:t>
      </w:r>
      <w:r w:rsidRPr="00432B9B">
        <w:rPr>
          <w:sz w:val="24"/>
          <w:szCs w:val="24"/>
        </w:rPr>
        <w:t>. The applicable Systems of Records Notice is 09-20-0136, “Epidemiologic Studies of Surveillance of Disease Problems.” The data are also protected by the Consumer Product Safety Act.</w:t>
      </w:r>
    </w:p>
    <w:p w:rsidR="00FF5F3C" w:rsidRDefault="00FF5F3C">
      <w:pPr>
        <w:rPr>
          <w:rFonts w:eastAsiaTheme="majorEastAsia" w:cstheme="majorBidi"/>
          <w:bCs/>
          <w:sz w:val="24"/>
          <w:szCs w:val="24"/>
          <w:u w:val="single"/>
        </w:rPr>
      </w:pPr>
      <w:bookmarkStart w:id="18" w:name="_Toc296089977"/>
      <w:r>
        <w:rPr>
          <w:b/>
          <w:sz w:val="24"/>
          <w:szCs w:val="24"/>
          <w:u w:val="single"/>
        </w:rPr>
        <w:br w:type="page"/>
      </w:r>
    </w:p>
    <w:p w:rsidR="00DB7673" w:rsidRPr="00476EB4" w:rsidRDefault="00DB7673" w:rsidP="00545D7C">
      <w:pPr>
        <w:pStyle w:val="Heading3"/>
        <w:rPr>
          <w:rFonts w:asciiTheme="minorHAnsi" w:hAnsiTheme="minorHAnsi"/>
          <w:b w:val="0"/>
          <w:sz w:val="24"/>
          <w:szCs w:val="24"/>
          <w:u w:val="single"/>
        </w:rPr>
      </w:pPr>
      <w:r w:rsidRPr="00476EB4">
        <w:rPr>
          <w:rFonts w:asciiTheme="minorHAnsi" w:hAnsiTheme="minorHAnsi"/>
          <w:b w:val="0"/>
          <w:sz w:val="24"/>
          <w:szCs w:val="24"/>
          <w:u w:val="single"/>
        </w:rPr>
        <w:lastRenderedPageBreak/>
        <w:t>Securing information</w:t>
      </w:r>
      <w:bookmarkEnd w:id="18"/>
      <w:r w:rsidRPr="00476EB4">
        <w:rPr>
          <w:rFonts w:asciiTheme="minorHAnsi" w:hAnsiTheme="minorHAnsi"/>
          <w:b w:val="0"/>
          <w:sz w:val="24"/>
          <w:szCs w:val="24"/>
          <w:u w:val="single"/>
        </w:rPr>
        <w:t xml:space="preserve"> </w:t>
      </w:r>
    </w:p>
    <w:p w:rsidR="00DB7673" w:rsidRPr="00432B9B" w:rsidRDefault="00DB7673" w:rsidP="00432B9B">
      <w:pPr>
        <w:spacing w:after="0"/>
        <w:ind w:firstLine="360"/>
        <w:rPr>
          <w:sz w:val="24"/>
          <w:szCs w:val="24"/>
        </w:rPr>
      </w:pPr>
      <w:r w:rsidRPr="00432B9B">
        <w:rPr>
          <w:sz w:val="24"/>
          <w:szCs w:val="24"/>
        </w:rPr>
        <w:t>Unless otherwise specified</w:t>
      </w:r>
      <w:r w:rsidR="005E6F05">
        <w:rPr>
          <w:sz w:val="24"/>
          <w:szCs w:val="24"/>
        </w:rPr>
        <w:t>,</w:t>
      </w:r>
      <w:r w:rsidRPr="00432B9B">
        <w:rPr>
          <w:sz w:val="24"/>
          <w:szCs w:val="24"/>
        </w:rPr>
        <w:t xml:space="preserve"> the information on access controls described below </w:t>
      </w:r>
      <w:r w:rsidR="005E6F05">
        <w:rPr>
          <w:sz w:val="24"/>
          <w:szCs w:val="24"/>
        </w:rPr>
        <w:t>applies</w:t>
      </w:r>
      <w:r w:rsidRPr="00432B9B">
        <w:rPr>
          <w:sz w:val="24"/>
          <w:szCs w:val="24"/>
        </w:rPr>
        <w:t xml:space="preserve"> to </w:t>
      </w:r>
      <w:r w:rsidR="005E6F05">
        <w:rPr>
          <w:sz w:val="24"/>
          <w:szCs w:val="24"/>
        </w:rPr>
        <w:t>both</w:t>
      </w:r>
      <w:r w:rsidRPr="00432B9B">
        <w:rPr>
          <w:sz w:val="24"/>
          <w:szCs w:val="24"/>
        </w:rPr>
        <w:t xml:space="preserve"> collaborating agencies</w:t>
      </w:r>
      <w:r w:rsidR="005E6F05">
        <w:rPr>
          <w:sz w:val="24"/>
          <w:szCs w:val="24"/>
        </w:rPr>
        <w:t>—NIOSH and CPSC</w:t>
      </w:r>
      <w:r w:rsidRPr="00432B9B">
        <w:rPr>
          <w:sz w:val="24"/>
          <w:szCs w:val="24"/>
        </w:rPr>
        <w:t>.</w:t>
      </w:r>
    </w:p>
    <w:p w:rsidR="0013607B" w:rsidRDefault="00DB7673" w:rsidP="0013607B">
      <w:pPr>
        <w:spacing w:after="0"/>
        <w:ind w:firstLine="360"/>
        <w:rPr>
          <w:sz w:val="24"/>
          <w:szCs w:val="24"/>
        </w:rPr>
      </w:pPr>
      <w:r w:rsidRPr="00476EB4">
        <w:rPr>
          <w:b/>
          <w:i/>
          <w:sz w:val="24"/>
          <w:szCs w:val="24"/>
        </w:rPr>
        <w:t>Technical Controls</w:t>
      </w:r>
      <w:r w:rsidRPr="00432B9B">
        <w:rPr>
          <w:b/>
          <w:sz w:val="24"/>
          <w:szCs w:val="24"/>
        </w:rPr>
        <w:t>:</w:t>
      </w:r>
      <w:r w:rsidRPr="00432B9B">
        <w:rPr>
          <w:sz w:val="24"/>
          <w:szCs w:val="24"/>
        </w:rPr>
        <w:t xml:space="preserve"> CPSC telephone interview contractors will use individual access and firewall protected laptop computers. For added safety, the laptops are also encrypted and password protected. The contractors will adher</w:t>
      </w:r>
      <w:r w:rsidR="000F276B">
        <w:rPr>
          <w:sz w:val="24"/>
          <w:szCs w:val="24"/>
        </w:rPr>
        <w:t>e to the privacy protections pre</w:t>
      </w:r>
      <w:r w:rsidRPr="00432B9B">
        <w:rPr>
          <w:sz w:val="24"/>
          <w:szCs w:val="24"/>
        </w:rPr>
        <w:t>scribed in the CPSC interview contracts. Personal identifiers are provided to the interviewers to complete the interviews. Once the interview is completed the personal identifiers are removed from the data by CPSC and only de-identified data will be provided to NIOSH.</w:t>
      </w:r>
    </w:p>
    <w:p w:rsidR="002550AE" w:rsidRDefault="00DB7673" w:rsidP="002550AE">
      <w:pPr>
        <w:spacing w:after="0"/>
        <w:ind w:firstLine="360"/>
        <w:rPr>
          <w:sz w:val="24"/>
          <w:szCs w:val="24"/>
        </w:rPr>
      </w:pPr>
      <w:r w:rsidRPr="00432B9B">
        <w:rPr>
          <w:sz w:val="24"/>
          <w:szCs w:val="24"/>
        </w:rPr>
        <w:t xml:space="preserve">Once collected, all data are stored on access-controlled agency computers. User authentication and robust passwords are required for data access within the agency firewalls. Data access from outside the firewall or offsite locations is not permitted. Within the firewall on agency servers, data files are located in access-controlled directories so that only individuals </w:t>
      </w:r>
      <w:r w:rsidRPr="002550AE">
        <w:rPr>
          <w:sz w:val="24"/>
          <w:szCs w:val="24"/>
        </w:rPr>
        <w:t xml:space="preserve">specifically authorized to access the project data may have read and/or write privileges. </w:t>
      </w:r>
    </w:p>
    <w:p w:rsidR="002550AE" w:rsidRDefault="00DB7673" w:rsidP="002550AE">
      <w:pPr>
        <w:spacing w:after="0"/>
        <w:ind w:firstLine="360"/>
        <w:rPr>
          <w:sz w:val="24"/>
          <w:szCs w:val="24"/>
        </w:rPr>
      </w:pPr>
      <w:r w:rsidRPr="00476EB4">
        <w:rPr>
          <w:b/>
          <w:i/>
          <w:sz w:val="24"/>
          <w:szCs w:val="24"/>
        </w:rPr>
        <w:t>Physical Controls</w:t>
      </w:r>
      <w:r w:rsidRPr="002550AE">
        <w:rPr>
          <w:b/>
          <w:sz w:val="24"/>
          <w:szCs w:val="24"/>
        </w:rPr>
        <w:t>:</w:t>
      </w:r>
      <w:r w:rsidRPr="002550AE">
        <w:rPr>
          <w:sz w:val="24"/>
          <w:szCs w:val="24"/>
        </w:rPr>
        <w:t xml:space="preserve"> Each agency maintains a secure, guarded facility requiring employee identification badges and individual key cards. Visitors are restricted and require on-site escort. Security monitoring including closed circuit TV is in use.</w:t>
      </w:r>
    </w:p>
    <w:p w:rsidR="002315DE" w:rsidRDefault="00DB7673" w:rsidP="002315DE">
      <w:pPr>
        <w:spacing w:after="0"/>
        <w:ind w:firstLine="360"/>
        <w:rPr>
          <w:sz w:val="24"/>
          <w:szCs w:val="24"/>
        </w:rPr>
      </w:pPr>
      <w:r w:rsidRPr="00476EB4">
        <w:rPr>
          <w:b/>
          <w:i/>
          <w:sz w:val="24"/>
          <w:szCs w:val="24"/>
        </w:rPr>
        <w:t>Administrative Controls</w:t>
      </w:r>
      <w:r w:rsidRPr="002550AE">
        <w:rPr>
          <w:b/>
          <w:sz w:val="24"/>
          <w:szCs w:val="24"/>
        </w:rPr>
        <w:t xml:space="preserve">: </w:t>
      </w:r>
      <w:r w:rsidRPr="002550AE">
        <w:rPr>
          <w:sz w:val="24"/>
          <w:szCs w:val="24"/>
        </w:rPr>
        <w:t xml:space="preserve">CPSC has standard security protocols for acquiring the personal identifiers and providing the identifiers to the contract telephone interviewers. Similarly, NIOSH </w:t>
      </w:r>
      <w:r w:rsidR="002550AE">
        <w:rPr>
          <w:sz w:val="24"/>
          <w:szCs w:val="24"/>
        </w:rPr>
        <w:t>has</w:t>
      </w:r>
      <w:r w:rsidRPr="002550AE">
        <w:rPr>
          <w:sz w:val="24"/>
          <w:szCs w:val="24"/>
        </w:rPr>
        <w:t xml:space="preserve"> in place standard processes for securing NEISS-Work conf</w:t>
      </w:r>
      <w:r w:rsidR="002315DE">
        <w:rPr>
          <w:sz w:val="24"/>
          <w:szCs w:val="24"/>
        </w:rPr>
        <w:t>idential data. Thus, no project-</w:t>
      </w:r>
      <w:r w:rsidRPr="002550AE">
        <w:rPr>
          <w:sz w:val="24"/>
          <w:szCs w:val="24"/>
        </w:rPr>
        <w:t xml:space="preserve">specific data security plan is required. All project data users will have confidential data training; </w:t>
      </w:r>
      <w:r w:rsidRPr="002315DE">
        <w:rPr>
          <w:sz w:val="24"/>
          <w:szCs w:val="24"/>
        </w:rPr>
        <w:t>sign data use agreements; and have role-based data access as described below.</w:t>
      </w:r>
    </w:p>
    <w:p w:rsidR="006A6A7C" w:rsidRDefault="00DB7673" w:rsidP="006A6A7C">
      <w:pPr>
        <w:spacing w:after="0"/>
        <w:ind w:firstLine="360"/>
        <w:rPr>
          <w:sz w:val="24"/>
          <w:szCs w:val="24"/>
        </w:rPr>
      </w:pPr>
      <w:r w:rsidRPr="002315DE">
        <w:rPr>
          <w:sz w:val="24"/>
          <w:szCs w:val="24"/>
        </w:rPr>
        <w:t xml:space="preserve">The routine NEISS-Work surveillance data and the interview data are protected under the U.S. Consumer Product Safety Act and the Privacy Act. Once the personal identifiers are removed by CPSC prior to NIOSH receiving the data, the data are considered low to moderate sensitivity. NIOSH maintains an interagency agreement with CPSC ensuring protection of the NEISS-Work data per applicable law with additional stipulations to enhance the overall data protection. In addition, NIOSH requires that all NIOSH staff and/or contractors sign NEISS-Work data use agreements, comply with specific confidential data practices, and take annual confidential data </w:t>
      </w:r>
      <w:r w:rsidR="0025479B">
        <w:rPr>
          <w:sz w:val="24"/>
          <w:szCs w:val="24"/>
        </w:rPr>
        <w:t xml:space="preserve">stewardship </w:t>
      </w:r>
      <w:r w:rsidR="006A6A7C">
        <w:rPr>
          <w:sz w:val="24"/>
          <w:szCs w:val="24"/>
        </w:rPr>
        <w:t>training.</w:t>
      </w:r>
      <w:r w:rsidR="006A6A7C" w:rsidRPr="002315DE">
        <w:rPr>
          <w:sz w:val="24"/>
          <w:szCs w:val="24"/>
        </w:rPr>
        <w:t xml:space="preserve"> NIOSH</w:t>
      </w:r>
      <w:r w:rsidRPr="002315DE">
        <w:rPr>
          <w:sz w:val="24"/>
          <w:szCs w:val="24"/>
        </w:rPr>
        <w:t xml:space="preserve"> requires that all contracts led by NIOSH staff that involve access to NEISS-Work data include </w:t>
      </w:r>
      <w:r w:rsidR="00EE00C8">
        <w:rPr>
          <w:sz w:val="24"/>
          <w:szCs w:val="24"/>
        </w:rPr>
        <w:t>security</w:t>
      </w:r>
      <w:r w:rsidRPr="002315DE">
        <w:rPr>
          <w:sz w:val="24"/>
          <w:szCs w:val="24"/>
        </w:rPr>
        <w:t xml:space="preserve"> provisions in the contract language</w:t>
      </w:r>
      <w:r w:rsidR="0025479B">
        <w:rPr>
          <w:sz w:val="24"/>
          <w:szCs w:val="24"/>
        </w:rPr>
        <w:t>,</w:t>
      </w:r>
      <w:r w:rsidRPr="002315DE">
        <w:rPr>
          <w:sz w:val="24"/>
          <w:szCs w:val="24"/>
        </w:rPr>
        <w:t xml:space="preserve"> including the requirements for individual data use agreements, training, and so on. Quarterly, NIOSH reviews individual data access needs. On an as needed basis, NIOSH removes access and conducts a data clearance process for departing employees and/or contractors or individuals </w:t>
      </w:r>
      <w:r w:rsidRPr="006A6A7C">
        <w:rPr>
          <w:sz w:val="24"/>
          <w:szCs w:val="24"/>
        </w:rPr>
        <w:t xml:space="preserve">who no longer have a demonstrated need for data access. </w:t>
      </w:r>
    </w:p>
    <w:p w:rsidR="007907B2" w:rsidRDefault="00DB7673" w:rsidP="0006255C">
      <w:pPr>
        <w:spacing w:after="0"/>
        <w:ind w:firstLine="360"/>
        <w:rPr>
          <w:sz w:val="24"/>
          <w:szCs w:val="24"/>
        </w:rPr>
      </w:pPr>
      <w:r w:rsidRPr="006A6A7C">
        <w:rPr>
          <w:sz w:val="24"/>
          <w:szCs w:val="24"/>
        </w:rPr>
        <w:t xml:space="preserve">As the primary data steward for the NEISS-Work data including interview results, NIOSH follows CDC-wide backup protocols and maintains these data on a protected server </w:t>
      </w:r>
      <w:r w:rsidRPr="006A6A7C">
        <w:rPr>
          <w:sz w:val="24"/>
          <w:szCs w:val="24"/>
        </w:rPr>
        <w:lastRenderedPageBreak/>
        <w:t>that is backed up nightly. For this project the NIOSH staff directly involved in the data collection and analyses will have full data access. All other NIOSH staff will have access to aggregated data only in a review capacity. NIOSH will maintain the files for a minimum of 20 years to allow for re-analyses and comparison with potential future surveys. In compliance with Federal Records Retention regulations, at the end of the retention period all individual interview data files will be destroyed. Because of the remote possibility for indirect identification of an individual respondent, no individual records will be transmitted to the National Archives.</w:t>
      </w:r>
      <w:bookmarkStart w:id="19" w:name="_Toc296089978"/>
      <w:bookmarkStart w:id="20" w:name="OLE_LINK13"/>
      <w:bookmarkStart w:id="21" w:name="OLE_LINK14"/>
    </w:p>
    <w:p w:rsidR="00DB7673" w:rsidRPr="00476EB4" w:rsidRDefault="00DB7673" w:rsidP="00545D7C">
      <w:pPr>
        <w:pStyle w:val="Heading3"/>
        <w:rPr>
          <w:rFonts w:asciiTheme="minorHAnsi" w:hAnsiTheme="minorHAnsi"/>
          <w:b w:val="0"/>
          <w:sz w:val="24"/>
          <w:szCs w:val="24"/>
          <w:u w:val="single"/>
        </w:rPr>
      </w:pPr>
      <w:r w:rsidRPr="00476EB4">
        <w:rPr>
          <w:rFonts w:asciiTheme="minorHAnsi" w:hAnsiTheme="minorHAnsi"/>
          <w:b w:val="0"/>
          <w:sz w:val="24"/>
          <w:szCs w:val="24"/>
          <w:u w:val="single"/>
        </w:rPr>
        <w:t>Obtaining respondent consent</w:t>
      </w:r>
      <w:bookmarkEnd w:id="19"/>
    </w:p>
    <w:bookmarkEnd w:id="20"/>
    <w:bookmarkEnd w:id="21"/>
    <w:p w:rsidR="00DB7673" w:rsidRPr="007D6DDA" w:rsidRDefault="00DB7673" w:rsidP="007D6DDA">
      <w:pPr>
        <w:spacing w:after="0"/>
        <w:ind w:firstLine="360"/>
        <w:rPr>
          <w:sz w:val="24"/>
          <w:szCs w:val="24"/>
        </w:rPr>
      </w:pPr>
      <w:r w:rsidRPr="007D6DDA">
        <w:rPr>
          <w:sz w:val="24"/>
          <w:szCs w:val="24"/>
        </w:rPr>
        <w:t xml:space="preserve">Prior to receiving a telephone call, respondents will be sent a letter inviting them to participate in the study (Appendix </w:t>
      </w:r>
      <w:r w:rsidR="00966961">
        <w:rPr>
          <w:sz w:val="24"/>
          <w:szCs w:val="24"/>
        </w:rPr>
        <w:t>E</w:t>
      </w:r>
      <w:r w:rsidRPr="007D6DDA">
        <w:rPr>
          <w:sz w:val="24"/>
          <w:szCs w:val="24"/>
        </w:rPr>
        <w:t>). This letter will explain the study to them and cover the required items found in an informed consent, including the purpose of the project and the protection of their individual responses during the release of the information. In addition to the letter, a written script will be read to potential respondents when they are called for the telephone interview. This script also explains the purpose of the study and the privacy protections that will be taken. Following these verbal explanations, the potential respondent is asked whether they are willing to participate. A positive response to this question will be deemed to be the verbal consent of the respondent. The written script is included as part of Appendi</w:t>
      </w:r>
      <w:r w:rsidR="001D33DC">
        <w:rPr>
          <w:sz w:val="24"/>
          <w:szCs w:val="24"/>
        </w:rPr>
        <w:t xml:space="preserve">ces </w:t>
      </w:r>
      <w:r w:rsidR="00966961">
        <w:rPr>
          <w:sz w:val="24"/>
          <w:szCs w:val="24"/>
        </w:rPr>
        <w:t>F</w:t>
      </w:r>
      <w:r w:rsidR="001D33DC">
        <w:rPr>
          <w:sz w:val="24"/>
          <w:szCs w:val="24"/>
        </w:rPr>
        <w:t xml:space="preserve"> and</w:t>
      </w:r>
      <w:r w:rsidRPr="007D6DDA">
        <w:rPr>
          <w:sz w:val="24"/>
          <w:szCs w:val="24"/>
        </w:rPr>
        <w:t xml:space="preserve"> </w:t>
      </w:r>
      <w:r w:rsidR="00966961">
        <w:rPr>
          <w:sz w:val="24"/>
          <w:szCs w:val="24"/>
        </w:rPr>
        <w:t>G</w:t>
      </w:r>
      <w:r w:rsidRPr="007D6DDA">
        <w:rPr>
          <w:sz w:val="24"/>
          <w:szCs w:val="24"/>
        </w:rPr>
        <w:t>.</w:t>
      </w:r>
    </w:p>
    <w:p w:rsidR="00DB7673" w:rsidRPr="00476EB4" w:rsidRDefault="00DB7673" w:rsidP="00545D7C">
      <w:pPr>
        <w:pStyle w:val="Heading3"/>
        <w:rPr>
          <w:rFonts w:asciiTheme="minorHAnsi" w:hAnsiTheme="minorHAnsi"/>
          <w:b w:val="0"/>
          <w:sz w:val="24"/>
          <w:szCs w:val="24"/>
          <w:u w:val="single"/>
        </w:rPr>
      </w:pPr>
      <w:bookmarkStart w:id="22" w:name="_Toc296089979"/>
      <w:r w:rsidRPr="00476EB4">
        <w:rPr>
          <w:rFonts w:asciiTheme="minorHAnsi" w:hAnsiTheme="minorHAnsi"/>
          <w:b w:val="0"/>
          <w:sz w:val="24"/>
          <w:szCs w:val="24"/>
          <w:u w:val="single"/>
        </w:rPr>
        <w:t>Informing respondents of the voluntary nature of the survey</w:t>
      </w:r>
      <w:bookmarkEnd w:id="22"/>
    </w:p>
    <w:p w:rsidR="00DB7673" w:rsidRPr="007D6DDA" w:rsidRDefault="00DB7673" w:rsidP="00476EB4">
      <w:pPr>
        <w:spacing w:after="0"/>
        <w:ind w:firstLine="360"/>
        <w:rPr>
          <w:sz w:val="24"/>
          <w:szCs w:val="24"/>
        </w:rPr>
      </w:pPr>
      <w:r w:rsidRPr="007D6DDA">
        <w:rPr>
          <w:sz w:val="24"/>
          <w:szCs w:val="24"/>
        </w:rPr>
        <w:t>The introductory letter sent to respondents</w:t>
      </w:r>
      <w:r w:rsidR="00C9378D">
        <w:rPr>
          <w:sz w:val="24"/>
          <w:szCs w:val="24"/>
        </w:rPr>
        <w:t>,</w:t>
      </w:r>
      <w:r w:rsidRPr="007D6DDA">
        <w:rPr>
          <w:sz w:val="24"/>
          <w:szCs w:val="24"/>
        </w:rPr>
        <w:t xml:space="preserve"> and the script read prior to initiation of the telephone call</w:t>
      </w:r>
      <w:r w:rsidR="00C9378D">
        <w:rPr>
          <w:sz w:val="24"/>
          <w:szCs w:val="24"/>
        </w:rPr>
        <w:t>,</w:t>
      </w:r>
      <w:r w:rsidRPr="007D6DDA">
        <w:rPr>
          <w:sz w:val="24"/>
          <w:szCs w:val="24"/>
        </w:rPr>
        <w:t xml:space="preserve"> inform respondents that participation in this study is voluntary. Potential respondents are given the option to not participate by calling a toll-free number printed on the introductory letter prior to the telephone interview or by verbally declining participation at the time of the phone call.</w:t>
      </w:r>
    </w:p>
    <w:p w:rsidR="00476EB4" w:rsidRPr="00476EB4" w:rsidRDefault="00DB7673" w:rsidP="00476EB4">
      <w:pPr>
        <w:pStyle w:val="Heading2"/>
        <w:rPr>
          <w:rFonts w:asciiTheme="minorHAnsi" w:hAnsiTheme="minorHAnsi"/>
          <w:sz w:val="24"/>
          <w:szCs w:val="24"/>
        </w:rPr>
      </w:pPr>
      <w:bookmarkStart w:id="23" w:name="_Toc296089980"/>
      <w:bookmarkStart w:id="24" w:name="OLE_LINK16"/>
      <w:bookmarkStart w:id="25" w:name="OLE_LINK17"/>
      <w:r w:rsidRPr="000B207A">
        <w:rPr>
          <w:rFonts w:asciiTheme="minorHAnsi" w:hAnsiTheme="minorHAnsi"/>
          <w:sz w:val="24"/>
          <w:szCs w:val="24"/>
        </w:rPr>
        <w:t>A.11</w:t>
      </w:r>
      <w:r w:rsidRPr="000B207A">
        <w:rPr>
          <w:rFonts w:asciiTheme="minorHAnsi" w:hAnsiTheme="minorHAnsi"/>
          <w:sz w:val="24"/>
          <w:szCs w:val="24"/>
        </w:rPr>
        <w:tab/>
        <w:t>Justification for Sensitive Questions</w:t>
      </w:r>
      <w:bookmarkEnd w:id="23"/>
      <w:r w:rsidR="00476EB4">
        <w:rPr>
          <w:rFonts w:asciiTheme="minorHAnsi" w:hAnsiTheme="minorHAnsi"/>
          <w:sz w:val="24"/>
          <w:szCs w:val="24"/>
        </w:rPr>
        <w:br/>
      </w:r>
    </w:p>
    <w:bookmarkEnd w:id="24"/>
    <w:bookmarkEnd w:id="25"/>
    <w:p w:rsidR="00DB7673" w:rsidRPr="00C9378D" w:rsidRDefault="00DB7673" w:rsidP="008451D1">
      <w:pPr>
        <w:spacing w:after="0"/>
        <w:ind w:firstLine="360"/>
        <w:rPr>
          <w:sz w:val="24"/>
          <w:szCs w:val="24"/>
        </w:rPr>
      </w:pPr>
      <w:r w:rsidRPr="00C9378D">
        <w:rPr>
          <w:sz w:val="24"/>
          <w:szCs w:val="24"/>
        </w:rPr>
        <w:t xml:space="preserve">The telephone interview survey will ask for the respondent’s primary diagnosis </w:t>
      </w:r>
      <w:r w:rsidR="005A00AC">
        <w:rPr>
          <w:sz w:val="24"/>
          <w:szCs w:val="24"/>
        </w:rPr>
        <w:t>from their ED visit as well as a narrative account of the injury or illness and how it occurred</w:t>
      </w:r>
      <w:r w:rsidRPr="00C9378D">
        <w:rPr>
          <w:sz w:val="24"/>
          <w:szCs w:val="24"/>
        </w:rPr>
        <w:t>. This information is necessary for understan</w:t>
      </w:r>
      <w:r w:rsidR="00C9378D">
        <w:rPr>
          <w:sz w:val="24"/>
          <w:szCs w:val="24"/>
        </w:rPr>
        <w:t>ding the nature of the injury or illness that was treated in the ED</w:t>
      </w:r>
      <w:r w:rsidRPr="00C9378D">
        <w:rPr>
          <w:sz w:val="24"/>
          <w:szCs w:val="24"/>
        </w:rPr>
        <w:t xml:space="preserve">. </w:t>
      </w:r>
      <w:r w:rsidR="00C9378D">
        <w:rPr>
          <w:sz w:val="24"/>
          <w:szCs w:val="24"/>
        </w:rPr>
        <w:t xml:space="preserve">The telephone interview survey also asks for the name and location of the company for which </w:t>
      </w:r>
      <w:r w:rsidR="000B5437">
        <w:rPr>
          <w:sz w:val="24"/>
          <w:szCs w:val="24"/>
        </w:rPr>
        <w:t>respondents</w:t>
      </w:r>
      <w:r w:rsidR="00C9378D">
        <w:rPr>
          <w:sz w:val="24"/>
          <w:szCs w:val="24"/>
        </w:rPr>
        <w:t xml:space="preserve"> were working at the time that they were injured or became ill</w:t>
      </w:r>
      <w:r w:rsidRPr="00C9378D">
        <w:rPr>
          <w:sz w:val="24"/>
          <w:szCs w:val="24"/>
        </w:rPr>
        <w:t xml:space="preserve">. </w:t>
      </w:r>
      <w:r w:rsidR="000B5437">
        <w:rPr>
          <w:sz w:val="24"/>
          <w:szCs w:val="24"/>
        </w:rPr>
        <w:t xml:space="preserve">This information is needed in order to help classify the industry of the company that employed the respondent. If respondents hesitate or ask, they are informed of the reason for collection of this information and assured that their employer will not be contacted for any reason. Other questions that may be considered sensitive by the respondent are demographic in nature (e.g., educational attainment and family income). This information is needed in order to better understand the characteristics of individuals </w:t>
      </w:r>
      <w:r w:rsidR="000B5437">
        <w:rPr>
          <w:sz w:val="24"/>
          <w:szCs w:val="24"/>
        </w:rPr>
        <w:lastRenderedPageBreak/>
        <w:t>who do, or do not, report their injuries or illnesses to their employer and/or the hospital where they are treated.</w:t>
      </w:r>
      <w:r w:rsidR="008451D1">
        <w:rPr>
          <w:sz w:val="24"/>
          <w:szCs w:val="24"/>
        </w:rPr>
        <w:t xml:space="preserve"> </w:t>
      </w:r>
      <w:r w:rsidRPr="00C9378D">
        <w:rPr>
          <w:sz w:val="24"/>
          <w:szCs w:val="24"/>
        </w:rPr>
        <w:t>As the survey is voluntary, respondents may refuse to answer any questions. Respondents are informed of their right to refuse participation and their right to refuse to answer individual questions in t</w:t>
      </w:r>
      <w:r w:rsidR="00AD767B">
        <w:rPr>
          <w:sz w:val="24"/>
          <w:szCs w:val="24"/>
        </w:rPr>
        <w:t xml:space="preserve">he introductory letter (Appendix </w:t>
      </w:r>
      <w:r w:rsidR="00966961">
        <w:rPr>
          <w:sz w:val="24"/>
          <w:szCs w:val="24"/>
        </w:rPr>
        <w:t>E</w:t>
      </w:r>
      <w:r w:rsidRPr="00C9378D">
        <w:rPr>
          <w:sz w:val="24"/>
          <w:szCs w:val="24"/>
        </w:rPr>
        <w:t>) and in the script that is read to them at the beginning of the telephone interview (Appendi</w:t>
      </w:r>
      <w:r w:rsidR="00AD767B">
        <w:rPr>
          <w:sz w:val="24"/>
          <w:szCs w:val="24"/>
        </w:rPr>
        <w:t xml:space="preserve">ces </w:t>
      </w:r>
      <w:r w:rsidR="00966961">
        <w:rPr>
          <w:sz w:val="24"/>
          <w:szCs w:val="24"/>
        </w:rPr>
        <w:t>F</w:t>
      </w:r>
      <w:r w:rsidR="00AD767B">
        <w:rPr>
          <w:sz w:val="24"/>
          <w:szCs w:val="24"/>
        </w:rPr>
        <w:t xml:space="preserve"> and</w:t>
      </w:r>
      <w:r w:rsidRPr="00C9378D">
        <w:rPr>
          <w:sz w:val="24"/>
          <w:szCs w:val="24"/>
        </w:rPr>
        <w:t xml:space="preserve"> </w:t>
      </w:r>
      <w:r w:rsidR="00966961">
        <w:rPr>
          <w:sz w:val="24"/>
          <w:szCs w:val="24"/>
        </w:rPr>
        <w:t>G</w:t>
      </w:r>
      <w:r w:rsidRPr="00C9378D">
        <w:rPr>
          <w:sz w:val="24"/>
          <w:szCs w:val="24"/>
        </w:rPr>
        <w:t xml:space="preserve">). The verbal consent of the respondent is obtained at the time of telephone interview. Consent for completion of the telephone interview survey will be described in the introductory letter and then confirmed in the written script at the beginning of the telephone interview. </w:t>
      </w:r>
    </w:p>
    <w:p w:rsidR="00476EB4" w:rsidRDefault="00DB7673" w:rsidP="00476EB4">
      <w:pPr>
        <w:pStyle w:val="Heading2"/>
        <w:rPr>
          <w:rFonts w:asciiTheme="minorHAnsi" w:hAnsiTheme="minorHAnsi"/>
          <w:sz w:val="24"/>
          <w:szCs w:val="24"/>
          <w:u w:val="single"/>
        </w:rPr>
      </w:pPr>
      <w:bookmarkStart w:id="26" w:name="_Toc296089981"/>
      <w:bookmarkStart w:id="27" w:name="OLE_LINK18"/>
      <w:bookmarkStart w:id="28" w:name="OLE_LINK19"/>
      <w:r w:rsidRPr="000B207A">
        <w:rPr>
          <w:rFonts w:asciiTheme="minorHAnsi" w:hAnsiTheme="minorHAnsi"/>
          <w:sz w:val="24"/>
          <w:szCs w:val="24"/>
        </w:rPr>
        <w:t>A.12</w:t>
      </w:r>
      <w:r w:rsidRPr="000B207A">
        <w:rPr>
          <w:rFonts w:asciiTheme="minorHAnsi" w:hAnsiTheme="minorHAnsi"/>
          <w:sz w:val="24"/>
          <w:szCs w:val="24"/>
        </w:rPr>
        <w:tab/>
        <w:t>Estimates of Annualized Burden Hours and Costs</w:t>
      </w:r>
      <w:bookmarkStart w:id="29" w:name="_Toc296089982"/>
      <w:bookmarkEnd w:id="26"/>
      <w:bookmarkEnd w:id="27"/>
      <w:bookmarkEnd w:id="28"/>
    </w:p>
    <w:p w:rsidR="00DB7673" w:rsidRPr="00476EB4" w:rsidRDefault="00DB7673" w:rsidP="00545D7C">
      <w:pPr>
        <w:pStyle w:val="Heading3"/>
        <w:rPr>
          <w:rFonts w:asciiTheme="minorHAnsi" w:hAnsiTheme="minorHAnsi"/>
          <w:sz w:val="24"/>
          <w:szCs w:val="24"/>
          <w:u w:val="single"/>
        </w:rPr>
      </w:pPr>
      <w:r w:rsidRPr="00476EB4">
        <w:rPr>
          <w:rFonts w:asciiTheme="minorHAnsi" w:hAnsiTheme="minorHAnsi"/>
          <w:sz w:val="24"/>
          <w:szCs w:val="24"/>
          <w:u w:val="single"/>
        </w:rPr>
        <w:t>Estimates of Annualized Burden Hours</w:t>
      </w:r>
      <w:bookmarkEnd w:id="29"/>
    </w:p>
    <w:p w:rsidR="00F52F05" w:rsidRPr="00926A52" w:rsidRDefault="00F52F05" w:rsidP="00926A52">
      <w:pPr>
        <w:pStyle w:val="L1-FlLSp12"/>
        <w:tabs>
          <w:tab w:val="clear" w:pos="1152"/>
          <w:tab w:val="left" w:pos="720"/>
        </w:tabs>
        <w:spacing w:after="0" w:line="276" w:lineRule="auto"/>
        <w:ind w:firstLine="360"/>
        <w:rPr>
          <w:rFonts w:asciiTheme="minorHAnsi" w:hAnsiTheme="minorHAnsi" w:cs="Times New Roman"/>
          <w:szCs w:val="24"/>
        </w:rPr>
      </w:pPr>
      <w:r w:rsidRPr="00F52F05">
        <w:rPr>
          <w:rFonts w:asciiTheme="minorHAnsi" w:hAnsiTheme="minorHAnsi" w:cs="Times New Roman"/>
          <w:szCs w:val="24"/>
          <w:lang w:eastAsia="ja-JP"/>
        </w:rPr>
        <w:t>For th</w:t>
      </w:r>
      <w:r w:rsidR="00C5001F">
        <w:rPr>
          <w:rFonts w:asciiTheme="minorHAnsi" w:hAnsiTheme="minorHAnsi" w:cs="Times New Roman"/>
          <w:szCs w:val="24"/>
          <w:lang w:eastAsia="ja-JP"/>
        </w:rPr>
        <w:t xml:space="preserve">is </w:t>
      </w:r>
      <w:r w:rsidRPr="00F52F05">
        <w:rPr>
          <w:rFonts w:asciiTheme="minorHAnsi" w:hAnsiTheme="minorHAnsi" w:cs="Times New Roman"/>
          <w:szCs w:val="24"/>
          <w:lang w:eastAsia="ja-JP"/>
        </w:rPr>
        <w:t>survey we are us</w:t>
      </w:r>
      <w:r>
        <w:rPr>
          <w:rFonts w:asciiTheme="minorHAnsi" w:hAnsiTheme="minorHAnsi" w:cs="Times New Roman"/>
          <w:szCs w:val="24"/>
          <w:lang w:eastAsia="ja-JP"/>
        </w:rPr>
        <w:t>ing a statistical sampling method designed by Westat</w:t>
      </w:r>
      <w:r w:rsidR="008C5F26">
        <w:rPr>
          <w:rFonts w:asciiTheme="minorHAnsi" w:hAnsiTheme="minorHAnsi" w:cs="Times New Roman"/>
          <w:szCs w:val="24"/>
          <w:lang w:eastAsia="ja-JP"/>
        </w:rPr>
        <w:t xml:space="preserve">, under contract to NIOSH. </w:t>
      </w:r>
      <w:r w:rsidRPr="00F52F05">
        <w:rPr>
          <w:rFonts w:asciiTheme="minorHAnsi" w:hAnsiTheme="minorHAnsi" w:cs="Times New Roman"/>
          <w:szCs w:val="24"/>
        </w:rPr>
        <w:t xml:space="preserve">Approximately 1,500 to 3,000 completed interviews are anticipated pending funding limitations and other operational constraints in place at the time of interview. For the purposes of developing the sample design, 2,000 completed interviews </w:t>
      </w:r>
      <w:r w:rsidR="008C5F26">
        <w:rPr>
          <w:rFonts w:asciiTheme="minorHAnsi" w:hAnsiTheme="minorHAnsi" w:cs="Times New Roman"/>
          <w:szCs w:val="24"/>
        </w:rPr>
        <w:t>were assumed</w:t>
      </w:r>
      <w:r w:rsidRPr="00F52F05">
        <w:rPr>
          <w:rFonts w:asciiTheme="minorHAnsi" w:hAnsiTheme="minorHAnsi" w:cs="Times New Roman"/>
          <w:szCs w:val="24"/>
        </w:rPr>
        <w:t>.</w:t>
      </w:r>
      <w:r w:rsidR="008C5F26">
        <w:rPr>
          <w:rFonts w:asciiTheme="minorHAnsi" w:hAnsiTheme="minorHAnsi" w:cs="Times New Roman"/>
          <w:szCs w:val="24"/>
        </w:rPr>
        <w:t xml:space="preserve"> </w:t>
      </w:r>
      <w:r w:rsidRPr="008C5F26">
        <w:rPr>
          <w:rFonts w:asciiTheme="minorHAnsi" w:hAnsiTheme="minorHAnsi" w:cs="Times New Roman"/>
          <w:szCs w:val="24"/>
        </w:rPr>
        <w:t xml:space="preserve">The sampling frame excludes patients who are day laborers or volunteers. It consists of all work-related injury or illness ED patient records for individuals aged 20 to 64 years </w:t>
      </w:r>
      <w:r w:rsidR="008D0B58">
        <w:rPr>
          <w:rFonts w:asciiTheme="minorHAnsi" w:hAnsiTheme="minorHAnsi" w:cs="Times New Roman"/>
          <w:szCs w:val="24"/>
        </w:rPr>
        <w:t>treated</w:t>
      </w:r>
      <w:r w:rsidRPr="008C5F26">
        <w:rPr>
          <w:rFonts w:asciiTheme="minorHAnsi" w:hAnsiTheme="minorHAnsi" w:cs="Times New Roman"/>
          <w:szCs w:val="24"/>
        </w:rPr>
        <w:t xml:space="preserve"> at the NEISS-Work sample hospitals (excluding five Children’s hospitals) over the course of the year. For sample design purposes, the prevalence of </w:t>
      </w:r>
      <w:r w:rsidR="00926A52">
        <w:rPr>
          <w:rFonts w:asciiTheme="minorHAnsi" w:hAnsiTheme="minorHAnsi" w:cs="Times New Roman"/>
          <w:szCs w:val="24"/>
        </w:rPr>
        <w:t>specific</w:t>
      </w:r>
      <w:r w:rsidRPr="008C5F26">
        <w:rPr>
          <w:rFonts w:asciiTheme="minorHAnsi" w:hAnsiTheme="minorHAnsi" w:cs="Times New Roman"/>
          <w:szCs w:val="24"/>
        </w:rPr>
        <w:t xml:space="preserve"> groups was estimated using NEISS-Work 2009 second and third quarter </w:t>
      </w:r>
      <w:r w:rsidR="00926A52">
        <w:rPr>
          <w:rFonts w:asciiTheme="minorHAnsi" w:hAnsiTheme="minorHAnsi" w:cs="Times New Roman"/>
          <w:szCs w:val="24"/>
        </w:rPr>
        <w:t xml:space="preserve">data with the hospital weights. </w:t>
      </w:r>
      <w:r w:rsidRPr="00926A52">
        <w:rPr>
          <w:rFonts w:asciiTheme="minorHAnsi" w:hAnsiTheme="minorHAnsi" w:cs="Times New Roman"/>
          <w:szCs w:val="24"/>
        </w:rPr>
        <w:t xml:space="preserve">Given the importance of the self-employed and farm workers for this study and their very low prevalence in the sampling frame, all such persons </w:t>
      </w:r>
      <w:r w:rsidR="00926A52">
        <w:rPr>
          <w:rFonts w:asciiTheme="minorHAnsi" w:hAnsiTheme="minorHAnsi" w:cs="Times New Roman"/>
          <w:szCs w:val="24"/>
        </w:rPr>
        <w:t>will</w:t>
      </w:r>
      <w:r w:rsidRPr="00926A52">
        <w:rPr>
          <w:rFonts w:asciiTheme="minorHAnsi" w:hAnsiTheme="minorHAnsi" w:cs="Times New Roman"/>
          <w:szCs w:val="24"/>
        </w:rPr>
        <w:t xml:space="preserve"> be taken into the sample with certainty to provide enough cases for producing estimates that meet the NIOSH precision requirement. </w:t>
      </w:r>
    </w:p>
    <w:p w:rsidR="00725C0F" w:rsidRDefault="00926A52" w:rsidP="00725C0F">
      <w:pPr>
        <w:spacing w:after="0"/>
        <w:ind w:firstLine="360"/>
        <w:rPr>
          <w:rFonts w:cs="Times New Roman"/>
          <w:sz w:val="24"/>
          <w:szCs w:val="24"/>
        </w:rPr>
      </w:pPr>
      <w:r>
        <w:rPr>
          <w:rFonts w:cs="Times New Roman"/>
          <w:sz w:val="24"/>
          <w:szCs w:val="24"/>
        </w:rPr>
        <w:t>T</w:t>
      </w:r>
      <w:r w:rsidR="00F52F05" w:rsidRPr="00926A52">
        <w:rPr>
          <w:rFonts w:cs="Times New Roman"/>
          <w:sz w:val="24"/>
          <w:szCs w:val="24"/>
        </w:rPr>
        <w:t xml:space="preserve">he sampling rate for the remaining eligible patients at each hospital ED </w:t>
      </w:r>
      <w:r w:rsidR="008D0B58">
        <w:rPr>
          <w:rFonts w:cs="Times New Roman"/>
          <w:sz w:val="24"/>
          <w:szCs w:val="24"/>
        </w:rPr>
        <w:t>were calculated</w:t>
      </w:r>
      <w:r w:rsidR="00F52F05" w:rsidRPr="00926A52">
        <w:rPr>
          <w:rFonts w:cs="Times New Roman"/>
          <w:sz w:val="24"/>
          <w:szCs w:val="24"/>
        </w:rPr>
        <w:t xml:space="preserve"> to produce 2,000 completed interviews per year. </w:t>
      </w:r>
      <w:r>
        <w:rPr>
          <w:rFonts w:cs="Times New Roman"/>
          <w:sz w:val="24"/>
          <w:szCs w:val="24"/>
        </w:rPr>
        <w:t xml:space="preserve"> S</w:t>
      </w:r>
      <w:r w:rsidR="00F52F05" w:rsidRPr="00926A52">
        <w:rPr>
          <w:rFonts w:cs="Times New Roman"/>
          <w:sz w:val="24"/>
          <w:szCs w:val="24"/>
        </w:rPr>
        <w:t xml:space="preserve">ampling will occur throughout the entire 12 month </w:t>
      </w:r>
      <w:r>
        <w:rPr>
          <w:rFonts w:cs="Times New Roman"/>
          <w:sz w:val="24"/>
          <w:szCs w:val="24"/>
        </w:rPr>
        <w:t xml:space="preserve">data collection </w:t>
      </w:r>
      <w:r w:rsidR="00F52F05" w:rsidRPr="00926A52">
        <w:rPr>
          <w:rFonts w:cs="Times New Roman"/>
          <w:sz w:val="24"/>
          <w:szCs w:val="24"/>
        </w:rPr>
        <w:t xml:space="preserve">period to avoid seasonal effects bias. Every eligible case will be given one (and only one) chance of selection. </w:t>
      </w:r>
      <w:r w:rsidR="008D0B58">
        <w:rPr>
          <w:rFonts w:cs="Times New Roman"/>
          <w:sz w:val="24"/>
          <w:szCs w:val="24"/>
        </w:rPr>
        <w:t xml:space="preserve">Sampling rates also assume an </w:t>
      </w:r>
      <w:r w:rsidR="00F52F05" w:rsidRPr="00926A52">
        <w:rPr>
          <w:rFonts w:cs="Times New Roman"/>
          <w:sz w:val="24"/>
          <w:szCs w:val="24"/>
        </w:rPr>
        <w:t>overall completion rate of 40 percent for sampled ED patients</w:t>
      </w:r>
      <w:r w:rsidR="008D0B58">
        <w:rPr>
          <w:rFonts w:cs="Times New Roman"/>
          <w:sz w:val="24"/>
          <w:szCs w:val="24"/>
        </w:rPr>
        <w:t xml:space="preserve"> based on NEISS-Work 2009 second and third quarter data</w:t>
      </w:r>
      <w:r w:rsidR="00F52F05" w:rsidRPr="00926A52">
        <w:rPr>
          <w:rFonts w:cs="Times New Roman"/>
          <w:sz w:val="24"/>
          <w:szCs w:val="24"/>
        </w:rPr>
        <w:t xml:space="preserve">. </w:t>
      </w:r>
      <w:r w:rsidR="00725C0F">
        <w:rPr>
          <w:rFonts w:cs="Times New Roman"/>
          <w:sz w:val="24"/>
          <w:szCs w:val="24"/>
        </w:rPr>
        <w:t xml:space="preserve">These completion rates account for non-response, loss-to-follow-up, and refusals. </w:t>
      </w:r>
      <w:r w:rsidR="00F52F05" w:rsidRPr="00926A52">
        <w:rPr>
          <w:rFonts w:cs="Times New Roman"/>
          <w:sz w:val="24"/>
          <w:szCs w:val="24"/>
        </w:rPr>
        <w:t xml:space="preserve">The rates </w:t>
      </w:r>
      <w:r w:rsidR="008D0B58">
        <w:rPr>
          <w:rFonts w:cs="Times New Roman"/>
          <w:sz w:val="24"/>
          <w:szCs w:val="24"/>
        </w:rPr>
        <w:t>for each hospital may be a</w:t>
      </w:r>
      <w:r w:rsidR="00F52F05" w:rsidRPr="00926A52">
        <w:rPr>
          <w:rFonts w:cs="Times New Roman"/>
          <w:sz w:val="24"/>
          <w:szCs w:val="24"/>
        </w:rPr>
        <w:t xml:space="preserve">djusted periodically to keep the sample yields on target should the response rate and contact assumptions prove to be inaccurate. </w:t>
      </w:r>
    </w:p>
    <w:p w:rsidR="007907B2" w:rsidRDefault="00DB7673" w:rsidP="0006255C">
      <w:pPr>
        <w:spacing w:after="0"/>
        <w:ind w:firstLine="360"/>
        <w:rPr>
          <w:sz w:val="24"/>
          <w:szCs w:val="24"/>
        </w:rPr>
      </w:pPr>
      <w:r w:rsidRPr="00C9378D">
        <w:rPr>
          <w:sz w:val="24"/>
          <w:szCs w:val="24"/>
        </w:rPr>
        <w:t xml:space="preserve">The telephone interview survey is a </w:t>
      </w:r>
      <w:r w:rsidR="00725C0F" w:rsidRPr="00725C0F">
        <w:rPr>
          <w:sz w:val="24"/>
          <w:szCs w:val="24"/>
        </w:rPr>
        <w:t>one-</w:t>
      </w:r>
      <w:r w:rsidRPr="00725C0F">
        <w:rPr>
          <w:sz w:val="24"/>
          <w:szCs w:val="24"/>
        </w:rPr>
        <w:t>time response survey</w:t>
      </w:r>
      <w:r w:rsidR="00725C0F">
        <w:rPr>
          <w:sz w:val="24"/>
          <w:szCs w:val="24"/>
        </w:rPr>
        <w:t>,</w:t>
      </w:r>
      <w:r w:rsidRPr="00C9378D">
        <w:rPr>
          <w:sz w:val="24"/>
          <w:szCs w:val="24"/>
        </w:rPr>
        <w:t xml:space="preserve"> with each telephone interview taking approximately </w:t>
      </w:r>
      <w:r w:rsidR="00725C0F">
        <w:rPr>
          <w:sz w:val="24"/>
          <w:szCs w:val="24"/>
        </w:rPr>
        <w:t>3</w:t>
      </w:r>
      <w:r w:rsidRPr="00C9378D">
        <w:rPr>
          <w:sz w:val="24"/>
          <w:szCs w:val="24"/>
        </w:rPr>
        <w:t xml:space="preserve">0 minutes to complete, resulting in </w:t>
      </w:r>
      <w:r w:rsidR="00725C0F">
        <w:rPr>
          <w:sz w:val="24"/>
          <w:szCs w:val="24"/>
        </w:rPr>
        <w:t>a one-year</w:t>
      </w:r>
      <w:r w:rsidRPr="00C9378D">
        <w:rPr>
          <w:sz w:val="24"/>
          <w:szCs w:val="24"/>
        </w:rPr>
        <w:t xml:space="preserve"> burden estimate of </w:t>
      </w:r>
      <w:r w:rsidR="00725C0F">
        <w:rPr>
          <w:sz w:val="24"/>
          <w:szCs w:val="24"/>
        </w:rPr>
        <w:t xml:space="preserve">between 750 and </w:t>
      </w:r>
      <w:r w:rsidR="000E3B28">
        <w:rPr>
          <w:sz w:val="24"/>
          <w:szCs w:val="24"/>
        </w:rPr>
        <w:t>1,500</w:t>
      </w:r>
      <w:r w:rsidR="00725C0F">
        <w:rPr>
          <w:sz w:val="24"/>
          <w:szCs w:val="24"/>
        </w:rPr>
        <w:t xml:space="preserve"> hours (approximately </w:t>
      </w:r>
      <w:r w:rsidR="000E3B28">
        <w:rPr>
          <w:sz w:val="24"/>
          <w:szCs w:val="24"/>
        </w:rPr>
        <w:t>94 to 188 person-days)</w:t>
      </w:r>
      <w:r w:rsidRPr="00C9378D">
        <w:rPr>
          <w:sz w:val="24"/>
          <w:szCs w:val="24"/>
        </w:rPr>
        <w:t xml:space="preserve">. </w:t>
      </w:r>
      <w:r w:rsidR="000E3B28">
        <w:rPr>
          <w:sz w:val="24"/>
          <w:szCs w:val="24"/>
        </w:rPr>
        <w:t xml:space="preserve">The data </w:t>
      </w:r>
      <w:r w:rsidR="000E3B28" w:rsidRPr="00CC147A">
        <w:rPr>
          <w:sz w:val="24"/>
          <w:szCs w:val="24"/>
        </w:rPr>
        <w:t>collection phase of this project is expected to last only one year.</w:t>
      </w:r>
      <w:r w:rsidR="000D692F">
        <w:rPr>
          <w:sz w:val="24"/>
          <w:szCs w:val="24"/>
        </w:rPr>
        <w:t xml:space="preserve"> However, a two year OMB </w:t>
      </w:r>
      <w:r w:rsidR="000D692F">
        <w:rPr>
          <w:sz w:val="24"/>
          <w:szCs w:val="24"/>
        </w:rPr>
        <w:lastRenderedPageBreak/>
        <w:t>approval is being requested to account for start-up time needed to train interviewers, select the sample, and manage other potential project needs prior to initiating interviews.</w:t>
      </w:r>
    </w:p>
    <w:p w:rsidR="0006255C" w:rsidRDefault="0006255C" w:rsidP="0006255C">
      <w:pPr>
        <w:spacing w:after="0"/>
        <w:ind w:firstLine="360"/>
        <w:rPr>
          <w:b/>
          <w:sz w:val="24"/>
        </w:rPr>
      </w:pPr>
    </w:p>
    <w:p w:rsidR="00E404C4" w:rsidRPr="00E404C4" w:rsidRDefault="00E404C4" w:rsidP="007D6DDA">
      <w:pPr>
        <w:spacing w:after="0"/>
        <w:rPr>
          <w:b/>
          <w:sz w:val="24"/>
          <w:szCs w:val="24"/>
        </w:rPr>
      </w:pPr>
      <w:r>
        <w:rPr>
          <w:b/>
          <w:sz w:val="24"/>
          <w:szCs w:val="24"/>
        </w:rPr>
        <w:t>Estimated Annualized Burden Hours</w:t>
      </w:r>
    </w:p>
    <w:tbl>
      <w:tblPr>
        <w:tblW w:w="0" w:type="auto"/>
        <w:tblInd w:w="10" w:type="dxa"/>
        <w:tblLook w:val="0000" w:firstRow="0" w:lastRow="0" w:firstColumn="0" w:lastColumn="0" w:noHBand="0" w:noVBand="0"/>
      </w:tblPr>
      <w:tblGrid>
        <w:gridCol w:w="2099"/>
        <w:gridCol w:w="2083"/>
        <w:gridCol w:w="3472"/>
        <w:gridCol w:w="1912"/>
      </w:tblGrid>
      <w:tr w:rsidR="00E404C4" w:rsidRPr="00E404C4" w:rsidTr="00E404C4">
        <w:trPr>
          <w:trHeight w:val="973"/>
        </w:trPr>
        <w:tc>
          <w:tcPr>
            <w:tcW w:w="0" w:type="auto"/>
            <w:tcBorders>
              <w:top w:val="single" w:sz="8" w:space="0" w:color="000000"/>
              <w:left w:val="single" w:sz="8" w:space="0" w:color="000000"/>
              <w:bottom w:val="single" w:sz="8" w:space="0" w:color="000000"/>
              <w:right w:val="single" w:sz="8" w:space="0" w:color="000000"/>
            </w:tcBorders>
          </w:tcPr>
          <w:p w:rsidR="00E404C4" w:rsidRPr="00E404C4" w:rsidRDefault="00E404C4" w:rsidP="00E404C4">
            <w:pPr>
              <w:spacing w:after="0"/>
              <w:jc w:val="center"/>
              <w:rPr>
                <w:b/>
                <w:sz w:val="24"/>
                <w:szCs w:val="24"/>
              </w:rPr>
            </w:pPr>
            <w:r w:rsidRPr="00E404C4">
              <w:rPr>
                <w:b/>
                <w:sz w:val="24"/>
                <w:szCs w:val="24"/>
              </w:rPr>
              <w:t>Type of Respondent</w:t>
            </w:r>
          </w:p>
        </w:tc>
        <w:tc>
          <w:tcPr>
            <w:tcW w:w="0" w:type="auto"/>
            <w:tcBorders>
              <w:top w:val="single" w:sz="8" w:space="0" w:color="000000"/>
              <w:left w:val="single" w:sz="8" w:space="0" w:color="000000"/>
              <w:bottom w:val="single" w:sz="8" w:space="0" w:color="000000"/>
              <w:right w:val="single" w:sz="8" w:space="0" w:color="000000"/>
            </w:tcBorders>
          </w:tcPr>
          <w:p w:rsidR="00E404C4" w:rsidRPr="00E404C4" w:rsidRDefault="00E404C4" w:rsidP="00E404C4">
            <w:pPr>
              <w:spacing w:after="0"/>
              <w:jc w:val="center"/>
              <w:rPr>
                <w:b/>
                <w:sz w:val="24"/>
                <w:szCs w:val="24"/>
              </w:rPr>
            </w:pPr>
            <w:r>
              <w:rPr>
                <w:b/>
                <w:sz w:val="24"/>
                <w:szCs w:val="24"/>
              </w:rPr>
              <w:t>No. of Respondents</w:t>
            </w:r>
          </w:p>
        </w:tc>
        <w:tc>
          <w:tcPr>
            <w:tcW w:w="0" w:type="auto"/>
            <w:tcBorders>
              <w:top w:val="single" w:sz="8" w:space="0" w:color="000000"/>
              <w:left w:val="single" w:sz="8" w:space="0" w:color="000000"/>
              <w:bottom w:val="single" w:sz="8" w:space="0" w:color="000000"/>
              <w:right w:val="single" w:sz="8" w:space="0" w:color="000000"/>
            </w:tcBorders>
          </w:tcPr>
          <w:p w:rsidR="00E404C4" w:rsidRPr="00E404C4" w:rsidRDefault="00E404C4" w:rsidP="00E404C4">
            <w:pPr>
              <w:spacing w:after="0"/>
              <w:jc w:val="center"/>
              <w:rPr>
                <w:b/>
                <w:sz w:val="24"/>
                <w:szCs w:val="24"/>
              </w:rPr>
            </w:pPr>
            <w:r>
              <w:rPr>
                <w:b/>
                <w:sz w:val="24"/>
                <w:szCs w:val="24"/>
              </w:rPr>
              <w:t>Average Burden per Response (in hours)</w:t>
            </w:r>
          </w:p>
        </w:tc>
        <w:tc>
          <w:tcPr>
            <w:tcW w:w="0" w:type="auto"/>
            <w:tcBorders>
              <w:top w:val="single" w:sz="8" w:space="0" w:color="000000"/>
              <w:left w:val="single" w:sz="8" w:space="0" w:color="000000"/>
              <w:bottom w:val="single" w:sz="8" w:space="0" w:color="000000"/>
              <w:right w:val="single" w:sz="8" w:space="0" w:color="000000"/>
            </w:tcBorders>
          </w:tcPr>
          <w:p w:rsidR="00E404C4" w:rsidRPr="00E404C4" w:rsidRDefault="00E404C4" w:rsidP="00E404C4">
            <w:pPr>
              <w:spacing w:after="0"/>
              <w:jc w:val="center"/>
              <w:rPr>
                <w:b/>
                <w:sz w:val="24"/>
                <w:szCs w:val="24"/>
              </w:rPr>
            </w:pPr>
            <w:r>
              <w:rPr>
                <w:b/>
                <w:sz w:val="24"/>
                <w:szCs w:val="24"/>
              </w:rPr>
              <w:t>Total Burden Hours</w:t>
            </w:r>
          </w:p>
        </w:tc>
      </w:tr>
      <w:tr w:rsidR="00E404C4" w:rsidRPr="00E404C4" w:rsidTr="00E404C4">
        <w:trPr>
          <w:trHeight w:val="253"/>
        </w:trPr>
        <w:tc>
          <w:tcPr>
            <w:tcW w:w="0" w:type="auto"/>
            <w:tcBorders>
              <w:top w:val="single" w:sz="8" w:space="0" w:color="000000"/>
              <w:left w:val="single" w:sz="8" w:space="0" w:color="000000"/>
              <w:bottom w:val="single" w:sz="8" w:space="0" w:color="000000"/>
              <w:right w:val="single" w:sz="8" w:space="0" w:color="000000"/>
            </w:tcBorders>
          </w:tcPr>
          <w:p w:rsidR="00E404C4" w:rsidRPr="00E404C4" w:rsidRDefault="00E404C4" w:rsidP="00E404C4">
            <w:pPr>
              <w:spacing w:after="0"/>
              <w:rPr>
                <w:b/>
                <w:sz w:val="24"/>
                <w:szCs w:val="24"/>
              </w:rPr>
            </w:pPr>
            <w:r>
              <w:rPr>
                <w:b/>
                <w:sz w:val="24"/>
                <w:szCs w:val="24"/>
              </w:rPr>
              <w:t>US workers</w:t>
            </w:r>
          </w:p>
        </w:tc>
        <w:tc>
          <w:tcPr>
            <w:tcW w:w="0" w:type="auto"/>
            <w:tcBorders>
              <w:top w:val="single" w:sz="8" w:space="0" w:color="000000"/>
              <w:left w:val="single" w:sz="8" w:space="0" w:color="000000"/>
              <w:bottom w:val="single" w:sz="8" w:space="0" w:color="000000"/>
              <w:right w:val="single" w:sz="8" w:space="0" w:color="000000"/>
            </w:tcBorders>
          </w:tcPr>
          <w:p w:rsidR="00E404C4" w:rsidRPr="00E404C4" w:rsidRDefault="000D692F" w:rsidP="008A3F30">
            <w:pPr>
              <w:spacing w:after="0"/>
              <w:jc w:val="center"/>
              <w:rPr>
                <w:b/>
                <w:sz w:val="24"/>
                <w:szCs w:val="24"/>
              </w:rPr>
            </w:pPr>
            <w:r>
              <w:rPr>
                <w:b/>
                <w:sz w:val="24"/>
                <w:szCs w:val="24"/>
              </w:rPr>
              <w:t>1,500</w:t>
            </w:r>
          </w:p>
        </w:tc>
        <w:tc>
          <w:tcPr>
            <w:tcW w:w="0" w:type="auto"/>
            <w:tcBorders>
              <w:top w:val="single" w:sz="8" w:space="0" w:color="000000"/>
              <w:left w:val="single" w:sz="8" w:space="0" w:color="000000"/>
              <w:bottom w:val="single" w:sz="8" w:space="0" w:color="000000"/>
              <w:right w:val="single" w:sz="8" w:space="0" w:color="000000"/>
            </w:tcBorders>
          </w:tcPr>
          <w:p w:rsidR="00E404C4" w:rsidRPr="00E404C4" w:rsidRDefault="000D692F" w:rsidP="008A3F30">
            <w:pPr>
              <w:spacing w:after="0"/>
              <w:jc w:val="center"/>
              <w:rPr>
                <w:b/>
                <w:sz w:val="24"/>
                <w:szCs w:val="24"/>
              </w:rPr>
            </w:pPr>
            <w:r>
              <w:rPr>
                <w:b/>
                <w:sz w:val="24"/>
                <w:szCs w:val="24"/>
              </w:rPr>
              <w:t>30/60 hours</w:t>
            </w:r>
          </w:p>
        </w:tc>
        <w:tc>
          <w:tcPr>
            <w:tcW w:w="0" w:type="auto"/>
            <w:tcBorders>
              <w:top w:val="single" w:sz="8" w:space="0" w:color="000000"/>
              <w:left w:val="single" w:sz="8" w:space="0" w:color="000000"/>
              <w:bottom w:val="single" w:sz="8" w:space="0" w:color="000000"/>
              <w:right w:val="single" w:sz="8" w:space="0" w:color="000000"/>
            </w:tcBorders>
          </w:tcPr>
          <w:p w:rsidR="00E404C4" w:rsidRPr="00E404C4" w:rsidRDefault="000D692F" w:rsidP="008A3F30">
            <w:pPr>
              <w:spacing w:after="0"/>
              <w:jc w:val="center"/>
              <w:rPr>
                <w:b/>
                <w:sz w:val="24"/>
                <w:szCs w:val="24"/>
              </w:rPr>
            </w:pPr>
            <w:r>
              <w:rPr>
                <w:b/>
                <w:sz w:val="24"/>
                <w:szCs w:val="24"/>
              </w:rPr>
              <w:t>750</w:t>
            </w:r>
          </w:p>
        </w:tc>
      </w:tr>
    </w:tbl>
    <w:p w:rsidR="00E404C4" w:rsidRPr="00CC147A" w:rsidRDefault="00E404C4" w:rsidP="007D6DDA">
      <w:pPr>
        <w:spacing w:after="0"/>
        <w:rPr>
          <w:b/>
          <w:sz w:val="24"/>
          <w:szCs w:val="24"/>
          <w:u w:val="single"/>
        </w:rPr>
      </w:pPr>
    </w:p>
    <w:p w:rsidR="00DB7673" w:rsidRPr="00476EB4" w:rsidRDefault="00DB7673" w:rsidP="007D6DDA">
      <w:pPr>
        <w:spacing w:after="0"/>
        <w:rPr>
          <w:b/>
          <w:sz w:val="24"/>
          <w:szCs w:val="24"/>
          <w:u w:val="single"/>
        </w:rPr>
      </w:pPr>
      <w:r w:rsidRPr="00476EB4">
        <w:rPr>
          <w:b/>
          <w:sz w:val="24"/>
          <w:szCs w:val="24"/>
          <w:u w:val="single"/>
        </w:rPr>
        <w:t>Estimates of Annualized Burden Costs</w:t>
      </w:r>
    </w:p>
    <w:p w:rsidR="00DB7673" w:rsidRPr="00CC147A" w:rsidRDefault="00DB7673" w:rsidP="00CC147A">
      <w:pPr>
        <w:spacing w:after="0"/>
        <w:ind w:firstLine="360"/>
        <w:rPr>
          <w:sz w:val="24"/>
          <w:szCs w:val="24"/>
        </w:rPr>
      </w:pPr>
      <w:r w:rsidRPr="00CC147A">
        <w:rPr>
          <w:sz w:val="24"/>
          <w:szCs w:val="24"/>
        </w:rPr>
        <w:t xml:space="preserve">Based on the U.S. </w:t>
      </w:r>
      <w:r w:rsidR="00E404C4">
        <w:rPr>
          <w:sz w:val="24"/>
          <w:szCs w:val="24"/>
        </w:rPr>
        <w:t>Bureau of Labor Statistics, the average hourly earnings of all US employees in 2010 was approximately $22.61</w:t>
      </w:r>
      <w:r w:rsidRPr="00CC147A">
        <w:rPr>
          <w:sz w:val="24"/>
          <w:szCs w:val="24"/>
        </w:rPr>
        <w:t xml:space="preserve">. </w:t>
      </w:r>
      <w:r w:rsidR="00E404C4">
        <w:rPr>
          <w:sz w:val="24"/>
          <w:szCs w:val="24"/>
        </w:rPr>
        <w:t xml:space="preserve">Because NEISS-Work does not collect household income, </w:t>
      </w:r>
      <w:r w:rsidR="007907B2">
        <w:rPr>
          <w:sz w:val="24"/>
          <w:szCs w:val="24"/>
        </w:rPr>
        <w:t>the average hourly earning</w:t>
      </w:r>
      <w:r w:rsidR="00FB65D1">
        <w:rPr>
          <w:sz w:val="24"/>
          <w:szCs w:val="24"/>
        </w:rPr>
        <w:t>s rate</w:t>
      </w:r>
      <w:r w:rsidR="007907B2">
        <w:rPr>
          <w:sz w:val="24"/>
          <w:szCs w:val="24"/>
        </w:rPr>
        <w:t xml:space="preserve"> is used for determining the annualized burden costs.</w:t>
      </w:r>
    </w:p>
    <w:p w:rsidR="00DB7673" w:rsidRPr="008A3F30" w:rsidRDefault="00DB7673" w:rsidP="007D6DDA">
      <w:pPr>
        <w:spacing w:after="0"/>
        <w:rPr>
          <w:b/>
          <w:sz w:val="24"/>
          <w:szCs w:val="24"/>
        </w:rPr>
      </w:pPr>
    </w:p>
    <w:p w:rsidR="00DB7673" w:rsidRPr="008A3F30" w:rsidRDefault="00DB7673" w:rsidP="007D6DDA">
      <w:pPr>
        <w:spacing w:after="0"/>
        <w:rPr>
          <w:b/>
          <w:sz w:val="24"/>
          <w:szCs w:val="24"/>
        </w:rPr>
      </w:pPr>
      <w:r w:rsidRPr="008A3F30">
        <w:rPr>
          <w:b/>
          <w:sz w:val="24"/>
          <w:szCs w:val="24"/>
        </w:rPr>
        <w:t>Estimated Annualized Burden Hours</w:t>
      </w:r>
    </w:p>
    <w:tbl>
      <w:tblPr>
        <w:tblW w:w="0" w:type="auto"/>
        <w:tblInd w:w="10" w:type="dxa"/>
        <w:tblLook w:val="0000" w:firstRow="0" w:lastRow="0" w:firstColumn="0" w:lastColumn="0" w:noHBand="0" w:noVBand="0"/>
      </w:tblPr>
      <w:tblGrid>
        <w:gridCol w:w="2366"/>
        <w:gridCol w:w="2327"/>
        <w:gridCol w:w="2134"/>
        <w:gridCol w:w="2739"/>
      </w:tblGrid>
      <w:tr w:rsidR="00DB7673" w:rsidRPr="008A3F30" w:rsidTr="00DB7673">
        <w:trPr>
          <w:trHeight w:val="973"/>
        </w:trPr>
        <w:tc>
          <w:tcPr>
            <w:tcW w:w="0" w:type="auto"/>
            <w:tcBorders>
              <w:top w:val="single" w:sz="8" w:space="0" w:color="000000"/>
              <w:left w:val="single" w:sz="8" w:space="0" w:color="000000"/>
              <w:bottom w:val="single" w:sz="8" w:space="0" w:color="000000"/>
              <w:right w:val="single" w:sz="8" w:space="0" w:color="000000"/>
            </w:tcBorders>
          </w:tcPr>
          <w:p w:rsidR="00DB7673" w:rsidRPr="008A3F30" w:rsidRDefault="00DB7673" w:rsidP="008A3F30">
            <w:pPr>
              <w:spacing w:after="0"/>
              <w:jc w:val="center"/>
              <w:rPr>
                <w:b/>
                <w:sz w:val="24"/>
                <w:szCs w:val="24"/>
              </w:rPr>
            </w:pPr>
            <w:r w:rsidRPr="008A3F30">
              <w:rPr>
                <w:b/>
                <w:sz w:val="24"/>
                <w:szCs w:val="24"/>
              </w:rPr>
              <w:t>Type of Respondent</w:t>
            </w:r>
          </w:p>
        </w:tc>
        <w:tc>
          <w:tcPr>
            <w:tcW w:w="0" w:type="auto"/>
            <w:tcBorders>
              <w:top w:val="single" w:sz="8" w:space="0" w:color="000000"/>
              <w:left w:val="single" w:sz="8" w:space="0" w:color="000000"/>
              <w:bottom w:val="single" w:sz="8" w:space="0" w:color="000000"/>
              <w:right w:val="single" w:sz="8" w:space="0" w:color="000000"/>
            </w:tcBorders>
          </w:tcPr>
          <w:p w:rsidR="00DB7673" w:rsidRPr="008A3F30" w:rsidRDefault="00DB7673" w:rsidP="008A3F30">
            <w:pPr>
              <w:spacing w:after="0"/>
              <w:jc w:val="center"/>
              <w:rPr>
                <w:b/>
                <w:sz w:val="24"/>
                <w:szCs w:val="24"/>
              </w:rPr>
            </w:pPr>
            <w:r w:rsidRPr="008A3F30">
              <w:rPr>
                <w:b/>
                <w:sz w:val="24"/>
                <w:szCs w:val="24"/>
              </w:rPr>
              <w:t>Total Burden Hours</w:t>
            </w:r>
          </w:p>
        </w:tc>
        <w:tc>
          <w:tcPr>
            <w:tcW w:w="0" w:type="auto"/>
            <w:tcBorders>
              <w:top w:val="single" w:sz="8" w:space="0" w:color="000000"/>
              <w:left w:val="single" w:sz="8" w:space="0" w:color="000000"/>
              <w:bottom w:val="single" w:sz="8" w:space="0" w:color="000000"/>
              <w:right w:val="single" w:sz="8" w:space="0" w:color="000000"/>
            </w:tcBorders>
          </w:tcPr>
          <w:p w:rsidR="00DB7673" w:rsidRPr="008A3F30" w:rsidRDefault="00DB7673" w:rsidP="008A3F30">
            <w:pPr>
              <w:spacing w:after="0"/>
              <w:jc w:val="center"/>
              <w:rPr>
                <w:b/>
                <w:sz w:val="24"/>
                <w:szCs w:val="24"/>
              </w:rPr>
            </w:pPr>
            <w:r w:rsidRPr="008A3F30">
              <w:rPr>
                <w:b/>
                <w:sz w:val="24"/>
                <w:szCs w:val="24"/>
              </w:rPr>
              <w:t>Hourly Wage Rate</w:t>
            </w:r>
          </w:p>
        </w:tc>
        <w:tc>
          <w:tcPr>
            <w:tcW w:w="0" w:type="auto"/>
            <w:tcBorders>
              <w:top w:val="single" w:sz="8" w:space="0" w:color="000000"/>
              <w:left w:val="single" w:sz="8" w:space="0" w:color="000000"/>
              <w:bottom w:val="single" w:sz="8" w:space="0" w:color="000000"/>
              <w:right w:val="single" w:sz="8" w:space="0" w:color="000000"/>
            </w:tcBorders>
          </w:tcPr>
          <w:p w:rsidR="00DB7673" w:rsidRPr="008A3F30" w:rsidRDefault="00DB7673" w:rsidP="008A3F30">
            <w:pPr>
              <w:spacing w:after="0"/>
              <w:jc w:val="center"/>
              <w:rPr>
                <w:b/>
                <w:sz w:val="24"/>
                <w:szCs w:val="24"/>
              </w:rPr>
            </w:pPr>
            <w:r w:rsidRPr="008A3F30">
              <w:rPr>
                <w:b/>
                <w:sz w:val="24"/>
                <w:szCs w:val="24"/>
              </w:rPr>
              <w:t>Total Respondent Costs</w:t>
            </w:r>
          </w:p>
          <w:p w:rsidR="00DB7673" w:rsidRPr="008A3F30" w:rsidRDefault="00DB7673" w:rsidP="008A3F30">
            <w:pPr>
              <w:spacing w:after="0"/>
              <w:jc w:val="center"/>
              <w:rPr>
                <w:b/>
                <w:sz w:val="24"/>
                <w:szCs w:val="24"/>
              </w:rPr>
            </w:pPr>
          </w:p>
        </w:tc>
      </w:tr>
      <w:tr w:rsidR="00DB7673" w:rsidRPr="008A3F30" w:rsidTr="00DB7673">
        <w:trPr>
          <w:trHeight w:val="253"/>
        </w:trPr>
        <w:tc>
          <w:tcPr>
            <w:tcW w:w="0" w:type="auto"/>
            <w:tcBorders>
              <w:top w:val="single" w:sz="8" w:space="0" w:color="000000"/>
              <w:left w:val="single" w:sz="8" w:space="0" w:color="000000"/>
              <w:bottom w:val="single" w:sz="8" w:space="0" w:color="000000"/>
              <w:right w:val="single" w:sz="8" w:space="0" w:color="000000"/>
            </w:tcBorders>
          </w:tcPr>
          <w:p w:rsidR="00DB7673" w:rsidRPr="008A3F30" w:rsidRDefault="008A3F30" w:rsidP="008A3F30">
            <w:pPr>
              <w:spacing w:after="0"/>
              <w:rPr>
                <w:b/>
                <w:sz w:val="24"/>
                <w:szCs w:val="24"/>
              </w:rPr>
            </w:pPr>
            <w:r>
              <w:rPr>
                <w:b/>
                <w:sz w:val="24"/>
                <w:szCs w:val="24"/>
              </w:rPr>
              <w:t>US</w:t>
            </w:r>
            <w:r w:rsidR="00DB7673" w:rsidRPr="008A3F30">
              <w:rPr>
                <w:b/>
                <w:sz w:val="24"/>
                <w:szCs w:val="24"/>
              </w:rPr>
              <w:t xml:space="preserve"> workers</w:t>
            </w:r>
          </w:p>
        </w:tc>
        <w:tc>
          <w:tcPr>
            <w:tcW w:w="0" w:type="auto"/>
            <w:tcBorders>
              <w:top w:val="single" w:sz="8" w:space="0" w:color="000000"/>
              <w:left w:val="single" w:sz="8" w:space="0" w:color="000000"/>
              <w:bottom w:val="single" w:sz="8" w:space="0" w:color="000000"/>
              <w:right w:val="single" w:sz="8" w:space="0" w:color="000000"/>
            </w:tcBorders>
          </w:tcPr>
          <w:p w:rsidR="00DB7673" w:rsidRPr="008A3F30" w:rsidRDefault="000D692F" w:rsidP="008A3F30">
            <w:pPr>
              <w:spacing w:after="0"/>
              <w:jc w:val="center"/>
              <w:rPr>
                <w:b/>
                <w:sz w:val="24"/>
                <w:szCs w:val="24"/>
              </w:rPr>
            </w:pPr>
            <w:r>
              <w:rPr>
                <w:b/>
                <w:sz w:val="24"/>
                <w:szCs w:val="24"/>
              </w:rPr>
              <w:t>750</w:t>
            </w:r>
            <w:r w:rsidR="008A3F30">
              <w:rPr>
                <w:b/>
                <w:sz w:val="24"/>
                <w:szCs w:val="24"/>
              </w:rPr>
              <w:t xml:space="preserve"> hrs</w:t>
            </w:r>
          </w:p>
        </w:tc>
        <w:tc>
          <w:tcPr>
            <w:tcW w:w="0" w:type="auto"/>
            <w:tcBorders>
              <w:top w:val="single" w:sz="8" w:space="0" w:color="000000"/>
              <w:left w:val="single" w:sz="8" w:space="0" w:color="000000"/>
              <w:bottom w:val="single" w:sz="8" w:space="0" w:color="000000"/>
              <w:right w:val="single" w:sz="8" w:space="0" w:color="000000"/>
            </w:tcBorders>
          </w:tcPr>
          <w:p w:rsidR="00DB7673" w:rsidRPr="008A3F30" w:rsidRDefault="00DB7673" w:rsidP="008A3F30">
            <w:pPr>
              <w:spacing w:after="0"/>
              <w:jc w:val="center"/>
              <w:rPr>
                <w:b/>
                <w:sz w:val="24"/>
                <w:szCs w:val="24"/>
              </w:rPr>
            </w:pPr>
            <w:r w:rsidRPr="008A3F30">
              <w:rPr>
                <w:b/>
                <w:sz w:val="24"/>
                <w:szCs w:val="24"/>
              </w:rPr>
              <w:t>$</w:t>
            </w:r>
            <w:r w:rsidR="008A3F30">
              <w:rPr>
                <w:b/>
                <w:sz w:val="24"/>
                <w:szCs w:val="24"/>
              </w:rPr>
              <w:t>22.61</w:t>
            </w:r>
          </w:p>
        </w:tc>
        <w:tc>
          <w:tcPr>
            <w:tcW w:w="0" w:type="auto"/>
            <w:tcBorders>
              <w:top w:val="single" w:sz="8" w:space="0" w:color="000000"/>
              <w:left w:val="single" w:sz="8" w:space="0" w:color="000000"/>
              <w:bottom w:val="single" w:sz="8" w:space="0" w:color="000000"/>
              <w:right w:val="single" w:sz="8" w:space="0" w:color="000000"/>
            </w:tcBorders>
          </w:tcPr>
          <w:p w:rsidR="00DB7673" w:rsidRPr="008A3F30" w:rsidRDefault="008A3F30" w:rsidP="000D692F">
            <w:pPr>
              <w:spacing w:after="0"/>
              <w:jc w:val="center"/>
              <w:rPr>
                <w:b/>
                <w:sz w:val="24"/>
                <w:szCs w:val="24"/>
              </w:rPr>
            </w:pPr>
            <w:r>
              <w:rPr>
                <w:b/>
                <w:sz w:val="24"/>
                <w:szCs w:val="24"/>
              </w:rPr>
              <w:t>$</w:t>
            </w:r>
            <w:r w:rsidR="000D692F">
              <w:rPr>
                <w:b/>
                <w:sz w:val="24"/>
                <w:szCs w:val="24"/>
              </w:rPr>
              <w:t>16,957.50</w:t>
            </w:r>
          </w:p>
        </w:tc>
      </w:tr>
    </w:tbl>
    <w:p w:rsidR="00DB7673" w:rsidRPr="008A3F30" w:rsidRDefault="00DB7673" w:rsidP="007D6DDA">
      <w:pPr>
        <w:spacing w:after="0"/>
        <w:rPr>
          <w:sz w:val="24"/>
          <w:szCs w:val="24"/>
        </w:rPr>
      </w:pPr>
    </w:p>
    <w:p w:rsidR="00DB7673" w:rsidRDefault="00DB7673" w:rsidP="00545D7C">
      <w:pPr>
        <w:pStyle w:val="Heading2"/>
        <w:rPr>
          <w:rFonts w:asciiTheme="minorHAnsi" w:hAnsiTheme="minorHAnsi"/>
          <w:sz w:val="24"/>
          <w:szCs w:val="24"/>
        </w:rPr>
      </w:pPr>
      <w:bookmarkStart w:id="30" w:name="OLE_LINK20"/>
      <w:bookmarkStart w:id="31" w:name="OLE_LINK21"/>
      <w:bookmarkStart w:id="32" w:name="_Toc296089983"/>
      <w:r w:rsidRPr="000B207A">
        <w:rPr>
          <w:rFonts w:asciiTheme="minorHAnsi" w:hAnsiTheme="minorHAnsi"/>
          <w:sz w:val="24"/>
          <w:szCs w:val="24"/>
        </w:rPr>
        <w:t>A.13</w:t>
      </w:r>
      <w:r w:rsidRPr="000B207A">
        <w:rPr>
          <w:rFonts w:asciiTheme="minorHAnsi" w:hAnsiTheme="minorHAnsi"/>
          <w:sz w:val="24"/>
          <w:szCs w:val="24"/>
        </w:rPr>
        <w:tab/>
        <w:t>Estimates of Other Total Annual Cost Burden to Respondents or Record Keepers</w:t>
      </w:r>
      <w:bookmarkEnd w:id="30"/>
      <w:bookmarkEnd w:id="31"/>
      <w:bookmarkEnd w:id="32"/>
    </w:p>
    <w:p w:rsidR="00476EB4" w:rsidRDefault="00476EB4" w:rsidP="008A3F30">
      <w:pPr>
        <w:spacing w:after="0"/>
        <w:ind w:firstLine="360"/>
        <w:rPr>
          <w:sz w:val="24"/>
          <w:szCs w:val="24"/>
        </w:rPr>
      </w:pPr>
    </w:p>
    <w:p w:rsidR="00DB7673" w:rsidRPr="008A3F30" w:rsidRDefault="00DB7673" w:rsidP="008A3F30">
      <w:pPr>
        <w:spacing w:after="0"/>
        <w:ind w:firstLine="360"/>
        <w:rPr>
          <w:sz w:val="24"/>
          <w:szCs w:val="24"/>
        </w:rPr>
      </w:pPr>
      <w:r w:rsidRPr="008A3F30">
        <w:rPr>
          <w:sz w:val="24"/>
          <w:szCs w:val="24"/>
        </w:rPr>
        <w:t>There are no additional cost burdens for respondents.  All record keepers are contractors of the federal government.  Thus, estimated cost burden to them is included in section A.14 describing the annualized cost to the government.</w:t>
      </w:r>
    </w:p>
    <w:p w:rsidR="00476EB4" w:rsidRDefault="00DB7673" w:rsidP="00476EB4">
      <w:pPr>
        <w:pStyle w:val="Heading2"/>
        <w:rPr>
          <w:rFonts w:asciiTheme="minorHAnsi" w:hAnsiTheme="minorHAnsi"/>
          <w:sz w:val="24"/>
          <w:szCs w:val="24"/>
        </w:rPr>
      </w:pPr>
      <w:bookmarkStart w:id="33" w:name="_Toc296089984"/>
      <w:r w:rsidRPr="000B207A">
        <w:rPr>
          <w:rFonts w:asciiTheme="minorHAnsi" w:hAnsiTheme="minorHAnsi"/>
          <w:sz w:val="24"/>
          <w:szCs w:val="24"/>
        </w:rPr>
        <w:t>A.14</w:t>
      </w:r>
      <w:r w:rsidRPr="000B207A">
        <w:rPr>
          <w:rFonts w:asciiTheme="minorHAnsi" w:hAnsiTheme="minorHAnsi"/>
          <w:sz w:val="24"/>
          <w:szCs w:val="24"/>
        </w:rPr>
        <w:tab/>
        <w:t>Annualized Cost to the Government</w:t>
      </w:r>
      <w:bookmarkEnd w:id="33"/>
      <w:r w:rsidR="00476EB4">
        <w:rPr>
          <w:rFonts w:asciiTheme="minorHAnsi" w:hAnsiTheme="minorHAnsi"/>
          <w:sz w:val="24"/>
          <w:szCs w:val="24"/>
        </w:rPr>
        <w:br/>
      </w:r>
    </w:p>
    <w:p w:rsidR="00501489" w:rsidRPr="001200F6" w:rsidRDefault="00501489" w:rsidP="001014F8">
      <w:pPr>
        <w:ind w:firstLine="360"/>
        <w:rPr>
          <w:sz w:val="24"/>
          <w:szCs w:val="24"/>
        </w:rPr>
      </w:pPr>
      <w:r w:rsidRPr="001200F6">
        <w:rPr>
          <w:sz w:val="24"/>
          <w:szCs w:val="24"/>
        </w:rPr>
        <w:t>The annualized cost to the government for this project is estimated to be $</w:t>
      </w:r>
      <w:r w:rsidR="00517ED0">
        <w:rPr>
          <w:sz w:val="24"/>
          <w:szCs w:val="24"/>
        </w:rPr>
        <w:t>90,150</w:t>
      </w:r>
      <w:r w:rsidRPr="001200F6">
        <w:rPr>
          <w:sz w:val="24"/>
          <w:szCs w:val="24"/>
        </w:rPr>
        <w:t xml:space="preserve"> - $</w:t>
      </w:r>
      <w:r w:rsidR="00517ED0">
        <w:rPr>
          <w:sz w:val="24"/>
          <w:szCs w:val="24"/>
        </w:rPr>
        <w:t>108,900</w:t>
      </w:r>
      <w:r w:rsidRPr="001200F6">
        <w:rPr>
          <w:sz w:val="24"/>
          <w:szCs w:val="24"/>
        </w:rPr>
        <w:t>.</w:t>
      </w:r>
      <w:r w:rsidR="005C2BCB">
        <w:rPr>
          <w:sz w:val="24"/>
          <w:szCs w:val="24"/>
        </w:rPr>
        <w:t xml:space="preserve"> </w:t>
      </w:r>
      <w:r w:rsidRPr="001200F6">
        <w:rPr>
          <w:sz w:val="24"/>
          <w:szCs w:val="24"/>
        </w:rPr>
        <w:t xml:space="preserve">This range is based on the number of potential completed interviews ranging from 1500 to 3000. The table below summarizes a breakdown of the estimated costs. To arrive at this estimate, the project costs for each year were estimated in a detailed budget and then totaled and divided by the four year life of the project. Labor costs were computed based on staff salary, benefit costs, and promotions. Cost of contracts include all money given to a statistical consulting firm that drafted an initial version of the questionnaire and is directing us on sample design and a research consultant who conducted the cognitive testing. Cost of interviews includes all money given to CPSC to hire contracted telephone </w:t>
      </w:r>
      <w:r w:rsidRPr="001200F6">
        <w:rPr>
          <w:sz w:val="24"/>
          <w:szCs w:val="24"/>
        </w:rPr>
        <w:lastRenderedPageBreak/>
        <w:t>interviewers who will perform the telephone interviews, input responses, and submit the data to CPSC.</w:t>
      </w:r>
    </w:p>
    <w:p w:rsidR="00501489" w:rsidRPr="001200F6" w:rsidRDefault="00501489" w:rsidP="001014F8">
      <w:pPr>
        <w:ind w:firstLine="360"/>
        <w:rPr>
          <w:sz w:val="24"/>
          <w:szCs w:val="24"/>
        </w:rPr>
      </w:pPr>
      <w:r w:rsidRPr="001200F6">
        <w:rPr>
          <w:sz w:val="24"/>
          <w:szCs w:val="24"/>
        </w:rPr>
        <w:t>The annualized cost includes the cost of capturing the telephone interview data, the costs of analyzing NEISS-Work data and the telephone interview data, and the cost of producing both peer reviewed and non-peer reviewed products. The cost of collecting NEISS-Work data is not included as those data are not collected exclusively for this project</w:t>
      </w:r>
      <w:r w:rsidR="00FB65D1">
        <w:rPr>
          <w:sz w:val="24"/>
          <w:szCs w:val="24"/>
        </w:rPr>
        <w:t>, although the basic data collection burden hours are described in Section A3</w:t>
      </w:r>
      <w:r w:rsidRPr="001200F6">
        <w:rPr>
          <w:sz w:val="24"/>
          <w:szCs w:val="24"/>
        </w:rPr>
        <w:t>. They are historically collected and maintained under their own project allocation within NIOSH.</w:t>
      </w:r>
    </w:p>
    <w:p w:rsidR="004A5454" w:rsidRDefault="004A5454" w:rsidP="00501489">
      <w:pPr>
        <w:jc w:val="center"/>
        <w:rPr>
          <w:b/>
          <w:sz w:val="24"/>
          <w:szCs w:val="24"/>
        </w:rPr>
      </w:pPr>
    </w:p>
    <w:p w:rsidR="004A5454" w:rsidRDefault="004A5454" w:rsidP="00501489">
      <w:pPr>
        <w:jc w:val="center"/>
        <w:rPr>
          <w:b/>
          <w:sz w:val="24"/>
          <w:szCs w:val="24"/>
        </w:rPr>
      </w:pPr>
    </w:p>
    <w:p w:rsidR="00501489" w:rsidRPr="000B207A" w:rsidRDefault="00501489" w:rsidP="00501489">
      <w:pPr>
        <w:jc w:val="center"/>
        <w:rPr>
          <w:sz w:val="24"/>
          <w:szCs w:val="24"/>
        </w:rPr>
      </w:pPr>
      <w:r w:rsidRPr="000B207A">
        <w:rPr>
          <w:b/>
          <w:sz w:val="24"/>
          <w:szCs w:val="24"/>
        </w:rPr>
        <w:t xml:space="preserve">Budget for </w:t>
      </w:r>
      <w:r w:rsidR="000D692F">
        <w:rPr>
          <w:b/>
          <w:sz w:val="24"/>
          <w:szCs w:val="24"/>
        </w:rPr>
        <w:t>One Year of Data Collection</w:t>
      </w:r>
    </w:p>
    <w:tbl>
      <w:tblPr>
        <w:tblStyle w:val="TableGrid"/>
        <w:tblW w:w="0" w:type="auto"/>
        <w:tblInd w:w="2538" w:type="dxa"/>
        <w:tblLook w:val="04A0" w:firstRow="1" w:lastRow="0" w:firstColumn="1" w:lastColumn="0" w:noHBand="0" w:noVBand="1"/>
      </w:tblPr>
      <w:tblGrid>
        <w:gridCol w:w="2250"/>
        <w:gridCol w:w="2340"/>
      </w:tblGrid>
      <w:tr w:rsidR="00501489" w:rsidRPr="00501489" w:rsidTr="000B207A">
        <w:tc>
          <w:tcPr>
            <w:tcW w:w="2250" w:type="dxa"/>
          </w:tcPr>
          <w:p w:rsidR="00501489" w:rsidRPr="000B207A" w:rsidRDefault="00501489" w:rsidP="00501489">
            <w:pPr>
              <w:jc w:val="center"/>
              <w:rPr>
                <w:b/>
                <w:sz w:val="24"/>
                <w:szCs w:val="24"/>
              </w:rPr>
            </w:pPr>
            <w:r w:rsidRPr="000B207A">
              <w:rPr>
                <w:b/>
                <w:sz w:val="24"/>
                <w:szCs w:val="24"/>
              </w:rPr>
              <w:t>Budget Category</w:t>
            </w:r>
          </w:p>
        </w:tc>
        <w:tc>
          <w:tcPr>
            <w:tcW w:w="2340" w:type="dxa"/>
          </w:tcPr>
          <w:p w:rsidR="00501489" w:rsidRPr="000B207A" w:rsidRDefault="00501489" w:rsidP="00501489">
            <w:pPr>
              <w:jc w:val="center"/>
              <w:rPr>
                <w:b/>
                <w:sz w:val="24"/>
                <w:szCs w:val="24"/>
              </w:rPr>
            </w:pPr>
            <w:r w:rsidRPr="000B207A">
              <w:rPr>
                <w:b/>
                <w:sz w:val="24"/>
                <w:szCs w:val="24"/>
              </w:rPr>
              <w:t>Annual Cost</w:t>
            </w:r>
          </w:p>
        </w:tc>
      </w:tr>
      <w:tr w:rsidR="00501489" w:rsidRPr="00501489" w:rsidTr="000B207A">
        <w:tc>
          <w:tcPr>
            <w:tcW w:w="2250" w:type="dxa"/>
          </w:tcPr>
          <w:p w:rsidR="00501489" w:rsidRPr="000B207A" w:rsidRDefault="00501489" w:rsidP="00501489">
            <w:pPr>
              <w:rPr>
                <w:b/>
                <w:sz w:val="24"/>
                <w:szCs w:val="24"/>
              </w:rPr>
            </w:pPr>
            <w:r w:rsidRPr="000B207A">
              <w:rPr>
                <w:b/>
                <w:sz w:val="24"/>
                <w:szCs w:val="24"/>
              </w:rPr>
              <w:t>Labor</w:t>
            </w:r>
          </w:p>
        </w:tc>
        <w:tc>
          <w:tcPr>
            <w:tcW w:w="2340" w:type="dxa"/>
          </w:tcPr>
          <w:p w:rsidR="00501489" w:rsidRPr="000B207A" w:rsidRDefault="00501489" w:rsidP="00517ED0">
            <w:pPr>
              <w:jc w:val="center"/>
              <w:rPr>
                <w:sz w:val="24"/>
                <w:szCs w:val="24"/>
              </w:rPr>
            </w:pPr>
            <w:r w:rsidRPr="000B207A">
              <w:rPr>
                <w:sz w:val="24"/>
                <w:szCs w:val="24"/>
              </w:rPr>
              <w:t>$</w:t>
            </w:r>
            <w:r w:rsidR="00517ED0">
              <w:rPr>
                <w:sz w:val="24"/>
                <w:szCs w:val="24"/>
              </w:rPr>
              <w:t>68,600</w:t>
            </w:r>
          </w:p>
        </w:tc>
      </w:tr>
      <w:tr w:rsidR="00501489" w:rsidRPr="00501489" w:rsidTr="000B207A">
        <w:tc>
          <w:tcPr>
            <w:tcW w:w="2250" w:type="dxa"/>
          </w:tcPr>
          <w:p w:rsidR="00501489" w:rsidRPr="000B207A" w:rsidRDefault="00501489" w:rsidP="00501489">
            <w:pPr>
              <w:rPr>
                <w:b/>
                <w:sz w:val="24"/>
                <w:szCs w:val="24"/>
              </w:rPr>
            </w:pPr>
            <w:r w:rsidRPr="000B207A">
              <w:rPr>
                <w:b/>
                <w:sz w:val="24"/>
                <w:szCs w:val="24"/>
              </w:rPr>
              <w:t>Travel</w:t>
            </w:r>
          </w:p>
        </w:tc>
        <w:tc>
          <w:tcPr>
            <w:tcW w:w="2340" w:type="dxa"/>
          </w:tcPr>
          <w:p w:rsidR="00501489" w:rsidRPr="000B207A" w:rsidRDefault="00501489" w:rsidP="00501489">
            <w:pPr>
              <w:jc w:val="center"/>
              <w:rPr>
                <w:sz w:val="24"/>
                <w:szCs w:val="24"/>
              </w:rPr>
            </w:pPr>
          </w:p>
        </w:tc>
      </w:tr>
      <w:tr w:rsidR="00501489" w:rsidRPr="00501489" w:rsidTr="000B207A">
        <w:tc>
          <w:tcPr>
            <w:tcW w:w="2250" w:type="dxa"/>
          </w:tcPr>
          <w:p w:rsidR="00501489" w:rsidRPr="000B207A" w:rsidRDefault="00501489" w:rsidP="00501489">
            <w:pPr>
              <w:rPr>
                <w:b/>
                <w:sz w:val="24"/>
                <w:szCs w:val="24"/>
              </w:rPr>
            </w:pPr>
            <w:r w:rsidRPr="000B207A">
              <w:rPr>
                <w:b/>
                <w:sz w:val="24"/>
                <w:szCs w:val="24"/>
              </w:rPr>
              <w:t>Contracts</w:t>
            </w:r>
          </w:p>
        </w:tc>
        <w:tc>
          <w:tcPr>
            <w:tcW w:w="2340" w:type="dxa"/>
          </w:tcPr>
          <w:p w:rsidR="00501489" w:rsidRPr="000B207A" w:rsidRDefault="00501489" w:rsidP="00501489">
            <w:pPr>
              <w:jc w:val="center"/>
              <w:rPr>
                <w:sz w:val="24"/>
                <w:szCs w:val="24"/>
              </w:rPr>
            </w:pPr>
          </w:p>
        </w:tc>
      </w:tr>
      <w:tr w:rsidR="00501489" w:rsidRPr="00501489" w:rsidTr="000B207A">
        <w:tc>
          <w:tcPr>
            <w:tcW w:w="2250" w:type="dxa"/>
          </w:tcPr>
          <w:p w:rsidR="00501489" w:rsidRPr="000B207A" w:rsidRDefault="00501489" w:rsidP="00501489">
            <w:pPr>
              <w:rPr>
                <w:b/>
                <w:sz w:val="24"/>
                <w:szCs w:val="24"/>
              </w:rPr>
            </w:pPr>
            <w:r w:rsidRPr="000B207A">
              <w:rPr>
                <w:b/>
                <w:sz w:val="24"/>
                <w:szCs w:val="24"/>
              </w:rPr>
              <w:t>Interviews</w:t>
            </w:r>
          </w:p>
        </w:tc>
        <w:tc>
          <w:tcPr>
            <w:tcW w:w="2340" w:type="dxa"/>
          </w:tcPr>
          <w:p w:rsidR="00501489" w:rsidRPr="000B207A" w:rsidRDefault="00501489" w:rsidP="00517ED0">
            <w:pPr>
              <w:jc w:val="center"/>
              <w:rPr>
                <w:sz w:val="24"/>
                <w:szCs w:val="24"/>
              </w:rPr>
            </w:pPr>
            <w:r w:rsidRPr="000B207A">
              <w:rPr>
                <w:sz w:val="24"/>
                <w:szCs w:val="24"/>
              </w:rPr>
              <w:t>$</w:t>
            </w:r>
            <w:r w:rsidR="00517ED0">
              <w:rPr>
                <w:sz w:val="24"/>
                <w:szCs w:val="24"/>
              </w:rPr>
              <w:t>18,750</w:t>
            </w:r>
            <w:r w:rsidRPr="000B207A">
              <w:rPr>
                <w:sz w:val="24"/>
                <w:szCs w:val="24"/>
              </w:rPr>
              <w:t xml:space="preserve"> - $</w:t>
            </w:r>
            <w:r w:rsidR="00517ED0">
              <w:rPr>
                <w:sz w:val="24"/>
                <w:szCs w:val="24"/>
              </w:rPr>
              <w:t>37,500</w:t>
            </w:r>
          </w:p>
        </w:tc>
      </w:tr>
      <w:tr w:rsidR="00501489" w:rsidRPr="00501489" w:rsidTr="000B207A">
        <w:tc>
          <w:tcPr>
            <w:tcW w:w="2250" w:type="dxa"/>
          </w:tcPr>
          <w:p w:rsidR="00501489" w:rsidRPr="000B207A" w:rsidRDefault="00501489" w:rsidP="00501489">
            <w:pPr>
              <w:rPr>
                <w:b/>
                <w:sz w:val="24"/>
                <w:szCs w:val="24"/>
              </w:rPr>
            </w:pPr>
            <w:r w:rsidRPr="000B207A">
              <w:rPr>
                <w:b/>
                <w:sz w:val="24"/>
                <w:szCs w:val="24"/>
              </w:rPr>
              <w:t>Miscellaneous</w:t>
            </w:r>
          </w:p>
        </w:tc>
        <w:tc>
          <w:tcPr>
            <w:tcW w:w="2340" w:type="dxa"/>
          </w:tcPr>
          <w:p w:rsidR="00501489" w:rsidRPr="000B207A" w:rsidRDefault="00501489" w:rsidP="00517ED0">
            <w:pPr>
              <w:jc w:val="center"/>
              <w:rPr>
                <w:sz w:val="24"/>
                <w:szCs w:val="24"/>
              </w:rPr>
            </w:pPr>
            <w:r w:rsidRPr="000B207A">
              <w:rPr>
                <w:sz w:val="24"/>
                <w:szCs w:val="24"/>
              </w:rPr>
              <w:t>$</w:t>
            </w:r>
            <w:r w:rsidR="00517ED0">
              <w:rPr>
                <w:sz w:val="24"/>
                <w:szCs w:val="24"/>
              </w:rPr>
              <w:t>2,800</w:t>
            </w:r>
          </w:p>
        </w:tc>
      </w:tr>
      <w:tr w:rsidR="00501489" w:rsidRPr="00501489" w:rsidTr="000B207A">
        <w:tc>
          <w:tcPr>
            <w:tcW w:w="2250" w:type="dxa"/>
          </w:tcPr>
          <w:p w:rsidR="00501489" w:rsidRPr="000B207A" w:rsidRDefault="00501489" w:rsidP="00501489">
            <w:pPr>
              <w:rPr>
                <w:b/>
                <w:sz w:val="24"/>
                <w:szCs w:val="24"/>
              </w:rPr>
            </w:pPr>
            <w:r w:rsidRPr="000B207A">
              <w:rPr>
                <w:b/>
                <w:sz w:val="24"/>
                <w:szCs w:val="24"/>
              </w:rPr>
              <w:t>Total Annual Cost</w:t>
            </w:r>
          </w:p>
        </w:tc>
        <w:tc>
          <w:tcPr>
            <w:tcW w:w="2340" w:type="dxa"/>
          </w:tcPr>
          <w:p w:rsidR="00501489" w:rsidRPr="000B207A" w:rsidRDefault="00501489" w:rsidP="00517ED0">
            <w:pPr>
              <w:jc w:val="center"/>
              <w:rPr>
                <w:sz w:val="24"/>
                <w:szCs w:val="24"/>
              </w:rPr>
            </w:pPr>
            <w:r w:rsidRPr="000B207A">
              <w:rPr>
                <w:sz w:val="24"/>
                <w:szCs w:val="24"/>
              </w:rPr>
              <w:t>$</w:t>
            </w:r>
            <w:r w:rsidR="00517ED0">
              <w:rPr>
                <w:sz w:val="24"/>
                <w:szCs w:val="24"/>
              </w:rPr>
              <w:t>108,900</w:t>
            </w:r>
          </w:p>
        </w:tc>
      </w:tr>
    </w:tbl>
    <w:p w:rsidR="00501489" w:rsidRDefault="00501489" w:rsidP="00501489">
      <w:pPr>
        <w:jc w:val="center"/>
      </w:pPr>
    </w:p>
    <w:p w:rsidR="00DB7673" w:rsidRDefault="00DB7673" w:rsidP="00545D7C">
      <w:pPr>
        <w:pStyle w:val="Heading2"/>
        <w:rPr>
          <w:rFonts w:asciiTheme="minorHAnsi" w:hAnsiTheme="minorHAnsi"/>
          <w:sz w:val="24"/>
          <w:szCs w:val="24"/>
        </w:rPr>
      </w:pPr>
      <w:bookmarkStart w:id="34" w:name="_Toc296089985"/>
      <w:r w:rsidRPr="000B207A">
        <w:rPr>
          <w:rFonts w:asciiTheme="minorHAnsi" w:hAnsiTheme="minorHAnsi"/>
          <w:sz w:val="24"/>
          <w:szCs w:val="24"/>
        </w:rPr>
        <w:t>A.15</w:t>
      </w:r>
      <w:r w:rsidRPr="000B207A">
        <w:rPr>
          <w:rFonts w:asciiTheme="minorHAnsi" w:hAnsiTheme="minorHAnsi"/>
          <w:sz w:val="24"/>
          <w:szCs w:val="24"/>
        </w:rPr>
        <w:tab/>
        <w:t>Explanation for Program Changes or Adjustments</w:t>
      </w:r>
      <w:bookmarkEnd w:id="34"/>
    </w:p>
    <w:p w:rsidR="00476EB4" w:rsidRDefault="00476EB4" w:rsidP="008A3F30">
      <w:pPr>
        <w:spacing w:after="0"/>
        <w:ind w:firstLine="360"/>
        <w:rPr>
          <w:sz w:val="24"/>
          <w:szCs w:val="24"/>
        </w:rPr>
      </w:pPr>
    </w:p>
    <w:p w:rsidR="00DB7673" w:rsidRPr="008A3F30" w:rsidRDefault="00DB7673" w:rsidP="008A3F30">
      <w:pPr>
        <w:spacing w:after="0"/>
        <w:ind w:firstLine="360"/>
        <w:rPr>
          <w:sz w:val="24"/>
          <w:szCs w:val="24"/>
        </w:rPr>
      </w:pPr>
      <w:r w:rsidRPr="008A3F30">
        <w:rPr>
          <w:sz w:val="24"/>
          <w:szCs w:val="24"/>
        </w:rPr>
        <w:t>This is a new data collection.</w:t>
      </w:r>
    </w:p>
    <w:p w:rsidR="00476EB4" w:rsidRPr="00476EB4" w:rsidRDefault="00DB7673" w:rsidP="00476EB4">
      <w:pPr>
        <w:pStyle w:val="Heading2"/>
      </w:pPr>
      <w:bookmarkStart w:id="35" w:name="_Toc296089986"/>
      <w:bookmarkStart w:id="36" w:name="OLE_LINK22"/>
      <w:bookmarkStart w:id="37" w:name="OLE_LINK23"/>
      <w:r w:rsidRPr="000B207A">
        <w:rPr>
          <w:rFonts w:asciiTheme="minorHAnsi" w:hAnsiTheme="minorHAnsi"/>
          <w:sz w:val="24"/>
          <w:szCs w:val="24"/>
        </w:rPr>
        <w:t>A.16</w:t>
      </w:r>
      <w:r w:rsidRPr="000B207A">
        <w:rPr>
          <w:rFonts w:asciiTheme="minorHAnsi" w:hAnsiTheme="minorHAnsi"/>
          <w:sz w:val="24"/>
          <w:szCs w:val="24"/>
        </w:rPr>
        <w:tab/>
        <w:t>Plans for Tabulation and Publication and Project Time Schedule</w:t>
      </w:r>
      <w:bookmarkEnd w:id="35"/>
      <w:r w:rsidR="00476EB4">
        <w:rPr>
          <w:rFonts w:asciiTheme="minorHAnsi" w:hAnsiTheme="minorHAnsi"/>
          <w:sz w:val="24"/>
          <w:szCs w:val="24"/>
        </w:rPr>
        <w:br/>
      </w:r>
    </w:p>
    <w:bookmarkEnd w:id="36"/>
    <w:bookmarkEnd w:id="37"/>
    <w:p w:rsidR="00DB7673" w:rsidRPr="00596D1D" w:rsidRDefault="00DB7673" w:rsidP="00596D1D">
      <w:pPr>
        <w:spacing w:after="0"/>
        <w:ind w:firstLine="360"/>
        <w:rPr>
          <w:sz w:val="24"/>
          <w:szCs w:val="24"/>
        </w:rPr>
      </w:pPr>
      <w:r w:rsidRPr="00596D1D">
        <w:rPr>
          <w:sz w:val="24"/>
          <w:szCs w:val="24"/>
        </w:rPr>
        <w:t xml:space="preserve">We plan to publish project results in both peer reviewed and non-peer reviewed journals. It is estimated that </w:t>
      </w:r>
      <w:r w:rsidR="00596D1D">
        <w:rPr>
          <w:sz w:val="24"/>
          <w:szCs w:val="24"/>
        </w:rPr>
        <w:t>one</w:t>
      </w:r>
      <w:r w:rsidRPr="00596D1D">
        <w:rPr>
          <w:sz w:val="24"/>
          <w:szCs w:val="24"/>
        </w:rPr>
        <w:t xml:space="preserve"> year of data collection will be needed to produce large enough numbers to allow detailed reporting of results. Our projected timeline for the project is detailed in </w:t>
      </w:r>
      <w:r w:rsidR="00D8097F">
        <w:rPr>
          <w:sz w:val="24"/>
          <w:szCs w:val="24"/>
        </w:rPr>
        <w:t xml:space="preserve">the table </w:t>
      </w:r>
      <w:r w:rsidRPr="00596D1D">
        <w:rPr>
          <w:sz w:val="24"/>
          <w:szCs w:val="24"/>
        </w:rPr>
        <w:t>below.</w:t>
      </w:r>
    </w:p>
    <w:p w:rsidR="00DB7673" w:rsidRPr="00596D1D" w:rsidRDefault="00DB7673" w:rsidP="007D6DDA">
      <w:pPr>
        <w:spacing w:after="0"/>
        <w:rPr>
          <w:sz w:val="24"/>
          <w:szCs w:val="24"/>
        </w:rPr>
      </w:pPr>
    </w:p>
    <w:tbl>
      <w:tblPr>
        <w:tblW w:w="0" w:type="auto"/>
        <w:tblLook w:val="01E0" w:firstRow="1" w:lastRow="1" w:firstColumn="1" w:lastColumn="1" w:noHBand="0" w:noVBand="0"/>
      </w:tblPr>
      <w:tblGrid>
        <w:gridCol w:w="4788"/>
        <w:gridCol w:w="4788"/>
      </w:tblGrid>
      <w:tr w:rsidR="00DB7673" w:rsidRPr="00596D1D" w:rsidTr="00DB7673">
        <w:tc>
          <w:tcPr>
            <w:tcW w:w="9576" w:type="dxa"/>
            <w:gridSpan w:val="2"/>
          </w:tcPr>
          <w:p w:rsidR="001014F8" w:rsidRPr="00476EB4" w:rsidRDefault="00DB7673" w:rsidP="007D6DDA">
            <w:pPr>
              <w:spacing w:after="0"/>
              <w:rPr>
                <w:b/>
                <w:sz w:val="24"/>
                <w:szCs w:val="24"/>
                <w:u w:val="single"/>
              </w:rPr>
            </w:pPr>
            <w:r w:rsidRPr="00476EB4">
              <w:rPr>
                <w:b/>
                <w:sz w:val="24"/>
                <w:szCs w:val="24"/>
                <w:u w:val="single"/>
              </w:rPr>
              <w:t>Project Time Schedule</w:t>
            </w:r>
          </w:p>
          <w:p w:rsidR="00DB7673" w:rsidRPr="00596D1D" w:rsidRDefault="001014F8" w:rsidP="007D6DDA">
            <w:pPr>
              <w:spacing w:after="0"/>
              <w:rPr>
                <w:sz w:val="24"/>
                <w:szCs w:val="24"/>
              </w:rPr>
            </w:pPr>
            <w:r>
              <w:rPr>
                <w:b/>
                <w:sz w:val="24"/>
                <w:szCs w:val="24"/>
              </w:rPr>
              <w:t xml:space="preserve"> </w:t>
            </w:r>
          </w:p>
        </w:tc>
      </w:tr>
      <w:tr w:rsidR="00DB7673" w:rsidRPr="00596D1D" w:rsidTr="00DB7673">
        <w:tc>
          <w:tcPr>
            <w:tcW w:w="4788" w:type="dxa"/>
          </w:tcPr>
          <w:p w:rsidR="00DB7673" w:rsidRPr="00596D1D" w:rsidRDefault="00DB7673" w:rsidP="007D6DDA">
            <w:pPr>
              <w:spacing w:after="0"/>
              <w:jc w:val="center"/>
              <w:rPr>
                <w:b/>
                <w:sz w:val="24"/>
                <w:szCs w:val="24"/>
              </w:rPr>
            </w:pPr>
            <w:r w:rsidRPr="00596D1D">
              <w:rPr>
                <w:b/>
                <w:sz w:val="24"/>
                <w:szCs w:val="24"/>
              </w:rPr>
              <w:t>Activity</w:t>
            </w:r>
          </w:p>
        </w:tc>
        <w:tc>
          <w:tcPr>
            <w:tcW w:w="4788" w:type="dxa"/>
          </w:tcPr>
          <w:p w:rsidR="00DB7673" w:rsidRPr="00596D1D" w:rsidRDefault="001014F8" w:rsidP="007D6DDA">
            <w:pPr>
              <w:spacing w:after="0"/>
              <w:jc w:val="center"/>
              <w:rPr>
                <w:b/>
                <w:sz w:val="24"/>
                <w:szCs w:val="24"/>
              </w:rPr>
            </w:pPr>
            <w:r>
              <w:rPr>
                <w:b/>
                <w:sz w:val="24"/>
                <w:szCs w:val="24"/>
              </w:rPr>
              <w:t>T</w:t>
            </w:r>
            <w:r w:rsidR="00DB7673" w:rsidRPr="00596D1D">
              <w:rPr>
                <w:b/>
                <w:sz w:val="24"/>
                <w:szCs w:val="24"/>
              </w:rPr>
              <w:t>ime Schedule</w:t>
            </w:r>
          </w:p>
        </w:tc>
      </w:tr>
      <w:tr w:rsidR="00DB7673" w:rsidRPr="00596D1D" w:rsidTr="00DB7673">
        <w:tc>
          <w:tcPr>
            <w:tcW w:w="4788" w:type="dxa"/>
          </w:tcPr>
          <w:p w:rsidR="00DB7673" w:rsidRPr="00596D1D" w:rsidRDefault="00DB7673" w:rsidP="007D6DDA">
            <w:pPr>
              <w:spacing w:after="0"/>
              <w:rPr>
                <w:sz w:val="24"/>
                <w:szCs w:val="24"/>
              </w:rPr>
            </w:pPr>
            <w:r w:rsidRPr="00596D1D">
              <w:rPr>
                <w:sz w:val="24"/>
                <w:szCs w:val="24"/>
              </w:rPr>
              <w:t>Telephone interviewer training</w:t>
            </w:r>
          </w:p>
        </w:tc>
        <w:tc>
          <w:tcPr>
            <w:tcW w:w="4788" w:type="dxa"/>
          </w:tcPr>
          <w:p w:rsidR="00DB7673" w:rsidRPr="00596D1D" w:rsidRDefault="00DB7673" w:rsidP="007D6DDA">
            <w:pPr>
              <w:spacing w:after="0"/>
              <w:rPr>
                <w:sz w:val="24"/>
                <w:szCs w:val="24"/>
              </w:rPr>
            </w:pPr>
            <w:r w:rsidRPr="00596D1D">
              <w:rPr>
                <w:sz w:val="24"/>
                <w:szCs w:val="24"/>
              </w:rPr>
              <w:t>1-2 months after OMB approval</w:t>
            </w:r>
          </w:p>
        </w:tc>
      </w:tr>
      <w:tr w:rsidR="00DB7673" w:rsidRPr="00596D1D" w:rsidTr="00DB7673">
        <w:tc>
          <w:tcPr>
            <w:tcW w:w="4788" w:type="dxa"/>
          </w:tcPr>
          <w:p w:rsidR="00DB7673" w:rsidRPr="00596D1D" w:rsidRDefault="00DB7673" w:rsidP="007D6DDA">
            <w:pPr>
              <w:spacing w:after="0"/>
              <w:rPr>
                <w:sz w:val="24"/>
                <w:szCs w:val="24"/>
              </w:rPr>
            </w:pPr>
            <w:r w:rsidRPr="00596D1D">
              <w:rPr>
                <w:sz w:val="24"/>
                <w:szCs w:val="24"/>
              </w:rPr>
              <w:t>Begin data collection</w:t>
            </w:r>
          </w:p>
        </w:tc>
        <w:tc>
          <w:tcPr>
            <w:tcW w:w="4788" w:type="dxa"/>
          </w:tcPr>
          <w:p w:rsidR="00DB7673" w:rsidRPr="00596D1D" w:rsidRDefault="00DB7673" w:rsidP="007D6DDA">
            <w:pPr>
              <w:spacing w:after="0"/>
              <w:rPr>
                <w:sz w:val="24"/>
                <w:szCs w:val="24"/>
              </w:rPr>
            </w:pPr>
            <w:r w:rsidRPr="00596D1D">
              <w:rPr>
                <w:sz w:val="24"/>
                <w:szCs w:val="24"/>
              </w:rPr>
              <w:t>2-3 months after OMB approval</w:t>
            </w:r>
          </w:p>
        </w:tc>
      </w:tr>
      <w:tr w:rsidR="00DB7673" w:rsidRPr="00596D1D" w:rsidTr="00DB7673">
        <w:tc>
          <w:tcPr>
            <w:tcW w:w="4788" w:type="dxa"/>
          </w:tcPr>
          <w:p w:rsidR="00DB7673" w:rsidRPr="00596D1D" w:rsidRDefault="00DB7673" w:rsidP="007D6DDA">
            <w:pPr>
              <w:spacing w:after="0"/>
              <w:rPr>
                <w:sz w:val="24"/>
                <w:szCs w:val="24"/>
              </w:rPr>
            </w:pPr>
            <w:r w:rsidRPr="00596D1D">
              <w:rPr>
                <w:sz w:val="24"/>
                <w:szCs w:val="24"/>
              </w:rPr>
              <w:t>Begin regular monitoring/quality assurance of incoming data</w:t>
            </w:r>
          </w:p>
        </w:tc>
        <w:tc>
          <w:tcPr>
            <w:tcW w:w="4788" w:type="dxa"/>
          </w:tcPr>
          <w:p w:rsidR="00DB7673" w:rsidRPr="00596D1D" w:rsidRDefault="00596D1D" w:rsidP="00596D1D">
            <w:pPr>
              <w:spacing w:after="0"/>
              <w:rPr>
                <w:sz w:val="24"/>
                <w:szCs w:val="24"/>
              </w:rPr>
            </w:pPr>
            <w:r>
              <w:rPr>
                <w:sz w:val="24"/>
                <w:szCs w:val="24"/>
              </w:rPr>
              <w:t>4</w:t>
            </w:r>
            <w:r w:rsidR="00DB7673" w:rsidRPr="00596D1D">
              <w:rPr>
                <w:sz w:val="24"/>
                <w:szCs w:val="24"/>
              </w:rPr>
              <w:t>-</w:t>
            </w:r>
            <w:r>
              <w:rPr>
                <w:sz w:val="24"/>
                <w:szCs w:val="24"/>
              </w:rPr>
              <w:t>5</w:t>
            </w:r>
            <w:r w:rsidR="00DB7673" w:rsidRPr="00596D1D">
              <w:rPr>
                <w:sz w:val="24"/>
                <w:szCs w:val="24"/>
              </w:rPr>
              <w:t xml:space="preserve"> months after OMB approval</w:t>
            </w:r>
          </w:p>
        </w:tc>
      </w:tr>
      <w:tr w:rsidR="00DB7673" w:rsidRPr="00596D1D" w:rsidTr="00DB7673">
        <w:tc>
          <w:tcPr>
            <w:tcW w:w="4788" w:type="dxa"/>
          </w:tcPr>
          <w:p w:rsidR="00DB7673" w:rsidRPr="00596D1D" w:rsidRDefault="00DB7673" w:rsidP="007D6DDA">
            <w:pPr>
              <w:spacing w:after="0"/>
              <w:rPr>
                <w:sz w:val="24"/>
                <w:szCs w:val="24"/>
              </w:rPr>
            </w:pPr>
            <w:r w:rsidRPr="00596D1D">
              <w:rPr>
                <w:sz w:val="24"/>
                <w:szCs w:val="24"/>
              </w:rPr>
              <w:lastRenderedPageBreak/>
              <w:t>Finalize dataset</w:t>
            </w:r>
          </w:p>
        </w:tc>
        <w:tc>
          <w:tcPr>
            <w:tcW w:w="4788" w:type="dxa"/>
          </w:tcPr>
          <w:p w:rsidR="00DB7673" w:rsidRPr="00596D1D" w:rsidRDefault="00596D1D" w:rsidP="007D6DDA">
            <w:pPr>
              <w:spacing w:after="0"/>
              <w:rPr>
                <w:sz w:val="24"/>
                <w:szCs w:val="24"/>
              </w:rPr>
            </w:pPr>
            <w:r>
              <w:rPr>
                <w:sz w:val="24"/>
                <w:szCs w:val="24"/>
              </w:rPr>
              <w:t>14-1</w:t>
            </w:r>
            <w:r w:rsidR="00517ED0">
              <w:rPr>
                <w:sz w:val="24"/>
                <w:szCs w:val="24"/>
              </w:rPr>
              <w:t>8</w:t>
            </w:r>
            <w:r w:rsidR="00DB7673" w:rsidRPr="00596D1D">
              <w:rPr>
                <w:sz w:val="24"/>
                <w:szCs w:val="24"/>
              </w:rPr>
              <w:t xml:space="preserve"> months after OMB approval</w:t>
            </w:r>
          </w:p>
        </w:tc>
      </w:tr>
      <w:tr w:rsidR="00DB7673" w:rsidRPr="00596D1D" w:rsidTr="00DB7673">
        <w:tc>
          <w:tcPr>
            <w:tcW w:w="4788" w:type="dxa"/>
          </w:tcPr>
          <w:p w:rsidR="00DB7673" w:rsidRPr="00596D1D" w:rsidRDefault="00DB7673" w:rsidP="007D6DDA">
            <w:pPr>
              <w:spacing w:after="0"/>
              <w:rPr>
                <w:sz w:val="24"/>
                <w:szCs w:val="24"/>
              </w:rPr>
            </w:pPr>
            <w:r w:rsidRPr="00596D1D">
              <w:rPr>
                <w:sz w:val="24"/>
                <w:szCs w:val="24"/>
              </w:rPr>
              <w:t>Analyses</w:t>
            </w:r>
          </w:p>
        </w:tc>
        <w:tc>
          <w:tcPr>
            <w:tcW w:w="4788" w:type="dxa"/>
          </w:tcPr>
          <w:p w:rsidR="00DB7673" w:rsidRPr="00596D1D" w:rsidRDefault="00596D1D" w:rsidP="007D6DDA">
            <w:pPr>
              <w:spacing w:after="0"/>
              <w:rPr>
                <w:sz w:val="24"/>
                <w:szCs w:val="24"/>
              </w:rPr>
            </w:pPr>
            <w:r>
              <w:rPr>
                <w:sz w:val="24"/>
                <w:szCs w:val="24"/>
              </w:rPr>
              <w:t>16-19</w:t>
            </w:r>
            <w:r w:rsidR="00DB7673" w:rsidRPr="00596D1D">
              <w:rPr>
                <w:sz w:val="24"/>
                <w:szCs w:val="24"/>
              </w:rPr>
              <w:t xml:space="preserve"> months after OMB approval</w:t>
            </w:r>
          </w:p>
        </w:tc>
      </w:tr>
      <w:tr w:rsidR="00596D1D" w:rsidRPr="00596D1D" w:rsidTr="00DB7673">
        <w:tc>
          <w:tcPr>
            <w:tcW w:w="4788" w:type="dxa"/>
          </w:tcPr>
          <w:p w:rsidR="00596D1D" w:rsidRPr="00596D1D" w:rsidRDefault="00151160" w:rsidP="007D6DDA">
            <w:pPr>
              <w:spacing w:after="0"/>
              <w:rPr>
                <w:sz w:val="24"/>
                <w:szCs w:val="24"/>
              </w:rPr>
            </w:pPr>
            <w:r>
              <w:rPr>
                <w:sz w:val="24"/>
                <w:szCs w:val="24"/>
              </w:rPr>
              <w:t>Provide project update to Congress, with results.</w:t>
            </w:r>
          </w:p>
        </w:tc>
        <w:tc>
          <w:tcPr>
            <w:tcW w:w="4788" w:type="dxa"/>
          </w:tcPr>
          <w:p w:rsidR="00596D1D" w:rsidRDefault="00151160" w:rsidP="007D6DDA">
            <w:pPr>
              <w:spacing w:after="0"/>
              <w:rPr>
                <w:sz w:val="24"/>
                <w:szCs w:val="24"/>
              </w:rPr>
            </w:pPr>
            <w:r>
              <w:rPr>
                <w:sz w:val="24"/>
                <w:szCs w:val="24"/>
              </w:rPr>
              <w:t>20-21</w:t>
            </w:r>
            <w:r w:rsidR="001014F8">
              <w:rPr>
                <w:sz w:val="24"/>
                <w:szCs w:val="24"/>
              </w:rPr>
              <w:t xml:space="preserve"> months after OMB approval</w:t>
            </w:r>
          </w:p>
        </w:tc>
      </w:tr>
      <w:tr w:rsidR="00DB7673" w:rsidRPr="00596D1D" w:rsidTr="00DB7673">
        <w:tc>
          <w:tcPr>
            <w:tcW w:w="4788" w:type="dxa"/>
          </w:tcPr>
          <w:p w:rsidR="00DB7673" w:rsidRPr="00596D1D" w:rsidRDefault="00DB7673" w:rsidP="007D6DDA">
            <w:pPr>
              <w:spacing w:after="0"/>
              <w:rPr>
                <w:sz w:val="24"/>
                <w:szCs w:val="24"/>
              </w:rPr>
            </w:pPr>
            <w:r w:rsidRPr="00596D1D">
              <w:rPr>
                <w:sz w:val="24"/>
                <w:szCs w:val="24"/>
              </w:rPr>
              <w:t>Publication ready for submission to peer-review journal</w:t>
            </w:r>
          </w:p>
        </w:tc>
        <w:tc>
          <w:tcPr>
            <w:tcW w:w="4788" w:type="dxa"/>
          </w:tcPr>
          <w:p w:rsidR="00DB7673" w:rsidRPr="00596D1D" w:rsidRDefault="00596D1D" w:rsidP="00151160">
            <w:pPr>
              <w:spacing w:after="0"/>
              <w:rPr>
                <w:sz w:val="24"/>
                <w:szCs w:val="24"/>
              </w:rPr>
            </w:pPr>
            <w:r>
              <w:rPr>
                <w:sz w:val="24"/>
                <w:szCs w:val="24"/>
              </w:rPr>
              <w:t>2</w:t>
            </w:r>
            <w:r w:rsidR="00151160">
              <w:rPr>
                <w:sz w:val="24"/>
                <w:szCs w:val="24"/>
              </w:rPr>
              <w:t>2</w:t>
            </w:r>
            <w:r>
              <w:rPr>
                <w:sz w:val="24"/>
                <w:szCs w:val="24"/>
              </w:rPr>
              <w:t>-2</w:t>
            </w:r>
            <w:r w:rsidR="00151160">
              <w:rPr>
                <w:sz w:val="24"/>
                <w:szCs w:val="24"/>
              </w:rPr>
              <w:t>3</w:t>
            </w:r>
            <w:r w:rsidR="00DB7673" w:rsidRPr="00596D1D">
              <w:rPr>
                <w:sz w:val="24"/>
                <w:szCs w:val="24"/>
              </w:rPr>
              <w:t xml:space="preserve"> months after OMB approval</w:t>
            </w:r>
          </w:p>
        </w:tc>
      </w:tr>
      <w:tr w:rsidR="00DB7673" w:rsidRPr="00596D1D" w:rsidTr="00DB7673">
        <w:tc>
          <w:tcPr>
            <w:tcW w:w="4788" w:type="dxa"/>
          </w:tcPr>
          <w:p w:rsidR="00DB7673" w:rsidRPr="00596D1D" w:rsidRDefault="00DB7673" w:rsidP="00151160">
            <w:pPr>
              <w:spacing w:after="0"/>
              <w:rPr>
                <w:sz w:val="24"/>
                <w:szCs w:val="24"/>
              </w:rPr>
            </w:pPr>
            <w:r w:rsidRPr="00596D1D">
              <w:rPr>
                <w:sz w:val="24"/>
                <w:szCs w:val="24"/>
              </w:rPr>
              <w:t>Product ready for dissemination to occupational health and safety organizations</w:t>
            </w:r>
          </w:p>
        </w:tc>
        <w:tc>
          <w:tcPr>
            <w:tcW w:w="4788" w:type="dxa"/>
          </w:tcPr>
          <w:p w:rsidR="00DB7673" w:rsidRPr="00596D1D" w:rsidRDefault="00151160" w:rsidP="00151160">
            <w:pPr>
              <w:spacing w:after="0"/>
              <w:rPr>
                <w:sz w:val="24"/>
                <w:szCs w:val="24"/>
              </w:rPr>
            </w:pPr>
            <w:r>
              <w:rPr>
                <w:sz w:val="24"/>
                <w:szCs w:val="24"/>
              </w:rPr>
              <w:t>22</w:t>
            </w:r>
            <w:r w:rsidR="00DB7673" w:rsidRPr="00596D1D">
              <w:rPr>
                <w:sz w:val="24"/>
                <w:szCs w:val="24"/>
              </w:rPr>
              <w:t>-</w:t>
            </w:r>
            <w:r>
              <w:rPr>
                <w:sz w:val="24"/>
                <w:szCs w:val="24"/>
              </w:rPr>
              <w:t>24</w:t>
            </w:r>
            <w:r w:rsidR="00DB7673" w:rsidRPr="00596D1D">
              <w:rPr>
                <w:sz w:val="24"/>
                <w:szCs w:val="24"/>
              </w:rPr>
              <w:t xml:space="preserve"> months after OMB approval</w:t>
            </w:r>
          </w:p>
        </w:tc>
      </w:tr>
    </w:tbl>
    <w:p w:rsidR="00DB7673" w:rsidRPr="00151160" w:rsidRDefault="00DB7673" w:rsidP="007D6DDA">
      <w:pPr>
        <w:spacing w:after="0"/>
        <w:rPr>
          <w:sz w:val="24"/>
          <w:szCs w:val="24"/>
        </w:rPr>
      </w:pPr>
    </w:p>
    <w:p w:rsidR="00DB7673" w:rsidRDefault="00DB7673" w:rsidP="00545D7C">
      <w:pPr>
        <w:pStyle w:val="Heading2"/>
        <w:rPr>
          <w:rFonts w:asciiTheme="minorHAnsi" w:hAnsiTheme="minorHAnsi"/>
          <w:sz w:val="24"/>
          <w:szCs w:val="24"/>
        </w:rPr>
      </w:pPr>
      <w:bookmarkStart w:id="38" w:name="_Toc296089987"/>
      <w:r w:rsidRPr="007C5B1A">
        <w:rPr>
          <w:rFonts w:asciiTheme="minorHAnsi" w:hAnsiTheme="minorHAnsi"/>
          <w:sz w:val="24"/>
          <w:szCs w:val="24"/>
        </w:rPr>
        <w:t>A.17</w:t>
      </w:r>
      <w:r w:rsidRPr="007C5B1A">
        <w:rPr>
          <w:rFonts w:asciiTheme="minorHAnsi" w:hAnsiTheme="minorHAnsi"/>
          <w:sz w:val="24"/>
          <w:szCs w:val="24"/>
        </w:rPr>
        <w:tab/>
        <w:t>Reason(s) Display of OMB Expiration Date is Inappropriate</w:t>
      </w:r>
      <w:bookmarkEnd w:id="38"/>
    </w:p>
    <w:p w:rsidR="00476EB4" w:rsidRDefault="00476EB4" w:rsidP="00151160">
      <w:pPr>
        <w:spacing w:after="0"/>
        <w:ind w:firstLine="360"/>
        <w:rPr>
          <w:sz w:val="24"/>
          <w:szCs w:val="24"/>
        </w:rPr>
      </w:pPr>
    </w:p>
    <w:p w:rsidR="00DB7673" w:rsidRPr="00151160" w:rsidRDefault="00DB7673" w:rsidP="00476EB4">
      <w:pPr>
        <w:spacing w:after="0"/>
        <w:ind w:firstLine="360"/>
        <w:rPr>
          <w:sz w:val="24"/>
          <w:szCs w:val="24"/>
        </w:rPr>
      </w:pPr>
      <w:r w:rsidRPr="00151160">
        <w:rPr>
          <w:sz w:val="24"/>
          <w:szCs w:val="24"/>
        </w:rPr>
        <w:t>The OMB expiration date will be displayed.</w:t>
      </w:r>
    </w:p>
    <w:p w:rsidR="00DB7673" w:rsidRDefault="00DB7673" w:rsidP="00545D7C">
      <w:pPr>
        <w:pStyle w:val="Heading2"/>
        <w:rPr>
          <w:rFonts w:asciiTheme="minorHAnsi" w:hAnsiTheme="minorHAnsi"/>
          <w:sz w:val="24"/>
          <w:szCs w:val="24"/>
        </w:rPr>
      </w:pPr>
      <w:bookmarkStart w:id="39" w:name="_Toc296089988"/>
      <w:r w:rsidRPr="007C5B1A">
        <w:rPr>
          <w:rFonts w:asciiTheme="minorHAnsi" w:hAnsiTheme="minorHAnsi"/>
          <w:sz w:val="24"/>
          <w:szCs w:val="24"/>
        </w:rPr>
        <w:t>A.18</w:t>
      </w:r>
      <w:r w:rsidRPr="007C5B1A">
        <w:rPr>
          <w:rFonts w:asciiTheme="minorHAnsi" w:hAnsiTheme="minorHAnsi"/>
          <w:sz w:val="24"/>
          <w:szCs w:val="24"/>
        </w:rPr>
        <w:tab/>
        <w:t>Exceptions to Certification for Paperwork Reduction Act Submissions</w:t>
      </w:r>
      <w:bookmarkEnd w:id="39"/>
    </w:p>
    <w:p w:rsidR="00476EB4" w:rsidRDefault="00476EB4" w:rsidP="00151160">
      <w:pPr>
        <w:spacing w:after="0"/>
        <w:ind w:firstLine="360"/>
        <w:rPr>
          <w:sz w:val="24"/>
          <w:szCs w:val="24"/>
        </w:rPr>
      </w:pPr>
    </w:p>
    <w:p w:rsidR="00DB7673" w:rsidRPr="00151160" w:rsidRDefault="00DB7673" w:rsidP="00151160">
      <w:pPr>
        <w:spacing w:after="0"/>
        <w:ind w:firstLine="360"/>
        <w:rPr>
          <w:b/>
          <w:sz w:val="24"/>
          <w:szCs w:val="24"/>
        </w:rPr>
      </w:pPr>
      <w:r w:rsidRPr="00151160">
        <w:rPr>
          <w:sz w:val="24"/>
          <w:szCs w:val="24"/>
        </w:rPr>
        <w:t>There are no exceptions to the certification.</w:t>
      </w:r>
    </w:p>
    <w:p w:rsidR="00D15C52" w:rsidRDefault="00D15C52" w:rsidP="007D6DDA">
      <w:pPr>
        <w:pStyle w:val="L1-FlLSp12"/>
        <w:tabs>
          <w:tab w:val="clear" w:pos="1152"/>
          <w:tab w:val="left" w:pos="720"/>
        </w:tabs>
        <w:spacing w:after="0" w:line="276" w:lineRule="auto"/>
        <w:ind w:firstLine="360"/>
        <w:rPr>
          <w:rFonts w:asciiTheme="minorHAnsi" w:hAnsiTheme="minorHAnsi" w:cs="Times New Roman"/>
          <w:szCs w:val="24"/>
          <w:lang w:eastAsia="ja-JP"/>
        </w:rPr>
      </w:pPr>
    </w:p>
    <w:p w:rsidR="00476EB4" w:rsidRDefault="00476EB4" w:rsidP="00545D7C">
      <w:pPr>
        <w:pStyle w:val="L1-FlLSp12"/>
        <w:tabs>
          <w:tab w:val="clear" w:pos="1152"/>
          <w:tab w:val="left" w:pos="720"/>
        </w:tabs>
        <w:spacing w:after="0" w:line="276" w:lineRule="auto"/>
        <w:jc w:val="center"/>
        <w:outlineLvl w:val="0"/>
        <w:rPr>
          <w:rFonts w:asciiTheme="minorHAnsi" w:hAnsiTheme="minorHAnsi" w:cs="Times New Roman"/>
          <w:b/>
          <w:szCs w:val="24"/>
          <w:lang w:eastAsia="ja-JP"/>
        </w:rPr>
      </w:pPr>
      <w:bookmarkStart w:id="40" w:name="_Toc296089989"/>
    </w:p>
    <w:p w:rsidR="002313F8" w:rsidRPr="002313F8" w:rsidRDefault="002313F8" w:rsidP="00545D7C">
      <w:pPr>
        <w:pStyle w:val="L1-FlLSp12"/>
        <w:tabs>
          <w:tab w:val="clear" w:pos="1152"/>
          <w:tab w:val="left" w:pos="720"/>
        </w:tabs>
        <w:spacing w:after="0" w:line="276" w:lineRule="auto"/>
        <w:jc w:val="center"/>
        <w:outlineLvl w:val="0"/>
        <w:rPr>
          <w:rFonts w:asciiTheme="minorHAnsi" w:hAnsiTheme="minorHAnsi" w:cs="Times New Roman"/>
          <w:b/>
          <w:szCs w:val="24"/>
          <w:lang w:eastAsia="ja-JP"/>
        </w:rPr>
      </w:pPr>
      <w:r>
        <w:rPr>
          <w:rFonts w:asciiTheme="minorHAnsi" w:hAnsiTheme="minorHAnsi" w:cs="Times New Roman"/>
          <w:b/>
          <w:szCs w:val="24"/>
          <w:lang w:eastAsia="ja-JP"/>
        </w:rPr>
        <w:t>Selected Citations</w:t>
      </w:r>
      <w:bookmarkEnd w:id="40"/>
    </w:p>
    <w:p w:rsidR="002313F8" w:rsidRPr="00481762" w:rsidRDefault="002313F8" w:rsidP="00481762">
      <w:pPr>
        <w:pStyle w:val="L1-FlLSp12"/>
        <w:tabs>
          <w:tab w:val="clear" w:pos="1152"/>
          <w:tab w:val="left" w:pos="720"/>
        </w:tabs>
        <w:spacing w:after="0" w:line="240" w:lineRule="auto"/>
        <w:ind w:left="720" w:hanging="720"/>
        <w:rPr>
          <w:rFonts w:asciiTheme="majorHAnsi" w:hAnsiTheme="majorHAnsi" w:cs="Times New Roman"/>
          <w:szCs w:val="24"/>
          <w:lang w:eastAsia="ja-JP"/>
        </w:rPr>
      </w:pPr>
    </w:p>
    <w:p w:rsidR="00CF2CF6" w:rsidRDefault="00CF2CF6" w:rsidP="00CF2CF6">
      <w:pPr>
        <w:pStyle w:val="L1-FlLSp12"/>
        <w:spacing w:after="0" w:line="240" w:lineRule="auto"/>
        <w:ind w:left="720" w:hanging="720"/>
        <w:rPr>
          <w:rFonts w:asciiTheme="minorHAnsi" w:hAnsiTheme="minorHAnsi"/>
          <w:noProof/>
          <w:szCs w:val="24"/>
        </w:rPr>
      </w:pPr>
      <w:r>
        <w:rPr>
          <w:rFonts w:asciiTheme="minorHAnsi" w:hAnsiTheme="minorHAnsi"/>
          <w:noProof/>
          <w:szCs w:val="24"/>
        </w:rPr>
        <w:t>Azaroff, L.S., Levenstein, C &amp; Wegman D.H. “</w:t>
      </w:r>
      <w:r w:rsidRPr="00CF2CF6">
        <w:rPr>
          <w:rFonts w:asciiTheme="minorHAnsi" w:hAnsiTheme="minorHAnsi"/>
          <w:noProof/>
          <w:szCs w:val="24"/>
        </w:rPr>
        <w:t>Occupational Injury and Illness Surveillance:</w:t>
      </w:r>
      <w:r>
        <w:rPr>
          <w:rFonts w:asciiTheme="minorHAnsi" w:hAnsiTheme="minorHAnsi"/>
          <w:noProof/>
          <w:szCs w:val="24"/>
        </w:rPr>
        <w:t xml:space="preserve"> </w:t>
      </w:r>
      <w:r w:rsidRPr="00CF2CF6">
        <w:rPr>
          <w:rFonts w:asciiTheme="minorHAnsi" w:hAnsiTheme="minorHAnsi"/>
          <w:noProof/>
          <w:szCs w:val="24"/>
        </w:rPr>
        <w:t>Conceptual Filters Explain Underreporting</w:t>
      </w:r>
      <w:r>
        <w:rPr>
          <w:rFonts w:asciiTheme="minorHAnsi" w:hAnsiTheme="minorHAnsi"/>
          <w:noProof/>
          <w:szCs w:val="24"/>
        </w:rPr>
        <w:t xml:space="preserve">.” </w:t>
      </w:r>
      <w:r w:rsidRPr="00D76DBB">
        <w:rPr>
          <w:rFonts w:asciiTheme="minorHAnsi" w:hAnsiTheme="minorHAnsi"/>
          <w:i/>
          <w:noProof/>
          <w:szCs w:val="24"/>
        </w:rPr>
        <w:t>Am J Public Health</w:t>
      </w:r>
      <w:r>
        <w:rPr>
          <w:rFonts w:asciiTheme="minorHAnsi" w:hAnsiTheme="minorHAnsi"/>
          <w:noProof/>
          <w:szCs w:val="24"/>
        </w:rPr>
        <w:t xml:space="preserve"> 92 (2002):1421-1429.</w:t>
      </w:r>
    </w:p>
    <w:p w:rsidR="00481762" w:rsidRPr="00481762" w:rsidRDefault="00481762" w:rsidP="00481762">
      <w:pPr>
        <w:pStyle w:val="L1-FlLSp12"/>
        <w:spacing w:after="0" w:line="240" w:lineRule="auto"/>
        <w:ind w:left="720" w:hanging="720"/>
        <w:rPr>
          <w:rFonts w:asciiTheme="minorHAnsi" w:hAnsiTheme="minorHAnsi"/>
          <w:noProof/>
          <w:szCs w:val="24"/>
        </w:rPr>
      </w:pPr>
      <w:r w:rsidRPr="00481762">
        <w:rPr>
          <w:rFonts w:asciiTheme="minorHAnsi" w:hAnsiTheme="minorHAnsi"/>
          <w:noProof/>
          <w:szCs w:val="24"/>
        </w:rPr>
        <w:t xml:space="preserve">CDC. "Workers Memorial Day--April 28,2011." </w:t>
      </w:r>
      <w:r w:rsidRPr="00481762">
        <w:rPr>
          <w:rFonts w:asciiTheme="minorHAnsi" w:hAnsiTheme="minorHAnsi"/>
          <w:i/>
          <w:noProof/>
          <w:szCs w:val="24"/>
        </w:rPr>
        <w:t xml:space="preserve">MMWR </w:t>
      </w:r>
      <w:r w:rsidRPr="00481762">
        <w:rPr>
          <w:rFonts w:asciiTheme="minorHAnsi" w:hAnsiTheme="minorHAnsi"/>
          <w:i/>
          <w:iCs/>
          <w:noProof/>
          <w:szCs w:val="24"/>
        </w:rPr>
        <w:t>Morbidity and Mortality Weekly Report</w:t>
      </w:r>
      <w:r w:rsidRPr="00481762">
        <w:rPr>
          <w:rFonts w:asciiTheme="minorHAnsi" w:hAnsiTheme="minorHAnsi"/>
          <w:noProof/>
          <w:szCs w:val="24"/>
        </w:rPr>
        <w:t xml:space="preserve"> 60, no. 16 (2011): 497.</w:t>
      </w:r>
    </w:p>
    <w:p w:rsidR="00481762" w:rsidRPr="00481762" w:rsidRDefault="00481762" w:rsidP="00481762">
      <w:pPr>
        <w:pStyle w:val="Bibliography"/>
        <w:spacing w:after="0" w:line="240" w:lineRule="auto"/>
        <w:ind w:left="720" w:hanging="720"/>
        <w:rPr>
          <w:noProof/>
          <w:sz w:val="24"/>
          <w:szCs w:val="24"/>
        </w:rPr>
      </w:pPr>
      <w:r w:rsidRPr="00481762">
        <w:rPr>
          <w:noProof/>
          <w:sz w:val="24"/>
          <w:szCs w:val="24"/>
        </w:rPr>
        <w:t xml:space="preserve">Committee on Education and Labor, US House of Representatives. </w:t>
      </w:r>
      <w:r w:rsidRPr="00481762">
        <w:rPr>
          <w:i/>
          <w:iCs/>
          <w:noProof/>
          <w:sz w:val="24"/>
          <w:szCs w:val="24"/>
        </w:rPr>
        <w:t>Hidden tragedy: Underreporting of workplace injuries and illnesses.</w:t>
      </w:r>
      <w:r w:rsidRPr="00481762">
        <w:rPr>
          <w:noProof/>
          <w:sz w:val="24"/>
          <w:szCs w:val="24"/>
        </w:rPr>
        <w:t xml:space="preserve"> Washington, DC, June 2011, 2008.</w:t>
      </w:r>
    </w:p>
    <w:p w:rsidR="00481762" w:rsidRPr="00481762" w:rsidRDefault="00481762" w:rsidP="00481762">
      <w:pPr>
        <w:pStyle w:val="L1-FlLSp12"/>
        <w:spacing w:after="0" w:line="240" w:lineRule="auto"/>
        <w:ind w:left="720" w:hanging="720"/>
        <w:rPr>
          <w:rFonts w:asciiTheme="minorHAnsi" w:hAnsiTheme="minorHAnsi"/>
          <w:noProof/>
          <w:szCs w:val="24"/>
        </w:rPr>
      </w:pPr>
      <w:r w:rsidRPr="00481762">
        <w:rPr>
          <w:rFonts w:asciiTheme="minorHAnsi" w:hAnsiTheme="minorHAnsi"/>
          <w:noProof/>
          <w:szCs w:val="24"/>
        </w:rPr>
        <w:t xml:space="preserve">Jackson, L.L. “Non-fatal occupational injuries and illnesses treated in hospital emergency departments in the United States.” </w:t>
      </w:r>
      <w:r w:rsidRPr="00481762">
        <w:rPr>
          <w:rFonts w:asciiTheme="minorHAnsi" w:hAnsiTheme="minorHAnsi"/>
          <w:i/>
          <w:noProof/>
          <w:szCs w:val="24"/>
        </w:rPr>
        <w:t>Injury Prevention</w:t>
      </w:r>
      <w:r w:rsidRPr="00481762">
        <w:rPr>
          <w:rFonts w:asciiTheme="minorHAnsi" w:hAnsiTheme="minorHAnsi"/>
          <w:noProof/>
          <w:szCs w:val="24"/>
        </w:rPr>
        <w:t xml:space="preserve"> 7, Suppl I (2001):i21-26.</w:t>
      </w:r>
    </w:p>
    <w:p w:rsidR="00481762" w:rsidRPr="00481762" w:rsidRDefault="00481762" w:rsidP="00481762">
      <w:pPr>
        <w:pStyle w:val="L1-FlLSp12"/>
        <w:spacing w:after="0" w:line="240" w:lineRule="auto"/>
        <w:ind w:left="720" w:hanging="720"/>
        <w:rPr>
          <w:rFonts w:asciiTheme="minorHAnsi" w:hAnsiTheme="minorHAnsi" w:cs="Times New Roman"/>
          <w:noProof/>
        </w:rPr>
      </w:pPr>
      <w:r w:rsidRPr="00481762">
        <w:rPr>
          <w:rFonts w:asciiTheme="minorHAnsi" w:hAnsiTheme="minorHAnsi" w:cs="Times New Roman"/>
          <w:noProof/>
        </w:rPr>
        <w:t xml:space="preserve">National Center for Chronic Disease Prevention and Health Promotion. </w:t>
      </w:r>
      <w:r>
        <w:rPr>
          <w:rFonts w:asciiTheme="minorHAnsi" w:hAnsiTheme="minorHAnsi" w:cs="Times New Roman"/>
          <w:noProof/>
        </w:rPr>
        <w:t>“</w:t>
      </w:r>
      <w:r w:rsidRPr="00481762">
        <w:rPr>
          <w:rFonts w:asciiTheme="minorHAnsi" w:hAnsiTheme="minorHAnsi" w:cs="Times New Roman"/>
          <w:noProof/>
        </w:rPr>
        <w:t>The power of prevention: Chronic disease...the public health</w:t>
      </w:r>
      <w:r>
        <w:rPr>
          <w:rFonts w:asciiTheme="minorHAnsi" w:hAnsiTheme="minorHAnsi" w:cs="Times New Roman"/>
          <w:noProof/>
        </w:rPr>
        <w:t xml:space="preserve"> challenge of the 21st century.” (2009).</w:t>
      </w:r>
    </w:p>
    <w:p w:rsidR="008671D6" w:rsidRPr="00481762" w:rsidRDefault="00481762" w:rsidP="00481762">
      <w:pPr>
        <w:pStyle w:val="L1-FlLSp12"/>
        <w:spacing w:after="0" w:line="240" w:lineRule="auto"/>
        <w:ind w:left="720" w:hanging="720"/>
        <w:rPr>
          <w:rFonts w:asciiTheme="minorHAnsi" w:hAnsiTheme="minorHAnsi" w:cs="Times New Roman"/>
          <w:szCs w:val="24"/>
          <w:lang w:eastAsia="ja-JP"/>
        </w:rPr>
      </w:pPr>
      <w:r w:rsidRPr="00481762">
        <w:rPr>
          <w:rFonts w:asciiTheme="minorHAnsi" w:hAnsiTheme="minorHAnsi"/>
          <w:noProof/>
          <w:szCs w:val="24"/>
        </w:rPr>
        <w:t xml:space="preserve">Pollack, E.S. &amp; Keimig, D.G. </w:t>
      </w:r>
      <w:r w:rsidRPr="00481762">
        <w:rPr>
          <w:rFonts w:asciiTheme="minorHAnsi" w:hAnsiTheme="minorHAnsi"/>
          <w:i/>
          <w:iCs/>
          <w:noProof/>
          <w:szCs w:val="24"/>
        </w:rPr>
        <w:t>Counting Injuries and Ilnesses in the Workplace: Proposals for a Better System.</w:t>
      </w:r>
      <w:r w:rsidRPr="00481762">
        <w:rPr>
          <w:rFonts w:asciiTheme="minorHAnsi" w:hAnsiTheme="minorHAnsi"/>
          <w:noProof/>
          <w:szCs w:val="24"/>
        </w:rPr>
        <w:t xml:space="preserve"> Washington, DC: National Academy Press, 1987.</w:t>
      </w:r>
      <w:r w:rsidR="00DB6EED" w:rsidRPr="00481762">
        <w:rPr>
          <w:rFonts w:asciiTheme="minorHAnsi" w:hAnsiTheme="minorHAnsi" w:cs="Times New Roman"/>
          <w:szCs w:val="24"/>
          <w:lang w:eastAsia="ja-JP"/>
        </w:rPr>
        <w:fldChar w:fldCharType="begin"/>
      </w:r>
      <w:r w:rsidR="00D15C52" w:rsidRPr="00481762">
        <w:rPr>
          <w:rFonts w:asciiTheme="minorHAnsi" w:hAnsiTheme="minorHAnsi" w:cs="Times New Roman"/>
          <w:szCs w:val="24"/>
          <w:lang w:eastAsia="ja-JP"/>
        </w:rPr>
        <w:instrText xml:space="preserve"> ADDIN EN.REFLIST </w:instrText>
      </w:r>
      <w:r w:rsidR="00DB6EED" w:rsidRPr="00481762">
        <w:rPr>
          <w:rFonts w:asciiTheme="minorHAnsi" w:hAnsiTheme="minorHAnsi" w:cs="Times New Roman"/>
          <w:szCs w:val="24"/>
          <w:lang w:eastAsia="ja-JP"/>
        </w:rPr>
        <w:fldChar w:fldCharType="end"/>
      </w:r>
    </w:p>
    <w:sectPr w:rsidR="008671D6" w:rsidRPr="00481762" w:rsidSect="004524A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19C" w:rsidRDefault="003C419C" w:rsidP="000B68E6">
      <w:pPr>
        <w:spacing w:after="0" w:line="240" w:lineRule="auto"/>
      </w:pPr>
      <w:r>
        <w:separator/>
      </w:r>
    </w:p>
  </w:endnote>
  <w:endnote w:type="continuationSeparator" w:id="0">
    <w:p w:rsidR="003C419C" w:rsidRDefault="003C419C" w:rsidP="000B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776127"/>
      <w:docPartObj>
        <w:docPartGallery w:val="Page Numbers (Bottom of Page)"/>
        <w:docPartUnique/>
      </w:docPartObj>
    </w:sdtPr>
    <w:sdtEndPr/>
    <w:sdtContent>
      <w:p w:rsidR="00A04F7C" w:rsidRDefault="00A04F7C">
        <w:pPr>
          <w:pStyle w:val="Footer"/>
          <w:jc w:val="center"/>
        </w:pPr>
        <w:r>
          <w:fldChar w:fldCharType="begin"/>
        </w:r>
        <w:r>
          <w:instrText xml:space="preserve"> PAGE   \* MERGEFORMAT </w:instrText>
        </w:r>
        <w:r>
          <w:fldChar w:fldCharType="separate"/>
        </w:r>
        <w:r w:rsidR="00E92F22">
          <w:rPr>
            <w:noProof/>
          </w:rPr>
          <w:t>1</w:t>
        </w:r>
        <w:r>
          <w:rPr>
            <w:noProof/>
          </w:rPr>
          <w:fldChar w:fldCharType="end"/>
        </w:r>
      </w:p>
    </w:sdtContent>
  </w:sdt>
  <w:p w:rsidR="00A04F7C" w:rsidRDefault="00A04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19C" w:rsidRDefault="003C419C" w:rsidP="000B68E6">
      <w:pPr>
        <w:spacing w:after="0" w:line="240" w:lineRule="auto"/>
      </w:pPr>
      <w:r>
        <w:separator/>
      </w:r>
    </w:p>
  </w:footnote>
  <w:footnote w:type="continuationSeparator" w:id="0">
    <w:p w:rsidR="003C419C" w:rsidRDefault="003C419C" w:rsidP="000B68E6">
      <w:pPr>
        <w:spacing w:after="0" w:line="240" w:lineRule="auto"/>
      </w:pPr>
      <w:r>
        <w:continuationSeparator/>
      </w:r>
    </w:p>
  </w:footnote>
  <w:footnote w:id="1">
    <w:p w:rsidR="00A04F7C" w:rsidRDefault="00A04F7C">
      <w:pPr>
        <w:pStyle w:val="FootnoteText"/>
      </w:pPr>
      <w:r>
        <w:rPr>
          <w:rStyle w:val="FootnoteReference"/>
        </w:rPr>
        <w:footnoteRef/>
      </w:r>
      <w:r>
        <w:t xml:space="preserve"> See Appendix A: </w:t>
      </w:r>
      <w:r w:rsidRPr="001A700D">
        <w:t>Excerpt from Division F—Labor, Health, and Human Services, and Education, and Related Agencies Appropriations explanatory statements accompanying the H.R. 1105, FY 2009 Omnibus Appropriations Act</w:t>
      </w:r>
    </w:p>
  </w:footnote>
  <w:footnote w:id="2">
    <w:p w:rsidR="00A04F7C" w:rsidRPr="00AE097F" w:rsidRDefault="00A04F7C" w:rsidP="001A700D">
      <w:pPr>
        <w:pStyle w:val="FootnoteText"/>
        <w:rPr>
          <w:rFonts w:ascii="Times New Roman" w:hAnsi="Times New Roman" w:cs="Times New Roman"/>
        </w:rPr>
      </w:pPr>
      <w:r w:rsidRPr="00AE097F">
        <w:rPr>
          <w:rStyle w:val="FootnoteReference"/>
          <w:rFonts w:ascii="Times New Roman" w:hAnsi="Times New Roman" w:cs="Times New Roman"/>
        </w:rPr>
        <w:footnoteRef/>
      </w:r>
      <w:r w:rsidRPr="00AE097F">
        <w:rPr>
          <w:rFonts w:ascii="Times New Roman" w:hAnsi="Times New Roman" w:cs="Times New Roman"/>
        </w:rPr>
        <w:t xml:space="preserve"> </w:t>
      </w:r>
      <w:r>
        <w:rPr>
          <w:rFonts w:ascii="Times New Roman" w:hAnsi="Times New Roman" w:cs="Times New Roman"/>
        </w:rPr>
        <w:t xml:space="preserve">After identifying the inability to use </w:t>
      </w:r>
      <w:r w:rsidRPr="00132FE9">
        <w:rPr>
          <w:rFonts w:ascii="Times New Roman" w:hAnsi="Times New Roman" w:cs="Times New Roman"/>
        </w:rPr>
        <w:t>NHAMCS</w:t>
      </w:r>
      <w:r>
        <w:rPr>
          <w:rFonts w:ascii="Times New Roman" w:hAnsi="Times New Roman" w:cs="Times New Roman"/>
        </w:rPr>
        <w:t xml:space="preserve"> and presenting the advantages of using NEISS-Work to CDC and Congress, the use of NEISS-Work, instead of NHAMCS, for this study was approved.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7C" w:rsidRPr="00E855BA" w:rsidRDefault="00A04F7C" w:rsidP="00DB76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D067A"/>
    <w:multiLevelType w:val="hybridMultilevel"/>
    <w:tmpl w:val="117644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5B53AD6"/>
    <w:multiLevelType w:val="hybridMultilevel"/>
    <w:tmpl w:val="C6228B78"/>
    <w:lvl w:ilvl="0" w:tplc="79AAFA9E">
      <w:start w:val="1"/>
      <w:numFmt w:val="decimal"/>
      <w:lvlText w:val="(%1)"/>
      <w:lvlJc w:val="left"/>
      <w:pPr>
        <w:ind w:left="0" w:hanging="360"/>
      </w:pPr>
      <w:rPr>
        <w:rFonts w:hint="default"/>
      </w:rPr>
    </w:lvl>
    <w:lvl w:ilvl="1" w:tplc="79AAFA9E">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61955735"/>
    <w:multiLevelType w:val="hybridMultilevel"/>
    <w:tmpl w:val="38A220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1E26701"/>
    <w:multiLevelType w:val="hybridMultilevel"/>
    <w:tmpl w:val="DE8A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73005E"/>
    <w:multiLevelType w:val="hybridMultilevel"/>
    <w:tmpl w:val="19BCC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FA60BB"/>
    <w:multiLevelType w:val="hybridMultilevel"/>
    <w:tmpl w:val="67B27F4C"/>
    <w:lvl w:ilvl="0" w:tplc="43B6E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0F3BC0"/>
    <w:multiLevelType w:val="hybridMultilevel"/>
    <w:tmpl w:val="947C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ctiveWritingStyle w:appName="MSWord" w:lang="en-US" w:vendorID="64" w:dllVersion="131078"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rev&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IOSH.enl&lt;/item&gt;&lt;/Libraries&gt;&lt;/ENLibraries&gt;"/>
  </w:docVars>
  <w:rsids>
    <w:rsidRoot w:val="00D63A39"/>
    <w:rsid w:val="000070EE"/>
    <w:rsid w:val="0001042F"/>
    <w:rsid w:val="000139A0"/>
    <w:rsid w:val="00022A7E"/>
    <w:rsid w:val="0002605B"/>
    <w:rsid w:val="00027C0F"/>
    <w:rsid w:val="00030ED0"/>
    <w:rsid w:val="00037A1F"/>
    <w:rsid w:val="00037C3E"/>
    <w:rsid w:val="00037CE4"/>
    <w:rsid w:val="000420F4"/>
    <w:rsid w:val="00043302"/>
    <w:rsid w:val="000479CC"/>
    <w:rsid w:val="0005212C"/>
    <w:rsid w:val="00053D31"/>
    <w:rsid w:val="00054AE6"/>
    <w:rsid w:val="00054E47"/>
    <w:rsid w:val="0006255C"/>
    <w:rsid w:val="00064FBC"/>
    <w:rsid w:val="00067CA2"/>
    <w:rsid w:val="00080326"/>
    <w:rsid w:val="00081405"/>
    <w:rsid w:val="00084530"/>
    <w:rsid w:val="00084C2E"/>
    <w:rsid w:val="00092CD7"/>
    <w:rsid w:val="00093737"/>
    <w:rsid w:val="000A69D1"/>
    <w:rsid w:val="000B1F1B"/>
    <w:rsid w:val="000B207A"/>
    <w:rsid w:val="000B228E"/>
    <w:rsid w:val="000B5437"/>
    <w:rsid w:val="000B68E6"/>
    <w:rsid w:val="000C6430"/>
    <w:rsid w:val="000D51E7"/>
    <w:rsid w:val="000D692F"/>
    <w:rsid w:val="000E3B28"/>
    <w:rsid w:val="000F20D8"/>
    <w:rsid w:val="000F276B"/>
    <w:rsid w:val="000F5BEC"/>
    <w:rsid w:val="000F7E48"/>
    <w:rsid w:val="0010032E"/>
    <w:rsid w:val="001014F8"/>
    <w:rsid w:val="001028B0"/>
    <w:rsid w:val="00105AE9"/>
    <w:rsid w:val="001200F6"/>
    <w:rsid w:val="00122D73"/>
    <w:rsid w:val="00131BB7"/>
    <w:rsid w:val="00131DC3"/>
    <w:rsid w:val="00135503"/>
    <w:rsid w:val="0013607B"/>
    <w:rsid w:val="00136F3B"/>
    <w:rsid w:val="00137D38"/>
    <w:rsid w:val="00143F63"/>
    <w:rsid w:val="00151160"/>
    <w:rsid w:val="00154404"/>
    <w:rsid w:val="0015769B"/>
    <w:rsid w:val="00161C03"/>
    <w:rsid w:val="0016217C"/>
    <w:rsid w:val="00165C8F"/>
    <w:rsid w:val="00170DE4"/>
    <w:rsid w:val="0017423A"/>
    <w:rsid w:val="001A4C0E"/>
    <w:rsid w:val="001A700D"/>
    <w:rsid w:val="001D33DC"/>
    <w:rsid w:val="001E2065"/>
    <w:rsid w:val="00214306"/>
    <w:rsid w:val="0021744C"/>
    <w:rsid w:val="00217D55"/>
    <w:rsid w:val="002305A1"/>
    <w:rsid w:val="002313F8"/>
    <w:rsid w:val="002315DE"/>
    <w:rsid w:val="00231783"/>
    <w:rsid w:val="00231807"/>
    <w:rsid w:val="0023584C"/>
    <w:rsid w:val="00236C06"/>
    <w:rsid w:val="00237A52"/>
    <w:rsid w:val="00240B60"/>
    <w:rsid w:val="00247B52"/>
    <w:rsid w:val="00251B83"/>
    <w:rsid w:val="0025479B"/>
    <w:rsid w:val="002550AE"/>
    <w:rsid w:val="00257EF5"/>
    <w:rsid w:val="0028151E"/>
    <w:rsid w:val="00283A16"/>
    <w:rsid w:val="0029029B"/>
    <w:rsid w:val="002929F9"/>
    <w:rsid w:val="002943C3"/>
    <w:rsid w:val="00297119"/>
    <w:rsid w:val="002A6600"/>
    <w:rsid w:val="002A6D81"/>
    <w:rsid w:val="002B6866"/>
    <w:rsid w:val="002C7994"/>
    <w:rsid w:val="002F7046"/>
    <w:rsid w:val="00300AF0"/>
    <w:rsid w:val="00301084"/>
    <w:rsid w:val="0031033E"/>
    <w:rsid w:val="003119BB"/>
    <w:rsid w:val="00314D32"/>
    <w:rsid w:val="00317A3D"/>
    <w:rsid w:val="003204B5"/>
    <w:rsid w:val="003213AD"/>
    <w:rsid w:val="0033213A"/>
    <w:rsid w:val="00332A79"/>
    <w:rsid w:val="00333DE2"/>
    <w:rsid w:val="0033664D"/>
    <w:rsid w:val="003409B6"/>
    <w:rsid w:val="00344E5D"/>
    <w:rsid w:val="003458FC"/>
    <w:rsid w:val="00346496"/>
    <w:rsid w:val="00350EAE"/>
    <w:rsid w:val="0035161B"/>
    <w:rsid w:val="00351D88"/>
    <w:rsid w:val="00356E3A"/>
    <w:rsid w:val="003746AF"/>
    <w:rsid w:val="00375C68"/>
    <w:rsid w:val="00376195"/>
    <w:rsid w:val="0039049D"/>
    <w:rsid w:val="003925F8"/>
    <w:rsid w:val="00394A81"/>
    <w:rsid w:val="003A2750"/>
    <w:rsid w:val="003A73DF"/>
    <w:rsid w:val="003B1F4D"/>
    <w:rsid w:val="003C419C"/>
    <w:rsid w:val="003E184F"/>
    <w:rsid w:val="003F05AC"/>
    <w:rsid w:val="003F66C0"/>
    <w:rsid w:val="004322BC"/>
    <w:rsid w:val="00432B9B"/>
    <w:rsid w:val="00435229"/>
    <w:rsid w:val="00435FEE"/>
    <w:rsid w:val="0043715D"/>
    <w:rsid w:val="004505A3"/>
    <w:rsid w:val="004524A3"/>
    <w:rsid w:val="004601CB"/>
    <w:rsid w:val="00466915"/>
    <w:rsid w:val="00476EB4"/>
    <w:rsid w:val="00481762"/>
    <w:rsid w:val="0049644D"/>
    <w:rsid w:val="004A0428"/>
    <w:rsid w:val="004A3D2F"/>
    <w:rsid w:val="004A5454"/>
    <w:rsid w:val="004A7A49"/>
    <w:rsid w:val="004C4C43"/>
    <w:rsid w:val="004C63D8"/>
    <w:rsid w:val="004C6BE7"/>
    <w:rsid w:val="004C7FF3"/>
    <w:rsid w:val="004D65F0"/>
    <w:rsid w:val="004E7269"/>
    <w:rsid w:val="004F02A7"/>
    <w:rsid w:val="00501489"/>
    <w:rsid w:val="005048D9"/>
    <w:rsid w:val="00512F86"/>
    <w:rsid w:val="00513E19"/>
    <w:rsid w:val="00515E6A"/>
    <w:rsid w:val="0051764E"/>
    <w:rsid w:val="00517ED0"/>
    <w:rsid w:val="00520786"/>
    <w:rsid w:val="00522797"/>
    <w:rsid w:val="00530BCA"/>
    <w:rsid w:val="00535642"/>
    <w:rsid w:val="00536333"/>
    <w:rsid w:val="00536DFF"/>
    <w:rsid w:val="005433F1"/>
    <w:rsid w:val="00545D7C"/>
    <w:rsid w:val="005520B3"/>
    <w:rsid w:val="005524D4"/>
    <w:rsid w:val="0055372A"/>
    <w:rsid w:val="00554675"/>
    <w:rsid w:val="00555B17"/>
    <w:rsid w:val="00565E36"/>
    <w:rsid w:val="0057439D"/>
    <w:rsid w:val="00582E0F"/>
    <w:rsid w:val="0058589B"/>
    <w:rsid w:val="00585DBC"/>
    <w:rsid w:val="00587013"/>
    <w:rsid w:val="005873B1"/>
    <w:rsid w:val="00596D1D"/>
    <w:rsid w:val="00596F29"/>
    <w:rsid w:val="00597A8F"/>
    <w:rsid w:val="005A00AC"/>
    <w:rsid w:val="005A2358"/>
    <w:rsid w:val="005A4490"/>
    <w:rsid w:val="005B0AE1"/>
    <w:rsid w:val="005B5EC1"/>
    <w:rsid w:val="005C2BCB"/>
    <w:rsid w:val="005D1E3F"/>
    <w:rsid w:val="005E6F05"/>
    <w:rsid w:val="005F2EA5"/>
    <w:rsid w:val="005F53D0"/>
    <w:rsid w:val="00607551"/>
    <w:rsid w:val="00607A77"/>
    <w:rsid w:val="006208B4"/>
    <w:rsid w:val="0063104E"/>
    <w:rsid w:val="0063466B"/>
    <w:rsid w:val="00634CEE"/>
    <w:rsid w:val="006372EB"/>
    <w:rsid w:val="00642BCD"/>
    <w:rsid w:val="00655AFB"/>
    <w:rsid w:val="0065691D"/>
    <w:rsid w:val="006654BF"/>
    <w:rsid w:val="00667046"/>
    <w:rsid w:val="00667F70"/>
    <w:rsid w:val="006700B3"/>
    <w:rsid w:val="00674B43"/>
    <w:rsid w:val="00676170"/>
    <w:rsid w:val="00691B81"/>
    <w:rsid w:val="006957E0"/>
    <w:rsid w:val="006A017D"/>
    <w:rsid w:val="006A331C"/>
    <w:rsid w:val="006A6A7C"/>
    <w:rsid w:val="006B3A0E"/>
    <w:rsid w:val="006C3706"/>
    <w:rsid w:val="006C7D1C"/>
    <w:rsid w:val="006D1663"/>
    <w:rsid w:val="006D2F6D"/>
    <w:rsid w:val="006D402F"/>
    <w:rsid w:val="006D64AC"/>
    <w:rsid w:val="006D7F37"/>
    <w:rsid w:val="006E2FEC"/>
    <w:rsid w:val="006E60AB"/>
    <w:rsid w:val="006E6B7B"/>
    <w:rsid w:val="006F3950"/>
    <w:rsid w:val="006F5195"/>
    <w:rsid w:val="006F7170"/>
    <w:rsid w:val="007062EA"/>
    <w:rsid w:val="0070768A"/>
    <w:rsid w:val="00711907"/>
    <w:rsid w:val="00725C0F"/>
    <w:rsid w:val="00732BDC"/>
    <w:rsid w:val="007345F3"/>
    <w:rsid w:val="00735968"/>
    <w:rsid w:val="00736DC1"/>
    <w:rsid w:val="007371B1"/>
    <w:rsid w:val="00741309"/>
    <w:rsid w:val="00763262"/>
    <w:rsid w:val="007757FF"/>
    <w:rsid w:val="00780550"/>
    <w:rsid w:val="00781B4E"/>
    <w:rsid w:val="00782699"/>
    <w:rsid w:val="00786F4E"/>
    <w:rsid w:val="00787524"/>
    <w:rsid w:val="007907B2"/>
    <w:rsid w:val="00792EEC"/>
    <w:rsid w:val="007A42DE"/>
    <w:rsid w:val="007B531C"/>
    <w:rsid w:val="007C01B3"/>
    <w:rsid w:val="007C2BC1"/>
    <w:rsid w:val="007C5B1A"/>
    <w:rsid w:val="007D688C"/>
    <w:rsid w:val="007D6DDA"/>
    <w:rsid w:val="007E4074"/>
    <w:rsid w:val="007E716D"/>
    <w:rsid w:val="007F7E8C"/>
    <w:rsid w:val="00800484"/>
    <w:rsid w:val="0080211B"/>
    <w:rsid w:val="008075A9"/>
    <w:rsid w:val="00810A94"/>
    <w:rsid w:val="00812EA9"/>
    <w:rsid w:val="0081404C"/>
    <w:rsid w:val="00835811"/>
    <w:rsid w:val="008407F7"/>
    <w:rsid w:val="008416B5"/>
    <w:rsid w:val="00841CD9"/>
    <w:rsid w:val="00844723"/>
    <w:rsid w:val="008451D1"/>
    <w:rsid w:val="00851843"/>
    <w:rsid w:val="00863E61"/>
    <w:rsid w:val="0086601A"/>
    <w:rsid w:val="008671D6"/>
    <w:rsid w:val="00867535"/>
    <w:rsid w:val="0087441E"/>
    <w:rsid w:val="00875005"/>
    <w:rsid w:val="008872DC"/>
    <w:rsid w:val="008928B9"/>
    <w:rsid w:val="008937B3"/>
    <w:rsid w:val="008A3BA3"/>
    <w:rsid w:val="008A3F30"/>
    <w:rsid w:val="008A3F96"/>
    <w:rsid w:val="008A587D"/>
    <w:rsid w:val="008B2AFD"/>
    <w:rsid w:val="008B43DE"/>
    <w:rsid w:val="008C5F26"/>
    <w:rsid w:val="008C6CCC"/>
    <w:rsid w:val="008C7068"/>
    <w:rsid w:val="008C7107"/>
    <w:rsid w:val="008C76F6"/>
    <w:rsid w:val="008C7E6E"/>
    <w:rsid w:val="008D0B58"/>
    <w:rsid w:val="008D0D5A"/>
    <w:rsid w:val="008D5A99"/>
    <w:rsid w:val="008E31E5"/>
    <w:rsid w:val="008F1E30"/>
    <w:rsid w:val="008F7019"/>
    <w:rsid w:val="009038E5"/>
    <w:rsid w:val="00903FAB"/>
    <w:rsid w:val="00917124"/>
    <w:rsid w:val="00926A52"/>
    <w:rsid w:val="00932D4A"/>
    <w:rsid w:val="00934ADB"/>
    <w:rsid w:val="00943B04"/>
    <w:rsid w:val="00946A5D"/>
    <w:rsid w:val="0095771A"/>
    <w:rsid w:val="00964E0E"/>
    <w:rsid w:val="00965C3D"/>
    <w:rsid w:val="00966961"/>
    <w:rsid w:val="00966F04"/>
    <w:rsid w:val="00967DC6"/>
    <w:rsid w:val="00970A9E"/>
    <w:rsid w:val="0097268D"/>
    <w:rsid w:val="00977BB6"/>
    <w:rsid w:val="009803BE"/>
    <w:rsid w:val="00986AA4"/>
    <w:rsid w:val="009926C8"/>
    <w:rsid w:val="009A4C59"/>
    <w:rsid w:val="009C08E9"/>
    <w:rsid w:val="009F607F"/>
    <w:rsid w:val="009F6F3E"/>
    <w:rsid w:val="00A019B9"/>
    <w:rsid w:val="00A019F2"/>
    <w:rsid w:val="00A04F7C"/>
    <w:rsid w:val="00A141A6"/>
    <w:rsid w:val="00A1648B"/>
    <w:rsid w:val="00A22E67"/>
    <w:rsid w:val="00A24852"/>
    <w:rsid w:val="00A3007F"/>
    <w:rsid w:val="00A342C7"/>
    <w:rsid w:val="00A355B5"/>
    <w:rsid w:val="00A37098"/>
    <w:rsid w:val="00A3742F"/>
    <w:rsid w:val="00A40427"/>
    <w:rsid w:val="00A423B1"/>
    <w:rsid w:val="00A4648A"/>
    <w:rsid w:val="00A51165"/>
    <w:rsid w:val="00A60197"/>
    <w:rsid w:val="00A63511"/>
    <w:rsid w:val="00A64769"/>
    <w:rsid w:val="00A81BD0"/>
    <w:rsid w:val="00AA0913"/>
    <w:rsid w:val="00AA0BB1"/>
    <w:rsid w:val="00AA7A32"/>
    <w:rsid w:val="00AB02F5"/>
    <w:rsid w:val="00AB1D8B"/>
    <w:rsid w:val="00AB3CB1"/>
    <w:rsid w:val="00AC483A"/>
    <w:rsid w:val="00AD767B"/>
    <w:rsid w:val="00AD7ECC"/>
    <w:rsid w:val="00AE7305"/>
    <w:rsid w:val="00AF4A7F"/>
    <w:rsid w:val="00B00A85"/>
    <w:rsid w:val="00B02C05"/>
    <w:rsid w:val="00B03BB1"/>
    <w:rsid w:val="00B03D62"/>
    <w:rsid w:val="00B05FC2"/>
    <w:rsid w:val="00B10BC4"/>
    <w:rsid w:val="00B11303"/>
    <w:rsid w:val="00B1223D"/>
    <w:rsid w:val="00B2260C"/>
    <w:rsid w:val="00B24B55"/>
    <w:rsid w:val="00B30FF4"/>
    <w:rsid w:val="00B31EF0"/>
    <w:rsid w:val="00B32F6E"/>
    <w:rsid w:val="00B351BF"/>
    <w:rsid w:val="00B412CA"/>
    <w:rsid w:val="00B42A49"/>
    <w:rsid w:val="00B52836"/>
    <w:rsid w:val="00B555B6"/>
    <w:rsid w:val="00B64994"/>
    <w:rsid w:val="00B72BEF"/>
    <w:rsid w:val="00B80692"/>
    <w:rsid w:val="00B82761"/>
    <w:rsid w:val="00B84A78"/>
    <w:rsid w:val="00B95FCA"/>
    <w:rsid w:val="00B96738"/>
    <w:rsid w:val="00BA04EF"/>
    <w:rsid w:val="00BA779B"/>
    <w:rsid w:val="00BB0307"/>
    <w:rsid w:val="00BB78FD"/>
    <w:rsid w:val="00BC0F23"/>
    <w:rsid w:val="00BC3EF9"/>
    <w:rsid w:val="00BD023F"/>
    <w:rsid w:val="00BD6E5B"/>
    <w:rsid w:val="00BE0397"/>
    <w:rsid w:val="00BE18A9"/>
    <w:rsid w:val="00BE79C4"/>
    <w:rsid w:val="00C00175"/>
    <w:rsid w:val="00C06F9E"/>
    <w:rsid w:val="00C14C2D"/>
    <w:rsid w:val="00C221CF"/>
    <w:rsid w:val="00C24BF9"/>
    <w:rsid w:val="00C31AEF"/>
    <w:rsid w:val="00C34A1C"/>
    <w:rsid w:val="00C36343"/>
    <w:rsid w:val="00C36DC9"/>
    <w:rsid w:val="00C37DF9"/>
    <w:rsid w:val="00C5001F"/>
    <w:rsid w:val="00C55CA6"/>
    <w:rsid w:val="00C62C18"/>
    <w:rsid w:val="00C64723"/>
    <w:rsid w:val="00C64E04"/>
    <w:rsid w:val="00C7325E"/>
    <w:rsid w:val="00C750B5"/>
    <w:rsid w:val="00C807A8"/>
    <w:rsid w:val="00C831E5"/>
    <w:rsid w:val="00C86751"/>
    <w:rsid w:val="00C86DA1"/>
    <w:rsid w:val="00C9378D"/>
    <w:rsid w:val="00C96277"/>
    <w:rsid w:val="00CA3493"/>
    <w:rsid w:val="00CA3ECC"/>
    <w:rsid w:val="00CC0AFD"/>
    <w:rsid w:val="00CC147A"/>
    <w:rsid w:val="00CC16F2"/>
    <w:rsid w:val="00CC1E40"/>
    <w:rsid w:val="00CC47E9"/>
    <w:rsid w:val="00CC67D5"/>
    <w:rsid w:val="00CD48E0"/>
    <w:rsid w:val="00CE2221"/>
    <w:rsid w:val="00CE7004"/>
    <w:rsid w:val="00CF1B4F"/>
    <w:rsid w:val="00CF288F"/>
    <w:rsid w:val="00CF2CF6"/>
    <w:rsid w:val="00CF4467"/>
    <w:rsid w:val="00CF6368"/>
    <w:rsid w:val="00D01CB8"/>
    <w:rsid w:val="00D046AF"/>
    <w:rsid w:val="00D047AF"/>
    <w:rsid w:val="00D0497C"/>
    <w:rsid w:val="00D1345F"/>
    <w:rsid w:val="00D15C52"/>
    <w:rsid w:val="00D170A9"/>
    <w:rsid w:val="00D22383"/>
    <w:rsid w:val="00D31D77"/>
    <w:rsid w:val="00D32B06"/>
    <w:rsid w:val="00D44FBA"/>
    <w:rsid w:val="00D46F9A"/>
    <w:rsid w:val="00D527DC"/>
    <w:rsid w:val="00D53295"/>
    <w:rsid w:val="00D555F6"/>
    <w:rsid w:val="00D5610F"/>
    <w:rsid w:val="00D6361A"/>
    <w:rsid w:val="00D63A39"/>
    <w:rsid w:val="00D650CF"/>
    <w:rsid w:val="00D656CF"/>
    <w:rsid w:val="00D7109B"/>
    <w:rsid w:val="00D76DBB"/>
    <w:rsid w:val="00D8097F"/>
    <w:rsid w:val="00D8218E"/>
    <w:rsid w:val="00D858E2"/>
    <w:rsid w:val="00D936B0"/>
    <w:rsid w:val="00DA6346"/>
    <w:rsid w:val="00DA69A2"/>
    <w:rsid w:val="00DA7CC3"/>
    <w:rsid w:val="00DA7DB1"/>
    <w:rsid w:val="00DB4390"/>
    <w:rsid w:val="00DB5DCF"/>
    <w:rsid w:val="00DB6EED"/>
    <w:rsid w:val="00DB7258"/>
    <w:rsid w:val="00DB7673"/>
    <w:rsid w:val="00DB7FDC"/>
    <w:rsid w:val="00DC5032"/>
    <w:rsid w:val="00DC719A"/>
    <w:rsid w:val="00DD73E6"/>
    <w:rsid w:val="00DE2D87"/>
    <w:rsid w:val="00DE5497"/>
    <w:rsid w:val="00DF14FC"/>
    <w:rsid w:val="00DF1CFE"/>
    <w:rsid w:val="00DF2F66"/>
    <w:rsid w:val="00DF45A1"/>
    <w:rsid w:val="00DF73A8"/>
    <w:rsid w:val="00E12299"/>
    <w:rsid w:val="00E15235"/>
    <w:rsid w:val="00E240C1"/>
    <w:rsid w:val="00E24C90"/>
    <w:rsid w:val="00E404C4"/>
    <w:rsid w:val="00E43ADD"/>
    <w:rsid w:val="00E43AE7"/>
    <w:rsid w:val="00E44278"/>
    <w:rsid w:val="00E472E8"/>
    <w:rsid w:val="00E50D46"/>
    <w:rsid w:val="00E62965"/>
    <w:rsid w:val="00E671A5"/>
    <w:rsid w:val="00E7132F"/>
    <w:rsid w:val="00E90E8D"/>
    <w:rsid w:val="00E92F22"/>
    <w:rsid w:val="00E93FA7"/>
    <w:rsid w:val="00E96552"/>
    <w:rsid w:val="00EA45EC"/>
    <w:rsid w:val="00EA7E36"/>
    <w:rsid w:val="00EB078D"/>
    <w:rsid w:val="00EB6CCE"/>
    <w:rsid w:val="00EC0088"/>
    <w:rsid w:val="00EC0AED"/>
    <w:rsid w:val="00ED1C58"/>
    <w:rsid w:val="00EE00C8"/>
    <w:rsid w:val="00EE16C7"/>
    <w:rsid w:val="00EE4121"/>
    <w:rsid w:val="00EE43EC"/>
    <w:rsid w:val="00EE7C0D"/>
    <w:rsid w:val="00EF4DA8"/>
    <w:rsid w:val="00EF68A6"/>
    <w:rsid w:val="00EF6E0E"/>
    <w:rsid w:val="00EF786E"/>
    <w:rsid w:val="00F055CB"/>
    <w:rsid w:val="00F06883"/>
    <w:rsid w:val="00F14403"/>
    <w:rsid w:val="00F2199F"/>
    <w:rsid w:val="00F26795"/>
    <w:rsid w:val="00F302E5"/>
    <w:rsid w:val="00F30EDC"/>
    <w:rsid w:val="00F3264C"/>
    <w:rsid w:val="00F327F9"/>
    <w:rsid w:val="00F330D9"/>
    <w:rsid w:val="00F3496D"/>
    <w:rsid w:val="00F434BF"/>
    <w:rsid w:val="00F466A0"/>
    <w:rsid w:val="00F46F69"/>
    <w:rsid w:val="00F515F0"/>
    <w:rsid w:val="00F52F05"/>
    <w:rsid w:val="00F551FD"/>
    <w:rsid w:val="00F571CD"/>
    <w:rsid w:val="00F646EA"/>
    <w:rsid w:val="00F76F32"/>
    <w:rsid w:val="00F80823"/>
    <w:rsid w:val="00F82A12"/>
    <w:rsid w:val="00F86177"/>
    <w:rsid w:val="00F9125F"/>
    <w:rsid w:val="00F91AE6"/>
    <w:rsid w:val="00F920EA"/>
    <w:rsid w:val="00F930E8"/>
    <w:rsid w:val="00F9579F"/>
    <w:rsid w:val="00F97C08"/>
    <w:rsid w:val="00F97C3E"/>
    <w:rsid w:val="00FA5A09"/>
    <w:rsid w:val="00FA6A18"/>
    <w:rsid w:val="00FA78FA"/>
    <w:rsid w:val="00FB0D98"/>
    <w:rsid w:val="00FB4F0D"/>
    <w:rsid w:val="00FB52FD"/>
    <w:rsid w:val="00FB65D1"/>
    <w:rsid w:val="00FE1E55"/>
    <w:rsid w:val="00FE368C"/>
    <w:rsid w:val="00FE5678"/>
    <w:rsid w:val="00FF2525"/>
    <w:rsid w:val="00FF4699"/>
    <w:rsid w:val="00FF5F3C"/>
    <w:rsid w:val="00FF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716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E716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E71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E71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E71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E71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E71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E71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E71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E8"/>
    <w:rPr>
      <w:color w:val="000000" w:themeColor="hyperlink"/>
      <w:u w:val="single"/>
    </w:rPr>
  </w:style>
  <w:style w:type="paragraph" w:styleId="ListParagraph">
    <w:name w:val="List Paragraph"/>
    <w:basedOn w:val="Normal"/>
    <w:uiPriority w:val="34"/>
    <w:qFormat/>
    <w:rsid w:val="007E716D"/>
    <w:pPr>
      <w:ind w:left="720"/>
      <w:contextualSpacing/>
    </w:pPr>
  </w:style>
  <w:style w:type="paragraph" w:styleId="FootnoteText">
    <w:name w:val="footnote text"/>
    <w:aliases w:val="F1"/>
    <w:basedOn w:val="Normal"/>
    <w:link w:val="FootnoteTextChar"/>
    <w:semiHidden/>
    <w:unhideWhenUsed/>
    <w:rsid w:val="000B68E6"/>
    <w:pPr>
      <w:spacing w:after="0" w:line="240" w:lineRule="auto"/>
    </w:pPr>
    <w:rPr>
      <w:sz w:val="20"/>
      <w:szCs w:val="20"/>
    </w:rPr>
  </w:style>
  <w:style w:type="character" w:customStyle="1" w:styleId="FootnoteTextChar">
    <w:name w:val="Footnote Text Char"/>
    <w:aliases w:val="F1 Char"/>
    <w:basedOn w:val="DefaultParagraphFont"/>
    <w:link w:val="FootnoteText"/>
    <w:semiHidden/>
    <w:rsid w:val="000B68E6"/>
    <w:rPr>
      <w:sz w:val="20"/>
      <w:szCs w:val="20"/>
    </w:rPr>
  </w:style>
  <w:style w:type="character" w:styleId="FootnoteReference">
    <w:name w:val="footnote reference"/>
    <w:basedOn w:val="DefaultParagraphFont"/>
    <w:semiHidden/>
    <w:unhideWhenUsed/>
    <w:rsid w:val="000B68E6"/>
    <w:rPr>
      <w:vertAlign w:val="superscript"/>
    </w:rPr>
  </w:style>
  <w:style w:type="paragraph" w:customStyle="1" w:styleId="Default">
    <w:name w:val="Default"/>
    <w:rsid w:val="00AF4A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1-FlLSp12">
    <w:name w:val="L1-FlL Sp&amp;1/2"/>
    <w:basedOn w:val="Normal"/>
    <w:rsid w:val="00DF14FC"/>
    <w:pPr>
      <w:tabs>
        <w:tab w:val="left" w:pos="1152"/>
      </w:tabs>
      <w:spacing w:line="360" w:lineRule="atLeast"/>
    </w:pPr>
    <w:rPr>
      <w:rFonts w:ascii="Garamond" w:hAnsi="Garamond"/>
      <w:sz w:val="24"/>
    </w:rPr>
  </w:style>
  <w:style w:type="paragraph" w:styleId="Header">
    <w:name w:val="header"/>
    <w:basedOn w:val="Normal"/>
    <w:link w:val="HeaderChar"/>
    <w:rsid w:val="00DB7673"/>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DB7673"/>
    <w:rPr>
      <w:rFonts w:ascii="Arial" w:eastAsia="Times New Roman" w:hAnsi="Arial" w:cs="Times New Roman"/>
      <w:sz w:val="24"/>
      <w:szCs w:val="20"/>
    </w:rPr>
  </w:style>
  <w:style w:type="paragraph" w:customStyle="1" w:styleId="TT-TableTitle">
    <w:name w:val="TT-Table Title"/>
    <w:basedOn w:val="Heading1"/>
    <w:rsid w:val="00F52F05"/>
    <w:pPr>
      <w:tabs>
        <w:tab w:val="left" w:pos="1440"/>
      </w:tabs>
      <w:spacing w:before="0" w:line="240" w:lineRule="atLeast"/>
      <w:ind w:left="1440" w:hanging="1440"/>
    </w:pPr>
    <w:rPr>
      <w:rFonts w:ascii="Franklin Gothic Medium" w:eastAsiaTheme="minorHAnsi" w:hAnsi="Franklin Gothic Medium" w:cstheme="minorBidi"/>
      <w:b w:val="0"/>
      <w:bCs w:val="0"/>
      <w:sz w:val="22"/>
      <w:szCs w:val="22"/>
    </w:rPr>
  </w:style>
  <w:style w:type="paragraph" w:customStyle="1" w:styleId="TH-TableHeading">
    <w:name w:val="TH-Table Heading"/>
    <w:basedOn w:val="Heading1"/>
    <w:rsid w:val="00F52F05"/>
    <w:pPr>
      <w:spacing w:before="0" w:line="240" w:lineRule="atLeast"/>
      <w:jc w:val="center"/>
    </w:pPr>
    <w:rPr>
      <w:rFonts w:ascii="Franklin Gothic Medium" w:eastAsiaTheme="minorHAnsi" w:hAnsi="Franklin Gothic Medium" w:cstheme="minorBidi"/>
      <w:bCs w:val="0"/>
      <w:sz w:val="20"/>
      <w:szCs w:val="22"/>
    </w:rPr>
  </w:style>
  <w:style w:type="table" w:customStyle="1" w:styleId="TableWestatStandardFormat">
    <w:name w:val="Table Westat Standard Format"/>
    <w:basedOn w:val="TableNormal"/>
    <w:rsid w:val="00F52F05"/>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styleId="TableGrid">
    <w:name w:val="Table Grid"/>
    <w:basedOn w:val="TableNormal"/>
    <w:uiPriority w:val="59"/>
    <w:rsid w:val="00F52F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E716D"/>
    <w:rPr>
      <w:rFonts w:asciiTheme="majorHAnsi" w:eastAsiaTheme="majorEastAsia" w:hAnsiTheme="majorHAnsi" w:cstheme="majorBidi"/>
      <w:b/>
      <w:bCs/>
      <w:sz w:val="28"/>
      <w:szCs w:val="28"/>
    </w:rPr>
  </w:style>
  <w:style w:type="character" w:styleId="CommentReference">
    <w:name w:val="annotation reference"/>
    <w:basedOn w:val="DefaultParagraphFont"/>
    <w:uiPriority w:val="99"/>
    <w:semiHidden/>
    <w:unhideWhenUsed/>
    <w:rsid w:val="00217D55"/>
    <w:rPr>
      <w:sz w:val="16"/>
      <w:szCs w:val="16"/>
    </w:rPr>
  </w:style>
  <w:style w:type="paragraph" w:styleId="CommentText">
    <w:name w:val="annotation text"/>
    <w:basedOn w:val="Normal"/>
    <w:link w:val="CommentTextChar"/>
    <w:uiPriority w:val="99"/>
    <w:semiHidden/>
    <w:unhideWhenUsed/>
    <w:rsid w:val="00217D55"/>
    <w:pPr>
      <w:spacing w:line="240" w:lineRule="auto"/>
    </w:pPr>
    <w:rPr>
      <w:sz w:val="20"/>
      <w:szCs w:val="20"/>
    </w:rPr>
  </w:style>
  <w:style w:type="character" w:customStyle="1" w:styleId="CommentTextChar">
    <w:name w:val="Comment Text Char"/>
    <w:basedOn w:val="DefaultParagraphFont"/>
    <w:link w:val="CommentText"/>
    <w:uiPriority w:val="99"/>
    <w:semiHidden/>
    <w:rsid w:val="00217D55"/>
    <w:rPr>
      <w:sz w:val="20"/>
      <w:szCs w:val="20"/>
    </w:rPr>
  </w:style>
  <w:style w:type="paragraph" w:styleId="CommentSubject">
    <w:name w:val="annotation subject"/>
    <w:basedOn w:val="CommentText"/>
    <w:next w:val="CommentText"/>
    <w:link w:val="CommentSubjectChar"/>
    <w:uiPriority w:val="99"/>
    <w:semiHidden/>
    <w:unhideWhenUsed/>
    <w:rsid w:val="00217D55"/>
    <w:rPr>
      <w:b/>
      <w:bCs/>
    </w:rPr>
  </w:style>
  <w:style w:type="character" w:customStyle="1" w:styleId="CommentSubjectChar">
    <w:name w:val="Comment Subject Char"/>
    <w:basedOn w:val="CommentTextChar"/>
    <w:link w:val="CommentSubject"/>
    <w:uiPriority w:val="99"/>
    <w:semiHidden/>
    <w:rsid w:val="00217D55"/>
    <w:rPr>
      <w:b/>
      <w:bCs/>
      <w:sz w:val="20"/>
      <w:szCs w:val="20"/>
    </w:rPr>
  </w:style>
  <w:style w:type="paragraph" w:styleId="BalloonText">
    <w:name w:val="Balloon Text"/>
    <w:basedOn w:val="Normal"/>
    <w:link w:val="BalloonTextChar"/>
    <w:uiPriority w:val="99"/>
    <w:semiHidden/>
    <w:unhideWhenUsed/>
    <w:rsid w:val="0021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55"/>
    <w:rPr>
      <w:rFonts w:ascii="Tahoma" w:hAnsi="Tahoma" w:cs="Tahoma"/>
      <w:sz w:val="16"/>
      <w:szCs w:val="16"/>
    </w:rPr>
  </w:style>
  <w:style w:type="paragraph" w:styleId="Footer">
    <w:name w:val="footer"/>
    <w:basedOn w:val="Normal"/>
    <w:link w:val="FooterChar"/>
    <w:uiPriority w:val="99"/>
    <w:unhideWhenUsed/>
    <w:rsid w:val="0028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A16"/>
  </w:style>
  <w:style w:type="paragraph" w:styleId="TOCHeading">
    <w:name w:val="TOC Heading"/>
    <w:basedOn w:val="Heading1"/>
    <w:next w:val="Normal"/>
    <w:uiPriority w:val="39"/>
    <w:semiHidden/>
    <w:unhideWhenUsed/>
    <w:qFormat/>
    <w:rsid w:val="007E716D"/>
    <w:pPr>
      <w:outlineLvl w:val="9"/>
    </w:pPr>
  </w:style>
  <w:style w:type="character" w:customStyle="1" w:styleId="Heading2Char">
    <w:name w:val="Heading 2 Char"/>
    <w:basedOn w:val="DefaultParagraphFont"/>
    <w:link w:val="Heading2"/>
    <w:uiPriority w:val="9"/>
    <w:rsid w:val="007E716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E716D"/>
    <w:rPr>
      <w:rFonts w:asciiTheme="majorHAnsi" w:eastAsiaTheme="majorEastAsia" w:hAnsiTheme="majorHAnsi" w:cstheme="majorBidi"/>
      <w:b/>
      <w:bCs/>
    </w:rPr>
  </w:style>
  <w:style w:type="paragraph" w:styleId="TOC1">
    <w:name w:val="toc 1"/>
    <w:basedOn w:val="Normal"/>
    <w:next w:val="Normal"/>
    <w:autoRedefine/>
    <w:uiPriority w:val="39"/>
    <w:unhideWhenUsed/>
    <w:rsid w:val="00800484"/>
    <w:pPr>
      <w:spacing w:after="100"/>
    </w:pPr>
  </w:style>
  <w:style w:type="paragraph" w:styleId="TOC2">
    <w:name w:val="toc 2"/>
    <w:basedOn w:val="Normal"/>
    <w:next w:val="Normal"/>
    <w:autoRedefine/>
    <w:uiPriority w:val="39"/>
    <w:unhideWhenUsed/>
    <w:rsid w:val="00800484"/>
    <w:pPr>
      <w:spacing w:after="100"/>
      <w:ind w:left="220"/>
    </w:pPr>
  </w:style>
  <w:style w:type="paragraph" w:styleId="TOC3">
    <w:name w:val="toc 3"/>
    <w:basedOn w:val="Normal"/>
    <w:next w:val="Normal"/>
    <w:autoRedefine/>
    <w:uiPriority w:val="39"/>
    <w:unhideWhenUsed/>
    <w:rsid w:val="00800484"/>
    <w:pPr>
      <w:spacing w:after="100"/>
      <w:ind w:left="440"/>
    </w:pPr>
  </w:style>
  <w:style w:type="character" w:customStyle="1" w:styleId="Heading4Char">
    <w:name w:val="Heading 4 Char"/>
    <w:basedOn w:val="DefaultParagraphFont"/>
    <w:link w:val="Heading4"/>
    <w:uiPriority w:val="9"/>
    <w:semiHidden/>
    <w:rsid w:val="007E71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E71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E71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E71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E71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E716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E71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E716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E71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E716D"/>
    <w:rPr>
      <w:rFonts w:asciiTheme="majorHAnsi" w:eastAsiaTheme="majorEastAsia" w:hAnsiTheme="majorHAnsi" w:cstheme="majorBidi"/>
      <w:i/>
      <w:iCs/>
      <w:spacing w:val="13"/>
      <w:sz w:val="24"/>
      <w:szCs w:val="24"/>
    </w:rPr>
  </w:style>
  <w:style w:type="character" w:styleId="Strong">
    <w:name w:val="Strong"/>
    <w:uiPriority w:val="22"/>
    <w:qFormat/>
    <w:rsid w:val="007E716D"/>
    <w:rPr>
      <w:b/>
      <w:bCs/>
    </w:rPr>
  </w:style>
  <w:style w:type="character" w:styleId="Emphasis">
    <w:name w:val="Emphasis"/>
    <w:uiPriority w:val="20"/>
    <w:qFormat/>
    <w:rsid w:val="007E716D"/>
    <w:rPr>
      <w:b/>
      <w:bCs/>
      <w:i/>
      <w:iCs/>
      <w:spacing w:val="10"/>
      <w:bdr w:val="none" w:sz="0" w:space="0" w:color="auto"/>
      <w:shd w:val="clear" w:color="auto" w:fill="auto"/>
    </w:rPr>
  </w:style>
  <w:style w:type="paragraph" w:styleId="NoSpacing">
    <w:name w:val="No Spacing"/>
    <w:basedOn w:val="Normal"/>
    <w:uiPriority w:val="1"/>
    <w:qFormat/>
    <w:rsid w:val="007E716D"/>
    <w:pPr>
      <w:spacing w:after="0" w:line="240" w:lineRule="auto"/>
    </w:pPr>
  </w:style>
  <w:style w:type="paragraph" w:styleId="Quote">
    <w:name w:val="Quote"/>
    <w:basedOn w:val="Normal"/>
    <w:next w:val="Normal"/>
    <w:link w:val="QuoteChar"/>
    <w:uiPriority w:val="29"/>
    <w:qFormat/>
    <w:rsid w:val="007E716D"/>
    <w:pPr>
      <w:spacing w:before="200" w:after="0"/>
      <w:ind w:left="360" w:right="360"/>
    </w:pPr>
    <w:rPr>
      <w:i/>
      <w:iCs/>
    </w:rPr>
  </w:style>
  <w:style w:type="character" w:customStyle="1" w:styleId="QuoteChar">
    <w:name w:val="Quote Char"/>
    <w:basedOn w:val="DefaultParagraphFont"/>
    <w:link w:val="Quote"/>
    <w:uiPriority w:val="29"/>
    <w:rsid w:val="007E716D"/>
    <w:rPr>
      <w:i/>
      <w:iCs/>
    </w:rPr>
  </w:style>
  <w:style w:type="paragraph" w:styleId="IntenseQuote">
    <w:name w:val="Intense Quote"/>
    <w:basedOn w:val="Normal"/>
    <w:next w:val="Normal"/>
    <w:link w:val="IntenseQuoteChar"/>
    <w:uiPriority w:val="30"/>
    <w:qFormat/>
    <w:rsid w:val="007E71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E716D"/>
    <w:rPr>
      <w:b/>
      <w:bCs/>
      <w:i/>
      <w:iCs/>
    </w:rPr>
  </w:style>
  <w:style w:type="character" w:styleId="SubtleEmphasis">
    <w:name w:val="Subtle Emphasis"/>
    <w:uiPriority w:val="19"/>
    <w:qFormat/>
    <w:rsid w:val="007E716D"/>
    <w:rPr>
      <w:i/>
      <w:iCs/>
    </w:rPr>
  </w:style>
  <w:style w:type="character" w:styleId="IntenseEmphasis">
    <w:name w:val="Intense Emphasis"/>
    <w:uiPriority w:val="21"/>
    <w:qFormat/>
    <w:rsid w:val="007E716D"/>
    <w:rPr>
      <w:b/>
      <w:bCs/>
    </w:rPr>
  </w:style>
  <w:style w:type="character" w:styleId="SubtleReference">
    <w:name w:val="Subtle Reference"/>
    <w:uiPriority w:val="31"/>
    <w:qFormat/>
    <w:rsid w:val="007E716D"/>
    <w:rPr>
      <w:smallCaps/>
    </w:rPr>
  </w:style>
  <w:style w:type="character" w:styleId="IntenseReference">
    <w:name w:val="Intense Reference"/>
    <w:uiPriority w:val="32"/>
    <w:qFormat/>
    <w:rsid w:val="007E716D"/>
    <w:rPr>
      <w:smallCaps/>
      <w:spacing w:val="5"/>
      <w:u w:val="single"/>
    </w:rPr>
  </w:style>
  <w:style w:type="character" w:styleId="BookTitle">
    <w:name w:val="Book Title"/>
    <w:uiPriority w:val="33"/>
    <w:qFormat/>
    <w:rsid w:val="007E716D"/>
    <w:rPr>
      <w:i/>
      <w:iCs/>
      <w:smallCaps/>
      <w:spacing w:val="5"/>
    </w:rPr>
  </w:style>
  <w:style w:type="paragraph" w:styleId="Bibliography">
    <w:name w:val="Bibliography"/>
    <w:basedOn w:val="Normal"/>
    <w:next w:val="Normal"/>
    <w:uiPriority w:val="37"/>
    <w:unhideWhenUsed/>
    <w:rsid w:val="00481762"/>
  </w:style>
  <w:style w:type="character" w:styleId="FollowedHyperlink">
    <w:name w:val="FollowedHyperlink"/>
    <w:basedOn w:val="DefaultParagraphFont"/>
    <w:uiPriority w:val="99"/>
    <w:semiHidden/>
    <w:unhideWhenUsed/>
    <w:rsid w:val="00732BDC"/>
    <w:rPr>
      <w:color w:val="000000" w:themeColor="followedHyperlink"/>
      <w:u w:val="single"/>
    </w:rPr>
  </w:style>
  <w:style w:type="paragraph" w:styleId="Revision">
    <w:name w:val="Revision"/>
    <w:hidden/>
    <w:uiPriority w:val="99"/>
    <w:semiHidden/>
    <w:rsid w:val="006310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716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E716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E71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E71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E71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E71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E71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E71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E71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E8"/>
    <w:rPr>
      <w:color w:val="000000" w:themeColor="hyperlink"/>
      <w:u w:val="single"/>
    </w:rPr>
  </w:style>
  <w:style w:type="paragraph" w:styleId="ListParagraph">
    <w:name w:val="List Paragraph"/>
    <w:basedOn w:val="Normal"/>
    <w:uiPriority w:val="34"/>
    <w:qFormat/>
    <w:rsid w:val="007E716D"/>
    <w:pPr>
      <w:ind w:left="720"/>
      <w:contextualSpacing/>
    </w:pPr>
  </w:style>
  <w:style w:type="paragraph" w:styleId="FootnoteText">
    <w:name w:val="footnote text"/>
    <w:aliases w:val="F1"/>
    <w:basedOn w:val="Normal"/>
    <w:link w:val="FootnoteTextChar"/>
    <w:semiHidden/>
    <w:unhideWhenUsed/>
    <w:rsid w:val="000B68E6"/>
    <w:pPr>
      <w:spacing w:after="0" w:line="240" w:lineRule="auto"/>
    </w:pPr>
    <w:rPr>
      <w:sz w:val="20"/>
      <w:szCs w:val="20"/>
    </w:rPr>
  </w:style>
  <w:style w:type="character" w:customStyle="1" w:styleId="FootnoteTextChar">
    <w:name w:val="Footnote Text Char"/>
    <w:aliases w:val="F1 Char"/>
    <w:basedOn w:val="DefaultParagraphFont"/>
    <w:link w:val="FootnoteText"/>
    <w:semiHidden/>
    <w:rsid w:val="000B68E6"/>
    <w:rPr>
      <w:sz w:val="20"/>
      <w:szCs w:val="20"/>
    </w:rPr>
  </w:style>
  <w:style w:type="character" w:styleId="FootnoteReference">
    <w:name w:val="footnote reference"/>
    <w:basedOn w:val="DefaultParagraphFont"/>
    <w:semiHidden/>
    <w:unhideWhenUsed/>
    <w:rsid w:val="000B68E6"/>
    <w:rPr>
      <w:vertAlign w:val="superscript"/>
    </w:rPr>
  </w:style>
  <w:style w:type="paragraph" w:customStyle="1" w:styleId="Default">
    <w:name w:val="Default"/>
    <w:rsid w:val="00AF4A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1-FlLSp12">
    <w:name w:val="L1-FlL Sp&amp;1/2"/>
    <w:basedOn w:val="Normal"/>
    <w:rsid w:val="00DF14FC"/>
    <w:pPr>
      <w:tabs>
        <w:tab w:val="left" w:pos="1152"/>
      </w:tabs>
      <w:spacing w:line="360" w:lineRule="atLeast"/>
    </w:pPr>
    <w:rPr>
      <w:rFonts w:ascii="Garamond" w:hAnsi="Garamond"/>
      <w:sz w:val="24"/>
    </w:rPr>
  </w:style>
  <w:style w:type="paragraph" w:styleId="Header">
    <w:name w:val="header"/>
    <w:basedOn w:val="Normal"/>
    <w:link w:val="HeaderChar"/>
    <w:rsid w:val="00DB7673"/>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DB7673"/>
    <w:rPr>
      <w:rFonts w:ascii="Arial" w:eastAsia="Times New Roman" w:hAnsi="Arial" w:cs="Times New Roman"/>
      <w:sz w:val="24"/>
      <w:szCs w:val="20"/>
    </w:rPr>
  </w:style>
  <w:style w:type="paragraph" w:customStyle="1" w:styleId="TT-TableTitle">
    <w:name w:val="TT-Table Title"/>
    <w:basedOn w:val="Heading1"/>
    <w:rsid w:val="00F52F05"/>
    <w:pPr>
      <w:tabs>
        <w:tab w:val="left" w:pos="1440"/>
      </w:tabs>
      <w:spacing w:before="0" w:line="240" w:lineRule="atLeast"/>
      <w:ind w:left="1440" w:hanging="1440"/>
    </w:pPr>
    <w:rPr>
      <w:rFonts w:ascii="Franklin Gothic Medium" w:eastAsiaTheme="minorHAnsi" w:hAnsi="Franklin Gothic Medium" w:cstheme="minorBidi"/>
      <w:b w:val="0"/>
      <w:bCs w:val="0"/>
      <w:sz w:val="22"/>
      <w:szCs w:val="22"/>
    </w:rPr>
  </w:style>
  <w:style w:type="paragraph" w:customStyle="1" w:styleId="TH-TableHeading">
    <w:name w:val="TH-Table Heading"/>
    <w:basedOn w:val="Heading1"/>
    <w:rsid w:val="00F52F05"/>
    <w:pPr>
      <w:spacing w:before="0" w:line="240" w:lineRule="atLeast"/>
      <w:jc w:val="center"/>
    </w:pPr>
    <w:rPr>
      <w:rFonts w:ascii="Franklin Gothic Medium" w:eastAsiaTheme="minorHAnsi" w:hAnsi="Franklin Gothic Medium" w:cstheme="minorBidi"/>
      <w:bCs w:val="0"/>
      <w:sz w:val="20"/>
      <w:szCs w:val="22"/>
    </w:rPr>
  </w:style>
  <w:style w:type="table" w:customStyle="1" w:styleId="TableWestatStandardFormat">
    <w:name w:val="Table Westat Standard Format"/>
    <w:basedOn w:val="TableNormal"/>
    <w:rsid w:val="00F52F05"/>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styleId="TableGrid">
    <w:name w:val="Table Grid"/>
    <w:basedOn w:val="TableNormal"/>
    <w:uiPriority w:val="59"/>
    <w:rsid w:val="00F52F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E716D"/>
    <w:rPr>
      <w:rFonts w:asciiTheme="majorHAnsi" w:eastAsiaTheme="majorEastAsia" w:hAnsiTheme="majorHAnsi" w:cstheme="majorBidi"/>
      <w:b/>
      <w:bCs/>
      <w:sz w:val="28"/>
      <w:szCs w:val="28"/>
    </w:rPr>
  </w:style>
  <w:style w:type="character" w:styleId="CommentReference">
    <w:name w:val="annotation reference"/>
    <w:basedOn w:val="DefaultParagraphFont"/>
    <w:uiPriority w:val="99"/>
    <w:semiHidden/>
    <w:unhideWhenUsed/>
    <w:rsid w:val="00217D55"/>
    <w:rPr>
      <w:sz w:val="16"/>
      <w:szCs w:val="16"/>
    </w:rPr>
  </w:style>
  <w:style w:type="paragraph" w:styleId="CommentText">
    <w:name w:val="annotation text"/>
    <w:basedOn w:val="Normal"/>
    <w:link w:val="CommentTextChar"/>
    <w:uiPriority w:val="99"/>
    <w:semiHidden/>
    <w:unhideWhenUsed/>
    <w:rsid w:val="00217D55"/>
    <w:pPr>
      <w:spacing w:line="240" w:lineRule="auto"/>
    </w:pPr>
    <w:rPr>
      <w:sz w:val="20"/>
      <w:szCs w:val="20"/>
    </w:rPr>
  </w:style>
  <w:style w:type="character" w:customStyle="1" w:styleId="CommentTextChar">
    <w:name w:val="Comment Text Char"/>
    <w:basedOn w:val="DefaultParagraphFont"/>
    <w:link w:val="CommentText"/>
    <w:uiPriority w:val="99"/>
    <w:semiHidden/>
    <w:rsid w:val="00217D55"/>
    <w:rPr>
      <w:sz w:val="20"/>
      <w:szCs w:val="20"/>
    </w:rPr>
  </w:style>
  <w:style w:type="paragraph" w:styleId="CommentSubject">
    <w:name w:val="annotation subject"/>
    <w:basedOn w:val="CommentText"/>
    <w:next w:val="CommentText"/>
    <w:link w:val="CommentSubjectChar"/>
    <w:uiPriority w:val="99"/>
    <w:semiHidden/>
    <w:unhideWhenUsed/>
    <w:rsid w:val="00217D55"/>
    <w:rPr>
      <w:b/>
      <w:bCs/>
    </w:rPr>
  </w:style>
  <w:style w:type="character" w:customStyle="1" w:styleId="CommentSubjectChar">
    <w:name w:val="Comment Subject Char"/>
    <w:basedOn w:val="CommentTextChar"/>
    <w:link w:val="CommentSubject"/>
    <w:uiPriority w:val="99"/>
    <w:semiHidden/>
    <w:rsid w:val="00217D55"/>
    <w:rPr>
      <w:b/>
      <w:bCs/>
      <w:sz w:val="20"/>
      <w:szCs w:val="20"/>
    </w:rPr>
  </w:style>
  <w:style w:type="paragraph" w:styleId="BalloonText">
    <w:name w:val="Balloon Text"/>
    <w:basedOn w:val="Normal"/>
    <w:link w:val="BalloonTextChar"/>
    <w:uiPriority w:val="99"/>
    <w:semiHidden/>
    <w:unhideWhenUsed/>
    <w:rsid w:val="0021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55"/>
    <w:rPr>
      <w:rFonts w:ascii="Tahoma" w:hAnsi="Tahoma" w:cs="Tahoma"/>
      <w:sz w:val="16"/>
      <w:szCs w:val="16"/>
    </w:rPr>
  </w:style>
  <w:style w:type="paragraph" w:styleId="Footer">
    <w:name w:val="footer"/>
    <w:basedOn w:val="Normal"/>
    <w:link w:val="FooterChar"/>
    <w:uiPriority w:val="99"/>
    <w:unhideWhenUsed/>
    <w:rsid w:val="0028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A16"/>
  </w:style>
  <w:style w:type="paragraph" w:styleId="TOCHeading">
    <w:name w:val="TOC Heading"/>
    <w:basedOn w:val="Heading1"/>
    <w:next w:val="Normal"/>
    <w:uiPriority w:val="39"/>
    <w:semiHidden/>
    <w:unhideWhenUsed/>
    <w:qFormat/>
    <w:rsid w:val="007E716D"/>
    <w:pPr>
      <w:outlineLvl w:val="9"/>
    </w:pPr>
  </w:style>
  <w:style w:type="character" w:customStyle="1" w:styleId="Heading2Char">
    <w:name w:val="Heading 2 Char"/>
    <w:basedOn w:val="DefaultParagraphFont"/>
    <w:link w:val="Heading2"/>
    <w:uiPriority w:val="9"/>
    <w:rsid w:val="007E716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E716D"/>
    <w:rPr>
      <w:rFonts w:asciiTheme="majorHAnsi" w:eastAsiaTheme="majorEastAsia" w:hAnsiTheme="majorHAnsi" w:cstheme="majorBidi"/>
      <w:b/>
      <w:bCs/>
    </w:rPr>
  </w:style>
  <w:style w:type="paragraph" w:styleId="TOC1">
    <w:name w:val="toc 1"/>
    <w:basedOn w:val="Normal"/>
    <w:next w:val="Normal"/>
    <w:autoRedefine/>
    <w:uiPriority w:val="39"/>
    <w:unhideWhenUsed/>
    <w:rsid w:val="00800484"/>
    <w:pPr>
      <w:spacing w:after="100"/>
    </w:pPr>
  </w:style>
  <w:style w:type="paragraph" w:styleId="TOC2">
    <w:name w:val="toc 2"/>
    <w:basedOn w:val="Normal"/>
    <w:next w:val="Normal"/>
    <w:autoRedefine/>
    <w:uiPriority w:val="39"/>
    <w:unhideWhenUsed/>
    <w:rsid w:val="00800484"/>
    <w:pPr>
      <w:spacing w:after="100"/>
      <w:ind w:left="220"/>
    </w:pPr>
  </w:style>
  <w:style w:type="paragraph" w:styleId="TOC3">
    <w:name w:val="toc 3"/>
    <w:basedOn w:val="Normal"/>
    <w:next w:val="Normal"/>
    <w:autoRedefine/>
    <w:uiPriority w:val="39"/>
    <w:unhideWhenUsed/>
    <w:rsid w:val="00800484"/>
    <w:pPr>
      <w:spacing w:after="100"/>
      <w:ind w:left="440"/>
    </w:pPr>
  </w:style>
  <w:style w:type="character" w:customStyle="1" w:styleId="Heading4Char">
    <w:name w:val="Heading 4 Char"/>
    <w:basedOn w:val="DefaultParagraphFont"/>
    <w:link w:val="Heading4"/>
    <w:uiPriority w:val="9"/>
    <w:semiHidden/>
    <w:rsid w:val="007E71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E71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E71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E71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E71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E716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E71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E716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E71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E716D"/>
    <w:rPr>
      <w:rFonts w:asciiTheme="majorHAnsi" w:eastAsiaTheme="majorEastAsia" w:hAnsiTheme="majorHAnsi" w:cstheme="majorBidi"/>
      <w:i/>
      <w:iCs/>
      <w:spacing w:val="13"/>
      <w:sz w:val="24"/>
      <w:szCs w:val="24"/>
    </w:rPr>
  </w:style>
  <w:style w:type="character" w:styleId="Strong">
    <w:name w:val="Strong"/>
    <w:uiPriority w:val="22"/>
    <w:qFormat/>
    <w:rsid w:val="007E716D"/>
    <w:rPr>
      <w:b/>
      <w:bCs/>
    </w:rPr>
  </w:style>
  <w:style w:type="character" w:styleId="Emphasis">
    <w:name w:val="Emphasis"/>
    <w:uiPriority w:val="20"/>
    <w:qFormat/>
    <w:rsid w:val="007E716D"/>
    <w:rPr>
      <w:b/>
      <w:bCs/>
      <w:i/>
      <w:iCs/>
      <w:spacing w:val="10"/>
      <w:bdr w:val="none" w:sz="0" w:space="0" w:color="auto"/>
      <w:shd w:val="clear" w:color="auto" w:fill="auto"/>
    </w:rPr>
  </w:style>
  <w:style w:type="paragraph" w:styleId="NoSpacing">
    <w:name w:val="No Spacing"/>
    <w:basedOn w:val="Normal"/>
    <w:uiPriority w:val="1"/>
    <w:qFormat/>
    <w:rsid w:val="007E716D"/>
    <w:pPr>
      <w:spacing w:after="0" w:line="240" w:lineRule="auto"/>
    </w:pPr>
  </w:style>
  <w:style w:type="paragraph" w:styleId="Quote">
    <w:name w:val="Quote"/>
    <w:basedOn w:val="Normal"/>
    <w:next w:val="Normal"/>
    <w:link w:val="QuoteChar"/>
    <w:uiPriority w:val="29"/>
    <w:qFormat/>
    <w:rsid w:val="007E716D"/>
    <w:pPr>
      <w:spacing w:before="200" w:after="0"/>
      <w:ind w:left="360" w:right="360"/>
    </w:pPr>
    <w:rPr>
      <w:i/>
      <w:iCs/>
    </w:rPr>
  </w:style>
  <w:style w:type="character" w:customStyle="1" w:styleId="QuoteChar">
    <w:name w:val="Quote Char"/>
    <w:basedOn w:val="DefaultParagraphFont"/>
    <w:link w:val="Quote"/>
    <w:uiPriority w:val="29"/>
    <w:rsid w:val="007E716D"/>
    <w:rPr>
      <w:i/>
      <w:iCs/>
    </w:rPr>
  </w:style>
  <w:style w:type="paragraph" w:styleId="IntenseQuote">
    <w:name w:val="Intense Quote"/>
    <w:basedOn w:val="Normal"/>
    <w:next w:val="Normal"/>
    <w:link w:val="IntenseQuoteChar"/>
    <w:uiPriority w:val="30"/>
    <w:qFormat/>
    <w:rsid w:val="007E71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E716D"/>
    <w:rPr>
      <w:b/>
      <w:bCs/>
      <w:i/>
      <w:iCs/>
    </w:rPr>
  </w:style>
  <w:style w:type="character" w:styleId="SubtleEmphasis">
    <w:name w:val="Subtle Emphasis"/>
    <w:uiPriority w:val="19"/>
    <w:qFormat/>
    <w:rsid w:val="007E716D"/>
    <w:rPr>
      <w:i/>
      <w:iCs/>
    </w:rPr>
  </w:style>
  <w:style w:type="character" w:styleId="IntenseEmphasis">
    <w:name w:val="Intense Emphasis"/>
    <w:uiPriority w:val="21"/>
    <w:qFormat/>
    <w:rsid w:val="007E716D"/>
    <w:rPr>
      <w:b/>
      <w:bCs/>
    </w:rPr>
  </w:style>
  <w:style w:type="character" w:styleId="SubtleReference">
    <w:name w:val="Subtle Reference"/>
    <w:uiPriority w:val="31"/>
    <w:qFormat/>
    <w:rsid w:val="007E716D"/>
    <w:rPr>
      <w:smallCaps/>
    </w:rPr>
  </w:style>
  <w:style w:type="character" w:styleId="IntenseReference">
    <w:name w:val="Intense Reference"/>
    <w:uiPriority w:val="32"/>
    <w:qFormat/>
    <w:rsid w:val="007E716D"/>
    <w:rPr>
      <w:smallCaps/>
      <w:spacing w:val="5"/>
      <w:u w:val="single"/>
    </w:rPr>
  </w:style>
  <w:style w:type="character" w:styleId="BookTitle">
    <w:name w:val="Book Title"/>
    <w:uiPriority w:val="33"/>
    <w:qFormat/>
    <w:rsid w:val="007E716D"/>
    <w:rPr>
      <w:i/>
      <w:iCs/>
      <w:smallCaps/>
      <w:spacing w:val="5"/>
    </w:rPr>
  </w:style>
  <w:style w:type="paragraph" w:styleId="Bibliography">
    <w:name w:val="Bibliography"/>
    <w:basedOn w:val="Normal"/>
    <w:next w:val="Normal"/>
    <w:uiPriority w:val="37"/>
    <w:unhideWhenUsed/>
    <w:rsid w:val="00481762"/>
  </w:style>
  <w:style w:type="character" w:styleId="FollowedHyperlink">
    <w:name w:val="FollowedHyperlink"/>
    <w:basedOn w:val="DefaultParagraphFont"/>
    <w:uiPriority w:val="99"/>
    <w:semiHidden/>
    <w:unhideWhenUsed/>
    <w:rsid w:val="00732BDC"/>
    <w:rPr>
      <w:color w:val="000000" w:themeColor="followedHyperlink"/>
      <w:u w:val="single"/>
    </w:rPr>
  </w:style>
  <w:style w:type="paragraph" w:styleId="Revision">
    <w:name w:val="Revision"/>
    <w:hidden/>
    <w:uiPriority w:val="99"/>
    <w:semiHidden/>
    <w:rsid w:val="00631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5538">
      <w:bodyDiv w:val="1"/>
      <w:marLeft w:val="0"/>
      <w:marRight w:val="0"/>
      <w:marTop w:val="0"/>
      <w:marBottom w:val="0"/>
      <w:divBdr>
        <w:top w:val="none" w:sz="0" w:space="0" w:color="auto"/>
        <w:left w:val="none" w:sz="0" w:space="0" w:color="auto"/>
        <w:bottom w:val="none" w:sz="0" w:space="0" w:color="auto"/>
        <w:right w:val="none" w:sz="0" w:space="0" w:color="auto"/>
      </w:divBdr>
    </w:div>
    <w:div w:id="803692108">
      <w:bodyDiv w:val="1"/>
      <w:marLeft w:val="0"/>
      <w:marRight w:val="0"/>
      <w:marTop w:val="0"/>
      <w:marBottom w:val="0"/>
      <w:divBdr>
        <w:top w:val="none" w:sz="0" w:space="0" w:color="auto"/>
        <w:left w:val="none" w:sz="0" w:space="0" w:color="auto"/>
        <w:bottom w:val="none" w:sz="0" w:space="0" w:color="auto"/>
        <w:right w:val="none" w:sz="0" w:space="0" w:color="auto"/>
      </w:divBdr>
    </w:div>
    <w:div w:id="1002775786">
      <w:bodyDiv w:val="1"/>
      <w:marLeft w:val="0"/>
      <w:marRight w:val="0"/>
      <w:marTop w:val="0"/>
      <w:marBottom w:val="0"/>
      <w:divBdr>
        <w:top w:val="none" w:sz="0" w:space="0" w:color="auto"/>
        <w:left w:val="none" w:sz="0" w:space="0" w:color="auto"/>
        <w:bottom w:val="none" w:sz="0" w:space="0" w:color="auto"/>
        <w:right w:val="none" w:sz="0" w:space="0" w:color="auto"/>
      </w:divBdr>
      <w:divsChild>
        <w:div w:id="798885239">
          <w:marLeft w:val="0"/>
          <w:marRight w:val="0"/>
          <w:marTop w:val="0"/>
          <w:marBottom w:val="0"/>
          <w:divBdr>
            <w:top w:val="single" w:sz="2" w:space="0" w:color="454545"/>
            <w:left w:val="single" w:sz="6" w:space="0" w:color="454545"/>
            <w:bottom w:val="single" w:sz="6" w:space="0" w:color="454545"/>
            <w:right w:val="single" w:sz="6" w:space="0" w:color="454545"/>
          </w:divBdr>
          <w:divsChild>
            <w:div w:id="2027320152">
              <w:marLeft w:val="0"/>
              <w:marRight w:val="0"/>
              <w:marTop w:val="0"/>
              <w:marBottom w:val="0"/>
              <w:divBdr>
                <w:top w:val="none" w:sz="0" w:space="0" w:color="auto"/>
                <w:left w:val="none" w:sz="0" w:space="0" w:color="auto"/>
                <w:bottom w:val="none" w:sz="0" w:space="0" w:color="auto"/>
                <w:right w:val="none" w:sz="0" w:space="0" w:color="auto"/>
              </w:divBdr>
              <w:divsChild>
                <w:div w:id="82454470">
                  <w:marLeft w:val="0"/>
                  <w:marRight w:val="0"/>
                  <w:marTop w:val="0"/>
                  <w:marBottom w:val="0"/>
                  <w:divBdr>
                    <w:top w:val="none" w:sz="0" w:space="0" w:color="auto"/>
                    <w:left w:val="none" w:sz="0" w:space="0" w:color="auto"/>
                    <w:bottom w:val="none" w:sz="0" w:space="0" w:color="auto"/>
                    <w:right w:val="none" w:sz="0" w:space="0" w:color="auto"/>
                  </w:divBdr>
                  <w:divsChild>
                    <w:div w:id="910769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43344900">
      <w:bodyDiv w:val="1"/>
      <w:marLeft w:val="0"/>
      <w:marRight w:val="0"/>
      <w:marTop w:val="0"/>
      <w:marBottom w:val="0"/>
      <w:divBdr>
        <w:top w:val="none" w:sz="0" w:space="0" w:color="auto"/>
        <w:left w:val="none" w:sz="0" w:space="0" w:color="auto"/>
        <w:bottom w:val="none" w:sz="0" w:space="0" w:color="auto"/>
        <w:right w:val="none" w:sz="0" w:space="0" w:color="auto"/>
      </w:divBdr>
    </w:div>
    <w:div w:id="17011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wman.kate@bls.gov"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Ken.Rosenman@hc.ms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LLJackson@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antosh.Verma@LibertyMutual.co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C1796-51C2-4848-AD9D-6CA7C97BEDD1}">
  <ds:schemaRefs>
    <ds:schemaRef ds:uri="http://schemas.openxmlformats.org/officeDocument/2006/bibliography"/>
  </ds:schemaRefs>
</ds:datastoreItem>
</file>

<file path=customXml/itemProps2.xml><?xml version="1.0" encoding="utf-8"?>
<ds:datastoreItem xmlns:ds="http://schemas.openxmlformats.org/officeDocument/2006/customXml" ds:itemID="{12C36C02-E8DC-4C17-8B88-3E459338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10694</Words>
  <Characters>60956</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Dye</dc:creator>
  <cp:lastModifiedBy>CTAC</cp:lastModifiedBy>
  <cp:revision>2</cp:revision>
  <cp:lastPrinted>2012-05-09T16:33:00Z</cp:lastPrinted>
  <dcterms:created xsi:type="dcterms:W3CDTF">2012-05-31T15:38:00Z</dcterms:created>
  <dcterms:modified xsi:type="dcterms:W3CDTF">2012-05-31T15:38:00Z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