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SUPPORTING STATEMENT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Department of Commerce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Census Bureau</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2008 Panel of the Survey of Income &amp; Program Participation,</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 xml:space="preserve">Wave </w:t>
      </w:r>
      <w:r w:rsidR="003F5C85">
        <w:rPr>
          <w:rFonts w:ascii="Helv" w:hAnsi="Helv" w:cs="Helv"/>
          <w:b/>
          <w:bCs/>
          <w:sz w:val="20"/>
          <w:szCs w:val="20"/>
        </w:rPr>
        <w:t>13</w:t>
      </w:r>
      <w:r w:rsidR="00F10816">
        <w:rPr>
          <w:rFonts w:ascii="Helv" w:hAnsi="Helv" w:cs="Helv"/>
          <w:b/>
          <w:bCs/>
          <w:sz w:val="20"/>
          <w:szCs w:val="20"/>
        </w:rPr>
        <w:t xml:space="preserve"> Topical Module</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OMB Control No. 0607-0944</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Helv" w:hAnsi="Helv" w:cs="Helv"/>
          <w:sz w:val="20"/>
          <w:szCs w:val="20"/>
        </w:rPr>
        <w:t xml:space="preserve"> </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Wave </w:t>
      </w:r>
      <w:r w:rsidR="003F5C85">
        <w:rPr>
          <w:rFonts w:ascii="Times New Roman" w:hAnsi="Times New Roman"/>
        </w:rPr>
        <w:t>13</w:t>
      </w:r>
      <w:r w:rsidR="002D35A7">
        <w:rPr>
          <w:rFonts w:ascii="Times New Roman" w:hAnsi="Times New Roman"/>
        </w:rPr>
        <w:t xml:space="preserve"> </w:t>
      </w:r>
      <w:r>
        <w:rPr>
          <w:rFonts w:ascii="Times New Roman" w:hAnsi="Times New Roman"/>
        </w:rPr>
        <w:t>interview for the 2008 Panel of the Survey of Income and Program Participation (SIPP).  The core SIPP and re</w:t>
      </w:r>
      <w:r w:rsidR="002D35A7">
        <w:rPr>
          <w:rFonts w:ascii="Times New Roman" w:hAnsi="Times New Roman"/>
        </w:rPr>
        <w:t>-</w:t>
      </w:r>
      <w:r>
        <w:rPr>
          <w:rFonts w:ascii="Times New Roman" w:hAnsi="Times New Roman"/>
        </w:rPr>
        <w:t xml:space="preserve">interview instruments </w:t>
      </w:r>
      <w:proofErr w:type="gramStart"/>
      <w:r>
        <w:rPr>
          <w:rFonts w:ascii="Times New Roman" w:hAnsi="Times New Roman"/>
        </w:rPr>
        <w:t>were cleared</w:t>
      </w:r>
      <w:proofErr w:type="gramEnd"/>
      <w:r>
        <w:rPr>
          <w:rFonts w:ascii="Times New Roman" w:hAnsi="Times New Roman"/>
        </w:rPr>
        <w:t xml:space="preserve"> under Authorization No. 0607-0944.</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represents a source of information for a wide variety of separate topics to </w:t>
      </w:r>
      <w:proofErr w:type="gramStart"/>
      <w:r>
        <w:rPr>
          <w:rFonts w:ascii="Times New Roman" w:hAnsi="Times New Roman"/>
        </w:rPr>
        <w:t>be integrated</w:t>
      </w:r>
      <w:proofErr w:type="gramEnd"/>
      <w:r>
        <w:rPr>
          <w:rFonts w:ascii="Times New Roman" w:hAnsi="Times New Roman"/>
        </w:rPr>
        <w:t xml:space="preserve"> to form a single and unified database in order to examine the interaction between tax, transfer, and other government and private policies.  Government domestic policy formulators depend heavily upon the SIPP information to determine the effect of tax and transfer programs on the distribution of income received directly as money or indirectly as in-kind benefits.  They also need improved and expanded data on the income and general economic and financial situation of the U.S. population.  The SIPP has provided these kinds of data on a continuing basis since 1983, by measuring levels of economic</w:t>
      </w:r>
      <w:r w:rsidR="002D35A7">
        <w:rPr>
          <w:rFonts w:ascii="Times New Roman" w:hAnsi="Times New Roman"/>
        </w:rPr>
        <w:t xml:space="preserve"> </w:t>
      </w:r>
      <w:r>
        <w:rPr>
          <w:rFonts w:ascii="Times New Roman" w:hAnsi="Times New Roman"/>
        </w:rPr>
        <w:t xml:space="preserve">well-being and changes in these levels over time.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survey </w:t>
      </w:r>
      <w:proofErr w:type="gramStart"/>
      <w:r>
        <w:rPr>
          <w:rFonts w:ascii="Times New Roman" w:hAnsi="Times New Roman"/>
        </w:rPr>
        <w:t>is molded</w:t>
      </w:r>
      <w:proofErr w:type="gramEnd"/>
      <w:r>
        <w:rPr>
          <w:rFonts w:ascii="Times New Roman" w:hAnsi="Times New Roman"/>
        </w:rPr>
        <w:t xml:space="preserve"> around a central "core" of labor force and income questions that remain fixed throughout the life of a panel.  The core </w:t>
      </w:r>
      <w:proofErr w:type="gramStart"/>
      <w:r>
        <w:rPr>
          <w:rFonts w:ascii="Times New Roman" w:hAnsi="Times New Roman"/>
        </w:rPr>
        <w:t>is supplemented</w:t>
      </w:r>
      <w:proofErr w:type="gramEnd"/>
      <w:r>
        <w:rPr>
          <w:rFonts w:ascii="Times New Roman" w:hAnsi="Times New Roman"/>
        </w:rPr>
        <w:t xml:space="preserve"> with questions designed to answer specific needs such as estimating eligibility for government programs, examining pension and health care coverage, and analyzing individual net worth.  These supplemental questions are included with the core and </w:t>
      </w:r>
      <w:proofErr w:type="gramStart"/>
      <w:r>
        <w:rPr>
          <w:rFonts w:ascii="Times New Roman" w:hAnsi="Times New Roman"/>
        </w:rPr>
        <w:t>are referred</w:t>
      </w:r>
      <w:proofErr w:type="gramEnd"/>
      <w:r>
        <w:rPr>
          <w:rFonts w:ascii="Times New Roman" w:hAnsi="Times New Roman"/>
        </w:rPr>
        <w:t xml:space="preserve"> to as "topical modules."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6177"/>
        <w:rPr>
          <w:rFonts w:ascii="Times New Roman" w:hAnsi="Times New Roman"/>
        </w:rPr>
      </w:pPr>
    </w:p>
    <w:p w:rsidR="000C691B" w:rsidRDefault="007F6FDB" w:rsidP="006956CB">
      <w:pPr>
        <w:ind w:left="950"/>
        <w:rPr>
          <w:rFonts w:ascii="Times New Roman" w:hAnsi="Times New Roman"/>
        </w:rPr>
      </w:pPr>
      <w:r>
        <w:rPr>
          <w:rFonts w:ascii="Times New Roman" w:hAnsi="Times New Roman"/>
        </w:rPr>
        <w:t xml:space="preserve">The topical module </w:t>
      </w:r>
      <w:r w:rsidR="000C691B">
        <w:rPr>
          <w:rFonts w:ascii="Times New Roman" w:hAnsi="Times New Roman"/>
        </w:rPr>
        <w:t xml:space="preserve">for the 2008 Panel Wave </w:t>
      </w:r>
      <w:r w:rsidR="003F5C85">
        <w:rPr>
          <w:rFonts w:ascii="Times New Roman" w:hAnsi="Times New Roman"/>
        </w:rPr>
        <w:t>13</w:t>
      </w:r>
      <w:r w:rsidR="000C691B">
        <w:rPr>
          <w:rFonts w:ascii="Times New Roman" w:hAnsi="Times New Roman"/>
        </w:rPr>
        <w:t xml:space="preserve"> </w:t>
      </w:r>
      <w:r w:rsidR="001E70B2">
        <w:rPr>
          <w:rFonts w:ascii="Times New Roman" w:hAnsi="Times New Roman"/>
        </w:rPr>
        <w:t>is</w:t>
      </w:r>
      <w:r>
        <w:rPr>
          <w:rFonts w:ascii="Times New Roman" w:hAnsi="Times New Roman"/>
        </w:rPr>
        <w:t xml:space="preserve"> </w:t>
      </w:r>
      <w:r w:rsidR="00BB6BA6">
        <w:rPr>
          <w:rFonts w:ascii="Times New Roman" w:hAnsi="Times New Roman"/>
        </w:rPr>
        <w:t>Professional Certificates and Certifications</w:t>
      </w:r>
      <w:r w:rsidR="006D5159">
        <w:rPr>
          <w:rFonts w:ascii="Times New Roman" w:hAnsi="Times New Roman"/>
        </w:rPr>
        <w:t xml:space="preserve"> </w:t>
      </w:r>
      <w:r>
        <w:rPr>
          <w:rFonts w:ascii="Times New Roman" w:hAnsi="Times New Roman"/>
        </w:rPr>
        <w:t>(Atta</w:t>
      </w:r>
      <w:r w:rsidR="006D5159">
        <w:rPr>
          <w:rFonts w:ascii="Times New Roman" w:hAnsi="Times New Roman"/>
        </w:rPr>
        <w:t>chment A).  This topical module</w:t>
      </w:r>
      <w:r>
        <w:rPr>
          <w:rFonts w:ascii="Times New Roman" w:hAnsi="Times New Roman"/>
        </w:rPr>
        <w:t xml:space="preserve"> </w:t>
      </w:r>
      <w:proofErr w:type="gramStart"/>
      <w:r w:rsidR="00BB6BA6">
        <w:rPr>
          <w:rFonts w:ascii="Times New Roman" w:hAnsi="Times New Roman"/>
        </w:rPr>
        <w:t>has not been</w:t>
      </w:r>
      <w:r w:rsidR="002D35A7" w:rsidRPr="001F50CE">
        <w:rPr>
          <w:rFonts w:ascii="Times New Roman" w:hAnsi="Times New Roman"/>
        </w:rPr>
        <w:t xml:space="preserve"> previously</w:t>
      </w:r>
      <w:r w:rsidR="006D5159">
        <w:rPr>
          <w:rFonts w:ascii="Times New Roman" w:hAnsi="Times New Roman"/>
        </w:rPr>
        <w:t xml:space="preserve"> </w:t>
      </w:r>
      <w:r w:rsidR="002D35A7" w:rsidRPr="001F50CE">
        <w:rPr>
          <w:rFonts w:ascii="Times New Roman" w:hAnsi="Times New Roman"/>
        </w:rPr>
        <w:t>conducted</w:t>
      </w:r>
      <w:proofErr w:type="gramEnd"/>
      <w:r w:rsidR="002D35A7" w:rsidRPr="001F50CE">
        <w:rPr>
          <w:rFonts w:ascii="Times New Roman" w:hAnsi="Times New Roman"/>
        </w:rPr>
        <w:t xml:space="preserve"> in the SIPP</w:t>
      </w:r>
      <w:r w:rsidR="000418B2">
        <w:rPr>
          <w:rFonts w:ascii="Times New Roman" w:hAnsi="Times New Roman"/>
        </w:rPr>
        <w:t xml:space="preserve">. </w:t>
      </w:r>
      <w:r w:rsidR="002D35A7" w:rsidRPr="001F50CE">
        <w:rPr>
          <w:rFonts w:ascii="Times New Roman" w:hAnsi="Times New Roman"/>
        </w:rPr>
        <w:t xml:space="preserve"> </w:t>
      </w:r>
      <w:r w:rsidR="000C691B">
        <w:rPr>
          <w:rFonts w:ascii="Times New Roman" w:hAnsi="Times New Roman"/>
        </w:rPr>
        <w:t xml:space="preserve">Wave </w:t>
      </w:r>
      <w:r w:rsidR="003F5C85">
        <w:rPr>
          <w:rFonts w:ascii="Times New Roman" w:hAnsi="Times New Roman"/>
        </w:rPr>
        <w:t>13</w:t>
      </w:r>
      <w:r w:rsidR="000C691B">
        <w:rPr>
          <w:rFonts w:ascii="Times New Roman" w:hAnsi="Times New Roman"/>
        </w:rPr>
        <w:t xml:space="preserve"> interviews </w:t>
      </w:r>
      <w:proofErr w:type="gramStart"/>
      <w:r w:rsidR="000C691B">
        <w:rPr>
          <w:rFonts w:ascii="Times New Roman" w:hAnsi="Times New Roman"/>
        </w:rPr>
        <w:t>will be conducted</w:t>
      </w:r>
      <w:proofErr w:type="gramEnd"/>
      <w:r w:rsidR="000C691B">
        <w:rPr>
          <w:rFonts w:ascii="Times New Roman" w:hAnsi="Times New Roman"/>
        </w:rPr>
        <w:t xml:space="preserve"> from </w:t>
      </w:r>
      <w:r w:rsidR="00BB6BA6">
        <w:rPr>
          <w:rFonts w:ascii="Times New Roman" w:hAnsi="Times New Roman"/>
        </w:rPr>
        <w:t>September</w:t>
      </w:r>
      <w:r w:rsidR="000418B2">
        <w:rPr>
          <w:rFonts w:ascii="Times New Roman" w:hAnsi="Times New Roman"/>
        </w:rPr>
        <w:t xml:space="preserve"> 1, 2012 </w:t>
      </w:r>
      <w:r w:rsidR="000C691B">
        <w:rPr>
          <w:rFonts w:ascii="Times New Roman" w:hAnsi="Times New Roman"/>
        </w:rPr>
        <w:t xml:space="preserve">through </w:t>
      </w:r>
      <w:r w:rsidR="00BB6BA6">
        <w:rPr>
          <w:rFonts w:ascii="Times New Roman" w:hAnsi="Times New Roman"/>
        </w:rPr>
        <w:t>December 31</w:t>
      </w:r>
      <w:r w:rsidR="000418B2">
        <w:rPr>
          <w:rFonts w:ascii="Times New Roman" w:hAnsi="Times New Roman"/>
        </w:rPr>
        <w:t>, 2012.</w:t>
      </w:r>
    </w:p>
    <w:p w:rsidR="00E3209B" w:rsidRDefault="00E3209B" w:rsidP="006956CB">
      <w:pPr>
        <w:ind w:left="950"/>
        <w:rPr>
          <w:rFonts w:ascii="Times New Roman" w:hAnsi="Times New Roman"/>
        </w:rPr>
      </w:pPr>
    </w:p>
    <w:p w:rsidR="00E3209B" w:rsidRDefault="00E3209B" w:rsidP="006956CB">
      <w:pPr>
        <w:ind w:left="950"/>
        <w:rPr>
          <w:rFonts w:ascii="Times New Roman" w:hAnsi="Times New Roman"/>
        </w:rPr>
      </w:pPr>
      <w:r>
        <w:rPr>
          <w:rFonts w:ascii="Times New Roman" w:hAnsi="Times New Roman"/>
        </w:rPr>
        <w:t xml:space="preserve">No topical modules </w:t>
      </w:r>
      <w:r w:rsidR="00BB6BA6">
        <w:rPr>
          <w:rFonts w:ascii="Times New Roman" w:hAnsi="Times New Roman"/>
        </w:rPr>
        <w:t>were used in Wave</w:t>
      </w:r>
      <w:r>
        <w:rPr>
          <w:rFonts w:ascii="Times New Roman" w:hAnsi="Times New Roman"/>
        </w:rPr>
        <w:t xml:space="preserve"> 12</w:t>
      </w:r>
      <w:r w:rsidR="00BB6BA6">
        <w:rPr>
          <w:rFonts w:ascii="Times New Roman" w:hAnsi="Times New Roman"/>
        </w:rPr>
        <w:t xml:space="preserve"> and none </w:t>
      </w:r>
      <w:proofErr w:type="gramStart"/>
      <w:r w:rsidR="00BB6BA6">
        <w:rPr>
          <w:rFonts w:ascii="Times New Roman" w:hAnsi="Times New Roman"/>
        </w:rPr>
        <w:t>are</w:t>
      </w:r>
      <w:proofErr w:type="gramEnd"/>
      <w:r w:rsidR="00BB6BA6">
        <w:rPr>
          <w:rFonts w:ascii="Times New Roman" w:hAnsi="Times New Roman"/>
        </w:rPr>
        <w:t xml:space="preserve"> planned in Waves 14</w:t>
      </w:r>
      <w:r w:rsidR="004B1375">
        <w:rPr>
          <w:rFonts w:ascii="Times New Roman" w:hAnsi="Times New Roman"/>
        </w:rPr>
        <w:t xml:space="preserve"> through 16</w:t>
      </w:r>
      <w:r>
        <w:rPr>
          <w:rFonts w:ascii="Times New Roman" w:hAnsi="Times New Roman"/>
        </w:rPr>
        <w:t xml:space="preserve"> of the 2008 Panel.  We plan to continue fielding the core and </w:t>
      </w:r>
      <w:proofErr w:type="spellStart"/>
      <w:r>
        <w:rPr>
          <w:rFonts w:ascii="Times New Roman" w:hAnsi="Times New Roman"/>
        </w:rPr>
        <w:t>reintervie</w:t>
      </w:r>
      <w:r w:rsidR="004B1375">
        <w:rPr>
          <w:rFonts w:ascii="Times New Roman" w:hAnsi="Times New Roman"/>
        </w:rPr>
        <w:t>w</w:t>
      </w:r>
      <w:proofErr w:type="spellEnd"/>
      <w:r w:rsidR="004B1375">
        <w:rPr>
          <w:rFonts w:ascii="Times New Roman" w:hAnsi="Times New Roman"/>
        </w:rPr>
        <w:t xml:space="preserve"> instruments through December 2013</w:t>
      </w:r>
      <w:r>
        <w:rPr>
          <w:rFonts w:ascii="Times New Roman" w:hAnsi="Times New Roman"/>
        </w:rPr>
        <w:t>, which</w:t>
      </w:r>
      <w:r w:rsidR="004B1375">
        <w:rPr>
          <w:rFonts w:ascii="Times New Roman" w:hAnsi="Times New Roman"/>
        </w:rPr>
        <w:t xml:space="preserve"> is the last rotation of Wave 16</w:t>
      </w:r>
      <w:r>
        <w:rPr>
          <w:rFonts w:ascii="Times New Roman" w:hAnsi="Times New Roman"/>
        </w:rPr>
        <w:t xml:space="preserve">.  Consequently, we </w:t>
      </w:r>
      <w:r w:rsidR="00F24922">
        <w:rPr>
          <w:rFonts w:ascii="Times New Roman" w:hAnsi="Times New Roman"/>
        </w:rPr>
        <w:t xml:space="preserve">did not submit an OMB package for Wave 12 and </w:t>
      </w:r>
      <w:r>
        <w:rPr>
          <w:rFonts w:ascii="Times New Roman" w:hAnsi="Times New Roman"/>
        </w:rPr>
        <w:t>do not anticipate future OMB submissions for the 2008 Panel</w:t>
      </w:r>
      <w:r w:rsidR="00BB6BA6">
        <w:rPr>
          <w:rFonts w:ascii="Times New Roman" w:hAnsi="Times New Roman"/>
        </w:rPr>
        <w:t xml:space="preserve"> after Wave 13</w:t>
      </w:r>
      <w:r>
        <w:rPr>
          <w:rFonts w:ascii="Times New Roman" w:hAnsi="Times New Roman"/>
        </w:rPr>
        <w: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pgSz w:w="12240" w:h="15840"/>
          <w:pgMar w:top="1440" w:right="1440" w:bottom="1440" w:left="1440" w:header="1440" w:footer="1440" w:gutter="0"/>
          <w:cols w:space="720"/>
          <w:noEndnote/>
        </w:sectPr>
      </w:pPr>
    </w:p>
    <w:p w:rsidR="006D5159"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 xml:space="preserve">The SIPP </w:t>
      </w:r>
      <w:proofErr w:type="gramStart"/>
      <w:r>
        <w:rPr>
          <w:rFonts w:ascii="Times New Roman" w:hAnsi="Times New Roman"/>
        </w:rPr>
        <w:t>is designed</w:t>
      </w:r>
      <w:proofErr w:type="gramEnd"/>
      <w:r>
        <w:rPr>
          <w:rFonts w:ascii="Times New Roman" w:hAnsi="Times New Roman"/>
        </w:rPr>
        <w:t xml:space="preserve"> as a continuing series of national panels of interviewed households that are introduced every few years with each panel having durations of approximately 3 to 6 years.  The 2008 Panel is schedule</w:t>
      </w:r>
      <w:r w:rsidR="002B66B1">
        <w:rPr>
          <w:rFonts w:ascii="Times New Roman" w:hAnsi="Times New Roman"/>
        </w:rPr>
        <w:t>d for approximately 6 years</w:t>
      </w:r>
      <w:r w:rsidR="00E70CEA">
        <w:rPr>
          <w:rFonts w:ascii="Times New Roman" w:hAnsi="Times New Roman"/>
        </w:rPr>
        <w:t xml:space="preserve"> and four months</w:t>
      </w:r>
      <w:r w:rsidR="002B66B1">
        <w:rPr>
          <w:rFonts w:ascii="Times New Roman" w:hAnsi="Times New Roman"/>
        </w:rPr>
        <w:t xml:space="preserve"> and</w:t>
      </w:r>
      <w:r w:rsidR="00E70CEA">
        <w:rPr>
          <w:rFonts w:ascii="Times New Roman" w:hAnsi="Times New Roman"/>
        </w:rPr>
        <w:t xml:space="preserve"> </w:t>
      </w:r>
      <w:r w:rsidR="00E70CEA">
        <w:rPr>
          <w:rFonts w:ascii="Times New Roman" w:hAnsi="Times New Roman"/>
        </w:rPr>
        <w:lastRenderedPageBreak/>
        <w:t>includes sixteen</w:t>
      </w:r>
      <w:r>
        <w:rPr>
          <w:rFonts w:ascii="Times New Roman" w:hAnsi="Times New Roman"/>
        </w:rPr>
        <w:t xml:space="preserve"> </w:t>
      </w:r>
      <w:proofErr w:type="gramStart"/>
      <w:r>
        <w:rPr>
          <w:rFonts w:ascii="Times New Roman" w:hAnsi="Times New Roman"/>
        </w:rPr>
        <w:t>waves which</w:t>
      </w:r>
      <w:proofErr w:type="gramEnd"/>
      <w:r>
        <w:rPr>
          <w:rFonts w:ascii="Times New Roman" w:hAnsi="Times New Roman"/>
        </w:rPr>
        <w:t xml:space="preserve"> began September 1, 2008.  </w:t>
      </w:r>
      <w:r w:rsidR="006E004C">
        <w:rPr>
          <w:rFonts w:ascii="Times New Roman" w:hAnsi="Times New Roman"/>
        </w:rPr>
        <w:t xml:space="preserve">Our current </w:t>
      </w:r>
      <w:r w:rsidR="00BB6BA6">
        <w:rPr>
          <w:rFonts w:ascii="Times New Roman" w:hAnsi="Times New Roman"/>
        </w:rPr>
        <w:t xml:space="preserve">OMB </w:t>
      </w:r>
      <w:r w:rsidR="006E004C">
        <w:rPr>
          <w:rFonts w:ascii="Times New Roman" w:hAnsi="Times New Roman"/>
        </w:rPr>
        <w:t>clearance allow</w:t>
      </w:r>
      <w:r w:rsidR="00BB6BA6">
        <w:rPr>
          <w:rFonts w:ascii="Times New Roman" w:hAnsi="Times New Roman"/>
        </w:rPr>
        <w:t>s</w:t>
      </w:r>
      <w:r w:rsidR="006E004C">
        <w:rPr>
          <w:rFonts w:ascii="Times New Roman" w:hAnsi="Times New Roman"/>
        </w:rPr>
        <w:t xml:space="preserve"> us to conduct the “core</w:t>
      </w:r>
      <w:r w:rsidR="00E70CEA">
        <w:rPr>
          <w:rFonts w:ascii="Times New Roman" w:hAnsi="Times New Roman"/>
        </w:rPr>
        <w:t>” interviews in the field for 16</w:t>
      </w:r>
      <w:r w:rsidR="006E004C">
        <w:rPr>
          <w:rFonts w:ascii="Times New Roman" w:hAnsi="Times New Roman"/>
        </w:rPr>
        <w:t xml:space="preserve"> waves.  The current OMB </w:t>
      </w:r>
      <w:r w:rsidR="00C82214">
        <w:rPr>
          <w:rFonts w:ascii="Times New Roman" w:hAnsi="Times New Roman"/>
        </w:rPr>
        <w:t>clearance expiration date from W</w:t>
      </w:r>
      <w:r w:rsidR="00E70CEA">
        <w:rPr>
          <w:rFonts w:ascii="Times New Roman" w:hAnsi="Times New Roman"/>
        </w:rPr>
        <w:t>ave 11</w:t>
      </w:r>
      <w:r w:rsidR="006E004C">
        <w:rPr>
          <w:rFonts w:ascii="Times New Roman" w:hAnsi="Times New Roman"/>
        </w:rPr>
        <w:t xml:space="preserve"> is </w:t>
      </w:r>
      <w:r w:rsidR="00E70CEA">
        <w:rPr>
          <w:rFonts w:ascii="Times New Roman" w:hAnsi="Times New Roman"/>
        </w:rPr>
        <w:t>October 31</w:t>
      </w:r>
      <w:r w:rsidR="006E004C">
        <w:rPr>
          <w:rFonts w:ascii="Times New Roman" w:hAnsi="Times New Roman"/>
        </w:rPr>
        <w:t>, 2014</w:t>
      </w:r>
      <w:r w:rsidR="00BB6BA6">
        <w:rPr>
          <w:rFonts w:ascii="Times New Roman" w:hAnsi="Times New Roman"/>
        </w:rPr>
        <w:t xml:space="preserve"> and will be extended 3 years from the date of clearance for Wave 13 (approximately July of 2015)</w:t>
      </w:r>
      <w:r w:rsidR="006E004C">
        <w:rPr>
          <w:rFonts w:ascii="Times New Roman" w:hAnsi="Times New Roman"/>
        </w:rPr>
        <w:t xml:space="preserve">.  </w:t>
      </w:r>
      <w:r>
        <w:rPr>
          <w:rFonts w:ascii="Times New Roman" w:hAnsi="Times New Roman"/>
        </w:rPr>
        <w:t>All household members 15 years old or over are interviewed using regular proxy-respondent rules.  They are interviewed a total of s</w:t>
      </w:r>
      <w:r w:rsidR="00E70CEA">
        <w:rPr>
          <w:rFonts w:ascii="Times New Roman" w:hAnsi="Times New Roman"/>
        </w:rPr>
        <w:t>ixtee</w:t>
      </w:r>
      <w:r>
        <w:rPr>
          <w:rFonts w:ascii="Times New Roman" w:hAnsi="Times New Roman"/>
        </w:rPr>
        <w:t xml:space="preserve">n times or waves, at 4-month intervals, making the SIPP a longitudinal survey.  All household members present at the time of the first interview who move within the country and reasonably close to a SIPP primary sampling unit (PSU) </w:t>
      </w:r>
      <w:proofErr w:type="gramStart"/>
      <w:r>
        <w:rPr>
          <w:rFonts w:ascii="Times New Roman" w:hAnsi="Times New Roman"/>
        </w:rPr>
        <w:t>will be followed and interviewed at their new address</w:t>
      </w:r>
      <w:proofErr w:type="gramEnd"/>
      <w:r>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Individuals 15 years old or over who enter the household after Wave 1 will be interviewed; however, if these people move, they are not followed unless they happen to move along with a Wave 1 sample individual.</w:t>
      </w:r>
    </w:p>
    <w:p w:rsidR="00DA0A92" w:rsidRDefault="00DA0A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924B0F" w:rsidRPr="005D39A0" w:rsidRDefault="00924B0F" w:rsidP="00924B0F">
      <w:pPr>
        <w:shd w:val="clear" w:color="auto" w:fill="FFFFFF"/>
        <w:ind w:left="950"/>
        <w:rPr>
          <w:rFonts w:ascii="Times New Roman" w:eastAsia="Times New Roman" w:hAnsi="Times New Roman"/>
        </w:rPr>
      </w:pPr>
      <w:r w:rsidRPr="005D39A0">
        <w:rPr>
          <w:rFonts w:ascii="Times New Roman" w:eastAsia="Times New Roman" w:hAnsi="Times New Roman"/>
        </w:rPr>
        <w:t xml:space="preserve">The Census Bureau developed the Wave 13 Topical Module on Certifications and Certificates through a process with a Federal interagency committee on the Measurement of Certifications and Certificates.  This committee </w:t>
      </w:r>
      <w:proofErr w:type="gramStart"/>
      <w:r w:rsidRPr="005D39A0">
        <w:rPr>
          <w:rFonts w:ascii="Times New Roman" w:eastAsia="Times New Roman" w:hAnsi="Times New Roman"/>
        </w:rPr>
        <w:t>was formed</w:t>
      </w:r>
      <w:proofErr w:type="gramEnd"/>
      <w:r w:rsidRPr="005D39A0">
        <w:rPr>
          <w:rFonts w:ascii="Times New Roman" w:eastAsia="Times New Roman" w:hAnsi="Times New Roman"/>
        </w:rPr>
        <w:t xml:space="preserve"> by the National Center on Education Statistics in the Department of Education, under the guidance of the Office of Management and Budget, and includes members from the Department of Education (policy), Office of Management and Budget, Bureau of Labor Statistics, the Census Bureau, the Council of Economic Advisors.  The committee has undertaken an extensive process of research and testing to design and develop the questions included in the Topical Module.  This process included focus group interviews, cognitive testing and interviews, as well as a </w:t>
      </w:r>
      <w:proofErr w:type="gramStart"/>
      <w:r w:rsidRPr="005D39A0">
        <w:rPr>
          <w:rFonts w:ascii="Times New Roman" w:eastAsia="Times New Roman" w:hAnsi="Times New Roman"/>
        </w:rPr>
        <w:t>large scale</w:t>
      </w:r>
      <w:proofErr w:type="gramEnd"/>
      <w:r w:rsidRPr="005D39A0">
        <w:rPr>
          <w:rFonts w:ascii="Times New Roman" w:eastAsia="Times New Roman" w:hAnsi="Times New Roman"/>
        </w:rPr>
        <w:t xml:space="preserve"> national study of the design questions.  The Committee has reached consensus on some of the critical items for this topic, which form the basis of the Topical Module.  These items </w:t>
      </w:r>
      <w:proofErr w:type="gramStart"/>
      <w:r w:rsidRPr="005D39A0">
        <w:rPr>
          <w:rFonts w:ascii="Times New Roman" w:eastAsia="Times New Roman" w:hAnsi="Times New Roman"/>
        </w:rPr>
        <w:t>have also been recommended</w:t>
      </w:r>
      <w:proofErr w:type="gramEnd"/>
      <w:r w:rsidRPr="005D39A0">
        <w:rPr>
          <w:rFonts w:ascii="Times New Roman" w:eastAsia="Times New Roman" w:hAnsi="Times New Roman"/>
        </w:rPr>
        <w:t xml:space="preserve"> for inclusion in other federal data collections. </w:t>
      </w:r>
      <w:r>
        <w:rPr>
          <w:rFonts w:ascii="Times New Roman" w:eastAsia="Times New Roman" w:hAnsi="Times New Roman"/>
        </w:rPr>
        <w:t xml:space="preserve"> </w:t>
      </w:r>
      <w:r w:rsidRPr="005D39A0">
        <w:rPr>
          <w:rFonts w:ascii="Times New Roman" w:eastAsia="Times New Roman" w:hAnsi="Times New Roman"/>
        </w:rPr>
        <w:t>The purpose of the module is to provide national level estimates of certifications, as well as to provide further detail on certificate holders, data not available from other routine collections. The questions for the topical module address major policy and program concerns as stated by the subcommittee as a whole, and the member agencies of the committee, including the Office of the White House (via the Council of Economic Advisors). </w:t>
      </w:r>
    </w:p>
    <w:p w:rsidR="00924B0F" w:rsidRDefault="00924B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outlineLvl w:val="0"/>
        <w:rPr>
          <w:rFonts w:ascii="Times New Roman" w:hAnsi="Times New Roman"/>
        </w:rPr>
      </w:pPr>
      <w:r>
        <w:rPr>
          <w:rFonts w:ascii="Times New Roman" w:hAnsi="Times New Roman"/>
        </w:rPr>
        <w:t xml:space="preserve">The SIPP is authorized by Title 13, United States Code, </w:t>
      </w:r>
      <w:proofErr w:type="gramStart"/>
      <w:r>
        <w:rPr>
          <w:rFonts w:ascii="Times New Roman" w:hAnsi="Times New Roman"/>
        </w:rPr>
        <w:t>Section</w:t>
      </w:r>
      <w:proofErr w:type="gramEnd"/>
      <w:r>
        <w:rPr>
          <w:rFonts w:ascii="Times New Roman" w:hAnsi="Times New Roman"/>
        </w:rPr>
        <w:t xml:space="preserve"> 182.</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Information quality, as described by the Census </w:t>
      </w:r>
      <w:proofErr w:type="gramStart"/>
      <w:r>
        <w:rPr>
          <w:rFonts w:ascii="Times New Roman" w:hAnsi="Times New Roman"/>
        </w:rPr>
        <w:t>Bureau</w:t>
      </w:r>
      <w:r w:rsidR="001E70B2">
        <w:rPr>
          <w:rFonts w:ascii="Times New Roman" w:hAnsi="Times New Roman"/>
        </w:rPr>
        <w:t>’</w:t>
      </w:r>
      <w:r>
        <w:rPr>
          <w:rFonts w:ascii="Times New Roman" w:hAnsi="Times New Roman"/>
        </w:rPr>
        <w:t>s</w:t>
      </w:r>
      <w:proofErr w:type="gramEnd"/>
      <w:r>
        <w:rPr>
          <w:rFonts w:ascii="Times New Roman" w:hAnsi="Times New Roman"/>
        </w:rPr>
        <w:t xml:space="preserve"> Information Quality Guidelines, is an integral part of the pre-dissemination review of information disseminated by the Census Bureau.  Information quality is integral to information collections conducted by the Census Bureau and </w:t>
      </w:r>
      <w:proofErr w:type="gramStart"/>
      <w:r>
        <w:rPr>
          <w:rFonts w:ascii="Times New Roman" w:hAnsi="Times New Roman"/>
        </w:rPr>
        <w:t>is incorporated</w:t>
      </w:r>
      <w:proofErr w:type="gramEnd"/>
      <w:r>
        <w:rPr>
          <w:rFonts w:ascii="Times New Roman" w:hAnsi="Times New Roman"/>
        </w:rPr>
        <w:t xml:space="preserve"> into the clearance process required by the Paperwork Reduction Act.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Data provided by the SIPP are being used by economic policymakers, Congress, state and local governments, and federal agencies that administer social welfare or transfer </w:t>
      </w:r>
      <w:r>
        <w:rPr>
          <w:rFonts w:ascii="Times New Roman" w:hAnsi="Times New Roman"/>
        </w:rPr>
        <w:lastRenderedPageBreak/>
        <w:t>payment programs such as the Department of Health and Human Services and the Department of Agriculture.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following is a description and uses of the Wave </w:t>
      </w:r>
      <w:r w:rsidR="003F5C85">
        <w:rPr>
          <w:rFonts w:ascii="Times New Roman" w:hAnsi="Times New Roman"/>
        </w:rPr>
        <w:t>13</w:t>
      </w:r>
      <w:r>
        <w:rPr>
          <w:rFonts w:ascii="Times New Roman" w:hAnsi="Times New Roman"/>
        </w:rPr>
        <w:t xml:space="preserve"> topical module data:</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DA0A92" w:rsidRPr="001A3154" w:rsidRDefault="00DA0A92" w:rsidP="00975A90">
      <w:pPr>
        <w:outlineLvl w:val="0"/>
        <w:rPr>
          <w:rFonts w:ascii="Times New Roman" w:hAnsi="Times New Roman"/>
          <w:u w:val="single"/>
        </w:rPr>
      </w:pPr>
      <w:r w:rsidRPr="001A3154">
        <w:rPr>
          <w:rFonts w:ascii="Times New Roman" w:hAnsi="Times New Roman"/>
        </w:rPr>
        <w:tab/>
      </w:r>
      <w:r w:rsidR="00C06434">
        <w:rPr>
          <w:rFonts w:ascii="Times New Roman" w:hAnsi="Times New Roman"/>
        </w:rPr>
        <w:t xml:space="preserve">  </w:t>
      </w:r>
      <w:r w:rsidR="002A5BDA">
        <w:rPr>
          <w:rFonts w:ascii="Times New Roman" w:hAnsi="Times New Roman"/>
          <w:u w:val="single"/>
        </w:rPr>
        <w:t>Professional Certificates and Certifications</w:t>
      </w:r>
    </w:p>
    <w:p w:rsidR="00DA0A92" w:rsidRDefault="00DA0A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7455B7" w:rsidRDefault="002015B8" w:rsidP="00361431">
      <w:pPr>
        <w:ind w:left="915"/>
        <w:rPr>
          <w:rFonts w:ascii="Times New Roman" w:hAnsi="Times New Roman"/>
        </w:rPr>
      </w:pPr>
      <w:r w:rsidRPr="00E52415">
        <w:rPr>
          <w:rFonts w:ascii="Times New Roman" w:hAnsi="Times New Roman"/>
          <w:lang w:val="en-CA"/>
        </w:rPr>
        <w:fldChar w:fldCharType="begin"/>
      </w:r>
      <w:r w:rsidR="00E52415" w:rsidRPr="00E52415">
        <w:rPr>
          <w:rFonts w:ascii="Times New Roman" w:hAnsi="Times New Roman"/>
          <w:lang w:val="en-CA"/>
        </w:rPr>
        <w:instrText xml:space="preserve"> SEQ CHAPTER \h \r 1</w:instrText>
      </w:r>
      <w:r w:rsidRPr="00E52415">
        <w:rPr>
          <w:rFonts w:ascii="Times New Roman" w:hAnsi="Times New Roman"/>
          <w:lang w:val="en-CA"/>
        </w:rPr>
        <w:fldChar w:fldCharType="end"/>
      </w:r>
      <w:r w:rsidR="00E52415" w:rsidRPr="00E52415">
        <w:rPr>
          <w:rFonts w:ascii="Times New Roman" w:hAnsi="Times New Roman"/>
        </w:rPr>
        <w:t xml:space="preserve">The </w:t>
      </w:r>
      <w:r w:rsidR="00E30C22">
        <w:rPr>
          <w:rFonts w:ascii="Times New Roman" w:hAnsi="Times New Roman"/>
        </w:rPr>
        <w:t>Professional Certificates and Certifications</w:t>
      </w:r>
      <w:r w:rsidR="00E52415" w:rsidRPr="00E52415">
        <w:rPr>
          <w:rFonts w:ascii="Times New Roman" w:hAnsi="Times New Roman"/>
        </w:rPr>
        <w:t xml:space="preserve"> topical module contains questions on</w:t>
      </w:r>
      <w:r w:rsidR="00E30C22">
        <w:rPr>
          <w:rFonts w:ascii="Times New Roman" w:hAnsi="Times New Roman"/>
        </w:rPr>
        <w:t xml:space="preserve"> the measurement of educational certificates, professional certifications, and licenses</w:t>
      </w:r>
      <w:r w:rsidR="00E52415" w:rsidRPr="00E52415">
        <w:rPr>
          <w:rFonts w:ascii="Times New Roman" w:hAnsi="Times New Roman"/>
        </w:rPr>
        <w:t xml:space="preserve">.  </w:t>
      </w:r>
      <w:r w:rsidR="00E30C22">
        <w:rPr>
          <w:rFonts w:ascii="Times New Roman" w:hAnsi="Times New Roman"/>
        </w:rPr>
        <w:t>Accurate counts of t</w:t>
      </w:r>
      <w:r w:rsidR="00E52415" w:rsidRPr="00E52415">
        <w:rPr>
          <w:rFonts w:ascii="Times New Roman" w:hAnsi="Times New Roman"/>
        </w:rPr>
        <w:t xml:space="preserve">his information will </w:t>
      </w:r>
      <w:r w:rsidR="00E30C22">
        <w:rPr>
          <w:rFonts w:ascii="Times New Roman" w:hAnsi="Times New Roman"/>
        </w:rPr>
        <w:t>enable valuable analyses of the relationship between certification and employment, occupation, and earnings</w:t>
      </w:r>
      <w:r w:rsidR="00D425E8">
        <w:rPr>
          <w:rFonts w:ascii="Times New Roman" w:hAnsi="Times New Roman"/>
        </w:rPr>
        <w:t>.  The data will be us</w:t>
      </w:r>
      <w:r w:rsidR="00D425E8" w:rsidRPr="00D425E8">
        <w:rPr>
          <w:rFonts w:ascii="Times New Roman" w:hAnsi="Times New Roman"/>
        </w:rPr>
        <w:t>ed as part of the ongoing measurement strategy to get bet</w:t>
      </w:r>
      <w:r w:rsidR="00D425E8">
        <w:rPr>
          <w:rFonts w:ascii="Times New Roman" w:hAnsi="Times New Roman"/>
        </w:rPr>
        <w:t xml:space="preserve">ter estimates of certifications </w:t>
      </w:r>
      <w:r w:rsidR="007455B7">
        <w:rPr>
          <w:rFonts w:ascii="Times New Roman" w:hAnsi="Times New Roman"/>
        </w:rPr>
        <w:t>and licenses,</w:t>
      </w:r>
      <w:r w:rsidR="00D425E8">
        <w:rPr>
          <w:rFonts w:ascii="Times New Roman" w:hAnsi="Times New Roman"/>
        </w:rPr>
        <w:t xml:space="preserve"> </w:t>
      </w:r>
      <w:r w:rsidR="00D425E8" w:rsidRPr="00D425E8">
        <w:rPr>
          <w:rFonts w:ascii="Times New Roman" w:hAnsi="Times New Roman"/>
        </w:rPr>
        <w:t xml:space="preserve">as well as certificate holders.  Since these questions constitute our best state of the knowledge </w:t>
      </w:r>
      <w:r w:rsidR="007455B7">
        <w:rPr>
          <w:rFonts w:ascii="Times New Roman" w:hAnsi="Times New Roman"/>
        </w:rPr>
        <w:t xml:space="preserve">in this area </w:t>
      </w:r>
      <w:r w:rsidR="00D425E8" w:rsidRPr="00D425E8">
        <w:rPr>
          <w:rFonts w:ascii="Times New Roman" w:hAnsi="Times New Roman"/>
        </w:rPr>
        <w:t xml:space="preserve">at this point, </w:t>
      </w:r>
      <w:r w:rsidR="007455B7" w:rsidRPr="00D425E8">
        <w:rPr>
          <w:rFonts w:ascii="Times New Roman" w:hAnsi="Times New Roman"/>
        </w:rPr>
        <w:t>we will</w:t>
      </w:r>
      <w:r w:rsidR="00D425E8" w:rsidRPr="00D425E8">
        <w:rPr>
          <w:rFonts w:ascii="Times New Roman" w:hAnsi="Times New Roman"/>
        </w:rPr>
        <w:t xml:space="preserve"> be able to triangulate these estimates </w:t>
      </w:r>
      <w:r w:rsidR="007455B7" w:rsidRPr="00D425E8">
        <w:rPr>
          <w:rFonts w:ascii="Times New Roman" w:hAnsi="Times New Roman"/>
        </w:rPr>
        <w:t>off</w:t>
      </w:r>
      <w:r w:rsidR="00D425E8" w:rsidRPr="00D425E8">
        <w:rPr>
          <w:rFonts w:ascii="Times New Roman" w:hAnsi="Times New Roman"/>
        </w:rPr>
        <w:t xml:space="preserve"> others (such as those from the revis</w:t>
      </w:r>
      <w:r w:rsidR="007455B7">
        <w:rPr>
          <w:rFonts w:ascii="Times New Roman" w:hAnsi="Times New Roman"/>
        </w:rPr>
        <w:t>ed</w:t>
      </w:r>
      <w:r w:rsidR="00D425E8" w:rsidRPr="00D425E8">
        <w:rPr>
          <w:rFonts w:ascii="Times New Roman" w:hAnsi="Times New Roman"/>
        </w:rPr>
        <w:t xml:space="preserve"> NHES).</w:t>
      </w:r>
    </w:p>
    <w:p w:rsidR="006E004C" w:rsidRPr="00E52415" w:rsidRDefault="00D425E8" w:rsidP="00361431">
      <w:pPr>
        <w:ind w:left="915"/>
        <w:rPr>
          <w:rFonts w:ascii="Times New Roman" w:hAnsi="Times New Roman"/>
        </w:rPr>
      </w:pPr>
      <w:r w:rsidRPr="00D425E8">
        <w:rPr>
          <w:rFonts w:ascii="Times New Roman" w:hAnsi="Times New Roman"/>
        </w:rPr>
        <w:br/>
        <w:t xml:space="preserve">Our expectation is that Census and NCES will use the data </w:t>
      </w:r>
      <w:r w:rsidR="007455B7">
        <w:rPr>
          <w:rFonts w:ascii="Times New Roman" w:hAnsi="Times New Roman"/>
        </w:rPr>
        <w:t xml:space="preserve">from the </w:t>
      </w:r>
      <w:r w:rsidR="007455B7" w:rsidRPr="007455B7">
        <w:rPr>
          <w:rFonts w:ascii="Times New Roman" w:hAnsi="Times New Roman"/>
        </w:rPr>
        <w:t>Professional Certificates and Certifications topical module</w:t>
      </w:r>
      <w:r w:rsidR="007455B7">
        <w:rPr>
          <w:rFonts w:ascii="Times New Roman" w:hAnsi="Times New Roman"/>
        </w:rPr>
        <w:t xml:space="preserve"> </w:t>
      </w:r>
      <w:r w:rsidRPr="00D425E8">
        <w:rPr>
          <w:rFonts w:ascii="Times New Roman" w:hAnsi="Times New Roman"/>
        </w:rPr>
        <w:t xml:space="preserve">in a series of methodology papers as well as </w:t>
      </w:r>
      <w:r w:rsidR="007455B7">
        <w:rPr>
          <w:rFonts w:ascii="Times New Roman" w:hAnsi="Times New Roman"/>
        </w:rPr>
        <w:t>a</w:t>
      </w:r>
      <w:r w:rsidRPr="00D425E8">
        <w:rPr>
          <w:rFonts w:ascii="Times New Roman" w:hAnsi="Times New Roman"/>
        </w:rPr>
        <w:t xml:space="preserve"> report that will provide general population estimates of certification holders and their labor force activities.</w:t>
      </w:r>
    </w:p>
    <w:p w:rsidR="00975A90" w:rsidRDefault="00975A9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Use of Information Technology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headerReference w:type="default" r:id="rId9"/>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 xml:space="preserve">The survey </w:t>
      </w:r>
      <w:proofErr w:type="gramStart"/>
      <w:r>
        <w:rPr>
          <w:rFonts w:ascii="Times New Roman" w:hAnsi="Times New Roman"/>
        </w:rPr>
        <w:t>is administered</w:t>
      </w:r>
      <w:proofErr w:type="gramEnd"/>
      <w:r>
        <w:rPr>
          <w:rFonts w:ascii="Times New Roman" w:hAnsi="Times New Roman"/>
        </w:rPr>
        <w:t xml:space="preserve"> using computer-assisted personal interviewing (CAPI) methodologies.  The Census Bureau field representatives (FR) collect the data from respondents using laptop computers and the data </w:t>
      </w:r>
      <w:proofErr w:type="gramStart"/>
      <w:r>
        <w:rPr>
          <w:rFonts w:ascii="Times New Roman" w:hAnsi="Times New Roman"/>
        </w:rPr>
        <w:t>are transmitted</w:t>
      </w:r>
      <w:proofErr w:type="gramEnd"/>
      <w:r>
        <w:rPr>
          <w:rFonts w:ascii="Times New Roman" w:hAnsi="Times New Roman"/>
        </w:rPr>
        <w:t xml:space="preserve"> to the Census Bureau Headquarters via high-speed modems.  Automation significantly enhances our efforts to collect high quality data with skip instructions programmed into the instrument and with information obtained in earlier interview segments fed back to the respondent.  Response burden </w:t>
      </w:r>
      <w:proofErr w:type="gramStart"/>
      <w:r>
        <w:rPr>
          <w:rFonts w:ascii="Times New Roman" w:hAnsi="Times New Roman"/>
        </w:rPr>
        <w:t>can be minimized</w:t>
      </w:r>
      <w:proofErr w:type="gramEnd"/>
      <w:r>
        <w:rPr>
          <w:rFonts w:ascii="Times New Roman" w:hAnsi="Times New Roman"/>
        </w:rPr>
        <w:t xml:space="preserve"> by incorporating design features that make it easier to collect and record respondent information.  Appropriate screening and lead in questions, which serve to skip respondents out of sections of the questionnaire that are not relevant or applicable, </w:t>
      </w:r>
      <w:proofErr w:type="gramStart"/>
      <w:r>
        <w:rPr>
          <w:rFonts w:ascii="Times New Roman" w:hAnsi="Times New Roman"/>
        </w:rPr>
        <w:t>are built</w:t>
      </w:r>
      <w:proofErr w:type="gramEnd"/>
      <w:r>
        <w:rPr>
          <w:rFonts w:ascii="Times New Roman" w:hAnsi="Times New Roman"/>
        </w:rPr>
        <w:t xml:space="preserve"> into the automated instrument.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D77EA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Preliminary analysis from an Internet field test conducted by the SIPP Methods Panel in August and September 2000 indicated that using the </w:t>
      </w:r>
      <w:proofErr w:type="gramStart"/>
      <w:r>
        <w:rPr>
          <w:rFonts w:ascii="Times New Roman" w:hAnsi="Times New Roman"/>
        </w:rPr>
        <w:t>Internet</w:t>
      </w:r>
      <w:proofErr w:type="gramEnd"/>
      <w:r>
        <w:rPr>
          <w:rFonts w:ascii="Times New Roman" w:hAnsi="Times New Roman"/>
        </w:rPr>
        <w:t xml:space="preserve"> as a mode of collection for a complex demographic survey such as SIPP is not feasible.  The conclusions of the test indicated that Internet survey technology is not currently sophisticated enough to handle the complexity of the SIPP survey and the complicated skip pattern and </w:t>
      </w:r>
      <w:proofErr w:type="spellStart"/>
      <w:r>
        <w:rPr>
          <w:rFonts w:ascii="Times New Roman" w:hAnsi="Times New Roman"/>
        </w:rPr>
        <w:t>rostering</w:t>
      </w:r>
      <w:proofErr w:type="spellEnd"/>
      <w:r>
        <w:rPr>
          <w:rFonts w:ascii="Times New Roman" w:hAnsi="Times New Roman"/>
        </w:rPr>
        <w:t xml:space="preserve"> requirements.  A low response rate combined with technological challenges and limitations indicate that the costs of converting a complex questionnaire to an online survey far outweigh the benefits even in a multimode environment.  The final report is available upon request. </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ab/>
      </w:r>
    </w:p>
    <w:p w:rsidR="00E52415" w:rsidRDefault="00E5241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Efforts to Identify Duplication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924B0F" w:rsidRDefault="00E70CEA" w:rsidP="00D77EA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demographic data collected in the SIPP must be collected in </w:t>
      </w:r>
      <w:proofErr w:type="spellStart"/>
      <w:r>
        <w:rPr>
          <w:rFonts w:ascii="Times New Roman" w:hAnsi="Times New Roman"/>
        </w:rPr>
        <w:t>conjuction</w:t>
      </w:r>
      <w:proofErr w:type="spellEnd"/>
      <w:r>
        <w:rPr>
          <w:rFonts w:ascii="Times New Roman" w:hAnsi="Times New Roman"/>
        </w:rPr>
        <w:t xml:space="preserve"> with the labor force and program participation data in order for the information to be most useful; therefore, although we collect demographic data in </w:t>
      </w:r>
      <w:proofErr w:type="spellStart"/>
      <w:r>
        <w:rPr>
          <w:rFonts w:ascii="Times New Roman" w:hAnsi="Times New Roman"/>
        </w:rPr>
        <w:t>conjuction</w:t>
      </w:r>
      <w:proofErr w:type="spellEnd"/>
      <w:r>
        <w:rPr>
          <w:rFonts w:ascii="Times New Roman" w:hAnsi="Times New Roman"/>
        </w:rPr>
        <w:t xml:space="preserve"> with almost all surveys, we need to continue its present collection in the SIPP.  There is no other current data source available that provides a comprehensive set of statistics for analysis as described in question </w:t>
      </w:r>
      <w:proofErr w:type="gramStart"/>
      <w:r>
        <w:rPr>
          <w:rFonts w:ascii="Times New Roman" w:hAnsi="Times New Roman"/>
        </w:rPr>
        <w:t>2</w:t>
      </w:r>
      <w:proofErr w:type="gramEnd"/>
      <w:r>
        <w:rPr>
          <w:rFonts w:ascii="Times New Roman" w:hAnsi="Times New Roman"/>
        </w:rPr>
        <w:t xml:space="preserve"> above.</w:t>
      </w:r>
    </w:p>
    <w:p w:rsidR="00D77EAB" w:rsidRDefault="00D77EAB" w:rsidP="00D77EA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r>
        <w:rPr>
          <w:rFonts w:ascii="Times New Roman" w:hAnsi="Times New Roman"/>
        </w:rPr>
        <w:lastRenderedPageBreak/>
        <w:t>5.</w:t>
      </w:r>
      <w:r>
        <w:rPr>
          <w:rFonts w:ascii="Times New Roman" w:hAnsi="Times New Roman"/>
        </w:rPr>
        <w:tab/>
      </w:r>
      <w:r>
        <w:rPr>
          <w:rFonts w:ascii="Times New Roman" w:hAnsi="Times New Roman"/>
          <w:u w:val="single"/>
        </w:rPr>
        <w:t>Minimizing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uses appropriate technology to keep respondent burden to a minimum.  Examples of technology used to minimize respondent burden include:  use of appropriate screening and lead in questions that serve to skip respondents out of sections of the CAPI instrument that are not relevant or applicable to them; use of flash cards to aid respondents with multiple response categories; and arrangement of</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roofErr w:type="gramStart"/>
      <w:r>
        <w:rPr>
          <w:rFonts w:ascii="Times New Roman" w:hAnsi="Times New Roman"/>
        </w:rPr>
        <w:t>questions</w:t>
      </w:r>
      <w:proofErr w:type="gramEnd"/>
      <w:r>
        <w:rPr>
          <w:rFonts w:ascii="Times New Roman" w:hAnsi="Times New Roman"/>
        </w:rPr>
        <w:t xml:space="preserve"> and sections of the CAPI instrument that facilitate the flow of administration from one topic area to another.</w:t>
      </w:r>
      <w:r w:rsidR="00B07429">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361431" w:rsidRDefault="000C691B" w:rsidP="0055075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w:t>
      </w:r>
      <w:proofErr w:type="gramStart"/>
      <w:r>
        <w:rPr>
          <w:rFonts w:ascii="Times New Roman" w:hAnsi="Times New Roman"/>
        </w:rPr>
        <w:t>is designed</w:t>
      </w:r>
      <w:proofErr w:type="gramEnd"/>
      <w:r>
        <w:rPr>
          <w:rFonts w:ascii="Times New Roman" w:hAnsi="Times New Roman"/>
        </w:rPr>
        <w:t xml:space="preserve"> as a continuing series of national panels of interviewed households that are introduced every few years, with each panel having durations typically of 3 to </w:t>
      </w:r>
      <w:r w:rsidR="00CC0A4D">
        <w:rPr>
          <w:rFonts w:ascii="Times New Roman" w:hAnsi="Times New Roman"/>
        </w:rPr>
        <w:t>6</w:t>
      </w:r>
      <w:r>
        <w:rPr>
          <w:rFonts w:ascii="Times New Roman" w:hAnsi="Times New Roman"/>
        </w:rPr>
        <w:t xml:space="preserve"> years.  The 2008 Panel is scheduled for </w:t>
      </w:r>
      <w:r w:rsidR="007024FA">
        <w:rPr>
          <w:rFonts w:ascii="Times New Roman" w:hAnsi="Times New Roman"/>
        </w:rPr>
        <w:t>approximately</w:t>
      </w:r>
      <w:r w:rsidR="00CC0A4D">
        <w:rPr>
          <w:rFonts w:ascii="Times New Roman" w:hAnsi="Times New Roman"/>
        </w:rPr>
        <w:t xml:space="preserve"> 6 </w:t>
      </w:r>
      <w:r>
        <w:rPr>
          <w:rFonts w:ascii="Times New Roman" w:hAnsi="Times New Roman"/>
        </w:rPr>
        <w:t xml:space="preserve">years and includes </w:t>
      </w:r>
      <w:r w:rsidR="00550753">
        <w:rPr>
          <w:rFonts w:ascii="Times New Roman" w:hAnsi="Times New Roman"/>
        </w:rPr>
        <w:t>sixteen</w:t>
      </w:r>
      <w:r>
        <w:rPr>
          <w:rFonts w:ascii="Times New Roman" w:hAnsi="Times New Roman"/>
        </w:rPr>
        <w:t xml:space="preserve"> </w:t>
      </w:r>
      <w:proofErr w:type="gramStart"/>
      <w:r>
        <w:rPr>
          <w:rFonts w:ascii="Times New Roman" w:hAnsi="Times New Roman"/>
        </w:rPr>
        <w:t>waves which</w:t>
      </w:r>
      <w:proofErr w:type="gramEnd"/>
      <w:r>
        <w:rPr>
          <w:rFonts w:ascii="Times New Roman" w:hAnsi="Times New Roman"/>
        </w:rPr>
        <w:t xml:space="preserve"> began September 1, 2008.  The survey uses a </w:t>
      </w:r>
      <w:proofErr w:type="gramStart"/>
      <w:r>
        <w:rPr>
          <w:rFonts w:ascii="Times New Roman" w:hAnsi="Times New Roman"/>
        </w:rPr>
        <w:t>4 month</w:t>
      </w:r>
      <w:proofErr w:type="gramEnd"/>
      <w:r>
        <w:rPr>
          <w:rFonts w:ascii="Times New Roman" w:hAnsi="Times New Roman"/>
        </w:rPr>
        <w:t xml:space="preserve"> recall period with approximately one</w:t>
      </w:r>
      <w:r>
        <w:rPr>
          <w:rFonts w:ascii="Times New Roman" w:hAnsi="Times New Roman"/>
        </w:rPr>
        <w:noBreakHyphen/>
        <w:t xml:space="preserve">fourth of the sample households being interviewed each month.  A less frequent data collection schedule could cause a reduction in the accuracy of reporting due to memory decay.  </w:t>
      </w:r>
      <w:proofErr w:type="gramStart"/>
      <w:r>
        <w:rPr>
          <w:rFonts w:ascii="Times New Roman" w:hAnsi="Times New Roman"/>
        </w:rPr>
        <w:t>Also</w:t>
      </w:r>
      <w:proofErr w:type="gramEnd"/>
      <w:r>
        <w:rPr>
          <w:rFonts w:ascii="Times New Roman" w:hAnsi="Times New Roman"/>
        </w:rPr>
        <w:t>, a major feature of the SIPP is that it produces a time series of data as described above.  Breaks in the series arising from cessation of the interviewing would limit the data's usability.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Special Circumstances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2A5BDA" w:rsidRDefault="000C691B" w:rsidP="006E004C">
      <w:pPr>
        <w:widowControl/>
        <w:tabs>
          <w:tab w:val="right" w:pos="9360"/>
        </w:tabs>
        <w:ind w:left="950"/>
        <w:outlineLvl w:val="0"/>
        <w:rPr>
          <w:rFonts w:ascii="Times New Roman" w:hAnsi="Times New Roman"/>
        </w:rPr>
      </w:pPr>
      <w:r>
        <w:rPr>
          <w:rFonts w:ascii="Times New Roman" w:hAnsi="Times New Roman"/>
        </w:rPr>
        <w:t xml:space="preserve">There are no special circumstances associated with this clearance request. </w:t>
      </w:r>
    </w:p>
    <w:p w:rsidR="000C691B" w:rsidRDefault="000C691B" w:rsidP="006E004C">
      <w:pPr>
        <w:widowControl/>
        <w:tabs>
          <w:tab w:val="right" w:pos="9360"/>
        </w:tabs>
        <w:ind w:left="950"/>
        <w:outlineLvl w:val="0"/>
        <w:rPr>
          <w:rFonts w:ascii="Times New Roman" w:hAnsi="Times New Roman"/>
        </w:rPr>
      </w:pPr>
      <w:r>
        <w:rPr>
          <w:rFonts w:ascii="Times New Roman" w:hAnsi="Times New Roman"/>
        </w:rPr>
        <w:tab/>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outlineLvl w:val="0"/>
        <w:rPr>
          <w:rFonts w:ascii="Times New Roman" w:hAnsi="Times New Roman"/>
        </w:rPr>
      </w:pPr>
      <w:r>
        <w:rPr>
          <w:rFonts w:ascii="Times New Roman" w:hAnsi="Times New Roman"/>
        </w:rPr>
        <w:t xml:space="preserve"> </w:t>
      </w:r>
      <w:r>
        <w:rPr>
          <w:rFonts w:ascii="Times New Roman" w:hAnsi="Times New Roman"/>
        </w:rPr>
        <w:tab/>
        <w:t>8.</w:t>
      </w:r>
      <w:r>
        <w:rPr>
          <w:rFonts w:ascii="Times New Roman" w:hAnsi="Times New Roman"/>
        </w:rPr>
        <w:tab/>
      </w:r>
      <w:r>
        <w:rPr>
          <w:rFonts w:ascii="Times New Roman" w:hAnsi="Times New Roman"/>
          <w:u w:val="single"/>
        </w:rPr>
        <w:t xml:space="preserve">Consultations </w:t>
      </w:r>
      <w:proofErr w:type="gramStart"/>
      <w:r>
        <w:rPr>
          <w:rFonts w:ascii="Times New Roman" w:hAnsi="Times New Roman"/>
          <w:u w:val="single"/>
        </w:rPr>
        <w:t>Outside</w:t>
      </w:r>
      <w:proofErr w:type="gramEnd"/>
      <w:r>
        <w:rPr>
          <w:rFonts w:ascii="Times New Roman" w:hAnsi="Times New Roman"/>
          <w:u w:val="single"/>
        </w:rPr>
        <w:t xml:space="preserve"> the Agency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OMB established an Interagency Advisory Committee to provide guidance for the content and procedures for the SIPP.  That committee along with the subcommittee on the topical modules has worked actively with the Census Bureau to assure that the SIPP </w:t>
      </w:r>
      <w:proofErr w:type="gramStart"/>
      <w:r>
        <w:rPr>
          <w:rFonts w:ascii="Times New Roman" w:hAnsi="Times New Roman"/>
        </w:rPr>
        <w:t>content and procedures collect the appropriate data</w:t>
      </w:r>
      <w:proofErr w:type="gramEnd"/>
      <w:r>
        <w:rPr>
          <w:rFonts w:ascii="Times New Roman" w:hAnsi="Times New Roman"/>
        </w:rPr>
        <w:t xml:space="preserve"> and that duplications between surveys are minimized to the extent possible.</w:t>
      </w:r>
    </w:p>
    <w:p w:rsidR="004A39B6" w:rsidRDefault="004A39B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sectPr w:rsidR="000C691B">
          <w:type w:val="continuous"/>
          <w:pgSz w:w="12240" w:h="15840"/>
          <w:pgMar w:top="1440" w:right="1440" w:bottom="1440" w:left="1440" w:header="1440" w:footer="1440" w:gutter="0"/>
          <w:cols w:space="720"/>
          <w:noEndnote/>
        </w:sectPr>
      </w:pPr>
    </w:p>
    <w:p w:rsidR="000C691B" w:rsidRPr="007024FA"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color w:val="0070C0"/>
        </w:rPr>
      </w:pPr>
      <w:r>
        <w:rPr>
          <w:rFonts w:ascii="Times New Roman" w:hAnsi="Times New Roman"/>
        </w:rPr>
        <w:lastRenderedPageBreak/>
        <w:t xml:space="preserve">We published a notice in the </w:t>
      </w:r>
      <w:r>
        <w:rPr>
          <w:rFonts w:ascii="Times New Roman" w:hAnsi="Times New Roman"/>
          <w:i/>
          <w:iCs/>
        </w:rPr>
        <w:t>Federal Register</w:t>
      </w:r>
      <w:r>
        <w:rPr>
          <w:rFonts w:ascii="Times New Roman" w:hAnsi="Times New Roman"/>
        </w:rPr>
        <w:t xml:space="preserve"> on</w:t>
      </w:r>
      <w:r w:rsidR="004A39B6">
        <w:rPr>
          <w:rFonts w:ascii="Times New Roman" w:hAnsi="Times New Roman"/>
        </w:rPr>
        <w:t xml:space="preserve"> </w:t>
      </w:r>
      <w:r w:rsidR="00B07429">
        <w:rPr>
          <w:rFonts w:ascii="Times New Roman" w:hAnsi="Times New Roman"/>
        </w:rPr>
        <w:t>December 22</w:t>
      </w:r>
      <w:r w:rsidR="006D5159">
        <w:rPr>
          <w:rFonts w:ascii="Times New Roman" w:hAnsi="Times New Roman"/>
        </w:rPr>
        <w:t xml:space="preserve">, </w:t>
      </w:r>
      <w:r w:rsidR="004A39B6">
        <w:rPr>
          <w:rFonts w:ascii="Times New Roman" w:hAnsi="Times New Roman"/>
        </w:rPr>
        <w:t>201</w:t>
      </w:r>
      <w:r w:rsidR="006D5159">
        <w:rPr>
          <w:rFonts w:ascii="Times New Roman" w:hAnsi="Times New Roman"/>
        </w:rPr>
        <w:t>1</w:t>
      </w:r>
      <w:r w:rsidR="004A39B6">
        <w:rPr>
          <w:rFonts w:ascii="Times New Roman" w:hAnsi="Times New Roman"/>
        </w:rPr>
        <w:t>, Vol. 7</w:t>
      </w:r>
      <w:r w:rsidR="006D5159">
        <w:rPr>
          <w:rFonts w:ascii="Times New Roman" w:hAnsi="Times New Roman"/>
        </w:rPr>
        <w:t>6</w:t>
      </w:r>
      <w:r w:rsidR="004A39B6">
        <w:rPr>
          <w:rFonts w:ascii="Times New Roman" w:hAnsi="Times New Roman"/>
        </w:rPr>
        <w:t xml:space="preserve">, </w:t>
      </w:r>
      <w:r>
        <w:rPr>
          <w:rFonts w:ascii="Times New Roman" w:hAnsi="Times New Roman"/>
        </w:rPr>
        <w:t>No.</w:t>
      </w:r>
      <w:r w:rsidR="006D5159">
        <w:rPr>
          <w:rFonts w:ascii="Times New Roman" w:hAnsi="Times New Roman"/>
        </w:rPr>
        <w:t xml:space="preserve"> </w:t>
      </w:r>
      <w:r w:rsidR="00B07429">
        <w:rPr>
          <w:rFonts w:ascii="Times New Roman" w:hAnsi="Times New Roman"/>
        </w:rPr>
        <w:t>246</w:t>
      </w:r>
      <w:r>
        <w:rPr>
          <w:rFonts w:ascii="Times New Roman" w:hAnsi="Times New Roman"/>
        </w:rPr>
        <w:t xml:space="preserve">, page </w:t>
      </w:r>
      <w:r w:rsidR="00B07429">
        <w:rPr>
          <w:rFonts w:ascii="Times New Roman" w:hAnsi="Times New Roman"/>
        </w:rPr>
        <w:t>79,650</w:t>
      </w:r>
      <w:r>
        <w:rPr>
          <w:rFonts w:ascii="Times New Roman" w:hAnsi="Times New Roman"/>
        </w:rPr>
        <w:t xml:space="preserve">, inviting public comment on our plans to submit this request. </w:t>
      </w:r>
      <w:r w:rsidR="007024FA">
        <w:rPr>
          <w:rFonts w:ascii="Times New Roman" w:hAnsi="Times New Roman"/>
        </w:rPr>
        <w:t xml:space="preserve"> </w:t>
      </w:r>
      <w:r w:rsidRPr="007024FA">
        <w:rPr>
          <w:rFonts w:ascii="Times New Roman" w:hAnsi="Times New Roman"/>
        </w:rPr>
        <w:t xml:space="preserve">We received </w:t>
      </w:r>
      <w:r w:rsidR="006D5159">
        <w:rPr>
          <w:rFonts w:ascii="Times New Roman" w:hAnsi="Times New Roman"/>
        </w:rPr>
        <w:t>one comment generally opposing collection</w:t>
      </w:r>
      <w:r w:rsidR="007024FA" w:rsidRPr="007024FA">
        <w:rPr>
          <w:rFonts w:ascii="Times New Roman" w:hAnsi="Times New Roman"/>
        </w:rPr>
        <w:t>.</w:t>
      </w:r>
      <w:r w:rsidRPr="007024FA">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Paying Respondents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w:t>
      </w:r>
      <w:r w:rsidR="005D6B54">
        <w:rPr>
          <w:rFonts w:ascii="Times New Roman" w:hAnsi="Times New Roman"/>
        </w:rPr>
        <w:t>’</w:t>
      </w:r>
      <w:r>
        <w:rPr>
          <w:rFonts w:ascii="Times New Roman" w:hAnsi="Times New Roman"/>
        </w:rPr>
        <w:t xml:space="preserve">s plans are to continue the Incentive Test during the remaining waves of the 2008 Panel as described in the Memorandum from Ruth Ann </w:t>
      </w:r>
      <w:proofErr w:type="spellStart"/>
      <w:r>
        <w:rPr>
          <w:rFonts w:ascii="Times New Roman" w:hAnsi="Times New Roman"/>
        </w:rPr>
        <w:t>Killion</w:t>
      </w:r>
      <w:proofErr w:type="spellEnd"/>
      <w:r>
        <w:rPr>
          <w:rFonts w:ascii="Times New Roman" w:hAnsi="Times New Roman"/>
        </w:rPr>
        <w:t xml:space="preserve"> to Brian Harris-</w:t>
      </w:r>
      <w:proofErr w:type="spellStart"/>
      <w:r>
        <w:rPr>
          <w:rFonts w:ascii="Times New Roman" w:hAnsi="Times New Roman"/>
        </w:rPr>
        <w:t>Kojetin</w:t>
      </w:r>
      <w:proofErr w:type="spellEnd"/>
      <w:r>
        <w:rPr>
          <w:rFonts w:ascii="Times New Roman" w:hAnsi="Times New Roman"/>
        </w:rPr>
        <w:t xml:space="preserve"> dated July 2, 2008, with the subject </w:t>
      </w:r>
      <w:r w:rsidR="00555A4B">
        <w:rPr>
          <w:rFonts w:ascii="Times New Roman" w:hAnsi="Times New Roman"/>
        </w:rPr>
        <w:t>“</w:t>
      </w:r>
      <w:r>
        <w:rPr>
          <w:rFonts w:ascii="Times New Roman" w:hAnsi="Times New Roman"/>
        </w:rPr>
        <w:t>SIPP 2008:</w:t>
      </w:r>
      <w:r w:rsidR="002A5BDA">
        <w:rPr>
          <w:rFonts w:ascii="Times New Roman" w:hAnsi="Times New Roman"/>
        </w:rPr>
        <w:t xml:space="preserve"> </w:t>
      </w:r>
      <w:r>
        <w:rPr>
          <w:rFonts w:ascii="Times New Roman" w:hAnsi="Times New Roman"/>
        </w:rPr>
        <w:t xml:space="preserve"> Incentive Test (ALYS-4).</w:t>
      </w:r>
      <w:r w:rsidR="00E44D4B">
        <w:rPr>
          <w:rFonts w:ascii="Times New Roman" w:hAnsi="Times New Roman"/>
        </w:rPr>
        <w:t>”</w:t>
      </w:r>
      <w:r>
        <w:rPr>
          <w:rFonts w:ascii="Times New Roman" w:hAnsi="Times New Roman"/>
        </w:rPr>
        <w:t xml:space="preserve">  During Wave 1, 25 percent of the respondents </w:t>
      </w:r>
      <w:proofErr w:type="gramStart"/>
      <w:r>
        <w:rPr>
          <w:rFonts w:ascii="Times New Roman" w:hAnsi="Times New Roman"/>
        </w:rPr>
        <w:t>were sent</w:t>
      </w:r>
      <w:proofErr w:type="gramEnd"/>
      <w:r>
        <w:rPr>
          <w:rFonts w:ascii="Times New Roman" w:hAnsi="Times New Roman"/>
        </w:rPr>
        <w:t xml:space="preserve"> a $20 incentive with the Advance Letter, 25 percent were eligible for a $40 discretionary incentive, and </w:t>
      </w:r>
      <w:r>
        <w:rPr>
          <w:rFonts w:ascii="Times New Roman" w:hAnsi="Times New Roman"/>
        </w:rPr>
        <w:lastRenderedPageBreak/>
        <w:t xml:space="preserve">50 percent were assigned to the control group and not eligible for an incentive.  In Wave </w:t>
      </w:r>
      <w:proofErr w:type="gramStart"/>
      <w:r>
        <w:rPr>
          <w:rFonts w:ascii="Times New Roman" w:hAnsi="Times New Roman"/>
        </w:rPr>
        <w:t>2+</w:t>
      </w:r>
      <w:proofErr w:type="gramEnd"/>
      <w:r>
        <w:rPr>
          <w:rFonts w:ascii="Times New Roman" w:hAnsi="Times New Roman"/>
        </w:rPr>
        <w:t xml:space="preserve"> the same 25 percent of respondents continue to be eligible for the $40 discretionary incentives at each wave.  The incentive is in the form of a debit card with a unique PIN </w:t>
      </w:r>
      <w:proofErr w:type="gramStart"/>
      <w:r>
        <w:rPr>
          <w:rFonts w:ascii="Times New Roman" w:hAnsi="Times New Roman"/>
        </w:rPr>
        <w:t>number which</w:t>
      </w:r>
      <w:proofErr w:type="gramEnd"/>
      <w:r>
        <w:rPr>
          <w:rFonts w:ascii="Times New Roman" w:hAnsi="Times New Roman"/>
        </w:rPr>
        <w:t xml:space="preserve"> can be cashed at any ATM machine.  The </w:t>
      </w:r>
      <w:proofErr w:type="gramStart"/>
      <w:r>
        <w:rPr>
          <w:rFonts w:ascii="Times New Roman" w:hAnsi="Times New Roman"/>
        </w:rPr>
        <w:t>discretionary incentive is offered by the FR at the point the respondent is clearly planning to leave the survey and is used to persuade them to respond</w:t>
      </w:r>
      <w:proofErr w:type="gramEnd"/>
      <w:r>
        <w:rPr>
          <w:rFonts w:ascii="Times New Roman" w:hAnsi="Times New Roman"/>
        </w:rPr>
        <w:t xml:space="preserve">.  The FR makes clear at the time the incentive </w:t>
      </w:r>
      <w:proofErr w:type="gramStart"/>
      <w:r>
        <w:rPr>
          <w:rFonts w:ascii="Times New Roman" w:hAnsi="Times New Roman"/>
        </w:rPr>
        <w:t>is offered</w:t>
      </w:r>
      <w:proofErr w:type="gramEnd"/>
      <w:r>
        <w:rPr>
          <w:rFonts w:ascii="Times New Roman" w:hAnsi="Times New Roman"/>
        </w:rPr>
        <w:t xml:space="preserve"> that a complete interview is required before the debit card and unique PIN number is given. </w:t>
      </w:r>
    </w:p>
    <w:p w:rsidR="00F23259" w:rsidRDefault="00F232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5702"/>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We are conducting this survey under the authority of Title 13, United States Code, </w:t>
      </w:r>
      <w:proofErr w:type="gramStart"/>
      <w:r>
        <w:rPr>
          <w:rFonts w:ascii="Times New Roman" w:hAnsi="Times New Roman"/>
        </w:rPr>
        <w:t>Section</w:t>
      </w:r>
      <w:proofErr w:type="gramEnd"/>
      <w:r>
        <w:rPr>
          <w:rFonts w:ascii="Times New Roman" w:hAnsi="Times New Roman"/>
        </w:rPr>
        <w:t xml:space="preserve"> 182.  Section 9 of this law requires us to keep all information strictly confidential.  Each wave, a letter from the Director of the Census Bureau </w:t>
      </w:r>
      <w:proofErr w:type="gramStart"/>
      <w:r>
        <w:rPr>
          <w:rFonts w:ascii="Times New Roman" w:hAnsi="Times New Roman"/>
        </w:rPr>
        <w:t>is sent</w:t>
      </w:r>
      <w:proofErr w:type="gramEnd"/>
      <w:r>
        <w:rPr>
          <w:rFonts w:ascii="Times New Roman" w:hAnsi="Times New Roman"/>
        </w:rPr>
        <w:t xml:space="preserve"> to each household.</w:t>
      </w:r>
      <w:r w:rsidR="001D74ED">
        <w:rPr>
          <w:rFonts w:ascii="Times New Roman" w:hAnsi="Times New Roman"/>
        </w:rPr>
        <w:t xml:space="preserve"> </w:t>
      </w:r>
      <w:r>
        <w:rPr>
          <w:rFonts w:ascii="Times New Roman" w:hAnsi="Times New Roman"/>
        </w:rPr>
        <w:t xml:space="preserve"> This letter informs respondents of the confidentiality of their responses and the voluntary nature of the survey. (Attachment</w:t>
      </w:r>
      <w:r w:rsidR="00146203">
        <w:rPr>
          <w:rFonts w:ascii="Times New Roman" w:hAnsi="Times New Roman"/>
        </w:rPr>
        <w:t>s</w:t>
      </w:r>
      <w:r>
        <w:rPr>
          <w:rFonts w:ascii="Times New Roman" w:hAnsi="Times New Roman"/>
        </w:rPr>
        <w:t xml:space="preserve"> B</w:t>
      </w:r>
      <w:r w:rsidR="00146203">
        <w:rPr>
          <w:rFonts w:ascii="Times New Roman" w:hAnsi="Times New Roman"/>
        </w:rPr>
        <w:t xml:space="preserve"> and C</w:t>
      </w:r>
      <w:r w:rsidR="00F3294F">
        <w:rPr>
          <w:rFonts w:ascii="Times New Roman" w:hAnsi="Times New Roman"/>
        </w:rPr>
        <w:t>)</w:t>
      </w:r>
      <w:r>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sources of income and assets are among the kinds of data collected and </w:t>
      </w:r>
      <w:proofErr w:type="gramStart"/>
      <w:r>
        <w:rPr>
          <w:rFonts w:ascii="Times New Roman" w:hAnsi="Times New Roman"/>
        </w:rPr>
        <w:t>may be considered</w:t>
      </w:r>
      <w:proofErr w:type="gramEnd"/>
      <w:r>
        <w:rPr>
          <w:rFonts w:ascii="Times New Roman" w:hAnsi="Times New Roman"/>
        </w:rPr>
        <w:t xml:space="preserve"> to be of a sensitive nature.  </w:t>
      </w:r>
      <w:proofErr w:type="gramStart"/>
      <w:r>
        <w:rPr>
          <w:rFonts w:ascii="Times New Roman" w:hAnsi="Times New Roman"/>
        </w:rPr>
        <w:t>The Census Bureau takes the position that the collection of these types of data is necessary for the analysis of important policy and program issues and has structured the questions to lessen their sensitivity.</w:t>
      </w:r>
      <w:proofErr w:type="gramEnd"/>
      <w:r>
        <w:rPr>
          <w:rFonts w:ascii="Times New Roman" w:hAnsi="Times New Roman"/>
        </w:rPr>
        <w:t xml:space="preserve">  </w:t>
      </w: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77EAB" w:rsidRDefault="00D77EA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6E004C" w:rsidRDefault="006E004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B74F3" w:rsidRDefault="000C691B" w:rsidP="006E004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Based on our experience with the 1996, 2001, and 2004 SIPP panels and in-house testing, the burden estimates for FY 201</w:t>
      </w:r>
      <w:r w:rsidR="00BA7CD6">
        <w:rPr>
          <w:rFonts w:ascii="Times New Roman" w:hAnsi="Times New Roman"/>
        </w:rPr>
        <w:t>2</w:t>
      </w:r>
      <w:r>
        <w:rPr>
          <w:rFonts w:ascii="Times New Roman" w:hAnsi="Times New Roman"/>
        </w:rPr>
        <w:t xml:space="preserve"> are as follows:</w:t>
      </w:r>
      <w:r>
        <w:rPr>
          <w:rFonts w:ascii="Times New Roman" w:hAnsi="Times New Roman"/>
        </w:rPr>
        <w:tab/>
      </w:r>
    </w:p>
    <w:p w:rsidR="00924B0F" w:rsidRDefault="00924B0F" w:rsidP="001F0CB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outlineLvl w:val="0"/>
        <w:rPr>
          <w:rFonts w:ascii="Times New Roman" w:hAnsi="Times New Roman"/>
        </w:rPr>
      </w:pPr>
    </w:p>
    <w:p w:rsidR="000C691B" w:rsidRDefault="00890ECE" w:rsidP="001F0CB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outlineLvl w:val="0"/>
        <w:rPr>
          <w:rFonts w:ascii="Times New Roman" w:hAnsi="Times New Roman"/>
          <w:b/>
          <w:bCs/>
        </w:rPr>
      </w:pPr>
      <w:r>
        <w:rPr>
          <w:rFonts w:ascii="Times New Roman" w:hAnsi="Times New Roman"/>
        </w:rPr>
        <w:tab/>
      </w:r>
      <w:r w:rsidR="000C691B">
        <w:rPr>
          <w:rFonts w:ascii="Times New Roman" w:hAnsi="Times New Roman"/>
          <w:b/>
          <w:bCs/>
        </w:rPr>
        <w:t>2008 SIPP PANEL</w:t>
      </w:r>
    </w:p>
    <w:p w:rsidR="000C691B" w:rsidRDefault="000C691B" w:rsidP="001F0CB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outlineLvl w:val="0"/>
        <w:rPr>
          <w:rFonts w:ascii="Times New Roman" w:hAnsi="Times New Roman"/>
        </w:rPr>
      </w:pPr>
      <w:r>
        <w:rPr>
          <w:rFonts w:ascii="Times New Roman" w:hAnsi="Times New Roman"/>
          <w:b/>
          <w:bCs/>
        </w:rPr>
        <w:tab/>
        <w:t>FY 201</w:t>
      </w:r>
      <w:r w:rsidR="00BA7CD6">
        <w:rPr>
          <w:rFonts w:ascii="Times New Roman" w:hAnsi="Times New Roman"/>
          <w:b/>
          <w:bCs/>
        </w:rPr>
        <w:t>2</w:t>
      </w:r>
      <w:r>
        <w:rPr>
          <w:rFonts w:ascii="Times New Roman" w:hAnsi="Times New Roman"/>
          <w:b/>
          <w:bCs/>
        </w:rPr>
        <w:t xml:space="preserve"> BURDEN HOUR SUMMARY</w:t>
      </w:r>
    </w:p>
    <w:tbl>
      <w:tblPr>
        <w:tblW w:w="0" w:type="auto"/>
        <w:tblInd w:w="1102" w:type="dxa"/>
        <w:tblLayout w:type="fixed"/>
        <w:tblCellMar>
          <w:left w:w="112" w:type="dxa"/>
          <w:right w:w="112" w:type="dxa"/>
        </w:tblCellMar>
        <w:tblLook w:val="0000" w:firstRow="0" w:lastRow="0" w:firstColumn="0" w:lastColumn="0" w:noHBand="0" w:noVBand="0"/>
      </w:tblPr>
      <w:tblGrid>
        <w:gridCol w:w="1530"/>
        <w:gridCol w:w="1530"/>
        <w:gridCol w:w="990"/>
        <w:gridCol w:w="1620"/>
        <w:gridCol w:w="1350"/>
        <w:gridCol w:w="1170"/>
      </w:tblGrid>
      <w:tr w:rsidR="000C691B" w:rsidTr="00924B0F">
        <w:trPr>
          <w:trHeight w:val="552"/>
        </w:trPr>
        <w:tc>
          <w:tcPr>
            <w:tcW w:w="1530" w:type="dxa"/>
            <w:tcBorders>
              <w:top w:val="double" w:sz="7" w:space="0" w:color="000000"/>
              <w:left w:val="double" w:sz="7" w:space="0" w:color="000000"/>
              <w:bottom w:val="single" w:sz="6" w:space="0" w:color="FFFFFF"/>
              <w:right w:val="single" w:sz="6" w:space="0" w:color="FFFFFF"/>
            </w:tcBorders>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 xml:space="preserve">      </w:t>
            </w:r>
          </w:p>
        </w:tc>
        <w:tc>
          <w:tcPr>
            <w:tcW w:w="1530" w:type="dxa"/>
            <w:tcBorders>
              <w:top w:val="double" w:sz="7" w:space="0" w:color="000000"/>
              <w:left w:val="single" w:sz="7" w:space="0" w:color="000000"/>
              <w:bottom w:val="single" w:sz="6" w:space="0" w:color="FFFFFF"/>
              <w:right w:val="single" w:sz="6" w:space="0" w:color="FFFFFF"/>
            </w:tcBorders>
            <w:vAlign w:val="bottom"/>
          </w:tcPr>
          <w:p w:rsidR="000C691B" w:rsidRDefault="000C691B" w:rsidP="00D166DE">
            <w:pPr>
              <w:spacing w:line="201"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Respondents</w:t>
            </w:r>
          </w:p>
        </w:tc>
        <w:tc>
          <w:tcPr>
            <w:tcW w:w="990" w:type="dxa"/>
            <w:tcBorders>
              <w:top w:val="double" w:sz="7" w:space="0" w:color="000000"/>
              <w:left w:val="single" w:sz="7" w:space="0" w:color="000000"/>
              <w:bottom w:val="single" w:sz="6" w:space="0" w:color="FFFFFF"/>
              <w:right w:val="single" w:sz="6" w:space="0" w:color="FFFFFF"/>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Waves</w:t>
            </w:r>
          </w:p>
        </w:tc>
        <w:tc>
          <w:tcPr>
            <w:tcW w:w="1620" w:type="dxa"/>
            <w:tcBorders>
              <w:top w:val="double" w:sz="7" w:space="0" w:color="000000"/>
              <w:left w:val="single" w:sz="7" w:space="0" w:color="000000"/>
              <w:bottom w:val="single" w:sz="6" w:space="0" w:color="FFFFFF"/>
              <w:right w:val="single" w:sz="6" w:space="0" w:color="FFFFFF"/>
            </w:tcBorders>
            <w:vAlign w:val="bottom"/>
          </w:tcPr>
          <w:p w:rsidR="000C691B" w:rsidRDefault="000C691B" w:rsidP="00D166DE">
            <w:pPr>
              <w:spacing w:line="201"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Responses</w:t>
            </w:r>
          </w:p>
        </w:tc>
        <w:tc>
          <w:tcPr>
            <w:tcW w:w="1350" w:type="dxa"/>
            <w:tcBorders>
              <w:top w:val="double" w:sz="7" w:space="0" w:color="000000"/>
              <w:left w:val="single" w:sz="7" w:space="0" w:color="000000"/>
              <w:bottom w:val="single" w:sz="6" w:space="0" w:color="FFFFFF"/>
              <w:right w:val="single" w:sz="6" w:space="0" w:color="FFFFFF"/>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Hours Per Response</w:t>
            </w:r>
          </w:p>
        </w:tc>
        <w:tc>
          <w:tcPr>
            <w:tcW w:w="1170" w:type="dxa"/>
            <w:tcBorders>
              <w:top w:val="double" w:sz="7" w:space="0" w:color="000000"/>
              <w:left w:val="single" w:sz="7" w:space="0" w:color="000000"/>
              <w:bottom w:val="single" w:sz="6" w:space="0" w:color="FFFFFF"/>
              <w:right w:val="double" w:sz="7" w:space="0" w:color="000000"/>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Total</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Hours</w:t>
            </w:r>
          </w:p>
        </w:tc>
      </w:tr>
      <w:tr w:rsidR="000C691B" w:rsidTr="00D166DE">
        <w:tc>
          <w:tcPr>
            <w:tcW w:w="1530" w:type="dxa"/>
            <w:tcBorders>
              <w:top w:val="single" w:sz="7" w:space="0" w:color="000000"/>
              <w:left w:val="double" w:sz="7" w:space="0" w:color="000000"/>
              <w:bottom w:val="single" w:sz="6" w:space="0" w:color="FFFFFF"/>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rPr>
                <w:rFonts w:ascii="Times New Roman" w:hAnsi="Times New Roman"/>
              </w:rPr>
            </w:pPr>
            <w:r>
              <w:rPr>
                <w:rFonts w:ascii="Times New Roman" w:hAnsi="Times New Roman"/>
              </w:rPr>
              <w:t>Interview</w:t>
            </w:r>
          </w:p>
        </w:tc>
        <w:tc>
          <w:tcPr>
            <w:tcW w:w="153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94,500</w:t>
            </w:r>
          </w:p>
        </w:tc>
        <w:tc>
          <w:tcPr>
            <w:tcW w:w="990" w:type="dxa"/>
            <w:tcBorders>
              <w:top w:val="single" w:sz="7" w:space="0" w:color="000000"/>
              <w:left w:val="single" w:sz="7" w:space="0" w:color="000000"/>
              <w:bottom w:val="single" w:sz="6" w:space="0" w:color="FFFFFF"/>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w:t>
            </w:r>
          </w:p>
        </w:tc>
        <w:tc>
          <w:tcPr>
            <w:tcW w:w="162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283,500</w:t>
            </w:r>
          </w:p>
        </w:tc>
        <w:tc>
          <w:tcPr>
            <w:tcW w:w="135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.50</w:t>
            </w:r>
          </w:p>
        </w:tc>
        <w:tc>
          <w:tcPr>
            <w:tcW w:w="1170" w:type="dxa"/>
            <w:tcBorders>
              <w:top w:val="single" w:sz="7" w:space="0" w:color="000000"/>
              <w:left w:val="single" w:sz="7" w:space="0" w:color="000000"/>
              <w:bottom w:val="single" w:sz="6" w:space="0" w:color="FFFFFF"/>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141,750</w:t>
            </w:r>
          </w:p>
        </w:tc>
      </w:tr>
      <w:tr w:rsidR="000C691B" w:rsidTr="00D166DE">
        <w:tc>
          <w:tcPr>
            <w:tcW w:w="1530" w:type="dxa"/>
            <w:tcBorders>
              <w:top w:val="single" w:sz="7" w:space="0" w:color="000000"/>
              <w:left w:val="double" w:sz="7" w:space="0" w:color="000000"/>
              <w:bottom w:val="single" w:sz="6" w:space="0" w:color="FFFFFF"/>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rPr>
                <w:rFonts w:ascii="Times New Roman" w:hAnsi="Times New Roman"/>
              </w:rPr>
            </w:pPr>
            <w:r>
              <w:rPr>
                <w:rFonts w:ascii="Times New Roman" w:hAnsi="Times New Roman"/>
              </w:rPr>
              <w:t>Re</w:t>
            </w:r>
            <w:r w:rsidR="00D166DE">
              <w:rPr>
                <w:rFonts w:ascii="Times New Roman" w:hAnsi="Times New Roman"/>
              </w:rPr>
              <w:t>-</w:t>
            </w:r>
            <w:r>
              <w:rPr>
                <w:rFonts w:ascii="Times New Roman" w:hAnsi="Times New Roman"/>
              </w:rPr>
              <w:t>interview</w:t>
            </w:r>
          </w:p>
        </w:tc>
        <w:tc>
          <w:tcPr>
            <w:tcW w:w="153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3,100</w:t>
            </w:r>
          </w:p>
        </w:tc>
        <w:tc>
          <w:tcPr>
            <w:tcW w:w="990" w:type="dxa"/>
            <w:tcBorders>
              <w:top w:val="single" w:sz="7" w:space="0" w:color="000000"/>
              <w:left w:val="single" w:sz="7" w:space="0" w:color="000000"/>
              <w:bottom w:val="single" w:sz="6" w:space="0" w:color="FFFFFF"/>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w:t>
            </w:r>
          </w:p>
        </w:tc>
        <w:tc>
          <w:tcPr>
            <w:tcW w:w="162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 xml:space="preserve">9,300 </w:t>
            </w:r>
            <w:r>
              <w:rPr>
                <w:rStyle w:val="FootnoteReference"/>
                <w:rFonts w:ascii="Times New Roman" w:hAnsi="Times New Roman"/>
                <w:vertAlign w:val="superscript"/>
              </w:rPr>
              <w:footnoteReference w:id="1"/>
            </w:r>
          </w:p>
        </w:tc>
        <w:tc>
          <w:tcPr>
            <w:tcW w:w="135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.167</w:t>
            </w:r>
          </w:p>
        </w:tc>
        <w:tc>
          <w:tcPr>
            <w:tcW w:w="1170" w:type="dxa"/>
            <w:tcBorders>
              <w:top w:val="single" w:sz="7" w:space="0" w:color="000000"/>
              <w:left w:val="single" w:sz="7" w:space="0" w:color="000000"/>
              <w:bottom w:val="single" w:sz="6" w:space="0" w:color="FFFFFF"/>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1,553</w:t>
            </w:r>
          </w:p>
        </w:tc>
      </w:tr>
      <w:tr w:rsidR="000C691B" w:rsidTr="00D166DE">
        <w:trPr>
          <w:trHeight w:val="586"/>
        </w:trPr>
        <w:tc>
          <w:tcPr>
            <w:tcW w:w="1530" w:type="dxa"/>
            <w:tcBorders>
              <w:top w:val="single" w:sz="7" w:space="0" w:color="000000"/>
              <w:left w:val="double" w:sz="7" w:space="0" w:color="000000"/>
              <w:bottom w:val="double" w:sz="7" w:space="0" w:color="000000"/>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right"/>
              <w:rPr>
                <w:rFonts w:ascii="Times New Roman" w:hAnsi="Times New Roman"/>
              </w:rPr>
            </w:pPr>
            <w:r>
              <w:rPr>
                <w:rFonts w:ascii="Times New Roman" w:hAnsi="Times New Roman"/>
              </w:rPr>
              <w:t xml:space="preserve">      Totals       </w:t>
            </w:r>
          </w:p>
        </w:tc>
        <w:tc>
          <w:tcPr>
            <w:tcW w:w="153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94,500</w:t>
            </w:r>
          </w:p>
        </w:tc>
        <w:tc>
          <w:tcPr>
            <w:tcW w:w="990" w:type="dxa"/>
            <w:tcBorders>
              <w:top w:val="single" w:sz="7" w:space="0" w:color="000000"/>
              <w:left w:val="single" w:sz="7" w:space="0" w:color="000000"/>
              <w:bottom w:val="double" w:sz="7" w:space="0" w:color="000000"/>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 xml:space="preserve">3.09 </w:t>
            </w:r>
            <w:r>
              <w:rPr>
                <w:rStyle w:val="FootnoteReference"/>
                <w:rFonts w:ascii="Times New Roman" w:hAnsi="Times New Roman"/>
                <w:vertAlign w:val="superscript"/>
              </w:rPr>
              <w:footnoteReference w:id="2"/>
            </w:r>
          </w:p>
        </w:tc>
        <w:tc>
          <w:tcPr>
            <w:tcW w:w="162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292,800</w:t>
            </w:r>
          </w:p>
        </w:tc>
        <w:tc>
          <w:tcPr>
            <w:tcW w:w="135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 xml:space="preserve">.49 </w:t>
            </w:r>
            <w:r>
              <w:rPr>
                <w:rStyle w:val="FootnoteReference"/>
                <w:rFonts w:ascii="Times New Roman" w:hAnsi="Times New Roman"/>
                <w:vertAlign w:val="superscript"/>
              </w:rPr>
              <w:footnoteReference w:id="3"/>
            </w:r>
          </w:p>
        </w:tc>
        <w:tc>
          <w:tcPr>
            <w:tcW w:w="1170" w:type="dxa"/>
            <w:tcBorders>
              <w:top w:val="single" w:sz="7" w:space="0" w:color="000000"/>
              <w:left w:val="single" w:sz="7" w:space="0" w:color="000000"/>
              <w:bottom w:val="double" w:sz="7" w:space="0" w:color="000000"/>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143,303</w:t>
            </w:r>
          </w:p>
        </w:tc>
      </w:tr>
    </w:tbl>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We will obtain interviews from approximately 45,000 households, yielding about 94,500 individual interviews (2.1 individuals 15 years old or over per household).  The household interviews are conducted at </w:t>
      </w:r>
      <w:proofErr w:type="gramStart"/>
      <w:r>
        <w:rPr>
          <w:rFonts w:ascii="Times New Roman" w:hAnsi="Times New Roman"/>
        </w:rPr>
        <w:t>4 month</w:t>
      </w:r>
      <w:proofErr w:type="gramEnd"/>
      <w:r>
        <w:rPr>
          <w:rFonts w:ascii="Times New Roman" w:hAnsi="Times New Roman"/>
        </w:rPr>
        <w:t xml:space="preserve"> intervals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total number of burden hours requested for Wave</w:t>
      </w:r>
      <w:r w:rsidR="00C66254">
        <w:rPr>
          <w:rFonts w:ascii="Times New Roman" w:hAnsi="Times New Roman"/>
        </w:rPr>
        <w:t xml:space="preserve"> </w:t>
      </w:r>
      <w:r w:rsidR="003F5C85">
        <w:rPr>
          <w:rFonts w:ascii="Times New Roman" w:hAnsi="Times New Roman"/>
        </w:rPr>
        <w:t>13</w:t>
      </w:r>
      <w:r>
        <w:rPr>
          <w:rFonts w:ascii="Times New Roman" w:hAnsi="Times New Roman"/>
        </w:rPr>
        <w:t>, inclusive of the core, topical module sections of the instrument and re</w:t>
      </w:r>
      <w:r w:rsidR="00E54C34">
        <w:rPr>
          <w:rFonts w:ascii="Times New Roman" w:hAnsi="Times New Roman"/>
        </w:rPr>
        <w:t>-</w:t>
      </w:r>
      <w:r>
        <w:rPr>
          <w:rFonts w:ascii="Times New Roman" w:hAnsi="Times New Roman"/>
        </w:rPr>
        <w:t>interview is 47,767.  The total number of burden hours for the 2008 SIPP Panel in FY 201</w:t>
      </w:r>
      <w:r w:rsidR="00BA7CD6">
        <w:rPr>
          <w:rFonts w:ascii="Times New Roman" w:hAnsi="Times New Roman"/>
        </w:rPr>
        <w:t>2</w:t>
      </w:r>
      <w:r>
        <w:rPr>
          <w:rFonts w:ascii="Times New Roman" w:hAnsi="Times New Roman"/>
        </w:rPr>
        <w:t xml:space="preserve"> is 143,303.</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rsidR="006D09B8" w:rsidRDefault="006D09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6D09B8" w:rsidRDefault="006D09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6D09B8" w:rsidRDefault="006D09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6D09B8" w:rsidRDefault="006D09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Cost to Federal Government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production costs of all parts of this survey are appr</w:t>
      </w:r>
      <w:r w:rsidR="006E004C">
        <w:rPr>
          <w:rFonts w:ascii="Times New Roman" w:hAnsi="Times New Roman"/>
        </w:rPr>
        <w:t>oximately $50,096,000 in FY 2012</w:t>
      </w:r>
      <w:r>
        <w:rPr>
          <w:rFonts w:ascii="Times New Roman" w:hAnsi="Times New Roman"/>
        </w:rPr>
        <w:t xml:space="preserve">.  That amount is included in the estimate of total costs to the federal government of the Census Bureau's current programs supplied to the OMB.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sectPr w:rsidR="000C691B" w:rsidSect="00924B0F">
          <w:type w:val="continuous"/>
          <w:pgSz w:w="12240" w:h="15840"/>
          <w:pgMar w:top="1008" w:right="1440" w:bottom="1008" w:left="1440" w:header="1440" w:footer="1440" w:gutter="0"/>
          <w:cols w:space="720"/>
          <w:noEndnote/>
        </w:sect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lastRenderedPageBreak/>
        <w:t>15.</w:t>
      </w:r>
      <w:r>
        <w:rPr>
          <w:rFonts w:ascii="Times New Roman" w:hAnsi="Times New Roman"/>
        </w:rPr>
        <w:tab/>
      </w:r>
      <w:r>
        <w:rPr>
          <w:rFonts w:ascii="Times New Roman" w:hAnsi="Times New Roman"/>
          <w:u w:val="single"/>
        </w:rPr>
        <w:t>Reason for Change in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outlineLvl w:val="0"/>
        <w:rPr>
          <w:rFonts w:ascii="Times New Roman" w:hAnsi="Times New Roman"/>
        </w:rPr>
      </w:pPr>
      <w:r>
        <w:rPr>
          <w:rFonts w:ascii="Times New Roman" w:hAnsi="Times New Roman"/>
        </w:rPr>
        <w:t xml:space="preserve">There is no change in burden.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w:t>
      </w:r>
      <w:r w:rsidR="00E54C34">
        <w:rPr>
          <w:rFonts w:ascii="Times New Roman" w:hAnsi="Times New Roman"/>
        </w:rPr>
        <w:t xml:space="preserve"> will release a series of cross-</w:t>
      </w:r>
      <w:r>
        <w:rPr>
          <w:rFonts w:ascii="Times New Roman" w:hAnsi="Times New Roman"/>
        </w:rPr>
        <w:t>sectional and topical module reports from the 2008 Panel.  Edited cross-sectional core files as well as topical module file</w:t>
      </w:r>
      <w:r w:rsidR="001F0CBA">
        <w:rPr>
          <w:rFonts w:ascii="Times New Roman" w:hAnsi="Times New Roman"/>
        </w:rPr>
        <w:t xml:space="preserve">s </w:t>
      </w:r>
      <w:proofErr w:type="gramStart"/>
      <w:r w:rsidR="001F0CBA">
        <w:rPr>
          <w:rFonts w:ascii="Times New Roman" w:hAnsi="Times New Roman"/>
        </w:rPr>
        <w:t>will be released</w:t>
      </w:r>
      <w:proofErr w:type="gramEnd"/>
      <w:r w:rsidR="001F0CBA">
        <w:rPr>
          <w:rFonts w:ascii="Times New Roman" w:hAnsi="Times New Roman"/>
        </w:rPr>
        <w:t>.</w:t>
      </w:r>
    </w:p>
    <w:p w:rsidR="008E4182" w:rsidRDefault="008E41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8E4182" w:rsidRDefault="008E41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As previously mentioned, o</w:t>
      </w:r>
      <w:bookmarkStart w:id="0" w:name="_GoBack"/>
      <w:bookmarkEnd w:id="0"/>
      <w:r w:rsidRPr="00D425E8">
        <w:rPr>
          <w:rFonts w:ascii="Times New Roman" w:hAnsi="Times New Roman"/>
        </w:rPr>
        <w:t xml:space="preserve">ur expectation is that Census and NCES will use the data </w:t>
      </w:r>
      <w:r>
        <w:rPr>
          <w:rFonts w:ascii="Times New Roman" w:hAnsi="Times New Roman"/>
        </w:rPr>
        <w:t xml:space="preserve">from the </w:t>
      </w:r>
      <w:r w:rsidRPr="007455B7">
        <w:rPr>
          <w:rFonts w:ascii="Times New Roman" w:hAnsi="Times New Roman"/>
        </w:rPr>
        <w:t>Professional Certificates and Certifications topical module</w:t>
      </w:r>
      <w:r>
        <w:rPr>
          <w:rFonts w:ascii="Times New Roman" w:hAnsi="Times New Roman"/>
        </w:rPr>
        <w:t xml:space="preserve"> </w:t>
      </w:r>
      <w:r w:rsidRPr="00D425E8">
        <w:rPr>
          <w:rFonts w:ascii="Times New Roman" w:hAnsi="Times New Roman"/>
        </w:rPr>
        <w:t xml:space="preserve">in a series of methodology papers as well as </w:t>
      </w:r>
      <w:r>
        <w:rPr>
          <w:rFonts w:ascii="Times New Roman" w:hAnsi="Times New Roman"/>
        </w:rPr>
        <w:t>a</w:t>
      </w:r>
      <w:r w:rsidRPr="00D425E8">
        <w:rPr>
          <w:rFonts w:ascii="Times New Roman" w:hAnsi="Times New Roman"/>
        </w:rPr>
        <w:t xml:space="preserve"> report that will provide general population estimates of certification holders and their labor force activities.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Wave-based data </w:t>
      </w:r>
      <w:proofErr w:type="gramStart"/>
      <w:r>
        <w:rPr>
          <w:rFonts w:ascii="Times New Roman" w:hAnsi="Times New Roman"/>
        </w:rPr>
        <w:t>can be used</w:t>
      </w:r>
      <w:proofErr w:type="gramEnd"/>
      <w:r>
        <w:rPr>
          <w:rFonts w:ascii="Times New Roman" w:hAnsi="Times New Roman"/>
        </w:rPr>
        <w:t xml:space="preserve"> to create a basic set of statistics from the SIPP core.  These statistics </w:t>
      </w:r>
      <w:proofErr w:type="gramStart"/>
      <w:r>
        <w:rPr>
          <w:rFonts w:ascii="Times New Roman" w:hAnsi="Times New Roman"/>
        </w:rPr>
        <w:t>can be used</w:t>
      </w:r>
      <w:proofErr w:type="gramEnd"/>
      <w:r>
        <w:rPr>
          <w:rFonts w:ascii="Times New Roman" w:hAnsi="Times New Roman"/>
        </w:rPr>
        <w:t xml:space="preserve"> to evaluate the survey, to profile the participants in various</w:t>
      </w:r>
      <w:r w:rsidR="001F0CBA">
        <w:rPr>
          <w:rFonts w:ascii="Times New Roman" w:hAnsi="Times New Roman"/>
        </w:rPr>
        <w:t xml:space="preserve"> </w:t>
      </w:r>
      <w:r w:rsidR="00D446B2">
        <w:rPr>
          <w:rFonts w:ascii="Times New Roman" w:hAnsi="Times New Roman"/>
        </w:rPr>
        <w:t>programs,</w:t>
      </w:r>
      <w:r>
        <w:rPr>
          <w:rFonts w:ascii="Times New Roman" w:hAnsi="Times New Roman"/>
        </w:rPr>
        <w:t xml:space="preserve"> to examine the characteristics of the population in need, and to examine how the economy is changing.  Such statistics can include average monthly estimates </w:t>
      </w:r>
      <w:proofErr w:type="gramStart"/>
      <w:r>
        <w:rPr>
          <w:rFonts w:ascii="Times New Roman" w:hAnsi="Times New Roman"/>
        </w:rPr>
        <w:t>of</w:t>
      </w:r>
      <w:proofErr w:type="gramEnd"/>
      <w:r>
        <w:rPr>
          <w:rFonts w:ascii="Times New Roman" w:hAnsi="Times New Roman"/>
        </w:rPr>
        <w:t>:</w:t>
      </w:r>
    </w:p>
    <w:p w:rsidR="000A41C8" w:rsidRDefault="000A41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F23259" w:rsidP="005D6B54">
      <w:pPr>
        <w:pStyle w:val="Style"/>
        <w:widowControl/>
        <w:numPr>
          <w:ilvl w:val="2"/>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Median household income</w:t>
      </w:r>
    </w:p>
    <w:p w:rsidR="000C691B" w:rsidRDefault="000C691B" w:rsidP="005D6B54">
      <w:pPr>
        <w:pStyle w:val="Style"/>
        <w:widowControl/>
        <w:numPr>
          <w:ilvl w:val="2"/>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Number of wo</w:t>
      </w:r>
      <w:r w:rsidR="00F23259">
        <w:rPr>
          <w:rFonts w:ascii="Times New Roman" w:hAnsi="Times New Roman"/>
        </w:rPr>
        <w:t>rkers and their median earnings</w:t>
      </w:r>
    </w:p>
    <w:p w:rsidR="000C691B" w:rsidRDefault="00F23259" w:rsidP="005D6B54">
      <w:pPr>
        <w:pStyle w:val="Style"/>
        <w:widowControl/>
        <w:numPr>
          <w:ilvl w:val="2"/>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Number of people in poverty</w:t>
      </w:r>
    </w:p>
    <w:p w:rsidR="000C691B" w:rsidRDefault="000C691B" w:rsidP="005D6B54">
      <w:pPr>
        <w:pStyle w:val="Style"/>
        <w:widowControl/>
        <w:numPr>
          <w:ilvl w:val="2"/>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Peo</w:t>
      </w:r>
      <w:r w:rsidR="00F23259">
        <w:rPr>
          <w:rFonts w:ascii="Times New Roman" w:hAnsi="Times New Roman"/>
        </w:rPr>
        <w:t>ple with labor force activities</w:t>
      </w:r>
      <w:r>
        <w:rPr>
          <w:rFonts w:ascii="Times New Roman" w:hAnsi="Times New Roman"/>
        </w:rPr>
        <w:tab/>
      </w:r>
    </w:p>
    <w:p w:rsidR="000C691B" w:rsidRDefault="000C691B" w:rsidP="005D6B54">
      <w:pPr>
        <w:pStyle w:val="Style"/>
        <w:widowControl/>
        <w:numPr>
          <w:ilvl w:val="2"/>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People who spent tim</w:t>
      </w:r>
      <w:r w:rsidR="00F23259">
        <w:rPr>
          <w:rFonts w:ascii="Times New Roman" w:hAnsi="Times New Roman"/>
        </w:rPr>
        <w:t>e looking for work or on layoff</w:t>
      </w:r>
    </w:p>
    <w:p w:rsidR="000C691B" w:rsidRDefault="000C691B" w:rsidP="005D6B54">
      <w:pPr>
        <w:pStyle w:val="Style"/>
        <w:widowControl/>
        <w:numPr>
          <w:ilvl w:val="2"/>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Participants in government programs, such as:</w:t>
      </w:r>
    </w:p>
    <w:p w:rsidR="000C691B" w:rsidRDefault="00250F03" w:rsidP="005D6B54">
      <w:pPr>
        <w:pStyle w:val="Style"/>
        <w:widowControl/>
        <w:numPr>
          <w:ilvl w:val="3"/>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Public A</w:t>
      </w:r>
      <w:r w:rsidR="00F23259">
        <w:rPr>
          <w:rFonts w:ascii="Times New Roman" w:hAnsi="Times New Roman"/>
        </w:rPr>
        <w:t>ssistance</w:t>
      </w:r>
    </w:p>
    <w:p w:rsidR="000C691B" w:rsidRDefault="00250F03" w:rsidP="005D6B54">
      <w:pPr>
        <w:pStyle w:val="Style"/>
        <w:widowControl/>
        <w:numPr>
          <w:ilvl w:val="3"/>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Social Security and Supplemental Security I</w:t>
      </w:r>
      <w:r w:rsidR="00F23259">
        <w:rPr>
          <w:rFonts w:ascii="Times New Roman" w:hAnsi="Times New Roman"/>
        </w:rPr>
        <w:t>ncome</w:t>
      </w:r>
    </w:p>
    <w:p w:rsidR="000C691B" w:rsidRDefault="00F23259" w:rsidP="005D6B54">
      <w:pPr>
        <w:pStyle w:val="Style"/>
        <w:widowControl/>
        <w:numPr>
          <w:ilvl w:val="3"/>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School lunches</w:t>
      </w:r>
    </w:p>
    <w:p w:rsidR="000C691B" w:rsidRDefault="000C691B" w:rsidP="005D6B54">
      <w:pPr>
        <w:pStyle w:val="Style"/>
        <w:widowControl/>
        <w:numPr>
          <w:ilvl w:val="3"/>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Food </w:t>
      </w:r>
      <w:r w:rsidR="00250F03">
        <w:rPr>
          <w:rFonts w:ascii="Times New Roman" w:hAnsi="Times New Roman"/>
        </w:rPr>
        <w:t>S</w:t>
      </w:r>
      <w:r w:rsidR="00F23259">
        <w:rPr>
          <w:rFonts w:ascii="Times New Roman" w:hAnsi="Times New Roman"/>
        </w:rPr>
        <w:t>tamps</w:t>
      </w:r>
    </w:p>
    <w:p w:rsidR="000C691B" w:rsidRDefault="00E54C34" w:rsidP="005D6B54">
      <w:pPr>
        <w:pStyle w:val="Style"/>
        <w:widowControl/>
        <w:numPr>
          <w:ilvl w:val="3"/>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Medicare and M</w:t>
      </w:r>
      <w:r w:rsidR="00F23259">
        <w:rPr>
          <w:rFonts w:ascii="Times New Roman" w:hAnsi="Times New Roman"/>
        </w:rPr>
        <w:t>edicaid</w:t>
      </w:r>
    </w:p>
    <w:p w:rsidR="000C691B" w:rsidRDefault="00F23259" w:rsidP="005D6B54">
      <w:pPr>
        <w:pStyle w:val="Style"/>
        <w:widowControl/>
        <w:numPr>
          <w:ilvl w:val="3"/>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Public or subsidized housing</w:t>
      </w:r>
    </w:p>
    <w:p w:rsidR="000C691B" w:rsidRDefault="000C691B" w:rsidP="005D6B54">
      <w:pPr>
        <w:pStyle w:val="Style"/>
        <w:widowControl/>
        <w:numPr>
          <w:ilvl w:val="3"/>
          <w:numId w:val="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Unemplo</w:t>
      </w:r>
      <w:r w:rsidR="00F23259">
        <w:rPr>
          <w:rFonts w:ascii="Times New Roman" w:hAnsi="Times New Roman"/>
        </w:rPr>
        <w:t>yment and workers' compensation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These statistics from each SIPP wave </w:t>
      </w:r>
      <w:proofErr w:type="gramStart"/>
      <w:r>
        <w:rPr>
          <w:rFonts w:ascii="Times New Roman" w:hAnsi="Times New Roman"/>
        </w:rPr>
        <w:t>are crossed</w:t>
      </w:r>
      <w:proofErr w:type="gramEnd"/>
      <w:r>
        <w:rPr>
          <w:rFonts w:ascii="Times New Roman" w:hAnsi="Times New Roman"/>
        </w:rPr>
        <w:t xml:space="preserve"> by race, age, and other characteristics and could be the basis for a report or fact sheet on the economic situation of Americans and their families.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These data products will enable us to examine issues </w:t>
      </w:r>
      <w:proofErr w:type="gramStart"/>
      <w:r>
        <w:rPr>
          <w:rFonts w:ascii="Times New Roman" w:hAnsi="Times New Roman"/>
        </w:rPr>
        <w:t>such as</w:t>
      </w:r>
      <w:proofErr w:type="gramEnd"/>
      <w:r>
        <w:rPr>
          <w:rFonts w:ascii="Times New Roman" w:hAnsi="Times New Roman"/>
        </w:rPr>
        <w: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9116DB">
      <w:pPr>
        <w:pStyle w:val="Style"/>
        <w:widowControl/>
        <w:numPr>
          <w:ilvl w:val="0"/>
          <w:numId w:val="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Annual income and poverty estimates based on different definitions of income.</w:t>
      </w:r>
    </w:p>
    <w:p w:rsidR="000C691B" w:rsidRDefault="000C691B" w:rsidP="009116DB">
      <w:pPr>
        <w:pStyle w:val="Style"/>
        <w:widowControl/>
        <w:numPr>
          <w:ilvl w:val="0"/>
          <w:numId w:val="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roofErr w:type="gramStart"/>
      <w:r>
        <w:rPr>
          <w:rFonts w:ascii="Times New Roman" w:hAnsi="Times New Roman"/>
        </w:rPr>
        <w:t>Estimates of people experiencing unemployment and median unemployment spells.</w:t>
      </w:r>
      <w:proofErr w:type="gramEnd"/>
    </w:p>
    <w:p w:rsidR="000C691B" w:rsidRDefault="000C691B" w:rsidP="009116DB">
      <w:pPr>
        <w:pStyle w:val="Style"/>
        <w:widowControl/>
        <w:numPr>
          <w:ilvl w:val="0"/>
          <w:numId w:val="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roofErr w:type="gramStart"/>
      <w:r>
        <w:rPr>
          <w:rFonts w:ascii="Times New Roman" w:hAnsi="Times New Roman"/>
        </w:rPr>
        <w:t>The characteristics of people ever participating in government programs and people who participated in each month.</w:t>
      </w:r>
      <w:proofErr w:type="gramEnd"/>
    </w:p>
    <w:p w:rsidR="000C691B" w:rsidRDefault="000C691B" w:rsidP="009116DB">
      <w:pPr>
        <w:pStyle w:val="Style"/>
        <w:widowControl/>
        <w:numPr>
          <w:ilvl w:val="0"/>
          <w:numId w:val="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Median program participation spells.</w:t>
      </w:r>
    </w:p>
    <w:p w:rsidR="000C691B" w:rsidRDefault="000C691B" w:rsidP="009116DB">
      <w:pPr>
        <w:pStyle w:val="Style"/>
        <w:widowControl/>
        <w:numPr>
          <w:ilvl w:val="0"/>
          <w:numId w:val="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roofErr w:type="gramStart"/>
      <w:r>
        <w:rPr>
          <w:rFonts w:ascii="Times New Roman" w:hAnsi="Times New Roman"/>
        </w:rPr>
        <w:t>The characteristics of people with lapses in health insurance coverage.</w:t>
      </w:r>
      <w:proofErr w:type="gramEnd"/>
    </w:p>
    <w:p w:rsidR="000C691B" w:rsidRDefault="000C691B" w:rsidP="009116DB">
      <w:pPr>
        <w:pStyle w:val="Style"/>
        <w:widowControl/>
        <w:numPr>
          <w:ilvl w:val="0"/>
          <w:numId w:val="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Median spells without health insurance.</w:t>
      </w:r>
    </w:p>
    <w:p w:rsidR="000C691B" w:rsidRDefault="000C691B" w:rsidP="009116DB">
      <w:pPr>
        <w:pStyle w:val="Style"/>
        <w:widowControl/>
        <w:numPr>
          <w:ilvl w:val="0"/>
          <w:numId w:val="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roofErr w:type="gramStart"/>
      <w:r>
        <w:rPr>
          <w:rFonts w:ascii="Times New Roman" w:hAnsi="Times New Roman"/>
        </w:rPr>
        <w:lastRenderedPageBreak/>
        <w:t>Family and household transitions.</w:t>
      </w:r>
      <w:proofErr w:type="gramEnd"/>
    </w:p>
    <w:p w:rsidR="00890ECE" w:rsidRDefault="00890ECE">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 xml:space="preserve">In addition, as our observation length grows, we will be better able to examine issues such as long-term versus short-term poverty and program participation.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We request not to display the expiration date to avoid unnecessary respondent confusion arising from the fact that the OMB approval lasts for three years and respondent participation in the SIPP often lasts for longer periods.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2"/>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There are no exceptions to the certification.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sectPr w:rsidR="000C691B" w:rsidSect="000C691B">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AB" w:rsidRDefault="00D77EAB" w:rsidP="000C691B">
      <w:r>
        <w:separator/>
      </w:r>
    </w:p>
  </w:endnote>
  <w:endnote w:type="continuationSeparator" w:id="0">
    <w:p w:rsidR="00D77EAB" w:rsidRDefault="00D77EAB" w:rsidP="000C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AB" w:rsidRDefault="00D77EAB" w:rsidP="000C691B">
      <w:r>
        <w:separator/>
      </w:r>
    </w:p>
  </w:footnote>
  <w:footnote w:type="continuationSeparator" w:id="0">
    <w:p w:rsidR="00D77EAB" w:rsidRDefault="00D77EAB" w:rsidP="000C691B">
      <w:r>
        <w:continuationSeparator/>
      </w:r>
    </w:p>
  </w:footnote>
  <w:footnote w:id="1">
    <w:p w:rsidR="00D77EAB" w:rsidRDefault="00D77EAB" w:rsidP="00C71D1D">
      <w:pPr>
        <w:tabs>
          <w:tab w:val="left" w:pos="-1440"/>
        </w:tabs>
        <w:ind w:left="1440" w:hanging="720"/>
        <w:rPr>
          <w:rFonts w:ascii="Times New Roman" w:hAnsi="Times New Roman"/>
          <w:sz w:val="18"/>
          <w:szCs w:val="18"/>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 xml:space="preserve">The 3,100 cases in re-interview </w:t>
      </w:r>
      <w:proofErr w:type="gramStart"/>
      <w:r>
        <w:rPr>
          <w:rFonts w:ascii="Times New Roman" w:hAnsi="Times New Roman"/>
          <w:sz w:val="18"/>
          <w:szCs w:val="18"/>
        </w:rPr>
        <w:t>will be contacted</w:t>
      </w:r>
      <w:proofErr w:type="gramEnd"/>
      <w:r>
        <w:rPr>
          <w:rFonts w:ascii="Times New Roman" w:hAnsi="Times New Roman"/>
          <w:sz w:val="18"/>
          <w:szCs w:val="18"/>
        </w:rPr>
        <w:t xml:space="preserve"> twice during the same wave.  Therefore, the total number of </w:t>
      </w:r>
      <w:r>
        <w:rPr>
          <w:rFonts w:ascii="Times New Roman" w:hAnsi="Times New Roman"/>
          <w:b/>
          <w:bCs/>
          <w:sz w:val="18"/>
          <w:szCs w:val="18"/>
        </w:rPr>
        <w:t>respondents</w:t>
      </w:r>
      <w:r>
        <w:rPr>
          <w:rFonts w:ascii="Times New Roman" w:hAnsi="Times New Roman"/>
          <w:sz w:val="18"/>
          <w:szCs w:val="18"/>
        </w:rPr>
        <w:t xml:space="preserve"> is 94,500 per wave (included in original interview sample).</w:t>
      </w:r>
    </w:p>
    <w:p w:rsidR="00D77EAB" w:rsidRDefault="00D77EAB" w:rsidP="002B66B1">
      <w:pPr>
        <w:tabs>
          <w:tab w:val="left" w:pos="-1440"/>
        </w:tabs>
        <w:ind w:left="1440" w:hanging="720"/>
        <w:rPr>
          <w:rFonts w:cs="Shruti"/>
          <w:sz w:val="22"/>
          <w:szCs w:val="22"/>
        </w:rPr>
      </w:pPr>
    </w:p>
  </w:footnote>
  <w:footnote w:id="2">
    <w:p w:rsidR="00D77EAB" w:rsidRDefault="00D77EAB">
      <w:pPr>
        <w:spacing w:after="240"/>
        <w:ind w:firstLine="720"/>
        <w:rPr>
          <w:rFonts w:cs="Shruti"/>
          <w:sz w:val="18"/>
          <w:szCs w:val="18"/>
        </w:rPr>
      </w:pPr>
      <w:r>
        <w:rPr>
          <w:rStyle w:val="FootnoteReference"/>
          <w:sz w:val="22"/>
          <w:szCs w:val="22"/>
          <w:vertAlign w:val="superscript"/>
        </w:rPr>
        <w:footnoteRef/>
      </w:r>
      <w:r>
        <w:rPr>
          <w:rFonts w:ascii="Times New Roman" w:hAnsi="Times New Roman"/>
          <w:sz w:val="22"/>
          <w:szCs w:val="22"/>
        </w:rPr>
        <w:tab/>
      </w:r>
      <w:proofErr w:type="gramStart"/>
      <w:r>
        <w:rPr>
          <w:rFonts w:ascii="Times New Roman" w:hAnsi="Times New Roman"/>
          <w:sz w:val="18"/>
          <w:szCs w:val="18"/>
        </w:rPr>
        <w:t xml:space="preserve">The weighted average for waves is determined by taking the number of respondents interviewed once during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a wave (91,400 contacts) plus the number of households that will be interviewed twice during a wave due to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re-interview (6,200 contacts) and dividing this sum by the number of total respondents in the SIPP/CAPI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sample (94,500 respondents) times three waves; this comes out to 3.09 (weighted average).</w:t>
      </w:r>
      <w:r>
        <w:rPr>
          <w:rFonts w:ascii="Times New Roman" w:hAnsi="Times New Roman"/>
          <w:sz w:val="18"/>
          <w:szCs w:val="18"/>
        </w:rPr>
        <w:tab/>
      </w:r>
      <w:proofErr w:type="gramEnd"/>
    </w:p>
  </w:footnote>
  <w:footnote w:id="3">
    <w:p w:rsidR="00D77EAB" w:rsidRDefault="00D77EAB">
      <w:pPr>
        <w:tabs>
          <w:tab w:val="left" w:pos="-1440"/>
        </w:tabs>
        <w:ind w:left="1440" w:hanging="720"/>
        <w:rPr>
          <w:rFonts w:ascii="Times New Roman" w:hAnsi="Times New Roman"/>
          <w:sz w:val="22"/>
          <w:szCs w:val="22"/>
        </w:rPr>
      </w:pPr>
      <w:r>
        <w:rPr>
          <w:rStyle w:val="FootnoteReference"/>
          <w:sz w:val="22"/>
          <w:szCs w:val="22"/>
          <w:vertAlign w:val="superscript"/>
        </w:rPr>
        <w:footnoteRef/>
      </w:r>
      <w:r>
        <w:rPr>
          <w:rFonts w:ascii="Times New Roman" w:hAnsi="Times New Roman"/>
          <w:sz w:val="18"/>
          <w:szCs w:val="18"/>
        </w:rPr>
        <w:tab/>
        <w:t xml:space="preserve">The weighted average for hours per response is determined by multiplying the number of interview responses by the response hours (283,500 * .50) plus the number of </w:t>
      </w:r>
      <w:proofErr w:type="gramStart"/>
      <w:r>
        <w:rPr>
          <w:rFonts w:ascii="Times New Roman" w:hAnsi="Times New Roman"/>
          <w:sz w:val="18"/>
          <w:szCs w:val="18"/>
        </w:rPr>
        <w:t>re-interview</w:t>
      </w:r>
      <w:proofErr w:type="gramEnd"/>
      <w:r>
        <w:rPr>
          <w:rFonts w:ascii="Times New Roman" w:hAnsi="Times New Roman"/>
          <w:sz w:val="18"/>
          <w:szCs w:val="18"/>
        </w:rPr>
        <w:t xml:space="preserve"> responses multiplied by the response hours (9,300 * .167) and dividing this sum by the total number of responses per fiscal year (292,800); this comes out to 0.49.</w:t>
      </w:r>
    </w:p>
    <w:p w:rsidR="00D77EAB" w:rsidRDefault="00D77EAB">
      <w:pPr>
        <w:tabs>
          <w:tab w:val="left" w:pos="0"/>
        </w:tabs>
        <w:spacing w:after="240"/>
        <w:ind w:left="1440"/>
        <w:rPr>
          <w:rFonts w:cs="Shrut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AB" w:rsidRDefault="00D77EAB">
    <w:pPr>
      <w:framePr w:w="9361" w:wrap="notBeside" w:vAnchor="text" w:hAnchor="text" w:x="1" w:y="1"/>
      <w:jc w:val="right"/>
      <w:rPr>
        <w:sz w:val="22"/>
        <w:szCs w:val="22"/>
      </w:rPr>
    </w:pPr>
    <w:r>
      <w:rPr>
        <w:sz w:val="22"/>
        <w:szCs w:val="22"/>
      </w:rPr>
      <w:fldChar w:fldCharType="begin"/>
    </w:r>
    <w:r>
      <w:rPr>
        <w:sz w:val="22"/>
        <w:szCs w:val="22"/>
      </w:rPr>
      <w:instrText xml:space="preserve">PAGE </w:instrText>
    </w:r>
    <w:r>
      <w:rPr>
        <w:sz w:val="22"/>
        <w:szCs w:val="22"/>
      </w:rPr>
      <w:fldChar w:fldCharType="separate"/>
    </w:r>
    <w:r w:rsidR="008E4182">
      <w:rPr>
        <w:noProof/>
        <w:sz w:val="22"/>
        <w:szCs w:val="22"/>
      </w:rPr>
      <w:t>7</w:t>
    </w:r>
    <w:r>
      <w:rPr>
        <w:sz w:val="22"/>
        <w:szCs w:val="22"/>
      </w:rPr>
      <w:fldChar w:fldCharType="end"/>
    </w:r>
  </w:p>
  <w:p w:rsidR="00D77EAB" w:rsidRDefault="00D77EAB">
    <w:pPr>
      <w:rPr>
        <w:sz w:val="22"/>
        <w:szCs w:val="22"/>
      </w:rPr>
    </w:pPr>
  </w:p>
  <w:p w:rsidR="00D77EAB" w:rsidRDefault="00D77EAB">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40A832"/>
    <w:lvl w:ilvl="0">
      <w:numFmt w:val="bullet"/>
      <w:lvlText w:val="*"/>
      <w:lvlJc w:val="left"/>
    </w:lvl>
  </w:abstractNum>
  <w:abstractNum w:abstractNumId="1">
    <w:nsid w:val="00000001"/>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12090ED4"/>
    <w:multiLevelType w:val="hybridMultilevel"/>
    <w:tmpl w:val="145C88B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
    <w:nsid w:val="40954799"/>
    <w:multiLevelType w:val="hybridMultilevel"/>
    <w:tmpl w:val="DEF28C74"/>
    <w:lvl w:ilvl="0" w:tplc="04090001">
      <w:start w:val="1"/>
      <w:numFmt w:val="bullet"/>
      <w:lvlText w:val=""/>
      <w:lvlJc w:val="left"/>
      <w:pPr>
        <w:ind w:left="3090" w:hanging="360"/>
      </w:pPr>
      <w:rPr>
        <w:rFonts w:ascii="Symbol" w:hAnsi="Symbo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4">
    <w:nsid w:val="4DA61ED7"/>
    <w:multiLevelType w:val="hybridMultilevel"/>
    <w:tmpl w:val="CD6A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DE1FCA"/>
    <w:multiLevelType w:val="hybridMultilevel"/>
    <w:tmpl w:val="5590C764"/>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num w:numId="1">
    <w:abstractNumId w:val="0"/>
    <w:lvlOverride w:ilvl="0">
      <w:lvl w:ilvl="0">
        <w:numFmt w:val="bullet"/>
        <w:lvlText w:val="!"/>
        <w:legacy w:legacy="1" w:legacySpace="0" w:legacyIndent="476"/>
        <w:lvlJc w:val="left"/>
        <w:pPr>
          <w:ind w:left="2376" w:hanging="476"/>
        </w:pPr>
        <w:rPr>
          <w:rFonts w:ascii="WP TypographicSymbols" w:hAnsi="WP TypographicSymbols" w:hint="default"/>
        </w:rPr>
      </w:lvl>
    </w:lvlOverride>
  </w:num>
  <w:num w:numId="2">
    <w:abstractNumId w:val="3"/>
  </w:num>
  <w:num w:numId="3">
    <w:abstractNumId w:val="5"/>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AMO_XmlVersion" w:val="Empty"/>
  </w:docVars>
  <w:rsids>
    <w:rsidRoot w:val="000C691B"/>
    <w:rsid w:val="00001E90"/>
    <w:rsid w:val="000418B2"/>
    <w:rsid w:val="0005501F"/>
    <w:rsid w:val="000A41C8"/>
    <w:rsid w:val="000B74F3"/>
    <w:rsid w:val="000C691B"/>
    <w:rsid w:val="000D5CED"/>
    <w:rsid w:val="000E339C"/>
    <w:rsid w:val="00134DFE"/>
    <w:rsid w:val="001457B2"/>
    <w:rsid w:val="00146203"/>
    <w:rsid w:val="00190C35"/>
    <w:rsid w:val="001A3154"/>
    <w:rsid w:val="001D66FB"/>
    <w:rsid w:val="001D74ED"/>
    <w:rsid w:val="001E70B2"/>
    <w:rsid w:val="001F0CBA"/>
    <w:rsid w:val="001F50CE"/>
    <w:rsid w:val="002015B8"/>
    <w:rsid w:val="0021131A"/>
    <w:rsid w:val="00250F03"/>
    <w:rsid w:val="00276D80"/>
    <w:rsid w:val="002A5BDA"/>
    <w:rsid w:val="002B4E93"/>
    <w:rsid w:val="002B66B1"/>
    <w:rsid w:val="002C1AE0"/>
    <w:rsid w:val="002D35A7"/>
    <w:rsid w:val="00361431"/>
    <w:rsid w:val="00365E36"/>
    <w:rsid w:val="003F5C85"/>
    <w:rsid w:val="00465EF2"/>
    <w:rsid w:val="00487E45"/>
    <w:rsid w:val="004914D9"/>
    <w:rsid w:val="004A39B6"/>
    <w:rsid w:val="004B1375"/>
    <w:rsid w:val="004B3D28"/>
    <w:rsid w:val="004F4997"/>
    <w:rsid w:val="00536476"/>
    <w:rsid w:val="00550753"/>
    <w:rsid w:val="00555A4B"/>
    <w:rsid w:val="0057093B"/>
    <w:rsid w:val="0057521E"/>
    <w:rsid w:val="00575F56"/>
    <w:rsid w:val="005908F3"/>
    <w:rsid w:val="005963E8"/>
    <w:rsid w:val="005B56B8"/>
    <w:rsid w:val="005D296F"/>
    <w:rsid w:val="005D6B54"/>
    <w:rsid w:val="006956CB"/>
    <w:rsid w:val="006C1CA7"/>
    <w:rsid w:val="006D09B8"/>
    <w:rsid w:val="006D5159"/>
    <w:rsid w:val="006E004C"/>
    <w:rsid w:val="007024FA"/>
    <w:rsid w:val="007455B7"/>
    <w:rsid w:val="00755095"/>
    <w:rsid w:val="007B25BB"/>
    <w:rsid w:val="007C04B0"/>
    <w:rsid w:val="007E2A62"/>
    <w:rsid w:val="007F6FDB"/>
    <w:rsid w:val="00844A34"/>
    <w:rsid w:val="00862617"/>
    <w:rsid w:val="00870DA3"/>
    <w:rsid w:val="00890ECE"/>
    <w:rsid w:val="008A581E"/>
    <w:rsid w:val="008B3A37"/>
    <w:rsid w:val="008C7CC7"/>
    <w:rsid w:val="008D65C1"/>
    <w:rsid w:val="008E4182"/>
    <w:rsid w:val="00907E30"/>
    <w:rsid w:val="009116DB"/>
    <w:rsid w:val="00924B0F"/>
    <w:rsid w:val="00973E46"/>
    <w:rsid w:val="00975A90"/>
    <w:rsid w:val="009C5E39"/>
    <w:rsid w:val="00A0322D"/>
    <w:rsid w:val="00A60164"/>
    <w:rsid w:val="00AA519A"/>
    <w:rsid w:val="00AB465F"/>
    <w:rsid w:val="00AC7DB4"/>
    <w:rsid w:val="00AE3533"/>
    <w:rsid w:val="00B07429"/>
    <w:rsid w:val="00B404FA"/>
    <w:rsid w:val="00B43005"/>
    <w:rsid w:val="00B94B76"/>
    <w:rsid w:val="00BA5689"/>
    <w:rsid w:val="00BA7CD6"/>
    <w:rsid w:val="00BB6BA6"/>
    <w:rsid w:val="00C06434"/>
    <w:rsid w:val="00C10BC6"/>
    <w:rsid w:val="00C66254"/>
    <w:rsid w:val="00C71D1D"/>
    <w:rsid w:val="00C82214"/>
    <w:rsid w:val="00C85BBD"/>
    <w:rsid w:val="00CA170D"/>
    <w:rsid w:val="00CB03FC"/>
    <w:rsid w:val="00CB1D86"/>
    <w:rsid w:val="00CB47D3"/>
    <w:rsid w:val="00CC0088"/>
    <w:rsid w:val="00CC0A4D"/>
    <w:rsid w:val="00CF0F42"/>
    <w:rsid w:val="00CF7B2A"/>
    <w:rsid w:val="00D02229"/>
    <w:rsid w:val="00D166DE"/>
    <w:rsid w:val="00D25C70"/>
    <w:rsid w:val="00D425E8"/>
    <w:rsid w:val="00D42C62"/>
    <w:rsid w:val="00D446B2"/>
    <w:rsid w:val="00D5445F"/>
    <w:rsid w:val="00D54560"/>
    <w:rsid w:val="00D77EAB"/>
    <w:rsid w:val="00DA0A92"/>
    <w:rsid w:val="00E20E02"/>
    <w:rsid w:val="00E30C22"/>
    <w:rsid w:val="00E3209B"/>
    <w:rsid w:val="00E44D4B"/>
    <w:rsid w:val="00E52415"/>
    <w:rsid w:val="00E54C34"/>
    <w:rsid w:val="00E70CEA"/>
    <w:rsid w:val="00E73E6E"/>
    <w:rsid w:val="00E83D3F"/>
    <w:rsid w:val="00EC000D"/>
    <w:rsid w:val="00EC435B"/>
    <w:rsid w:val="00ED12C1"/>
    <w:rsid w:val="00EE1FCF"/>
    <w:rsid w:val="00F10816"/>
    <w:rsid w:val="00F23259"/>
    <w:rsid w:val="00F24922"/>
    <w:rsid w:val="00F3294F"/>
    <w:rsid w:val="00F70B0B"/>
    <w:rsid w:val="00F8375D"/>
    <w:rsid w:val="00F83CD8"/>
    <w:rsid w:val="00F847F7"/>
    <w:rsid w:val="00F8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86"/>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B1D86"/>
  </w:style>
  <w:style w:type="paragraph" w:customStyle="1" w:styleId="Style">
    <w:name w:val="Style"/>
    <w:basedOn w:val="Normal"/>
    <w:uiPriority w:val="99"/>
    <w:rsid w:val="00CB1D86"/>
    <w:pPr>
      <w:ind w:left="1900" w:hanging="475"/>
    </w:pPr>
  </w:style>
  <w:style w:type="paragraph" w:customStyle="1" w:styleId="Level1">
    <w:name w:val="Level 1"/>
    <w:basedOn w:val="Normal"/>
    <w:uiPriority w:val="99"/>
    <w:rsid w:val="00CB1D86"/>
    <w:pPr>
      <w:ind w:left="2376" w:hanging="476"/>
    </w:pPr>
  </w:style>
  <w:style w:type="paragraph" w:styleId="DocumentMap">
    <w:name w:val="Document Map"/>
    <w:basedOn w:val="Normal"/>
    <w:link w:val="DocumentMapChar"/>
    <w:uiPriority w:val="99"/>
    <w:semiHidden/>
    <w:unhideWhenUsed/>
    <w:rsid w:val="001F0CBA"/>
    <w:rPr>
      <w:rFonts w:ascii="Tahoma" w:hAnsi="Tahoma" w:cs="Tahoma"/>
      <w:sz w:val="16"/>
      <w:szCs w:val="16"/>
    </w:rPr>
  </w:style>
  <w:style w:type="character" w:customStyle="1" w:styleId="DocumentMapChar">
    <w:name w:val="Document Map Char"/>
    <w:basedOn w:val="DefaultParagraphFont"/>
    <w:link w:val="DocumentMap"/>
    <w:uiPriority w:val="99"/>
    <w:semiHidden/>
    <w:rsid w:val="001F0CBA"/>
    <w:rPr>
      <w:rFonts w:ascii="Tahoma" w:hAnsi="Tahoma" w:cs="Tahoma"/>
      <w:sz w:val="16"/>
      <w:szCs w:val="16"/>
    </w:rPr>
  </w:style>
  <w:style w:type="paragraph" w:styleId="BalloonText">
    <w:name w:val="Balloon Text"/>
    <w:basedOn w:val="Normal"/>
    <w:link w:val="BalloonTextChar"/>
    <w:uiPriority w:val="99"/>
    <w:semiHidden/>
    <w:unhideWhenUsed/>
    <w:rsid w:val="001F50CE"/>
    <w:rPr>
      <w:rFonts w:ascii="Tahoma" w:hAnsi="Tahoma" w:cs="Tahoma"/>
      <w:sz w:val="16"/>
      <w:szCs w:val="16"/>
    </w:rPr>
  </w:style>
  <w:style w:type="character" w:customStyle="1" w:styleId="BalloonTextChar">
    <w:name w:val="Balloon Text Char"/>
    <w:basedOn w:val="DefaultParagraphFont"/>
    <w:link w:val="BalloonText"/>
    <w:uiPriority w:val="99"/>
    <w:semiHidden/>
    <w:rsid w:val="001F50CE"/>
    <w:rPr>
      <w:rFonts w:ascii="Tahoma" w:hAnsi="Tahoma" w:cs="Tahoma"/>
      <w:sz w:val="16"/>
      <w:szCs w:val="16"/>
    </w:rPr>
  </w:style>
  <w:style w:type="paragraph" w:styleId="Header">
    <w:name w:val="header"/>
    <w:basedOn w:val="Normal"/>
    <w:link w:val="HeaderChar"/>
    <w:uiPriority w:val="99"/>
    <w:unhideWhenUsed/>
    <w:rsid w:val="00924B0F"/>
    <w:pPr>
      <w:tabs>
        <w:tab w:val="center" w:pos="4680"/>
        <w:tab w:val="right" w:pos="9360"/>
      </w:tabs>
    </w:pPr>
  </w:style>
  <w:style w:type="character" w:customStyle="1" w:styleId="HeaderChar">
    <w:name w:val="Header Char"/>
    <w:basedOn w:val="DefaultParagraphFont"/>
    <w:link w:val="Header"/>
    <w:uiPriority w:val="99"/>
    <w:rsid w:val="00924B0F"/>
    <w:rPr>
      <w:rFonts w:ascii="Shruti" w:hAnsi="Shruti" w:cs="Times New Roman"/>
      <w:sz w:val="24"/>
      <w:szCs w:val="24"/>
    </w:rPr>
  </w:style>
  <w:style w:type="paragraph" w:styleId="Footer">
    <w:name w:val="footer"/>
    <w:basedOn w:val="Normal"/>
    <w:link w:val="FooterChar"/>
    <w:uiPriority w:val="99"/>
    <w:unhideWhenUsed/>
    <w:rsid w:val="00924B0F"/>
    <w:pPr>
      <w:tabs>
        <w:tab w:val="center" w:pos="4680"/>
        <w:tab w:val="right" w:pos="9360"/>
      </w:tabs>
    </w:pPr>
  </w:style>
  <w:style w:type="character" w:customStyle="1" w:styleId="FooterChar">
    <w:name w:val="Footer Char"/>
    <w:basedOn w:val="DefaultParagraphFont"/>
    <w:link w:val="Footer"/>
    <w:uiPriority w:val="99"/>
    <w:rsid w:val="00924B0F"/>
    <w:rPr>
      <w:rFonts w:ascii="Shruti" w:hAnsi="Shrut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C5-F292-4F2A-AC71-DBE46806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5F734B66</Template>
  <TotalTime>477</TotalTime>
  <Pages>8</Pages>
  <Words>2623</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long0339</cp:lastModifiedBy>
  <cp:revision>29</cp:revision>
  <cp:lastPrinted>2012-01-19T17:18:00Z</cp:lastPrinted>
  <dcterms:created xsi:type="dcterms:W3CDTF">2011-12-29T18:25:00Z</dcterms:created>
  <dcterms:modified xsi:type="dcterms:W3CDTF">2012-05-08T12:31:00Z</dcterms:modified>
</cp:coreProperties>
</file>