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1C3" w:rsidRDefault="002911C3">
      <w:pPr>
        <w:widowControl/>
        <w:tabs>
          <w:tab w:val="left" w:pos="360"/>
        </w:tabs>
        <w:jc w:val="center"/>
        <w:rPr>
          <w:rFonts w:ascii="Times New Roman" w:hAnsi="Times New Roman"/>
          <w:b/>
          <w:bCs/>
          <w:color w:val="000000"/>
          <w:szCs w:val="24"/>
        </w:rPr>
      </w:pPr>
      <w:r w:rsidRPr="002911C3">
        <w:rPr>
          <w:rFonts w:ascii="Times New Roman" w:hAnsi="Times New Roman"/>
          <w:b/>
          <w:bCs/>
          <w:color w:val="000000"/>
          <w:szCs w:val="24"/>
        </w:rPr>
        <w:t xml:space="preserve">Supporting Statement for the </w:t>
      </w:r>
    </w:p>
    <w:p w:rsidR="00D172C5" w:rsidRPr="002911C3" w:rsidRDefault="002911C3">
      <w:pPr>
        <w:widowControl/>
        <w:tabs>
          <w:tab w:val="left" w:pos="360"/>
        </w:tabs>
        <w:jc w:val="center"/>
        <w:rPr>
          <w:rFonts w:ascii="Times New Roman" w:hAnsi="Times New Roman"/>
          <w:b/>
          <w:bCs/>
          <w:szCs w:val="24"/>
        </w:rPr>
      </w:pPr>
      <w:r w:rsidRPr="002911C3">
        <w:rPr>
          <w:rFonts w:ascii="Times New Roman" w:hAnsi="Times New Roman"/>
          <w:b/>
          <w:color w:val="000000"/>
          <w:szCs w:val="24"/>
        </w:rPr>
        <w:t>Recordkeeping Requirements of Regulation H and Regulation K Associated with Bank Secrecy Act Compliance Programs</w:t>
      </w:r>
      <w:r w:rsidRPr="002911C3">
        <w:rPr>
          <w:rFonts w:ascii="Times New Roman" w:hAnsi="Times New Roman"/>
          <w:b/>
          <w:bCs/>
          <w:color w:val="000000"/>
          <w:szCs w:val="24"/>
        </w:rPr>
        <w:t xml:space="preserve"> (</w:t>
      </w:r>
      <w:proofErr w:type="spellStart"/>
      <w:r w:rsidRPr="002911C3">
        <w:rPr>
          <w:rFonts w:ascii="Times New Roman" w:hAnsi="Times New Roman"/>
          <w:b/>
          <w:bCs/>
          <w:color w:val="000000"/>
          <w:szCs w:val="24"/>
        </w:rPr>
        <w:t>Reg</w:t>
      </w:r>
      <w:proofErr w:type="spellEnd"/>
      <w:r w:rsidRPr="002911C3">
        <w:rPr>
          <w:rFonts w:ascii="Times New Roman" w:hAnsi="Times New Roman"/>
          <w:b/>
          <w:bCs/>
          <w:color w:val="000000"/>
          <w:szCs w:val="24"/>
        </w:rPr>
        <w:t xml:space="preserve"> K; OMB No. 7100-0310)</w:t>
      </w:r>
    </w:p>
    <w:p w:rsidR="00D172C5" w:rsidRDefault="00D172C5">
      <w:pPr>
        <w:widowControl/>
        <w:tabs>
          <w:tab w:val="left" w:pos="360"/>
        </w:tabs>
        <w:rPr>
          <w:rFonts w:ascii="Times" w:hAnsi="Times"/>
          <w:b/>
          <w:bCs/>
          <w:sz w:val="22"/>
        </w:rPr>
      </w:pPr>
    </w:p>
    <w:p w:rsidR="00D172C5" w:rsidRPr="00E96604" w:rsidRDefault="00D172C5">
      <w:pPr>
        <w:pStyle w:val="MemoHeader"/>
        <w:tabs>
          <w:tab w:val="left" w:pos="360"/>
        </w:tabs>
        <w:rPr>
          <w:rFonts w:ascii="Times New Roman" w:hAnsi="Times New Roman"/>
          <w:smallCaps w:val="0"/>
          <w:snapToGrid w:val="0"/>
          <w:szCs w:val="24"/>
        </w:rPr>
      </w:pPr>
    </w:p>
    <w:p w:rsidR="00D172C5" w:rsidRPr="00E96604" w:rsidRDefault="00D172C5">
      <w:pPr>
        <w:widowControl/>
        <w:tabs>
          <w:tab w:val="left" w:pos="360"/>
        </w:tabs>
        <w:outlineLvl w:val="0"/>
        <w:rPr>
          <w:rFonts w:ascii="Times New Roman" w:hAnsi="Times New Roman"/>
          <w:szCs w:val="24"/>
        </w:rPr>
      </w:pPr>
      <w:r w:rsidRPr="00E96604">
        <w:rPr>
          <w:rFonts w:ascii="Times New Roman" w:hAnsi="Times New Roman"/>
          <w:b/>
          <w:szCs w:val="24"/>
        </w:rPr>
        <w:t>Summary</w:t>
      </w:r>
    </w:p>
    <w:p w:rsidR="00D172C5" w:rsidRPr="00E96604" w:rsidRDefault="00D172C5">
      <w:pPr>
        <w:pStyle w:val="MemoHeader"/>
        <w:tabs>
          <w:tab w:val="left" w:pos="360"/>
        </w:tabs>
        <w:rPr>
          <w:rFonts w:ascii="Times New Roman" w:hAnsi="Times New Roman"/>
          <w:smallCaps w:val="0"/>
          <w:snapToGrid w:val="0"/>
          <w:szCs w:val="24"/>
        </w:rPr>
      </w:pPr>
    </w:p>
    <w:p w:rsidR="007E2CE6" w:rsidRPr="009654DB" w:rsidRDefault="00D172C5" w:rsidP="007E2CE6">
      <w:pPr>
        <w:rPr>
          <w:rFonts w:ascii="Times New Roman" w:hAnsi="Times New Roman"/>
          <w:color w:val="000000"/>
          <w:szCs w:val="24"/>
        </w:rPr>
      </w:pPr>
      <w:r w:rsidRPr="002911C3">
        <w:rPr>
          <w:rFonts w:ascii="Times New Roman" w:hAnsi="Times New Roman"/>
        </w:rPr>
        <w:tab/>
        <w:t xml:space="preserve">The Board of Governors of the Federal Reserve System, under delegated authority from the Office of Management and Budget (OMB), </w:t>
      </w:r>
      <w:r w:rsidR="007E2CE6" w:rsidRPr="009654DB">
        <w:rPr>
          <w:rFonts w:ascii="Times New Roman" w:hAnsi="Times New Roman"/>
          <w:color w:val="000000"/>
          <w:szCs w:val="24"/>
        </w:rPr>
        <w:t xml:space="preserve">proposes to extend for three years, </w:t>
      </w:r>
      <w:r w:rsidR="007E2CE6" w:rsidRPr="007B6DD4">
        <w:rPr>
          <w:rFonts w:ascii="Times New Roman" w:hAnsi="Times New Roman"/>
          <w:color w:val="000000"/>
          <w:szCs w:val="24"/>
        </w:rPr>
        <w:t>without revision,</w:t>
      </w:r>
      <w:r w:rsidR="007E2CE6" w:rsidRPr="009654DB">
        <w:rPr>
          <w:rFonts w:ascii="Times New Roman" w:hAnsi="Times New Roman"/>
          <w:color w:val="000000"/>
          <w:szCs w:val="24"/>
        </w:rPr>
        <w:t xml:space="preserve"> </w:t>
      </w:r>
      <w:r w:rsidR="007E2CE6">
        <w:rPr>
          <w:rFonts w:ascii="Times New Roman" w:hAnsi="Times New Roman"/>
          <w:color w:val="000000"/>
          <w:szCs w:val="24"/>
        </w:rPr>
        <w:t>the mandatory Recordkeeping</w:t>
      </w:r>
      <w:r w:rsidR="007E2CE6" w:rsidRPr="00AC5CC4">
        <w:rPr>
          <w:rFonts w:ascii="Times New Roman" w:hAnsi="Times New Roman"/>
          <w:color w:val="000000"/>
          <w:szCs w:val="24"/>
        </w:rPr>
        <w:t xml:space="preserve"> Requirements </w:t>
      </w:r>
      <w:r w:rsidR="007E2CE6">
        <w:rPr>
          <w:rFonts w:ascii="Times New Roman" w:hAnsi="Times New Roman"/>
          <w:color w:val="000000"/>
          <w:szCs w:val="24"/>
        </w:rPr>
        <w:t xml:space="preserve">of Regulation H and Regulation K </w:t>
      </w:r>
      <w:r w:rsidR="007E2CE6" w:rsidRPr="00AC5CC4">
        <w:rPr>
          <w:rFonts w:ascii="Times New Roman" w:hAnsi="Times New Roman"/>
          <w:color w:val="000000"/>
          <w:szCs w:val="24"/>
        </w:rPr>
        <w:t xml:space="preserve">Associated with </w:t>
      </w:r>
      <w:r w:rsidR="007E2CE6">
        <w:rPr>
          <w:rFonts w:ascii="Times New Roman" w:hAnsi="Times New Roman"/>
          <w:color w:val="000000"/>
          <w:szCs w:val="24"/>
        </w:rPr>
        <w:t>Bank Secrecy Act Compliance Programs</w:t>
      </w:r>
      <w:r w:rsidR="007E2CE6" w:rsidRPr="009654DB">
        <w:rPr>
          <w:rFonts w:ascii="Times New Roman" w:hAnsi="Times New Roman"/>
          <w:color w:val="000000"/>
          <w:szCs w:val="24"/>
        </w:rPr>
        <w:t xml:space="preserve"> (OMB No. 7100-0310)</w:t>
      </w:r>
      <w:r w:rsidR="007E2CE6">
        <w:rPr>
          <w:rFonts w:ascii="Times New Roman" w:hAnsi="Times New Roman"/>
          <w:color w:val="000000"/>
          <w:szCs w:val="24"/>
        </w:rPr>
        <w:t xml:space="preserve">.  </w:t>
      </w:r>
      <w:r w:rsidR="007E2CE6" w:rsidRPr="009654DB">
        <w:rPr>
          <w:rFonts w:ascii="Times New Roman" w:hAnsi="Times New Roman"/>
          <w:szCs w:val="24"/>
        </w:rPr>
        <w:t xml:space="preserve">The </w:t>
      </w:r>
      <w:r w:rsidR="007E2CE6">
        <w:rPr>
          <w:rFonts w:ascii="Times New Roman" w:hAnsi="Times New Roman"/>
          <w:szCs w:val="24"/>
        </w:rPr>
        <w:t>Federal Reserve</w:t>
      </w:r>
      <w:r w:rsidR="007E2CE6" w:rsidRPr="009654DB">
        <w:rPr>
          <w:rFonts w:ascii="Times New Roman" w:hAnsi="Times New Roman"/>
          <w:szCs w:val="24"/>
        </w:rPr>
        <w:t xml:space="preserve"> is required to renew these requirements every three years pursuant to the Paperwork Reduction Act of 1995,</w:t>
      </w:r>
      <w:r w:rsidR="007E2CE6" w:rsidRPr="009654DB">
        <w:rPr>
          <w:rStyle w:val="FootnoteReference"/>
          <w:rFonts w:ascii="Times New Roman" w:hAnsi="Times New Roman"/>
          <w:color w:val="000000"/>
        </w:rPr>
        <w:footnoteReference w:id="1"/>
      </w:r>
      <w:r w:rsidR="007E2CE6" w:rsidRPr="009654DB">
        <w:rPr>
          <w:rFonts w:ascii="Times New Roman" w:hAnsi="Times New Roman"/>
          <w:szCs w:val="24"/>
        </w:rPr>
        <w:t xml:space="preserve"> which classifies </w:t>
      </w:r>
      <w:r w:rsidR="007E2CE6">
        <w:rPr>
          <w:rFonts w:ascii="Times New Roman" w:hAnsi="Times New Roman"/>
          <w:szCs w:val="24"/>
        </w:rPr>
        <w:t xml:space="preserve">recordkeeping in </w:t>
      </w:r>
      <w:r w:rsidR="007E2CE6" w:rsidRPr="009654DB">
        <w:rPr>
          <w:rFonts w:ascii="Times New Roman" w:hAnsi="Times New Roman"/>
          <w:szCs w:val="24"/>
        </w:rPr>
        <w:t xml:space="preserve">regulations such as Regulation </w:t>
      </w:r>
      <w:r w:rsidR="007E2CE6">
        <w:rPr>
          <w:rFonts w:ascii="Times New Roman" w:hAnsi="Times New Roman"/>
          <w:szCs w:val="24"/>
        </w:rPr>
        <w:t xml:space="preserve">H and </w:t>
      </w:r>
      <w:r w:rsidR="007E2CE6" w:rsidRPr="009654DB">
        <w:rPr>
          <w:rFonts w:ascii="Times New Roman" w:hAnsi="Times New Roman"/>
          <w:szCs w:val="24"/>
        </w:rPr>
        <w:t xml:space="preserve">Regulation </w:t>
      </w:r>
      <w:r w:rsidR="007E2CE6">
        <w:rPr>
          <w:rFonts w:ascii="Times New Roman" w:hAnsi="Times New Roman"/>
          <w:szCs w:val="24"/>
        </w:rPr>
        <w:t>K</w:t>
      </w:r>
      <w:r w:rsidR="007E2CE6" w:rsidRPr="009654DB">
        <w:rPr>
          <w:rFonts w:ascii="Times New Roman" w:hAnsi="Times New Roman"/>
          <w:szCs w:val="24"/>
        </w:rPr>
        <w:t xml:space="preserve"> as “required information collections.”</w:t>
      </w:r>
      <w:r w:rsidR="007E2CE6">
        <w:rPr>
          <w:rFonts w:ascii="Times New Roman" w:hAnsi="Times New Roman"/>
          <w:szCs w:val="24"/>
        </w:rPr>
        <w:t xml:space="preserve">  </w:t>
      </w:r>
    </w:p>
    <w:p w:rsidR="007E2CE6" w:rsidRPr="00AC5CC4" w:rsidRDefault="007E2CE6" w:rsidP="007E2CE6">
      <w:pPr>
        <w:rPr>
          <w:rFonts w:ascii="Times New Roman" w:hAnsi="Times New Roman"/>
          <w:color w:val="000000"/>
          <w:szCs w:val="24"/>
        </w:rPr>
      </w:pPr>
    </w:p>
    <w:p w:rsidR="007E2CE6" w:rsidRPr="003E46FA" w:rsidRDefault="007E2CE6" w:rsidP="007E2CE6">
      <w:pPr>
        <w:ind w:firstLine="720"/>
        <w:rPr>
          <w:rFonts w:ascii="Times New Roman" w:hAnsi="Times New Roman"/>
          <w:szCs w:val="24"/>
        </w:rPr>
      </w:pPr>
      <w:r>
        <w:rPr>
          <w:rFonts w:ascii="Times New Roman" w:hAnsi="Times New Roman"/>
          <w:szCs w:val="24"/>
        </w:rPr>
        <w:t>S</w:t>
      </w:r>
      <w:r>
        <w:rPr>
          <w:rFonts w:ascii="Times New Roman" w:hAnsi="Times New Roman"/>
          <w:color w:val="000000"/>
          <w:szCs w:val="24"/>
        </w:rPr>
        <w:t xml:space="preserve">ections </w:t>
      </w:r>
      <w:r w:rsidRPr="00AC5CC4">
        <w:rPr>
          <w:rFonts w:ascii="Times New Roman" w:hAnsi="Times New Roman"/>
          <w:color w:val="000000"/>
          <w:szCs w:val="24"/>
        </w:rPr>
        <w:t>211.5</w:t>
      </w:r>
      <w:r>
        <w:rPr>
          <w:rFonts w:ascii="Times New Roman" w:hAnsi="Times New Roman"/>
          <w:color w:val="000000"/>
          <w:szCs w:val="24"/>
        </w:rPr>
        <w:t>(m)(1)</w:t>
      </w:r>
      <w:r w:rsidRPr="00AC5CC4">
        <w:rPr>
          <w:rFonts w:ascii="Times New Roman" w:hAnsi="Times New Roman"/>
          <w:color w:val="000000"/>
          <w:szCs w:val="24"/>
        </w:rPr>
        <w:t xml:space="preserve"> and 211.24</w:t>
      </w:r>
      <w:r>
        <w:rPr>
          <w:rFonts w:ascii="Times New Roman" w:hAnsi="Times New Roman"/>
          <w:color w:val="000000"/>
          <w:szCs w:val="24"/>
        </w:rPr>
        <w:t>(j)(1)</w:t>
      </w:r>
      <w:r w:rsidRPr="00AC5CC4">
        <w:rPr>
          <w:rFonts w:ascii="Times New Roman" w:hAnsi="Times New Roman"/>
          <w:color w:val="000000"/>
          <w:szCs w:val="24"/>
        </w:rPr>
        <w:t xml:space="preserve"> </w:t>
      </w:r>
      <w:r>
        <w:rPr>
          <w:rFonts w:ascii="Times New Roman" w:hAnsi="Times New Roman"/>
          <w:color w:val="000000"/>
          <w:szCs w:val="24"/>
        </w:rPr>
        <w:t xml:space="preserve">of </w:t>
      </w:r>
      <w:r w:rsidRPr="00AC5CC4">
        <w:rPr>
          <w:rFonts w:ascii="Times New Roman" w:hAnsi="Times New Roman"/>
          <w:szCs w:val="24"/>
        </w:rPr>
        <w:t xml:space="preserve">Regulation K </w:t>
      </w:r>
      <w:r>
        <w:rPr>
          <w:rFonts w:ascii="Times New Roman" w:hAnsi="Times New Roman"/>
          <w:szCs w:val="24"/>
        </w:rPr>
        <w:t xml:space="preserve">require </w:t>
      </w:r>
      <w:r w:rsidRPr="00AC5CC4">
        <w:rPr>
          <w:rFonts w:ascii="Times New Roman" w:hAnsi="Times New Roman"/>
          <w:szCs w:val="24"/>
        </w:rPr>
        <w:t>Edge and agreement corporations and U.S. branches, agencies, and other offices of foreign banks supervised by the Federal Reserve</w:t>
      </w:r>
      <w:r w:rsidDel="00D62756">
        <w:rPr>
          <w:rFonts w:ascii="Times New Roman" w:hAnsi="Times New Roman"/>
          <w:color w:val="000000"/>
          <w:szCs w:val="24"/>
        </w:rPr>
        <w:t xml:space="preserve"> </w:t>
      </w:r>
      <w:r w:rsidRPr="00AC5CC4">
        <w:rPr>
          <w:rFonts w:ascii="Times New Roman" w:hAnsi="Times New Roman"/>
          <w:szCs w:val="24"/>
        </w:rPr>
        <w:t>to establish and maintain procedures reasonably designed to ensure and monitor compliance with the Bank Secrecy Act (BSA) and related regulations</w:t>
      </w:r>
      <w:r>
        <w:rPr>
          <w:rFonts w:ascii="Times New Roman" w:hAnsi="Times New Roman"/>
          <w:szCs w:val="24"/>
        </w:rPr>
        <w:t xml:space="preserve">.  Section 208.63 of Regulation H requires state member banks to establish and maintain the same procedures.  </w:t>
      </w:r>
      <w:r w:rsidRPr="00AC5CC4">
        <w:rPr>
          <w:rFonts w:ascii="Times New Roman" w:hAnsi="Times New Roman"/>
          <w:szCs w:val="24"/>
        </w:rPr>
        <w:t xml:space="preserve">There </w:t>
      </w:r>
      <w:r w:rsidRPr="003E46FA">
        <w:rPr>
          <w:rFonts w:ascii="Times New Roman" w:hAnsi="Times New Roman"/>
          <w:szCs w:val="24"/>
        </w:rPr>
        <w:t xml:space="preserve">are no required reporting forms associated with </w:t>
      </w:r>
      <w:r w:rsidRPr="003E46FA">
        <w:rPr>
          <w:rFonts w:ascii="Times New Roman" w:hAnsi="Times New Roman"/>
          <w:color w:val="000000"/>
          <w:szCs w:val="24"/>
        </w:rPr>
        <w:t>th</w:t>
      </w:r>
      <w:r>
        <w:rPr>
          <w:rFonts w:ascii="Times New Roman" w:hAnsi="Times New Roman"/>
          <w:color w:val="000000"/>
          <w:szCs w:val="24"/>
        </w:rPr>
        <w:t>is information collection</w:t>
      </w:r>
      <w:r w:rsidRPr="003E46FA">
        <w:rPr>
          <w:rFonts w:ascii="Times New Roman" w:hAnsi="Times New Roman"/>
          <w:szCs w:val="24"/>
        </w:rPr>
        <w:t xml:space="preserve">.  The Federal Reserve’s total current annual burden is estimated to be 4,604 hours.  </w:t>
      </w:r>
    </w:p>
    <w:p w:rsidR="007E2CE6" w:rsidRPr="003E46FA" w:rsidRDefault="007E2CE6" w:rsidP="007E2CE6">
      <w:pPr>
        <w:rPr>
          <w:rFonts w:ascii="Times New Roman" w:hAnsi="Times New Roman"/>
          <w:szCs w:val="24"/>
        </w:rPr>
      </w:pPr>
    </w:p>
    <w:p w:rsidR="007E2CE6" w:rsidRPr="003E46FA" w:rsidRDefault="007E2CE6" w:rsidP="007E2CE6">
      <w:pPr>
        <w:jc w:val="both"/>
        <w:rPr>
          <w:rFonts w:ascii="Times New Roman" w:hAnsi="Times New Roman"/>
          <w:color w:val="000000"/>
          <w:szCs w:val="24"/>
        </w:rPr>
      </w:pPr>
      <w:r w:rsidRPr="003E46FA">
        <w:rPr>
          <w:rFonts w:ascii="Times New Roman" w:hAnsi="Times New Roman"/>
          <w:b/>
          <w:bCs/>
          <w:color w:val="000000"/>
          <w:szCs w:val="24"/>
        </w:rPr>
        <w:t>Background and Justification</w:t>
      </w:r>
    </w:p>
    <w:p w:rsidR="007E2CE6" w:rsidRPr="003E46FA" w:rsidRDefault="007E2CE6" w:rsidP="007E2CE6">
      <w:pPr>
        <w:jc w:val="both"/>
        <w:rPr>
          <w:rFonts w:ascii="Times New Roman" w:hAnsi="Times New Roman"/>
          <w:color w:val="000000"/>
          <w:szCs w:val="24"/>
        </w:rPr>
      </w:pPr>
    </w:p>
    <w:p w:rsidR="007E2CE6" w:rsidRPr="00AC5CC4" w:rsidRDefault="007E2CE6" w:rsidP="007E2CE6">
      <w:pPr>
        <w:widowControl/>
        <w:rPr>
          <w:rFonts w:ascii="Times New Roman" w:hAnsi="Times New Roman"/>
          <w:color w:val="000000"/>
          <w:szCs w:val="24"/>
        </w:rPr>
      </w:pPr>
      <w:r w:rsidRPr="00AC5CC4">
        <w:rPr>
          <w:rFonts w:ascii="Times New Roman" w:hAnsi="Times New Roman"/>
          <w:color w:val="000000"/>
          <w:szCs w:val="24"/>
        </w:rPr>
        <w:tab/>
        <w:t xml:space="preserve">In 1987, the federal banking agencies amended their respective regulations to require the banks, savings associations, and credit unions they regulate to establish and maintain procedures to assure and monitor compliance with the requirements of the BSA and the Treasury regulations promulgated </w:t>
      </w:r>
      <w:proofErr w:type="spellStart"/>
      <w:r w:rsidRPr="00AC5CC4">
        <w:rPr>
          <w:rFonts w:ascii="Times New Roman" w:hAnsi="Times New Roman"/>
          <w:color w:val="000000"/>
          <w:szCs w:val="24"/>
        </w:rPr>
        <w:t>thereunder</w:t>
      </w:r>
      <w:proofErr w:type="spellEnd"/>
      <w:r w:rsidRPr="00AC5CC4">
        <w:rPr>
          <w:rFonts w:ascii="Times New Roman" w:hAnsi="Times New Roman"/>
          <w:color w:val="000000"/>
          <w:szCs w:val="24"/>
        </w:rPr>
        <w:t>.</w:t>
      </w:r>
      <w:r w:rsidRPr="00AC5CC4">
        <w:rPr>
          <w:rStyle w:val="FootnoteReference"/>
          <w:rFonts w:ascii="Times New Roman" w:hAnsi="Times New Roman"/>
          <w:color w:val="000000"/>
        </w:rPr>
        <w:footnoteReference w:id="2"/>
      </w:r>
      <w:r w:rsidRPr="00AC5CC4">
        <w:rPr>
          <w:rFonts w:ascii="Times New Roman" w:hAnsi="Times New Roman"/>
          <w:color w:val="000000"/>
          <w:szCs w:val="24"/>
        </w:rPr>
        <w:t xml:space="preserve">  The BSA generally requires financial institutions to, among other things, keep records and make reports that have a high degree of usefulness in criminal, tax, or regulatory proceedings.  The 1987 amendments to the regulations were adopted to comply with the requirements of section 1359 of the Anti-Drug Abuse Act of 1986, </w:t>
      </w:r>
      <w:r>
        <w:rPr>
          <w:rFonts w:ascii="Times New Roman" w:hAnsi="Times New Roman"/>
          <w:color w:val="000000"/>
          <w:szCs w:val="24"/>
        </w:rPr>
        <w:t>P</w:t>
      </w:r>
      <w:r w:rsidRPr="00AC5CC4">
        <w:rPr>
          <w:rFonts w:ascii="Times New Roman" w:hAnsi="Times New Roman"/>
          <w:color w:val="000000"/>
          <w:szCs w:val="24"/>
        </w:rPr>
        <w:t>ub. L. 99-570, which required the agencies to prescribe regulations requiring the institutions they regulate to establish and maintain procedures reasonably designed to assure and monitor compliance with the BSA and to review such procedures during the course of their examinations.</w:t>
      </w:r>
    </w:p>
    <w:p w:rsidR="007E2CE6" w:rsidRPr="00AC5CC4" w:rsidRDefault="007E2CE6" w:rsidP="007E2CE6">
      <w:pPr>
        <w:jc w:val="both"/>
        <w:rPr>
          <w:rFonts w:ascii="Times New Roman" w:hAnsi="Times New Roman"/>
          <w:color w:val="000000"/>
          <w:szCs w:val="24"/>
        </w:rPr>
      </w:pPr>
    </w:p>
    <w:p w:rsidR="007E2CE6" w:rsidRDefault="007E2CE6" w:rsidP="007E2CE6">
      <w:pPr>
        <w:ind w:firstLine="720"/>
        <w:rPr>
          <w:rFonts w:ascii="Times New Roman" w:hAnsi="Times New Roman"/>
          <w:color w:val="000000"/>
          <w:szCs w:val="24"/>
        </w:rPr>
      </w:pPr>
      <w:r w:rsidRPr="00AC5CC4">
        <w:rPr>
          <w:rFonts w:ascii="Times New Roman" w:hAnsi="Times New Roman"/>
          <w:szCs w:val="24"/>
        </w:rPr>
        <w:t xml:space="preserve">The amendments to the regulations incorporated the minimum components of </w:t>
      </w:r>
      <w:r>
        <w:rPr>
          <w:rFonts w:ascii="Times New Roman" w:hAnsi="Times New Roman"/>
          <w:szCs w:val="24"/>
        </w:rPr>
        <w:t xml:space="preserve">a </w:t>
      </w:r>
      <w:r w:rsidRPr="00AC5CC4">
        <w:rPr>
          <w:rFonts w:ascii="Times New Roman" w:hAnsi="Times New Roman"/>
          <w:szCs w:val="24"/>
        </w:rPr>
        <w:t xml:space="preserve">BSA compliance program as determined by the agencies and as generally set forth in the BSA (31 U.S.C. 5318(h)).  The </w:t>
      </w:r>
      <w:r>
        <w:rPr>
          <w:rFonts w:ascii="Times New Roman" w:hAnsi="Times New Roman"/>
          <w:szCs w:val="24"/>
        </w:rPr>
        <w:t xml:space="preserve">1987 </w:t>
      </w:r>
      <w:r w:rsidRPr="00AC5CC4">
        <w:rPr>
          <w:rFonts w:ascii="Times New Roman" w:hAnsi="Times New Roman"/>
          <w:szCs w:val="24"/>
        </w:rPr>
        <w:t xml:space="preserve">amendments to the Board’s regulation </w:t>
      </w:r>
      <w:r>
        <w:rPr>
          <w:rFonts w:ascii="Times New Roman" w:hAnsi="Times New Roman"/>
          <w:szCs w:val="24"/>
        </w:rPr>
        <w:t>were</w:t>
      </w:r>
      <w:r w:rsidRPr="00AC5CC4">
        <w:rPr>
          <w:rFonts w:ascii="Times New Roman" w:hAnsi="Times New Roman"/>
          <w:szCs w:val="24"/>
        </w:rPr>
        <w:t xml:space="preserve"> codified in </w:t>
      </w:r>
      <w:r>
        <w:rPr>
          <w:rFonts w:ascii="Times New Roman" w:hAnsi="Times New Roman"/>
          <w:szCs w:val="24"/>
        </w:rPr>
        <w:t xml:space="preserve">section 208.63 of </w:t>
      </w:r>
      <w:r w:rsidRPr="00AC5CC4">
        <w:rPr>
          <w:rFonts w:ascii="Times New Roman" w:hAnsi="Times New Roman"/>
          <w:szCs w:val="24"/>
        </w:rPr>
        <w:t xml:space="preserve">Regulation H and apply </w:t>
      </w:r>
      <w:r>
        <w:rPr>
          <w:rFonts w:ascii="Times New Roman" w:hAnsi="Times New Roman"/>
          <w:szCs w:val="24"/>
        </w:rPr>
        <w:t xml:space="preserve">only </w:t>
      </w:r>
      <w:r w:rsidRPr="00AC5CC4">
        <w:rPr>
          <w:rFonts w:ascii="Times New Roman" w:hAnsi="Times New Roman"/>
          <w:szCs w:val="24"/>
        </w:rPr>
        <w:t xml:space="preserve">to state member banks.  </w:t>
      </w:r>
      <w:r>
        <w:rPr>
          <w:rFonts w:ascii="Times New Roman" w:hAnsi="Times New Roman"/>
          <w:szCs w:val="24"/>
        </w:rPr>
        <w:t>C</w:t>
      </w:r>
      <w:r w:rsidRPr="00B529BD">
        <w:rPr>
          <w:rFonts w:ascii="Times New Roman" w:hAnsi="Times New Roman"/>
          <w:szCs w:val="24"/>
        </w:rPr>
        <w:t xml:space="preserve">orresponding provisions </w:t>
      </w:r>
      <w:r>
        <w:rPr>
          <w:rFonts w:ascii="Times New Roman" w:hAnsi="Times New Roman"/>
          <w:szCs w:val="24"/>
        </w:rPr>
        <w:t xml:space="preserve">were included in Regulation K in 2006 for Edge and agreement corporations and </w:t>
      </w:r>
      <w:smartTag w:uri="urn:schemas-microsoft-com:office:smarttags" w:element="country-region">
        <w:smartTag w:uri="urn:schemas-microsoft-com:office:smarttags" w:element="place">
          <w:r>
            <w:rPr>
              <w:rFonts w:ascii="Times New Roman" w:hAnsi="Times New Roman"/>
              <w:szCs w:val="24"/>
            </w:rPr>
            <w:t>U.S.</w:t>
          </w:r>
        </w:smartTag>
      </w:smartTag>
      <w:r>
        <w:rPr>
          <w:rFonts w:ascii="Times New Roman" w:hAnsi="Times New Roman"/>
          <w:szCs w:val="24"/>
        </w:rPr>
        <w:t xml:space="preserve"> branches, agencies, and representative offices of foreign banks.</w:t>
      </w:r>
      <w:r w:rsidRPr="009654DB">
        <w:rPr>
          <w:rStyle w:val="FootnoteReference"/>
          <w:rFonts w:ascii="Times New Roman" w:hAnsi="Times New Roman"/>
        </w:rPr>
        <w:footnoteReference w:id="3"/>
      </w:r>
      <w:r>
        <w:rPr>
          <w:rFonts w:ascii="Times New Roman" w:hAnsi="Times New Roman"/>
          <w:szCs w:val="24"/>
        </w:rPr>
        <w:t xml:space="preserve">  </w:t>
      </w:r>
      <w:r>
        <w:rPr>
          <w:rFonts w:ascii="Times New Roman" w:hAnsi="Times New Roman"/>
          <w:color w:val="000000"/>
          <w:szCs w:val="24"/>
        </w:rPr>
        <w:t>Those provisions were codified in sections</w:t>
      </w:r>
      <w:r w:rsidRPr="00AC5CC4">
        <w:rPr>
          <w:rFonts w:ascii="Times New Roman" w:hAnsi="Times New Roman"/>
          <w:color w:val="000000"/>
          <w:szCs w:val="24"/>
        </w:rPr>
        <w:t xml:space="preserve"> 211.5</w:t>
      </w:r>
      <w:r>
        <w:rPr>
          <w:rFonts w:ascii="Times New Roman" w:hAnsi="Times New Roman"/>
          <w:color w:val="000000"/>
          <w:szCs w:val="24"/>
        </w:rPr>
        <w:t>(m</w:t>
      </w:r>
      <w:proofErr w:type="gramStart"/>
      <w:r>
        <w:rPr>
          <w:rFonts w:ascii="Times New Roman" w:hAnsi="Times New Roman"/>
          <w:color w:val="000000"/>
          <w:szCs w:val="24"/>
        </w:rPr>
        <w:t>)(</w:t>
      </w:r>
      <w:proofErr w:type="gramEnd"/>
      <w:r>
        <w:rPr>
          <w:rFonts w:ascii="Times New Roman" w:hAnsi="Times New Roman"/>
          <w:color w:val="000000"/>
          <w:szCs w:val="24"/>
        </w:rPr>
        <w:t>1)</w:t>
      </w:r>
      <w:r w:rsidRPr="00AC5CC4">
        <w:rPr>
          <w:rFonts w:ascii="Times New Roman" w:hAnsi="Times New Roman"/>
          <w:color w:val="000000"/>
          <w:szCs w:val="24"/>
        </w:rPr>
        <w:t xml:space="preserve"> and 211.24</w:t>
      </w:r>
      <w:r>
        <w:rPr>
          <w:rFonts w:ascii="Times New Roman" w:hAnsi="Times New Roman"/>
          <w:color w:val="000000"/>
          <w:szCs w:val="24"/>
        </w:rPr>
        <w:t>(j)(1) of Regulation K.</w:t>
      </w:r>
    </w:p>
    <w:p w:rsidR="007E2CE6" w:rsidRDefault="007E2CE6" w:rsidP="007E2CE6">
      <w:pPr>
        <w:ind w:firstLine="720"/>
        <w:rPr>
          <w:rFonts w:ascii="Times New Roman" w:hAnsi="Times New Roman"/>
          <w:color w:val="000000"/>
          <w:szCs w:val="24"/>
        </w:rPr>
      </w:pPr>
    </w:p>
    <w:p w:rsidR="007E2CE6" w:rsidRPr="00AC5CC4" w:rsidRDefault="007E2CE6" w:rsidP="007E2CE6">
      <w:pPr>
        <w:jc w:val="both"/>
        <w:rPr>
          <w:rFonts w:ascii="Times New Roman" w:hAnsi="Times New Roman"/>
          <w:color w:val="000000"/>
          <w:szCs w:val="24"/>
        </w:rPr>
      </w:pPr>
      <w:r w:rsidRPr="00AC5CC4">
        <w:rPr>
          <w:rFonts w:ascii="Times New Roman" w:hAnsi="Times New Roman"/>
          <w:b/>
          <w:bCs/>
          <w:color w:val="000000"/>
          <w:szCs w:val="24"/>
        </w:rPr>
        <w:lastRenderedPageBreak/>
        <w:t>Description of Information Collection</w:t>
      </w:r>
    </w:p>
    <w:p w:rsidR="007E2CE6" w:rsidRPr="00AC5CC4" w:rsidRDefault="007E2CE6" w:rsidP="007E2CE6">
      <w:pPr>
        <w:jc w:val="both"/>
        <w:rPr>
          <w:rFonts w:ascii="Times New Roman" w:hAnsi="Times New Roman"/>
          <w:color w:val="000000"/>
          <w:szCs w:val="24"/>
        </w:rPr>
      </w:pPr>
    </w:p>
    <w:p w:rsidR="007E2CE6" w:rsidRPr="007E2CE6" w:rsidRDefault="007E2CE6" w:rsidP="007E2CE6">
      <w:pPr>
        <w:pStyle w:val="BodyText"/>
        <w:rPr>
          <w:b w:val="0"/>
        </w:rPr>
      </w:pPr>
      <w:r w:rsidRPr="007E2CE6">
        <w:rPr>
          <w:b w:val="0"/>
        </w:rPr>
        <w:tab/>
        <w:t xml:space="preserve">The BSA compliance program requirements of Regulation K and Regulation H require respondents to establish a written BSA compliance program that includes the following components: (1) a system of internal controls to assure ongoing compliance, (2) independent testing of compliance by the institution’s personnel or by an outside party, (3) the designation of an individual or individuals for coordinating and monitoring day-to-day compliance, and (4) training for appropriate personnel.  The compliance program must be approved by the board of directors and noted in the minutes, or in the case of a branch, agency, or other office of a foreign bank, it may also be approved by a </w:t>
      </w:r>
      <w:proofErr w:type="spellStart"/>
      <w:r w:rsidRPr="007E2CE6">
        <w:rPr>
          <w:b w:val="0"/>
        </w:rPr>
        <w:t>delegee</w:t>
      </w:r>
      <w:proofErr w:type="spellEnd"/>
      <w:r w:rsidRPr="007E2CE6">
        <w:rPr>
          <w:b w:val="0"/>
        </w:rPr>
        <w:t xml:space="preserve"> of the foreign bank’s board of directors.</w:t>
      </w:r>
    </w:p>
    <w:p w:rsidR="007E2CE6" w:rsidRDefault="007E2CE6" w:rsidP="007E2CE6">
      <w:pPr>
        <w:jc w:val="both"/>
        <w:rPr>
          <w:rFonts w:ascii="Times New Roman" w:hAnsi="Times New Roman"/>
          <w:b/>
          <w:bCs/>
          <w:color w:val="000000"/>
          <w:szCs w:val="24"/>
        </w:rPr>
      </w:pPr>
    </w:p>
    <w:p w:rsidR="007E2CE6" w:rsidRPr="00AC5CC4" w:rsidRDefault="007E2CE6" w:rsidP="007E2CE6">
      <w:pPr>
        <w:jc w:val="both"/>
        <w:rPr>
          <w:rFonts w:ascii="Times New Roman" w:hAnsi="Times New Roman"/>
          <w:color w:val="000000"/>
          <w:szCs w:val="24"/>
        </w:rPr>
      </w:pPr>
      <w:r w:rsidRPr="00AC5CC4">
        <w:rPr>
          <w:rFonts w:ascii="Times New Roman" w:hAnsi="Times New Roman"/>
          <w:b/>
          <w:bCs/>
          <w:color w:val="000000"/>
          <w:szCs w:val="24"/>
        </w:rPr>
        <w:t>Time Schedule for Information Collection</w:t>
      </w:r>
    </w:p>
    <w:p w:rsidR="007E2CE6" w:rsidRPr="00AC5CC4" w:rsidRDefault="007E2CE6" w:rsidP="007E2CE6">
      <w:pPr>
        <w:jc w:val="both"/>
        <w:rPr>
          <w:rFonts w:ascii="Times New Roman" w:hAnsi="Times New Roman"/>
          <w:color w:val="000000"/>
          <w:szCs w:val="24"/>
        </w:rPr>
      </w:pPr>
    </w:p>
    <w:p w:rsidR="007E2CE6" w:rsidRPr="007E2CE6" w:rsidRDefault="007E2CE6" w:rsidP="007E2CE6">
      <w:pPr>
        <w:pStyle w:val="BodyText"/>
        <w:rPr>
          <w:b w:val="0"/>
        </w:rPr>
      </w:pPr>
      <w:r w:rsidRPr="007E2CE6">
        <w:rPr>
          <w:b w:val="0"/>
        </w:rPr>
        <w:tab/>
        <w:t>This information collection contains a recordkeeping requirement, as mentioned above.  The creation of a BSA compliance program is a mandatory one-time requirement.  Subsequent changes to the program would be on-occasion.</w:t>
      </w:r>
    </w:p>
    <w:p w:rsidR="007E2CE6" w:rsidRPr="00AC5CC4" w:rsidRDefault="007E2CE6" w:rsidP="007E2CE6">
      <w:pPr>
        <w:jc w:val="both"/>
        <w:rPr>
          <w:rFonts w:ascii="Times New Roman" w:hAnsi="Times New Roman"/>
          <w:color w:val="000000"/>
          <w:szCs w:val="24"/>
        </w:rPr>
      </w:pPr>
    </w:p>
    <w:p w:rsidR="007E2CE6" w:rsidRPr="00AC5CC4" w:rsidRDefault="007E2CE6" w:rsidP="007E2CE6">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Cs w:val="24"/>
        </w:rPr>
      </w:pPr>
      <w:r w:rsidRPr="00AC5CC4">
        <w:rPr>
          <w:rFonts w:ascii="Times New Roman" w:hAnsi="Times New Roman"/>
          <w:b/>
          <w:bCs/>
          <w:color w:val="000000"/>
          <w:szCs w:val="24"/>
        </w:rPr>
        <w:t>Sensitive Questions</w:t>
      </w:r>
    </w:p>
    <w:p w:rsidR="007E2CE6" w:rsidRPr="00AC5CC4" w:rsidRDefault="007E2CE6" w:rsidP="007E2CE6">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Cs w:val="24"/>
        </w:rPr>
      </w:pPr>
    </w:p>
    <w:p w:rsidR="007E2CE6" w:rsidRPr="00AC5CC4" w:rsidRDefault="007E2CE6" w:rsidP="007E2CE6">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Cs w:val="24"/>
        </w:rPr>
      </w:pPr>
      <w:r w:rsidRPr="00AC5CC4">
        <w:rPr>
          <w:rFonts w:ascii="Times New Roman" w:hAnsi="Times New Roman"/>
          <w:color w:val="000000"/>
          <w:szCs w:val="24"/>
        </w:rPr>
        <w:tab/>
      </w:r>
      <w:r w:rsidRPr="00AC5CC4">
        <w:rPr>
          <w:rFonts w:ascii="Times New Roman" w:hAnsi="Times New Roman"/>
          <w:color w:val="000000"/>
          <w:szCs w:val="24"/>
        </w:rPr>
        <w:tab/>
        <w:t>This collection of information contains no questions of a sensitive nature, as defined by OMB guidelines.</w:t>
      </w:r>
    </w:p>
    <w:p w:rsidR="007E2CE6" w:rsidRDefault="007E2CE6" w:rsidP="007E2CE6">
      <w:pPr>
        <w:widowControl/>
        <w:rPr>
          <w:rFonts w:ascii="Times New Roman" w:hAnsi="Times New Roman"/>
          <w:b/>
          <w:bCs/>
          <w:color w:val="000000"/>
          <w:szCs w:val="24"/>
        </w:rPr>
      </w:pPr>
    </w:p>
    <w:p w:rsidR="007E2CE6" w:rsidRPr="00AC5CC4" w:rsidRDefault="007E2CE6" w:rsidP="007E2CE6">
      <w:pPr>
        <w:widowControl/>
        <w:rPr>
          <w:rFonts w:ascii="Times New Roman" w:hAnsi="Times New Roman"/>
          <w:color w:val="000000"/>
          <w:szCs w:val="24"/>
        </w:rPr>
      </w:pPr>
      <w:r w:rsidRPr="00AC5CC4">
        <w:rPr>
          <w:rFonts w:ascii="Times New Roman" w:hAnsi="Times New Roman"/>
          <w:b/>
          <w:bCs/>
          <w:color w:val="000000"/>
          <w:szCs w:val="24"/>
        </w:rPr>
        <w:t xml:space="preserve">Consultation </w:t>
      </w:r>
      <w:proofErr w:type="gramStart"/>
      <w:r w:rsidRPr="00AC5CC4">
        <w:rPr>
          <w:rFonts w:ascii="Times New Roman" w:hAnsi="Times New Roman"/>
          <w:b/>
          <w:bCs/>
          <w:color w:val="000000"/>
          <w:szCs w:val="24"/>
        </w:rPr>
        <w:t>Outside</w:t>
      </w:r>
      <w:proofErr w:type="gramEnd"/>
      <w:r w:rsidRPr="00AC5CC4">
        <w:rPr>
          <w:rFonts w:ascii="Times New Roman" w:hAnsi="Times New Roman"/>
          <w:b/>
          <w:bCs/>
          <w:color w:val="000000"/>
          <w:szCs w:val="24"/>
        </w:rPr>
        <w:t xml:space="preserve"> the Agency </w:t>
      </w:r>
    </w:p>
    <w:p w:rsidR="007E2CE6" w:rsidRPr="00AC5CC4" w:rsidRDefault="007E2CE6" w:rsidP="007E2CE6">
      <w:pPr>
        <w:jc w:val="both"/>
        <w:rPr>
          <w:rFonts w:ascii="Times New Roman" w:hAnsi="Times New Roman"/>
          <w:color w:val="000000"/>
          <w:szCs w:val="24"/>
        </w:rPr>
      </w:pPr>
    </w:p>
    <w:p w:rsidR="00494DA1" w:rsidRPr="00224D8A" w:rsidRDefault="00A5088D" w:rsidP="00494DA1">
      <w:pPr>
        <w:widowControl/>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ind w:firstLine="720"/>
        <w:rPr>
          <w:rFonts w:ascii="Times New Roman" w:hAnsi="Times New Roman"/>
        </w:rPr>
      </w:pPr>
      <w:r w:rsidRPr="00FD2DEC">
        <w:rPr>
          <w:rFonts w:ascii="Times New Roman" w:hAnsi="Times New Roman"/>
          <w:szCs w:val="24"/>
        </w:rPr>
        <w:t xml:space="preserve">On </w:t>
      </w:r>
      <w:r>
        <w:rPr>
          <w:rFonts w:ascii="Times New Roman" w:hAnsi="Times New Roman"/>
          <w:szCs w:val="24"/>
        </w:rPr>
        <w:t>January 6</w:t>
      </w:r>
      <w:r w:rsidRPr="00FD2DEC">
        <w:rPr>
          <w:rFonts w:ascii="Times New Roman" w:hAnsi="Times New Roman"/>
          <w:szCs w:val="24"/>
        </w:rPr>
        <w:t>, 20</w:t>
      </w:r>
      <w:r>
        <w:rPr>
          <w:rFonts w:ascii="Times New Roman" w:hAnsi="Times New Roman"/>
          <w:szCs w:val="24"/>
        </w:rPr>
        <w:t>12</w:t>
      </w:r>
      <w:r w:rsidRPr="00FD2DEC">
        <w:rPr>
          <w:rFonts w:ascii="Times New Roman" w:hAnsi="Times New Roman"/>
          <w:szCs w:val="24"/>
        </w:rPr>
        <w:t xml:space="preserve">, the Federal Reserve published a notice in the </w:t>
      </w:r>
      <w:r w:rsidRPr="00FD2DEC">
        <w:rPr>
          <w:rFonts w:ascii="Times New Roman" w:hAnsi="Times New Roman"/>
          <w:i/>
          <w:szCs w:val="24"/>
        </w:rPr>
        <w:t>Federal Register</w:t>
      </w:r>
      <w:r>
        <w:rPr>
          <w:rFonts w:ascii="Times New Roman" w:hAnsi="Times New Roman"/>
          <w:szCs w:val="24"/>
        </w:rPr>
        <w:t xml:space="preserve"> (77</w:t>
      </w:r>
      <w:r w:rsidRPr="00FD2DEC">
        <w:rPr>
          <w:rFonts w:ascii="Times New Roman" w:hAnsi="Times New Roman"/>
          <w:szCs w:val="24"/>
        </w:rPr>
        <w:t> FR </w:t>
      </w:r>
      <w:r w:rsidR="008D1416">
        <w:rPr>
          <w:rFonts w:ascii="Times New Roman" w:hAnsi="Times New Roman"/>
          <w:szCs w:val="24"/>
        </w:rPr>
        <w:t>794</w:t>
      </w:r>
      <w:r w:rsidRPr="00FD2DEC">
        <w:rPr>
          <w:rFonts w:ascii="Times New Roman" w:hAnsi="Times New Roman"/>
          <w:szCs w:val="24"/>
        </w:rPr>
        <w:t>) requesting public comment for 60 days on the extension, with</w:t>
      </w:r>
      <w:r w:rsidR="005966B1">
        <w:rPr>
          <w:rFonts w:ascii="Times New Roman" w:hAnsi="Times New Roman"/>
          <w:szCs w:val="24"/>
        </w:rPr>
        <w:t>out</w:t>
      </w:r>
      <w:r w:rsidRPr="00F80835">
        <w:rPr>
          <w:rFonts w:ascii="Times New Roman" w:hAnsi="Times New Roman"/>
          <w:szCs w:val="24"/>
        </w:rPr>
        <w:t xml:space="preserve"> </w:t>
      </w:r>
      <w:r w:rsidRPr="00FD2DEC">
        <w:rPr>
          <w:rFonts w:ascii="Times New Roman" w:hAnsi="Times New Roman"/>
          <w:szCs w:val="24"/>
        </w:rPr>
        <w:t xml:space="preserve">revision, of the </w:t>
      </w:r>
      <w:r w:rsidR="005966B1">
        <w:rPr>
          <w:rFonts w:ascii="Times New Roman" w:hAnsi="Times New Roman"/>
          <w:color w:val="000000"/>
          <w:szCs w:val="24"/>
        </w:rPr>
        <w:t>Recordkeeping</w:t>
      </w:r>
      <w:r w:rsidR="005966B1" w:rsidRPr="00AC5CC4">
        <w:rPr>
          <w:rFonts w:ascii="Times New Roman" w:hAnsi="Times New Roman"/>
          <w:color w:val="000000"/>
          <w:szCs w:val="24"/>
        </w:rPr>
        <w:t xml:space="preserve"> Requirements </w:t>
      </w:r>
      <w:r w:rsidR="005966B1">
        <w:rPr>
          <w:rFonts w:ascii="Times New Roman" w:hAnsi="Times New Roman"/>
          <w:color w:val="000000"/>
          <w:szCs w:val="24"/>
        </w:rPr>
        <w:t xml:space="preserve">of Regulation H and Regulation K </w:t>
      </w:r>
      <w:r w:rsidR="005966B1" w:rsidRPr="00AC5CC4">
        <w:rPr>
          <w:rFonts w:ascii="Times New Roman" w:hAnsi="Times New Roman"/>
          <w:color w:val="000000"/>
          <w:szCs w:val="24"/>
        </w:rPr>
        <w:t xml:space="preserve">Associated with </w:t>
      </w:r>
      <w:r w:rsidR="005966B1">
        <w:rPr>
          <w:rFonts w:ascii="Times New Roman" w:hAnsi="Times New Roman"/>
          <w:color w:val="000000"/>
          <w:szCs w:val="24"/>
        </w:rPr>
        <w:t>Bank Secrecy Act Compliance Programs</w:t>
      </w:r>
      <w:r w:rsidRPr="00FD2DEC">
        <w:rPr>
          <w:rFonts w:ascii="Times New Roman" w:hAnsi="Times New Roman"/>
          <w:szCs w:val="24"/>
        </w:rPr>
        <w:t>.  The comment period for this notice expire</w:t>
      </w:r>
      <w:r w:rsidR="00E63317">
        <w:rPr>
          <w:rFonts w:ascii="Times New Roman" w:hAnsi="Times New Roman"/>
          <w:szCs w:val="24"/>
        </w:rPr>
        <w:t>d</w:t>
      </w:r>
      <w:r w:rsidRPr="00FD2DEC">
        <w:rPr>
          <w:rFonts w:ascii="Times New Roman" w:hAnsi="Times New Roman"/>
          <w:szCs w:val="24"/>
        </w:rPr>
        <w:t xml:space="preserve"> on </w:t>
      </w:r>
      <w:r>
        <w:rPr>
          <w:rFonts w:ascii="Times New Roman" w:hAnsi="Times New Roman"/>
          <w:szCs w:val="24"/>
        </w:rPr>
        <w:t xml:space="preserve">March </w:t>
      </w:r>
      <w:r w:rsidR="008D1416">
        <w:rPr>
          <w:rFonts w:ascii="Times New Roman" w:hAnsi="Times New Roman"/>
          <w:szCs w:val="24"/>
        </w:rPr>
        <w:t>6</w:t>
      </w:r>
      <w:r w:rsidRPr="00FD2DEC">
        <w:rPr>
          <w:rFonts w:ascii="Times New Roman" w:hAnsi="Times New Roman"/>
          <w:szCs w:val="24"/>
        </w:rPr>
        <w:t>, 20</w:t>
      </w:r>
      <w:r>
        <w:rPr>
          <w:rFonts w:ascii="Times New Roman" w:hAnsi="Times New Roman"/>
          <w:szCs w:val="24"/>
        </w:rPr>
        <w:t>12</w:t>
      </w:r>
      <w:r w:rsidRPr="00FD2DEC">
        <w:rPr>
          <w:rFonts w:ascii="Times New Roman" w:hAnsi="Times New Roman"/>
          <w:szCs w:val="24"/>
        </w:rPr>
        <w:t>.</w:t>
      </w:r>
      <w:r w:rsidRPr="00807AEE">
        <w:rPr>
          <w:rFonts w:ascii="Times New Roman" w:hAnsi="Times New Roman"/>
        </w:rPr>
        <w:t xml:space="preserve"> </w:t>
      </w:r>
      <w:r>
        <w:rPr>
          <w:rFonts w:ascii="Times New Roman" w:hAnsi="Times New Roman"/>
        </w:rPr>
        <w:t xml:space="preserve"> </w:t>
      </w:r>
      <w:r w:rsidR="006005AD">
        <w:rPr>
          <w:rFonts w:ascii="Times New Roman" w:hAnsi="Times New Roman"/>
        </w:rPr>
        <w:t>The Federal R</w:t>
      </w:r>
      <w:r w:rsidR="00E63317">
        <w:rPr>
          <w:rFonts w:ascii="Times New Roman" w:hAnsi="Times New Roman"/>
        </w:rPr>
        <w:t xml:space="preserve">eserve did not receive any comments.  </w:t>
      </w:r>
      <w:r w:rsidR="00494DA1" w:rsidRPr="008D5BB0">
        <w:rPr>
          <w:rFonts w:ascii="Times New Roman" w:hAnsi="Times New Roman"/>
        </w:rPr>
        <w:t xml:space="preserve">On </w:t>
      </w:r>
      <w:r w:rsidR="00494DA1">
        <w:rPr>
          <w:rFonts w:ascii="Times New Roman" w:hAnsi="Times New Roman"/>
        </w:rPr>
        <w:t xml:space="preserve">March </w:t>
      </w:r>
      <w:r w:rsidR="00FF52E1">
        <w:rPr>
          <w:rFonts w:ascii="Times New Roman" w:hAnsi="Times New Roman"/>
        </w:rPr>
        <w:t>16</w:t>
      </w:r>
      <w:r w:rsidR="00494DA1">
        <w:rPr>
          <w:rFonts w:ascii="Times New Roman" w:hAnsi="Times New Roman"/>
        </w:rPr>
        <w:t>, 2012</w:t>
      </w:r>
      <w:r w:rsidR="00494DA1" w:rsidRPr="008D5BB0">
        <w:rPr>
          <w:rFonts w:ascii="Times New Roman" w:hAnsi="Times New Roman"/>
        </w:rPr>
        <w:t xml:space="preserve">, the </w:t>
      </w:r>
      <w:r w:rsidR="00494DA1">
        <w:rPr>
          <w:rFonts w:ascii="Times New Roman" w:hAnsi="Times New Roman"/>
        </w:rPr>
        <w:t>Federal Reserve</w:t>
      </w:r>
      <w:r w:rsidR="00494DA1" w:rsidRPr="008D5BB0">
        <w:rPr>
          <w:rFonts w:ascii="Times New Roman" w:hAnsi="Times New Roman"/>
        </w:rPr>
        <w:t xml:space="preserve"> published a</w:t>
      </w:r>
      <w:r w:rsidR="00494DA1">
        <w:rPr>
          <w:rFonts w:ascii="Times New Roman" w:hAnsi="Times New Roman"/>
        </w:rPr>
        <w:t xml:space="preserve"> final</w:t>
      </w:r>
      <w:r w:rsidR="00494DA1" w:rsidRPr="008D5BB0">
        <w:rPr>
          <w:rFonts w:ascii="Times New Roman" w:hAnsi="Times New Roman"/>
        </w:rPr>
        <w:t xml:space="preserve"> notice in the </w:t>
      </w:r>
      <w:r w:rsidR="00494DA1" w:rsidRPr="008D5BB0">
        <w:rPr>
          <w:rFonts w:ascii="Times New Roman" w:hAnsi="Times New Roman"/>
          <w:i/>
        </w:rPr>
        <w:t>Federal Register</w:t>
      </w:r>
      <w:r w:rsidR="00494DA1" w:rsidRPr="008D5BB0">
        <w:rPr>
          <w:rFonts w:ascii="Times New Roman" w:hAnsi="Times New Roman"/>
        </w:rPr>
        <w:t xml:space="preserve"> (7</w:t>
      </w:r>
      <w:r w:rsidR="00494DA1">
        <w:rPr>
          <w:rFonts w:ascii="Times New Roman" w:hAnsi="Times New Roman"/>
        </w:rPr>
        <w:t>8</w:t>
      </w:r>
      <w:r w:rsidR="00494DA1" w:rsidRPr="008D5BB0">
        <w:rPr>
          <w:rFonts w:ascii="Times New Roman" w:hAnsi="Times New Roman"/>
        </w:rPr>
        <w:t> FR </w:t>
      </w:r>
      <w:r w:rsidR="00797FBE">
        <w:rPr>
          <w:rFonts w:ascii="Times New Roman" w:hAnsi="Times New Roman"/>
        </w:rPr>
        <w:t>15757</w:t>
      </w:r>
      <w:r w:rsidR="00494DA1" w:rsidRPr="008D5BB0">
        <w:rPr>
          <w:rFonts w:ascii="Times New Roman" w:hAnsi="Times New Roman"/>
        </w:rPr>
        <w:t>)</w:t>
      </w:r>
      <w:r w:rsidR="00494DA1">
        <w:rPr>
          <w:rFonts w:ascii="Times New Roman" w:hAnsi="Times New Roman"/>
        </w:rPr>
        <w:t>.</w:t>
      </w:r>
    </w:p>
    <w:p w:rsidR="007E2CE6" w:rsidRPr="00AC5CC4" w:rsidRDefault="007E2CE6" w:rsidP="007E2CE6">
      <w:pPr>
        <w:jc w:val="both"/>
        <w:rPr>
          <w:rFonts w:ascii="Times New Roman" w:hAnsi="Times New Roman"/>
          <w:color w:val="000000"/>
          <w:szCs w:val="24"/>
        </w:rPr>
      </w:pPr>
    </w:p>
    <w:p w:rsidR="007E2CE6" w:rsidRPr="00AC5CC4" w:rsidRDefault="007E2CE6" w:rsidP="007E2CE6">
      <w:pPr>
        <w:jc w:val="both"/>
        <w:rPr>
          <w:rFonts w:ascii="Times New Roman" w:hAnsi="Times New Roman"/>
          <w:color w:val="000000"/>
          <w:szCs w:val="24"/>
        </w:rPr>
      </w:pPr>
      <w:r w:rsidRPr="00AC5CC4">
        <w:rPr>
          <w:rFonts w:ascii="Times New Roman" w:hAnsi="Times New Roman"/>
          <w:b/>
          <w:bCs/>
          <w:color w:val="000000"/>
          <w:szCs w:val="24"/>
        </w:rPr>
        <w:t xml:space="preserve">Legal Status </w:t>
      </w:r>
    </w:p>
    <w:p w:rsidR="007E2CE6" w:rsidRPr="00AC5CC4" w:rsidRDefault="007E2CE6" w:rsidP="007E2CE6">
      <w:pPr>
        <w:jc w:val="both"/>
        <w:rPr>
          <w:rFonts w:ascii="Times New Roman" w:hAnsi="Times New Roman"/>
          <w:color w:val="000000"/>
          <w:szCs w:val="24"/>
        </w:rPr>
      </w:pPr>
    </w:p>
    <w:p w:rsidR="007E2CE6" w:rsidRDefault="007E2CE6" w:rsidP="005966B1">
      <w:pPr>
        <w:rPr>
          <w:rFonts w:ascii="Times New Roman" w:hAnsi="Times New Roman"/>
          <w:b/>
          <w:bCs/>
          <w:color w:val="000000"/>
          <w:szCs w:val="24"/>
        </w:rPr>
      </w:pPr>
      <w:r w:rsidRPr="00AC5CC4">
        <w:rPr>
          <w:rFonts w:ascii="Times New Roman" w:hAnsi="Times New Roman"/>
          <w:color w:val="000000"/>
          <w:szCs w:val="24"/>
        </w:rPr>
        <w:tab/>
        <w:t xml:space="preserve">The Board's Legal Division has determined </w:t>
      </w:r>
      <w:r>
        <w:rPr>
          <w:rFonts w:ascii="Times New Roman" w:hAnsi="Times New Roman"/>
          <w:color w:val="000000"/>
          <w:szCs w:val="24"/>
        </w:rPr>
        <w:t>that the standards for BSA compliance programs associated with section 208.63 of Regulation H and with sections 211.5(m)(1) and 211.24(j)(1) of Regulation K are generally authorized pursuant to the BSA (31 U.S.C. 513(h)).  In addition, sections 11, 21, 25, and 25A of the Federal Reserve Act (12 U.S.C. 248(a), 483, 602, and 611(a)) authorize the Board to require the information collection and recordkeeping requirements set forth in Regulations H and K.  Section 5 of the Bank Holding Company Act (12 U.S.C. 1844) and section 13(a) of the International Banking Act (12 U.S.C. 3108(a)) provide further authority for sections 211.5(m) and 211.24(j</w:t>
      </w:r>
      <w:proofErr w:type="gramStart"/>
      <w:r>
        <w:rPr>
          <w:rFonts w:ascii="Times New Roman" w:hAnsi="Times New Roman"/>
          <w:color w:val="000000"/>
          <w:szCs w:val="24"/>
        </w:rPr>
        <w:t>)(</w:t>
      </w:r>
      <w:proofErr w:type="gramEnd"/>
      <w:r>
        <w:rPr>
          <w:rFonts w:ascii="Times New Roman" w:hAnsi="Times New Roman"/>
          <w:color w:val="000000"/>
          <w:szCs w:val="24"/>
        </w:rPr>
        <w:t xml:space="preserve">1) of Regulation K. </w:t>
      </w:r>
      <w:r w:rsidRPr="00E85E2E">
        <w:rPr>
          <w:rFonts w:ascii="Times New Roman" w:hAnsi="Times New Roman"/>
          <w:color w:val="000000"/>
          <w:szCs w:val="24"/>
        </w:rPr>
        <w:t xml:space="preserve"> </w:t>
      </w:r>
      <w:r w:rsidRPr="00AC5CC4">
        <w:rPr>
          <w:rFonts w:ascii="Times New Roman" w:hAnsi="Times New Roman"/>
          <w:color w:val="000000"/>
          <w:szCs w:val="24"/>
        </w:rPr>
        <w:t xml:space="preserve">Since the Federal Reserve does not collect any information, no issue of confidentiality normally arises.  However, if </w:t>
      </w:r>
      <w:r>
        <w:rPr>
          <w:rFonts w:ascii="Times New Roman" w:hAnsi="Times New Roman"/>
          <w:color w:val="000000"/>
          <w:szCs w:val="24"/>
        </w:rPr>
        <w:t xml:space="preserve">a BSA compliance program becomes a Board record during an examination, the information may be protected from disclosure under exemptions </w:t>
      </w:r>
      <w:r w:rsidRPr="00AC5CC4">
        <w:rPr>
          <w:rFonts w:ascii="Times New Roman" w:hAnsi="Times New Roman"/>
          <w:color w:val="000000"/>
          <w:szCs w:val="24"/>
        </w:rPr>
        <w:t>(b</w:t>
      </w:r>
      <w:proofErr w:type="gramStart"/>
      <w:r w:rsidRPr="00AC5CC4">
        <w:rPr>
          <w:rFonts w:ascii="Times New Roman" w:hAnsi="Times New Roman"/>
          <w:color w:val="000000"/>
          <w:szCs w:val="24"/>
        </w:rPr>
        <w:t>)(</w:t>
      </w:r>
      <w:proofErr w:type="gramEnd"/>
      <w:r w:rsidRPr="00AC5CC4">
        <w:rPr>
          <w:rFonts w:ascii="Times New Roman" w:hAnsi="Times New Roman"/>
          <w:color w:val="000000"/>
          <w:szCs w:val="24"/>
        </w:rPr>
        <w:t>4)</w:t>
      </w:r>
      <w:r>
        <w:rPr>
          <w:rFonts w:ascii="Times New Roman" w:hAnsi="Times New Roman"/>
          <w:color w:val="000000"/>
          <w:szCs w:val="24"/>
        </w:rPr>
        <w:t xml:space="preserve"> and </w:t>
      </w:r>
      <w:r w:rsidRPr="00AC5CC4">
        <w:rPr>
          <w:rFonts w:ascii="Times New Roman" w:hAnsi="Times New Roman"/>
          <w:color w:val="000000"/>
          <w:szCs w:val="24"/>
        </w:rPr>
        <w:t>(8)</w:t>
      </w:r>
      <w:r>
        <w:rPr>
          <w:rFonts w:ascii="Times New Roman" w:hAnsi="Times New Roman"/>
          <w:color w:val="000000"/>
          <w:szCs w:val="24"/>
        </w:rPr>
        <w:t xml:space="preserve"> of the Freedom of Information Act (</w:t>
      </w:r>
      <w:r w:rsidRPr="00AC5CC4">
        <w:rPr>
          <w:rFonts w:ascii="Times New Roman" w:hAnsi="Times New Roman"/>
          <w:color w:val="000000"/>
          <w:szCs w:val="24"/>
        </w:rPr>
        <w:t>5 U.S.C. 552(b)(4)</w:t>
      </w:r>
      <w:r>
        <w:rPr>
          <w:rFonts w:ascii="Times New Roman" w:hAnsi="Times New Roman"/>
          <w:color w:val="000000"/>
          <w:szCs w:val="24"/>
        </w:rPr>
        <w:t xml:space="preserve"> and </w:t>
      </w:r>
      <w:r w:rsidRPr="00AC5CC4">
        <w:rPr>
          <w:rFonts w:ascii="Times New Roman" w:hAnsi="Times New Roman"/>
          <w:color w:val="000000"/>
          <w:szCs w:val="24"/>
        </w:rPr>
        <w:t>(b)(8)</w:t>
      </w:r>
      <w:r>
        <w:rPr>
          <w:rFonts w:ascii="Times New Roman" w:hAnsi="Times New Roman"/>
          <w:color w:val="000000"/>
          <w:szCs w:val="24"/>
        </w:rPr>
        <w:t>)</w:t>
      </w:r>
      <w:r w:rsidRPr="00AC5CC4">
        <w:rPr>
          <w:rFonts w:ascii="Times New Roman" w:hAnsi="Times New Roman"/>
          <w:color w:val="000000"/>
          <w:szCs w:val="24"/>
        </w:rPr>
        <w:t xml:space="preserve">.  </w:t>
      </w:r>
      <w:r>
        <w:rPr>
          <w:rFonts w:ascii="Times New Roman" w:hAnsi="Times New Roman"/>
          <w:b/>
          <w:bCs/>
          <w:color w:val="000000"/>
          <w:szCs w:val="24"/>
        </w:rPr>
        <w:br w:type="page"/>
      </w:r>
    </w:p>
    <w:p w:rsidR="007E2CE6" w:rsidRPr="00AC5CC4" w:rsidRDefault="007E2CE6" w:rsidP="007E2CE6">
      <w:pPr>
        <w:jc w:val="both"/>
        <w:rPr>
          <w:rFonts w:ascii="Times New Roman" w:hAnsi="Times New Roman"/>
          <w:color w:val="000000"/>
          <w:szCs w:val="24"/>
        </w:rPr>
      </w:pPr>
      <w:r w:rsidRPr="00AC5CC4">
        <w:rPr>
          <w:rFonts w:ascii="Times New Roman" w:hAnsi="Times New Roman"/>
          <w:b/>
          <w:bCs/>
          <w:color w:val="000000"/>
          <w:szCs w:val="24"/>
        </w:rPr>
        <w:lastRenderedPageBreak/>
        <w:t>Estimate of Respondent Burden</w:t>
      </w:r>
    </w:p>
    <w:p w:rsidR="007E2CE6" w:rsidRDefault="007E2CE6" w:rsidP="007E2CE6">
      <w:pPr>
        <w:rPr>
          <w:rFonts w:ascii="Times New Roman" w:hAnsi="Times New Roman"/>
          <w:color w:val="000000"/>
          <w:szCs w:val="24"/>
        </w:rPr>
      </w:pPr>
    </w:p>
    <w:p w:rsidR="007E2CE6" w:rsidRPr="00AC5CC4" w:rsidRDefault="007E2CE6" w:rsidP="007E2CE6">
      <w:pPr>
        <w:ind w:firstLine="720"/>
        <w:rPr>
          <w:rFonts w:ascii="Times New Roman" w:hAnsi="Times New Roman"/>
          <w:color w:val="000000"/>
          <w:szCs w:val="24"/>
        </w:rPr>
      </w:pPr>
      <w:r>
        <w:rPr>
          <w:rFonts w:ascii="Times New Roman" w:hAnsi="Times New Roman"/>
          <w:szCs w:val="24"/>
        </w:rPr>
        <w:t>A</w:t>
      </w:r>
      <w:r w:rsidRPr="00AC5CC4">
        <w:rPr>
          <w:rFonts w:ascii="Times New Roman" w:hAnsi="Times New Roman"/>
          <w:szCs w:val="24"/>
        </w:rPr>
        <w:t>s shown in the table below</w:t>
      </w:r>
      <w:r>
        <w:rPr>
          <w:rFonts w:ascii="Times New Roman" w:hAnsi="Times New Roman"/>
          <w:szCs w:val="24"/>
        </w:rPr>
        <w:t>,</w:t>
      </w:r>
      <w:r w:rsidRPr="00AC5CC4">
        <w:rPr>
          <w:rFonts w:ascii="Times New Roman" w:hAnsi="Times New Roman"/>
          <w:szCs w:val="24"/>
        </w:rPr>
        <w:t xml:space="preserve"> </w:t>
      </w:r>
      <w:r>
        <w:rPr>
          <w:rFonts w:ascii="Times New Roman" w:hAnsi="Times New Roman"/>
          <w:szCs w:val="24"/>
        </w:rPr>
        <w:t>t</w:t>
      </w:r>
      <w:r w:rsidRPr="00AC5CC4">
        <w:rPr>
          <w:rFonts w:ascii="Times New Roman" w:hAnsi="Times New Roman"/>
          <w:szCs w:val="24"/>
        </w:rPr>
        <w:t xml:space="preserve">he </w:t>
      </w:r>
      <w:r>
        <w:rPr>
          <w:rFonts w:ascii="Times New Roman" w:hAnsi="Times New Roman"/>
          <w:szCs w:val="24"/>
        </w:rPr>
        <w:t xml:space="preserve">current </w:t>
      </w:r>
      <w:r w:rsidRPr="00AC5CC4">
        <w:rPr>
          <w:rFonts w:ascii="Times New Roman" w:hAnsi="Times New Roman"/>
          <w:szCs w:val="24"/>
        </w:rPr>
        <w:t>total annual burden for the recordkeeping requirement</w:t>
      </w:r>
      <w:r>
        <w:rPr>
          <w:rFonts w:ascii="Times New Roman" w:hAnsi="Times New Roman"/>
          <w:szCs w:val="24"/>
        </w:rPr>
        <w:t>s</w:t>
      </w:r>
      <w:r w:rsidRPr="00AC5CC4">
        <w:rPr>
          <w:rFonts w:ascii="Times New Roman" w:hAnsi="Times New Roman"/>
          <w:szCs w:val="24"/>
        </w:rPr>
        <w:t xml:space="preserve"> </w:t>
      </w:r>
      <w:r>
        <w:rPr>
          <w:rFonts w:ascii="Times New Roman" w:hAnsi="Times New Roman"/>
          <w:szCs w:val="24"/>
        </w:rPr>
        <w:t>of Section 208.63 of Regulation H</w:t>
      </w:r>
      <w:r w:rsidRPr="00AC5CC4">
        <w:rPr>
          <w:rFonts w:ascii="Times New Roman" w:hAnsi="Times New Roman"/>
          <w:szCs w:val="24"/>
        </w:rPr>
        <w:t xml:space="preserve"> </w:t>
      </w:r>
      <w:r>
        <w:rPr>
          <w:rFonts w:ascii="Times New Roman" w:hAnsi="Times New Roman"/>
          <w:szCs w:val="24"/>
        </w:rPr>
        <w:t xml:space="preserve">and </w:t>
      </w:r>
      <w:r>
        <w:rPr>
          <w:rFonts w:ascii="Times New Roman" w:hAnsi="Times New Roman"/>
          <w:color w:val="000000"/>
          <w:szCs w:val="24"/>
        </w:rPr>
        <w:t xml:space="preserve">sections </w:t>
      </w:r>
      <w:r w:rsidRPr="00AC5CC4">
        <w:rPr>
          <w:rFonts w:ascii="Times New Roman" w:hAnsi="Times New Roman"/>
          <w:szCs w:val="24"/>
        </w:rPr>
        <w:t>211.5</w:t>
      </w:r>
      <w:r>
        <w:rPr>
          <w:rFonts w:ascii="Times New Roman" w:hAnsi="Times New Roman"/>
          <w:szCs w:val="24"/>
        </w:rPr>
        <w:t>(m)(1)</w:t>
      </w:r>
      <w:r w:rsidRPr="00AC5CC4">
        <w:rPr>
          <w:rFonts w:ascii="Times New Roman" w:hAnsi="Times New Roman"/>
          <w:szCs w:val="24"/>
        </w:rPr>
        <w:t xml:space="preserve"> and 211.24</w:t>
      </w:r>
      <w:r>
        <w:rPr>
          <w:rFonts w:ascii="Times New Roman" w:hAnsi="Times New Roman"/>
          <w:szCs w:val="24"/>
        </w:rPr>
        <w:t>(j)(1)</w:t>
      </w:r>
      <w:r w:rsidRPr="00AC5CC4">
        <w:rPr>
          <w:rFonts w:ascii="Times New Roman" w:hAnsi="Times New Roman"/>
          <w:szCs w:val="24"/>
        </w:rPr>
        <w:t xml:space="preserve"> of Regulation K is </w:t>
      </w:r>
      <w:r>
        <w:rPr>
          <w:rFonts w:ascii="Times New Roman" w:hAnsi="Times New Roman"/>
          <w:szCs w:val="24"/>
        </w:rPr>
        <w:t>estimated to be 4,604 hours.</w:t>
      </w:r>
      <w:r w:rsidRPr="00AC5CC4">
        <w:rPr>
          <w:rFonts w:ascii="Times New Roman" w:hAnsi="Times New Roman"/>
          <w:szCs w:val="24"/>
        </w:rPr>
        <w:t xml:space="preserve"> </w:t>
      </w:r>
      <w:r>
        <w:rPr>
          <w:rFonts w:ascii="Times New Roman" w:hAnsi="Times New Roman"/>
          <w:szCs w:val="24"/>
        </w:rPr>
        <w:t xml:space="preserve"> </w:t>
      </w:r>
      <w:r w:rsidRPr="00AC5CC4">
        <w:rPr>
          <w:rFonts w:ascii="Times New Roman" w:hAnsi="Times New Roman"/>
          <w:szCs w:val="24"/>
        </w:rPr>
        <w:t>The Federal Reserve estimates that it take</w:t>
      </w:r>
      <w:r>
        <w:rPr>
          <w:rFonts w:ascii="Times New Roman" w:hAnsi="Times New Roman"/>
          <w:szCs w:val="24"/>
        </w:rPr>
        <w:t>s</w:t>
      </w:r>
      <w:r w:rsidRPr="00AC5CC4">
        <w:rPr>
          <w:rFonts w:ascii="Times New Roman" w:hAnsi="Times New Roman"/>
          <w:szCs w:val="24"/>
        </w:rPr>
        <w:t xml:space="preserve"> each respondent 16 hours (2 business days) to create their BSA compliance program</w:t>
      </w:r>
      <w:r>
        <w:rPr>
          <w:rFonts w:ascii="Times New Roman" w:hAnsi="Times New Roman"/>
          <w:szCs w:val="24"/>
        </w:rPr>
        <w:t xml:space="preserve"> and 4 hours to</w:t>
      </w:r>
      <w:r w:rsidRPr="00030321">
        <w:rPr>
          <w:rFonts w:ascii="Times New Roman" w:hAnsi="Times New Roman"/>
          <w:color w:val="000000"/>
          <w:szCs w:val="24"/>
        </w:rPr>
        <w:t xml:space="preserve"> </w:t>
      </w:r>
      <w:r w:rsidRPr="00AC5CC4">
        <w:rPr>
          <w:rFonts w:ascii="Times New Roman" w:hAnsi="Times New Roman"/>
          <w:color w:val="000000"/>
          <w:szCs w:val="24"/>
        </w:rPr>
        <w:t>maintain procedures to assure and monitor compliance with the BSA</w:t>
      </w:r>
      <w:r w:rsidRPr="00AC5CC4">
        <w:rPr>
          <w:rFonts w:ascii="Times New Roman" w:hAnsi="Times New Roman"/>
          <w:szCs w:val="24"/>
        </w:rPr>
        <w:t xml:space="preserve">.  This </w:t>
      </w:r>
      <w:r>
        <w:rPr>
          <w:rFonts w:ascii="Times New Roman" w:hAnsi="Times New Roman"/>
          <w:szCs w:val="24"/>
        </w:rPr>
        <w:t>recordkeeping requirement</w:t>
      </w:r>
      <w:r w:rsidRPr="00AC5CC4">
        <w:rPr>
          <w:rFonts w:ascii="Times New Roman" w:hAnsi="Times New Roman"/>
          <w:szCs w:val="24"/>
        </w:rPr>
        <w:t xml:space="preserve"> represents less than 1 percent of the total Federal Reserve System paperwork burden.</w:t>
      </w:r>
    </w:p>
    <w:p w:rsidR="007E2CE6" w:rsidRDefault="007E2CE6" w:rsidP="007E2CE6">
      <w:pPr>
        <w:ind w:firstLine="720"/>
        <w:rPr>
          <w:rFonts w:ascii="Times New Roman" w:hAnsi="Times New Roman"/>
          <w:color w:val="000000"/>
          <w:szCs w:val="24"/>
        </w:rPr>
      </w:pPr>
    </w:p>
    <w:p w:rsidR="007E2CE6" w:rsidRDefault="007E2CE6" w:rsidP="007E2CE6">
      <w:pPr>
        <w:widowControl/>
        <w:ind w:firstLine="720"/>
        <w:rPr>
          <w:rFonts w:ascii="Times New Roman" w:hAnsi="Times New Roman"/>
          <w:color w:val="000000"/>
          <w:szCs w:val="24"/>
        </w:rPr>
      </w:pPr>
      <w:r w:rsidRPr="00AC5CC4">
        <w:rPr>
          <w:rFonts w:ascii="Times New Roman" w:hAnsi="Times New Roman"/>
          <w:color w:val="000000"/>
          <w:szCs w:val="24"/>
        </w:rPr>
        <w:t xml:space="preserve">The Federal Reserve believes that little burden is associated with the requirements for establishing a compliance program for the BSA because the measures involved in the program are consistent with </w:t>
      </w:r>
      <w:r>
        <w:rPr>
          <w:rFonts w:ascii="Times New Roman" w:hAnsi="Times New Roman"/>
          <w:color w:val="000000"/>
          <w:szCs w:val="24"/>
        </w:rPr>
        <w:t xml:space="preserve">existing requirements under the BSA and with </w:t>
      </w:r>
      <w:r w:rsidRPr="00AC5CC4">
        <w:rPr>
          <w:rFonts w:ascii="Times New Roman" w:hAnsi="Times New Roman"/>
          <w:color w:val="000000"/>
          <w:szCs w:val="24"/>
        </w:rPr>
        <w:t>usual and customary business practices.</w:t>
      </w:r>
    </w:p>
    <w:p w:rsidR="007E2CE6" w:rsidRPr="008977B9" w:rsidRDefault="007E2CE6" w:rsidP="007E2CE6">
      <w:pPr>
        <w:ind w:firstLine="720"/>
        <w:rPr>
          <w:rFonts w:ascii="Times New Roman" w:hAnsi="Times New Roman"/>
          <w:szCs w:val="24"/>
        </w:rPr>
      </w:pPr>
    </w:p>
    <w:tbl>
      <w:tblPr>
        <w:tblW w:w="8640" w:type="dxa"/>
        <w:jc w:val="center"/>
        <w:tblLayout w:type="fixed"/>
        <w:tblCellMar>
          <w:left w:w="139" w:type="dxa"/>
          <w:right w:w="139" w:type="dxa"/>
        </w:tblCellMar>
        <w:tblLook w:val="0000"/>
      </w:tblPr>
      <w:tblGrid>
        <w:gridCol w:w="2880"/>
        <w:gridCol w:w="1440"/>
        <w:gridCol w:w="1260"/>
        <w:gridCol w:w="1440"/>
        <w:gridCol w:w="1620"/>
      </w:tblGrid>
      <w:tr w:rsidR="007E2CE6" w:rsidRPr="00AC5CC4" w:rsidTr="00A5088D">
        <w:trPr>
          <w:cantSplit/>
          <w:jc w:val="center"/>
        </w:trPr>
        <w:tc>
          <w:tcPr>
            <w:tcW w:w="2880" w:type="dxa"/>
            <w:tcBorders>
              <w:top w:val="single" w:sz="6" w:space="0" w:color="000000"/>
            </w:tcBorders>
            <w:vAlign w:val="center"/>
          </w:tcPr>
          <w:p w:rsidR="007E2CE6" w:rsidRPr="004359BC" w:rsidRDefault="007E2CE6" w:rsidP="00A5088D">
            <w:pPr>
              <w:tabs>
                <w:tab w:val="left" w:pos="-1440"/>
                <w:tab w:val="left" w:pos="-720"/>
                <w:tab w:val="left" w:pos="0"/>
                <w:tab w:val="left" w:pos="240"/>
                <w:tab w:val="left" w:pos="720"/>
                <w:tab w:val="left" w:pos="1440"/>
                <w:tab w:val="left" w:pos="2160"/>
                <w:tab w:val="left" w:pos="2880"/>
              </w:tabs>
              <w:spacing w:before="163" w:after="19"/>
              <w:jc w:val="center"/>
              <w:rPr>
                <w:rFonts w:ascii="Times New Roman" w:hAnsi="Times New Roman"/>
                <w:i/>
                <w:szCs w:val="24"/>
              </w:rPr>
            </w:pPr>
          </w:p>
        </w:tc>
        <w:tc>
          <w:tcPr>
            <w:tcW w:w="1440" w:type="dxa"/>
            <w:tcBorders>
              <w:top w:val="single" w:sz="6" w:space="0" w:color="000000"/>
            </w:tcBorders>
            <w:vAlign w:val="bottom"/>
          </w:tcPr>
          <w:p w:rsidR="007E2CE6" w:rsidRPr="00AC5CC4" w:rsidRDefault="007E2CE6" w:rsidP="00A5088D">
            <w:pPr>
              <w:tabs>
                <w:tab w:val="left" w:pos="-1440"/>
                <w:tab w:val="left" w:pos="-720"/>
                <w:tab w:val="left" w:pos="0"/>
                <w:tab w:val="left" w:pos="240"/>
                <w:tab w:val="left" w:pos="720"/>
                <w:tab w:val="left" w:pos="1440"/>
              </w:tabs>
              <w:spacing w:after="19"/>
              <w:jc w:val="center"/>
              <w:rPr>
                <w:rFonts w:ascii="Times New Roman" w:hAnsi="Times New Roman"/>
                <w:i/>
                <w:iCs/>
                <w:color w:val="000000"/>
                <w:szCs w:val="24"/>
              </w:rPr>
            </w:pPr>
            <w:r w:rsidRPr="00AC5CC4">
              <w:rPr>
                <w:rFonts w:ascii="Times New Roman" w:hAnsi="Times New Roman"/>
                <w:i/>
                <w:iCs/>
                <w:color w:val="000000"/>
                <w:szCs w:val="24"/>
              </w:rPr>
              <w:t>Number</w:t>
            </w:r>
          </w:p>
          <w:p w:rsidR="007E2CE6" w:rsidRPr="00AC5CC4" w:rsidRDefault="007E2CE6" w:rsidP="00A5088D">
            <w:pPr>
              <w:tabs>
                <w:tab w:val="left" w:pos="-1440"/>
                <w:tab w:val="left" w:pos="-720"/>
                <w:tab w:val="left" w:pos="0"/>
                <w:tab w:val="left" w:pos="240"/>
                <w:tab w:val="left" w:pos="720"/>
                <w:tab w:val="left" w:pos="1440"/>
              </w:tabs>
              <w:spacing w:after="19"/>
              <w:jc w:val="center"/>
              <w:rPr>
                <w:rFonts w:ascii="Times New Roman" w:hAnsi="Times New Roman"/>
                <w:szCs w:val="24"/>
              </w:rPr>
            </w:pPr>
            <w:r w:rsidRPr="00AC5CC4">
              <w:rPr>
                <w:rFonts w:ascii="Times New Roman" w:hAnsi="Times New Roman"/>
                <w:i/>
                <w:iCs/>
                <w:color w:val="000000"/>
                <w:szCs w:val="24"/>
              </w:rPr>
              <w:t>of respondents</w:t>
            </w:r>
          </w:p>
        </w:tc>
        <w:tc>
          <w:tcPr>
            <w:tcW w:w="1260" w:type="dxa"/>
            <w:tcBorders>
              <w:top w:val="single" w:sz="6" w:space="0" w:color="000000"/>
            </w:tcBorders>
            <w:vAlign w:val="bottom"/>
          </w:tcPr>
          <w:p w:rsidR="007E2CE6" w:rsidRPr="00AC5CC4" w:rsidRDefault="007E2CE6" w:rsidP="00A5088D">
            <w:pPr>
              <w:tabs>
                <w:tab w:val="left" w:pos="-1440"/>
                <w:tab w:val="left" w:pos="-720"/>
                <w:tab w:val="left" w:pos="0"/>
                <w:tab w:val="left" w:pos="240"/>
                <w:tab w:val="left" w:pos="720"/>
              </w:tabs>
              <w:spacing w:before="163" w:after="19"/>
              <w:jc w:val="center"/>
              <w:rPr>
                <w:rFonts w:ascii="Times New Roman" w:hAnsi="Times New Roman"/>
                <w:szCs w:val="24"/>
              </w:rPr>
            </w:pPr>
            <w:r w:rsidRPr="00AC5CC4">
              <w:rPr>
                <w:rFonts w:ascii="Times New Roman" w:hAnsi="Times New Roman"/>
                <w:i/>
                <w:iCs/>
                <w:color w:val="000000"/>
                <w:szCs w:val="24"/>
              </w:rPr>
              <w:t>Estimated annual frequency</w:t>
            </w:r>
          </w:p>
        </w:tc>
        <w:tc>
          <w:tcPr>
            <w:tcW w:w="1440" w:type="dxa"/>
            <w:tcBorders>
              <w:top w:val="single" w:sz="6" w:space="0" w:color="000000"/>
            </w:tcBorders>
            <w:vAlign w:val="bottom"/>
          </w:tcPr>
          <w:p w:rsidR="007E2CE6" w:rsidRPr="00AC5CC4" w:rsidRDefault="007E2CE6" w:rsidP="00A5088D">
            <w:pPr>
              <w:tabs>
                <w:tab w:val="left" w:pos="-1440"/>
                <w:tab w:val="left" w:pos="-720"/>
                <w:tab w:val="left" w:pos="0"/>
                <w:tab w:val="left" w:pos="240"/>
                <w:tab w:val="left" w:pos="720"/>
              </w:tabs>
              <w:spacing w:before="163"/>
              <w:jc w:val="center"/>
              <w:rPr>
                <w:rFonts w:ascii="Times New Roman" w:hAnsi="Times New Roman"/>
                <w:color w:val="000000"/>
                <w:szCs w:val="24"/>
              </w:rPr>
            </w:pPr>
            <w:r w:rsidRPr="00AC5CC4">
              <w:rPr>
                <w:rFonts w:ascii="Times New Roman" w:hAnsi="Times New Roman"/>
                <w:i/>
                <w:iCs/>
                <w:color w:val="000000"/>
                <w:szCs w:val="24"/>
              </w:rPr>
              <w:t>Estimated response</w:t>
            </w:r>
          </w:p>
          <w:p w:rsidR="007E2CE6" w:rsidRPr="00AC5CC4" w:rsidRDefault="007E2CE6" w:rsidP="00A5088D">
            <w:pPr>
              <w:tabs>
                <w:tab w:val="left" w:pos="-1440"/>
                <w:tab w:val="left" w:pos="-720"/>
                <w:tab w:val="left" w:pos="0"/>
                <w:tab w:val="left" w:pos="240"/>
                <w:tab w:val="left" w:pos="720"/>
              </w:tabs>
              <w:spacing w:after="19"/>
              <w:jc w:val="center"/>
              <w:rPr>
                <w:rFonts w:ascii="Times New Roman" w:hAnsi="Times New Roman"/>
                <w:szCs w:val="24"/>
              </w:rPr>
            </w:pPr>
            <w:r w:rsidRPr="00AC5CC4">
              <w:rPr>
                <w:rFonts w:ascii="Times New Roman" w:hAnsi="Times New Roman"/>
                <w:i/>
                <w:iCs/>
                <w:color w:val="000000"/>
                <w:szCs w:val="24"/>
              </w:rPr>
              <w:t>time</w:t>
            </w:r>
          </w:p>
        </w:tc>
        <w:tc>
          <w:tcPr>
            <w:tcW w:w="1620" w:type="dxa"/>
            <w:tcBorders>
              <w:top w:val="single" w:sz="6" w:space="0" w:color="000000"/>
            </w:tcBorders>
            <w:vAlign w:val="bottom"/>
          </w:tcPr>
          <w:p w:rsidR="007E2CE6" w:rsidRPr="00AC5CC4" w:rsidRDefault="007E2CE6" w:rsidP="00A5088D">
            <w:pPr>
              <w:tabs>
                <w:tab w:val="left" w:pos="-1440"/>
                <w:tab w:val="left" w:pos="-720"/>
                <w:tab w:val="left" w:pos="0"/>
                <w:tab w:val="left" w:pos="240"/>
                <w:tab w:val="left" w:pos="720"/>
                <w:tab w:val="left" w:pos="1440"/>
              </w:tabs>
              <w:spacing w:before="163" w:after="19"/>
              <w:jc w:val="center"/>
              <w:rPr>
                <w:rFonts w:ascii="Times New Roman" w:hAnsi="Times New Roman"/>
                <w:szCs w:val="24"/>
              </w:rPr>
            </w:pPr>
            <w:r w:rsidRPr="00AC5CC4">
              <w:rPr>
                <w:rFonts w:ascii="Times New Roman" w:hAnsi="Times New Roman"/>
                <w:i/>
                <w:iCs/>
                <w:color w:val="000000"/>
                <w:szCs w:val="24"/>
              </w:rPr>
              <w:t>Estimated annual burden hours</w:t>
            </w:r>
          </w:p>
        </w:tc>
      </w:tr>
      <w:tr w:rsidR="007E2CE6" w:rsidRPr="00AC5CC4" w:rsidTr="00A5088D">
        <w:trPr>
          <w:cantSplit/>
          <w:jc w:val="center"/>
        </w:trPr>
        <w:tc>
          <w:tcPr>
            <w:tcW w:w="2880" w:type="dxa"/>
          </w:tcPr>
          <w:p w:rsidR="007E2CE6" w:rsidRDefault="007E2CE6" w:rsidP="00A5088D">
            <w:pPr>
              <w:tabs>
                <w:tab w:val="left" w:pos="-1440"/>
                <w:tab w:val="left" w:pos="-720"/>
                <w:tab w:val="left" w:pos="0"/>
                <w:tab w:val="left" w:pos="240"/>
                <w:tab w:val="left" w:pos="720"/>
                <w:tab w:val="left" w:pos="1440"/>
                <w:tab w:val="left" w:pos="2160"/>
                <w:tab w:val="left" w:pos="2880"/>
              </w:tabs>
              <w:spacing w:before="163" w:after="19"/>
              <w:rPr>
                <w:rFonts w:ascii="Times New Roman" w:hAnsi="Times New Roman"/>
                <w:szCs w:val="24"/>
              </w:rPr>
            </w:pPr>
          </w:p>
        </w:tc>
        <w:tc>
          <w:tcPr>
            <w:tcW w:w="1440" w:type="dxa"/>
          </w:tcPr>
          <w:p w:rsidR="007E2CE6" w:rsidRDefault="007E2CE6" w:rsidP="00A5088D">
            <w:pPr>
              <w:tabs>
                <w:tab w:val="left" w:pos="-1440"/>
                <w:tab w:val="left" w:pos="-720"/>
                <w:tab w:val="left" w:pos="0"/>
                <w:tab w:val="left" w:pos="240"/>
                <w:tab w:val="left" w:pos="720"/>
                <w:tab w:val="left" w:pos="1440"/>
              </w:tabs>
              <w:spacing w:before="163" w:after="19"/>
              <w:jc w:val="center"/>
              <w:rPr>
                <w:rFonts w:ascii="Times New Roman" w:hAnsi="Times New Roman"/>
                <w:szCs w:val="24"/>
              </w:rPr>
            </w:pPr>
          </w:p>
        </w:tc>
        <w:tc>
          <w:tcPr>
            <w:tcW w:w="1260" w:type="dxa"/>
          </w:tcPr>
          <w:p w:rsidR="007E2CE6" w:rsidRPr="00AC5CC4" w:rsidRDefault="007E2CE6" w:rsidP="00A5088D">
            <w:pPr>
              <w:tabs>
                <w:tab w:val="left" w:pos="-1440"/>
                <w:tab w:val="left" w:pos="-720"/>
                <w:tab w:val="left" w:pos="0"/>
                <w:tab w:val="left" w:pos="240"/>
                <w:tab w:val="left" w:pos="720"/>
              </w:tabs>
              <w:spacing w:before="163" w:after="19"/>
              <w:jc w:val="center"/>
              <w:rPr>
                <w:rFonts w:ascii="Times New Roman" w:hAnsi="Times New Roman"/>
                <w:szCs w:val="24"/>
              </w:rPr>
            </w:pPr>
          </w:p>
        </w:tc>
        <w:tc>
          <w:tcPr>
            <w:tcW w:w="1440" w:type="dxa"/>
          </w:tcPr>
          <w:p w:rsidR="007E2CE6" w:rsidRPr="00AC5CC4" w:rsidRDefault="007E2CE6" w:rsidP="00A5088D">
            <w:pPr>
              <w:tabs>
                <w:tab w:val="left" w:pos="-1440"/>
                <w:tab w:val="left" w:pos="-720"/>
                <w:tab w:val="left" w:pos="0"/>
                <w:tab w:val="left" w:pos="240"/>
                <w:tab w:val="left" w:pos="720"/>
              </w:tabs>
              <w:spacing w:before="163" w:after="19"/>
              <w:jc w:val="center"/>
              <w:rPr>
                <w:rFonts w:ascii="Times New Roman" w:hAnsi="Times New Roman"/>
                <w:szCs w:val="24"/>
              </w:rPr>
            </w:pPr>
          </w:p>
        </w:tc>
        <w:tc>
          <w:tcPr>
            <w:tcW w:w="1620" w:type="dxa"/>
          </w:tcPr>
          <w:p w:rsidR="007E2CE6" w:rsidRDefault="007E2CE6" w:rsidP="00A5088D">
            <w:pPr>
              <w:tabs>
                <w:tab w:val="left" w:pos="-1440"/>
                <w:tab w:val="left" w:pos="-720"/>
                <w:tab w:val="left" w:pos="0"/>
                <w:tab w:val="left" w:pos="240"/>
                <w:tab w:val="left" w:pos="720"/>
                <w:tab w:val="left" w:pos="1440"/>
              </w:tabs>
              <w:spacing w:before="163" w:after="19"/>
              <w:jc w:val="center"/>
              <w:rPr>
                <w:rFonts w:ascii="Times New Roman" w:hAnsi="Times New Roman"/>
                <w:szCs w:val="24"/>
              </w:rPr>
            </w:pPr>
          </w:p>
        </w:tc>
      </w:tr>
      <w:tr w:rsidR="007E2CE6" w:rsidRPr="00AC5CC4" w:rsidTr="00A5088D">
        <w:trPr>
          <w:cantSplit/>
          <w:jc w:val="center"/>
        </w:trPr>
        <w:tc>
          <w:tcPr>
            <w:tcW w:w="2880" w:type="dxa"/>
          </w:tcPr>
          <w:p w:rsidR="007E2CE6" w:rsidRPr="00AC5CC4" w:rsidRDefault="007E2CE6" w:rsidP="00A5088D">
            <w:pPr>
              <w:tabs>
                <w:tab w:val="left" w:pos="-1440"/>
                <w:tab w:val="left" w:pos="-720"/>
                <w:tab w:val="left" w:pos="0"/>
                <w:tab w:val="left" w:pos="240"/>
                <w:tab w:val="left" w:pos="720"/>
                <w:tab w:val="left" w:pos="1440"/>
                <w:tab w:val="left" w:pos="2160"/>
                <w:tab w:val="left" w:pos="2880"/>
              </w:tabs>
              <w:spacing w:before="163" w:after="19"/>
              <w:rPr>
                <w:rFonts w:ascii="Times New Roman" w:hAnsi="Times New Roman"/>
                <w:szCs w:val="24"/>
              </w:rPr>
            </w:pPr>
            <w:r>
              <w:rPr>
                <w:rFonts w:ascii="Times New Roman" w:hAnsi="Times New Roman"/>
                <w:szCs w:val="24"/>
              </w:rPr>
              <w:t xml:space="preserve">Establish </w:t>
            </w:r>
            <w:r w:rsidRPr="00AC5CC4">
              <w:rPr>
                <w:rFonts w:ascii="Times New Roman" w:hAnsi="Times New Roman"/>
                <w:szCs w:val="24"/>
              </w:rPr>
              <w:t xml:space="preserve"> compliance program</w:t>
            </w:r>
          </w:p>
        </w:tc>
        <w:tc>
          <w:tcPr>
            <w:tcW w:w="1440" w:type="dxa"/>
          </w:tcPr>
          <w:p w:rsidR="007E2CE6" w:rsidRPr="00AC5CC4" w:rsidRDefault="007E2CE6" w:rsidP="00A5088D">
            <w:pPr>
              <w:tabs>
                <w:tab w:val="left" w:pos="-1440"/>
                <w:tab w:val="left" w:pos="-720"/>
                <w:tab w:val="left" w:pos="0"/>
                <w:tab w:val="left" w:pos="240"/>
                <w:tab w:val="left" w:pos="720"/>
                <w:tab w:val="left" w:pos="1440"/>
              </w:tabs>
              <w:spacing w:before="163" w:after="19"/>
              <w:jc w:val="center"/>
              <w:rPr>
                <w:rFonts w:ascii="Times New Roman" w:hAnsi="Times New Roman"/>
                <w:szCs w:val="24"/>
              </w:rPr>
            </w:pPr>
            <w:r>
              <w:rPr>
                <w:rFonts w:ascii="Times New Roman" w:hAnsi="Times New Roman"/>
                <w:szCs w:val="24"/>
              </w:rPr>
              <w:t xml:space="preserve">    8    </w:t>
            </w:r>
          </w:p>
        </w:tc>
        <w:tc>
          <w:tcPr>
            <w:tcW w:w="1260" w:type="dxa"/>
          </w:tcPr>
          <w:p w:rsidR="007E2CE6" w:rsidRPr="00AC5CC4" w:rsidRDefault="007E2CE6" w:rsidP="00A5088D">
            <w:pPr>
              <w:tabs>
                <w:tab w:val="left" w:pos="-1440"/>
                <w:tab w:val="left" w:pos="-720"/>
                <w:tab w:val="left" w:pos="0"/>
                <w:tab w:val="left" w:pos="240"/>
                <w:tab w:val="left" w:pos="720"/>
              </w:tabs>
              <w:spacing w:before="163" w:after="19"/>
              <w:jc w:val="center"/>
              <w:rPr>
                <w:rFonts w:ascii="Times New Roman" w:hAnsi="Times New Roman"/>
                <w:szCs w:val="24"/>
              </w:rPr>
            </w:pPr>
            <w:r w:rsidRPr="00AC5CC4">
              <w:rPr>
                <w:rFonts w:ascii="Times New Roman" w:hAnsi="Times New Roman"/>
                <w:szCs w:val="24"/>
              </w:rPr>
              <w:t>1</w:t>
            </w:r>
          </w:p>
        </w:tc>
        <w:tc>
          <w:tcPr>
            <w:tcW w:w="1440" w:type="dxa"/>
          </w:tcPr>
          <w:p w:rsidR="007E2CE6" w:rsidRPr="00AC5CC4" w:rsidRDefault="007E2CE6" w:rsidP="00A5088D">
            <w:pPr>
              <w:tabs>
                <w:tab w:val="left" w:pos="-1440"/>
                <w:tab w:val="left" w:pos="-720"/>
                <w:tab w:val="left" w:pos="0"/>
                <w:tab w:val="left" w:pos="240"/>
                <w:tab w:val="left" w:pos="720"/>
              </w:tabs>
              <w:spacing w:before="163" w:after="19"/>
              <w:jc w:val="center"/>
              <w:rPr>
                <w:rFonts w:ascii="Times New Roman" w:hAnsi="Times New Roman"/>
                <w:szCs w:val="24"/>
              </w:rPr>
            </w:pPr>
            <w:r w:rsidRPr="00AC5CC4">
              <w:rPr>
                <w:rFonts w:ascii="Times New Roman" w:hAnsi="Times New Roman"/>
                <w:szCs w:val="24"/>
              </w:rPr>
              <w:t>16 hours</w:t>
            </w:r>
          </w:p>
        </w:tc>
        <w:tc>
          <w:tcPr>
            <w:tcW w:w="1620" w:type="dxa"/>
          </w:tcPr>
          <w:p w:rsidR="007E2CE6" w:rsidRPr="00AC5CC4" w:rsidRDefault="007E2CE6" w:rsidP="00A5088D">
            <w:pPr>
              <w:tabs>
                <w:tab w:val="left" w:pos="-1440"/>
                <w:tab w:val="left" w:pos="-720"/>
                <w:tab w:val="left" w:pos="0"/>
                <w:tab w:val="left" w:pos="240"/>
                <w:tab w:val="left" w:pos="720"/>
                <w:tab w:val="left" w:pos="1440"/>
              </w:tabs>
              <w:spacing w:before="163" w:after="19"/>
              <w:jc w:val="center"/>
              <w:rPr>
                <w:rFonts w:ascii="Times New Roman" w:hAnsi="Times New Roman"/>
                <w:szCs w:val="24"/>
              </w:rPr>
            </w:pPr>
            <w:r>
              <w:rPr>
                <w:rFonts w:ascii="Times New Roman" w:hAnsi="Times New Roman"/>
                <w:szCs w:val="24"/>
              </w:rPr>
              <w:t xml:space="preserve">  128</w:t>
            </w:r>
          </w:p>
        </w:tc>
      </w:tr>
      <w:tr w:rsidR="007E2CE6" w:rsidRPr="00AC5CC4" w:rsidTr="00A5088D">
        <w:trPr>
          <w:cantSplit/>
          <w:jc w:val="center"/>
        </w:trPr>
        <w:tc>
          <w:tcPr>
            <w:tcW w:w="2880" w:type="dxa"/>
          </w:tcPr>
          <w:p w:rsidR="007E2CE6" w:rsidRPr="00AC5CC4" w:rsidRDefault="007E2CE6" w:rsidP="00A5088D">
            <w:pPr>
              <w:tabs>
                <w:tab w:val="left" w:pos="-1440"/>
                <w:tab w:val="left" w:pos="-720"/>
                <w:tab w:val="left" w:pos="0"/>
                <w:tab w:val="left" w:pos="240"/>
                <w:tab w:val="left" w:pos="720"/>
                <w:tab w:val="left" w:pos="1440"/>
                <w:tab w:val="left" w:pos="2160"/>
                <w:tab w:val="left" w:pos="2880"/>
              </w:tabs>
              <w:spacing w:before="163" w:after="19"/>
              <w:rPr>
                <w:rFonts w:ascii="Times New Roman" w:hAnsi="Times New Roman"/>
                <w:szCs w:val="24"/>
              </w:rPr>
            </w:pPr>
            <w:r>
              <w:rPr>
                <w:rFonts w:ascii="Times New Roman" w:hAnsi="Times New Roman"/>
                <w:szCs w:val="24"/>
              </w:rPr>
              <w:t>Maintenance of compliance program</w:t>
            </w:r>
          </w:p>
        </w:tc>
        <w:tc>
          <w:tcPr>
            <w:tcW w:w="1440" w:type="dxa"/>
          </w:tcPr>
          <w:p w:rsidR="007E2CE6" w:rsidDel="003E2455" w:rsidRDefault="007E2CE6" w:rsidP="00A5088D">
            <w:pPr>
              <w:tabs>
                <w:tab w:val="left" w:pos="-1440"/>
                <w:tab w:val="left" w:pos="-720"/>
                <w:tab w:val="left" w:pos="0"/>
                <w:tab w:val="left" w:pos="240"/>
                <w:tab w:val="left" w:pos="720"/>
                <w:tab w:val="left" w:pos="1440"/>
              </w:tabs>
              <w:spacing w:before="163" w:after="19"/>
              <w:jc w:val="center"/>
              <w:rPr>
                <w:rFonts w:ascii="Times New Roman" w:hAnsi="Times New Roman"/>
                <w:szCs w:val="24"/>
              </w:rPr>
            </w:pPr>
            <w:r>
              <w:rPr>
                <w:rFonts w:ascii="Times New Roman" w:hAnsi="Times New Roman"/>
                <w:szCs w:val="24"/>
              </w:rPr>
              <w:t>1,119</w:t>
            </w:r>
          </w:p>
        </w:tc>
        <w:tc>
          <w:tcPr>
            <w:tcW w:w="1260" w:type="dxa"/>
          </w:tcPr>
          <w:p w:rsidR="007E2CE6" w:rsidRPr="00AC5CC4" w:rsidRDefault="007E2CE6" w:rsidP="00A5088D">
            <w:pPr>
              <w:tabs>
                <w:tab w:val="left" w:pos="-1440"/>
                <w:tab w:val="left" w:pos="-720"/>
                <w:tab w:val="left" w:pos="0"/>
                <w:tab w:val="left" w:pos="240"/>
                <w:tab w:val="left" w:pos="720"/>
              </w:tabs>
              <w:spacing w:before="163" w:after="19"/>
              <w:jc w:val="center"/>
              <w:rPr>
                <w:rFonts w:ascii="Times New Roman" w:hAnsi="Times New Roman"/>
                <w:szCs w:val="24"/>
              </w:rPr>
            </w:pPr>
            <w:r>
              <w:rPr>
                <w:rFonts w:ascii="Times New Roman" w:hAnsi="Times New Roman"/>
                <w:szCs w:val="24"/>
              </w:rPr>
              <w:t>1</w:t>
            </w:r>
          </w:p>
        </w:tc>
        <w:tc>
          <w:tcPr>
            <w:tcW w:w="1440" w:type="dxa"/>
          </w:tcPr>
          <w:p w:rsidR="007E2CE6" w:rsidRPr="00AC5CC4" w:rsidRDefault="007E2CE6" w:rsidP="00A5088D">
            <w:pPr>
              <w:tabs>
                <w:tab w:val="left" w:pos="-1440"/>
                <w:tab w:val="left" w:pos="-720"/>
                <w:tab w:val="left" w:pos="0"/>
                <w:tab w:val="left" w:pos="240"/>
                <w:tab w:val="left" w:pos="720"/>
              </w:tabs>
              <w:spacing w:before="163" w:after="19"/>
              <w:jc w:val="center"/>
              <w:rPr>
                <w:rFonts w:ascii="Times New Roman" w:hAnsi="Times New Roman"/>
                <w:szCs w:val="24"/>
              </w:rPr>
            </w:pPr>
            <w:r>
              <w:rPr>
                <w:rFonts w:ascii="Times New Roman" w:hAnsi="Times New Roman"/>
                <w:szCs w:val="24"/>
              </w:rPr>
              <w:t xml:space="preserve">  4 hours</w:t>
            </w:r>
          </w:p>
        </w:tc>
        <w:tc>
          <w:tcPr>
            <w:tcW w:w="1620" w:type="dxa"/>
          </w:tcPr>
          <w:p w:rsidR="007E2CE6" w:rsidRPr="009B4177" w:rsidDel="003E2455" w:rsidRDefault="007E2CE6" w:rsidP="00A5088D">
            <w:pPr>
              <w:tabs>
                <w:tab w:val="left" w:pos="-1440"/>
                <w:tab w:val="left" w:pos="-720"/>
                <w:tab w:val="left" w:pos="0"/>
                <w:tab w:val="left" w:pos="240"/>
                <w:tab w:val="left" w:pos="720"/>
                <w:tab w:val="left" w:pos="1440"/>
              </w:tabs>
              <w:spacing w:before="163" w:after="19"/>
              <w:jc w:val="center"/>
              <w:rPr>
                <w:rFonts w:ascii="Times New Roman" w:hAnsi="Times New Roman"/>
                <w:szCs w:val="24"/>
                <w:u w:val="single"/>
              </w:rPr>
            </w:pPr>
            <w:r>
              <w:rPr>
                <w:rFonts w:ascii="Times New Roman" w:hAnsi="Times New Roman"/>
                <w:szCs w:val="24"/>
                <w:u w:val="single"/>
              </w:rPr>
              <w:t xml:space="preserve">  4,476</w:t>
            </w:r>
          </w:p>
        </w:tc>
      </w:tr>
      <w:tr w:rsidR="007E2CE6" w:rsidRPr="00AC5CC4" w:rsidTr="00A5088D">
        <w:trPr>
          <w:cantSplit/>
          <w:jc w:val="center"/>
        </w:trPr>
        <w:tc>
          <w:tcPr>
            <w:tcW w:w="2880" w:type="dxa"/>
            <w:tcBorders>
              <w:bottom w:val="single" w:sz="4" w:space="0" w:color="auto"/>
            </w:tcBorders>
          </w:tcPr>
          <w:p w:rsidR="007E2CE6" w:rsidRPr="00030321" w:rsidRDefault="007E2CE6" w:rsidP="00A5088D">
            <w:pPr>
              <w:tabs>
                <w:tab w:val="left" w:pos="-1440"/>
                <w:tab w:val="left" w:pos="-720"/>
                <w:tab w:val="left" w:pos="0"/>
                <w:tab w:val="left" w:pos="240"/>
                <w:tab w:val="left" w:pos="720"/>
                <w:tab w:val="left" w:pos="1440"/>
                <w:tab w:val="left" w:pos="2160"/>
                <w:tab w:val="left" w:pos="2880"/>
              </w:tabs>
              <w:spacing w:before="163" w:after="19"/>
              <w:jc w:val="right"/>
              <w:rPr>
                <w:rFonts w:ascii="Times New Roman" w:hAnsi="Times New Roman"/>
                <w:i/>
                <w:iCs/>
                <w:szCs w:val="24"/>
              </w:rPr>
            </w:pPr>
            <w:r>
              <w:rPr>
                <w:rFonts w:ascii="Times New Roman" w:hAnsi="Times New Roman"/>
                <w:i/>
                <w:iCs/>
                <w:szCs w:val="24"/>
              </w:rPr>
              <w:t>Total</w:t>
            </w:r>
          </w:p>
        </w:tc>
        <w:tc>
          <w:tcPr>
            <w:tcW w:w="1440" w:type="dxa"/>
            <w:tcBorders>
              <w:bottom w:val="single" w:sz="4" w:space="0" w:color="auto"/>
            </w:tcBorders>
          </w:tcPr>
          <w:p w:rsidR="007E2CE6" w:rsidRDefault="007E2CE6" w:rsidP="00A5088D">
            <w:pPr>
              <w:tabs>
                <w:tab w:val="left" w:pos="-1440"/>
                <w:tab w:val="left" w:pos="-720"/>
                <w:tab w:val="left" w:pos="0"/>
                <w:tab w:val="left" w:pos="240"/>
                <w:tab w:val="left" w:pos="720"/>
                <w:tab w:val="left" w:pos="1440"/>
              </w:tabs>
              <w:spacing w:before="163" w:after="19"/>
              <w:jc w:val="center"/>
              <w:rPr>
                <w:rFonts w:ascii="Times New Roman" w:hAnsi="Times New Roman"/>
                <w:szCs w:val="24"/>
              </w:rPr>
            </w:pPr>
          </w:p>
        </w:tc>
        <w:tc>
          <w:tcPr>
            <w:tcW w:w="1260" w:type="dxa"/>
            <w:tcBorders>
              <w:bottom w:val="single" w:sz="4" w:space="0" w:color="auto"/>
            </w:tcBorders>
          </w:tcPr>
          <w:p w:rsidR="007E2CE6" w:rsidRDefault="007E2CE6" w:rsidP="00A5088D">
            <w:pPr>
              <w:tabs>
                <w:tab w:val="left" w:pos="-1440"/>
                <w:tab w:val="left" w:pos="-720"/>
                <w:tab w:val="left" w:pos="0"/>
                <w:tab w:val="left" w:pos="240"/>
                <w:tab w:val="left" w:pos="720"/>
              </w:tabs>
              <w:spacing w:before="163" w:after="19"/>
              <w:jc w:val="center"/>
              <w:rPr>
                <w:rFonts w:ascii="Times New Roman" w:hAnsi="Times New Roman"/>
                <w:szCs w:val="24"/>
              </w:rPr>
            </w:pPr>
          </w:p>
        </w:tc>
        <w:tc>
          <w:tcPr>
            <w:tcW w:w="1440" w:type="dxa"/>
            <w:tcBorders>
              <w:bottom w:val="single" w:sz="4" w:space="0" w:color="auto"/>
            </w:tcBorders>
          </w:tcPr>
          <w:p w:rsidR="007E2CE6" w:rsidRDefault="007E2CE6" w:rsidP="00A5088D">
            <w:pPr>
              <w:tabs>
                <w:tab w:val="left" w:pos="-1440"/>
                <w:tab w:val="left" w:pos="-720"/>
                <w:tab w:val="left" w:pos="0"/>
                <w:tab w:val="left" w:pos="240"/>
                <w:tab w:val="left" w:pos="720"/>
              </w:tabs>
              <w:spacing w:before="163" w:after="19"/>
              <w:jc w:val="center"/>
              <w:rPr>
                <w:rFonts w:ascii="Times New Roman" w:hAnsi="Times New Roman"/>
                <w:szCs w:val="24"/>
              </w:rPr>
            </w:pPr>
          </w:p>
        </w:tc>
        <w:tc>
          <w:tcPr>
            <w:tcW w:w="1620" w:type="dxa"/>
            <w:tcBorders>
              <w:bottom w:val="single" w:sz="4" w:space="0" w:color="auto"/>
            </w:tcBorders>
          </w:tcPr>
          <w:p w:rsidR="007E2CE6" w:rsidRDefault="007E2CE6" w:rsidP="00A5088D">
            <w:pPr>
              <w:tabs>
                <w:tab w:val="left" w:pos="-1440"/>
                <w:tab w:val="left" w:pos="-720"/>
                <w:tab w:val="left" w:pos="0"/>
                <w:tab w:val="left" w:pos="240"/>
                <w:tab w:val="left" w:pos="720"/>
                <w:tab w:val="left" w:pos="1440"/>
              </w:tabs>
              <w:spacing w:before="163" w:after="19"/>
              <w:jc w:val="center"/>
              <w:rPr>
                <w:rFonts w:ascii="Times New Roman" w:hAnsi="Times New Roman"/>
                <w:szCs w:val="24"/>
              </w:rPr>
            </w:pPr>
            <w:r>
              <w:rPr>
                <w:rFonts w:ascii="Times New Roman" w:hAnsi="Times New Roman"/>
                <w:szCs w:val="24"/>
              </w:rPr>
              <w:t>4,604</w:t>
            </w:r>
          </w:p>
        </w:tc>
      </w:tr>
    </w:tbl>
    <w:p w:rsidR="007E2CE6" w:rsidRDefault="007E2CE6" w:rsidP="007E2CE6">
      <w:pPr>
        <w:jc w:val="both"/>
        <w:rPr>
          <w:rFonts w:ascii="Times New Roman" w:hAnsi="Times New Roman"/>
          <w:color w:val="000000"/>
          <w:szCs w:val="24"/>
        </w:rPr>
      </w:pPr>
    </w:p>
    <w:p w:rsidR="007E2CE6" w:rsidRDefault="007E2CE6" w:rsidP="007E2CE6">
      <w:pPr>
        <w:rPr>
          <w:rFonts w:ascii="Times New Roman" w:hAnsi="Times New Roman"/>
          <w:szCs w:val="24"/>
        </w:rPr>
      </w:pPr>
      <w:r w:rsidRPr="002C61BF">
        <w:rPr>
          <w:rFonts w:ascii="Times New Roman" w:hAnsi="Times New Roman"/>
          <w:szCs w:val="24"/>
        </w:rPr>
        <w:t xml:space="preserve">The total cost to the public is estimated to </w:t>
      </w:r>
      <w:r>
        <w:rPr>
          <w:rFonts w:ascii="Times New Roman" w:hAnsi="Times New Roman"/>
          <w:szCs w:val="24"/>
        </w:rPr>
        <w:t>be</w:t>
      </w:r>
      <w:r w:rsidRPr="002C61BF">
        <w:rPr>
          <w:rFonts w:ascii="Times New Roman" w:hAnsi="Times New Roman"/>
          <w:szCs w:val="24"/>
        </w:rPr>
        <w:t xml:space="preserve"> $</w:t>
      </w:r>
      <w:r>
        <w:rPr>
          <w:rFonts w:ascii="Times New Roman" w:hAnsi="Times New Roman"/>
          <w:szCs w:val="24"/>
        </w:rPr>
        <w:t>199,814</w:t>
      </w:r>
      <w:r w:rsidRPr="002C61BF">
        <w:rPr>
          <w:rFonts w:ascii="Times New Roman" w:hAnsi="Times New Roman"/>
          <w:color w:val="000000"/>
          <w:szCs w:val="24"/>
        </w:rPr>
        <w:t>.</w:t>
      </w:r>
      <w:r w:rsidRPr="00F632DE">
        <w:rPr>
          <w:rStyle w:val="FootnoteReference"/>
          <w:rFonts w:ascii="Times New Roman" w:hAnsi="Times New Roman"/>
          <w:color w:val="000000"/>
          <w:szCs w:val="24"/>
        </w:rPr>
        <w:footnoteReference w:id="4"/>
      </w:r>
    </w:p>
    <w:p w:rsidR="007E2CE6" w:rsidRPr="00AC5CC4" w:rsidRDefault="007E2CE6" w:rsidP="007E2CE6">
      <w:pPr>
        <w:rPr>
          <w:rFonts w:ascii="Times New Roman" w:hAnsi="Times New Roman"/>
          <w:color w:val="000000"/>
          <w:szCs w:val="24"/>
        </w:rPr>
      </w:pPr>
    </w:p>
    <w:p w:rsidR="007E2CE6" w:rsidRPr="00AC5CC4" w:rsidRDefault="007E2CE6" w:rsidP="007E2CE6">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Cs w:val="24"/>
        </w:rPr>
      </w:pPr>
      <w:r w:rsidRPr="00AC5CC4">
        <w:rPr>
          <w:rFonts w:ascii="Times New Roman" w:hAnsi="Times New Roman"/>
          <w:b/>
          <w:bCs/>
          <w:color w:val="000000"/>
          <w:szCs w:val="24"/>
        </w:rPr>
        <w:t>Estimate of Cost to the Federal Reserve System</w:t>
      </w:r>
    </w:p>
    <w:p w:rsidR="007E2CE6" w:rsidRPr="00AC5CC4" w:rsidRDefault="007E2CE6" w:rsidP="007E2CE6">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Cs w:val="24"/>
        </w:rPr>
      </w:pPr>
    </w:p>
    <w:p w:rsidR="007E2CE6" w:rsidRDefault="007E2CE6" w:rsidP="007E2CE6">
      <w:r w:rsidRPr="00AC5CC4">
        <w:rPr>
          <w:rFonts w:ascii="Times New Roman" w:hAnsi="Times New Roman"/>
          <w:color w:val="000000"/>
          <w:szCs w:val="24"/>
        </w:rPr>
        <w:tab/>
        <w:t>Since the Federal Reserve does not collect any information, the cost to the Federal Reserve System is negligible.</w:t>
      </w:r>
    </w:p>
    <w:p w:rsidR="007E2CE6" w:rsidRDefault="007E2CE6" w:rsidP="007E2CE6"/>
    <w:p w:rsidR="00D172C5" w:rsidRPr="00E96604" w:rsidRDefault="00D172C5" w:rsidP="007E2CE6">
      <w:pPr>
        <w:rPr>
          <w:b/>
          <w:bCs/>
        </w:rPr>
      </w:pPr>
    </w:p>
    <w:sectPr w:rsidR="00D172C5" w:rsidRPr="00E96604" w:rsidSect="00824FC7">
      <w:headerReference w:type="default" r:id="rId6"/>
      <w:footerReference w:type="even" r:id="rId7"/>
      <w:footerReference w:type="default" r:id="rId8"/>
      <w:endnotePr>
        <w:numFmt w:val="decimal"/>
      </w:endnotePr>
      <w:pgSz w:w="12240" w:h="15840"/>
      <w:pgMar w:top="1440" w:right="1440" w:bottom="630" w:left="1440" w:header="72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52E1" w:rsidRDefault="00FF52E1">
      <w:r>
        <w:separator/>
      </w:r>
    </w:p>
  </w:endnote>
  <w:endnote w:type="continuationSeparator" w:id="0">
    <w:p w:rsidR="00FF52E1" w:rsidRDefault="00FF52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2E1" w:rsidRDefault="00FF52E1" w:rsidP="00824F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F52E1" w:rsidRDefault="00FF52E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2E1" w:rsidRDefault="00FF52E1">
    <w:pPr>
      <w:pStyle w:val="MemoHeader"/>
      <w:widowControl w:val="0"/>
      <w:spacing w:line="240" w:lineRule="exact"/>
      <w:rPr>
        <w:rFonts w:ascii="Times New Roman" w:hAnsi="Times New Roman"/>
        <w:i/>
        <w:smallCaps w:val="0"/>
        <w:snapToGrid w:val="0"/>
        <w:sz w:val="22"/>
      </w:rPr>
    </w:pPr>
  </w:p>
  <w:p w:rsidR="00FF52E1" w:rsidRDefault="00FF52E1" w:rsidP="00824FC7">
    <w:pPr>
      <w:framePr w:wrap="around" w:vAnchor="text" w:hAnchor="margin" w:xAlign="center" w:y="1"/>
      <w:jc w:val="center"/>
      <w:rPr>
        <w:rFonts w:ascii="Times New Roman" w:hAnsi="Times New Roman"/>
        <w:sz w:val="22"/>
      </w:rPr>
    </w:pPr>
    <w:r>
      <w:rPr>
        <w:rFonts w:ascii="Times New Roman" w:hAnsi="Times New Roman"/>
        <w:sz w:val="22"/>
      </w:rPr>
      <w:t>-</w:t>
    </w:r>
    <w:r>
      <w:rPr>
        <w:rFonts w:ascii="Times New Roman" w:hAnsi="Times New Roman"/>
        <w:sz w:val="22"/>
      </w:rPr>
      <w:fldChar w:fldCharType="begin"/>
    </w:r>
    <w:r>
      <w:rPr>
        <w:rFonts w:ascii="Times New Roman" w:hAnsi="Times New Roman"/>
        <w:sz w:val="22"/>
      </w:rPr>
      <w:instrText xml:space="preserve">PAGE </w:instrText>
    </w:r>
    <w:r>
      <w:rPr>
        <w:rFonts w:ascii="Times New Roman" w:hAnsi="Times New Roman"/>
        <w:sz w:val="22"/>
      </w:rPr>
      <w:fldChar w:fldCharType="separate"/>
    </w:r>
    <w:r w:rsidR="00797FBE">
      <w:rPr>
        <w:rFonts w:ascii="Times New Roman" w:hAnsi="Times New Roman"/>
        <w:noProof/>
        <w:sz w:val="22"/>
      </w:rPr>
      <w:t>2</w:t>
    </w:r>
    <w:r>
      <w:rPr>
        <w:rFonts w:ascii="Times New Roman" w:hAnsi="Times New Roman"/>
        <w:sz w:val="22"/>
      </w:rPr>
      <w:fldChar w:fldCharType="end"/>
    </w:r>
    <w:r>
      <w:rPr>
        <w:rFonts w:ascii="Times New Roman" w:hAnsi="Times New Roman"/>
        <w:sz w:val="22"/>
      </w:rPr>
      <w:t>-</w:t>
    </w:r>
  </w:p>
  <w:p w:rsidR="00FF52E1" w:rsidRDefault="00FF52E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52E1" w:rsidRDefault="00FF52E1">
      <w:r>
        <w:separator/>
      </w:r>
    </w:p>
  </w:footnote>
  <w:footnote w:type="continuationSeparator" w:id="0">
    <w:p w:rsidR="00FF52E1" w:rsidRDefault="00FF52E1">
      <w:r>
        <w:continuationSeparator/>
      </w:r>
    </w:p>
  </w:footnote>
  <w:footnote w:id="1">
    <w:p w:rsidR="00FF52E1" w:rsidRDefault="00FF52E1" w:rsidP="007E2CE6">
      <w:pPr>
        <w:pStyle w:val="FootnoteText"/>
        <w:spacing w:after="120"/>
      </w:pPr>
      <w:r w:rsidRPr="007541B3">
        <w:rPr>
          <w:rStyle w:val="FootnoteReference"/>
          <w:rFonts w:ascii="Times New Roman" w:hAnsi="Times New Roman"/>
        </w:rPr>
        <w:footnoteRef/>
      </w:r>
      <w:r w:rsidRPr="007541B3">
        <w:rPr>
          <w:rFonts w:ascii="Times New Roman" w:hAnsi="Times New Roman"/>
        </w:rPr>
        <w:t xml:space="preserve"> </w:t>
      </w:r>
      <w:proofErr w:type="gramStart"/>
      <w:r w:rsidRPr="007541B3">
        <w:rPr>
          <w:rFonts w:ascii="Times New Roman" w:hAnsi="Times New Roman"/>
        </w:rPr>
        <w:t xml:space="preserve">44 U.S.C. § 3501 </w:t>
      </w:r>
      <w:r w:rsidRPr="007541B3">
        <w:rPr>
          <w:rFonts w:ascii="Times New Roman" w:hAnsi="Times New Roman"/>
          <w:u w:val="single"/>
        </w:rPr>
        <w:t>et</w:t>
      </w:r>
      <w:r w:rsidRPr="007541B3">
        <w:rPr>
          <w:rFonts w:ascii="Times New Roman" w:hAnsi="Times New Roman"/>
        </w:rPr>
        <w:t xml:space="preserve"> </w:t>
      </w:r>
      <w:r w:rsidRPr="007541B3">
        <w:rPr>
          <w:rFonts w:ascii="Times New Roman" w:hAnsi="Times New Roman"/>
          <w:u w:val="single"/>
        </w:rPr>
        <w:t>seq</w:t>
      </w:r>
      <w:r w:rsidRPr="007541B3">
        <w:rPr>
          <w:rFonts w:ascii="Times New Roman" w:hAnsi="Times New Roman"/>
        </w:rPr>
        <w:t>.</w:t>
      </w:r>
      <w:proofErr w:type="gramEnd"/>
    </w:p>
  </w:footnote>
  <w:footnote w:id="2">
    <w:p w:rsidR="00FF52E1" w:rsidRDefault="00FF52E1" w:rsidP="007E2CE6">
      <w:pPr>
        <w:pStyle w:val="FootnoteText"/>
        <w:spacing w:after="120"/>
      </w:pPr>
      <w:r w:rsidRPr="007541B3">
        <w:rPr>
          <w:rStyle w:val="FootnoteReference"/>
          <w:rFonts w:ascii="Times New Roman" w:hAnsi="Times New Roman"/>
        </w:rPr>
        <w:footnoteRef/>
      </w:r>
      <w:r w:rsidRPr="007541B3">
        <w:rPr>
          <w:rFonts w:ascii="Times New Roman" w:hAnsi="Times New Roman"/>
        </w:rPr>
        <w:t xml:space="preserve"> The notice was issued by the Federal Reserve Board, the Federal Deposit Insurance Corporation, </w:t>
      </w:r>
      <w:proofErr w:type="gramStart"/>
      <w:r w:rsidRPr="007541B3">
        <w:rPr>
          <w:rFonts w:ascii="Times New Roman" w:hAnsi="Times New Roman"/>
        </w:rPr>
        <w:t>the</w:t>
      </w:r>
      <w:proofErr w:type="gramEnd"/>
      <w:r w:rsidRPr="007541B3">
        <w:rPr>
          <w:rFonts w:ascii="Times New Roman" w:hAnsi="Times New Roman"/>
        </w:rPr>
        <w:t xml:space="preserve"> Office of the Comptroller of the Currency, the Federal Home Loan Bank Board, and the National Credit Union Administration.</w:t>
      </w:r>
    </w:p>
  </w:footnote>
  <w:footnote w:id="3">
    <w:p w:rsidR="00FF52E1" w:rsidRDefault="00FF52E1" w:rsidP="007E2CE6">
      <w:pPr>
        <w:pStyle w:val="FootnoteText"/>
      </w:pPr>
      <w:r w:rsidRPr="007541B3">
        <w:rPr>
          <w:rStyle w:val="FootnoteReference"/>
          <w:rFonts w:ascii="Times New Roman" w:hAnsi="Times New Roman"/>
        </w:rPr>
        <w:footnoteRef/>
      </w:r>
      <w:r w:rsidRPr="007541B3">
        <w:rPr>
          <w:rFonts w:ascii="Times New Roman" w:hAnsi="Times New Roman"/>
        </w:rPr>
        <w:t xml:space="preserve"> See </w:t>
      </w:r>
      <w:r w:rsidRPr="007541B3">
        <w:rPr>
          <w:rFonts w:ascii="Times New Roman" w:hAnsi="Times New Roman"/>
          <w:i/>
          <w:iCs/>
        </w:rPr>
        <w:t>Federal Register</w:t>
      </w:r>
      <w:r w:rsidRPr="007541B3">
        <w:rPr>
          <w:rFonts w:ascii="Times New Roman" w:hAnsi="Times New Roman"/>
        </w:rPr>
        <w:t xml:space="preserve"> (71 FR 13934).</w:t>
      </w:r>
    </w:p>
  </w:footnote>
  <w:footnote w:id="4">
    <w:p w:rsidR="00FF52E1" w:rsidRPr="00F632DE" w:rsidRDefault="00FF52E1" w:rsidP="007E2CE6">
      <w:pPr>
        <w:pStyle w:val="FootnoteText"/>
        <w:rPr>
          <w:rFonts w:ascii="Times New Roman" w:hAnsi="Times New Roman"/>
        </w:rPr>
      </w:pPr>
      <w:r w:rsidRPr="00F632DE">
        <w:rPr>
          <w:rStyle w:val="FootnoteReference"/>
          <w:rFonts w:ascii="Times New Roman" w:hAnsi="Times New Roman"/>
        </w:rPr>
        <w:footnoteRef/>
      </w:r>
      <w:r w:rsidRPr="00F632DE">
        <w:rPr>
          <w:rFonts w:ascii="Times New Roman" w:hAnsi="Times New Roman"/>
          <w:vertAlign w:val="superscript"/>
        </w:rPr>
        <w:t xml:space="preserve"> </w:t>
      </w:r>
      <w:r w:rsidRPr="00F632DE">
        <w:rPr>
          <w:rFonts w:ascii="Times New Roman" w:hAnsi="Times New Roman"/>
        </w:rPr>
        <w:t>Total cost to the public was estimated using the following formula: percent of staff time, multiplied by annual burden hours, multiplied by hourly rate (30% Office &amp; Administrative Support @ $16, 45% Financial Managers @ $50, 15% Legal Counsel @ $54, and 10% Chief Executives @ $80).  Hourly rate for each occupational group are the median hourly wages (rounded up) from the Bureau of Labor and Statistics (BLS), Occupational Employment and Wages 2010, www.bls.gov/news.release/ocwage.nr0.htm  Occupations are defined using the BLS Occupational Classification System,  www.bls.gov/soc/</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2E1" w:rsidRDefault="00FF52E1">
    <w:pPr>
      <w:pStyle w:val="Header"/>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rsids>
    <w:rsidRoot w:val="00BC55EB"/>
    <w:rsid w:val="00183620"/>
    <w:rsid w:val="001B1B95"/>
    <w:rsid w:val="001F2AE0"/>
    <w:rsid w:val="002911C3"/>
    <w:rsid w:val="0030470E"/>
    <w:rsid w:val="003E3146"/>
    <w:rsid w:val="004250DF"/>
    <w:rsid w:val="00494A97"/>
    <w:rsid w:val="00494DA1"/>
    <w:rsid w:val="004A0E1F"/>
    <w:rsid w:val="005966B1"/>
    <w:rsid w:val="006005AD"/>
    <w:rsid w:val="00797FBE"/>
    <w:rsid w:val="007E2CE6"/>
    <w:rsid w:val="00807AEE"/>
    <w:rsid w:val="00824FC7"/>
    <w:rsid w:val="008D1416"/>
    <w:rsid w:val="009A1403"/>
    <w:rsid w:val="00A5088D"/>
    <w:rsid w:val="00AC00AC"/>
    <w:rsid w:val="00AD3774"/>
    <w:rsid w:val="00BC55EB"/>
    <w:rsid w:val="00BD47CD"/>
    <w:rsid w:val="00CA6CCA"/>
    <w:rsid w:val="00D172C5"/>
    <w:rsid w:val="00DB5F0A"/>
    <w:rsid w:val="00E63317"/>
    <w:rsid w:val="00E65BA7"/>
    <w:rsid w:val="00E96604"/>
    <w:rsid w:val="00EB3C46"/>
    <w:rsid w:val="00EC3D6D"/>
    <w:rsid w:val="00F23D78"/>
    <w:rsid w:val="00F50C7F"/>
    <w:rsid w:val="00F80835"/>
    <w:rsid w:val="00FF52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7CD"/>
    <w:pPr>
      <w:widowControl w:val="0"/>
    </w:pPr>
    <w:rPr>
      <w:rFonts w:ascii="Courier" w:hAnsi="Courier"/>
      <w:snapToGrid w:val="0"/>
      <w:sz w:val="24"/>
    </w:rPr>
  </w:style>
  <w:style w:type="paragraph" w:styleId="Heading1">
    <w:name w:val="heading 1"/>
    <w:basedOn w:val="Normal"/>
    <w:next w:val="Normal"/>
    <w:qFormat/>
    <w:rsid w:val="00BD47CD"/>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Times" w:hAnsi="Times"/>
      <w:b/>
    </w:rPr>
  </w:style>
  <w:style w:type="paragraph" w:styleId="Heading2">
    <w:name w:val="heading 2"/>
    <w:basedOn w:val="Normal"/>
    <w:next w:val="Normal"/>
    <w:qFormat/>
    <w:rsid w:val="00BD47CD"/>
    <w:pPr>
      <w:keepNext/>
      <w:widowControl/>
      <w:ind w:left="720"/>
      <w:outlineLvl w:val="1"/>
    </w:pPr>
    <w:rPr>
      <w:rFonts w:ascii="Times" w:hAnsi="Times"/>
      <w:b/>
    </w:rPr>
  </w:style>
  <w:style w:type="paragraph" w:styleId="Heading3">
    <w:name w:val="heading 3"/>
    <w:basedOn w:val="Normal"/>
    <w:next w:val="Normal"/>
    <w:qFormat/>
    <w:rsid w:val="00BD47CD"/>
    <w:pPr>
      <w:keepNext/>
      <w:widowControl/>
      <w:jc w:val="center"/>
      <w:outlineLvl w:val="2"/>
    </w:pPr>
    <w:rPr>
      <w:rFonts w:ascii="Arial" w:hAnsi="Arial"/>
      <w:b/>
      <w:smallCaps/>
      <w:snapToGrid/>
      <w:sz w:val="20"/>
    </w:rPr>
  </w:style>
  <w:style w:type="paragraph" w:styleId="Heading4">
    <w:name w:val="heading 4"/>
    <w:basedOn w:val="Normal"/>
    <w:next w:val="Normal"/>
    <w:qFormat/>
    <w:rsid w:val="00BD47CD"/>
    <w:pPr>
      <w:keepNext/>
      <w:jc w:val="center"/>
      <w:outlineLvl w:val="3"/>
    </w:pPr>
    <w:rPr>
      <w:rFonts w:ascii="Times New Roman" w:hAnsi="Times New Roman"/>
      <w:i/>
      <w:color w:val="000000"/>
    </w:rPr>
  </w:style>
  <w:style w:type="paragraph" w:styleId="Heading5">
    <w:name w:val="heading 5"/>
    <w:basedOn w:val="Normal"/>
    <w:next w:val="Normal"/>
    <w:qFormat/>
    <w:rsid w:val="00BD47CD"/>
    <w:pPr>
      <w:keepNext/>
      <w:jc w:val="center"/>
      <w:outlineLvl w:val="4"/>
    </w:pPr>
    <w:rPr>
      <w:rFonts w:ascii="Times New Roman" w:hAnsi="Times New Roman"/>
      <w:b/>
      <w:i/>
    </w:rPr>
  </w:style>
  <w:style w:type="paragraph" w:styleId="Heading6">
    <w:name w:val="heading 6"/>
    <w:basedOn w:val="Normal"/>
    <w:next w:val="Normal"/>
    <w:qFormat/>
    <w:rsid w:val="00BD47CD"/>
    <w:pPr>
      <w:keepNext/>
      <w:jc w:val="center"/>
      <w:outlineLvl w:val="5"/>
    </w:pPr>
    <w:rPr>
      <w:rFonts w:ascii="Times New Roman" w:hAnsi="Times New Roman"/>
      <w:i/>
    </w:rPr>
  </w:style>
  <w:style w:type="paragraph" w:styleId="Heading7">
    <w:name w:val="heading 7"/>
    <w:basedOn w:val="Normal"/>
    <w:next w:val="Normal"/>
    <w:qFormat/>
    <w:rsid w:val="00BD47CD"/>
    <w:pPr>
      <w:keepNext/>
      <w:outlineLvl w:val="6"/>
    </w:pPr>
    <w:rPr>
      <w:rFonts w:ascii="Times New Roman" w:hAnsi="Times New Roman"/>
      <w:b/>
      <w:bCs/>
      <w:color w:val="000000"/>
    </w:rPr>
  </w:style>
  <w:style w:type="paragraph" w:styleId="Heading8">
    <w:name w:val="heading 8"/>
    <w:basedOn w:val="Normal"/>
    <w:next w:val="Normal"/>
    <w:qFormat/>
    <w:rsid w:val="00BD47CD"/>
    <w:pPr>
      <w:keepNext/>
      <w:widowControl/>
      <w:tabs>
        <w:tab w:val="left" w:pos="720"/>
      </w:tabs>
      <w:outlineLvl w:val="7"/>
    </w:pPr>
    <w:rPr>
      <w:rFonts w:ascii="Times New Roman" w:hAnsi="Times New Roman"/>
      <w:b/>
      <w:u w:val="single"/>
    </w:rPr>
  </w:style>
  <w:style w:type="paragraph" w:styleId="Heading9">
    <w:name w:val="heading 9"/>
    <w:basedOn w:val="Normal"/>
    <w:next w:val="Normal"/>
    <w:qFormat/>
    <w:rsid w:val="00BD47CD"/>
    <w:pPr>
      <w:keepNext/>
      <w:tabs>
        <w:tab w:val="num" w:pos="720"/>
      </w:tabs>
      <w:jc w:val="center"/>
      <w:outlineLvl w:val="8"/>
    </w:pPr>
    <w:rPr>
      <w:rFonts w:ascii="Times New Roman" w:hAnsi="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D47CD"/>
    <w:rPr>
      <w:vertAlign w:val="superscript"/>
    </w:rPr>
  </w:style>
  <w:style w:type="paragraph" w:customStyle="1" w:styleId="a">
    <w:name w:val="_"/>
    <w:basedOn w:val="Normal"/>
    <w:rsid w:val="00BD47CD"/>
    <w:pPr>
      <w:ind w:left="720" w:hanging="720"/>
    </w:pPr>
  </w:style>
  <w:style w:type="paragraph" w:styleId="BodyTextIndent">
    <w:name w:val="Body Text Indent"/>
    <w:basedOn w:val="Normal"/>
    <w:rsid w:val="00BD47CD"/>
    <w:pPr>
      <w:widowControl/>
      <w:ind w:firstLine="720"/>
    </w:pPr>
    <w:rPr>
      <w:rFonts w:ascii="Times" w:hAnsi="Times"/>
    </w:rPr>
  </w:style>
  <w:style w:type="paragraph" w:styleId="BodyTextIndent2">
    <w:name w:val="Body Text Indent 2"/>
    <w:basedOn w:val="Normal"/>
    <w:rsid w:val="00BD47CD"/>
    <w:pPr>
      <w:widowControl/>
      <w:tabs>
        <w:tab w:val="left" w:pos="360"/>
      </w:tabs>
      <w:ind w:firstLine="360"/>
    </w:pPr>
    <w:rPr>
      <w:rFonts w:ascii="Times" w:hAnsi="Times"/>
    </w:rPr>
  </w:style>
  <w:style w:type="paragraph" w:styleId="FootnoteText">
    <w:name w:val="footnote text"/>
    <w:basedOn w:val="Normal"/>
    <w:link w:val="FootnoteTextChar"/>
    <w:semiHidden/>
    <w:rsid w:val="00BD47CD"/>
    <w:rPr>
      <w:sz w:val="20"/>
    </w:rPr>
  </w:style>
  <w:style w:type="paragraph" w:customStyle="1" w:styleId="MemoHeader">
    <w:name w:val="Memo Header"/>
    <w:basedOn w:val="Normal"/>
    <w:next w:val="Normal"/>
    <w:rsid w:val="00BD47CD"/>
    <w:pPr>
      <w:widowControl/>
    </w:pPr>
    <w:rPr>
      <w:rFonts w:ascii="Arial" w:hAnsi="Arial"/>
      <w:smallCaps/>
      <w:snapToGrid/>
    </w:rPr>
  </w:style>
  <w:style w:type="paragraph" w:styleId="BodyTextIndent3">
    <w:name w:val="Body Text Indent 3"/>
    <w:basedOn w:val="Normal"/>
    <w:rsid w:val="00BD47CD"/>
    <w:pPr>
      <w:ind w:firstLine="720"/>
    </w:pPr>
    <w:rPr>
      <w:rFonts w:ascii="Times New Roman" w:hAnsi="Times New Roman"/>
      <w:b/>
    </w:rPr>
  </w:style>
  <w:style w:type="paragraph" w:styleId="BodyText">
    <w:name w:val="Body Text"/>
    <w:basedOn w:val="Normal"/>
    <w:link w:val="BodyTextChar"/>
    <w:rsid w:val="00BD47CD"/>
    <w:pPr>
      <w:tabs>
        <w:tab w:val="num" w:pos="720"/>
      </w:tabs>
    </w:pPr>
    <w:rPr>
      <w:rFonts w:ascii="Times New Roman" w:hAnsi="Times New Roman"/>
      <w:b/>
    </w:rPr>
  </w:style>
  <w:style w:type="paragraph" w:styleId="Header">
    <w:name w:val="header"/>
    <w:basedOn w:val="Normal"/>
    <w:rsid w:val="00BD47CD"/>
    <w:pPr>
      <w:tabs>
        <w:tab w:val="center" w:pos="4320"/>
        <w:tab w:val="right" w:pos="8640"/>
      </w:tabs>
    </w:pPr>
  </w:style>
  <w:style w:type="paragraph" w:styleId="Footer">
    <w:name w:val="footer"/>
    <w:basedOn w:val="Normal"/>
    <w:rsid w:val="00BD47CD"/>
    <w:pPr>
      <w:tabs>
        <w:tab w:val="center" w:pos="4320"/>
        <w:tab w:val="right" w:pos="8640"/>
      </w:tabs>
    </w:pPr>
  </w:style>
  <w:style w:type="paragraph" w:styleId="DocumentMap">
    <w:name w:val="Document Map"/>
    <w:basedOn w:val="Normal"/>
    <w:semiHidden/>
    <w:rsid w:val="00BD47CD"/>
    <w:pPr>
      <w:shd w:val="clear" w:color="auto" w:fill="000080"/>
    </w:pPr>
    <w:rPr>
      <w:rFonts w:ascii="Tahoma" w:hAnsi="Tahoma"/>
    </w:rPr>
  </w:style>
  <w:style w:type="paragraph" w:styleId="BodyText3">
    <w:name w:val="Body Text 3"/>
    <w:basedOn w:val="Normal"/>
    <w:rsid w:val="00BD47CD"/>
    <w:pPr>
      <w:widowControl/>
      <w:tabs>
        <w:tab w:val="left" w:pos="720"/>
      </w:tabs>
    </w:pPr>
    <w:rPr>
      <w:rFonts w:ascii="Times New Roman" w:hAnsi="Times New Roman"/>
      <w:color w:val="FF0000"/>
    </w:rPr>
  </w:style>
  <w:style w:type="character" w:styleId="Hyperlink">
    <w:name w:val="Hyperlink"/>
    <w:basedOn w:val="DefaultParagraphFont"/>
    <w:rsid w:val="00BD47CD"/>
    <w:rPr>
      <w:color w:val="0000FF"/>
      <w:u w:val="single"/>
    </w:rPr>
  </w:style>
  <w:style w:type="paragraph" w:styleId="BodyText2">
    <w:name w:val="Body Text 2"/>
    <w:basedOn w:val="Normal"/>
    <w:rsid w:val="00BD47CD"/>
    <w:pPr>
      <w:widowControl/>
      <w:tabs>
        <w:tab w:val="left" w:pos="720"/>
      </w:tabs>
    </w:pPr>
    <w:rPr>
      <w:rFonts w:ascii="Times New Roman" w:hAnsi="Times New Roman"/>
      <w:b/>
      <w:color w:val="000000"/>
    </w:rPr>
  </w:style>
  <w:style w:type="paragraph" w:customStyle="1" w:styleId="Style">
    <w:name w:val="Style"/>
    <w:basedOn w:val="Normal"/>
    <w:rsid w:val="00BD47CD"/>
    <w:pPr>
      <w:ind w:left="720" w:hanging="720"/>
    </w:pPr>
    <w:rPr>
      <w:rFonts w:ascii="Courier New" w:hAnsi="Courier New"/>
    </w:rPr>
  </w:style>
  <w:style w:type="paragraph" w:customStyle="1" w:styleId="Style0">
    <w:name w:val="Style0"/>
    <w:rsid w:val="00D172C5"/>
    <w:rPr>
      <w:rFonts w:ascii="Arial" w:hAnsi="Arial"/>
      <w:snapToGrid w:val="0"/>
      <w:sz w:val="24"/>
    </w:rPr>
  </w:style>
  <w:style w:type="character" w:styleId="PageNumber">
    <w:name w:val="page number"/>
    <w:basedOn w:val="DefaultParagraphFont"/>
    <w:rsid w:val="00824FC7"/>
  </w:style>
  <w:style w:type="character" w:customStyle="1" w:styleId="FootnoteTextChar">
    <w:name w:val="Footnote Text Char"/>
    <w:basedOn w:val="DefaultParagraphFont"/>
    <w:link w:val="FootnoteText"/>
    <w:semiHidden/>
    <w:rsid w:val="002911C3"/>
    <w:rPr>
      <w:rFonts w:ascii="Courier" w:hAnsi="Courier"/>
      <w:snapToGrid w:val="0"/>
      <w:lang w:val="en-US" w:eastAsia="en-US" w:bidi="ar-SA"/>
    </w:rPr>
  </w:style>
  <w:style w:type="character" w:customStyle="1" w:styleId="BodyTextChar">
    <w:name w:val="Body Text Char"/>
    <w:basedOn w:val="DefaultParagraphFont"/>
    <w:link w:val="BodyText"/>
    <w:rsid w:val="007E2CE6"/>
    <w:rPr>
      <w:b/>
      <w:snapToGrid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238</TotalTime>
  <Pages>3</Pages>
  <Words>1049</Words>
  <Characters>5981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INTERNAL FR</vt:lpstr>
    </vt:vector>
  </TitlesOfParts>
  <Company>Federal Reserve Board</Company>
  <LinksUpToDate>false</LinksUpToDate>
  <CharactersWithSpaces>7016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FR</dc:title>
  <dc:subject/>
  <dc:creator>Research &amp; Statistics</dc:creator>
  <cp:keywords/>
  <cp:lastModifiedBy>Scott William Farmer</cp:lastModifiedBy>
  <cp:revision>10</cp:revision>
  <cp:lastPrinted>2009-01-06T20:55:00Z</cp:lastPrinted>
  <dcterms:created xsi:type="dcterms:W3CDTF">2011-12-13T15:18:00Z</dcterms:created>
  <dcterms:modified xsi:type="dcterms:W3CDTF">2012-03-19T14:36:00Z</dcterms:modified>
</cp:coreProperties>
</file>