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ACE8" w14:textId="77777777" w:rsidR="005B1147" w:rsidRDefault="005B1147" w:rsidP="005B1147">
      <w:pPr>
        <w:suppressAutoHyphens/>
        <w:rPr>
          <w:rFonts w:ascii="Times New Roman" w:hAnsi="Times New Roman"/>
          <w:szCs w:val="24"/>
        </w:rPr>
      </w:pPr>
      <w:r>
        <w:rPr>
          <w:rFonts w:ascii="Times New Roman" w:hAnsi="Times New Roman"/>
          <w:szCs w:val="24"/>
        </w:rPr>
        <w:t>SUPPORTING STATEMENT FOR NEW AND REVISED INFORMATION COLLECTIONS</w:t>
      </w:r>
      <w:r>
        <w:rPr>
          <w:rFonts w:ascii="Times New Roman" w:hAnsi="Times New Roman"/>
          <w:szCs w:val="24"/>
        </w:rPr>
        <w:fldChar w:fldCharType="begin"/>
      </w:r>
      <w:r>
        <w:rPr>
          <w:rFonts w:ascii="Times New Roman" w:hAnsi="Times New Roman"/>
          <w:szCs w:val="24"/>
        </w:rPr>
        <w:instrText xml:space="preserve">PRIVATE </w:instrText>
      </w:r>
      <w:r>
        <w:rPr>
          <w:rFonts w:ascii="Times New Roman" w:hAnsi="Times New Roman"/>
          <w:szCs w:val="24"/>
        </w:rPr>
        <w:fldChar w:fldCharType="end"/>
      </w:r>
    </w:p>
    <w:p w14:paraId="45083013" w14:textId="77777777" w:rsidR="005B1147" w:rsidRDefault="005B1147" w:rsidP="005B1147">
      <w:pPr>
        <w:suppressAutoHyphens/>
        <w:rPr>
          <w:rFonts w:ascii="Times New Roman" w:hAnsi="Times New Roman"/>
          <w:szCs w:val="24"/>
        </w:rPr>
      </w:pPr>
    </w:p>
    <w:p w14:paraId="6629230A" w14:textId="77777777" w:rsidR="005B1147" w:rsidRDefault="005B1147" w:rsidP="005B1147">
      <w:pPr>
        <w:tabs>
          <w:tab w:val="center" w:pos="4680"/>
        </w:tabs>
        <w:suppressAutoHyphens/>
        <w:rPr>
          <w:rFonts w:ascii="Times New Roman" w:hAnsi="Times New Roman"/>
          <w:szCs w:val="24"/>
        </w:rPr>
      </w:pPr>
      <w:r>
        <w:rPr>
          <w:rFonts w:ascii="Times New Roman" w:hAnsi="Times New Roman"/>
          <w:szCs w:val="24"/>
        </w:rPr>
        <w:tab/>
        <w:t>OMB CONTROL NUMBER 3038-0070</w:t>
      </w:r>
    </w:p>
    <w:p w14:paraId="5332242D" w14:textId="77777777" w:rsidR="005B1147" w:rsidRDefault="005B1147" w:rsidP="005B1147">
      <w:pPr>
        <w:tabs>
          <w:tab w:val="left" w:pos="-720"/>
        </w:tabs>
        <w:suppressAutoHyphens/>
        <w:rPr>
          <w:rFonts w:ascii="Times New Roman" w:hAnsi="Times New Roman"/>
          <w:szCs w:val="24"/>
          <w:u w:val="single"/>
        </w:rPr>
      </w:pPr>
    </w:p>
    <w:p w14:paraId="45A2C19E"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u w:val="single"/>
        </w:rPr>
        <w:t>Justification</w:t>
      </w:r>
    </w:p>
    <w:p w14:paraId="0FEA9A20" w14:textId="77777777" w:rsidR="005B1147" w:rsidRDefault="005B1147" w:rsidP="005B1147">
      <w:pPr>
        <w:tabs>
          <w:tab w:val="left" w:pos="-720"/>
        </w:tabs>
        <w:suppressAutoHyphens/>
        <w:rPr>
          <w:rFonts w:ascii="Times New Roman" w:hAnsi="Times New Roman"/>
          <w:szCs w:val="24"/>
        </w:rPr>
      </w:pPr>
    </w:p>
    <w:p w14:paraId="36277B4B" w14:textId="77777777" w:rsidR="005B1147" w:rsidRDefault="005B1147" w:rsidP="005B1147">
      <w:pPr>
        <w:numPr>
          <w:ilvl w:val="0"/>
          <w:numId w:val="6"/>
        </w:numPr>
        <w:tabs>
          <w:tab w:val="left" w:pos="-720"/>
          <w:tab w:val="left" w:pos="0"/>
        </w:tabs>
        <w:suppressAutoHyphens/>
        <w:rPr>
          <w:rFonts w:ascii="Times New Roman" w:hAnsi="Times New Roman"/>
          <w:szCs w:val="24"/>
        </w:rPr>
      </w:pPr>
      <w:r>
        <w:rPr>
          <w:rFonts w:ascii="Times New Roman" w:hAnsi="Times New Roman"/>
          <w:szCs w:val="24"/>
          <w:u w:val="single"/>
        </w:rPr>
        <w:t xml:space="preserve">Explain the circumstances that make the collection of information necessary.  Identify any legal or administrative requirements that necessitate the collection.  </w:t>
      </w:r>
    </w:p>
    <w:p w14:paraId="23B1B288" w14:textId="77777777" w:rsidR="005B1147" w:rsidRDefault="005B1147" w:rsidP="005B1147">
      <w:pPr>
        <w:tabs>
          <w:tab w:val="left" w:pos="-720"/>
          <w:tab w:val="left" w:pos="0"/>
        </w:tabs>
        <w:suppressAutoHyphens/>
        <w:rPr>
          <w:rFonts w:ascii="Times New Roman" w:hAnsi="Times New Roman"/>
          <w:szCs w:val="24"/>
        </w:rPr>
      </w:pPr>
    </w:p>
    <w:p w14:paraId="731ACD6A" w14:textId="545D2C3B" w:rsidR="005B1147" w:rsidRDefault="005B1147" w:rsidP="005B1147">
      <w:pPr>
        <w:tabs>
          <w:tab w:val="left" w:pos="-720"/>
        </w:tabs>
        <w:suppressAutoHyphens/>
        <w:rPr>
          <w:rFonts w:ascii="Times New Roman" w:hAnsi="Times New Roman"/>
          <w:szCs w:val="24"/>
        </w:rPr>
      </w:pPr>
      <w:r>
        <w:rPr>
          <w:rFonts w:ascii="Times New Roman" w:hAnsi="Times New Roman"/>
          <w:szCs w:val="24"/>
        </w:rPr>
        <w:tab/>
        <w:t>On July 21, 2010, the Dodd-Frank Wall Street Reform and Consumer Protection Act (“Dodd-Frank Act”) was enacted.</w:t>
      </w:r>
      <w:r>
        <w:rPr>
          <w:rStyle w:val="FootnoteReference"/>
          <w:rFonts w:ascii="Times New Roman" w:hAnsi="Times New Roman"/>
          <w:szCs w:val="24"/>
        </w:rPr>
        <w:footnoteReference w:id="1"/>
      </w:r>
      <w:r>
        <w:rPr>
          <w:rFonts w:ascii="Times New Roman" w:hAnsi="Times New Roman"/>
          <w:szCs w:val="24"/>
        </w:rPr>
        <w:t xml:space="preserve"> Title VII of the Dodd-Frank Act amends the Commodity Exchange Act (“CEA”)</w:t>
      </w:r>
      <w:r>
        <w:rPr>
          <w:rStyle w:val="FootnoteReference"/>
          <w:rFonts w:ascii="Times New Roman" w:hAnsi="Times New Roman"/>
          <w:szCs w:val="24"/>
        </w:rPr>
        <w:footnoteReference w:id="2"/>
      </w:r>
      <w:r>
        <w:rPr>
          <w:rFonts w:ascii="Times New Roman" w:hAnsi="Times New Roman"/>
          <w:szCs w:val="24"/>
        </w:rPr>
        <w:t xml:space="preserve"> to establish a comprehensive new regulatory framework for swaps and security-based swaps.  Section 727 of the Dodd-Frank Act specifically requires the Commodity Futures Trading Commission (“CFTC” or “Commission”) to establish certain standards for the real-time public reporting of swap transaction data.  Part 43 of the Commission’s regulations imposes certain reporting, public dissemination, and </w:t>
      </w:r>
      <w:proofErr w:type="spellStart"/>
      <w:r>
        <w:rPr>
          <w:rFonts w:ascii="Times New Roman" w:hAnsi="Times New Roman"/>
          <w:szCs w:val="24"/>
        </w:rPr>
        <w:t>timestamping</w:t>
      </w:r>
      <w:proofErr w:type="spellEnd"/>
      <w:r>
        <w:rPr>
          <w:rFonts w:ascii="Times New Roman" w:hAnsi="Times New Roman"/>
          <w:szCs w:val="24"/>
        </w:rPr>
        <w:t xml:space="preserve"> requirements on the following entities that vary depending on the </w:t>
      </w:r>
      <w:r w:rsidR="00BB5F13">
        <w:rPr>
          <w:rFonts w:ascii="Times New Roman" w:hAnsi="Times New Roman"/>
          <w:szCs w:val="24"/>
        </w:rPr>
        <w:t>method</w:t>
      </w:r>
      <w:r>
        <w:rPr>
          <w:rFonts w:ascii="Times New Roman" w:hAnsi="Times New Roman"/>
          <w:szCs w:val="24"/>
        </w:rPr>
        <w:t xml:space="preserve"> of execution, underlying asset, and the counterparties to the swap: registered swap execution facilities (“SEFs”); designated contract markets </w:t>
      </w:r>
      <w:proofErr w:type="gramStart"/>
      <w:r>
        <w:rPr>
          <w:rFonts w:ascii="Times New Roman" w:hAnsi="Times New Roman"/>
          <w:szCs w:val="24"/>
        </w:rPr>
        <w:t>(“DCMs”); registered swap data repositories (“SDRs”); major swap participants (“MSPs”); swap dealers (“SDs”); and non-SDs/non-MSPs.</w:t>
      </w:r>
      <w:proofErr w:type="gramEnd"/>
      <w:r>
        <w:rPr>
          <w:rFonts w:ascii="Times New Roman" w:hAnsi="Times New Roman"/>
          <w:szCs w:val="24"/>
        </w:rPr>
        <w:t xml:space="preserve">    </w:t>
      </w:r>
    </w:p>
    <w:p w14:paraId="66475CAF" w14:textId="77777777" w:rsidR="005B1147" w:rsidRDefault="005B1147" w:rsidP="005B1147">
      <w:pPr>
        <w:tabs>
          <w:tab w:val="left" w:pos="-720"/>
        </w:tabs>
        <w:suppressAutoHyphens/>
        <w:rPr>
          <w:rFonts w:ascii="Times New Roman" w:hAnsi="Times New Roman"/>
          <w:szCs w:val="24"/>
        </w:rPr>
      </w:pPr>
    </w:p>
    <w:p w14:paraId="5ABB851B"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This supporting statement concerns new collections of information required by these new regulations.  The following new regulations would require collections of information:  </w:t>
      </w:r>
    </w:p>
    <w:p w14:paraId="66EE4D59" w14:textId="77777777" w:rsidR="005B1147" w:rsidRDefault="005B1147" w:rsidP="005B1147">
      <w:pPr>
        <w:tabs>
          <w:tab w:val="left" w:pos="-720"/>
        </w:tabs>
        <w:suppressAutoHyphens/>
        <w:rPr>
          <w:rFonts w:ascii="Times New Roman" w:hAnsi="Times New Roman"/>
          <w:szCs w:val="24"/>
        </w:rPr>
      </w:pPr>
    </w:p>
    <w:p w14:paraId="5F1A48CA" w14:textId="00798349" w:rsidR="005B1147" w:rsidRDefault="005B1147" w:rsidP="005B1147">
      <w:pPr>
        <w:numPr>
          <w:ilvl w:val="0"/>
          <w:numId w:val="7"/>
        </w:numPr>
        <w:tabs>
          <w:tab w:val="left" w:pos="-720"/>
        </w:tabs>
        <w:suppressAutoHyphens/>
        <w:rPr>
          <w:rFonts w:ascii="Times New Roman" w:hAnsi="Times New Roman"/>
          <w:szCs w:val="24"/>
        </w:rPr>
      </w:pPr>
      <w:r>
        <w:rPr>
          <w:rFonts w:ascii="Times New Roman" w:hAnsi="Times New Roman"/>
          <w:szCs w:val="24"/>
        </w:rPr>
        <w:t xml:space="preserve">Section 43.3(a)(2) provides that for swaps executed on or pursuant to the rules of a SEF or DCM, a reporting party shall satisfy its reporting requirement by executing such publicly reportable swap transaction on or pursuant to the rules of the SEF or DCM.  Additionally, </w:t>
      </w:r>
      <w:r>
        <w:rPr>
          <w:rFonts w:ascii="Calibri" w:hAnsi="Calibri"/>
          <w:szCs w:val="24"/>
        </w:rPr>
        <w:t xml:space="preserve">§ </w:t>
      </w:r>
      <w:r>
        <w:rPr>
          <w:rFonts w:ascii="Times New Roman" w:hAnsi="Times New Roman"/>
          <w:szCs w:val="24"/>
        </w:rPr>
        <w:t>43.3(a</w:t>
      </w:r>
      <w:proofErr w:type="gramStart"/>
      <w:r>
        <w:rPr>
          <w:rFonts w:ascii="Times New Roman" w:hAnsi="Times New Roman"/>
          <w:szCs w:val="24"/>
        </w:rPr>
        <w:t>)(</w:t>
      </w:r>
      <w:proofErr w:type="gramEnd"/>
      <w:r>
        <w:rPr>
          <w:rFonts w:ascii="Times New Roman" w:hAnsi="Times New Roman"/>
          <w:szCs w:val="24"/>
        </w:rPr>
        <w:t>3) requires a reporting party in an off-facility swap (</w:t>
      </w:r>
      <w:r w:rsidRPr="00BB5F13">
        <w:rPr>
          <w:rFonts w:ascii="Times New Roman" w:hAnsi="Times New Roman"/>
          <w:szCs w:val="24"/>
          <w:u w:val="single"/>
        </w:rPr>
        <w:t>i.e.</w:t>
      </w:r>
      <w:r>
        <w:rPr>
          <w:rFonts w:ascii="Times New Roman" w:hAnsi="Times New Roman"/>
          <w:szCs w:val="24"/>
        </w:rPr>
        <w:t>, MSP, SD, or non-SD/non-MSP) to report the swap transaction and pricing data, “as soon as technologically practicable” after execution</w:t>
      </w:r>
      <w:r w:rsidR="00BB5F13">
        <w:rPr>
          <w:rFonts w:ascii="Times New Roman" w:hAnsi="Times New Roman"/>
          <w:szCs w:val="24"/>
        </w:rPr>
        <w:t xml:space="preserve"> </w:t>
      </w:r>
      <w:r>
        <w:rPr>
          <w:rFonts w:ascii="Times New Roman" w:hAnsi="Times New Roman"/>
          <w:szCs w:val="24"/>
        </w:rPr>
        <w:t>to an SDR that accepts and publicly disseminates such data.  Upon receiving the swap transaction and pricing data, the SDR shall publicly disseminate the data “as soon as technologically practicable,” unless the publicly reportable swap transaction is subject to a time delay as described in § 43.5.</w:t>
      </w:r>
    </w:p>
    <w:p w14:paraId="0E675816" w14:textId="77777777" w:rsidR="005B1147" w:rsidRDefault="005B1147" w:rsidP="005B1147">
      <w:pPr>
        <w:tabs>
          <w:tab w:val="left" w:pos="-720"/>
        </w:tabs>
        <w:suppressAutoHyphens/>
        <w:ind w:left="720"/>
        <w:rPr>
          <w:rFonts w:ascii="Times New Roman" w:hAnsi="Times New Roman"/>
          <w:szCs w:val="24"/>
        </w:rPr>
      </w:pPr>
    </w:p>
    <w:p w14:paraId="2DAAEA48" w14:textId="77777777" w:rsidR="005B1147" w:rsidRDefault="005B1147" w:rsidP="005B1147">
      <w:pPr>
        <w:numPr>
          <w:ilvl w:val="0"/>
          <w:numId w:val="7"/>
        </w:numPr>
        <w:tabs>
          <w:tab w:val="left" w:pos="-720"/>
        </w:tabs>
        <w:suppressAutoHyphens/>
        <w:rPr>
          <w:rFonts w:ascii="Times New Roman" w:hAnsi="Times New Roman"/>
          <w:szCs w:val="24"/>
        </w:rPr>
      </w:pPr>
      <w:r>
        <w:rPr>
          <w:rFonts w:ascii="Times New Roman" w:hAnsi="Times New Roman"/>
          <w:szCs w:val="24"/>
        </w:rPr>
        <w:t>Section 43.3(b</w:t>
      </w:r>
      <w:proofErr w:type="gramStart"/>
      <w:r>
        <w:rPr>
          <w:rFonts w:ascii="Times New Roman" w:hAnsi="Times New Roman"/>
          <w:szCs w:val="24"/>
        </w:rPr>
        <w:t>)(</w:t>
      </w:r>
      <w:proofErr w:type="gramEnd"/>
      <w:r>
        <w:rPr>
          <w:rFonts w:ascii="Times New Roman" w:hAnsi="Times New Roman"/>
          <w:szCs w:val="24"/>
        </w:rPr>
        <w:t xml:space="preserve">1) provides that a SEF or DCM satisfies its public dissemination requirement by transmitting the swap transaction and pricing data to an SDR “as soon as technologically practicable” after it has been executed on such platform.  </w:t>
      </w:r>
    </w:p>
    <w:p w14:paraId="10EA9F08" w14:textId="77777777" w:rsidR="005B1147" w:rsidRDefault="005B1147" w:rsidP="005B1147">
      <w:pPr>
        <w:tabs>
          <w:tab w:val="left" w:pos="-720"/>
        </w:tabs>
        <w:suppressAutoHyphens/>
        <w:ind w:left="720"/>
        <w:rPr>
          <w:rFonts w:ascii="Times New Roman" w:hAnsi="Times New Roman"/>
          <w:szCs w:val="24"/>
        </w:rPr>
      </w:pPr>
    </w:p>
    <w:p w14:paraId="13E3A557" w14:textId="481191EB" w:rsidR="005B1147" w:rsidRDefault="005B1147" w:rsidP="005B1147">
      <w:pPr>
        <w:numPr>
          <w:ilvl w:val="0"/>
          <w:numId w:val="8"/>
        </w:numPr>
        <w:tabs>
          <w:tab w:val="left" w:pos="-720"/>
        </w:tabs>
        <w:suppressAutoHyphens/>
        <w:rPr>
          <w:rFonts w:ascii="Times New Roman" w:hAnsi="Times New Roman"/>
          <w:szCs w:val="24"/>
        </w:rPr>
      </w:pPr>
      <w:r>
        <w:rPr>
          <w:rFonts w:ascii="Times New Roman" w:hAnsi="Times New Roman"/>
          <w:szCs w:val="24"/>
        </w:rPr>
        <w:t>Section 43.3(c)(3) requires an SDR that accepts and public</w:t>
      </w:r>
      <w:r w:rsidR="00377881">
        <w:rPr>
          <w:rFonts w:ascii="Times New Roman" w:hAnsi="Times New Roman"/>
          <w:szCs w:val="24"/>
        </w:rPr>
        <w:t>ly</w:t>
      </w:r>
      <w:r>
        <w:rPr>
          <w:rFonts w:ascii="Times New Roman" w:hAnsi="Times New Roman"/>
          <w:szCs w:val="24"/>
        </w:rPr>
        <w:t xml:space="preserve"> disseminates swap transaction and pricing data in real-time to perform, on an annual basis, an independent </w:t>
      </w:r>
      <w:r>
        <w:rPr>
          <w:rFonts w:ascii="Times New Roman" w:hAnsi="Times New Roman"/>
          <w:szCs w:val="24"/>
        </w:rPr>
        <w:lastRenderedPageBreak/>
        <w:t xml:space="preserve">review in accordance with established audit procedures and standards of the SDR’s security and other system controls for the purposes of ensuring compliance with the requirements in part 43. </w:t>
      </w:r>
    </w:p>
    <w:p w14:paraId="1F4AAD42" w14:textId="77777777" w:rsidR="005B1147" w:rsidRDefault="005B1147" w:rsidP="005B1147">
      <w:pPr>
        <w:pStyle w:val="ListParagraph"/>
        <w:rPr>
          <w:rFonts w:ascii="Times New Roman" w:hAnsi="Times New Roman"/>
          <w:szCs w:val="24"/>
        </w:rPr>
      </w:pPr>
    </w:p>
    <w:p w14:paraId="0EE58EBA" w14:textId="6517BAE9" w:rsidR="005B1147" w:rsidRDefault="005B1147" w:rsidP="005B1147">
      <w:pPr>
        <w:numPr>
          <w:ilvl w:val="0"/>
          <w:numId w:val="8"/>
        </w:numPr>
        <w:tabs>
          <w:tab w:val="left" w:pos="-720"/>
        </w:tabs>
        <w:suppressAutoHyphens/>
        <w:rPr>
          <w:rFonts w:ascii="Times New Roman" w:hAnsi="Times New Roman"/>
          <w:szCs w:val="24"/>
        </w:rPr>
      </w:pPr>
      <w:r>
        <w:rPr>
          <w:rFonts w:ascii="Times New Roman" w:hAnsi="Times New Roman"/>
          <w:szCs w:val="24"/>
        </w:rPr>
        <w:t>Section 43.4(b) requires an SDR that accepts and publicly disseminates data in real-time to only publicly disseminate the information described in appendix A to part 43.  Appendix A to part 43 describes the data fields and format for public dissemination.  Additionally, in public</w:t>
      </w:r>
      <w:r w:rsidR="00377881">
        <w:rPr>
          <w:rFonts w:ascii="Times New Roman" w:hAnsi="Times New Roman"/>
          <w:szCs w:val="24"/>
        </w:rPr>
        <w:t>ly</w:t>
      </w:r>
      <w:r>
        <w:rPr>
          <w:rFonts w:ascii="Times New Roman" w:hAnsi="Times New Roman"/>
          <w:szCs w:val="24"/>
        </w:rPr>
        <w:t xml:space="preserve"> disseminating the swap data, the SDR must comply with </w:t>
      </w:r>
      <w:r>
        <w:rPr>
          <w:rFonts w:ascii="Calibri" w:hAnsi="Calibri"/>
          <w:szCs w:val="24"/>
        </w:rPr>
        <w:t>§§</w:t>
      </w:r>
      <w:r>
        <w:rPr>
          <w:rFonts w:ascii="Times New Roman" w:hAnsi="Times New Roman"/>
          <w:szCs w:val="24"/>
        </w:rPr>
        <w:t xml:space="preserve"> 43.4(g) and (h), which provide a rounding convention and notional caps for purposes of publicly disseminating the notional or principal amount for a publicly reportable swap transaction.</w:t>
      </w:r>
    </w:p>
    <w:p w14:paraId="17A12F91" w14:textId="77777777" w:rsidR="005B1147" w:rsidRDefault="005B1147" w:rsidP="005B1147">
      <w:pPr>
        <w:tabs>
          <w:tab w:val="left" w:pos="-720"/>
        </w:tabs>
        <w:suppressAutoHyphens/>
        <w:rPr>
          <w:rFonts w:ascii="Times New Roman" w:hAnsi="Times New Roman"/>
          <w:szCs w:val="24"/>
        </w:rPr>
      </w:pPr>
    </w:p>
    <w:p w14:paraId="1DAA97C8" w14:textId="3CEFE3AF" w:rsidR="005B1147" w:rsidRDefault="00BB5F13" w:rsidP="005B1147">
      <w:pPr>
        <w:numPr>
          <w:ilvl w:val="0"/>
          <w:numId w:val="8"/>
        </w:numPr>
        <w:tabs>
          <w:tab w:val="left" w:pos="-720"/>
        </w:tabs>
        <w:suppressAutoHyphens/>
      </w:pPr>
      <w:r>
        <w:rPr>
          <w:rFonts w:ascii="Times New Roman" w:hAnsi="Times New Roman"/>
          <w:szCs w:val="24"/>
        </w:rPr>
        <w:t>Section</w:t>
      </w:r>
      <w:r w:rsidR="005B1147">
        <w:rPr>
          <w:rFonts w:ascii="Calibri" w:hAnsi="Calibri"/>
          <w:szCs w:val="24"/>
        </w:rPr>
        <w:t xml:space="preserve"> </w:t>
      </w:r>
      <w:r w:rsidR="005B1147">
        <w:rPr>
          <w:rFonts w:ascii="Times New Roman" w:hAnsi="Times New Roman"/>
          <w:szCs w:val="24"/>
        </w:rPr>
        <w:t xml:space="preserve">43.4(c) provides that an SDR that accepts and publicly disseminates swap transaction and pricing data in real-time may require reporting parties, SEFs and DCMs, to report to such SDR such information that is necessary to match the swap transaction and pricing data that was publicly disseminated in real-time and the data reported to a SDR pursuant to Section 2(a)(13)(G) of the Act or to confirm that the parties to a swap have reported “as soon as technologically practicable” pursuant to </w:t>
      </w:r>
      <w:r w:rsidR="005B1147">
        <w:rPr>
          <w:rFonts w:ascii="Calibri" w:hAnsi="Calibri"/>
          <w:szCs w:val="24"/>
        </w:rPr>
        <w:t>§</w:t>
      </w:r>
      <w:r w:rsidR="005B1147">
        <w:rPr>
          <w:rFonts w:ascii="Times New Roman" w:hAnsi="Times New Roman"/>
          <w:szCs w:val="24"/>
        </w:rPr>
        <w:t>43.3.</w:t>
      </w:r>
    </w:p>
    <w:p w14:paraId="348D9FC9" w14:textId="77777777" w:rsidR="005B1147" w:rsidRDefault="005B1147" w:rsidP="005B1147">
      <w:pPr>
        <w:tabs>
          <w:tab w:val="left" w:pos="-720"/>
        </w:tabs>
        <w:suppressAutoHyphens/>
        <w:ind w:left="720"/>
        <w:rPr>
          <w:rFonts w:ascii="Times New Roman" w:hAnsi="Times New Roman"/>
          <w:szCs w:val="24"/>
        </w:rPr>
      </w:pPr>
    </w:p>
    <w:p w14:paraId="3837AA7A" w14:textId="77777777" w:rsidR="005B1147" w:rsidRDefault="005B1147" w:rsidP="005B1147">
      <w:pPr>
        <w:numPr>
          <w:ilvl w:val="0"/>
          <w:numId w:val="8"/>
        </w:numPr>
        <w:tabs>
          <w:tab w:val="left" w:pos="-720"/>
        </w:tabs>
        <w:suppressAutoHyphens/>
      </w:pPr>
      <w:r>
        <w:rPr>
          <w:rFonts w:ascii="Times New Roman" w:hAnsi="Times New Roman"/>
          <w:szCs w:val="24"/>
        </w:rPr>
        <w:t>Section 43.3(e)(1)(i) provides that if party to a swap becomes aware of an error or omission in the swap transaction and pricing data which it reported, it shall promptly notify the other party of the error and/or correction.  Section 43.3(e</w:t>
      </w:r>
      <w:proofErr w:type="gramStart"/>
      <w:r>
        <w:rPr>
          <w:rFonts w:ascii="Times New Roman" w:hAnsi="Times New Roman"/>
          <w:szCs w:val="24"/>
        </w:rPr>
        <w:t>)(</w:t>
      </w:r>
      <w:proofErr w:type="gramEnd"/>
      <w:r>
        <w:rPr>
          <w:rFonts w:ascii="Times New Roman" w:hAnsi="Times New Roman"/>
          <w:szCs w:val="24"/>
        </w:rPr>
        <w:t xml:space="preserve">1)(ii) requires that if a reporting party becomes aware of an error or omission in the data reported an SDR, either because it reported such data or a SEF or DCM reported it, the reporting party must promptly submit corrected data to the same SEF, DCM or SDR.  Section 43.3(e)(1)(iii) states that if a SEF or DCM becomes aware of an error with respect to a swap it reported, or if it receives notice from the reporting party of an error, the SEF or DCM shall promptly submit corrected data to the registered SDR.  Finally, </w:t>
      </w:r>
      <w:r>
        <w:rPr>
          <w:rFonts w:ascii="Calibri" w:hAnsi="Calibri"/>
          <w:szCs w:val="24"/>
        </w:rPr>
        <w:t>§</w:t>
      </w:r>
      <w:r>
        <w:rPr>
          <w:rFonts w:ascii="Times New Roman" w:hAnsi="Times New Roman"/>
          <w:szCs w:val="24"/>
        </w:rPr>
        <w:t>43.3(e</w:t>
      </w:r>
      <w:proofErr w:type="gramStart"/>
      <w:r>
        <w:rPr>
          <w:rFonts w:ascii="Times New Roman" w:hAnsi="Times New Roman"/>
          <w:szCs w:val="24"/>
        </w:rPr>
        <w:t>)(</w:t>
      </w:r>
      <w:proofErr w:type="gramEnd"/>
      <w:r>
        <w:rPr>
          <w:rFonts w:ascii="Times New Roman" w:hAnsi="Times New Roman"/>
          <w:szCs w:val="24"/>
        </w:rPr>
        <w:t>1)(iv) requires an SDR to publicly disseminate any cancellations or corrections to such data, “as soon as technologically practicable” after receipt or discovery of any such cancellation or correction.</w:t>
      </w:r>
    </w:p>
    <w:p w14:paraId="4A93D699" w14:textId="77777777" w:rsidR="005B1147" w:rsidRDefault="005B1147" w:rsidP="005B1147">
      <w:pPr>
        <w:tabs>
          <w:tab w:val="left" w:pos="-720"/>
        </w:tabs>
        <w:suppressAutoHyphens/>
        <w:ind w:left="720"/>
        <w:rPr>
          <w:rFonts w:ascii="Times New Roman" w:hAnsi="Times New Roman"/>
          <w:szCs w:val="24"/>
        </w:rPr>
      </w:pPr>
    </w:p>
    <w:p w14:paraId="249C81FA" w14:textId="7E85A821" w:rsidR="005B1147" w:rsidRDefault="005B1147" w:rsidP="005B1147">
      <w:pPr>
        <w:numPr>
          <w:ilvl w:val="0"/>
          <w:numId w:val="7"/>
        </w:numPr>
        <w:tabs>
          <w:tab w:val="left" w:pos="-720"/>
        </w:tabs>
        <w:suppressAutoHyphens/>
        <w:rPr>
          <w:rFonts w:ascii="Times New Roman" w:hAnsi="Times New Roman"/>
          <w:szCs w:val="24"/>
        </w:rPr>
      </w:pPr>
      <w:r>
        <w:rPr>
          <w:rFonts w:ascii="Times New Roman" w:hAnsi="Times New Roman"/>
          <w:szCs w:val="24"/>
        </w:rPr>
        <w:t>Section 43.3(h) requires that, in addition to the execution time stamp required by appendix A</w:t>
      </w:r>
      <w:r w:rsidR="00BB5F13">
        <w:rPr>
          <w:rFonts w:ascii="Times New Roman" w:hAnsi="Times New Roman"/>
          <w:szCs w:val="24"/>
        </w:rPr>
        <w:t xml:space="preserve"> to part 43</w:t>
      </w:r>
      <w:r>
        <w:rPr>
          <w:rFonts w:ascii="Times New Roman" w:hAnsi="Times New Roman"/>
          <w:szCs w:val="24"/>
        </w:rPr>
        <w:t xml:space="preserve">, registered entities, swap dealers, and major swap participants shall </w:t>
      </w:r>
      <w:r w:rsidR="00BB5F13">
        <w:rPr>
          <w:rFonts w:ascii="Times New Roman" w:hAnsi="Times New Roman"/>
          <w:szCs w:val="24"/>
        </w:rPr>
        <w:t>record</w:t>
      </w:r>
      <w:r>
        <w:rPr>
          <w:rFonts w:ascii="Times New Roman" w:hAnsi="Times New Roman"/>
          <w:szCs w:val="24"/>
        </w:rPr>
        <w:t xml:space="preserve"> the following time stamps (to the nearest second): </w:t>
      </w:r>
    </w:p>
    <w:p w14:paraId="233317DB" w14:textId="77777777" w:rsidR="005B1147" w:rsidRDefault="005B1147" w:rsidP="005B1147">
      <w:pPr>
        <w:pStyle w:val="ListParagraph"/>
        <w:numPr>
          <w:ilvl w:val="0"/>
          <w:numId w:val="9"/>
        </w:numPr>
        <w:tabs>
          <w:tab w:val="left" w:pos="-720"/>
        </w:tabs>
        <w:suppressAutoHyphens/>
        <w:rPr>
          <w:rFonts w:ascii="Times New Roman" w:hAnsi="Times New Roman"/>
          <w:szCs w:val="24"/>
        </w:rPr>
      </w:pPr>
      <w:r>
        <w:rPr>
          <w:rFonts w:ascii="Times New Roman" w:hAnsi="Times New Roman"/>
          <w:szCs w:val="24"/>
        </w:rPr>
        <w:t>A SEF or DCM: (i) the time it receives the data; and (ii) the time it transmits such data to a registered SDR for public dissemination;</w:t>
      </w:r>
    </w:p>
    <w:p w14:paraId="7A2703B2" w14:textId="77777777" w:rsidR="005B1147" w:rsidRDefault="005B1147" w:rsidP="005B1147">
      <w:pPr>
        <w:pStyle w:val="ListParagraph"/>
        <w:numPr>
          <w:ilvl w:val="0"/>
          <w:numId w:val="9"/>
        </w:numPr>
        <w:tabs>
          <w:tab w:val="left" w:pos="-720"/>
        </w:tabs>
        <w:suppressAutoHyphens/>
        <w:rPr>
          <w:rFonts w:ascii="Times New Roman" w:hAnsi="Times New Roman"/>
          <w:szCs w:val="24"/>
        </w:rPr>
      </w:pPr>
      <w:r>
        <w:rPr>
          <w:rFonts w:ascii="Times New Roman" w:hAnsi="Times New Roman"/>
          <w:szCs w:val="24"/>
        </w:rPr>
        <w:t>An SDR: (i) the time it receives such data from a registered entity or reporting party; and (ii) the time it publicly disseminates such data; and</w:t>
      </w:r>
    </w:p>
    <w:p w14:paraId="45C5CD62" w14:textId="77777777" w:rsidR="005B1147" w:rsidRDefault="005B1147" w:rsidP="005B1147">
      <w:pPr>
        <w:pStyle w:val="ListParagraph"/>
        <w:numPr>
          <w:ilvl w:val="0"/>
          <w:numId w:val="9"/>
        </w:numPr>
        <w:tabs>
          <w:tab w:val="left" w:pos="-720"/>
        </w:tabs>
        <w:suppressAutoHyphens/>
        <w:rPr>
          <w:rFonts w:ascii="Times New Roman" w:hAnsi="Times New Roman"/>
          <w:szCs w:val="24"/>
        </w:rPr>
      </w:pPr>
      <w:r>
        <w:rPr>
          <w:rFonts w:ascii="Times New Roman" w:hAnsi="Times New Roman"/>
          <w:szCs w:val="24"/>
        </w:rPr>
        <w:t>SD/MSP: the time it transmits such data to a registered SDR for public dissemination.</w:t>
      </w:r>
    </w:p>
    <w:p w14:paraId="5064FCE5" w14:textId="77777777" w:rsidR="005B1147" w:rsidRDefault="005B1147" w:rsidP="005B1147">
      <w:pPr>
        <w:tabs>
          <w:tab w:val="left" w:pos="-720"/>
        </w:tabs>
        <w:suppressAutoHyphens/>
        <w:rPr>
          <w:rFonts w:ascii="Times New Roman" w:hAnsi="Times New Roman"/>
          <w:szCs w:val="24"/>
        </w:rPr>
      </w:pPr>
    </w:p>
    <w:p w14:paraId="4D46C44B"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All such time stamps are required to be maintained for a period of at least 5 years from the execution of the publicly reportable swap transaction, pursuant to </w:t>
      </w:r>
      <w:r>
        <w:rPr>
          <w:rFonts w:ascii="Calibri" w:hAnsi="Calibri"/>
          <w:szCs w:val="24"/>
        </w:rPr>
        <w:t>§ </w:t>
      </w:r>
      <w:r>
        <w:rPr>
          <w:rFonts w:ascii="Times New Roman" w:hAnsi="Times New Roman"/>
          <w:szCs w:val="24"/>
        </w:rPr>
        <w:t>43.3(h)(4).</w:t>
      </w:r>
    </w:p>
    <w:p w14:paraId="2EE548B0" w14:textId="77777777" w:rsidR="005B1147" w:rsidRDefault="005B1147" w:rsidP="005B1147">
      <w:pPr>
        <w:tabs>
          <w:tab w:val="left" w:pos="-720"/>
        </w:tabs>
        <w:suppressAutoHyphens/>
        <w:ind w:left="720"/>
        <w:rPr>
          <w:rFonts w:ascii="Times New Roman" w:hAnsi="Times New Roman"/>
          <w:szCs w:val="24"/>
        </w:rPr>
      </w:pPr>
    </w:p>
    <w:p w14:paraId="2D2260CE"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Estimated numbers of respondents and projected total annual responses and average number of hours per response are provided in Attachment A.  </w:t>
      </w:r>
    </w:p>
    <w:p w14:paraId="1AE882A6"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 xml:space="preserve"> </w:t>
      </w:r>
    </w:p>
    <w:p w14:paraId="64E8DC8A" w14:textId="77777777" w:rsidR="005B1147" w:rsidRDefault="005B1147" w:rsidP="005B1147">
      <w:pPr>
        <w:numPr>
          <w:ilvl w:val="0"/>
          <w:numId w:val="6"/>
        </w:numPr>
        <w:tabs>
          <w:tab w:val="left" w:pos="-720"/>
        </w:tabs>
        <w:suppressAutoHyphens/>
        <w:rPr>
          <w:rFonts w:ascii="Times New Roman" w:hAnsi="Times New Roman"/>
          <w:szCs w:val="24"/>
        </w:rPr>
      </w:pPr>
      <w:r>
        <w:rPr>
          <w:rFonts w:ascii="Times New Roman" w:hAnsi="Times New Roman"/>
          <w:szCs w:val="24"/>
          <w:u w:val="single"/>
        </w:rPr>
        <w:t>Indicate how, by whom, and for what purpose the data would be used.  Except for a new collection, indicate the actual use the agency has made of the information received from the current collection</w:t>
      </w:r>
      <w:r>
        <w:rPr>
          <w:rFonts w:ascii="Times New Roman" w:hAnsi="Times New Roman"/>
          <w:szCs w:val="24"/>
        </w:rPr>
        <w:t>.</w:t>
      </w:r>
    </w:p>
    <w:p w14:paraId="546189DA" w14:textId="77777777" w:rsidR="005B1147" w:rsidRDefault="005B1147" w:rsidP="005B1147">
      <w:pPr>
        <w:tabs>
          <w:tab w:val="left" w:pos="-720"/>
        </w:tabs>
        <w:suppressAutoHyphens/>
        <w:rPr>
          <w:rFonts w:ascii="Times New Roman" w:hAnsi="Times New Roman"/>
          <w:szCs w:val="24"/>
        </w:rPr>
      </w:pPr>
    </w:p>
    <w:p w14:paraId="3CF2435E"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The Commission’s regulations require SEFs, DCMs and reporting parties to report swap transaction and pricing data to an SDR and for SDRs to ensure the dissemination of such data to the public.  The Commission does not intend to collect this data.  The Commission may, however, use the real-time swap transaction and pricing data in connection with an enforcement action against a reporting party, SEF, DCM or SDR.  Additionally, the data reported to the SDRs for the purposes of part 43 may be used by the CFTC, SEC, Board of Governors of the Federal Reserve System, Office of the Comptroller of the Currency, Federal Deposit Insurance Corporation, Farm Credit Administration and Federal Housing Finance Agency, Financial Stability Oversight Council, Securities  and Exchange Commission, Department of Justice, and any other person the Commission determines to be appropriate, including foreign financial supervisors, foreign central banks, and foreign ministries as a variable in measuring systematic risk.</w:t>
      </w:r>
    </w:p>
    <w:p w14:paraId="350F3874" w14:textId="77777777" w:rsidR="005B1147" w:rsidRDefault="005B1147" w:rsidP="005B1147">
      <w:pPr>
        <w:tabs>
          <w:tab w:val="left" w:pos="-720"/>
        </w:tabs>
        <w:suppressAutoHyphens/>
        <w:rPr>
          <w:rFonts w:ascii="Times New Roman" w:hAnsi="Times New Roman"/>
          <w:szCs w:val="24"/>
        </w:rPr>
      </w:pPr>
    </w:p>
    <w:p w14:paraId="23F582AC" w14:textId="77777777" w:rsidR="005B1147" w:rsidRDefault="005B1147" w:rsidP="005B1147">
      <w:pPr>
        <w:numPr>
          <w:ilvl w:val="0"/>
          <w:numId w:val="6"/>
        </w:numPr>
        <w:tabs>
          <w:tab w:val="left" w:pos="-720"/>
          <w:tab w:val="left" w:pos="0"/>
        </w:tabs>
        <w:suppressAutoHyphens/>
        <w:rPr>
          <w:rFonts w:ascii="Times New Roman" w:hAnsi="Times New Roman"/>
          <w:szCs w:val="24"/>
          <w:u w:val="single"/>
        </w:rPr>
      </w:pPr>
      <w:r>
        <w:rPr>
          <w:rFonts w:ascii="Times New Roman" w:hAnsi="Times New Roman"/>
          <w:szCs w:val="24"/>
          <w:u w:val="single"/>
        </w:rPr>
        <w:t xml:space="preserve">Describe whether, and to what extent, the collection of information involves the use of automated, electronic, mechanical, or other technological collection techniques or other forms of information technology, </w:t>
      </w:r>
      <w:r>
        <w:rPr>
          <w:rFonts w:ascii="Times New Roman" w:hAnsi="Times New Roman"/>
          <w:i/>
          <w:szCs w:val="24"/>
          <w:u w:val="single"/>
        </w:rPr>
        <w:t>e.g.</w:t>
      </w:r>
      <w:r>
        <w:rPr>
          <w:rFonts w:ascii="Times New Roman" w:hAnsi="Times New Roman"/>
          <w:szCs w:val="24"/>
          <w:u w:val="single"/>
        </w:rPr>
        <w:t>, permitting electronic submission of responses, and the basis for the decision for adopting this means of collection.  Also describe any consideration of using information technology to reduce burden.</w:t>
      </w:r>
    </w:p>
    <w:p w14:paraId="1CA2D3BB" w14:textId="77777777" w:rsidR="005B1147" w:rsidRDefault="005B1147" w:rsidP="005B1147">
      <w:pPr>
        <w:tabs>
          <w:tab w:val="left" w:pos="-720"/>
          <w:tab w:val="left" w:pos="0"/>
        </w:tabs>
        <w:suppressAutoHyphens/>
        <w:rPr>
          <w:rFonts w:ascii="Times New Roman" w:hAnsi="Times New Roman"/>
          <w:szCs w:val="24"/>
          <w:u w:val="single"/>
        </w:rPr>
      </w:pPr>
    </w:p>
    <w:p w14:paraId="2DA17F35" w14:textId="77777777" w:rsidR="005B1147" w:rsidRDefault="005B1147" w:rsidP="005B1147">
      <w:pPr>
        <w:tabs>
          <w:tab w:val="left" w:pos="-720"/>
          <w:tab w:val="left" w:pos="0"/>
        </w:tabs>
        <w:suppressAutoHyphens/>
        <w:rPr>
          <w:rFonts w:ascii="Times New Roman" w:hAnsi="Times New Roman"/>
          <w:szCs w:val="24"/>
        </w:rPr>
      </w:pPr>
      <w:r>
        <w:rPr>
          <w:rFonts w:ascii="Times New Roman" w:hAnsi="Times New Roman"/>
          <w:szCs w:val="24"/>
        </w:rPr>
        <w:tab/>
        <w:t xml:space="preserve">This final rule contemplates the sole use of certain electronic collection protocols, such as e-mail and the Internet, for the public dissemination of real-time swap transaction and pricing data.  The final rule does not include a requirement that </w:t>
      </w:r>
      <w:proofErr w:type="gramStart"/>
      <w:r>
        <w:rPr>
          <w:rFonts w:ascii="Times New Roman" w:hAnsi="Times New Roman"/>
          <w:szCs w:val="24"/>
        </w:rPr>
        <w:t>a reporting party publish</w:t>
      </w:r>
      <w:proofErr w:type="gramEnd"/>
      <w:r>
        <w:rPr>
          <w:rFonts w:ascii="Times New Roman" w:hAnsi="Times New Roman"/>
          <w:szCs w:val="24"/>
        </w:rPr>
        <w:t xml:space="preserve"> or maintain any related information or data on printed paper.  Additionally, the final rule does not require reporting parties or registered entities to maintain records of real-time swap transaction and pricing data, with the exception of the requirement to maintain records of timestamps for a period of no less than five years.</w:t>
      </w:r>
    </w:p>
    <w:p w14:paraId="2799D8AA" w14:textId="77777777" w:rsidR="005B1147" w:rsidRDefault="005B1147" w:rsidP="005B1147">
      <w:pPr>
        <w:tabs>
          <w:tab w:val="left" w:pos="-720"/>
        </w:tabs>
        <w:suppressAutoHyphens/>
        <w:rPr>
          <w:rFonts w:ascii="Times New Roman" w:hAnsi="Times New Roman"/>
          <w:szCs w:val="24"/>
        </w:rPr>
      </w:pPr>
    </w:p>
    <w:p w14:paraId="5419C560" w14:textId="77777777" w:rsidR="005B1147" w:rsidRDefault="005B1147" w:rsidP="005B1147">
      <w:pPr>
        <w:numPr>
          <w:ilvl w:val="0"/>
          <w:numId w:val="6"/>
        </w:numPr>
        <w:tabs>
          <w:tab w:val="left" w:pos="-720"/>
          <w:tab w:val="left" w:pos="0"/>
        </w:tabs>
        <w:suppressAutoHyphens/>
        <w:rPr>
          <w:rFonts w:ascii="Times New Roman" w:hAnsi="Times New Roman"/>
          <w:szCs w:val="24"/>
        </w:rPr>
      </w:pPr>
      <w:r>
        <w:rPr>
          <w:rFonts w:ascii="Times New Roman" w:hAnsi="Times New Roman"/>
          <w:szCs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Cs w:val="24"/>
        </w:rPr>
        <w:t>.</w:t>
      </w:r>
    </w:p>
    <w:p w14:paraId="7BB5E8FC" w14:textId="77777777" w:rsidR="005B1147" w:rsidRDefault="005B1147" w:rsidP="005B1147">
      <w:pPr>
        <w:tabs>
          <w:tab w:val="left" w:pos="-720"/>
          <w:tab w:val="left" w:pos="0"/>
        </w:tabs>
        <w:suppressAutoHyphens/>
        <w:rPr>
          <w:rFonts w:ascii="Times New Roman" w:hAnsi="Times New Roman"/>
          <w:szCs w:val="24"/>
        </w:rPr>
      </w:pPr>
    </w:p>
    <w:p w14:paraId="0CB80815"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The type of information required to be reported under the Commission’s regulations is not currently collected and is not available for public disclosure through any other source.  Prior to the adoption of the Dodd-Frank Act, the Commission did not have the authority to require the real-time public reporting of swap transaction and pricing data.  There are no existing regulations that could be modified to serve a similar purpose.  </w:t>
      </w:r>
    </w:p>
    <w:p w14:paraId="0B1ABCC3" w14:textId="77777777" w:rsidR="005B1147" w:rsidRDefault="005B1147" w:rsidP="005B1147">
      <w:pPr>
        <w:tabs>
          <w:tab w:val="left" w:pos="-720"/>
        </w:tabs>
        <w:suppressAutoHyphens/>
        <w:rPr>
          <w:rFonts w:ascii="Times New Roman" w:hAnsi="Times New Roman"/>
          <w:szCs w:val="24"/>
        </w:rPr>
      </w:pPr>
    </w:p>
    <w:p w14:paraId="1BC841FC" w14:textId="66684E7A" w:rsidR="005B1147" w:rsidRDefault="005B1147" w:rsidP="005B1147">
      <w:pPr>
        <w:tabs>
          <w:tab w:val="left" w:pos="-720"/>
        </w:tabs>
        <w:suppressAutoHyphens/>
        <w:rPr>
          <w:rFonts w:ascii="Times New Roman" w:hAnsi="Times New Roman"/>
          <w:szCs w:val="24"/>
        </w:rPr>
      </w:pPr>
      <w:r>
        <w:rPr>
          <w:rFonts w:ascii="Times New Roman" w:hAnsi="Times New Roman"/>
          <w:szCs w:val="24"/>
        </w:rPr>
        <w:tab/>
        <w:t>However, with respect to recordkeeping “collections of information,” the Commission believes that the recordkeeping provision in proposed § 43.3(i) were duplicative of recordkeeping requirements found in other proposed Commission regulations (</w:t>
      </w:r>
      <w:r>
        <w:rPr>
          <w:rFonts w:ascii="Times New Roman" w:hAnsi="Times New Roman"/>
          <w:szCs w:val="24"/>
          <w:u w:val="single"/>
        </w:rPr>
        <w:t>e.g.</w:t>
      </w:r>
      <w:r>
        <w:rPr>
          <w:rFonts w:ascii="Times New Roman" w:hAnsi="Times New Roman"/>
          <w:szCs w:val="24"/>
        </w:rPr>
        <w:t>, part 45 and proposed part 23 recordkeeping requirements) and is therefore not adopting proposed § 43.3(i).  Therefore, the Commission eliminated this provision to address commenters’ concerns relating to the cost burden of maintaining data beyond the data retained in the ordinary course of business and eliminated duplicative recordkeeping requirements.</w:t>
      </w:r>
    </w:p>
    <w:p w14:paraId="6C981C6A" w14:textId="77777777" w:rsidR="005B1147" w:rsidRDefault="005B1147" w:rsidP="005B1147">
      <w:pPr>
        <w:tabs>
          <w:tab w:val="left" w:pos="-720"/>
          <w:tab w:val="left" w:pos="0"/>
        </w:tabs>
        <w:suppressAutoHyphens/>
        <w:rPr>
          <w:rFonts w:ascii="Times New Roman" w:hAnsi="Times New Roman"/>
          <w:szCs w:val="24"/>
        </w:rPr>
      </w:pPr>
    </w:p>
    <w:p w14:paraId="2286ED5F" w14:textId="77777777" w:rsidR="005B1147" w:rsidRDefault="005B1147" w:rsidP="005B1147">
      <w:pPr>
        <w:tabs>
          <w:tab w:val="left" w:pos="-720"/>
        </w:tabs>
        <w:suppressAutoHyphens/>
        <w:rPr>
          <w:rFonts w:ascii="Times New Roman" w:hAnsi="Times New Roman"/>
          <w:szCs w:val="24"/>
        </w:rPr>
      </w:pPr>
    </w:p>
    <w:p w14:paraId="2D4D0757" w14:textId="77777777" w:rsidR="005B1147" w:rsidRDefault="005B1147" w:rsidP="005B1147">
      <w:pPr>
        <w:numPr>
          <w:ilvl w:val="0"/>
          <w:numId w:val="6"/>
        </w:numPr>
        <w:tabs>
          <w:tab w:val="left" w:pos="-720"/>
          <w:tab w:val="left" w:pos="0"/>
        </w:tabs>
        <w:suppressAutoHyphens/>
        <w:rPr>
          <w:rFonts w:ascii="Times New Roman" w:hAnsi="Times New Roman"/>
          <w:szCs w:val="24"/>
        </w:rPr>
      </w:pPr>
      <w:r>
        <w:rPr>
          <w:rFonts w:ascii="Times New Roman" w:hAnsi="Times New Roman"/>
          <w:szCs w:val="24"/>
          <w:u w:val="single"/>
        </w:rPr>
        <w:t>If the collection of information involves small business or other small entities (Item 5 of OMB From 83-I), describe the methods used to minimize burden</w:t>
      </w:r>
      <w:r>
        <w:rPr>
          <w:rFonts w:ascii="Times New Roman" w:hAnsi="Times New Roman"/>
          <w:szCs w:val="24"/>
        </w:rPr>
        <w:t xml:space="preserve">.  </w:t>
      </w:r>
    </w:p>
    <w:p w14:paraId="7F1F666C" w14:textId="77777777" w:rsidR="005B1147" w:rsidRDefault="005B1147" w:rsidP="005B1147">
      <w:pPr>
        <w:tabs>
          <w:tab w:val="left" w:pos="-720"/>
          <w:tab w:val="left" w:pos="0"/>
        </w:tabs>
        <w:suppressAutoHyphens/>
        <w:rPr>
          <w:rFonts w:ascii="Times New Roman" w:hAnsi="Times New Roman"/>
          <w:szCs w:val="24"/>
        </w:rPr>
      </w:pPr>
    </w:p>
    <w:p w14:paraId="72A94AEC" w14:textId="77777777" w:rsidR="005B1147" w:rsidRDefault="005B1147" w:rsidP="005B1147">
      <w:pPr>
        <w:tabs>
          <w:tab w:val="left" w:pos="-720"/>
          <w:tab w:val="left" w:pos="0"/>
        </w:tabs>
        <w:suppressAutoHyphens/>
        <w:rPr>
          <w:rFonts w:ascii="Times New Roman" w:hAnsi="Times New Roman"/>
          <w:szCs w:val="24"/>
        </w:rPr>
      </w:pPr>
      <w:r>
        <w:rPr>
          <w:rFonts w:ascii="Times New Roman" w:hAnsi="Times New Roman"/>
          <w:szCs w:val="24"/>
        </w:rPr>
        <w:tab/>
        <w:t xml:space="preserve">The Commission has established certain definitions of “small entities” to be used by the Commission in evaluating the impact of its regulations on such entities in accordance with the Regulatory Flexibility Act.  None of the entities that are required to publish or accept real-time swap transaction and pricing data under this proposal include small entities. </w:t>
      </w:r>
    </w:p>
    <w:p w14:paraId="63AC2C27" w14:textId="77777777" w:rsidR="005B1147" w:rsidRDefault="005B1147" w:rsidP="005B1147">
      <w:pPr>
        <w:tabs>
          <w:tab w:val="left" w:pos="-720"/>
        </w:tabs>
        <w:suppressAutoHyphens/>
        <w:rPr>
          <w:rFonts w:ascii="Times New Roman" w:hAnsi="Times New Roman"/>
          <w:szCs w:val="24"/>
        </w:rPr>
      </w:pPr>
    </w:p>
    <w:p w14:paraId="5F26CE13"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6.</w:t>
      </w:r>
      <w:r>
        <w:rPr>
          <w:rFonts w:ascii="Times New Roman" w:hAnsi="Times New Roman"/>
          <w:szCs w:val="24"/>
        </w:rPr>
        <w:tab/>
      </w:r>
      <w:r>
        <w:rPr>
          <w:rFonts w:ascii="Times New Roman" w:hAnsi="Times New Roman"/>
          <w:szCs w:val="24"/>
          <w:u w:val="single"/>
        </w:rPr>
        <w:t xml:space="preserve">Describe the consequence to the Federal Program or policy </w:t>
      </w:r>
      <w:r>
        <w:rPr>
          <w:rFonts w:ascii="Times New Roman" w:hAnsi="Times New Roman"/>
          <w:szCs w:val="24"/>
        </w:rPr>
        <w:tab/>
      </w:r>
      <w:r>
        <w:rPr>
          <w:rFonts w:ascii="Times New Roman" w:hAnsi="Times New Roman"/>
          <w:szCs w:val="24"/>
          <w:u w:val="single"/>
        </w:rPr>
        <w:t>activities if the collection were conducted less frequently as well as any technical or legal obstacles to reducing burden</w:t>
      </w:r>
      <w:r>
        <w:rPr>
          <w:rFonts w:ascii="Times New Roman" w:hAnsi="Times New Roman"/>
          <w:szCs w:val="24"/>
        </w:rPr>
        <w:t>.</w:t>
      </w:r>
    </w:p>
    <w:p w14:paraId="6EBC9D0B" w14:textId="77777777" w:rsidR="005B1147" w:rsidRDefault="005B1147" w:rsidP="005B1147">
      <w:pPr>
        <w:tabs>
          <w:tab w:val="left" w:pos="-720"/>
          <w:tab w:val="left" w:pos="0"/>
        </w:tabs>
        <w:suppressAutoHyphens/>
        <w:ind w:left="720" w:hanging="720"/>
        <w:rPr>
          <w:rFonts w:ascii="Times New Roman" w:hAnsi="Times New Roman"/>
          <w:szCs w:val="24"/>
        </w:rPr>
      </w:pPr>
    </w:p>
    <w:p w14:paraId="54E1AFA6" w14:textId="77777777" w:rsidR="005B1147" w:rsidRDefault="005B1147" w:rsidP="005B1147">
      <w:pPr>
        <w:tabs>
          <w:tab w:val="left" w:pos="-720"/>
          <w:tab w:val="left" w:pos="0"/>
        </w:tabs>
        <w:suppressAutoHyphens/>
        <w:rPr>
          <w:rFonts w:ascii="Times New Roman" w:hAnsi="Times New Roman"/>
          <w:szCs w:val="24"/>
        </w:rPr>
      </w:pPr>
      <w:r>
        <w:rPr>
          <w:rFonts w:ascii="Times New Roman" w:hAnsi="Times New Roman"/>
          <w:szCs w:val="24"/>
        </w:rPr>
        <w:tab/>
        <w:t>Section 727 of the Dodd-Frank Act provides that the purpose of the real-time public reporting requirement is to make swap transaction and pricing data available to the public to enhance price discovery. Without the frequency of reporting set forth in the Commission’s regulations, the general public would not receive swap transaction and pricing data (either in real-time or with a time delay), and thus, such data would not enhance price discovery as intended by the legislation.</w:t>
      </w:r>
    </w:p>
    <w:p w14:paraId="711C487F" w14:textId="77777777" w:rsidR="005B1147" w:rsidRDefault="005B1147" w:rsidP="005B1147">
      <w:pPr>
        <w:tabs>
          <w:tab w:val="left" w:pos="-720"/>
          <w:tab w:val="left" w:pos="0"/>
        </w:tabs>
        <w:suppressAutoHyphens/>
        <w:ind w:left="720" w:hanging="720"/>
        <w:rPr>
          <w:rFonts w:ascii="Times New Roman" w:hAnsi="Times New Roman"/>
          <w:szCs w:val="24"/>
        </w:rPr>
      </w:pPr>
    </w:p>
    <w:p w14:paraId="65161E21"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7.</w:t>
      </w:r>
      <w:r>
        <w:rPr>
          <w:rFonts w:ascii="Times New Roman" w:hAnsi="Times New Roman"/>
          <w:szCs w:val="24"/>
        </w:rPr>
        <w:tab/>
      </w:r>
      <w:r>
        <w:rPr>
          <w:rFonts w:ascii="Times New Roman" w:hAnsi="Times New Roman"/>
          <w:szCs w:val="24"/>
          <w:u w:val="single"/>
        </w:rPr>
        <w:t>Explain any special circumstances that require the collection to be conducted in a manner</w:t>
      </w:r>
      <w:r>
        <w:rPr>
          <w:rFonts w:ascii="Times New Roman" w:hAnsi="Times New Roman"/>
          <w:szCs w:val="24"/>
        </w:rPr>
        <w:t>:</w:t>
      </w:r>
    </w:p>
    <w:p w14:paraId="1C8ECAB5" w14:textId="77777777" w:rsidR="005B1147" w:rsidRDefault="005B1147" w:rsidP="005B1147">
      <w:pPr>
        <w:tabs>
          <w:tab w:val="left" w:pos="-720"/>
        </w:tabs>
        <w:suppressAutoHyphens/>
        <w:rPr>
          <w:rFonts w:ascii="Times New Roman" w:hAnsi="Times New Roman"/>
          <w:szCs w:val="24"/>
        </w:rPr>
      </w:pPr>
    </w:p>
    <w:p w14:paraId="2D0338C1" w14:textId="77777777" w:rsidR="005B1147" w:rsidRDefault="005B1147" w:rsidP="005B1147">
      <w:pPr>
        <w:tabs>
          <w:tab w:val="left" w:pos="-720"/>
          <w:tab w:val="left" w:pos="0"/>
          <w:tab w:val="left" w:pos="720"/>
        </w:tabs>
        <w:suppressAutoHyphens/>
        <w:ind w:left="1440" w:hanging="1440"/>
        <w:rPr>
          <w:rFonts w:ascii="Times New Roman" w:hAnsi="Times New Roman"/>
          <w:szCs w:val="24"/>
          <w:u w:val="single"/>
        </w:rPr>
      </w:pPr>
      <w:r>
        <w:rPr>
          <w:rFonts w:ascii="Times New Roman" w:hAnsi="Times New Roman"/>
          <w:szCs w:val="24"/>
        </w:rPr>
        <w:tab/>
        <w:t>-</w:t>
      </w:r>
      <w:r>
        <w:rPr>
          <w:rFonts w:ascii="Times New Roman" w:hAnsi="Times New Roman"/>
          <w:szCs w:val="24"/>
        </w:rPr>
        <w:tab/>
      </w:r>
      <w:proofErr w:type="gramStart"/>
      <w:r>
        <w:rPr>
          <w:rFonts w:ascii="Times New Roman" w:hAnsi="Times New Roman"/>
          <w:szCs w:val="24"/>
          <w:u w:val="single"/>
        </w:rPr>
        <w:t>requiring</w:t>
      </w:r>
      <w:proofErr w:type="gramEnd"/>
      <w:r>
        <w:rPr>
          <w:rFonts w:ascii="Times New Roman" w:hAnsi="Times New Roman"/>
          <w:szCs w:val="24"/>
          <w:u w:val="single"/>
        </w:rPr>
        <w:t xml:space="preserve"> respondents to report information to the agency more often than quarterly;</w:t>
      </w:r>
    </w:p>
    <w:p w14:paraId="6FA50406" w14:textId="77777777" w:rsidR="005B1147" w:rsidRDefault="005B1147" w:rsidP="005B1147">
      <w:pPr>
        <w:tabs>
          <w:tab w:val="left" w:pos="-720"/>
          <w:tab w:val="left" w:pos="0"/>
          <w:tab w:val="left" w:pos="720"/>
        </w:tabs>
        <w:suppressAutoHyphens/>
        <w:ind w:left="1440" w:hanging="1440"/>
        <w:rPr>
          <w:rFonts w:ascii="Times New Roman" w:hAnsi="Times New Roman"/>
          <w:szCs w:val="24"/>
          <w:u w:val="single"/>
        </w:rPr>
      </w:pPr>
    </w:p>
    <w:p w14:paraId="28985810" w14:textId="77777777" w:rsidR="005B1147" w:rsidRDefault="005B1147" w:rsidP="005B1147">
      <w:pPr>
        <w:tabs>
          <w:tab w:val="left" w:pos="-720"/>
          <w:tab w:val="left" w:pos="0"/>
          <w:tab w:val="left" w:pos="720"/>
        </w:tabs>
        <w:suppressAutoHyphens/>
        <w:rPr>
          <w:rFonts w:ascii="Times New Roman" w:hAnsi="Times New Roman"/>
          <w:szCs w:val="24"/>
        </w:rPr>
      </w:pPr>
      <w:r>
        <w:rPr>
          <w:rFonts w:ascii="Times New Roman" w:hAnsi="Times New Roman"/>
          <w:szCs w:val="24"/>
        </w:rPr>
        <w:tab/>
        <w:t xml:space="preserve">Real-time swap transaction and pricing data is not required to be reported to the Commission. </w:t>
      </w:r>
    </w:p>
    <w:p w14:paraId="77771748" w14:textId="77777777" w:rsidR="005B1147" w:rsidRDefault="005B1147" w:rsidP="005B1147">
      <w:pPr>
        <w:tabs>
          <w:tab w:val="left" w:pos="-720"/>
        </w:tabs>
        <w:suppressAutoHyphens/>
        <w:rPr>
          <w:rFonts w:ascii="Times New Roman" w:hAnsi="Times New Roman"/>
          <w:szCs w:val="24"/>
        </w:rPr>
      </w:pPr>
    </w:p>
    <w:p w14:paraId="2EC50B36" w14:textId="77777777" w:rsidR="005B1147" w:rsidRDefault="005B1147" w:rsidP="005B1147">
      <w:pPr>
        <w:tabs>
          <w:tab w:val="left" w:pos="-720"/>
          <w:tab w:val="left" w:pos="0"/>
          <w:tab w:val="left" w:pos="720"/>
        </w:tabs>
        <w:suppressAutoHyphens/>
        <w:ind w:left="1440" w:hanging="1440"/>
        <w:rPr>
          <w:rFonts w:ascii="Times New Roman" w:hAnsi="Times New Roman"/>
          <w:szCs w:val="24"/>
          <w:u w:val="single"/>
        </w:rPr>
      </w:pPr>
      <w:r>
        <w:rPr>
          <w:rFonts w:ascii="Times New Roman" w:hAnsi="Times New Roman"/>
          <w:szCs w:val="24"/>
        </w:rPr>
        <w:tab/>
        <w:t>-</w:t>
      </w:r>
      <w:r>
        <w:rPr>
          <w:rFonts w:ascii="Times New Roman" w:hAnsi="Times New Roman"/>
          <w:szCs w:val="24"/>
        </w:rPr>
        <w:tab/>
      </w:r>
      <w:r>
        <w:rPr>
          <w:rFonts w:ascii="Times New Roman" w:hAnsi="Times New Roman"/>
          <w:szCs w:val="24"/>
          <w:u w:val="single"/>
        </w:rPr>
        <w:t>requiring respondents to prepare a written response to a collection of information in fewer than 30 days after receipt of it;</w:t>
      </w:r>
    </w:p>
    <w:p w14:paraId="584BD93A" w14:textId="77777777" w:rsidR="005B1147" w:rsidRDefault="005B1147" w:rsidP="005B1147">
      <w:pPr>
        <w:tabs>
          <w:tab w:val="left" w:pos="-720"/>
          <w:tab w:val="left" w:pos="0"/>
          <w:tab w:val="left" w:pos="720"/>
        </w:tabs>
        <w:suppressAutoHyphens/>
        <w:ind w:left="1440" w:hanging="1440"/>
        <w:rPr>
          <w:rFonts w:ascii="Times New Roman" w:hAnsi="Times New Roman"/>
          <w:szCs w:val="24"/>
          <w:u w:val="single"/>
        </w:rPr>
      </w:pPr>
    </w:p>
    <w:p w14:paraId="70D97244"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This does not apply</w:t>
      </w:r>
    </w:p>
    <w:p w14:paraId="61017FA1" w14:textId="77777777" w:rsidR="005B1147" w:rsidRDefault="005B1147" w:rsidP="005B1147">
      <w:pPr>
        <w:tabs>
          <w:tab w:val="left" w:pos="-720"/>
        </w:tabs>
        <w:suppressAutoHyphens/>
        <w:rPr>
          <w:rFonts w:ascii="Times New Roman" w:hAnsi="Times New Roman"/>
          <w:szCs w:val="24"/>
        </w:rPr>
      </w:pPr>
    </w:p>
    <w:p w14:paraId="118A371B"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lastRenderedPageBreak/>
        <w:tab/>
        <w:t>-</w:t>
      </w:r>
      <w:r>
        <w:rPr>
          <w:rFonts w:ascii="Times New Roman" w:hAnsi="Times New Roman"/>
          <w:szCs w:val="24"/>
        </w:rPr>
        <w:tab/>
      </w:r>
      <w:r>
        <w:rPr>
          <w:rFonts w:ascii="Times New Roman" w:hAnsi="Times New Roman"/>
          <w:szCs w:val="24"/>
          <w:u w:val="single"/>
        </w:rPr>
        <w:t>requiring respondents to submit more than an original and two copies of any document</w:t>
      </w:r>
      <w:r>
        <w:rPr>
          <w:rFonts w:ascii="Times New Roman" w:hAnsi="Times New Roman"/>
          <w:szCs w:val="24"/>
        </w:rPr>
        <w:t>;</w:t>
      </w:r>
    </w:p>
    <w:p w14:paraId="7E70C4B2" w14:textId="77777777" w:rsidR="005B1147" w:rsidRDefault="005B1147" w:rsidP="005B1147">
      <w:pPr>
        <w:tabs>
          <w:tab w:val="left" w:pos="-720"/>
        </w:tabs>
        <w:suppressAutoHyphens/>
        <w:rPr>
          <w:rFonts w:ascii="Times New Roman" w:hAnsi="Times New Roman"/>
          <w:szCs w:val="24"/>
        </w:rPr>
      </w:pPr>
    </w:p>
    <w:p w14:paraId="4736E237"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This does not apply.</w:t>
      </w:r>
    </w:p>
    <w:p w14:paraId="1F913412" w14:textId="77777777" w:rsidR="005B1147" w:rsidRDefault="005B1147" w:rsidP="005B1147">
      <w:pPr>
        <w:tabs>
          <w:tab w:val="left" w:pos="-720"/>
        </w:tabs>
        <w:suppressAutoHyphens/>
        <w:rPr>
          <w:rFonts w:ascii="Times New Roman" w:hAnsi="Times New Roman"/>
          <w:szCs w:val="24"/>
        </w:rPr>
      </w:pPr>
    </w:p>
    <w:p w14:paraId="20875315"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r>
      <w:r>
        <w:rPr>
          <w:rFonts w:ascii="Times New Roman" w:hAnsi="Times New Roman"/>
          <w:szCs w:val="24"/>
          <w:u w:val="single"/>
        </w:rPr>
        <w:t>requiring respondents to retain records other than health, medical, government contract, grant-in-aid, or tax records, for more than three years</w:t>
      </w:r>
      <w:r>
        <w:rPr>
          <w:rFonts w:ascii="Times New Roman" w:hAnsi="Times New Roman"/>
          <w:szCs w:val="24"/>
        </w:rPr>
        <w:t>;</w:t>
      </w:r>
    </w:p>
    <w:p w14:paraId="028B1D7B"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p>
    <w:p w14:paraId="2DF6AAC9"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All timestamps related to a reportable swap transaction shall be maintained for a period of not less than five years following the time at which such publicly reportable swap transaction is executed.  </w:t>
      </w:r>
    </w:p>
    <w:p w14:paraId="6B02B637"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r>
    </w:p>
    <w:p w14:paraId="62153A9D"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r>
      <w:proofErr w:type="gramStart"/>
      <w:r>
        <w:rPr>
          <w:rFonts w:ascii="Times New Roman" w:hAnsi="Times New Roman"/>
          <w:szCs w:val="24"/>
          <w:u w:val="single"/>
        </w:rPr>
        <w:t>in</w:t>
      </w:r>
      <w:proofErr w:type="gramEnd"/>
      <w:r>
        <w:rPr>
          <w:rFonts w:ascii="Times New Roman" w:hAnsi="Times New Roman"/>
          <w:szCs w:val="24"/>
          <w:u w:val="single"/>
        </w:rPr>
        <w:t xml:space="preserve"> connection with a statistical survey that is not designed to produce valid and reliable results that can be generalized to the universe of study</w:t>
      </w:r>
      <w:r>
        <w:rPr>
          <w:rFonts w:ascii="Times New Roman" w:hAnsi="Times New Roman"/>
          <w:szCs w:val="24"/>
        </w:rPr>
        <w:t xml:space="preserve">; </w:t>
      </w:r>
    </w:p>
    <w:p w14:paraId="637682C2" w14:textId="77777777" w:rsidR="005B1147" w:rsidRDefault="005B1147" w:rsidP="005B1147">
      <w:pPr>
        <w:tabs>
          <w:tab w:val="left" w:pos="-720"/>
        </w:tabs>
        <w:suppressAutoHyphens/>
        <w:rPr>
          <w:rFonts w:ascii="Times New Roman" w:hAnsi="Times New Roman"/>
          <w:szCs w:val="24"/>
        </w:rPr>
      </w:pPr>
    </w:p>
    <w:p w14:paraId="548331A1"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This does not apply.</w:t>
      </w:r>
    </w:p>
    <w:p w14:paraId="4813CF92" w14:textId="77777777" w:rsidR="005B1147" w:rsidRDefault="005B1147" w:rsidP="005B1147">
      <w:pPr>
        <w:tabs>
          <w:tab w:val="left" w:pos="-720"/>
        </w:tabs>
        <w:suppressAutoHyphens/>
        <w:rPr>
          <w:rFonts w:ascii="Times New Roman" w:hAnsi="Times New Roman"/>
          <w:szCs w:val="24"/>
        </w:rPr>
      </w:pPr>
    </w:p>
    <w:p w14:paraId="3B0EE4F6"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r>
      <w:r>
        <w:rPr>
          <w:rFonts w:ascii="Times New Roman" w:hAnsi="Times New Roman"/>
          <w:szCs w:val="24"/>
          <w:u w:val="single"/>
        </w:rPr>
        <w:t>requiring the use of a statistical data classification that has not been reviewed and approved by OMB</w:t>
      </w:r>
      <w:r>
        <w:rPr>
          <w:rFonts w:ascii="Times New Roman" w:hAnsi="Times New Roman"/>
          <w:szCs w:val="24"/>
        </w:rPr>
        <w:t>;</w:t>
      </w:r>
    </w:p>
    <w:p w14:paraId="457291CD" w14:textId="77777777" w:rsidR="005B1147" w:rsidRDefault="005B1147" w:rsidP="005B1147">
      <w:pPr>
        <w:tabs>
          <w:tab w:val="left" w:pos="-720"/>
        </w:tabs>
        <w:suppressAutoHyphens/>
        <w:rPr>
          <w:rFonts w:ascii="Times New Roman" w:hAnsi="Times New Roman"/>
          <w:szCs w:val="24"/>
        </w:rPr>
      </w:pPr>
    </w:p>
    <w:p w14:paraId="5750368B"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This does not apply.</w:t>
      </w:r>
    </w:p>
    <w:p w14:paraId="3B4960DE"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r>
    </w:p>
    <w:p w14:paraId="0915ED7B" w14:textId="77777777" w:rsidR="005B1147" w:rsidRDefault="005B1147" w:rsidP="005B1147">
      <w:pPr>
        <w:tabs>
          <w:tab w:val="left" w:pos="-720"/>
          <w:tab w:val="left" w:pos="0"/>
          <w:tab w:val="left" w:pos="720"/>
        </w:tabs>
        <w:suppressAutoHyphens/>
        <w:ind w:left="1440" w:hanging="1440"/>
        <w:rPr>
          <w:rFonts w:ascii="Times New Roman" w:hAnsi="Times New Roman"/>
          <w:szCs w:val="24"/>
          <w:u w:val="single"/>
        </w:rPr>
      </w:pPr>
      <w:r>
        <w:rPr>
          <w:rFonts w:ascii="Times New Roman" w:hAnsi="Times New Roman"/>
          <w:szCs w:val="24"/>
        </w:rPr>
        <w:tab/>
        <w:t>-</w:t>
      </w:r>
      <w:r>
        <w:rPr>
          <w:rFonts w:ascii="Times New Roman" w:hAnsi="Times New Roman"/>
          <w:szCs w:val="24"/>
        </w:rPr>
        <w:tab/>
      </w:r>
      <w:r>
        <w:rPr>
          <w:rFonts w:ascii="Times New Roman" w:hAnsi="Times New Roman"/>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9445071" w14:textId="77777777" w:rsidR="005B1147" w:rsidRDefault="005B1147" w:rsidP="005B1147">
      <w:pPr>
        <w:tabs>
          <w:tab w:val="left" w:pos="-720"/>
          <w:tab w:val="left" w:pos="0"/>
          <w:tab w:val="left" w:pos="720"/>
        </w:tabs>
        <w:suppressAutoHyphens/>
        <w:ind w:left="1440" w:hanging="1440"/>
        <w:rPr>
          <w:rFonts w:ascii="Times New Roman" w:hAnsi="Times New Roman"/>
          <w:szCs w:val="24"/>
          <w:u w:val="single"/>
        </w:rPr>
      </w:pPr>
    </w:p>
    <w:p w14:paraId="3CCEC0D7"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This does not apply.</w:t>
      </w:r>
    </w:p>
    <w:p w14:paraId="62C8BE03" w14:textId="77777777" w:rsidR="005B1147" w:rsidRDefault="005B1147" w:rsidP="005B1147">
      <w:pPr>
        <w:tabs>
          <w:tab w:val="left" w:pos="-720"/>
        </w:tabs>
        <w:suppressAutoHyphens/>
        <w:rPr>
          <w:rFonts w:ascii="Times New Roman" w:hAnsi="Times New Roman"/>
          <w:szCs w:val="24"/>
        </w:rPr>
      </w:pPr>
    </w:p>
    <w:p w14:paraId="4A2E64FC"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r>
      <w:r>
        <w:rPr>
          <w:rFonts w:ascii="Times New Roman" w:hAnsi="Times New Roman"/>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szCs w:val="24"/>
        </w:rPr>
        <w:t>.</w:t>
      </w:r>
    </w:p>
    <w:p w14:paraId="70E506F6"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p>
    <w:p w14:paraId="1D490F65" w14:textId="77777777" w:rsidR="005B1147" w:rsidRDefault="005B1147" w:rsidP="005B1147">
      <w:pPr>
        <w:rPr>
          <w:rFonts w:ascii="Times New Roman" w:hAnsi="Times New Roman"/>
          <w:szCs w:val="24"/>
        </w:rPr>
      </w:pPr>
      <w:r>
        <w:rPr>
          <w:rFonts w:ascii="Times New Roman" w:hAnsi="Times New Roman"/>
          <w:szCs w:val="24"/>
        </w:rPr>
        <w:tab/>
        <w:t xml:space="preserve">Section 8(a) of the CEA provides that, “unless specifically authorized in this Act, the Commission may not publish data and information that would separately disclose the business transactions or market positions of any person and trade secrets or names of customers.”  A number of narrow exceptions are set forth in Sections 8(b) and (e) of the CEA permitting the Commission to disclose “Section 8 material” for (i) prior public disclosures, (ii) congressional, administrative and/or judicial proceedings, (iii) other federal departments and agencies, individual states and foreign futures authorities, and (iv) registered entity investigations.  </w:t>
      </w:r>
    </w:p>
    <w:p w14:paraId="16E04B1E" w14:textId="77777777" w:rsidR="005B1147" w:rsidRDefault="005B1147" w:rsidP="005B1147">
      <w:pPr>
        <w:rPr>
          <w:rFonts w:ascii="Times New Roman" w:hAnsi="Times New Roman"/>
          <w:szCs w:val="24"/>
        </w:rPr>
      </w:pPr>
    </w:p>
    <w:p w14:paraId="35AE84EE" w14:textId="77777777" w:rsidR="005B1147" w:rsidRDefault="005B1147" w:rsidP="005B1147">
      <w:pPr>
        <w:tabs>
          <w:tab w:val="left" w:pos="720"/>
        </w:tabs>
        <w:rPr>
          <w:rFonts w:ascii="Times New Roman" w:hAnsi="Times New Roman"/>
          <w:szCs w:val="24"/>
        </w:rPr>
      </w:pPr>
      <w:r>
        <w:rPr>
          <w:rFonts w:ascii="Times New Roman" w:hAnsi="Times New Roman"/>
          <w:szCs w:val="24"/>
        </w:rPr>
        <w:tab/>
        <w:t>Additionally, section 2(a</w:t>
      </w:r>
      <w:proofErr w:type="gramStart"/>
      <w:r>
        <w:rPr>
          <w:rFonts w:ascii="Times New Roman" w:hAnsi="Times New Roman"/>
          <w:szCs w:val="24"/>
        </w:rPr>
        <w:t>)(</w:t>
      </w:r>
      <w:proofErr w:type="gramEnd"/>
      <w:r>
        <w:rPr>
          <w:rFonts w:ascii="Times New Roman" w:hAnsi="Times New Roman"/>
          <w:szCs w:val="24"/>
        </w:rPr>
        <w:t xml:space="preserve">13)(E)(i) of the CEA provides that the rule promulgated by the Commission shall contain provisions “to ensure such information does not identify the participants[.]”  Further, section 2(a)(13)(C)(iii) of the CEA provides “the Commission shall </w:t>
      </w:r>
      <w:r>
        <w:rPr>
          <w:rFonts w:ascii="Times New Roman" w:hAnsi="Times New Roman"/>
          <w:szCs w:val="24"/>
        </w:rPr>
        <w:lastRenderedPageBreak/>
        <w:t xml:space="preserve">require real-time public reporting for such transactions, in a manner that does not disclose the business transactions and market positions of any person.”  Accordingly, part 43 prohibits the disclosure of the names of the parties to a swap transaction when publicly disseminating swap transaction and pricing data in real-time.  Additionally, </w:t>
      </w:r>
      <w:r>
        <w:rPr>
          <w:rFonts w:ascii="Calibri" w:hAnsi="Calibri"/>
          <w:szCs w:val="24"/>
        </w:rPr>
        <w:t>§</w:t>
      </w:r>
      <w:r>
        <w:rPr>
          <w:rFonts w:ascii="Times New Roman" w:hAnsi="Times New Roman"/>
          <w:szCs w:val="24"/>
        </w:rPr>
        <w:t xml:space="preserve">§ 43.4(g) and (h) provide that the notional or principal amount of a swap will be rounded and capped when publicly disseminated to ensure the anonymity of the parties is not compromised.  </w:t>
      </w:r>
    </w:p>
    <w:p w14:paraId="032E7FCC" w14:textId="77777777" w:rsidR="005B1147" w:rsidRDefault="005B1147" w:rsidP="005B1147">
      <w:pPr>
        <w:tabs>
          <w:tab w:val="left" w:pos="-720"/>
        </w:tabs>
        <w:suppressAutoHyphens/>
        <w:rPr>
          <w:rFonts w:ascii="Times New Roman" w:hAnsi="Times New Roman"/>
          <w:szCs w:val="24"/>
        </w:rPr>
      </w:pPr>
    </w:p>
    <w:p w14:paraId="29E966B7"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8.</w:t>
      </w:r>
      <w:r>
        <w:rPr>
          <w:rFonts w:ascii="Times New Roman" w:hAnsi="Times New Roman"/>
          <w:szCs w:val="24"/>
        </w:rPr>
        <w:tab/>
      </w:r>
      <w:r>
        <w:rPr>
          <w:rFonts w:ascii="Times New Roman" w:hAnsi="Times New Roman"/>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A163765" w14:textId="77777777" w:rsidR="005B1147" w:rsidRDefault="005B1147" w:rsidP="005B1147">
      <w:pPr>
        <w:tabs>
          <w:tab w:val="left" w:pos="-720"/>
        </w:tabs>
        <w:suppressAutoHyphens/>
        <w:rPr>
          <w:rFonts w:ascii="Times New Roman" w:hAnsi="Times New Roman"/>
          <w:szCs w:val="24"/>
        </w:rPr>
      </w:pPr>
    </w:p>
    <w:p w14:paraId="41582862"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On December 7, 2010, the Commission published proposed regulation titled “Real-Time Public Reporting of Swap Transaction Data” in the </w:t>
      </w:r>
      <w:r>
        <w:rPr>
          <w:rFonts w:ascii="Times New Roman" w:hAnsi="Times New Roman"/>
          <w:i/>
          <w:szCs w:val="24"/>
        </w:rPr>
        <w:t>Federal Register</w:t>
      </w:r>
      <w:r>
        <w:rPr>
          <w:rFonts w:ascii="Times New Roman" w:hAnsi="Times New Roman"/>
          <w:szCs w:val="24"/>
        </w:rPr>
        <w:t xml:space="preserve"> (75 FR 76140</w:t>
      </w:r>
      <w:proofErr w:type="gramStart"/>
      <w:r>
        <w:rPr>
          <w:rFonts w:ascii="Times New Roman" w:hAnsi="Times New Roman"/>
          <w:szCs w:val="24"/>
        </w:rPr>
        <w:t>) .</w:t>
      </w:r>
      <w:proofErr w:type="gramEnd"/>
      <w:r>
        <w:rPr>
          <w:rFonts w:ascii="Times New Roman" w:hAnsi="Times New Roman"/>
          <w:szCs w:val="24"/>
        </w:rPr>
        <w:t xml:space="preserve">  The release explicitly solicited comments to all aspects of the reporting and recordkeeping burdens imposed.  In response, the Commission received two comments on its estimates regarding the reporting and recordkeeping burdens of the proposal.</w:t>
      </w:r>
      <w:r>
        <w:rPr>
          <w:rStyle w:val="FootnoteReference"/>
          <w:rFonts w:ascii="Times New Roman" w:hAnsi="Times New Roman"/>
          <w:szCs w:val="24"/>
        </w:rPr>
        <w:footnoteReference w:id="3"/>
      </w:r>
      <w:r>
        <w:rPr>
          <w:rFonts w:ascii="Times New Roman" w:hAnsi="Times New Roman"/>
          <w:szCs w:val="24"/>
        </w:rPr>
        <w:t xml:space="preserve">  One commenter, Dominion Resources, Inc. (“Dominion”), stated that the Commission’s estimates regarding end-user’s annual burden hours was “off by an order of magnitudes.”  Dominion based this comment of its own experiences in building analogous systems.  Dominion also expressed that the Commission only included burden hours, and not cost estimates, in the proposed regulation.  Another commenter, the Global Foreign Exchange Division of SIFMA, AFME and ASIFMA, stated that when promulgating rules and estimating costs, the Commission should take into consideration “issues of scale in participants and volumes.”</w:t>
      </w:r>
    </w:p>
    <w:p w14:paraId="6E1219D4" w14:textId="77777777" w:rsidR="005B1147" w:rsidRDefault="005B1147" w:rsidP="005B1147">
      <w:pPr>
        <w:tabs>
          <w:tab w:val="left" w:pos="-720"/>
        </w:tabs>
        <w:suppressAutoHyphens/>
        <w:rPr>
          <w:rFonts w:ascii="Times New Roman" w:hAnsi="Times New Roman"/>
          <w:szCs w:val="24"/>
        </w:rPr>
      </w:pPr>
    </w:p>
    <w:p w14:paraId="4775DF3D" w14:textId="5C95335F"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In response to Dominion’s statement that the proposed regulation only provided hour burdens, and not cost burdens, the Commission notes that it stated in the </w:t>
      </w:r>
      <w:r w:rsidR="00FF683D">
        <w:rPr>
          <w:rFonts w:ascii="Times New Roman" w:hAnsi="Times New Roman"/>
          <w:szCs w:val="24"/>
        </w:rPr>
        <w:t xml:space="preserve">Real-Time </w:t>
      </w:r>
      <w:r>
        <w:rPr>
          <w:rFonts w:ascii="Times New Roman" w:hAnsi="Times New Roman"/>
          <w:szCs w:val="24"/>
        </w:rPr>
        <w:t>NPRM: “A copy of the supporting statement for the collections of information discussed above may be obtained by visiting RegInfo.gov.”</w:t>
      </w:r>
    </w:p>
    <w:p w14:paraId="1001FF5B" w14:textId="77777777" w:rsidR="005B1147" w:rsidRDefault="005B1147" w:rsidP="005B1147">
      <w:pPr>
        <w:tabs>
          <w:tab w:val="left" w:pos="-720"/>
        </w:tabs>
        <w:suppressAutoHyphens/>
        <w:rPr>
          <w:rFonts w:ascii="Times New Roman" w:hAnsi="Times New Roman"/>
          <w:szCs w:val="24"/>
        </w:rPr>
      </w:pPr>
    </w:p>
    <w:p w14:paraId="37ADF185" w14:textId="41169015" w:rsidR="005B1147" w:rsidRDefault="005B1147" w:rsidP="005B1147">
      <w:pPr>
        <w:tabs>
          <w:tab w:val="left" w:pos="-720"/>
        </w:tabs>
        <w:suppressAutoHyphens/>
        <w:rPr>
          <w:rFonts w:ascii="Times New Roman" w:hAnsi="Times New Roman"/>
          <w:szCs w:val="24"/>
        </w:rPr>
      </w:pPr>
      <w:r>
        <w:rPr>
          <w:rFonts w:ascii="Times New Roman" w:hAnsi="Times New Roman"/>
          <w:szCs w:val="24"/>
        </w:rPr>
        <w:tab/>
        <w:t>After consideration of the comments received and further discussions with the Commission’s technology experts, the Commission is retaining its estimates related to the reporting burdens for SEFs, DCMs, SDs and MSPs, but is revising its estimates as they relate to non-SDs/non-MSPs reporting burdens.</w:t>
      </w:r>
      <w:r w:rsidR="00377881">
        <w:rPr>
          <w:rStyle w:val="FootnoteReference"/>
          <w:rFonts w:ascii="Times New Roman" w:hAnsi="Times New Roman"/>
          <w:szCs w:val="24"/>
        </w:rPr>
        <w:footnoteReference w:id="4"/>
      </w:r>
      <w:r>
        <w:rPr>
          <w:rFonts w:ascii="Times New Roman" w:hAnsi="Times New Roman"/>
          <w:szCs w:val="24"/>
        </w:rPr>
        <w:t xml:space="preserve">  The Commission cannot estimate with precision the number of non-SDs/non-MSPs that will be obligated to report under this rule, how many will conduct their own reporting or contract with a third party, or how many transactions they will have to report.  Moreover, there will be significant deviations in reporting burdens on a reporting party-by-reporting party basis, based upon the type and transactional activity of each individual reporting party.  </w:t>
      </w:r>
    </w:p>
    <w:p w14:paraId="27173C48" w14:textId="77777777" w:rsidR="005B1147" w:rsidRDefault="005B1147" w:rsidP="005B1147">
      <w:pPr>
        <w:tabs>
          <w:tab w:val="left" w:pos="-720"/>
        </w:tabs>
        <w:suppressAutoHyphens/>
        <w:rPr>
          <w:rFonts w:ascii="Times New Roman" w:hAnsi="Times New Roman"/>
          <w:szCs w:val="24"/>
        </w:rPr>
      </w:pPr>
    </w:p>
    <w:p w14:paraId="41705C24" w14:textId="5F49BEDD" w:rsidR="005B1147" w:rsidRDefault="005B1147" w:rsidP="005B1147">
      <w:pPr>
        <w:tabs>
          <w:tab w:val="left" w:pos="-720"/>
        </w:tabs>
        <w:suppressAutoHyphens/>
        <w:rPr>
          <w:rFonts w:ascii="Times New Roman" w:hAnsi="Times New Roman"/>
          <w:szCs w:val="24"/>
        </w:rPr>
      </w:pPr>
      <w:r>
        <w:rPr>
          <w:rFonts w:ascii="Times New Roman" w:hAnsi="Times New Roman"/>
          <w:szCs w:val="24"/>
        </w:rPr>
        <w:tab/>
        <w:t>Consequently, of the estimated 30,000 non-SDs/non-MSPs who will transact in the swaps markets, the Commission is estimating that only 1,000 non-SDs/non-MSPs will be required to report annually</w:t>
      </w:r>
      <w:r w:rsidR="008F73CE">
        <w:rPr>
          <w:rFonts w:ascii="Times New Roman" w:hAnsi="Times New Roman"/>
          <w:szCs w:val="24"/>
        </w:rPr>
        <w:t xml:space="preserve"> because of part 43</w:t>
      </w:r>
      <w:r>
        <w:rPr>
          <w:rFonts w:ascii="Times New Roman" w:hAnsi="Times New Roman"/>
          <w:szCs w:val="24"/>
        </w:rPr>
        <w:t xml:space="preserve">.  Of those 1,000 non-SDs/non-MSPs, the Commission continues to believe a majority, estimated now at 75%, will contract with third parties to satisfy their reporting obligations.  For those non-SDs/non-MSPs who are required to report swap transaction and pricing data to an SDR and contract with a third party, the Commission estimates that such non-SDs/non-MSPs will expend 22 annual burden hours per reporting party or entity.  Thus, the Commission estimates that 750 non-SDs/non-MSPs will expend a total of 16,500 aggregate annual burden hours complying with the reporting requirements.  </w:t>
      </w:r>
    </w:p>
    <w:p w14:paraId="0E8B9D95" w14:textId="77777777" w:rsidR="005B1147" w:rsidRDefault="005B1147" w:rsidP="005B1147">
      <w:pPr>
        <w:tabs>
          <w:tab w:val="left" w:pos="-720"/>
        </w:tabs>
        <w:suppressAutoHyphens/>
        <w:rPr>
          <w:rFonts w:ascii="Times New Roman" w:hAnsi="Times New Roman"/>
          <w:szCs w:val="24"/>
        </w:rPr>
      </w:pPr>
    </w:p>
    <w:p w14:paraId="1D292211"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Conversely, for the 250 non-SDs/non-MSPs that the Commission estimates will not contract with a third party, the Commission estimates such non-SDs/non-MSPs will expend 676 annual burden hours per reporting party or entity, for a total of 169,000 aggregate annual burden </w:t>
      </w:r>
      <w:proofErr w:type="gramStart"/>
      <w:r>
        <w:rPr>
          <w:rFonts w:ascii="Times New Roman" w:hAnsi="Times New Roman"/>
          <w:szCs w:val="24"/>
        </w:rPr>
        <w:t>hours.</w:t>
      </w:r>
      <w:proofErr w:type="gramEnd"/>
    </w:p>
    <w:p w14:paraId="4E0C9DD9" w14:textId="77777777" w:rsidR="005B1147" w:rsidRDefault="005B1147" w:rsidP="005B1147">
      <w:pPr>
        <w:tabs>
          <w:tab w:val="left" w:pos="-720"/>
        </w:tabs>
        <w:suppressAutoHyphens/>
        <w:rPr>
          <w:rFonts w:ascii="Times New Roman" w:hAnsi="Times New Roman"/>
          <w:szCs w:val="24"/>
        </w:rPr>
      </w:pPr>
    </w:p>
    <w:p w14:paraId="55106619" w14:textId="77777777" w:rsidR="005B1147" w:rsidRDefault="005B1147" w:rsidP="005B1147">
      <w:pPr>
        <w:tabs>
          <w:tab w:val="left" w:pos="-720"/>
          <w:tab w:val="left" w:pos="0"/>
        </w:tabs>
        <w:suppressAutoHyphens/>
        <w:ind w:left="720" w:hanging="720"/>
        <w:rPr>
          <w:rFonts w:ascii="Times New Roman" w:hAnsi="Times New Roman"/>
          <w:szCs w:val="24"/>
          <w:u w:val="single"/>
        </w:rPr>
      </w:pPr>
      <w:r>
        <w:rPr>
          <w:rFonts w:ascii="Times New Roman" w:hAnsi="Times New Roman"/>
          <w:szCs w:val="24"/>
        </w:rPr>
        <w:tab/>
      </w:r>
      <w:r>
        <w:rPr>
          <w:rFonts w:ascii="Times New Roman" w:hAnsi="Times New Roman"/>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129A5DF" w14:textId="77777777" w:rsidR="005B1147" w:rsidRDefault="005B1147" w:rsidP="005B1147">
      <w:pPr>
        <w:tabs>
          <w:tab w:val="left" w:pos="-720"/>
        </w:tabs>
        <w:suppressAutoHyphens/>
        <w:rPr>
          <w:rFonts w:ascii="Times New Roman" w:hAnsi="Times New Roman"/>
          <w:szCs w:val="24"/>
          <w:u w:val="single"/>
        </w:rPr>
      </w:pPr>
    </w:p>
    <w:p w14:paraId="65CD3F37"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A joint public roundtable (coordinated with the SEC) was held on September 14, 2010 at the CFTC’s headquarters where representatives from affected sectors of the swap markets were asked questions and were able to provide answers to those questions.  Specifically, the September 14 roundtable addressed real-time public reporting, data and recordkeeping and SDRs.  The public transcript of these roundtable discussions is available on the Commission’s Internet web site at: </w:t>
      </w:r>
      <w:hyperlink r:id="rId13" w:history="1">
        <w:r>
          <w:rPr>
            <w:rStyle w:val="Hyperlink"/>
            <w:rFonts w:ascii="Times New Roman" w:hAnsi="Times New Roman"/>
            <w:szCs w:val="24"/>
          </w:rPr>
          <w:t>http://www.cftc.gov/ucm/groups/public/@swaps/documents/file/derivative18sub091410.pdf</w:t>
        </w:r>
      </w:hyperlink>
      <w:r>
        <w:rPr>
          <w:rFonts w:ascii="Times New Roman" w:hAnsi="Times New Roman"/>
          <w:szCs w:val="24"/>
        </w:rPr>
        <w:t xml:space="preserve">.    </w:t>
      </w:r>
    </w:p>
    <w:p w14:paraId="0DFF0DB4" w14:textId="77777777" w:rsidR="005B1147" w:rsidRDefault="005B1147" w:rsidP="005B1147">
      <w:pPr>
        <w:tabs>
          <w:tab w:val="left" w:pos="-720"/>
        </w:tabs>
        <w:suppressAutoHyphens/>
        <w:rPr>
          <w:rFonts w:ascii="Times New Roman" w:hAnsi="Times New Roman"/>
          <w:szCs w:val="24"/>
        </w:rPr>
      </w:pPr>
    </w:p>
    <w:p w14:paraId="0CBD7B60"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In addition, in advance of the publication of the regulation the Commission solicited comments from the public on its Internet web site. The Commission asked for comments regarding its reporting and recordkeeping estimates: “The Commission invites the public and other federal agencies to comment on any aspect of the reporting and recordkeeping burdens discussed above.  Pursuant to 44 U.S.C. § 3506(c)(2)(B), the Commission requests comments in order to: (i) Evaluate whether the proposed collection of information is necessary for the proper performance of the functions of the Commission, including whether the information will have practical utility; (ii) evaluate the accuracy of the Commission’s estimate of the burden of the proposed collection of information; (iii) determine whether there are ways to enhance the quality, utility and clarity of the information to be collected; and (iv) minimize the burden of the collection of information on those who are to respond, including through the use of automated collection techniques or other forms of information technology.”</w:t>
      </w:r>
      <w:r>
        <w:rPr>
          <w:rStyle w:val="FootnoteReference"/>
          <w:rFonts w:ascii="Times New Roman" w:hAnsi="Times New Roman"/>
          <w:szCs w:val="24"/>
        </w:rPr>
        <w:footnoteReference w:id="5"/>
      </w:r>
      <w:r>
        <w:rPr>
          <w:rFonts w:ascii="Times New Roman" w:hAnsi="Times New Roman"/>
          <w:szCs w:val="24"/>
        </w:rPr>
        <w:t xml:space="preserve">  The Commission received no comments which provided quantitative data regarding the burden hours or costs which would be imposed as a result of this rule.  </w:t>
      </w:r>
    </w:p>
    <w:p w14:paraId="5C32C234" w14:textId="77777777" w:rsidR="005B1147" w:rsidRDefault="005B1147" w:rsidP="005B1147">
      <w:pPr>
        <w:tabs>
          <w:tab w:val="left" w:pos="-720"/>
        </w:tabs>
        <w:suppressAutoHyphens/>
        <w:rPr>
          <w:rFonts w:ascii="Times New Roman" w:hAnsi="Times New Roman"/>
          <w:szCs w:val="24"/>
        </w:rPr>
      </w:pPr>
    </w:p>
    <w:p w14:paraId="225124CD"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szCs w:val="24"/>
        </w:rPr>
        <w:t>.</w:t>
      </w:r>
    </w:p>
    <w:p w14:paraId="1DFD9322" w14:textId="77777777" w:rsidR="005B1147" w:rsidRDefault="005B1147" w:rsidP="005B1147">
      <w:pPr>
        <w:tabs>
          <w:tab w:val="left" w:pos="-720"/>
          <w:tab w:val="left" w:pos="0"/>
        </w:tabs>
        <w:suppressAutoHyphens/>
        <w:ind w:left="720" w:hanging="720"/>
        <w:rPr>
          <w:rFonts w:ascii="Times New Roman" w:hAnsi="Times New Roman"/>
          <w:szCs w:val="24"/>
        </w:rPr>
      </w:pPr>
    </w:p>
    <w:p w14:paraId="24023DD8"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As part of the rulemaking process, the Commission met with representatives of financial banking firms, risk analysts, attorneys, trade associations, and other regulators.  The Commission expects these efforts to continue as swap transaction reporting is implemented following the publication of final rules for the public reporting of real-time swap transaction and pricing data. </w:t>
      </w:r>
    </w:p>
    <w:p w14:paraId="050B4DAE" w14:textId="77777777" w:rsidR="005B1147" w:rsidRDefault="005B1147" w:rsidP="005B1147">
      <w:pPr>
        <w:tabs>
          <w:tab w:val="left" w:pos="-720"/>
        </w:tabs>
        <w:suppressAutoHyphens/>
        <w:rPr>
          <w:rFonts w:ascii="Times New Roman" w:hAnsi="Times New Roman"/>
          <w:szCs w:val="24"/>
        </w:rPr>
      </w:pPr>
    </w:p>
    <w:p w14:paraId="1DAFC742"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9.</w:t>
      </w:r>
      <w:r>
        <w:rPr>
          <w:rFonts w:ascii="Times New Roman" w:hAnsi="Times New Roman"/>
          <w:szCs w:val="24"/>
        </w:rPr>
        <w:tab/>
      </w:r>
      <w:r>
        <w:rPr>
          <w:rFonts w:ascii="Times New Roman" w:hAnsi="Times New Roman"/>
          <w:szCs w:val="24"/>
          <w:u w:val="single"/>
        </w:rPr>
        <w:t>Explain any decision to provide any payment or gift to respondents, other than remuneration of contractors or grantees</w:t>
      </w:r>
      <w:r>
        <w:rPr>
          <w:rFonts w:ascii="Times New Roman" w:hAnsi="Times New Roman"/>
          <w:szCs w:val="24"/>
        </w:rPr>
        <w:t>.</w:t>
      </w:r>
    </w:p>
    <w:p w14:paraId="7B7BE78B" w14:textId="77777777" w:rsidR="005B1147" w:rsidRDefault="005B1147" w:rsidP="005B1147">
      <w:pPr>
        <w:tabs>
          <w:tab w:val="left" w:pos="-720"/>
          <w:tab w:val="left" w:pos="0"/>
        </w:tabs>
        <w:suppressAutoHyphens/>
        <w:ind w:left="720" w:hanging="720"/>
        <w:rPr>
          <w:rFonts w:ascii="Times New Roman" w:hAnsi="Times New Roman"/>
          <w:szCs w:val="24"/>
        </w:rPr>
      </w:pPr>
    </w:p>
    <w:p w14:paraId="5B6EC504"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ab/>
        <w:t xml:space="preserve">This question does not apply.  </w:t>
      </w:r>
    </w:p>
    <w:p w14:paraId="43891E84" w14:textId="77777777" w:rsidR="005B1147" w:rsidRDefault="005B1147" w:rsidP="005B1147">
      <w:pPr>
        <w:tabs>
          <w:tab w:val="left" w:pos="-720"/>
        </w:tabs>
        <w:suppressAutoHyphens/>
        <w:rPr>
          <w:rFonts w:ascii="Times New Roman" w:hAnsi="Times New Roman"/>
          <w:szCs w:val="24"/>
        </w:rPr>
      </w:pPr>
    </w:p>
    <w:p w14:paraId="7E6495A7"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10.</w:t>
      </w:r>
      <w:r>
        <w:rPr>
          <w:rFonts w:ascii="Times New Roman" w:hAnsi="Times New Roman"/>
          <w:szCs w:val="24"/>
        </w:rPr>
        <w:tab/>
      </w:r>
      <w:r>
        <w:rPr>
          <w:rFonts w:ascii="Times New Roman" w:hAnsi="Times New Roman"/>
          <w:szCs w:val="24"/>
          <w:u w:val="single"/>
        </w:rPr>
        <w:t>Describe any assurance of confidentiality provided to respondents and the basis for the assurance in statute, regulations, or agency policy</w:t>
      </w:r>
      <w:r>
        <w:rPr>
          <w:rFonts w:ascii="Times New Roman" w:hAnsi="Times New Roman"/>
          <w:szCs w:val="24"/>
        </w:rPr>
        <w:t>.</w:t>
      </w:r>
    </w:p>
    <w:p w14:paraId="73CE107D" w14:textId="77777777" w:rsidR="005B1147" w:rsidRDefault="005B1147" w:rsidP="005B1147">
      <w:pPr>
        <w:tabs>
          <w:tab w:val="left" w:pos="-720"/>
          <w:tab w:val="left" w:pos="0"/>
        </w:tabs>
        <w:suppressAutoHyphens/>
        <w:ind w:left="720" w:hanging="720"/>
        <w:rPr>
          <w:rFonts w:ascii="Times New Roman" w:hAnsi="Times New Roman"/>
          <w:szCs w:val="24"/>
        </w:rPr>
      </w:pPr>
    </w:p>
    <w:p w14:paraId="435B901C" w14:textId="77777777" w:rsidR="005B1147" w:rsidRDefault="005B1147" w:rsidP="005B1147">
      <w:pPr>
        <w:rPr>
          <w:rFonts w:ascii="Times New Roman" w:hAnsi="Times New Roman"/>
          <w:szCs w:val="24"/>
        </w:rPr>
      </w:pPr>
      <w:r>
        <w:rPr>
          <w:rFonts w:ascii="Times New Roman" w:hAnsi="Times New Roman"/>
          <w:szCs w:val="24"/>
        </w:rPr>
        <w:tab/>
      </w:r>
      <w:r w:rsidRPr="008F73CE">
        <w:rPr>
          <w:rFonts w:ascii="Times New Roman" w:hAnsi="Times New Roman"/>
          <w:szCs w:val="24"/>
          <w:u w:val="single"/>
        </w:rPr>
        <w:t>See</w:t>
      </w:r>
      <w:r>
        <w:rPr>
          <w:rFonts w:ascii="Times New Roman" w:hAnsi="Times New Roman"/>
          <w:szCs w:val="24"/>
        </w:rPr>
        <w:t xml:space="preserve"> </w:t>
      </w:r>
      <w:r w:rsidRPr="008F73CE">
        <w:rPr>
          <w:rFonts w:ascii="Times New Roman" w:hAnsi="Times New Roman"/>
          <w:szCs w:val="24"/>
          <w:u w:val="single"/>
        </w:rPr>
        <w:t>the</w:t>
      </w:r>
      <w:r>
        <w:rPr>
          <w:rFonts w:ascii="Times New Roman" w:hAnsi="Times New Roman"/>
          <w:szCs w:val="24"/>
        </w:rPr>
        <w:t xml:space="preserve"> response to Question 7.  Section 8(a) of the CEA generally prohibits the Commission from separately disclosing the “business transactions or market positions of any person and trade secrets or names of customers.”  The Commission also has adopted Freedom of Information Act regulations, 17 C.F.R. Part 145 which implements the federal statute set forth in 5 U.S.C. §552, including exemptions to disclosure which permit a federal agency to withhold information prohibited from disclosure by another statute.  See 5 U.S.C. § 552(b</w:t>
      </w:r>
      <w:proofErr w:type="gramStart"/>
      <w:r>
        <w:rPr>
          <w:rFonts w:ascii="Times New Roman" w:hAnsi="Times New Roman"/>
          <w:szCs w:val="24"/>
        </w:rPr>
        <w:t>)(</w:t>
      </w:r>
      <w:proofErr w:type="gramEnd"/>
      <w:r>
        <w:rPr>
          <w:rFonts w:ascii="Times New Roman" w:hAnsi="Times New Roman"/>
          <w:szCs w:val="24"/>
        </w:rPr>
        <w:t xml:space="preserve">3) and Commission Regulation 145.5(c), 17 C.F.R. § 145(c).  </w:t>
      </w:r>
    </w:p>
    <w:p w14:paraId="2AB45006" w14:textId="77777777" w:rsidR="005B1147" w:rsidRDefault="005B1147" w:rsidP="005B1147">
      <w:pPr>
        <w:rPr>
          <w:rFonts w:ascii="Times New Roman" w:hAnsi="Times New Roman"/>
          <w:szCs w:val="24"/>
        </w:rPr>
      </w:pPr>
    </w:p>
    <w:p w14:paraId="626EC574" w14:textId="5A6A74FA" w:rsidR="005B1147" w:rsidRDefault="005B1147" w:rsidP="005B1147">
      <w:pPr>
        <w:tabs>
          <w:tab w:val="left" w:pos="720"/>
        </w:tabs>
        <w:rPr>
          <w:rFonts w:ascii="Times New Roman" w:hAnsi="Times New Roman"/>
          <w:szCs w:val="24"/>
        </w:rPr>
      </w:pPr>
      <w:bookmarkStart w:id="0" w:name="_GoBack"/>
      <w:bookmarkEnd w:id="0"/>
      <w:r>
        <w:rPr>
          <w:rFonts w:ascii="Times New Roman" w:hAnsi="Times New Roman"/>
          <w:szCs w:val="24"/>
        </w:rPr>
        <w:tab/>
        <w:t>Additionally, section 2(a</w:t>
      </w:r>
      <w:proofErr w:type="gramStart"/>
      <w:r>
        <w:rPr>
          <w:rFonts w:ascii="Times New Roman" w:hAnsi="Times New Roman"/>
          <w:szCs w:val="24"/>
        </w:rPr>
        <w:t>)(</w:t>
      </w:r>
      <w:proofErr w:type="gramEnd"/>
      <w:r>
        <w:rPr>
          <w:rFonts w:ascii="Times New Roman" w:hAnsi="Times New Roman"/>
          <w:szCs w:val="24"/>
        </w:rPr>
        <w:t xml:space="preserve">13)(E)(i) of the CEA provides that the rule promulgated by the Commission shall contain provisions “to ensure such information does not identify the participants[.]”  Further, section 2(a)(13)(C)(iii) of the CEA provides “the Commission shall require real-time public reporting for such transactions, in a manner that does not disclose the business transactions and market positions of any person.  Accordingly, part 43 prohibits the disclosure of the names of the parties to a swap transaction when publicly disseminating swap transaction and pricing data in real-time.  Additionally, </w:t>
      </w:r>
      <w:r>
        <w:rPr>
          <w:rFonts w:ascii="Calibri" w:hAnsi="Calibri"/>
          <w:szCs w:val="24"/>
        </w:rPr>
        <w:t>§</w:t>
      </w:r>
      <w:r>
        <w:rPr>
          <w:rFonts w:ascii="Times New Roman" w:hAnsi="Times New Roman"/>
          <w:szCs w:val="24"/>
        </w:rPr>
        <w:t xml:space="preserve">§ 43.4(g) and (h) provides that the notional or principal amount of a swap will be rounded and capped when publicly disseminated to ensure the anonymity of the parties is not compromised.  </w:t>
      </w:r>
    </w:p>
    <w:p w14:paraId="4E99D3B9"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  </w:t>
      </w:r>
    </w:p>
    <w:p w14:paraId="7E5C3F36" w14:textId="77777777" w:rsidR="005B1147" w:rsidRDefault="005B1147" w:rsidP="005B1147">
      <w:pPr>
        <w:tabs>
          <w:tab w:val="left" w:pos="-720"/>
        </w:tabs>
        <w:suppressAutoHyphens/>
        <w:ind w:left="720" w:hanging="720"/>
        <w:rPr>
          <w:rFonts w:ascii="Times New Roman" w:hAnsi="Times New Roman"/>
          <w:szCs w:val="24"/>
        </w:rPr>
      </w:pPr>
      <w:r>
        <w:rPr>
          <w:rFonts w:ascii="Times New Roman" w:hAnsi="Times New Roman"/>
          <w:szCs w:val="24"/>
        </w:rPr>
        <w:t>11.</w:t>
      </w:r>
      <w:r>
        <w:rPr>
          <w:rFonts w:ascii="Times New Roman" w:hAnsi="Times New Roman"/>
          <w:szCs w:val="24"/>
        </w:rPr>
        <w:tab/>
      </w:r>
      <w:r>
        <w:rPr>
          <w:rFonts w:ascii="Times New Roman" w:hAnsi="Times New Roman"/>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szCs w:val="24"/>
        </w:rPr>
        <w:t>.</w:t>
      </w:r>
    </w:p>
    <w:p w14:paraId="33F2071C" w14:textId="77777777" w:rsidR="005B1147" w:rsidRDefault="005B1147" w:rsidP="005B1147">
      <w:pPr>
        <w:tabs>
          <w:tab w:val="left" w:pos="-720"/>
        </w:tabs>
        <w:suppressAutoHyphens/>
        <w:ind w:left="720" w:hanging="720"/>
        <w:rPr>
          <w:rFonts w:ascii="Times New Roman" w:hAnsi="Times New Roman"/>
          <w:szCs w:val="24"/>
        </w:rPr>
      </w:pPr>
    </w:p>
    <w:p w14:paraId="670786D3"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The regulations covered by the collections do not require the giving of sensitive information, as that term is used in Question 11.  </w:t>
      </w:r>
    </w:p>
    <w:p w14:paraId="26CC3BB3" w14:textId="77777777" w:rsidR="005B1147" w:rsidRDefault="005B1147" w:rsidP="005B1147">
      <w:pPr>
        <w:tabs>
          <w:tab w:val="left" w:pos="-720"/>
        </w:tabs>
        <w:suppressAutoHyphens/>
        <w:rPr>
          <w:rFonts w:ascii="Times New Roman" w:hAnsi="Times New Roman"/>
          <w:szCs w:val="24"/>
        </w:rPr>
      </w:pPr>
    </w:p>
    <w:p w14:paraId="041AFCDA"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12.</w:t>
      </w:r>
      <w:r>
        <w:rPr>
          <w:rFonts w:ascii="Times New Roman" w:hAnsi="Times New Roman"/>
          <w:szCs w:val="24"/>
        </w:rPr>
        <w:tab/>
      </w:r>
      <w:r>
        <w:rPr>
          <w:rFonts w:ascii="Times New Roman" w:hAnsi="Times New Roman"/>
          <w:szCs w:val="24"/>
          <w:u w:val="single"/>
        </w:rPr>
        <w:t>Provide estimates of the hour burden of the collection of information.  The Statement should</w:t>
      </w:r>
      <w:r>
        <w:rPr>
          <w:rFonts w:ascii="Times New Roman" w:hAnsi="Times New Roman"/>
          <w:szCs w:val="24"/>
        </w:rPr>
        <w:t>:</w:t>
      </w:r>
    </w:p>
    <w:p w14:paraId="1A62DADD" w14:textId="77777777" w:rsidR="005B1147" w:rsidRDefault="005B1147" w:rsidP="005B1147">
      <w:pPr>
        <w:tabs>
          <w:tab w:val="left" w:pos="-720"/>
        </w:tabs>
        <w:suppressAutoHyphens/>
        <w:rPr>
          <w:rFonts w:ascii="Times New Roman" w:hAnsi="Times New Roman"/>
          <w:szCs w:val="24"/>
        </w:rPr>
      </w:pPr>
    </w:p>
    <w:p w14:paraId="5D731571"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0A82FE" w14:textId="77777777" w:rsidR="005B1147" w:rsidRDefault="005B1147" w:rsidP="005B1147">
      <w:pPr>
        <w:tabs>
          <w:tab w:val="left" w:pos="-720"/>
        </w:tabs>
        <w:suppressAutoHyphens/>
        <w:rPr>
          <w:rFonts w:ascii="Times New Roman" w:hAnsi="Times New Roman"/>
          <w:szCs w:val="24"/>
        </w:rPr>
      </w:pPr>
    </w:p>
    <w:p w14:paraId="6550162D"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t>If the request for approval covers more than one form, provide separate hour burden estimates for each form and aggregate the hour burdens in Item 13 of OMB Form 83-I.</w:t>
      </w:r>
    </w:p>
    <w:p w14:paraId="4C6F9643" w14:textId="77777777" w:rsidR="005B1147" w:rsidRDefault="005B1147" w:rsidP="005B1147">
      <w:pPr>
        <w:tabs>
          <w:tab w:val="left" w:pos="-720"/>
        </w:tabs>
        <w:suppressAutoHyphens/>
        <w:rPr>
          <w:rFonts w:ascii="Times New Roman" w:hAnsi="Times New Roman"/>
          <w:szCs w:val="24"/>
        </w:rPr>
      </w:pPr>
    </w:p>
    <w:p w14:paraId="6FE460FA"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7695274" w14:textId="77777777" w:rsidR="005B1147" w:rsidRDefault="005B1147" w:rsidP="005B1147">
      <w:pPr>
        <w:tabs>
          <w:tab w:val="left" w:pos="-720"/>
        </w:tabs>
        <w:suppressAutoHyphens/>
        <w:rPr>
          <w:rFonts w:ascii="Times New Roman" w:hAnsi="Times New Roman"/>
          <w:szCs w:val="24"/>
        </w:rPr>
      </w:pPr>
    </w:p>
    <w:p w14:paraId="0E8CFABE"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i/>
          <w:szCs w:val="24"/>
        </w:rPr>
        <w:t>See</w:t>
      </w:r>
      <w:r>
        <w:rPr>
          <w:rFonts w:ascii="Times New Roman" w:hAnsi="Times New Roman"/>
          <w:szCs w:val="24"/>
        </w:rPr>
        <w:t xml:space="preserve"> Attachment A.  In calculating the cost figures in Attachment A, the Commission based its calculations on an hourly mixed wage rate</w:t>
      </w:r>
      <w:r>
        <w:rPr>
          <w:rStyle w:val="FootnoteReference"/>
          <w:rFonts w:ascii="Times New Roman" w:hAnsi="Times New Roman"/>
          <w:szCs w:val="24"/>
        </w:rPr>
        <w:footnoteReference w:id="6"/>
      </w:r>
      <w:r>
        <w:rPr>
          <w:rFonts w:ascii="Times New Roman" w:hAnsi="Times New Roman"/>
          <w:szCs w:val="24"/>
        </w:rPr>
        <w:t xml:space="preserve"> to comply with the proposed regulations.  </w:t>
      </w:r>
      <w:r>
        <w:rPr>
          <w:rFonts w:ascii="Times New Roman" w:hAnsi="Times New Roman"/>
          <w:szCs w:val="24"/>
        </w:rPr>
        <w:tab/>
      </w:r>
    </w:p>
    <w:p w14:paraId="517C1341" w14:textId="77777777" w:rsidR="005B1147" w:rsidRDefault="005B1147" w:rsidP="005B1147">
      <w:pPr>
        <w:tabs>
          <w:tab w:val="left" w:pos="-720"/>
        </w:tabs>
        <w:suppressAutoHyphens/>
        <w:rPr>
          <w:rFonts w:ascii="Times New Roman" w:hAnsi="Times New Roman"/>
          <w:szCs w:val="24"/>
        </w:rPr>
      </w:pPr>
    </w:p>
    <w:p w14:paraId="1FFB825A"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Additionally, in determining the burden hours for SDs, MSPs, SEFs, DCMs, non-SDs/non-MSPs, and SDRs, the Commission differentiated between those persons who are expected to have higher levels of swap reporting activity versus those entities or persons who will have lower levels of swap reporting activity.  For this purpose, the Commission estimates that “high activity” entities or persons are those who process or enter into hundreds or thousands of swaps per week that are subject to the Commission’s jurisdiction.  Low activity users would be those who process or enter into substantially fewer swaps than the high activity users.  The Commission requested comments on its estimate.  </w:t>
      </w:r>
    </w:p>
    <w:p w14:paraId="0EC47317" w14:textId="77777777" w:rsidR="005B1147" w:rsidRDefault="005B1147" w:rsidP="005B1147">
      <w:pPr>
        <w:tabs>
          <w:tab w:val="left" w:pos="-720"/>
        </w:tabs>
        <w:suppressAutoHyphens/>
        <w:rPr>
          <w:rFonts w:ascii="Times New Roman" w:hAnsi="Times New Roman"/>
          <w:szCs w:val="24"/>
        </w:rPr>
      </w:pPr>
    </w:p>
    <w:p w14:paraId="217FFC45"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“High activity” persons or entities are MSPs, SDs, DCMs, or SEFs.  For purposes of this regulation, the Commission estimates that their average annual burden may be approximately 2,080 hours.</w:t>
      </w:r>
      <w:r>
        <w:rPr>
          <w:rStyle w:val="FootnoteReference"/>
          <w:rFonts w:ascii="Times New Roman" w:hAnsi="Times New Roman"/>
          <w:szCs w:val="24"/>
        </w:rPr>
        <w:footnoteReference w:id="7"/>
      </w:r>
      <w:r>
        <w:rPr>
          <w:rFonts w:ascii="Times New Roman" w:hAnsi="Times New Roman"/>
          <w:szCs w:val="24"/>
        </w:rPr>
        <w:t xml:space="preserve">  “Low activity” persons or entities are end-users or other non-SD/MSP reporting counterparties who would be required to report.  Of the estimated 1,000 non-SDs/non-MSPs, the Commission continues to believe a majority, estimated now at 75%, will contract with third parties to satisfy their reporting obligations.  For those non-SDs/non-MSPs who are required to report swap transaction and pricing data to an SDR that decide to contract with a third party to fulfill the reporting obligations, the Commission estimates that such non-SDs/non-MSPs will expend 22 annual burden hours per reporting party or entity.  Conversely, for the 250 non-SDs/non-MSPs that the Commission estimates will not contract with a third party to fulfill the reporting obligations, the Commission estimates such non-SDs/non-MSPs will expend 676 annual burden hours per reporting party or </w:t>
      </w:r>
      <w:proofErr w:type="gramStart"/>
      <w:r>
        <w:rPr>
          <w:rFonts w:ascii="Times New Roman" w:hAnsi="Times New Roman"/>
          <w:szCs w:val="24"/>
        </w:rPr>
        <w:t>entity.</w:t>
      </w:r>
      <w:proofErr w:type="gramEnd"/>
    </w:p>
    <w:p w14:paraId="45FD9E69" w14:textId="77777777" w:rsidR="005B1147" w:rsidRDefault="005B1147" w:rsidP="005B1147">
      <w:pPr>
        <w:tabs>
          <w:tab w:val="left" w:pos="-720"/>
        </w:tabs>
        <w:suppressAutoHyphens/>
        <w:rPr>
          <w:rFonts w:ascii="Times New Roman" w:hAnsi="Times New Roman"/>
          <w:szCs w:val="24"/>
        </w:rPr>
      </w:pPr>
    </w:p>
    <w:p w14:paraId="2DB2F697"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Additionally, SDRs will be required to be open and operating 24 hours a day, 7 days a week.  In light of that expectation, the Commission estimates the burden hours associated with their public dissemination duties to be 6,900 burden hours annually.</w:t>
      </w:r>
    </w:p>
    <w:p w14:paraId="45AACD88" w14:textId="77777777" w:rsidR="005B1147" w:rsidRDefault="005B1147" w:rsidP="005B1147">
      <w:pPr>
        <w:tabs>
          <w:tab w:val="left" w:pos="-720"/>
        </w:tabs>
        <w:suppressAutoHyphens/>
        <w:rPr>
          <w:rFonts w:ascii="Times New Roman" w:hAnsi="Times New Roman"/>
          <w:szCs w:val="24"/>
        </w:rPr>
      </w:pPr>
    </w:p>
    <w:p w14:paraId="449BA99B" w14:textId="77777777" w:rsidR="005B1147" w:rsidRDefault="005B1147" w:rsidP="005B1147">
      <w:pPr>
        <w:tabs>
          <w:tab w:val="left" w:pos="-720"/>
        </w:tabs>
        <w:suppressAutoHyphens/>
        <w:rPr>
          <w:rFonts w:ascii="Times New Roman" w:hAnsi="Times New Roman"/>
          <w:szCs w:val="24"/>
          <w:u w:val="single"/>
        </w:rPr>
      </w:pPr>
      <w:r>
        <w:rPr>
          <w:rFonts w:ascii="Times New Roman" w:hAnsi="Times New Roman"/>
          <w:szCs w:val="24"/>
        </w:rPr>
        <w:tab/>
        <w:t xml:space="preserve">To determine the total cost imposed by this regulation, the Commission summed the appropriate estimated aggregate total cost from the reporting and public dissemination table with </w:t>
      </w:r>
      <w:r>
        <w:rPr>
          <w:rFonts w:ascii="Times New Roman" w:hAnsi="Times New Roman"/>
          <w:szCs w:val="24"/>
        </w:rPr>
        <w:lastRenderedPageBreak/>
        <w:t xml:space="preserve">the total aggregate cost to perform the </w:t>
      </w:r>
      <w:proofErr w:type="spellStart"/>
      <w:r>
        <w:rPr>
          <w:rFonts w:ascii="Times New Roman" w:hAnsi="Times New Roman"/>
          <w:szCs w:val="24"/>
        </w:rPr>
        <w:t>timestamping</w:t>
      </w:r>
      <w:proofErr w:type="spellEnd"/>
      <w:r>
        <w:rPr>
          <w:rFonts w:ascii="Times New Roman" w:hAnsi="Times New Roman"/>
          <w:szCs w:val="24"/>
        </w:rPr>
        <w:t xml:space="preserve"> function in the “Recordkeeping” table.  The estimated total cost imposed by this regulation is $150,017,837.00.</w:t>
      </w:r>
      <w:r>
        <w:rPr>
          <w:rStyle w:val="FootnoteReference"/>
          <w:rFonts w:ascii="Times New Roman" w:hAnsi="Times New Roman"/>
          <w:szCs w:val="24"/>
        </w:rPr>
        <w:footnoteReference w:id="8"/>
      </w:r>
    </w:p>
    <w:p w14:paraId="22C678ED" w14:textId="77777777" w:rsidR="005B1147" w:rsidRDefault="005B1147" w:rsidP="005B1147">
      <w:pPr>
        <w:tabs>
          <w:tab w:val="left" w:pos="-720"/>
        </w:tabs>
        <w:suppressAutoHyphens/>
        <w:rPr>
          <w:rFonts w:ascii="Times New Roman" w:hAnsi="Times New Roman"/>
          <w:szCs w:val="24"/>
        </w:rPr>
      </w:pPr>
    </w:p>
    <w:p w14:paraId="3319D8DE"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13.</w:t>
      </w:r>
      <w:r>
        <w:rPr>
          <w:rFonts w:ascii="Times New Roman" w:hAnsi="Times New Roman"/>
          <w:szCs w:val="24"/>
        </w:rPr>
        <w:tab/>
      </w:r>
      <w:r>
        <w:rPr>
          <w:rFonts w:ascii="Times New Roman" w:hAnsi="Times New Roman"/>
          <w:szCs w:val="24"/>
          <w:u w:val="single"/>
        </w:rPr>
        <w:t>Provide an estimate of the total annual cost burden to respondents or record keepers resulting from the collection of information.  (Do not include the cost of any hour burden shown in Items 12 and 14)</w:t>
      </w:r>
      <w:r>
        <w:rPr>
          <w:rFonts w:ascii="Times New Roman" w:hAnsi="Times New Roman"/>
          <w:szCs w:val="24"/>
        </w:rPr>
        <w:t>.</w:t>
      </w:r>
    </w:p>
    <w:p w14:paraId="01A17C0B" w14:textId="77777777" w:rsidR="005B1147" w:rsidRDefault="005B1147" w:rsidP="005B1147">
      <w:pPr>
        <w:tabs>
          <w:tab w:val="left" w:pos="-720"/>
        </w:tabs>
        <w:suppressAutoHyphens/>
        <w:rPr>
          <w:rFonts w:ascii="Times New Roman" w:hAnsi="Times New Roman"/>
          <w:szCs w:val="24"/>
        </w:rPr>
      </w:pPr>
    </w:p>
    <w:p w14:paraId="2B2058BC"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2F8FA9E" w14:textId="77777777" w:rsidR="005B1147" w:rsidRDefault="005B1147" w:rsidP="005B1147">
      <w:pPr>
        <w:tabs>
          <w:tab w:val="left" w:pos="-720"/>
        </w:tabs>
        <w:suppressAutoHyphens/>
        <w:rPr>
          <w:rFonts w:ascii="Times New Roman" w:hAnsi="Times New Roman"/>
          <w:szCs w:val="24"/>
        </w:rPr>
      </w:pPr>
    </w:p>
    <w:p w14:paraId="74B347F7"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1CDCB8A5" w14:textId="77777777" w:rsidR="005B1147" w:rsidRDefault="005B1147" w:rsidP="005B1147">
      <w:pPr>
        <w:tabs>
          <w:tab w:val="left" w:pos="-720"/>
        </w:tabs>
        <w:suppressAutoHyphens/>
        <w:rPr>
          <w:rFonts w:ascii="Times New Roman" w:hAnsi="Times New Roman"/>
          <w:szCs w:val="24"/>
        </w:rPr>
      </w:pPr>
    </w:p>
    <w:p w14:paraId="5AA44F02" w14:textId="77777777" w:rsidR="005B1147" w:rsidRDefault="005B1147" w:rsidP="005B1147">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w:t>
      </w:r>
      <w:r>
        <w:rPr>
          <w:rFonts w:ascii="Times New Roman" w:hAnsi="Times New Roman"/>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szCs w:val="24"/>
        </w:rPr>
        <w:t>government,</w:t>
      </w:r>
      <w:proofErr w:type="gramEnd"/>
      <w:r>
        <w:rPr>
          <w:rFonts w:ascii="Times New Roman" w:hAnsi="Times New Roman"/>
          <w:szCs w:val="24"/>
        </w:rPr>
        <w:t xml:space="preserve"> or (4) as part of customary and usual business or private practices.</w:t>
      </w:r>
    </w:p>
    <w:p w14:paraId="6C77DAFD" w14:textId="77777777" w:rsidR="005B1147" w:rsidRDefault="005B1147" w:rsidP="005B1147">
      <w:pPr>
        <w:tabs>
          <w:tab w:val="left" w:pos="-720"/>
        </w:tabs>
        <w:suppressAutoHyphens/>
        <w:rPr>
          <w:rFonts w:ascii="Times New Roman" w:hAnsi="Times New Roman"/>
          <w:szCs w:val="24"/>
        </w:rPr>
      </w:pPr>
    </w:p>
    <w:p w14:paraId="4D18FEE4"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r>
      <w:r w:rsidRPr="008F73CE">
        <w:rPr>
          <w:rFonts w:ascii="Times New Roman" w:hAnsi="Times New Roman"/>
          <w:szCs w:val="24"/>
          <w:u w:val="single"/>
        </w:rPr>
        <w:t>See</w:t>
      </w:r>
      <w:r>
        <w:rPr>
          <w:rFonts w:ascii="Times New Roman" w:hAnsi="Times New Roman"/>
          <w:szCs w:val="24"/>
        </w:rPr>
        <w:t xml:space="preserve"> Attachment A. </w:t>
      </w:r>
    </w:p>
    <w:p w14:paraId="52F748B8" w14:textId="77777777" w:rsidR="005B1147" w:rsidRDefault="005B1147" w:rsidP="005B1147">
      <w:pPr>
        <w:tabs>
          <w:tab w:val="left" w:pos="-720"/>
        </w:tabs>
        <w:suppressAutoHyphens/>
        <w:rPr>
          <w:rFonts w:ascii="Times New Roman" w:hAnsi="Times New Roman"/>
          <w:szCs w:val="24"/>
        </w:rPr>
      </w:pPr>
    </w:p>
    <w:p w14:paraId="73AD9727" w14:textId="77777777" w:rsidR="005B1147" w:rsidRDefault="005B1147" w:rsidP="005B1147">
      <w:pPr>
        <w:tabs>
          <w:tab w:val="left" w:pos="-720"/>
        </w:tabs>
        <w:suppressAutoHyphens/>
        <w:ind w:left="720" w:hanging="720"/>
        <w:rPr>
          <w:rFonts w:ascii="Times New Roman" w:hAnsi="Times New Roman"/>
          <w:szCs w:val="24"/>
        </w:rPr>
      </w:pPr>
      <w:r>
        <w:rPr>
          <w:rFonts w:ascii="Times New Roman" w:hAnsi="Times New Roman"/>
          <w:szCs w:val="24"/>
        </w:rPr>
        <w:t>14.</w:t>
      </w:r>
      <w:r>
        <w:rPr>
          <w:rFonts w:ascii="Times New Roman" w:hAnsi="Times New Roman"/>
          <w:szCs w:val="24"/>
        </w:rPr>
        <w:tab/>
      </w:r>
      <w:r>
        <w:rPr>
          <w:rFonts w:ascii="Times New Roman" w:hAnsi="Times New Roman"/>
          <w:szCs w:val="24"/>
          <w:u w:val="single"/>
        </w:rPr>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Pr>
          <w:rFonts w:ascii="Times New Roman" w:hAnsi="Times New Roman"/>
          <w:szCs w:val="24"/>
          <w:u w:val="single"/>
        </w:rPr>
        <w:lastRenderedPageBreak/>
        <w:t>information.  Agencies may also aggregate cost estimates from Items 12, 13, and 14 in a single table.</w:t>
      </w:r>
      <w:r>
        <w:rPr>
          <w:rFonts w:ascii="Times New Roman" w:hAnsi="Times New Roman"/>
          <w:szCs w:val="24"/>
        </w:rPr>
        <w:t xml:space="preserve">  </w:t>
      </w:r>
    </w:p>
    <w:p w14:paraId="658CAAFA" w14:textId="77777777" w:rsidR="005B1147" w:rsidRDefault="005B1147" w:rsidP="005B1147">
      <w:pPr>
        <w:tabs>
          <w:tab w:val="left" w:pos="-720"/>
        </w:tabs>
        <w:suppressAutoHyphens/>
        <w:rPr>
          <w:rFonts w:ascii="Times New Roman" w:hAnsi="Times New Roman"/>
          <w:szCs w:val="24"/>
        </w:rPr>
      </w:pPr>
    </w:p>
    <w:p w14:paraId="608823BE" w14:textId="13438ED8" w:rsidR="005B1147" w:rsidRDefault="005B1147" w:rsidP="005B1147">
      <w:pPr>
        <w:tabs>
          <w:tab w:val="left" w:pos="-720"/>
        </w:tabs>
        <w:suppressAutoHyphens/>
        <w:ind w:firstLine="720"/>
        <w:rPr>
          <w:rFonts w:ascii="Times New Roman" w:hAnsi="Times New Roman"/>
          <w:szCs w:val="24"/>
        </w:rPr>
      </w:pPr>
      <w:r>
        <w:rPr>
          <w:rFonts w:ascii="Times New Roman" w:hAnsi="Times New Roman"/>
          <w:szCs w:val="24"/>
        </w:rPr>
        <w:t>The Commission will have the following cost drivers relating to the information collections required by part 43 of the Commission’s regulations: (1) Reviewing whether or not parties are complying with part 43’s real-time reporting rules.  This would include reviewing timestamp data from registered entities and reporting parties, and also coordinating with SDRs to ensure that they are receiving the appropriate data to publicly disseminate from reporting parties</w:t>
      </w:r>
      <w:r w:rsidR="008F73CE">
        <w:rPr>
          <w:rFonts w:ascii="Times New Roman" w:hAnsi="Times New Roman"/>
          <w:szCs w:val="24"/>
        </w:rPr>
        <w:t xml:space="preserve">; </w:t>
      </w:r>
      <w:r>
        <w:rPr>
          <w:rFonts w:ascii="Times New Roman" w:hAnsi="Times New Roman"/>
          <w:szCs w:val="24"/>
        </w:rPr>
        <w:t xml:space="preserve">(2) </w:t>
      </w:r>
      <w:r w:rsidR="008F73CE">
        <w:rPr>
          <w:rFonts w:ascii="Times New Roman" w:hAnsi="Times New Roman"/>
          <w:szCs w:val="24"/>
        </w:rPr>
        <w:t>C</w:t>
      </w:r>
      <w:r>
        <w:rPr>
          <w:rFonts w:ascii="Times New Roman" w:hAnsi="Times New Roman"/>
          <w:szCs w:val="24"/>
        </w:rPr>
        <w:t>osts relating to ensuring the Commission have the ability to analyze and asses the real-time public reporting’s effect on various markets, including the effect on trade execution and market liquidity.</w:t>
      </w:r>
    </w:p>
    <w:p w14:paraId="61D01194" w14:textId="77777777" w:rsidR="005B1147" w:rsidRDefault="005B1147" w:rsidP="005B1147">
      <w:pPr>
        <w:tabs>
          <w:tab w:val="left" w:pos="-720"/>
        </w:tabs>
        <w:suppressAutoHyphens/>
        <w:ind w:left="720" w:hanging="720"/>
        <w:rPr>
          <w:rFonts w:ascii="Times New Roman" w:hAnsi="Times New Roman"/>
          <w:szCs w:val="24"/>
        </w:rPr>
      </w:pPr>
    </w:p>
    <w:p w14:paraId="063F47A4"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With respect to the Commission staff analyzing and reviewing the collected data/information, particularly with respect to the timestamps and to ensure compliance with the regulation, existing staff may be used to some extent to perform this function.  However, the Commission anticipates additional staff will be necessary.</w:t>
      </w:r>
    </w:p>
    <w:p w14:paraId="44AC0F22"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r>
    </w:p>
    <w:p w14:paraId="17CD59CE"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Accordingly, the Commission estimates that at least two (2) new employees will be hired to build the necessary technology.  After the first year, however, one (1) employee, with technology expertise, will be required to be retained to maintain the technology systems.  The Commission estimates that each of these employees will cost approximately $250,000 per year.  Therefore, for the first year the cost to the Commission will be $500,000, and every year after that the cost of personnel will be $250,000.</w:t>
      </w:r>
    </w:p>
    <w:p w14:paraId="3BFAEE21" w14:textId="77777777" w:rsidR="005B1147" w:rsidRDefault="005B1147" w:rsidP="005B1147">
      <w:pPr>
        <w:tabs>
          <w:tab w:val="left" w:pos="-720"/>
        </w:tabs>
        <w:suppressAutoHyphens/>
        <w:rPr>
          <w:rFonts w:ascii="Times New Roman" w:hAnsi="Times New Roman"/>
          <w:szCs w:val="24"/>
        </w:rPr>
      </w:pPr>
    </w:p>
    <w:p w14:paraId="248E4DF8"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The Commission also estimates that the Division of Market Oversight will hire 2-5 new employees who will be dedicated full-time to analysis of the information/real-time data being collected.  The estimated annual cost to the Commission per new hire in DMO is $120,000.</w:t>
      </w:r>
      <w:r>
        <w:rPr>
          <w:rStyle w:val="FootnoteReference"/>
          <w:rFonts w:ascii="Times New Roman" w:hAnsi="Times New Roman"/>
          <w:szCs w:val="24"/>
        </w:rPr>
        <w:footnoteReference w:id="9"/>
      </w:r>
      <w:r>
        <w:rPr>
          <w:rFonts w:ascii="Times New Roman" w:hAnsi="Times New Roman"/>
          <w:szCs w:val="24"/>
        </w:rPr>
        <w:t xml:space="preserve"> Therefore, the total annual aggregate cost to the Commission is estimated to be between $240,000 and $600,000.</w:t>
      </w:r>
    </w:p>
    <w:p w14:paraId="0251DEBE" w14:textId="77777777" w:rsidR="005B1147" w:rsidRDefault="005B1147" w:rsidP="005B1147">
      <w:pPr>
        <w:tabs>
          <w:tab w:val="left" w:pos="-720"/>
        </w:tabs>
        <w:suppressAutoHyphens/>
        <w:rPr>
          <w:rFonts w:ascii="Times New Roman" w:hAnsi="Times New Roman"/>
          <w:szCs w:val="24"/>
        </w:rPr>
      </w:pPr>
    </w:p>
    <w:p w14:paraId="19DAC29E"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With respect to the additional technology necessary for the Commission to receive and process the information collected, Commission staff estimates the additional cost of this technology to be </w:t>
      </w:r>
      <w:r>
        <w:rPr>
          <w:rFonts w:ascii="Times New Roman" w:hAnsi="Times New Roman"/>
          <w:i/>
          <w:szCs w:val="24"/>
        </w:rPr>
        <w:t xml:space="preserve">de </w:t>
      </w:r>
      <w:proofErr w:type="spellStart"/>
      <w:r>
        <w:rPr>
          <w:rFonts w:ascii="Times New Roman" w:hAnsi="Times New Roman"/>
          <w:i/>
          <w:szCs w:val="24"/>
        </w:rPr>
        <w:t>minimis</w:t>
      </w:r>
      <w:proofErr w:type="spellEnd"/>
      <w:r>
        <w:rPr>
          <w:rFonts w:ascii="Times New Roman" w:hAnsi="Times New Roman"/>
          <w:szCs w:val="24"/>
        </w:rPr>
        <w:t xml:space="preserve"> because the Commission anticipates leveraging off its existing infrastructure to satisfy its additional responsibilities.</w:t>
      </w:r>
      <w:r>
        <w:rPr>
          <w:rStyle w:val="FootnoteReference"/>
          <w:rFonts w:ascii="Times New Roman" w:hAnsi="Times New Roman"/>
          <w:szCs w:val="24"/>
        </w:rPr>
        <w:footnoteReference w:id="10"/>
      </w:r>
    </w:p>
    <w:p w14:paraId="7868E597"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 xml:space="preserve"> </w:t>
      </w:r>
    </w:p>
    <w:p w14:paraId="6B3CB98E"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Therefore, the total cost (new staff plus technology) is estimated to be between $740,000 and $1,100,000 for the first year after the rule is </w:t>
      </w:r>
      <w:proofErr w:type="gramStart"/>
      <w:r>
        <w:rPr>
          <w:rFonts w:ascii="Times New Roman" w:hAnsi="Times New Roman"/>
          <w:szCs w:val="24"/>
        </w:rPr>
        <w:t>finalized,</w:t>
      </w:r>
      <w:proofErr w:type="gramEnd"/>
      <w:r>
        <w:rPr>
          <w:rFonts w:ascii="Times New Roman" w:hAnsi="Times New Roman"/>
          <w:szCs w:val="24"/>
        </w:rPr>
        <w:t xml:space="preserve"> and between $490,000 and $850,000 annually every year after the first year plus some additional </w:t>
      </w:r>
      <w:r>
        <w:rPr>
          <w:rFonts w:ascii="Times New Roman" w:hAnsi="Times New Roman"/>
          <w:i/>
          <w:szCs w:val="24"/>
        </w:rPr>
        <w:t xml:space="preserve">de </w:t>
      </w:r>
      <w:proofErr w:type="spellStart"/>
      <w:r>
        <w:rPr>
          <w:rFonts w:ascii="Times New Roman" w:hAnsi="Times New Roman"/>
          <w:i/>
          <w:szCs w:val="24"/>
        </w:rPr>
        <w:t>minimis</w:t>
      </w:r>
      <w:proofErr w:type="spellEnd"/>
      <w:r>
        <w:rPr>
          <w:rFonts w:ascii="Times New Roman" w:hAnsi="Times New Roman"/>
          <w:szCs w:val="24"/>
        </w:rPr>
        <w:t xml:space="preserve"> costs for technology infrastructure. </w:t>
      </w:r>
    </w:p>
    <w:p w14:paraId="13A7656A" w14:textId="77777777" w:rsidR="005B1147" w:rsidRDefault="005B1147" w:rsidP="005B1147">
      <w:pPr>
        <w:tabs>
          <w:tab w:val="left" w:pos="-720"/>
        </w:tabs>
        <w:suppressAutoHyphens/>
        <w:rPr>
          <w:rFonts w:ascii="Times New Roman" w:hAnsi="Times New Roman"/>
          <w:szCs w:val="24"/>
        </w:rPr>
      </w:pPr>
    </w:p>
    <w:p w14:paraId="17EA4B7B"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15.</w:t>
      </w:r>
      <w:r>
        <w:rPr>
          <w:rFonts w:ascii="Times New Roman" w:hAnsi="Times New Roman"/>
          <w:szCs w:val="24"/>
        </w:rPr>
        <w:tab/>
      </w:r>
      <w:r>
        <w:rPr>
          <w:rFonts w:ascii="Times New Roman" w:hAnsi="Times New Roman"/>
          <w:szCs w:val="24"/>
          <w:u w:val="single"/>
        </w:rPr>
        <w:t>Explain the reasons for any program changes or adjustments reported in Items 13 or 14 of the OMB Form 83-I</w:t>
      </w:r>
      <w:r>
        <w:rPr>
          <w:rFonts w:ascii="Times New Roman" w:hAnsi="Times New Roman"/>
          <w:szCs w:val="24"/>
        </w:rPr>
        <w:t>.</w:t>
      </w:r>
    </w:p>
    <w:p w14:paraId="125E7B76" w14:textId="77777777" w:rsidR="005B1147" w:rsidRDefault="005B1147" w:rsidP="005B1147">
      <w:pPr>
        <w:tabs>
          <w:tab w:val="left" w:pos="-720"/>
        </w:tabs>
        <w:suppressAutoHyphens/>
        <w:rPr>
          <w:rFonts w:ascii="Times New Roman" w:hAnsi="Times New Roman"/>
          <w:szCs w:val="24"/>
        </w:rPr>
      </w:pPr>
    </w:p>
    <w:p w14:paraId="4DB3262C"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These are new collections and the question, therefore, this question does not apply.  </w:t>
      </w:r>
    </w:p>
    <w:p w14:paraId="6CCC4AB0" w14:textId="77777777" w:rsidR="005B1147" w:rsidRDefault="005B1147" w:rsidP="005B1147">
      <w:pPr>
        <w:tabs>
          <w:tab w:val="left" w:pos="-720"/>
        </w:tabs>
        <w:suppressAutoHyphens/>
        <w:rPr>
          <w:rFonts w:ascii="Times New Roman" w:hAnsi="Times New Roman"/>
          <w:szCs w:val="24"/>
        </w:rPr>
      </w:pPr>
    </w:p>
    <w:p w14:paraId="745A2092"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16.</w:t>
      </w:r>
      <w:r>
        <w:rPr>
          <w:rFonts w:ascii="Times New Roman" w:hAnsi="Times New Roman"/>
          <w:szCs w:val="24"/>
        </w:rPr>
        <w:tab/>
      </w:r>
      <w:r>
        <w:rPr>
          <w:rFonts w:ascii="Times New Roman" w:hAnsi="Times New Roman"/>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szCs w:val="24"/>
        </w:rPr>
        <w:t>.</w:t>
      </w:r>
    </w:p>
    <w:p w14:paraId="40A06AC3" w14:textId="77777777" w:rsidR="005B1147" w:rsidRDefault="005B1147" w:rsidP="005B1147">
      <w:pPr>
        <w:tabs>
          <w:tab w:val="left" w:pos="-720"/>
          <w:tab w:val="left" w:pos="0"/>
        </w:tabs>
        <w:suppressAutoHyphens/>
        <w:ind w:left="720" w:hanging="720"/>
        <w:rPr>
          <w:rFonts w:ascii="Times New Roman" w:hAnsi="Times New Roman"/>
          <w:szCs w:val="24"/>
        </w:rPr>
      </w:pPr>
    </w:p>
    <w:p w14:paraId="652CA011" w14:textId="77777777" w:rsidR="005B1147" w:rsidRDefault="005B1147" w:rsidP="005B1147">
      <w:pPr>
        <w:tabs>
          <w:tab w:val="left" w:pos="-720"/>
          <w:tab w:val="left" w:pos="0"/>
        </w:tabs>
        <w:suppressAutoHyphens/>
        <w:rPr>
          <w:rFonts w:ascii="Times New Roman" w:hAnsi="Times New Roman"/>
          <w:szCs w:val="24"/>
        </w:rPr>
      </w:pPr>
      <w:r>
        <w:rPr>
          <w:rFonts w:ascii="Times New Roman" w:hAnsi="Times New Roman"/>
          <w:szCs w:val="24"/>
        </w:rPr>
        <w:tab/>
        <w:t xml:space="preserve">This question does not apply. </w:t>
      </w:r>
    </w:p>
    <w:p w14:paraId="7C059539" w14:textId="77777777" w:rsidR="005B1147" w:rsidRDefault="005B1147" w:rsidP="005B1147">
      <w:pPr>
        <w:tabs>
          <w:tab w:val="left" w:pos="-720"/>
        </w:tabs>
        <w:suppressAutoHyphens/>
        <w:rPr>
          <w:rFonts w:ascii="Times New Roman" w:hAnsi="Times New Roman"/>
          <w:szCs w:val="24"/>
        </w:rPr>
      </w:pPr>
    </w:p>
    <w:p w14:paraId="7D3A9EDE"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17.</w:t>
      </w:r>
      <w:r>
        <w:rPr>
          <w:rFonts w:ascii="Times New Roman" w:hAnsi="Times New Roman"/>
          <w:szCs w:val="24"/>
        </w:rPr>
        <w:tab/>
      </w:r>
      <w:r>
        <w:rPr>
          <w:rFonts w:ascii="Times New Roman" w:hAnsi="Times New Roman"/>
          <w:szCs w:val="24"/>
          <w:u w:val="single"/>
        </w:rPr>
        <w:t>If seeking approval to not display the expiration date for OMB approval of the information collection, explain the reasons that display would be inappropriate</w:t>
      </w:r>
      <w:r>
        <w:rPr>
          <w:rFonts w:ascii="Times New Roman" w:hAnsi="Times New Roman"/>
          <w:szCs w:val="24"/>
        </w:rPr>
        <w:t>.</w:t>
      </w:r>
    </w:p>
    <w:p w14:paraId="4CEDB1E5" w14:textId="77777777" w:rsidR="005B1147" w:rsidRDefault="005B1147" w:rsidP="005B1147">
      <w:pPr>
        <w:tabs>
          <w:tab w:val="left" w:pos="-720"/>
        </w:tabs>
        <w:suppressAutoHyphens/>
        <w:rPr>
          <w:rFonts w:ascii="Times New Roman" w:hAnsi="Times New Roman"/>
          <w:szCs w:val="24"/>
        </w:rPr>
      </w:pPr>
    </w:p>
    <w:p w14:paraId="55CE72C9"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This question does not apply.  </w:t>
      </w:r>
    </w:p>
    <w:p w14:paraId="6C1665A1" w14:textId="77777777" w:rsidR="005B1147" w:rsidRDefault="005B1147" w:rsidP="005B1147">
      <w:pPr>
        <w:tabs>
          <w:tab w:val="left" w:pos="-720"/>
        </w:tabs>
        <w:suppressAutoHyphens/>
        <w:rPr>
          <w:rFonts w:ascii="Times New Roman" w:hAnsi="Times New Roman"/>
          <w:szCs w:val="24"/>
        </w:rPr>
      </w:pPr>
    </w:p>
    <w:p w14:paraId="3245BECF" w14:textId="77777777" w:rsidR="005B1147" w:rsidRDefault="005B1147" w:rsidP="005B1147">
      <w:pPr>
        <w:tabs>
          <w:tab w:val="left" w:pos="-720"/>
          <w:tab w:val="left" w:pos="0"/>
        </w:tabs>
        <w:suppressAutoHyphens/>
        <w:ind w:left="720" w:hanging="720"/>
        <w:rPr>
          <w:rFonts w:ascii="Times New Roman" w:hAnsi="Times New Roman"/>
          <w:szCs w:val="24"/>
        </w:rPr>
      </w:pPr>
      <w:r>
        <w:rPr>
          <w:rFonts w:ascii="Times New Roman" w:hAnsi="Times New Roman"/>
          <w:szCs w:val="24"/>
        </w:rPr>
        <w:t>18.</w:t>
      </w:r>
      <w:r>
        <w:rPr>
          <w:rFonts w:ascii="Times New Roman" w:hAnsi="Times New Roman"/>
          <w:szCs w:val="24"/>
        </w:rPr>
        <w:tab/>
      </w:r>
      <w:r>
        <w:rPr>
          <w:rFonts w:ascii="Times New Roman" w:hAnsi="Times New Roman"/>
          <w:szCs w:val="24"/>
          <w:u w:val="single"/>
        </w:rPr>
        <w:t>Explain each exception to the certification statement identified in Item 19, "Certification for Paperwork Reduction Act Submissions," of OMB Form 83-I</w:t>
      </w:r>
      <w:r>
        <w:rPr>
          <w:rFonts w:ascii="Times New Roman" w:hAnsi="Times New Roman"/>
          <w:szCs w:val="24"/>
        </w:rPr>
        <w:t>.</w:t>
      </w:r>
    </w:p>
    <w:p w14:paraId="38B5E5A3" w14:textId="77777777" w:rsidR="005B1147" w:rsidRDefault="005B1147" w:rsidP="005B1147">
      <w:pPr>
        <w:tabs>
          <w:tab w:val="left" w:pos="-720"/>
        </w:tabs>
        <w:suppressAutoHyphens/>
        <w:rPr>
          <w:rFonts w:ascii="Times New Roman" w:hAnsi="Times New Roman"/>
          <w:szCs w:val="24"/>
        </w:rPr>
      </w:pPr>
    </w:p>
    <w:p w14:paraId="35378145"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t xml:space="preserve">No exceptions exist.  </w:t>
      </w:r>
    </w:p>
    <w:p w14:paraId="2D6712DA" w14:textId="77777777" w:rsidR="005B1147" w:rsidRDefault="005B1147" w:rsidP="005B1147">
      <w:pPr>
        <w:tabs>
          <w:tab w:val="left" w:pos="-720"/>
        </w:tabs>
        <w:suppressAutoHyphens/>
        <w:rPr>
          <w:rFonts w:ascii="Times New Roman" w:hAnsi="Times New Roman"/>
          <w:szCs w:val="24"/>
        </w:rPr>
      </w:pPr>
      <w:r>
        <w:rPr>
          <w:rFonts w:ascii="Times New Roman" w:hAnsi="Times New Roman"/>
          <w:szCs w:val="24"/>
        </w:rPr>
        <w:tab/>
      </w:r>
    </w:p>
    <w:p w14:paraId="664B066A" w14:textId="77777777" w:rsidR="005B1147" w:rsidRDefault="005B1147" w:rsidP="005B1147">
      <w:pPr>
        <w:rPr>
          <w:rFonts w:ascii="Times New Roman" w:hAnsi="Times New Roman"/>
          <w:sz w:val="20"/>
        </w:rPr>
        <w:sectPr w:rsidR="005B1147">
          <w:footerReference w:type="default" r:id="rId14"/>
          <w:endnotePr>
            <w:numFmt w:val="decimal"/>
          </w:endnotePr>
          <w:pgSz w:w="12240" w:h="15840"/>
          <w:pgMar w:top="1440" w:right="1440" w:bottom="1440" w:left="1440" w:header="1440" w:footer="1440" w:gutter="0"/>
          <w:pgNumType w:start="1"/>
          <w:cols w:space="720"/>
        </w:sectPr>
      </w:pPr>
    </w:p>
    <w:p w14:paraId="67420CD0" w14:textId="77777777" w:rsidR="005B1147" w:rsidRDefault="005B1147" w:rsidP="005B1147">
      <w:pPr>
        <w:tabs>
          <w:tab w:val="left" w:pos="-720"/>
        </w:tabs>
        <w:suppressAutoHyphens/>
        <w:jc w:val="center"/>
        <w:rPr>
          <w:rFonts w:ascii="Times New Roman" w:hAnsi="Times New Roman"/>
          <w:b/>
          <w:sz w:val="20"/>
          <w:u w:val="single"/>
        </w:rPr>
      </w:pPr>
      <w:r>
        <w:rPr>
          <w:rFonts w:ascii="Times New Roman" w:hAnsi="Times New Roman"/>
          <w:b/>
          <w:sz w:val="20"/>
          <w:u w:val="single"/>
        </w:rPr>
        <w:lastRenderedPageBreak/>
        <w:t>Attachment A</w:t>
      </w:r>
    </w:p>
    <w:p w14:paraId="6BF26E83" w14:textId="77777777" w:rsidR="005B1147" w:rsidRDefault="005B1147" w:rsidP="005B1147">
      <w:pPr>
        <w:tabs>
          <w:tab w:val="left" w:pos="-720"/>
        </w:tabs>
        <w:suppressAutoHyphens/>
        <w:rPr>
          <w:rFonts w:ascii="Times New Roman" w:hAnsi="Times New Roman"/>
          <w:sz w:val="20"/>
        </w:rPr>
      </w:pPr>
    </w:p>
    <w:p w14:paraId="4E868775" w14:textId="77777777" w:rsidR="005B1147" w:rsidRDefault="005B1147" w:rsidP="005B1147">
      <w:pPr>
        <w:pStyle w:val="BodyTextIndent"/>
        <w:jc w:val="center"/>
        <w:rPr>
          <w:b/>
          <w:sz w:val="20"/>
          <w:szCs w:val="20"/>
        </w:rPr>
      </w:pPr>
      <w:r>
        <w:rPr>
          <w:b/>
          <w:sz w:val="20"/>
          <w:szCs w:val="20"/>
        </w:rPr>
        <w:t>Real-time Public Reporting under Section 727 of the Dodd-Frank Act</w:t>
      </w:r>
    </w:p>
    <w:p w14:paraId="1A0774B0" w14:textId="77777777" w:rsidR="005B1147" w:rsidRDefault="005B1147" w:rsidP="005B1147">
      <w:pPr>
        <w:pStyle w:val="BodyTextIndent"/>
        <w:jc w:val="center"/>
        <w:rPr>
          <w:b/>
          <w:sz w:val="20"/>
          <w:szCs w:val="20"/>
          <w:u w:val="single"/>
        </w:rPr>
      </w:pPr>
      <w:r>
        <w:rPr>
          <w:b/>
          <w:sz w:val="20"/>
          <w:szCs w:val="20"/>
          <w:u w:val="single"/>
        </w:rPr>
        <w:t>Estimated Annual Hour and Cost Burden of the Collection of Information</w:t>
      </w:r>
    </w:p>
    <w:p w14:paraId="2B144DF8" w14:textId="77777777" w:rsidR="005B1147" w:rsidRDefault="005B1147" w:rsidP="005B1147">
      <w:pPr>
        <w:pStyle w:val="BodyTextIndent"/>
        <w:jc w:val="center"/>
        <w:rPr>
          <w:b/>
          <w:sz w:val="20"/>
          <w:szCs w:val="20"/>
          <w:u w:val="single"/>
        </w:rPr>
      </w:pPr>
    </w:p>
    <w:p w14:paraId="44FFE841" w14:textId="77777777" w:rsidR="005B1147" w:rsidRDefault="005B1147" w:rsidP="005B1147">
      <w:pPr>
        <w:pStyle w:val="BodyTextIndent"/>
        <w:jc w:val="center"/>
        <w:rPr>
          <w:b/>
          <w:sz w:val="20"/>
          <w:szCs w:val="20"/>
        </w:rPr>
      </w:pPr>
      <w:r>
        <w:rPr>
          <w:b/>
          <w:sz w:val="20"/>
          <w:szCs w:val="20"/>
          <w:u w:val="single"/>
        </w:rPr>
        <w:t>Reporting and Public Dissemination</w:t>
      </w:r>
    </w:p>
    <w:p w14:paraId="287DD231" w14:textId="77777777" w:rsidR="005B1147" w:rsidRDefault="005B1147" w:rsidP="005B1147">
      <w:pPr>
        <w:pStyle w:val="BodyTextIndent"/>
        <w:rPr>
          <w:sz w:val="20"/>
          <w:szCs w:val="20"/>
        </w:rPr>
      </w:pPr>
    </w:p>
    <w:tbl>
      <w:tblPr>
        <w:tblStyle w:val="TableGrid"/>
        <w:tblW w:w="5800" w:type="pct"/>
        <w:tblInd w:w="-1035" w:type="dxa"/>
        <w:tblLook w:val="04A0" w:firstRow="1" w:lastRow="0" w:firstColumn="1" w:lastColumn="0" w:noHBand="0" w:noVBand="1"/>
      </w:tblPr>
      <w:tblGrid>
        <w:gridCol w:w="1109"/>
        <w:gridCol w:w="1481"/>
        <w:gridCol w:w="1428"/>
        <w:gridCol w:w="1547"/>
        <w:gridCol w:w="16"/>
        <w:gridCol w:w="1290"/>
        <w:gridCol w:w="1471"/>
        <w:gridCol w:w="1803"/>
        <w:gridCol w:w="1803"/>
        <w:gridCol w:w="1244"/>
        <w:gridCol w:w="2092"/>
      </w:tblGrid>
      <w:tr w:rsidR="005B1147" w14:paraId="047B80CD" w14:textId="77777777" w:rsidTr="005B1147">
        <w:trPr>
          <w:trHeight w:val="1187"/>
        </w:trPr>
        <w:tc>
          <w:tcPr>
            <w:tcW w:w="367" w:type="pct"/>
            <w:tcBorders>
              <w:top w:val="single" w:sz="4" w:space="0" w:color="000000"/>
              <w:left w:val="single" w:sz="4" w:space="0" w:color="000000"/>
              <w:bottom w:val="single" w:sz="4" w:space="0" w:color="000000"/>
              <w:right w:val="single" w:sz="4" w:space="0" w:color="000000"/>
            </w:tcBorders>
            <w:hideMark/>
          </w:tcPr>
          <w:p w14:paraId="7DF56DB3" w14:textId="77777777" w:rsidR="005B1147" w:rsidRDefault="005B1147">
            <w:pPr>
              <w:pStyle w:val="BodyTextIndent"/>
              <w:ind w:left="0" w:firstLine="0"/>
              <w:jc w:val="center"/>
              <w:rPr>
                <w:sz w:val="20"/>
                <w:szCs w:val="20"/>
              </w:rPr>
            </w:pPr>
            <w:proofErr w:type="spellStart"/>
            <w:r>
              <w:rPr>
                <w:sz w:val="20"/>
                <w:szCs w:val="20"/>
              </w:rPr>
              <w:t>Est’d</w:t>
            </w:r>
            <w:proofErr w:type="spellEnd"/>
            <w:r>
              <w:rPr>
                <w:sz w:val="20"/>
                <w:szCs w:val="20"/>
              </w:rPr>
              <w:t xml:space="preserve"> # of Covered Entities</w:t>
            </w:r>
          </w:p>
          <w:p w14:paraId="4B7E6C4E" w14:textId="77777777" w:rsidR="005B1147" w:rsidRDefault="005B1147">
            <w:pPr>
              <w:pStyle w:val="BodyTextIndent"/>
              <w:ind w:left="0" w:firstLine="0"/>
              <w:jc w:val="center"/>
              <w:rPr>
                <w:sz w:val="20"/>
                <w:szCs w:val="20"/>
              </w:rPr>
            </w:pPr>
            <w:r>
              <w:rPr>
                <w:sz w:val="20"/>
                <w:szCs w:val="20"/>
              </w:rPr>
              <w:t>(a)</w:t>
            </w:r>
            <w:r>
              <w:rPr>
                <w:rStyle w:val="FootnoteReference"/>
                <w:sz w:val="20"/>
                <w:szCs w:val="20"/>
              </w:rPr>
              <w:footnoteReference w:id="11"/>
            </w:r>
          </w:p>
        </w:tc>
        <w:tc>
          <w:tcPr>
            <w:tcW w:w="484" w:type="pct"/>
            <w:tcBorders>
              <w:top w:val="single" w:sz="4" w:space="0" w:color="000000"/>
              <w:left w:val="single" w:sz="4" w:space="0" w:color="000000"/>
              <w:bottom w:val="single" w:sz="4" w:space="0" w:color="000000"/>
              <w:right w:val="single" w:sz="4" w:space="0" w:color="000000"/>
            </w:tcBorders>
            <w:hideMark/>
          </w:tcPr>
          <w:p w14:paraId="4C0DC4FA" w14:textId="77777777" w:rsidR="005B1147" w:rsidRDefault="005B1147">
            <w:pPr>
              <w:pStyle w:val="BodyTextIndent"/>
              <w:tabs>
                <w:tab w:val="right" w:leader="dot" w:pos="9360"/>
              </w:tabs>
              <w:suppressAutoHyphens/>
              <w:ind w:left="0" w:right="720" w:firstLine="0"/>
              <w:rPr>
                <w:sz w:val="20"/>
                <w:szCs w:val="20"/>
              </w:rPr>
            </w:pPr>
            <w:proofErr w:type="spellStart"/>
            <w:r>
              <w:rPr>
                <w:sz w:val="20"/>
                <w:szCs w:val="20"/>
              </w:rPr>
              <w:t>Est’d</w:t>
            </w:r>
            <w:proofErr w:type="spellEnd"/>
            <w:r>
              <w:rPr>
                <w:sz w:val="20"/>
                <w:szCs w:val="20"/>
              </w:rPr>
              <w:t xml:space="preserve"> Avg. # of Hrs. to Report per entity</w:t>
            </w:r>
          </w:p>
          <w:p w14:paraId="474A8017" w14:textId="77777777" w:rsidR="005B1147" w:rsidRDefault="005B1147">
            <w:pPr>
              <w:pStyle w:val="BodyTextIndent"/>
              <w:ind w:left="0" w:firstLine="0"/>
              <w:rPr>
                <w:sz w:val="20"/>
                <w:szCs w:val="20"/>
              </w:rPr>
            </w:pPr>
            <w:r>
              <w:rPr>
                <w:sz w:val="20"/>
                <w:szCs w:val="20"/>
              </w:rPr>
              <w:t>(b)</w:t>
            </w:r>
            <w:r>
              <w:rPr>
                <w:rStyle w:val="FootnoteReference"/>
                <w:sz w:val="20"/>
                <w:szCs w:val="20"/>
              </w:rPr>
              <w:footnoteReference w:id="12"/>
            </w:r>
          </w:p>
        </w:tc>
        <w:tc>
          <w:tcPr>
            <w:tcW w:w="471" w:type="pct"/>
            <w:tcBorders>
              <w:top w:val="single" w:sz="4" w:space="0" w:color="000000"/>
              <w:left w:val="single" w:sz="4" w:space="0" w:color="000000"/>
              <w:bottom w:val="single" w:sz="4" w:space="0" w:color="000000"/>
              <w:right w:val="single" w:sz="4" w:space="0" w:color="000000"/>
            </w:tcBorders>
          </w:tcPr>
          <w:p w14:paraId="1020C0F5" w14:textId="77777777" w:rsidR="005B1147" w:rsidRDefault="005B1147">
            <w:pPr>
              <w:pStyle w:val="BodyTextIndent"/>
              <w:tabs>
                <w:tab w:val="right" w:leader="dot" w:pos="9360"/>
              </w:tabs>
              <w:suppressAutoHyphens/>
              <w:ind w:left="0" w:right="720" w:firstLine="0"/>
              <w:rPr>
                <w:sz w:val="20"/>
                <w:szCs w:val="20"/>
              </w:rPr>
            </w:pPr>
            <w:proofErr w:type="spellStart"/>
            <w:r>
              <w:rPr>
                <w:sz w:val="20"/>
                <w:szCs w:val="20"/>
              </w:rPr>
              <w:t>Est’d</w:t>
            </w:r>
            <w:proofErr w:type="spellEnd"/>
            <w:r>
              <w:rPr>
                <w:sz w:val="20"/>
                <w:szCs w:val="20"/>
              </w:rPr>
              <w:t xml:space="preserve"> Total</w:t>
            </w:r>
          </w:p>
          <w:p w14:paraId="53973F3C" w14:textId="77777777" w:rsidR="005B1147" w:rsidRDefault="005B1147">
            <w:pPr>
              <w:pStyle w:val="BodyTextIndent"/>
              <w:ind w:left="0" w:firstLine="0"/>
              <w:rPr>
                <w:sz w:val="20"/>
                <w:szCs w:val="20"/>
              </w:rPr>
            </w:pPr>
            <w:r>
              <w:rPr>
                <w:sz w:val="20"/>
                <w:szCs w:val="20"/>
              </w:rPr>
              <w:t xml:space="preserve">Annual Burden Hrs. </w:t>
            </w:r>
          </w:p>
          <w:p w14:paraId="6C61BE88" w14:textId="77777777" w:rsidR="005B1147" w:rsidRDefault="005B1147">
            <w:pPr>
              <w:pStyle w:val="BodyTextIndent"/>
              <w:ind w:left="0" w:firstLine="0"/>
              <w:rPr>
                <w:sz w:val="20"/>
                <w:szCs w:val="20"/>
              </w:rPr>
            </w:pPr>
            <w:r>
              <w:rPr>
                <w:sz w:val="20"/>
                <w:szCs w:val="20"/>
              </w:rPr>
              <w:t>(a)x(b)</w:t>
            </w:r>
          </w:p>
          <w:p w14:paraId="7CD74A29" w14:textId="77777777" w:rsidR="005B1147" w:rsidRDefault="005B1147">
            <w:pPr>
              <w:pStyle w:val="BodyTextIndent"/>
              <w:ind w:left="0" w:firstLine="0"/>
              <w:jc w:val="center"/>
              <w:rPr>
                <w:sz w:val="20"/>
                <w:szCs w:val="20"/>
              </w:rPr>
            </w:pPr>
          </w:p>
        </w:tc>
        <w:tc>
          <w:tcPr>
            <w:tcW w:w="510" w:type="pct"/>
            <w:tcBorders>
              <w:top w:val="single" w:sz="4" w:space="0" w:color="000000"/>
              <w:left w:val="single" w:sz="4" w:space="0" w:color="000000"/>
              <w:bottom w:val="single" w:sz="4" w:space="0" w:color="000000"/>
              <w:right w:val="single" w:sz="4" w:space="0" w:color="000000"/>
            </w:tcBorders>
            <w:hideMark/>
          </w:tcPr>
          <w:p w14:paraId="6A44F02B" w14:textId="77777777" w:rsidR="005B1147" w:rsidRDefault="005B1147">
            <w:pPr>
              <w:pStyle w:val="BodyTextIndent"/>
              <w:tabs>
                <w:tab w:val="right" w:leader="dot" w:pos="9360"/>
              </w:tabs>
              <w:suppressAutoHyphens/>
              <w:ind w:left="0" w:right="720" w:firstLine="0"/>
              <w:jc w:val="center"/>
              <w:rPr>
                <w:sz w:val="20"/>
                <w:szCs w:val="20"/>
              </w:rPr>
            </w:pPr>
            <w:proofErr w:type="spellStart"/>
            <w:r>
              <w:rPr>
                <w:sz w:val="20"/>
                <w:szCs w:val="20"/>
              </w:rPr>
              <w:t>Est’d</w:t>
            </w:r>
            <w:proofErr w:type="spellEnd"/>
            <w:r>
              <w:rPr>
                <w:sz w:val="20"/>
                <w:szCs w:val="20"/>
              </w:rPr>
              <w:t xml:space="preserve"> Cost for Burden Hours</w:t>
            </w:r>
          </w:p>
          <w:p w14:paraId="71BE8366" w14:textId="77777777" w:rsidR="005B1147" w:rsidRDefault="005B1147">
            <w:pPr>
              <w:pStyle w:val="BodyTextIndent"/>
              <w:ind w:left="0" w:firstLine="0"/>
              <w:jc w:val="center"/>
              <w:rPr>
                <w:sz w:val="20"/>
                <w:szCs w:val="20"/>
              </w:rPr>
            </w:pPr>
            <w:r>
              <w:rPr>
                <w:sz w:val="20"/>
                <w:szCs w:val="20"/>
              </w:rPr>
              <w:t>((a)x(b)) x</w:t>
            </w:r>
          </w:p>
          <w:p w14:paraId="34C3E1D5" w14:textId="77777777" w:rsidR="005B1147" w:rsidRDefault="005B1147">
            <w:pPr>
              <w:pStyle w:val="BodyTextIndent"/>
              <w:ind w:left="0" w:firstLine="0"/>
              <w:jc w:val="center"/>
              <w:rPr>
                <w:sz w:val="20"/>
                <w:szCs w:val="20"/>
              </w:rPr>
            </w:pPr>
            <w:r>
              <w:rPr>
                <w:sz w:val="20"/>
                <w:szCs w:val="20"/>
              </w:rPr>
              <w:t>$(Wage Rate)</w:t>
            </w:r>
            <w:r>
              <w:rPr>
                <w:rStyle w:val="FootnoteReference"/>
                <w:sz w:val="20"/>
                <w:szCs w:val="20"/>
              </w:rPr>
              <w:footnoteReference w:id="13"/>
            </w:r>
          </w:p>
        </w:tc>
        <w:tc>
          <w:tcPr>
            <w:tcW w:w="431" w:type="pct"/>
            <w:gridSpan w:val="2"/>
            <w:tcBorders>
              <w:top w:val="single" w:sz="4" w:space="0" w:color="000000"/>
              <w:left w:val="single" w:sz="4" w:space="0" w:color="000000"/>
              <w:bottom w:val="single" w:sz="4" w:space="0" w:color="000000"/>
              <w:right w:val="single" w:sz="4" w:space="0" w:color="000000"/>
            </w:tcBorders>
            <w:hideMark/>
          </w:tcPr>
          <w:p w14:paraId="59BB72EE" w14:textId="77777777" w:rsidR="005B1147" w:rsidRDefault="005B1147">
            <w:pPr>
              <w:pStyle w:val="BodyTextIndent"/>
              <w:ind w:left="0" w:firstLine="0"/>
              <w:jc w:val="center"/>
              <w:rPr>
                <w:sz w:val="20"/>
                <w:szCs w:val="20"/>
              </w:rPr>
            </w:pPr>
            <w:proofErr w:type="spellStart"/>
            <w:r>
              <w:rPr>
                <w:sz w:val="20"/>
                <w:szCs w:val="20"/>
              </w:rPr>
              <w:t>Est’d</w:t>
            </w:r>
            <w:proofErr w:type="spellEnd"/>
            <w:r>
              <w:rPr>
                <w:sz w:val="20"/>
                <w:szCs w:val="20"/>
              </w:rPr>
              <w:t xml:space="preserve"> Capital and Start-up Costs per entity</w:t>
            </w:r>
          </w:p>
          <w:p w14:paraId="07350A67" w14:textId="77777777" w:rsidR="005B1147" w:rsidRDefault="005B1147">
            <w:pPr>
              <w:pStyle w:val="BodyTextIndent"/>
              <w:tabs>
                <w:tab w:val="right" w:leader="dot" w:pos="9360"/>
              </w:tabs>
              <w:suppressAutoHyphens/>
              <w:ind w:left="0" w:right="720" w:firstLine="0"/>
              <w:jc w:val="center"/>
              <w:rPr>
                <w:sz w:val="20"/>
                <w:szCs w:val="20"/>
              </w:rPr>
            </w:pPr>
            <w:r>
              <w:rPr>
                <w:sz w:val="20"/>
                <w:szCs w:val="20"/>
              </w:rPr>
              <w:t>($)</w:t>
            </w:r>
            <w:r>
              <w:rPr>
                <w:rStyle w:val="FootnoteReference"/>
                <w:sz w:val="20"/>
                <w:szCs w:val="20"/>
              </w:rPr>
              <w:footnoteReference w:id="14"/>
            </w:r>
          </w:p>
        </w:tc>
        <w:tc>
          <w:tcPr>
            <w:tcW w:w="485" w:type="pct"/>
            <w:tcBorders>
              <w:top w:val="single" w:sz="4" w:space="0" w:color="000000"/>
              <w:left w:val="single" w:sz="4" w:space="0" w:color="000000"/>
              <w:bottom w:val="single" w:sz="4" w:space="0" w:color="000000"/>
              <w:right w:val="single" w:sz="4" w:space="0" w:color="000000"/>
            </w:tcBorders>
            <w:hideMark/>
          </w:tcPr>
          <w:p w14:paraId="18DCC126" w14:textId="77777777" w:rsidR="005B1147" w:rsidRDefault="005B1147">
            <w:pPr>
              <w:pStyle w:val="BodyTextIndent"/>
              <w:tabs>
                <w:tab w:val="right" w:leader="dot" w:pos="9360"/>
              </w:tabs>
              <w:suppressAutoHyphens/>
              <w:ind w:left="0" w:right="720" w:firstLine="0"/>
              <w:jc w:val="center"/>
              <w:rPr>
                <w:sz w:val="20"/>
                <w:szCs w:val="20"/>
              </w:rPr>
            </w:pPr>
            <w:r>
              <w:rPr>
                <w:sz w:val="20"/>
                <w:szCs w:val="20"/>
              </w:rPr>
              <w:t>Useful Life (year)</w:t>
            </w:r>
          </w:p>
        </w:tc>
        <w:tc>
          <w:tcPr>
            <w:tcW w:w="587" w:type="pct"/>
            <w:tcBorders>
              <w:top w:val="single" w:sz="4" w:space="0" w:color="000000"/>
              <w:left w:val="single" w:sz="4" w:space="0" w:color="000000"/>
              <w:bottom w:val="single" w:sz="4" w:space="0" w:color="000000"/>
              <w:right w:val="single" w:sz="4" w:space="0" w:color="000000"/>
            </w:tcBorders>
            <w:hideMark/>
          </w:tcPr>
          <w:p w14:paraId="67EA9D54" w14:textId="77777777" w:rsidR="005B1147" w:rsidRDefault="005B1147">
            <w:pPr>
              <w:pStyle w:val="BodyTextIndent"/>
              <w:tabs>
                <w:tab w:val="right" w:leader="dot" w:pos="9360"/>
              </w:tabs>
              <w:suppressAutoHyphens/>
              <w:ind w:left="0" w:right="720" w:firstLine="0"/>
              <w:jc w:val="center"/>
              <w:rPr>
                <w:sz w:val="20"/>
                <w:szCs w:val="20"/>
              </w:rPr>
            </w:pPr>
            <w:r>
              <w:rPr>
                <w:sz w:val="20"/>
                <w:szCs w:val="20"/>
              </w:rPr>
              <w:t xml:space="preserve">Capital </w:t>
            </w:r>
            <w:proofErr w:type="spellStart"/>
            <w:r>
              <w:rPr>
                <w:sz w:val="20"/>
                <w:szCs w:val="20"/>
              </w:rPr>
              <w:t>Start up</w:t>
            </w:r>
            <w:proofErr w:type="spellEnd"/>
            <w:r>
              <w:rPr>
                <w:sz w:val="20"/>
                <w:szCs w:val="20"/>
              </w:rPr>
              <w:t xml:space="preserve"> cost annualized over useful life per entity</w:t>
            </w:r>
          </w:p>
        </w:tc>
        <w:tc>
          <w:tcPr>
            <w:tcW w:w="587" w:type="pct"/>
            <w:tcBorders>
              <w:top w:val="single" w:sz="4" w:space="0" w:color="000000"/>
              <w:left w:val="single" w:sz="4" w:space="0" w:color="000000"/>
              <w:bottom w:val="single" w:sz="4" w:space="0" w:color="000000"/>
              <w:right w:val="single" w:sz="4" w:space="0" w:color="000000"/>
            </w:tcBorders>
            <w:hideMark/>
          </w:tcPr>
          <w:p w14:paraId="2EA28725" w14:textId="77777777" w:rsidR="005B1147" w:rsidRDefault="005B1147">
            <w:pPr>
              <w:pStyle w:val="BodyTextIndent"/>
              <w:tabs>
                <w:tab w:val="right" w:leader="dot" w:pos="9360"/>
              </w:tabs>
              <w:suppressAutoHyphens/>
              <w:ind w:left="0" w:right="720" w:firstLine="0"/>
              <w:jc w:val="center"/>
              <w:rPr>
                <w:sz w:val="20"/>
                <w:szCs w:val="20"/>
              </w:rPr>
            </w:pPr>
            <w:proofErr w:type="spellStart"/>
            <w:r>
              <w:rPr>
                <w:sz w:val="20"/>
                <w:szCs w:val="20"/>
              </w:rPr>
              <w:t>Est’d</w:t>
            </w:r>
            <w:proofErr w:type="spellEnd"/>
            <w:r>
              <w:rPr>
                <w:sz w:val="20"/>
                <w:szCs w:val="20"/>
              </w:rPr>
              <w:t xml:space="preserve"> Avg. Total Operation-al Cost per year per entity</w:t>
            </w:r>
          </w:p>
          <w:p w14:paraId="2C2751F0" w14:textId="77777777" w:rsidR="005B1147" w:rsidRDefault="005B1147">
            <w:pPr>
              <w:pStyle w:val="BodyTextIndent"/>
              <w:ind w:left="0" w:firstLine="0"/>
              <w:jc w:val="center"/>
              <w:rPr>
                <w:sz w:val="20"/>
                <w:szCs w:val="20"/>
              </w:rPr>
            </w:pPr>
            <w:r>
              <w:rPr>
                <w:sz w:val="20"/>
                <w:szCs w:val="20"/>
              </w:rPr>
              <w:t>($)</w:t>
            </w:r>
            <w:r>
              <w:rPr>
                <w:rStyle w:val="FootnoteReference"/>
                <w:sz w:val="20"/>
                <w:szCs w:val="20"/>
              </w:rPr>
              <w:footnoteReference w:id="15"/>
            </w:r>
          </w:p>
        </w:tc>
        <w:tc>
          <w:tcPr>
            <w:tcW w:w="411" w:type="pct"/>
            <w:tcBorders>
              <w:top w:val="single" w:sz="4" w:space="0" w:color="000000"/>
              <w:left w:val="single" w:sz="4" w:space="0" w:color="000000"/>
              <w:bottom w:val="single" w:sz="4" w:space="0" w:color="000000"/>
              <w:right w:val="single" w:sz="4" w:space="0" w:color="000000"/>
            </w:tcBorders>
            <w:hideMark/>
          </w:tcPr>
          <w:p w14:paraId="7B7F2034" w14:textId="77777777" w:rsidR="005B1147" w:rsidRDefault="005B1147">
            <w:pPr>
              <w:pStyle w:val="BodyTextIndent"/>
              <w:ind w:left="0" w:firstLine="0"/>
              <w:jc w:val="center"/>
              <w:rPr>
                <w:sz w:val="20"/>
                <w:szCs w:val="20"/>
              </w:rPr>
            </w:pPr>
            <w:proofErr w:type="spellStart"/>
            <w:r>
              <w:rPr>
                <w:sz w:val="20"/>
                <w:szCs w:val="20"/>
              </w:rPr>
              <w:t>Est’d</w:t>
            </w:r>
            <w:proofErr w:type="spellEnd"/>
            <w:r>
              <w:rPr>
                <w:sz w:val="20"/>
                <w:szCs w:val="20"/>
              </w:rPr>
              <w:t xml:space="preserve"> Annual Total</w:t>
            </w:r>
          </w:p>
          <w:p w14:paraId="570357AF" w14:textId="77777777" w:rsidR="005B1147" w:rsidRDefault="005B1147">
            <w:pPr>
              <w:pStyle w:val="BodyTextIndent"/>
              <w:ind w:left="0" w:firstLine="0"/>
              <w:jc w:val="center"/>
              <w:rPr>
                <w:sz w:val="20"/>
                <w:szCs w:val="20"/>
              </w:rPr>
            </w:pPr>
            <w:r>
              <w:rPr>
                <w:sz w:val="20"/>
                <w:szCs w:val="20"/>
              </w:rPr>
              <w:t>Cost per entity</w:t>
            </w:r>
          </w:p>
          <w:p w14:paraId="3647CAE3" w14:textId="77777777" w:rsidR="005B1147" w:rsidRDefault="005B1147">
            <w:pPr>
              <w:pStyle w:val="BodyTextIndent"/>
              <w:tabs>
                <w:tab w:val="right" w:leader="dot" w:pos="9360"/>
              </w:tabs>
              <w:suppressAutoHyphens/>
              <w:ind w:left="0" w:right="720" w:firstLine="0"/>
              <w:jc w:val="center"/>
              <w:rPr>
                <w:sz w:val="20"/>
                <w:szCs w:val="20"/>
              </w:rPr>
            </w:pPr>
            <w:r>
              <w:rPr>
                <w:sz w:val="20"/>
                <w:szCs w:val="20"/>
              </w:rPr>
              <w:t>($)</w:t>
            </w:r>
          </w:p>
        </w:tc>
        <w:tc>
          <w:tcPr>
            <w:tcW w:w="648" w:type="pct"/>
            <w:tcBorders>
              <w:top w:val="single" w:sz="4" w:space="0" w:color="000000"/>
              <w:left w:val="single" w:sz="4" w:space="0" w:color="000000"/>
              <w:bottom w:val="single" w:sz="4" w:space="0" w:color="000000"/>
              <w:right w:val="single" w:sz="4" w:space="0" w:color="000000"/>
            </w:tcBorders>
            <w:hideMark/>
          </w:tcPr>
          <w:p w14:paraId="7B3F3908" w14:textId="77777777" w:rsidR="005B1147" w:rsidRDefault="005B1147">
            <w:pPr>
              <w:pStyle w:val="BodyTextIndent"/>
              <w:tabs>
                <w:tab w:val="right" w:leader="dot" w:pos="9360"/>
              </w:tabs>
              <w:suppressAutoHyphens/>
              <w:ind w:left="0" w:right="720" w:firstLine="0"/>
              <w:jc w:val="center"/>
              <w:rPr>
                <w:sz w:val="20"/>
                <w:szCs w:val="20"/>
              </w:rPr>
            </w:pPr>
            <w:r>
              <w:rPr>
                <w:sz w:val="20"/>
                <w:szCs w:val="20"/>
              </w:rPr>
              <w:t xml:space="preserve">Estimated aggregate annual cost for Reporting or Public Dissemination </w:t>
            </w:r>
          </w:p>
          <w:p w14:paraId="437BEE8D" w14:textId="77777777" w:rsidR="005B1147" w:rsidRDefault="005B1147">
            <w:pPr>
              <w:pStyle w:val="BodyTextIndent"/>
              <w:ind w:left="0" w:firstLine="0"/>
              <w:jc w:val="center"/>
              <w:rPr>
                <w:sz w:val="20"/>
                <w:szCs w:val="20"/>
              </w:rPr>
            </w:pPr>
            <w:r>
              <w:rPr>
                <w:sz w:val="20"/>
                <w:szCs w:val="20"/>
              </w:rPr>
              <w:t>($)</w:t>
            </w:r>
          </w:p>
        </w:tc>
      </w:tr>
      <w:tr w:rsidR="005B1147" w14:paraId="591657C9" w14:textId="77777777" w:rsidTr="005B1147">
        <w:tc>
          <w:tcPr>
            <w:tcW w:w="367" w:type="pct"/>
            <w:tcBorders>
              <w:top w:val="single" w:sz="4" w:space="0" w:color="000000"/>
              <w:left w:val="single" w:sz="4" w:space="0" w:color="000000"/>
              <w:bottom w:val="single" w:sz="4" w:space="0" w:color="000000"/>
              <w:right w:val="single" w:sz="4" w:space="0" w:color="000000"/>
            </w:tcBorders>
            <w:hideMark/>
          </w:tcPr>
          <w:p w14:paraId="1108E954" w14:textId="77777777" w:rsidR="005B1147" w:rsidRDefault="005B1147">
            <w:pPr>
              <w:pStyle w:val="BodyTextIndent"/>
              <w:ind w:left="0" w:firstLine="0"/>
              <w:jc w:val="center"/>
              <w:rPr>
                <w:sz w:val="20"/>
                <w:szCs w:val="20"/>
              </w:rPr>
            </w:pPr>
            <w:r>
              <w:rPr>
                <w:sz w:val="20"/>
                <w:szCs w:val="20"/>
              </w:rPr>
              <w:t>15 SDRs</w:t>
            </w:r>
          </w:p>
        </w:tc>
        <w:tc>
          <w:tcPr>
            <w:tcW w:w="484" w:type="pct"/>
            <w:tcBorders>
              <w:top w:val="single" w:sz="4" w:space="0" w:color="000000"/>
              <w:left w:val="single" w:sz="4" w:space="0" w:color="000000"/>
              <w:bottom w:val="single" w:sz="4" w:space="0" w:color="000000"/>
              <w:right w:val="single" w:sz="4" w:space="0" w:color="000000"/>
            </w:tcBorders>
            <w:hideMark/>
          </w:tcPr>
          <w:p w14:paraId="1DEBFF7A" w14:textId="77777777" w:rsidR="005B1147" w:rsidRDefault="005B1147">
            <w:pPr>
              <w:pStyle w:val="BodyTextIndent"/>
              <w:ind w:left="0" w:firstLine="0"/>
              <w:jc w:val="center"/>
              <w:rPr>
                <w:sz w:val="20"/>
                <w:szCs w:val="20"/>
              </w:rPr>
            </w:pPr>
            <w:r>
              <w:rPr>
                <w:sz w:val="20"/>
                <w:szCs w:val="20"/>
              </w:rPr>
              <w:t>6,900</w:t>
            </w:r>
            <w:r>
              <w:rPr>
                <w:rStyle w:val="FootnoteReference"/>
                <w:sz w:val="20"/>
                <w:szCs w:val="20"/>
              </w:rPr>
              <w:footnoteReference w:id="16"/>
            </w:r>
          </w:p>
        </w:tc>
        <w:tc>
          <w:tcPr>
            <w:tcW w:w="471" w:type="pct"/>
            <w:tcBorders>
              <w:top w:val="single" w:sz="4" w:space="0" w:color="000000"/>
              <w:left w:val="single" w:sz="4" w:space="0" w:color="000000"/>
              <w:bottom w:val="single" w:sz="4" w:space="0" w:color="000000"/>
              <w:right w:val="single" w:sz="4" w:space="0" w:color="000000"/>
            </w:tcBorders>
            <w:hideMark/>
          </w:tcPr>
          <w:p w14:paraId="01B4BB7F" w14:textId="77777777" w:rsidR="005B1147" w:rsidRDefault="005B1147">
            <w:pPr>
              <w:pStyle w:val="BodyTextIndent"/>
              <w:ind w:left="0" w:firstLine="0"/>
              <w:jc w:val="center"/>
              <w:rPr>
                <w:sz w:val="20"/>
                <w:szCs w:val="20"/>
              </w:rPr>
            </w:pPr>
            <w:r>
              <w:rPr>
                <w:sz w:val="20"/>
                <w:szCs w:val="20"/>
              </w:rPr>
              <w:t>103,500</w:t>
            </w:r>
          </w:p>
        </w:tc>
        <w:tc>
          <w:tcPr>
            <w:tcW w:w="510" w:type="pct"/>
            <w:tcBorders>
              <w:top w:val="single" w:sz="4" w:space="0" w:color="000000"/>
              <w:left w:val="single" w:sz="4" w:space="0" w:color="000000"/>
              <w:bottom w:val="single" w:sz="4" w:space="0" w:color="000000"/>
              <w:right w:val="single" w:sz="4" w:space="0" w:color="000000"/>
            </w:tcBorders>
          </w:tcPr>
          <w:p w14:paraId="0D89B841" w14:textId="77777777" w:rsidR="005B1147" w:rsidRDefault="005B1147">
            <w:pPr>
              <w:jc w:val="center"/>
              <w:rPr>
                <w:rFonts w:ascii="Times New Roman" w:hAnsi="Times New Roman"/>
                <w:color w:val="000000"/>
                <w:sz w:val="20"/>
              </w:rPr>
            </w:pPr>
            <w:r>
              <w:rPr>
                <w:rFonts w:ascii="Times New Roman" w:hAnsi="Times New Roman"/>
                <w:color w:val="000000"/>
                <w:sz w:val="20"/>
              </w:rPr>
              <w:t>$20,255,210</w:t>
            </w:r>
          </w:p>
          <w:p w14:paraId="776E432B" w14:textId="77777777" w:rsidR="005B1147" w:rsidRDefault="005B1147">
            <w:pPr>
              <w:pStyle w:val="BodyTextIndent"/>
              <w:ind w:left="0" w:firstLine="0"/>
              <w:jc w:val="center"/>
              <w:rPr>
                <w:sz w:val="20"/>
                <w:szCs w:val="20"/>
              </w:rPr>
            </w:pPr>
          </w:p>
        </w:tc>
        <w:tc>
          <w:tcPr>
            <w:tcW w:w="431" w:type="pct"/>
            <w:gridSpan w:val="2"/>
            <w:tcBorders>
              <w:top w:val="single" w:sz="4" w:space="0" w:color="000000"/>
              <w:left w:val="single" w:sz="4" w:space="0" w:color="000000"/>
              <w:bottom w:val="single" w:sz="4" w:space="0" w:color="000000"/>
              <w:right w:val="single" w:sz="4" w:space="0" w:color="000000"/>
            </w:tcBorders>
            <w:hideMark/>
          </w:tcPr>
          <w:p w14:paraId="5C13CA3F" w14:textId="77777777" w:rsidR="005B1147" w:rsidRDefault="005B1147">
            <w:pPr>
              <w:pStyle w:val="BodyTextIndent"/>
              <w:ind w:left="0" w:firstLine="0"/>
              <w:jc w:val="center"/>
              <w:rPr>
                <w:sz w:val="20"/>
                <w:szCs w:val="20"/>
              </w:rPr>
            </w:pPr>
            <w:r>
              <w:rPr>
                <w:sz w:val="20"/>
                <w:szCs w:val="20"/>
              </w:rPr>
              <w:t>$300,000</w:t>
            </w:r>
          </w:p>
        </w:tc>
        <w:tc>
          <w:tcPr>
            <w:tcW w:w="485" w:type="pct"/>
            <w:tcBorders>
              <w:top w:val="single" w:sz="4" w:space="0" w:color="000000"/>
              <w:left w:val="single" w:sz="4" w:space="0" w:color="000000"/>
              <w:bottom w:val="single" w:sz="4" w:space="0" w:color="000000"/>
              <w:right w:val="single" w:sz="4" w:space="0" w:color="000000"/>
            </w:tcBorders>
            <w:hideMark/>
          </w:tcPr>
          <w:p w14:paraId="7E42B5DD" w14:textId="77777777" w:rsidR="005B1147" w:rsidRDefault="005B1147">
            <w:pPr>
              <w:pStyle w:val="BodyTextIndent"/>
              <w:ind w:left="0" w:firstLine="0"/>
              <w:jc w:val="center"/>
              <w:rPr>
                <w:sz w:val="20"/>
                <w:szCs w:val="20"/>
              </w:rPr>
            </w:pPr>
            <w:r>
              <w:rPr>
                <w:sz w:val="20"/>
                <w:szCs w:val="20"/>
              </w:rPr>
              <w:t>6</w:t>
            </w:r>
          </w:p>
        </w:tc>
        <w:tc>
          <w:tcPr>
            <w:tcW w:w="587" w:type="pct"/>
            <w:tcBorders>
              <w:top w:val="single" w:sz="4" w:space="0" w:color="000000"/>
              <w:left w:val="single" w:sz="4" w:space="0" w:color="000000"/>
              <w:bottom w:val="single" w:sz="4" w:space="0" w:color="000000"/>
              <w:right w:val="single" w:sz="4" w:space="0" w:color="000000"/>
            </w:tcBorders>
            <w:hideMark/>
          </w:tcPr>
          <w:p w14:paraId="6047DD76" w14:textId="77777777" w:rsidR="005B1147" w:rsidRDefault="005B1147">
            <w:pPr>
              <w:pStyle w:val="BodyTextIndent"/>
              <w:ind w:left="0" w:firstLine="0"/>
              <w:jc w:val="center"/>
              <w:rPr>
                <w:sz w:val="20"/>
                <w:szCs w:val="20"/>
              </w:rPr>
            </w:pPr>
            <w:r>
              <w:rPr>
                <w:sz w:val="20"/>
                <w:szCs w:val="20"/>
              </w:rPr>
              <w:t>$50,000</w:t>
            </w:r>
          </w:p>
        </w:tc>
        <w:tc>
          <w:tcPr>
            <w:tcW w:w="587" w:type="pct"/>
            <w:tcBorders>
              <w:top w:val="single" w:sz="4" w:space="0" w:color="000000"/>
              <w:left w:val="single" w:sz="4" w:space="0" w:color="000000"/>
              <w:bottom w:val="single" w:sz="4" w:space="0" w:color="000000"/>
              <w:right w:val="single" w:sz="4" w:space="0" w:color="000000"/>
            </w:tcBorders>
            <w:hideMark/>
          </w:tcPr>
          <w:p w14:paraId="4007F393" w14:textId="77777777" w:rsidR="005B1147" w:rsidRDefault="005B1147">
            <w:pPr>
              <w:pStyle w:val="BodyTextIndent"/>
              <w:ind w:left="0" w:firstLine="0"/>
              <w:jc w:val="center"/>
              <w:rPr>
                <w:sz w:val="20"/>
                <w:szCs w:val="20"/>
              </w:rPr>
            </w:pPr>
            <w:r>
              <w:rPr>
                <w:sz w:val="20"/>
                <w:szCs w:val="20"/>
              </w:rPr>
              <w:t>$150,000</w:t>
            </w:r>
          </w:p>
        </w:tc>
        <w:tc>
          <w:tcPr>
            <w:tcW w:w="411" w:type="pct"/>
            <w:tcBorders>
              <w:top w:val="single" w:sz="4" w:space="0" w:color="000000"/>
              <w:left w:val="single" w:sz="4" w:space="0" w:color="000000"/>
              <w:bottom w:val="single" w:sz="4" w:space="0" w:color="000000"/>
              <w:right w:val="single" w:sz="4" w:space="0" w:color="000000"/>
            </w:tcBorders>
            <w:hideMark/>
          </w:tcPr>
          <w:p w14:paraId="0C1823F9" w14:textId="77777777" w:rsidR="005B1147" w:rsidRDefault="005B1147">
            <w:pPr>
              <w:pStyle w:val="BodyTextIndent"/>
              <w:ind w:left="0" w:firstLine="0"/>
              <w:jc w:val="center"/>
              <w:rPr>
                <w:sz w:val="20"/>
                <w:szCs w:val="20"/>
              </w:rPr>
            </w:pPr>
            <w:r>
              <w:rPr>
                <w:sz w:val="20"/>
                <w:szCs w:val="20"/>
              </w:rPr>
              <w:t>$200,000</w:t>
            </w:r>
          </w:p>
        </w:tc>
        <w:tc>
          <w:tcPr>
            <w:tcW w:w="648" w:type="pct"/>
            <w:tcBorders>
              <w:top w:val="single" w:sz="4" w:space="0" w:color="000000"/>
              <w:left w:val="single" w:sz="4" w:space="0" w:color="000000"/>
              <w:bottom w:val="single" w:sz="4" w:space="0" w:color="000000"/>
              <w:right w:val="single" w:sz="4" w:space="0" w:color="000000"/>
            </w:tcBorders>
            <w:hideMark/>
          </w:tcPr>
          <w:p w14:paraId="1528CB92" w14:textId="77777777" w:rsidR="005B1147" w:rsidRDefault="005B1147">
            <w:pPr>
              <w:pStyle w:val="BodyTextIndent"/>
              <w:ind w:left="0" w:firstLine="0"/>
              <w:jc w:val="center"/>
              <w:rPr>
                <w:sz w:val="20"/>
                <w:szCs w:val="20"/>
              </w:rPr>
            </w:pPr>
            <w:r>
              <w:rPr>
                <w:sz w:val="20"/>
                <w:szCs w:val="20"/>
              </w:rPr>
              <w:t xml:space="preserve">  $23,255,210</w:t>
            </w:r>
          </w:p>
        </w:tc>
      </w:tr>
      <w:tr w:rsidR="005B1147" w14:paraId="7D191CB6" w14:textId="77777777" w:rsidTr="005B1147">
        <w:tc>
          <w:tcPr>
            <w:tcW w:w="367" w:type="pct"/>
            <w:tcBorders>
              <w:top w:val="single" w:sz="4" w:space="0" w:color="000000"/>
              <w:left w:val="single" w:sz="4" w:space="0" w:color="000000"/>
              <w:bottom w:val="single" w:sz="4" w:space="0" w:color="000000"/>
              <w:right w:val="single" w:sz="4" w:space="0" w:color="000000"/>
            </w:tcBorders>
            <w:hideMark/>
          </w:tcPr>
          <w:p w14:paraId="49329941" w14:textId="77777777" w:rsidR="005B1147" w:rsidRDefault="005B1147">
            <w:pPr>
              <w:pStyle w:val="BodyTextIndent"/>
              <w:ind w:left="0" w:firstLine="0"/>
              <w:jc w:val="center"/>
              <w:rPr>
                <w:sz w:val="20"/>
                <w:szCs w:val="20"/>
              </w:rPr>
            </w:pPr>
            <w:r>
              <w:rPr>
                <w:sz w:val="20"/>
                <w:szCs w:val="20"/>
              </w:rPr>
              <w:t>125</w:t>
            </w:r>
            <w:r>
              <w:rPr>
                <w:rStyle w:val="FootnoteReference"/>
                <w:sz w:val="20"/>
                <w:szCs w:val="20"/>
              </w:rPr>
              <w:footnoteReference w:id="17"/>
            </w:r>
            <w:r>
              <w:rPr>
                <w:sz w:val="20"/>
                <w:szCs w:val="20"/>
              </w:rPr>
              <w:t xml:space="preserve"> SDs/MSPs</w:t>
            </w:r>
          </w:p>
        </w:tc>
        <w:tc>
          <w:tcPr>
            <w:tcW w:w="484" w:type="pct"/>
            <w:tcBorders>
              <w:top w:val="single" w:sz="4" w:space="0" w:color="000000"/>
              <w:left w:val="single" w:sz="4" w:space="0" w:color="000000"/>
              <w:bottom w:val="single" w:sz="4" w:space="0" w:color="000000"/>
              <w:right w:val="single" w:sz="4" w:space="0" w:color="000000"/>
            </w:tcBorders>
            <w:hideMark/>
          </w:tcPr>
          <w:p w14:paraId="352E2749" w14:textId="77777777" w:rsidR="005B1147" w:rsidRDefault="005B1147">
            <w:pPr>
              <w:pStyle w:val="BodyTextIndent"/>
              <w:ind w:left="0" w:firstLine="0"/>
              <w:jc w:val="center"/>
              <w:rPr>
                <w:sz w:val="20"/>
                <w:szCs w:val="20"/>
              </w:rPr>
            </w:pPr>
            <w:r>
              <w:rPr>
                <w:sz w:val="20"/>
                <w:szCs w:val="20"/>
              </w:rPr>
              <w:t>2,080</w:t>
            </w:r>
          </w:p>
        </w:tc>
        <w:tc>
          <w:tcPr>
            <w:tcW w:w="471" w:type="pct"/>
            <w:tcBorders>
              <w:top w:val="single" w:sz="4" w:space="0" w:color="000000"/>
              <w:left w:val="single" w:sz="4" w:space="0" w:color="000000"/>
              <w:bottom w:val="single" w:sz="4" w:space="0" w:color="000000"/>
              <w:right w:val="single" w:sz="4" w:space="0" w:color="000000"/>
            </w:tcBorders>
            <w:hideMark/>
          </w:tcPr>
          <w:p w14:paraId="46A5D8BC" w14:textId="77777777" w:rsidR="005B1147" w:rsidRDefault="005B1147">
            <w:pPr>
              <w:pStyle w:val="BodyTextIndent"/>
              <w:ind w:left="0" w:firstLine="0"/>
              <w:jc w:val="center"/>
              <w:rPr>
                <w:sz w:val="20"/>
                <w:szCs w:val="20"/>
              </w:rPr>
            </w:pPr>
            <w:r>
              <w:rPr>
                <w:sz w:val="20"/>
                <w:szCs w:val="20"/>
              </w:rPr>
              <w:t xml:space="preserve"> 260,000</w:t>
            </w:r>
          </w:p>
        </w:tc>
        <w:tc>
          <w:tcPr>
            <w:tcW w:w="510" w:type="pct"/>
            <w:tcBorders>
              <w:top w:val="single" w:sz="4" w:space="0" w:color="000000"/>
              <w:left w:val="single" w:sz="4" w:space="0" w:color="000000"/>
              <w:bottom w:val="single" w:sz="4" w:space="0" w:color="000000"/>
              <w:right w:val="single" w:sz="4" w:space="0" w:color="000000"/>
            </w:tcBorders>
            <w:hideMark/>
          </w:tcPr>
          <w:p w14:paraId="63788D7F" w14:textId="77777777" w:rsidR="005B1147" w:rsidRDefault="005B1147">
            <w:pPr>
              <w:pStyle w:val="BodyTextIndent"/>
              <w:ind w:left="0" w:firstLine="0"/>
              <w:jc w:val="center"/>
              <w:rPr>
                <w:sz w:val="20"/>
                <w:szCs w:val="20"/>
              </w:rPr>
            </w:pPr>
            <w:r>
              <w:rPr>
                <w:color w:val="000000"/>
                <w:sz w:val="20"/>
                <w:szCs w:val="20"/>
              </w:rPr>
              <w:t xml:space="preserve"> $28,891,383</w:t>
            </w:r>
          </w:p>
        </w:tc>
        <w:tc>
          <w:tcPr>
            <w:tcW w:w="431" w:type="pct"/>
            <w:gridSpan w:val="2"/>
            <w:tcBorders>
              <w:top w:val="single" w:sz="4" w:space="0" w:color="000000"/>
              <w:left w:val="single" w:sz="4" w:space="0" w:color="000000"/>
              <w:bottom w:val="single" w:sz="4" w:space="0" w:color="000000"/>
              <w:right w:val="single" w:sz="4" w:space="0" w:color="000000"/>
            </w:tcBorders>
            <w:hideMark/>
          </w:tcPr>
          <w:p w14:paraId="22D91BE1" w14:textId="77777777" w:rsidR="005B1147" w:rsidRDefault="005B1147">
            <w:pPr>
              <w:pStyle w:val="BodyTextIndent"/>
              <w:ind w:left="0" w:firstLine="0"/>
              <w:jc w:val="center"/>
              <w:rPr>
                <w:sz w:val="20"/>
                <w:szCs w:val="20"/>
              </w:rPr>
            </w:pPr>
            <w:r>
              <w:rPr>
                <w:sz w:val="20"/>
                <w:szCs w:val="20"/>
              </w:rPr>
              <w:t>$300,000</w:t>
            </w:r>
          </w:p>
        </w:tc>
        <w:tc>
          <w:tcPr>
            <w:tcW w:w="485" w:type="pct"/>
            <w:tcBorders>
              <w:top w:val="single" w:sz="4" w:space="0" w:color="000000"/>
              <w:left w:val="single" w:sz="4" w:space="0" w:color="000000"/>
              <w:bottom w:val="single" w:sz="4" w:space="0" w:color="000000"/>
              <w:right w:val="single" w:sz="4" w:space="0" w:color="000000"/>
            </w:tcBorders>
            <w:hideMark/>
          </w:tcPr>
          <w:p w14:paraId="7E0F38F0" w14:textId="77777777" w:rsidR="005B1147" w:rsidRDefault="005B1147">
            <w:pPr>
              <w:pStyle w:val="BodyTextIndent"/>
              <w:ind w:left="0" w:firstLine="0"/>
              <w:jc w:val="center"/>
              <w:rPr>
                <w:sz w:val="20"/>
                <w:szCs w:val="20"/>
              </w:rPr>
            </w:pPr>
            <w:r>
              <w:rPr>
                <w:sz w:val="20"/>
                <w:szCs w:val="20"/>
              </w:rPr>
              <w:t>6</w:t>
            </w:r>
          </w:p>
        </w:tc>
        <w:tc>
          <w:tcPr>
            <w:tcW w:w="587" w:type="pct"/>
            <w:tcBorders>
              <w:top w:val="single" w:sz="4" w:space="0" w:color="000000"/>
              <w:left w:val="single" w:sz="4" w:space="0" w:color="000000"/>
              <w:bottom w:val="single" w:sz="4" w:space="0" w:color="000000"/>
              <w:right w:val="single" w:sz="4" w:space="0" w:color="000000"/>
            </w:tcBorders>
            <w:hideMark/>
          </w:tcPr>
          <w:p w14:paraId="290843DA" w14:textId="77777777" w:rsidR="005B1147" w:rsidRDefault="005B1147">
            <w:pPr>
              <w:pStyle w:val="BodyTextIndent"/>
              <w:ind w:left="0" w:firstLine="0"/>
              <w:jc w:val="center"/>
              <w:rPr>
                <w:sz w:val="20"/>
                <w:szCs w:val="20"/>
              </w:rPr>
            </w:pPr>
            <w:r>
              <w:rPr>
                <w:sz w:val="20"/>
                <w:szCs w:val="20"/>
              </w:rPr>
              <w:t>$50,000</w:t>
            </w:r>
          </w:p>
        </w:tc>
        <w:tc>
          <w:tcPr>
            <w:tcW w:w="587" w:type="pct"/>
            <w:tcBorders>
              <w:top w:val="single" w:sz="4" w:space="0" w:color="000000"/>
              <w:left w:val="single" w:sz="4" w:space="0" w:color="000000"/>
              <w:bottom w:val="single" w:sz="4" w:space="0" w:color="000000"/>
              <w:right w:val="single" w:sz="4" w:space="0" w:color="000000"/>
            </w:tcBorders>
            <w:hideMark/>
          </w:tcPr>
          <w:p w14:paraId="3D1FD4FE" w14:textId="77777777" w:rsidR="005B1147" w:rsidRDefault="005B1147">
            <w:pPr>
              <w:pStyle w:val="BodyTextIndent"/>
              <w:ind w:left="0" w:firstLine="0"/>
              <w:jc w:val="center"/>
              <w:rPr>
                <w:sz w:val="20"/>
                <w:szCs w:val="20"/>
              </w:rPr>
            </w:pPr>
            <w:r>
              <w:rPr>
                <w:sz w:val="20"/>
                <w:szCs w:val="20"/>
              </w:rPr>
              <w:t>$150,000</w:t>
            </w:r>
          </w:p>
        </w:tc>
        <w:tc>
          <w:tcPr>
            <w:tcW w:w="411" w:type="pct"/>
            <w:tcBorders>
              <w:top w:val="single" w:sz="4" w:space="0" w:color="000000"/>
              <w:left w:val="single" w:sz="4" w:space="0" w:color="000000"/>
              <w:bottom w:val="single" w:sz="4" w:space="0" w:color="000000"/>
              <w:right w:val="single" w:sz="4" w:space="0" w:color="000000"/>
            </w:tcBorders>
            <w:hideMark/>
          </w:tcPr>
          <w:p w14:paraId="093AE31A" w14:textId="77777777" w:rsidR="005B1147" w:rsidRDefault="005B1147">
            <w:pPr>
              <w:pStyle w:val="BodyTextIndent"/>
              <w:ind w:left="0" w:firstLine="0"/>
              <w:jc w:val="center"/>
              <w:rPr>
                <w:sz w:val="20"/>
                <w:szCs w:val="20"/>
              </w:rPr>
            </w:pPr>
            <w:r>
              <w:rPr>
                <w:sz w:val="20"/>
                <w:szCs w:val="20"/>
              </w:rPr>
              <w:t>$200,000</w:t>
            </w:r>
          </w:p>
        </w:tc>
        <w:tc>
          <w:tcPr>
            <w:tcW w:w="648" w:type="pct"/>
            <w:tcBorders>
              <w:top w:val="single" w:sz="4" w:space="0" w:color="000000"/>
              <w:left w:val="single" w:sz="4" w:space="0" w:color="000000"/>
              <w:bottom w:val="single" w:sz="4" w:space="0" w:color="000000"/>
              <w:right w:val="single" w:sz="4" w:space="0" w:color="000000"/>
            </w:tcBorders>
            <w:hideMark/>
          </w:tcPr>
          <w:p w14:paraId="33271338" w14:textId="77777777" w:rsidR="005B1147" w:rsidRDefault="005B1147">
            <w:pPr>
              <w:pStyle w:val="BodyTextIndent"/>
              <w:ind w:left="0" w:firstLine="0"/>
              <w:jc w:val="center"/>
              <w:rPr>
                <w:sz w:val="20"/>
                <w:szCs w:val="20"/>
              </w:rPr>
            </w:pPr>
            <w:r>
              <w:rPr>
                <w:sz w:val="20"/>
                <w:szCs w:val="20"/>
              </w:rPr>
              <w:t xml:space="preserve">   $53,891,383</w:t>
            </w:r>
          </w:p>
        </w:tc>
      </w:tr>
      <w:tr w:rsidR="005B1147" w14:paraId="1A4967C5" w14:textId="77777777" w:rsidTr="005B1147">
        <w:tc>
          <w:tcPr>
            <w:tcW w:w="367" w:type="pct"/>
            <w:tcBorders>
              <w:top w:val="single" w:sz="4" w:space="0" w:color="000000"/>
              <w:left w:val="single" w:sz="4" w:space="0" w:color="000000"/>
              <w:bottom w:val="single" w:sz="4" w:space="0" w:color="000000"/>
              <w:right w:val="single" w:sz="4" w:space="0" w:color="000000"/>
            </w:tcBorders>
            <w:hideMark/>
          </w:tcPr>
          <w:p w14:paraId="476F7C5C" w14:textId="77777777" w:rsidR="005B1147" w:rsidRDefault="005B1147">
            <w:pPr>
              <w:pStyle w:val="BodyTextIndent"/>
              <w:ind w:left="0" w:firstLine="0"/>
              <w:jc w:val="center"/>
              <w:rPr>
                <w:sz w:val="20"/>
                <w:szCs w:val="20"/>
              </w:rPr>
            </w:pPr>
            <w:r>
              <w:rPr>
                <w:sz w:val="20"/>
                <w:szCs w:val="20"/>
              </w:rPr>
              <w:lastRenderedPageBreak/>
              <w:t>40 SEFs</w:t>
            </w:r>
          </w:p>
        </w:tc>
        <w:tc>
          <w:tcPr>
            <w:tcW w:w="484" w:type="pct"/>
            <w:tcBorders>
              <w:top w:val="single" w:sz="4" w:space="0" w:color="000000"/>
              <w:left w:val="single" w:sz="4" w:space="0" w:color="000000"/>
              <w:bottom w:val="single" w:sz="4" w:space="0" w:color="000000"/>
              <w:right w:val="single" w:sz="4" w:space="0" w:color="000000"/>
            </w:tcBorders>
            <w:hideMark/>
          </w:tcPr>
          <w:p w14:paraId="1B02B435" w14:textId="77777777" w:rsidR="005B1147" w:rsidRDefault="005B1147">
            <w:pPr>
              <w:pStyle w:val="BodyTextIndent"/>
              <w:ind w:left="0" w:firstLine="0"/>
              <w:jc w:val="center"/>
              <w:rPr>
                <w:sz w:val="20"/>
                <w:szCs w:val="20"/>
              </w:rPr>
            </w:pPr>
            <w:r>
              <w:rPr>
                <w:sz w:val="20"/>
                <w:szCs w:val="20"/>
              </w:rPr>
              <w:t>2,080</w:t>
            </w:r>
          </w:p>
        </w:tc>
        <w:tc>
          <w:tcPr>
            <w:tcW w:w="471" w:type="pct"/>
            <w:tcBorders>
              <w:top w:val="single" w:sz="4" w:space="0" w:color="000000"/>
              <w:left w:val="single" w:sz="4" w:space="0" w:color="000000"/>
              <w:bottom w:val="single" w:sz="4" w:space="0" w:color="000000"/>
              <w:right w:val="single" w:sz="4" w:space="0" w:color="000000"/>
            </w:tcBorders>
            <w:hideMark/>
          </w:tcPr>
          <w:p w14:paraId="51C8267A" w14:textId="77777777" w:rsidR="005B1147" w:rsidRDefault="005B1147">
            <w:pPr>
              <w:pStyle w:val="BodyTextIndent"/>
              <w:ind w:left="0" w:firstLine="0"/>
              <w:jc w:val="center"/>
              <w:rPr>
                <w:sz w:val="20"/>
                <w:szCs w:val="20"/>
              </w:rPr>
            </w:pPr>
            <w:r>
              <w:rPr>
                <w:sz w:val="20"/>
                <w:szCs w:val="20"/>
              </w:rPr>
              <w:t>83,200</w:t>
            </w:r>
          </w:p>
        </w:tc>
        <w:tc>
          <w:tcPr>
            <w:tcW w:w="510" w:type="pct"/>
            <w:tcBorders>
              <w:top w:val="single" w:sz="4" w:space="0" w:color="000000"/>
              <w:left w:val="single" w:sz="4" w:space="0" w:color="000000"/>
              <w:bottom w:val="single" w:sz="4" w:space="0" w:color="000000"/>
              <w:right w:val="single" w:sz="4" w:space="0" w:color="000000"/>
            </w:tcBorders>
            <w:hideMark/>
          </w:tcPr>
          <w:p w14:paraId="0678EC44" w14:textId="77777777" w:rsidR="005B1147" w:rsidRDefault="005B1147">
            <w:pPr>
              <w:pStyle w:val="BodyTextIndent"/>
              <w:ind w:left="0" w:firstLine="0"/>
              <w:jc w:val="center"/>
              <w:rPr>
                <w:sz w:val="20"/>
                <w:szCs w:val="20"/>
              </w:rPr>
            </w:pPr>
            <w:r>
              <w:rPr>
                <w:color w:val="000000"/>
                <w:sz w:val="20"/>
                <w:szCs w:val="20"/>
              </w:rPr>
              <w:t xml:space="preserve">$9,245,242 </w:t>
            </w:r>
          </w:p>
        </w:tc>
        <w:tc>
          <w:tcPr>
            <w:tcW w:w="431" w:type="pct"/>
            <w:gridSpan w:val="2"/>
            <w:tcBorders>
              <w:top w:val="single" w:sz="4" w:space="0" w:color="000000"/>
              <w:left w:val="single" w:sz="4" w:space="0" w:color="000000"/>
              <w:bottom w:val="single" w:sz="4" w:space="0" w:color="000000"/>
              <w:right w:val="single" w:sz="4" w:space="0" w:color="000000"/>
            </w:tcBorders>
            <w:hideMark/>
          </w:tcPr>
          <w:p w14:paraId="680CAD4A" w14:textId="77777777" w:rsidR="005B1147" w:rsidRDefault="005B1147">
            <w:pPr>
              <w:pStyle w:val="BodyTextIndent"/>
              <w:ind w:left="0" w:firstLine="0"/>
              <w:jc w:val="center"/>
              <w:rPr>
                <w:sz w:val="20"/>
                <w:szCs w:val="20"/>
              </w:rPr>
            </w:pPr>
            <w:r>
              <w:rPr>
                <w:sz w:val="20"/>
                <w:szCs w:val="20"/>
              </w:rPr>
              <w:t>$300,000</w:t>
            </w:r>
          </w:p>
        </w:tc>
        <w:tc>
          <w:tcPr>
            <w:tcW w:w="485" w:type="pct"/>
            <w:tcBorders>
              <w:top w:val="single" w:sz="4" w:space="0" w:color="000000"/>
              <w:left w:val="single" w:sz="4" w:space="0" w:color="000000"/>
              <w:bottom w:val="single" w:sz="4" w:space="0" w:color="000000"/>
              <w:right w:val="single" w:sz="4" w:space="0" w:color="000000"/>
            </w:tcBorders>
            <w:hideMark/>
          </w:tcPr>
          <w:p w14:paraId="4960DFC0" w14:textId="77777777" w:rsidR="005B1147" w:rsidRDefault="005B1147">
            <w:pPr>
              <w:pStyle w:val="BodyTextIndent"/>
              <w:ind w:left="0" w:firstLine="0"/>
              <w:jc w:val="center"/>
              <w:rPr>
                <w:sz w:val="20"/>
                <w:szCs w:val="20"/>
              </w:rPr>
            </w:pPr>
            <w:r>
              <w:rPr>
                <w:sz w:val="20"/>
                <w:szCs w:val="20"/>
              </w:rPr>
              <w:t>6</w:t>
            </w:r>
          </w:p>
        </w:tc>
        <w:tc>
          <w:tcPr>
            <w:tcW w:w="587" w:type="pct"/>
            <w:tcBorders>
              <w:top w:val="single" w:sz="4" w:space="0" w:color="000000"/>
              <w:left w:val="single" w:sz="4" w:space="0" w:color="000000"/>
              <w:bottom w:val="single" w:sz="4" w:space="0" w:color="000000"/>
              <w:right w:val="single" w:sz="4" w:space="0" w:color="000000"/>
            </w:tcBorders>
            <w:hideMark/>
          </w:tcPr>
          <w:p w14:paraId="2474A9DC" w14:textId="77777777" w:rsidR="005B1147" w:rsidRDefault="005B1147">
            <w:pPr>
              <w:pStyle w:val="BodyTextIndent"/>
              <w:ind w:left="0" w:firstLine="0"/>
              <w:jc w:val="center"/>
              <w:rPr>
                <w:sz w:val="20"/>
                <w:szCs w:val="20"/>
              </w:rPr>
            </w:pPr>
            <w:r>
              <w:rPr>
                <w:sz w:val="20"/>
                <w:szCs w:val="20"/>
              </w:rPr>
              <w:t>$50,000</w:t>
            </w:r>
          </w:p>
        </w:tc>
        <w:tc>
          <w:tcPr>
            <w:tcW w:w="587" w:type="pct"/>
            <w:tcBorders>
              <w:top w:val="single" w:sz="4" w:space="0" w:color="000000"/>
              <w:left w:val="single" w:sz="4" w:space="0" w:color="000000"/>
              <w:bottom w:val="single" w:sz="4" w:space="0" w:color="000000"/>
              <w:right w:val="single" w:sz="4" w:space="0" w:color="000000"/>
            </w:tcBorders>
            <w:hideMark/>
          </w:tcPr>
          <w:p w14:paraId="2AA51FFC" w14:textId="77777777" w:rsidR="005B1147" w:rsidRDefault="005B1147">
            <w:pPr>
              <w:pStyle w:val="BodyTextIndent"/>
              <w:ind w:left="0" w:firstLine="0"/>
              <w:jc w:val="center"/>
              <w:rPr>
                <w:sz w:val="20"/>
                <w:szCs w:val="20"/>
              </w:rPr>
            </w:pPr>
            <w:r>
              <w:rPr>
                <w:sz w:val="20"/>
                <w:szCs w:val="20"/>
              </w:rPr>
              <w:t>$150,000</w:t>
            </w:r>
          </w:p>
        </w:tc>
        <w:tc>
          <w:tcPr>
            <w:tcW w:w="411" w:type="pct"/>
            <w:tcBorders>
              <w:top w:val="single" w:sz="4" w:space="0" w:color="000000"/>
              <w:left w:val="single" w:sz="4" w:space="0" w:color="000000"/>
              <w:bottom w:val="single" w:sz="4" w:space="0" w:color="000000"/>
              <w:right w:val="single" w:sz="4" w:space="0" w:color="000000"/>
            </w:tcBorders>
            <w:hideMark/>
          </w:tcPr>
          <w:p w14:paraId="1BC8CFD4" w14:textId="77777777" w:rsidR="005B1147" w:rsidRDefault="005B1147">
            <w:pPr>
              <w:pStyle w:val="BodyTextIndent"/>
              <w:ind w:left="0" w:firstLine="0"/>
              <w:jc w:val="center"/>
              <w:rPr>
                <w:sz w:val="20"/>
                <w:szCs w:val="20"/>
              </w:rPr>
            </w:pPr>
            <w:r>
              <w:rPr>
                <w:sz w:val="20"/>
                <w:szCs w:val="20"/>
              </w:rPr>
              <w:t>$200,000</w:t>
            </w:r>
          </w:p>
        </w:tc>
        <w:tc>
          <w:tcPr>
            <w:tcW w:w="648" w:type="pct"/>
            <w:tcBorders>
              <w:top w:val="single" w:sz="4" w:space="0" w:color="000000"/>
              <w:left w:val="single" w:sz="4" w:space="0" w:color="000000"/>
              <w:bottom w:val="single" w:sz="4" w:space="0" w:color="000000"/>
              <w:right w:val="single" w:sz="4" w:space="0" w:color="000000"/>
            </w:tcBorders>
            <w:hideMark/>
          </w:tcPr>
          <w:p w14:paraId="01D9C439" w14:textId="77777777" w:rsidR="005B1147" w:rsidRDefault="005B1147">
            <w:pPr>
              <w:pStyle w:val="BodyTextIndent"/>
              <w:ind w:left="0" w:firstLine="0"/>
              <w:jc w:val="center"/>
              <w:rPr>
                <w:sz w:val="20"/>
                <w:szCs w:val="20"/>
              </w:rPr>
            </w:pPr>
            <w:r>
              <w:rPr>
                <w:sz w:val="20"/>
                <w:szCs w:val="20"/>
              </w:rPr>
              <w:t xml:space="preserve"> $17,245,242</w:t>
            </w:r>
          </w:p>
        </w:tc>
      </w:tr>
      <w:tr w:rsidR="005B1147" w14:paraId="5B652FFE" w14:textId="77777777" w:rsidTr="005B1147">
        <w:tc>
          <w:tcPr>
            <w:tcW w:w="367" w:type="pct"/>
            <w:tcBorders>
              <w:top w:val="single" w:sz="4" w:space="0" w:color="000000"/>
              <w:left w:val="single" w:sz="4" w:space="0" w:color="000000"/>
              <w:bottom w:val="single" w:sz="4" w:space="0" w:color="000000"/>
              <w:right w:val="single" w:sz="4" w:space="0" w:color="000000"/>
            </w:tcBorders>
            <w:hideMark/>
          </w:tcPr>
          <w:p w14:paraId="0D1EB8BA" w14:textId="77777777" w:rsidR="005B1147" w:rsidRDefault="005B1147">
            <w:pPr>
              <w:pStyle w:val="BodyTextIndent"/>
              <w:ind w:left="0" w:firstLine="0"/>
              <w:jc w:val="center"/>
              <w:rPr>
                <w:sz w:val="20"/>
                <w:szCs w:val="20"/>
              </w:rPr>
            </w:pPr>
            <w:r>
              <w:rPr>
                <w:sz w:val="20"/>
                <w:szCs w:val="20"/>
              </w:rPr>
              <w:t>18DCMs</w:t>
            </w:r>
            <w:r>
              <w:rPr>
                <w:rStyle w:val="FootnoteReference"/>
                <w:sz w:val="20"/>
                <w:szCs w:val="20"/>
              </w:rPr>
              <w:footnoteReference w:id="18"/>
            </w:r>
          </w:p>
        </w:tc>
        <w:tc>
          <w:tcPr>
            <w:tcW w:w="484" w:type="pct"/>
            <w:tcBorders>
              <w:top w:val="single" w:sz="4" w:space="0" w:color="000000"/>
              <w:left w:val="single" w:sz="4" w:space="0" w:color="000000"/>
              <w:bottom w:val="single" w:sz="4" w:space="0" w:color="000000"/>
              <w:right w:val="single" w:sz="4" w:space="0" w:color="000000"/>
            </w:tcBorders>
            <w:hideMark/>
          </w:tcPr>
          <w:p w14:paraId="6EA17EF9" w14:textId="77777777" w:rsidR="005B1147" w:rsidRDefault="005B1147">
            <w:pPr>
              <w:pStyle w:val="BodyTextIndent"/>
              <w:ind w:left="0" w:firstLine="0"/>
              <w:jc w:val="center"/>
              <w:rPr>
                <w:sz w:val="20"/>
                <w:szCs w:val="20"/>
              </w:rPr>
            </w:pPr>
            <w:r>
              <w:rPr>
                <w:sz w:val="20"/>
                <w:szCs w:val="20"/>
              </w:rPr>
              <w:t>2,080</w:t>
            </w:r>
          </w:p>
        </w:tc>
        <w:tc>
          <w:tcPr>
            <w:tcW w:w="471" w:type="pct"/>
            <w:tcBorders>
              <w:top w:val="single" w:sz="4" w:space="0" w:color="000000"/>
              <w:left w:val="single" w:sz="4" w:space="0" w:color="000000"/>
              <w:bottom w:val="single" w:sz="4" w:space="0" w:color="000000"/>
              <w:right w:val="single" w:sz="4" w:space="0" w:color="000000"/>
            </w:tcBorders>
            <w:hideMark/>
          </w:tcPr>
          <w:p w14:paraId="44911AA1" w14:textId="77777777" w:rsidR="005B1147" w:rsidRDefault="005B1147">
            <w:pPr>
              <w:pStyle w:val="BodyTextIndent"/>
              <w:ind w:left="0" w:firstLine="0"/>
              <w:jc w:val="center"/>
              <w:rPr>
                <w:sz w:val="20"/>
                <w:szCs w:val="20"/>
              </w:rPr>
            </w:pPr>
            <w:r>
              <w:rPr>
                <w:sz w:val="20"/>
                <w:szCs w:val="20"/>
              </w:rPr>
              <w:t>37,440</w:t>
            </w:r>
          </w:p>
        </w:tc>
        <w:tc>
          <w:tcPr>
            <w:tcW w:w="510" w:type="pct"/>
            <w:tcBorders>
              <w:top w:val="single" w:sz="4" w:space="0" w:color="000000"/>
              <w:left w:val="single" w:sz="4" w:space="0" w:color="000000"/>
              <w:bottom w:val="single" w:sz="4" w:space="0" w:color="000000"/>
              <w:right w:val="single" w:sz="4" w:space="0" w:color="000000"/>
            </w:tcBorders>
            <w:hideMark/>
          </w:tcPr>
          <w:p w14:paraId="0DB77C37" w14:textId="77777777" w:rsidR="005B1147" w:rsidRDefault="005B1147">
            <w:pPr>
              <w:pStyle w:val="BodyTextIndent"/>
              <w:ind w:left="0" w:firstLine="0"/>
              <w:jc w:val="center"/>
              <w:rPr>
                <w:sz w:val="20"/>
                <w:szCs w:val="20"/>
              </w:rPr>
            </w:pPr>
            <w:r>
              <w:rPr>
                <w:color w:val="000000"/>
                <w:sz w:val="20"/>
                <w:szCs w:val="20"/>
              </w:rPr>
              <w:t xml:space="preserve">$4,160,359 </w:t>
            </w:r>
          </w:p>
        </w:tc>
        <w:tc>
          <w:tcPr>
            <w:tcW w:w="431" w:type="pct"/>
            <w:gridSpan w:val="2"/>
            <w:tcBorders>
              <w:top w:val="single" w:sz="4" w:space="0" w:color="000000"/>
              <w:left w:val="single" w:sz="4" w:space="0" w:color="000000"/>
              <w:bottom w:val="single" w:sz="4" w:space="0" w:color="000000"/>
              <w:right w:val="single" w:sz="4" w:space="0" w:color="000000"/>
            </w:tcBorders>
            <w:hideMark/>
          </w:tcPr>
          <w:p w14:paraId="532508C5" w14:textId="77777777" w:rsidR="005B1147" w:rsidRDefault="005B1147">
            <w:pPr>
              <w:pStyle w:val="BodyTextIndent"/>
              <w:ind w:left="0" w:firstLine="0"/>
              <w:jc w:val="center"/>
              <w:rPr>
                <w:sz w:val="20"/>
                <w:szCs w:val="20"/>
              </w:rPr>
            </w:pPr>
            <w:r>
              <w:rPr>
                <w:sz w:val="20"/>
                <w:szCs w:val="20"/>
              </w:rPr>
              <w:t>$300,000</w:t>
            </w:r>
          </w:p>
        </w:tc>
        <w:tc>
          <w:tcPr>
            <w:tcW w:w="485" w:type="pct"/>
            <w:tcBorders>
              <w:top w:val="single" w:sz="4" w:space="0" w:color="000000"/>
              <w:left w:val="single" w:sz="4" w:space="0" w:color="000000"/>
              <w:bottom w:val="single" w:sz="4" w:space="0" w:color="000000"/>
              <w:right w:val="single" w:sz="4" w:space="0" w:color="000000"/>
            </w:tcBorders>
            <w:hideMark/>
          </w:tcPr>
          <w:p w14:paraId="4ECE4FA6" w14:textId="77777777" w:rsidR="005B1147" w:rsidRDefault="005B1147">
            <w:pPr>
              <w:pStyle w:val="BodyTextIndent"/>
              <w:ind w:left="0" w:firstLine="0"/>
              <w:jc w:val="center"/>
              <w:rPr>
                <w:sz w:val="20"/>
                <w:szCs w:val="20"/>
              </w:rPr>
            </w:pPr>
            <w:r>
              <w:rPr>
                <w:sz w:val="20"/>
                <w:szCs w:val="20"/>
              </w:rPr>
              <w:t>6</w:t>
            </w:r>
          </w:p>
        </w:tc>
        <w:tc>
          <w:tcPr>
            <w:tcW w:w="587" w:type="pct"/>
            <w:tcBorders>
              <w:top w:val="single" w:sz="4" w:space="0" w:color="000000"/>
              <w:left w:val="single" w:sz="4" w:space="0" w:color="000000"/>
              <w:bottom w:val="single" w:sz="4" w:space="0" w:color="000000"/>
              <w:right w:val="single" w:sz="4" w:space="0" w:color="000000"/>
            </w:tcBorders>
            <w:hideMark/>
          </w:tcPr>
          <w:p w14:paraId="5BD2643A" w14:textId="77777777" w:rsidR="005B1147" w:rsidRDefault="005B1147">
            <w:pPr>
              <w:pStyle w:val="BodyTextIndent"/>
              <w:ind w:left="0" w:firstLine="0"/>
              <w:jc w:val="center"/>
              <w:rPr>
                <w:sz w:val="20"/>
                <w:szCs w:val="20"/>
              </w:rPr>
            </w:pPr>
            <w:r>
              <w:rPr>
                <w:sz w:val="20"/>
                <w:szCs w:val="20"/>
              </w:rPr>
              <w:t>$50,000</w:t>
            </w:r>
          </w:p>
        </w:tc>
        <w:tc>
          <w:tcPr>
            <w:tcW w:w="587" w:type="pct"/>
            <w:tcBorders>
              <w:top w:val="single" w:sz="4" w:space="0" w:color="000000"/>
              <w:left w:val="single" w:sz="4" w:space="0" w:color="000000"/>
              <w:bottom w:val="single" w:sz="4" w:space="0" w:color="000000"/>
              <w:right w:val="single" w:sz="4" w:space="0" w:color="000000"/>
            </w:tcBorders>
            <w:hideMark/>
          </w:tcPr>
          <w:p w14:paraId="315BE581" w14:textId="77777777" w:rsidR="005B1147" w:rsidRDefault="005B1147">
            <w:pPr>
              <w:pStyle w:val="BodyTextIndent"/>
              <w:ind w:left="0" w:firstLine="0"/>
              <w:jc w:val="center"/>
              <w:rPr>
                <w:sz w:val="20"/>
                <w:szCs w:val="20"/>
              </w:rPr>
            </w:pPr>
            <w:r>
              <w:rPr>
                <w:sz w:val="20"/>
                <w:szCs w:val="20"/>
              </w:rPr>
              <w:t>$150,000</w:t>
            </w:r>
          </w:p>
        </w:tc>
        <w:tc>
          <w:tcPr>
            <w:tcW w:w="411" w:type="pct"/>
            <w:tcBorders>
              <w:top w:val="single" w:sz="4" w:space="0" w:color="000000"/>
              <w:left w:val="single" w:sz="4" w:space="0" w:color="000000"/>
              <w:bottom w:val="single" w:sz="4" w:space="0" w:color="000000"/>
              <w:right w:val="single" w:sz="4" w:space="0" w:color="000000"/>
            </w:tcBorders>
            <w:hideMark/>
          </w:tcPr>
          <w:p w14:paraId="2D8056F0" w14:textId="77777777" w:rsidR="005B1147" w:rsidRDefault="005B1147">
            <w:pPr>
              <w:pStyle w:val="BodyTextIndent"/>
              <w:ind w:left="0" w:firstLine="0"/>
              <w:jc w:val="center"/>
              <w:rPr>
                <w:sz w:val="20"/>
                <w:szCs w:val="20"/>
              </w:rPr>
            </w:pPr>
            <w:r>
              <w:rPr>
                <w:sz w:val="20"/>
                <w:szCs w:val="20"/>
              </w:rPr>
              <w:t>$200,000</w:t>
            </w:r>
          </w:p>
        </w:tc>
        <w:tc>
          <w:tcPr>
            <w:tcW w:w="648" w:type="pct"/>
            <w:tcBorders>
              <w:top w:val="single" w:sz="4" w:space="0" w:color="000000"/>
              <w:left w:val="single" w:sz="4" w:space="0" w:color="000000"/>
              <w:bottom w:val="single" w:sz="4" w:space="0" w:color="000000"/>
              <w:right w:val="single" w:sz="4" w:space="0" w:color="000000"/>
            </w:tcBorders>
            <w:hideMark/>
          </w:tcPr>
          <w:p w14:paraId="2F93FD32" w14:textId="77777777" w:rsidR="005B1147" w:rsidRDefault="005B1147">
            <w:pPr>
              <w:pStyle w:val="BodyTextIndent"/>
              <w:ind w:left="0" w:firstLine="0"/>
              <w:jc w:val="center"/>
              <w:rPr>
                <w:sz w:val="20"/>
                <w:szCs w:val="20"/>
              </w:rPr>
            </w:pPr>
            <w:r>
              <w:rPr>
                <w:sz w:val="20"/>
                <w:szCs w:val="20"/>
              </w:rPr>
              <w:t xml:space="preserve"> $7,760,359</w:t>
            </w:r>
          </w:p>
        </w:tc>
      </w:tr>
      <w:tr w:rsidR="005B1147" w14:paraId="6E3A5F89" w14:textId="77777777" w:rsidTr="005B1147">
        <w:tc>
          <w:tcPr>
            <w:tcW w:w="367" w:type="pct"/>
            <w:tcBorders>
              <w:top w:val="single" w:sz="4" w:space="0" w:color="000000"/>
              <w:left w:val="single" w:sz="4" w:space="0" w:color="000000"/>
              <w:bottom w:val="single" w:sz="4" w:space="0" w:color="000000"/>
              <w:right w:val="single" w:sz="4" w:space="0" w:color="000000"/>
            </w:tcBorders>
            <w:hideMark/>
          </w:tcPr>
          <w:p w14:paraId="53EF1264" w14:textId="77777777" w:rsidR="005B1147" w:rsidRDefault="005B1147">
            <w:pPr>
              <w:pStyle w:val="BodyTextIndent"/>
              <w:ind w:left="0" w:firstLine="0"/>
              <w:jc w:val="center"/>
              <w:rPr>
                <w:sz w:val="20"/>
                <w:szCs w:val="20"/>
              </w:rPr>
            </w:pPr>
            <w:r>
              <w:rPr>
                <w:sz w:val="20"/>
                <w:szCs w:val="20"/>
              </w:rPr>
              <w:t>250 RP non-SDs/non-MSPs</w:t>
            </w:r>
          </w:p>
        </w:tc>
        <w:tc>
          <w:tcPr>
            <w:tcW w:w="484" w:type="pct"/>
            <w:tcBorders>
              <w:top w:val="single" w:sz="4" w:space="0" w:color="000000"/>
              <w:left w:val="single" w:sz="4" w:space="0" w:color="000000"/>
              <w:bottom w:val="single" w:sz="4" w:space="0" w:color="000000"/>
              <w:right w:val="single" w:sz="4" w:space="0" w:color="000000"/>
            </w:tcBorders>
            <w:hideMark/>
          </w:tcPr>
          <w:p w14:paraId="15A16E7B" w14:textId="77777777" w:rsidR="005B1147" w:rsidRDefault="005B1147">
            <w:pPr>
              <w:jc w:val="center"/>
              <w:rPr>
                <w:rFonts w:ascii="Times New Roman" w:hAnsi="Times New Roman"/>
                <w:color w:val="000000"/>
                <w:sz w:val="20"/>
              </w:rPr>
            </w:pPr>
            <w:r>
              <w:rPr>
                <w:rFonts w:ascii="Times New Roman" w:hAnsi="Times New Roman"/>
                <w:color w:val="000000"/>
                <w:sz w:val="20"/>
              </w:rPr>
              <w:t>676</w:t>
            </w:r>
          </w:p>
        </w:tc>
        <w:tc>
          <w:tcPr>
            <w:tcW w:w="471" w:type="pct"/>
            <w:tcBorders>
              <w:top w:val="single" w:sz="4" w:space="0" w:color="000000"/>
              <w:left w:val="single" w:sz="4" w:space="0" w:color="000000"/>
              <w:bottom w:val="single" w:sz="4" w:space="0" w:color="000000"/>
              <w:right w:val="single" w:sz="4" w:space="0" w:color="000000"/>
            </w:tcBorders>
            <w:hideMark/>
          </w:tcPr>
          <w:p w14:paraId="6D182A97" w14:textId="77777777" w:rsidR="005B1147" w:rsidRDefault="005B1147">
            <w:pPr>
              <w:jc w:val="center"/>
              <w:rPr>
                <w:rFonts w:ascii="Times New Roman" w:hAnsi="Times New Roman"/>
                <w:color w:val="000000"/>
                <w:sz w:val="20"/>
              </w:rPr>
            </w:pPr>
            <w:r>
              <w:rPr>
                <w:rFonts w:ascii="Times New Roman" w:hAnsi="Times New Roman"/>
                <w:color w:val="000000"/>
                <w:sz w:val="20"/>
              </w:rPr>
              <w:t>169,000</w:t>
            </w:r>
          </w:p>
        </w:tc>
        <w:tc>
          <w:tcPr>
            <w:tcW w:w="515" w:type="pct"/>
            <w:gridSpan w:val="2"/>
            <w:tcBorders>
              <w:top w:val="single" w:sz="4" w:space="0" w:color="000000"/>
              <w:left w:val="single" w:sz="4" w:space="0" w:color="000000"/>
              <w:bottom w:val="single" w:sz="4" w:space="0" w:color="000000"/>
              <w:right w:val="single" w:sz="4" w:space="0" w:color="000000"/>
            </w:tcBorders>
          </w:tcPr>
          <w:p w14:paraId="5326CEC0" w14:textId="77777777" w:rsidR="005B1147" w:rsidRDefault="005B1147">
            <w:pPr>
              <w:jc w:val="center"/>
              <w:rPr>
                <w:rFonts w:ascii="Times New Roman" w:hAnsi="Times New Roman"/>
                <w:color w:val="000000"/>
                <w:sz w:val="20"/>
              </w:rPr>
            </w:pPr>
            <w:r>
              <w:rPr>
                <w:rFonts w:ascii="Times New Roman" w:hAnsi="Times New Roman"/>
                <w:color w:val="000000"/>
                <w:sz w:val="20"/>
              </w:rPr>
              <w:t>$35,764,000</w:t>
            </w:r>
            <w:r>
              <w:rPr>
                <w:rStyle w:val="FootnoteReference"/>
                <w:rFonts w:ascii="Times New Roman" w:hAnsi="Times New Roman"/>
                <w:color w:val="000000"/>
                <w:sz w:val="20"/>
              </w:rPr>
              <w:footnoteReference w:id="19"/>
            </w:r>
          </w:p>
          <w:p w14:paraId="12D68B2C" w14:textId="77777777" w:rsidR="005B1147" w:rsidRDefault="005B1147">
            <w:pPr>
              <w:jc w:val="center"/>
              <w:rPr>
                <w:rFonts w:ascii="Times New Roman" w:hAnsi="Times New Roman"/>
                <w:color w:val="000000"/>
                <w:sz w:val="20"/>
              </w:rPr>
            </w:pPr>
          </w:p>
        </w:tc>
        <w:tc>
          <w:tcPr>
            <w:tcW w:w="426" w:type="pct"/>
            <w:tcBorders>
              <w:top w:val="single" w:sz="4" w:space="0" w:color="000000"/>
              <w:left w:val="single" w:sz="4" w:space="0" w:color="000000"/>
              <w:bottom w:val="single" w:sz="4" w:space="0" w:color="000000"/>
              <w:right w:val="single" w:sz="4" w:space="0" w:color="000000"/>
            </w:tcBorders>
            <w:hideMark/>
          </w:tcPr>
          <w:p w14:paraId="4BA5CE48" w14:textId="77777777" w:rsidR="005B1147" w:rsidRDefault="005B1147">
            <w:pPr>
              <w:jc w:val="center"/>
              <w:rPr>
                <w:rFonts w:ascii="Times New Roman" w:hAnsi="Times New Roman"/>
                <w:color w:val="000000"/>
                <w:sz w:val="20"/>
              </w:rPr>
            </w:pPr>
            <w:r>
              <w:rPr>
                <w:rFonts w:ascii="Times New Roman" w:hAnsi="Times New Roman"/>
                <w:color w:val="000000"/>
                <w:sz w:val="20"/>
              </w:rPr>
              <w:t>$56,369</w:t>
            </w:r>
            <w:r>
              <w:rPr>
                <w:rStyle w:val="FootnoteReference"/>
                <w:rFonts w:ascii="Times New Roman" w:hAnsi="Times New Roman"/>
                <w:color w:val="000000"/>
                <w:sz w:val="20"/>
              </w:rPr>
              <w:footnoteReference w:id="20"/>
            </w:r>
          </w:p>
        </w:tc>
        <w:tc>
          <w:tcPr>
            <w:tcW w:w="485" w:type="pct"/>
            <w:tcBorders>
              <w:top w:val="single" w:sz="4" w:space="0" w:color="000000"/>
              <w:left w:val="single" w:sz="4" w:space="0" w:color="000000"/>
              <w:bottom w:val="single" w:sz="4" w:space="0" w:color="000000"/>
              <w:right w:val="single" w:sz="4" w:space="0" w:color="000000"/>
            </w:tcBorders>
            <w:hideMark/>
          </w:tcPr>
          <w:p w14:paraId="32E77BF2" w14:textId="77777777" w:rsidR="005B1147" w:rsidRDefault="005B1147">
            <w:pPr>
              <w:jc w:val="center"/>
              <w:rPr>
                <w:rFonts w:ascii="Times New Roman" w:hAnsi="Times New Roman"/>
                <w:color w:val="000000"/>
                <w:sz w:val="20"/>
              </w:rPr>
            </w:pPr>
            <w:r>
              <w:rPr>
                <w:rFonts w:ascii="Times New Roman" w:hAnsi="Times New Roman"/>
                <w:color w:val="000000"/>
                <w:sz w:val="20"/>
              </w:rPr>
              <w:t xml:space="preserve"> 6</w:t>
            </w:r>
          </w:p>
        </w:tc>
        <w:tc>
          <w:tcPr>
            <w:tcW w:w="587" w:type="pct"/>
            <w:tcBorders>
              <w:top w:val="single" w:sz="4" w:space="0" w:color="000000"/>
              <w:left w:val="single" w:sz="4" w:space="0" w:color="000000"/>
              <w:bottom w:val="single" w:sz="4" w:space="0" w:color="000000"/>
              <w:right w:val="single" w:sz="4" w:space="0" w:color="000000"/>
            </w:tcBorders>
            <w:hideMark/>
          </w:tcPr>
          <w:p w14:paraId="758AB9F1" w14:textId="77777777" w:rsidR="005B1147" w:rsidRDefault="005B1147">
            <w:pPr>
              <w:jc w:val="center"/>
              <w:rPr>
                <w:rFonts w:ascii="Times New Roman" w:hAnsi="Times New Roman"/>
                <w:color w:val="000000"/>
                <w:sz w:val="20"/>
              </w:rPr>
            </w:pPr>
            <w:r>
              <w:rPr>
                <w:rFonts w:ascii="Times New Roman" w:hAnsi="Times New Roman"/>
                <w:color w:val="000000"/>
                <w:sz w:val="20"/>
              </w:rPr>
              <w:t>$9,395</w:t>
            </w:r>
          </w:p>
        </w:tc>
        <w:tc>
          <w:tcPr>
            <w:tcW w:w="587" w:type="pct"/>
            <w:tcBorders>
              <w:top w:val="single" w:sz="4" w:space="0" w:color="000000"/>
              <w:left w:val="single" w:sz="4" w:space="0" w:color="000000"/>
              <w:bottom w:val="single" w:sz="4" w:space="0" w:color="000000"/>
              <w:right w:val="single" w:sz="4" w:space="0" w:color="000000"/>
            </w:tcBorders>
            <w:hideMark/>
          </w:tcPr>
          <w:p w14:paraId="660C5A3E" w14:textId="77777777" w:rsidR="005B1147" w:rsidRDefault="005B1147">
            <w:pPr>
              <w:jc w:val="center"/>
              <w:rPr>
                <w:rFonts w:ascii="Times New Roman" w:hAnsi="Times New Roman"/>
                <w:color w:val="000000"/>
                <w:sz w:val="20"/>
              </w:rPr>
            </w:pPr>
            <w:r>
              <w:rPr>
                <w:rFonts w:ascii="Times New Roman" w:hAnsi="Times New Roman"/>
                <w:color w:val="000000"/>
                <w:sz w:val="20"/>
              </w:rPr>
              <w:t xml:space="preserve"> $28,185</w:t>
            </w:r>
          </w:p>
        </w:tc>
        <w:tc>
          <w:tcPr>
            <w:tcW w:w="411" w:type="pct"/>
            <w:tcBorders>
              <w:top w:val="single" w:sz="4" w:space="0" w:color="000000"/>
              <w:left w:val="single" w:sz="4" w:space="0" w:color="000000"/>
              <w:bottom w:val="single" w:sz="4" w:space="0" w:color="000000"/>
              <w:right w:val="single" w:sz="4" w:space="0" w:color="000000"/>
            </w:tcBorders>
            <w:hideMark/>
          </w:tcPr>
          <w:p w14:paraId="02EEFAEE" w14:textId="77777777" w:rsidR="005B1147" w:rsidRDefault="005B1147">
            <w:pPr>
              <w:jc w:val="center"/>
              <w:rPr>
                <w:rFonts w:ascii="Times New Roman" w:hAnsi="Times New Roman"/>
                <w:color w:val="000000"/>
                <w:sz w:val="20"/>
              </w:rPr>
            </w:pPr>
            <w:r>
              <w:rPr>
                <w:rFonts w:ascii="Times New Roman" w:hAnsi="Times New Roman"/>
                <w:color w:val="000000"/>
                <w:sz w:val="20"/>
              </w:rPr>
              <w:t xml:space="preserve"> $37,580</w:t>
            </w:r>
          </w:p>
        </w:tc>
        <w:tc>
          <w:tcPr>
            <w:tcW w:w="667" w:type="pct"/>
            <w:tcBorders>
              <w:top w:val="single" w:sz="4" w:space="0" w:color="000000"/>
              <w:left w:val="single" w:sz="4" w:space="0" w:color="000000"/>
              <w:bottom w:val="single" w:sz="4" w:space="0" w:color="000000"/>
              <w:right w:val="single" w:sz="4" w:space="0" w:color="000000"/>
            </w:tcBorders>
            <w:hideMark/>
          </w:tcPr>
          <w:p w14:paraId="251D4059" w14:textId="77777777" w:rsidR="005B1147" w:rsidRDefault="005B1147">
            <w:pPr>
              <w:jc w:val="center"/>
              <w:rPr>
                <w:rFonts w:ascii="Times New Roman" w:hAnsi="Times New Roman"/>
                <w:color w:val="000000"/>
                <w:sz w:val="20"/>
              </w:rPr>
            </w:pPr>
            <w:r>
              <w:rPr>
                <w:rFonts w:ascii="Times New Roman" w:hAnsi="Times New Roman"/>
                <w:color w:val="000000"/>
                <w:sz w:val="20"/>
              </w:rPr>
              <w:t>$45,159,000</w:t>
            </w:r>
          </w:p>
        </w:tc>
      </w:tr>
      <w:tr w:rsidR="005B1147" w14:paraId="523B1A67" w14:textId="77777777" w:rsidTr="005B1147">
        <w:tc>
          <w:tcPr>
            <w:tcW w:w="367" w:type="pct"/>
            <w:tcBorders>
              <w:top w:val="single" w:sz="4" w:space="0" w:color="000000"/>
              <w:left w:val="single" w:sz="4" w:space="0" w:color="000000"/>
              <w:bottom w:val="single" w:sz="4" w:space="0" w:color="000000"/>
              <w:right w:val="single" w:sz="4" w:space="0" w:color="000000"/>
            </w:tcBorders>
            <w:hideMark/>
          </w:tcPr>
          <w:p w14:paraId="50700D5E" w14:textId="26935D73" w:rsidR="005B1147" w:rsidRDefault="005B1147" w:rsidP="00664657">
            <w:pPr>
              <w:pStyle w:val="BodyTextIndent"/>
              <w:ind w:left="0" w:firstLine="0"/>
              <w:jc w:val="center"/>
              <w:rPr>
                <w:sz w:val="20"/>
                <w:szCs w:val="20"/>
              </w:rPr>
            </w:pPr>
            <w:r>
              <w:rPr>
                <w:sz w:val="20"/>
                <w:szCs w:val="20"/>
              </w:rPr>
              <w:t>750</w:t>
            </w:r>
            <w:r w:rsidR="00664657">
              <w:rPr>
                <w:sz w:val="20"/>
                <w:szCs w:val="20"/>
              </w:rPr>
              <w:t xml:space="preserve"> </w:t>
            </w:r>
            <w:r>
              <w:rPr>
                <w:sz w:val="20"/>
                <w:szCs w:val="20"/>
              </w:rPr>
              <w:t>RP non-SDs/non-MSPs who contract with a third party</w:t>
            </w:r>
            <w:r w:rsidR="00664657">
              <w:rPr>
                <w:rStyle w:val="FootnoteReference"/>
                <w:sz w:val="20"/>
                <w:szCs w:val="20"/>
              </w:rPr>
              <w:footnoteReference w:id="21"/>
            </w:r>
          </w:p>
        </w:tc>
        <w:tc>
          <w:tcPr>
            <w:tcW w:w="484" w:type="pct"/>
            <w:tcBorders>
              <w:top w:val="single" w:sz="4" w:space="0" w:color="000000"/>
              <w:left w:val="single" w:sz="4" w:space="0" w:color="000000"/>
              <w:bottom w:val="single" w:sz="4" w:space="0" w:color="000000"/>
              <w:right w:val="single" w:sz="4" w:space="0" w:color="000000"/>
            </w:tcBorders>
            <w:hideMark/>
          </w:tcPr>
          <w:p w14:paraId="75BDC010" w14:textId="68EC99F9" w:rsidR="005B1147" w:rsidRDefault="005B1147">
            <w:pPr>
              <w:jc w:val="center"/>
              <w:rPr>
                <w:rFonts w:ascii="Times New Roman" w:hAnsi="Times New Roman"/>
                <w:color w:val="000000"/>
                <w:sz w:val="20"/>
              </w:rPr>
            </w:pPr>
            <w:r>
              <w:rPr>
                <w:rFonts w:ascii="Times New Roman" w:hAnsi="Times New Roman"/>
                <w:color w:val="000000"/>
                <w:sz w:val="20"/>
              </w:rPr>
              <w:t>22</w:t>
            </w:r>
            <w:r w:rsidR="00664657">
              <w:rPr>
                <w:rStyle w:val="FootnoteReference"/>
                <w:rFonts w:ascii="Times New Roman" w:hAnsi="Times New Roman"/>
                <w:color w:val="000000"/>
                <w:sz w:val="20"/>
              </w:rPr>
              <w:footnoteReference w:id="22"/>
            </w:r>
          </w:p>
        </w:tc>
        <w:tc>
          <w:tcPr>
            <w:tcW w:w="471" w:type="pct"/>
            <w:tcBorders>
              <w:top w:val="single" w:sz="4" w:space="0" w:color="000000"/>
              <w:left w:val="single" w:sz="4" w:space="0" w:color="000000"/>
              <w:bottom w:val="single" w:sz="4" w:space="0" w:color="000000"/>
              <w:right w:val="single" w:sz="4" w:space="0" w:color="000000"/>
            </w:tcBorders>
            <w:hideMark/>
          </w:tcPr>
          <w:p w14:paraId="0B7E1BC1" w14:textId="77777777" w:rsidR="005B1147" w:rsidRDefault="005B1147">
            <w:pPr>
              <w:jc w:val="center"/>
              <w:rPr>
                <w:rFonts w:ascii="Times New Roman" w:hAnsi="Times New Roman"/>
                <w:color w:val="000000"/>
                <w:sz w:val="20"/>
              </w:rPr>
            </w:pPr>
            <w:r>
              <w:rPr>
                <w:rFonts w:ascii="Times New Roman" w:hAnsi="Times New Roman"/>
                <w:color w:val="000000"/>
                <w:sz w:val="20"/>
              </w:rPr>
              <w:t xml:space="preserve"> 16,500</w:t>
            </w:r>
          </w:p>
        </w:tc>
        <w:tc>
          <w:tcPr>
            <w:tcW w:w="515" w:type="pct"/>
            <w:gridSpan w:val="2"/>
            <w:tcBorders>
              <w:top w:val="single" w:sz="4" w:space="0" w:color="000000"/>
              <w:left w:val="single" w:sz="4" w:space="0" w:color="000000"/>
              <w:bottom w:val="single" w:sz="4" w:space="0" w:color="000000"/>
              <w:right w:val="single" w:sz="4" w:space="0" w:color="000000"/>
            </w:tcBorders>
          </w:tcPr>
          <w:p w14:paraId="7FFB6AD7" w14:textId="77777777" w:rsidR="005B1147" w:rsidRDefault="005B1147">
            <w:pPr>
              <w:jc w:val="center"/>
              <w:rPr>
                <w:rFonts w:ascii="Times New Roman" w:hAnsi="Times New Roman"/>
                <w:color w:val="000000"/>
                <w:sz w:val="20"/>
              </w:rPr>
            </w:pPr>
            <w:r>
              <w:rPr>
                <w:rFonts w:ascii="Times New Roman" w:hAnsi="Times New Roman"/>
                <w:color w:val="000000"/>
                <w:sz w:val="20"/>
              </w:rPr>
              <w:t>$1,024,500</w:t>
            </w:r>
          </w:p>
          <w:p w14:paraId="6B3EAEFE" w14:textId="77777777" w:rsidR="005B1147" w:rsidRDefault="005B1147">
            <w:pPr>
              <w:jc w:val="center"/>
              <w:rPr>
                <w:rFonts w:ascii="Times New Roman" w:hAnsi="Times New Roman"/>
                <w:color w:val="000000"/>
                <w:sz w:val="20"/>
              </w:rPr>
            </w:pPr>
          </w:p>
        </w:tc>
        <w:tc>
          <w:tcPr>
            <w:tcW w:w="426" w:type="pct"/>
            <w:tcBorders>
              <w:top w:val="single" w:sz="4" w:space="0" w:color="000000"/>
              <w:left w:val="single" w:sz="4" w:space="0" w:color="000000"/>
              <w:bottom w:val="single" w:sz="4" w:space="0" w:color="000000"/>
              <w:right w:val="single" w:sz="4" w:space="0" w:color="000000"/>
            </w:tcBorders>
            <w:hideMark/>
          </w:tcPr>
          <w:p w14:paraId="5ECC2DE6" w14:textId="77777777" w:rsidR="005B1147" w:rsidRDefault="005B1147">
            <w:pPr>
              <w:jc w:val="center"/>
              <w:rPr>
                <w:rFonts w:ascii="Times New Roman" w:hAnsi="Times New Roman"/>
                <w:color w:val="000000"/>
                <w:sz w:val="20"/>
              </w:rPr>
            </w:pPr>
            <w:r>
              <w:rPr>
                <w:rFonts w:ascii="Times New Roman" w:hAnsi="Times New Roman"/>
                <w:color w:val="000000"/>
                <w:sz w:val="20"/>
              </w:rPr>
              <w:t>$2,063</w:t>
            </w:r>
          </w:p>
        </w:tc>
        <w:tc>
          <w:tcPr>
            <w:tcW w:w="485" w:type="pct"/>
            <w:tcBorders>
              <w:top w:val="single" w:sz="4" w:space="0" w:color="000000"/>
              <w:left w:val="single" w:sz="4" w:space="0" w:color="000000"/>
              <w:bottom w:val="single" w:sz="4" w:space="0" w:color="000000"/>
              <w:right w:val="single" w:sz="4" w:space="0" w:color="000000"/>
            </w:tcBorders>
            <w:hideMark/>
          </w:tcPr>
          <w:p w14:paraId="5A09B27C" w14:textId="77777777" w:rsidR="005B1147" w:rsidRDefault="005B1147">
            <w:pPr>
              <w:jc w:val="center"/>
              <w:rPr>
                <w:rFonts w:ascii="Times New Roman" w:hAnsi="Times New Roman"/>
                <w:color w:val="000000"/>
                <w:sz w:val="20"/>
              </w:rPr>
            </w:pPr>
            <w:r>
              <w:rPr>
                <w:rFonts w:ascii="Times New Roman" w:hAnsi="Times New Roman"/>
                <w:color w:val="000000"/>
                <w:sz w:val="20"/>
              </w:rPr>
              <w:t>6</w:t>
            </w:r>
          </w:p>
        </w:tc>
        <w:tc>
          <w:tcPr>
            <w:tcW w:w="587" w:type="pct"/>
            <w:tcBorders>
              <w:top w:val="single" w:sz="4" w:space="0" w:color="000000"/>
              <w:left w:val="single" w:sz="4" w:space="0" w:color="000000"/>
              <w:bottom w:val="single" w:sz="4" w:space="0" w:color="000000"/>
              <w:right w:val="single" w:sz="4" w:space="0" w:color="000000"/>
            </w:tcBorders>
            <w:hideMark/>
          </w:tcPr>
          <w:p w14:paraId="41112865" w14:textId="77777777" w:rsidR="005B1147" w:rsidRDefault="005B1147">
            <w:pPr>
              <w:jc w:val="center"/>
              <w:rPr>
                <w:rFonts w:ascii="Times New Roman" w:hAnsi="Times New Roman"/>
                <w:color w:val="000000"/>
                <w:sz w:val="20"/>
              </w:rPr>
            </w:pPr>
            <w:r>
              <w:rPr>
                <w:rFonts w:ascii="Times New Roman" w:hAnsi="Times New Roman"/>
                <w:color w:val="000000"/>
                <w:sz w:val="20"/>
              </w:rPr>
              <w:t>$344</w:t>
            </w:r>
          </w:p>
        </w:tc>
        <w:tc>
          <w:tcPr>
            <w:tcW w:w="587" w:type="pct"/>
            <w:tcBorders>
              <w:top w:val="single" w:sz="4" w:space="0" w:color="000000"/>
              <w:left w:val="single" w:sz="4" w:space="0" w:color="000000"/>
              <w:bottom w:val="single" w:sz="4" w:space="0" w:color="000000"/>
              <w:right w:val="single" w:sz="4" w:space="0" w:color="000000"/>
            </w:tcBorders>
            <w:hideMark/>
          </w:tcPr>
          <w:p w14:paraId="4A47935E" w14:textId="77777777" w:rsidR="005B1147" w:rsidRDefault="005B1147">
            <w:pPr>
              <w:jc w:val="center"/>
              <w:rPr>
                <w:rFonts w:ascii="Times New Roman" w:hAnsi="Times New Roman"/>
                <w:color w:val="000000"/>
                <w:sz w:val="20"/>
              </w:rPr>
            </w:pPr>
            <w:r>
              <w:rPr>
                <w:rFonts w:ascii="Times New Roman" w:hAnsi="Times New Roman"/>
                <w:color w:val="000000"/>
                <w:sz w:val="20"/>
              </w:rPr>
              <w:t>$1,032</w:t>
            </w:r>
          </w:p>
        </w:tc>
        <w:tc>
          <w:tcPr>
            <w:tcW w:w="411" w:type="pct"/>
            <w:tcBorders>
              <w:top w:val="single" w:sz="4" w:space="0" w:color="000000"/>
              <w:left w:val="single" w:sz="4" w:space="0" w:color="000000"/>
              <w:bottom w:val="single" w:sz="4" w:space="0" w:color="000000"/>
              <w:right w:val="single" w:sz="4" w:space="0" w:color="000000"/>
            </w:tcBorders>
            <w:hideMark/>
          </w:tcPr>
          <w:p w14:paraId="36ED4D79" w14:textId="77777777" w:rsidR="005B1147" w:rsidRDefault="005B1147">
            <w:pPr>
              <w:jc w:val="center"/>
              <w:rPr>
                <w:rFonts w:ascii="Times New Roman" w:hAnsi="Times New Roman"/>
                <w:color w:val="000000"/>
                <w:sz w:val="20"/>
              </w:rPr>
            </w:pPr>
            <w:r>
              <w:rPr>
                <w:rFonts w:ascii="Times New Roman" w:hAnsi="Times New Roman"/>
                <w:color w:val="000000"/>
                <w:sz w:val="20"/>
              </w:rPr>
              <w:t>$1,376</w:t>
            </w:r>
          </w:p>
        </w:tc>
        <w:tc>
          <w:tcPr>
            <w:tcW w:w="667" w:type="pct"/>
            <w:tcBorders>
              <w:top w:val="single" w:sz="4" w:space="0" w:color="000000"/>
              <w:left w:val="single" w:sz="4" w:space="0" w:color="000000"/>
              <w:bottom w:val="single" w:sz="4" w:space="0" w:color="000000"/>
              <w:right w:val="single" w:sz="4" w:space="0" w:color="000000"/>
            </w:tcBorders>
            <w:hideMark/>
          </w:tcPr>
          <w:p w14:paraId="48C1EA02" w14:textId="77777777" w:rsidR="005B1147" w:rsidRDefault="005B1147">
            <w:pPr>
              <w:jc w:val="center"/>
              <w:rPr>
                <w:rFonts w:ascii="Times New Roman" w:hAnsi="Times New Roman"/>
                <w:color w:val="000000"/>
                <w:sz w:val="20"/>
              </w:rPr>
            </w:pPr>
            <w:r>
              <w:rPr>
                <w:rFonts w:ascii="Times New Roman" w:hAnsi="Times New Roman"/>
                <w:color w:val="000000"/>
                <w:sz w:val="20"/>
              </w:rPr>
              <w:t xml:space="preserve"> $2,056,500</w:t>
            </w:r>
          </w:p>
        </w:tc>
      </w:tr>
    </w:tbl>
    <w:p w14:paraId="4070CCCA" w14:textId="77777777" w:rsidR="005B1147" w:rsidRDefault="005B1147" w:rsidP="005B1147">
      <w:pPr>
        <w:pStyle w:val="BodyTextIndent"/>
        <w:rPr>
          <w:sz w:val="20"/>
          <w:szCs w:val="20"/>
        </w:rPr>
      </w:pPr>
    </w:p>
    <w:p w14:paraId="426D4663" w14:textId="77777777" w:rsidR="005B1147" w:rsidRDefault="005B1147" w:rsidP="005B1147">
      <w:pPr>
        <w:pStyle w:val="BodyTextIndent"/>
        <w:jc w:val="center"/>
        <w:rPr>
          <w:sz w:val="20"/>
          <w:szCs w:val="20"/>
        </w:rPr>
      </w:pPr>
    </w:p>
    <w:p w14:paraId="7532181B" w14:textId="77777777" w:rsidR="005B1147" w:rsidRDefault="005B1147" w:rsidP="005B1147">
      <w:pPr>
        <w:jc w:val="center"/>
        <w:rPr>
          <w:rFonts w:ascii="Times New Roman" w:hAnsi="Times New Roman"/>
          <w:color w:val="000000"/>
          <w:szCs w:val="24"/>
        </w:rPr>
      </w:pPr>
      <w:r>
        <w:rPr>
          <w:rFonts w:ascii="Times New Roman" w:hAnsi="Times New Roman"/>
          <w:szCs w:val="24"/>
          <w:u w:val="single"/>
        </w:rPr>
        <w:t>Estimated Total Annual Burden Hours</w:t>
      </w:r>
      <w:r>
        <w:rPr>
          <w:rFonts w:ascii="Times New Roman" w:hAnsi="Times New Roman"/>
          <w:szCs w:val="24"/>
        </w:rPr>
        <w:t>:</w:t>
      </w:r>
      <w:r>
        <w:rPr>
          <w:rFonts w:ascii="Times New Roman" w:hAnsi="Times New Roman"/>
          <w:szCs w:val="24"/>
        </w:rPr>
        <w:tab/>
        <w:t>669,640</w:t>
      </w:r>
    </w:p>
    <w:p w14:paraId="1DD3C357" w14:textId="77777777" w:rsidR="005B1147" w:rsidRDefault="005B1147" w:rsidP="005B1147">
      <w:pPr>
        <w:pStyle w:val="BodyTextIndent"/>
        <w:jc w:val="center"/>
        <w:rPr>
          <w:sz w:val="20"/>
          <w:szCs w:val="20"/>
        </w:rPr>
      </w:pPr>
    </w:p>
    <w:p w14:paraId="5FF999ED" w14:textId="77777777" w:rsidR="005B1147" w:rsidRDefault="005B1147" w:rsidP="005B1147">
      <w:pPr>
        <w:pStyle w:val="BodyTextIndent"/>
        <w:rPr>
          <w:sz w:val="20"/>
          <w:szCs w:val="20"/>
        </w:rPr>
      </w:pPr>
    </w:p>
    <w:p w14:paraId="0592F138" w14:textId="77777777" w:rsidR="005B1147" w:rsidRDefault="005B1147" w:rsidP="005B1147">
      <w:pPr>
        <w:pStyle w:val="BodyTextIndent"/>
        <w:ind w:left="0" w:firstLine="0"/>
        <w:rPr>
          <w:sz w:val="20"/>
          <w:szCs w:val="20"/>
        </w:rPr>
      </w:pPr>
    </w:p>
    <w:p w14:paraId="3C4CF7D4" w14:textId="77777777" w:rsidR="005B1147" w:rsidRDefault="005B1147" w:rsidP="005B1147">
      <w:pPr>
        <w:pStyle w:val="BodyTextIndent"/>
        <w:jc w:val="center"/>
        <w:rPr>
          <w:b/>
          <w:sz w:val="20"/>
          <w:szCs w:val="20"/>
        </w:rPr>
      </w:pPr>
      <w:r>
        <w:rPr>
          <w:b/>
          <w:sz w:val="20"/>
        </w:rPr>
        <w:br w:type="page"/>
      </w:r>
      <w:r>
        <w:rPr>
          <w:b/>
          <w:sz w:val="20"/>
          <w:szCs w:val="20"/>
        </w:rPr>
        <w:lastRenderedPageBreak/>
        <w:t>Real-time Public Reporting under Section 727 of the Dodd-Frank Act</w:t>
      </w:r>
    </w:p>
    <w:p w14:paraId="6FCC459F" w14:textId="77777777" w:rsidR="005B1147" w:rsidRDefault="005B1147" w:rsidP="005B1147">
      <w:pPr>
        <w:pStyle w:val="BodyTextIndent"/>
        <w:jc w:val="center"/>
        <w:rPr>
          <w:b/>
          <w:sz w:val="20"/>
          <w:szCs w:val="20"/>
          <w:u w:val="single"/>
        </w:rPr>
      </w:pPr>
      <w:r>
        <w:rPr>
          <w:b/>
          <w:sz w:val="20"/>
          <w:szCs w:val="20"/>
          <w:u w:val="single"/>
        </w:rPr>
        <w:t>Estimated Annual Hour and Cost Burden of the Collection of Information</w:t>
      </w:r>
    </w:p>
    <w:p w14:paraId="0A97DB27" w14:textId="77777777" w:rsidR="005B1147" w:rsidRDefault="005B1147" w:rsidP="005B1147">
      <w:pPr>
        <w:pStyle w:val="BodyTextIndent"/>
        <w:jc w:val="center"/>
        <w:rPr>
          <w:b/>
          <w:sz w:val="20"/>
          <w:szCs w:val="20"/>
          <w:u w:val="single"/>
        </w:rPr>
      </w:pPr>
    </w:p>
    <w:p w14:paraId="7EBF1A57" w14:textId="77777777" w:rsidR="005B1147" w:rsidRDefault="005B1147" w:rsidP="005B1147">
      <w:pPr>
        <w:pStyle w:val="BodyTextIndent"/>
        <w:jc w:val="center"/>
        <w:rPr>
          <w:b/>
          <w:sz w:val="20"/>
          <w:szCs w:val="20"/>
          <w:u w:val="single"/>
        </w:rPr>
      </w:pPr>
      <w:r>
        <w:rPr>
          <w:b/>
          <w:sz w:val="20"/>
          <w:szCs w:val="20"/>
          <w:u w:val="single"/>
        </w:rPr>
        <w:t>Recordkeeping (</w:t>
      </w:r>
      <w:proofErr w:type="spellStart"/>
      <w:r>
        <w:rPr>
          <w:b/>
          <w:sz w:val="20"/>
          <w:szCs w:val="20"/>
          <w:u w:val="single"/>
        </w:rPr>
        <w:t>Timestamping</w:t>
      </w:r>
      <w:proofErr w:type="spellEnd"/>
      <w:r>
        <w:rPr>
          <w:b/>
          <w:sz w:val="20"/>
          <w:szCs w:val="20"/>
          <w:u w:val="single"/>
        </w:rPr>
        <w:t>)</w:t>
      </w:r>
    </w:p>
    <w:p w14:paraId="04627E22" w14:textId="77777777" w:rsidR="005B1147" w:rsidRDefault="005B1147" w:rsidP="005B1147">
      <w:pPr>
        <w:pStyle w:val="BodyTextIndent"/>
        <w:rPr>
          <w:sz w:val="20"/>
          <w:szCs w:val="20"/>
        </w:rPr>
      </w:pPr>
    </w:p>
    <w:tbl>
      <w:tblPr>
        <w:tblW w:w="0" w:type="auto"/>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17"/>
        <w:gridCol w:w="1495"/>
        <w:gridCol w:w="1910"/>
        <w:gridCol w:w="2094"/>
      </w:tblGrid>
      <w:tr w:rsidR="005B1147" w14:paraId="528F9D36" w14:textId="77777777" w:rsidTr="005B1147">
        <w:trPr>
          <w:jc w:val="center"/>
        </w:trPr>
        <w:tc>
          <w:tcPr>
            <w:tcW w:w="1417" w:type="dxa"/>
            <w:tcBorders>
              <w:top w:val="single" w:sz="4" w:space="0" w:color="auto"/>
              <w:left w:val="single" w:sz="4" w:space="0" w:color="auto"/>
              <w:bottom w:val="single" w:sz="4" w:space="0" w:color="auto"/>
              <w:right w:val="single" w:sz="4" w:space="0" w:color="auto"/>
            </w:tcBorders>
            <w:hideMark/>
          </w:tcPr>
          <w:p w14:paraId="518DA1DC" w14:textId="77777777" w:rsidR="005B1147" w:rsidRDefault="005B1147">
            <w:pPr>
              <w:pStyle w:val="BodyTextIndent"/>
              <w:ind w:left="0" w:firstLine="0"/>
              <w:jc w:val="center"/>
              <w:rPr>
                <w:sz w:val="20"/>
                <w:szCs w:val="20"/>
              </w:rPr>
            </w:pPr>
            <w:proofErr w:type="spellStart"/>
            <w:r>
              <w:rPr>
                <w:sz w:val="20"/>
                <w:szCs w:val="20"/>
              </w:rPr>
              <w:t>Est’d</w:t>
            </w:r>
            <w:proofErr w:type="spellEnd"/>
            <w:r>
              <w:rPr>
                <w:sz w:val="20"/>
                <w:szCs w:val="20"/>
              </w:rPr>
              <w:t xml:space="preserve"> # of Covered Entities</w:t>
            </w:r>
          </w:p>
          <w:p w14:paraId="41876803" w14:textId="77777777" w:rsidR="005B1147" w:rsidRDefault="005B1147">
            <w:pPr>
              <w:pStyle w:val="BodyTextIndent"/>
              <w:ind w:left="0" w:firstLine="0"/>
              <w:jc w:val="center"/>
              <w:rPr>
                <w:sz w:val="20"/>
                <w:szCs w:val="20"/>
              </w:rPr>
            </w:pPr>
            <w:r>
              <w:rPr>
                <w:sz w:val="20"/>
                <w:szCs w:val="20"/>
              </w:rPr>
              <w:t>(a)</w:t>
            </w:r>
            <w:r>
              <w:rPr>
                <w:rStyle w:val="FootnoteReference"/>
                <w:sz w:val="20"/>
                <w:szCs w:val="20"/>
              </w:rPr>
              <w:footnoteReference w:id="23"/>
            </w:r>
          </w:p>
        </w:tc>
        <w:tc>
          <w:tcPr>
            <w:tcW w:w="1495" w:type="dxa"/>
            <w:tcBorders>
              <w:top w:val="single" w:sz="4" w:space="0" w:color="auto"/>
              <w:left w:val="single" w:sz="4" w:space="0" w:color="auto"/>
              <w:bottom w:val="single" w:sz="4" w:space="0" w:color="auto"/>
              <w:right w:val="single" w:sz="4" w:space="0" w:color="auto"/>
            </w:tcBorders>
            <w:hideMark/>
          </w:tcPr>
          <w:p w14:paraId="02AE14EF" w14:textId="77777777" w:rsidR="005B1147" w:rsidRDefault="005B1147">
            <w:pPr>
              <w:pStyle w:val="BodyTextIndent"/>
              <w:tabs>
                <w:tab w:val="right" w:leader="dot" w:pos="9360"/>
              </w:tabs>
              <w:suppressAutoHyphens/>
              <w:ind w:left="0" w:right="720" w:firstLine="0"/>
              <w:jc w:val="center"/>
              <w:rPr>
                <w:sz w:val="20"/>
                <w:szCs w:val="20"/>
              </w:rPr>
            </w:pPr>
            <w:proofErr w:type="spellStart"/>
            <w:r>
              <w:rPr>
                <w:sz w:val="20"/>
                <w:szCs w:val="20"/>
              </w:rPr>
              <w:t>Est’d</w:t>
            </w:r>
            <w:proofErr w:type="spellEnd"/>
            <w:r>
              <w:rPr>
                <w:sz w:val="20"/>
                <w:szCs w:val="20"/>
              </w:rPr>
              <w:t xml:space="preserve"> Avg. # of Hrs. to Report per entity</w:t>
            </w:r>
          </w:p>
          <w:p w14:paraId="6B65C021" w14:textId="77777777" w:rsidR="005B1147" w:rsidRDefault="005B1147">
            <w:pPr>
              <w:pStyle w:val="BodyTextIndent"/>
              <w:ind w:left="0" w:firstLine="0"/>
              <w:jc w:val="center"/>
              <w:rPr>
                <w:sz w:val="20"/>
                <w:szCs w:val="20"/>
              </w:rPr>
            </w:pPr>
            <w:r>
              <w:rPr>
                <w:sz w:val="20"/>
                <w:szCs w:val="20"/>
              </w:rPr>
              <w:t>(b)</w:t>
            </w:r>
          </w:p>
        </w:tc>
        <w:tc>
          <w:tcPr>
            <w:tcW w:w="1910" w:type="dxa"/>
            <w:tcBorders>
              <w:top w:val="single" w:sz="4" w:space="0" w:color="auto"/>
              <w:left w:val="single" w:sz="4" w:space="0" w:color="auto"/>
              <w:bottom w:val="single" w:sz="4" w:space="0" w:color="auto"/>
              <w:right w:val="single" w:sz="4" w:space="0" w:color="auto"/>
            </w:tcBorders>
          </w:tcPr>
          <w:p w14:paraId="3988B1BE" w14:textId="77777777" w:rsidR="005B1147" w:rsidRDefault="005B1147">
            <w:pPr>
              <w:pStyle w:val="BodyTextIndent"/>
              <w:tabs>
                <w:tab w:val="right" w:leader="dot" w:pos="9360"/>
              </w:tabs>
              <w:suppressAutoHyphens/>
              <w:ind w:left="0" w:right="720" w:firstLine="0"/>
              <w:jc w:val="center"/>
              <w:rPr>
                <w:sz w:val="20"/>
                <w:szCs w:val="20"/>
              </w:rPr>
            </w:pPr>
            <w:proofErr w:type="spellStart"/>
            <w:r>
              <w:rPr>
                <w:sz w:val="20"/>
                <w:szCs w:val="20"/>
              </w:rPr>
              <w:t>Est’d</w:t>
            </w:r>
            <w:proofErr w:type="spellEnd"/>
            <w:r>
              <w:rPr>
                <w:sz w:val="20"/>
                <w:szCs w:val="20"/>
              </w:rPr>
              <w:t xml:space="preserve"> Total</w:t>
            </w:r>
          </w:p>
          <w:p w14:paraId="4C17AB40" w14:textId="77777777" w:rsidR="005B1147" w:rsidRDefault="005B1147">
            <w:pPr>
              <w:pStyle w:val="BodyTextIndent"/>
              <w:ind w:left="0" w:firstLine="0"/>
              <w:jc w:val="center"/>
              <w:rPr>
                <w:sz w:val="20"/>
                <w:szCs w:val="20"/>
              </w:rPr>
            </w:pPr>
            <w:r>
              <w:rPr>
                <w:sz w:val="20"/>
                <w:szCs w:val="20"/>
              </w:rPr>
              <w:t xml:space="preserve">Annual Burden Hrs. </w:t>
            </w:r>
          </w:p>
          <w:p w14:paraId="43119F4D" w14:textId="77777777" w:rsidR="005B1147" w:rsidRDefault="005B1147">
            <w:pPr>
              <w:pStyle w:val="BodyTextIndent"/>
              <w:ind w:left="0" w:firstLine="0"/>
              <w:jc w:val="center"/>
              <w:rPr>
                <w:sz w:val="20"/>
                <w:szCs w:val="20"/>
              </w:rPr>
            </w:pPr>
            <w:r>
              <w:rPr>
                <w:sz w:val="20"/>
                <w:szCs w:val="20"/>
              </w:rPr>
              <w:t>(a)x(b)</w:t>
            </w:r>
          </w:p>
          <w:p w14:paraId="161919C7" w14:textId="77777777" w:rsidR="005B1147" w:rsidRDefault="005B1147">
            <w:pPr>
              <w:pStyle w:val="BodyTextIndent"/>
              <w:ind w:left="0" w:firstLine="0"/>
              <w:jc w:val="center"/>
              <w:rPr>
                <w:sz w:val="20"/>
                <w:szCs w:val="20"/>
              </w:rPr>
            </w:pPr>
          </w:p>
        </w:tc>
        <w:tc>
          <w:tcPr>
            <w:tcW w:w="2094" w:type="dxa"/>
            <w:tcBorders>
              <w:top w:val="single" w:sz="4" w:space="0" w:color="auto"/>
              <w:left w:val="single" w:sz="4" w:space="0" w:color="auto"/>
              <w:bottom w:val="single" w:sz="4" w:space="0" w:color="auto"/>
              <w:right w:val="single" w:sz="4" w:space="0" w:color="auto"/>
            </w:tcBorders>
            <w:hideMark/>
          </w:tcPr>
          <w:p w14:paraId="5BFEA1BC" w14:textId="77777777" w:rsidR="005B1147" w:rsidRDefault="005B1147">
            <w:pPr>
              <w:pStyle w:val="BodyTextIndent"/>
              <w:tabs>
                <w:tab w:val="right" w:leader="dot" w:pos="9360"/>
              </w:tabs>
              <w:suppressAutoHyphens/>
              <w:ind w:left="0" w:right="720" w:firstLine="0"/>
              <w:jc w:val="center"/>
              <w:rPr>
                <w:sz w:val="20"/>
                <w:szCs w:val="20"/>
              </w:rPr>
            </w:pPr>
            <w:r>
              <w:rPr>
                <w:sz w:val="20"/>
                <w:szCs w:val="20"/>
              </w:rPr>
              <w:t>Total Aggregate cost to perform recordkeeping function (x Wage Rate)</w:t>
            </w:r>
            <w:r>
              <w:rPr>
                <w:rStyle w:val="FootnoteReference"/>
                <w:sz w:val="20"/>
                <w:szCs w:val="20"/>
              </w:rPr>
              <w:footnoteReference w:id="24"/>
            </w:r>
          </w:p>
        </w:tc>
      </w:tr>
      <w:tr w:rsidR="005B1147" w14:paraId="2BC77C6B" w14:textId="77777777" w:rsidTr="005B1147">
        <w:trPr>
          <w:jc w:val="center"/>
        </w:trPr>
        <w:tc>
          <w:tcPr>
            <w:tcW w:w="1417" w:type="dxa"/>
            <w:tcBorders>
              <w:top w:val="single" w:sz="4" w:space="0" w:color="auto"/>
              <w:left w:val="single" w:sz="4" w:space="0" w:color="auto"/>
              <w:bottom w:val="single" w:sz="4" w:space="0" w:color="auto"/>
              <w:right w:val="single" w:sz="4" w:space="0" w:color="auto"/>
            </w:tcBorders>
            <w:hideMark/>
          </w:tcPr>
          <w:p w14:paraId="6A8EFA61" w14:textId="77777777" w:rsidR="005B1147" w:rsidRDefault="005B1147">
            <w:pPr>
              <w:pStyle w:val="BodyTextIndent"/>
              <w:tabs>
                <w:tab w:val="right" w:leader="dot" w:pos="9360"/>
              </w:tabs>
              <w:suppressAutoHyphens/>
              <w:ind w:left="0" w:right="720" w:firstLine="0"/>
              <w:jc w:val="center"/>
              <w:rPr>
                <w:sz w:val="20"/>
                <w:szCs w:val="20"/>
              </w:rPr>
            </w:pPr>
            <w:r>
              <w:rPr>
                <w:sz w:val="20"/>
                <w:szCs w:val="20"/>
              </w:rPr>
              <w:t>15 SDRs</w:t>
            </w:r>
          </w:p>
        </w:tc>
        <w:tc>
          <w:tcPr>
            <w:tcW w:w="1495" w:type="dxa"/>
            <w:tcBorders>
              <w:top w:val="single" w:sz="4" w:space="0" w:color="auto"/>
              <w:left w:val="single" w:sz="4" w:space="0" w:color="auto"/>
              <w:bottom w:val="single" w:sz="4" w:space="0" w:color="auto"/>
              <w:right w:val="single" w:sz="4" w:space="0" w:color="auto"/>
            </w:tcBorders>
            <w:hideMark/>
          </w:tcPr>
          <w:p w14:paraId="0A284C4F" w14:textId="77777777" w:rsidR="005B1147" w:rsidRDefault="005B1147">
            <w:pPr>
              <w:pStyle w:val="BodyTextIndent"/>
              <w:ind w:left="0" w:firstLine="0"/>
              <w:jc w:val="center"/>
              <w:rPr>
                <w:sz w:val="20"/>
                <w:szCs w:val="20"/>
              </w:rPr>
            </w:pPr>
            <w:r>
              <w:rPr>
                <w:sz w:val="20"/>
                <w:szCs w:val="20"/>
              </w:rPr>
              <w:t>76</w:t>
            </w:r>
          </w:p>
        </w:tc>
        <w:tc>
          <w:tcPr>
            <w:tcW w:w="1910" w:type="dxa"/>
            <w:tcBorders>
              <w:top w:val="single" w:sz="4" w:space="0" w:color="auto"/>
              <w:left w:val="single" w:sz="4" w:space="0" w:color="auto"/>
              <w:bottom w:val="single" w:sz="4" w:space="0" w:color="auto"/>
              <w:right w:val="single" w:sz="4" w:space="0" w:color="auto"/>
            </w:tcBorders>
            <w:hideMark/>
          </w:tcPr>
          <w:p w14:paraId="470429D9" w14:textId="77777777" w:rsidR="005B1147" w:rsidRDefault="005B1147">
            <w:pPr>
              <w:pStyle w:val="BodyTextIndent"/>
              <w:ind w:left="0" w:firstLine="0"/>
              <w:jc w:val="center"/>
              <w:rPr>
                <w:sz w:val="20"/>
                <w:szCs w:val="20"/>
              </w:rPr>
            </w:pPr>
            <w:r>
              <w:rPr>
                <w:sz w:val="20"/>
                <w:szCs w:val="20"/>
              </w:rPr>
              <w:t>1,140</w:t>
            </w:r>
          </w:p>
        </w:tc>
        <w:tc>
          <w:tcPr>
            <w:tcW w:w="2094" w:type="dxa"/>
            <w:tcBorders>
              <w:top w:val="single" w:sz="4" w:space="0" w:color="auto"/>
              <w:left w:val="single" w:sz="4" w:space="0" w:color="auto"/>
              <w:bottom w:val="single" w:sz="4" w:space="0" w:color="auto"/>
              <w:right w:val="single" w:sz="4" w:space="0" w:color="auto"/>
            </w:tcBorders>
          </w:tcPr>
          <w:p w14:paraId="05C637B0" w14:textId="77777777" w:rsidR="005B1147" w:rsidRDefault="005B1147">
            <w:pPr>
              <w:jc w:val="center"/>
              <w:rPr>
                <w:rFonts w:ascii="Times New Roman" w:hAnsi="Times New Roman"/>
                <w:color w:val="000000"/>
                <w:sz w:val="20"/>
              </w:rPr>
            </w:pPr>
            <w:r>
              <w:rPr>
                <w:rFonts w:ascii="Times New Roman" w:hAnsi="Times New Roman"/>
                <w:color w:val="000000"/>
                <w:sz w:val="20"/>
              </w:rPr>
              <w:t>$93,855</w:t>
            </w:r>
          </w:p>
          <w:p w14:paraId="205303DA" w14:textId="77777777" w:rsidR="005B1147" w:rsidRDefault="005B1147">
            <w:pPr>
              <w:pStyle w:val="BodyTextIndent"/>
              <w:ind w:left="0" w:firstLine="0"/>
              <w:jc w:val="center"/>
              <w:rPr>
                <w:sz w:val="20"/>
                <w:szCs w:val="20"/>
              </w:rPr>
            </w:pPr>
          </w:p>
        </w:tc>
      </w:tr>
      <w:tr w:rsidR="005B1147" w14:paraId="7A49BAD1" w14:textId="77777777" w:rsidTr="005B1147">
        <w:trPr>
          <w:jc w:val="center"/>
        </w:trPr>
        <w:tc>
          <w:tcPr>
            <w:tcW w:w="1417" w:type="dxa"/>
            <w:tcBorders>
              <w:top w:val="single" w:sz="4" w:space="0" w:color="auto"/>
              <w:left w:val="single" w:sz="4" w:space="0" w:color="auto"/>
              <w:bottom w:val="single" w:sz="4" w:space="0" w:color="auto"/>
              <w:right w:val="single" w:sz="4" w:space="0" w:color="auto"/>
            </w:tcBorders>
            <w:hideMark/>
          </w:tcPr>
          <w:p w14:paraId="1EFCCD85" w14:textId="77777777" w:rsidR="005B1147" w:rsidRDefault="005B1147">
            <w:pPr>
              <w:pStyle w:val="BodyTextIndent"/>
              <w:ind w:left="0" w:firstLine="0"/>
              <w:jc w:val="center"/>
              <w:rPr>
                <w:sz w:val="20"/>
                <w:szCs w:val="20"/>
              </w:rPr>
            </w:pPr>
            <w:r>
              <w:rPr>
                <w:sz w:val="20"/>
                <w:szCs w:val="20"/>
              </w:rPr>
              <w:t>125 SDs/MSPs</w:t>
            </w:r>
          </w:p>
        </w:tc>
        <w:tc>
          <w:tcPr>
            <w:tcW w:w="1495" w:type="dxa"/>
            <w:tcBorders>
              <w:top w:val="single" w:sz="4" w:space="0" w:color="auto"/>
              <w:left w:val="single" w:sz="4" w:space="0" w:color="auto"/>
              <w:bottom w:val="single" w:sz="4" w:space="0" w:color="auto"/>
              <w:right w:val="single" w:sz="4" w:space="0" w:color="auto"/>
            </w:tcBorders>
            <w:hideMark/>
          </w:tcPr>
          <w:p w14:paraId="63652714" w14:textId="77777777" w:rsidR="005B1147" w:rsidRDefault="005B1147">
            <w:pPr>
              <w:pStyle w:val="BodyTextIndent"/>
              <w:ind w:left="0" w:firstLine="0"/>
              <w:jc w:val="center"/>
              <w:rPr>
                <w:sz w:val="20"/>
                <w:szCs w:val="20"/>
              </w:rPr>
            </w:pPr>
            <w:r>
              <w:rPr>
                <w:sz w:val="20"/>
                <w:szCs w:val="20"/>
              </w:rPr>
              <w:t>30</w:t>
            </w:r>
          </w:p>
        </w:tc>
        <w:tc>
          <w:tcPr>
            <w:tcW w:w="1910" w:type="dxa"/>
            <w:tcBorders>
              <w:top w:val="single" w:sz="4" w:space="0" w:color="auto"/>
              <w:left w:val="single" w:sz="4" w:space="0" w:color="auto"/>
              <w:bottom w:val="single" w:sz="4" w:space="0" w:color="auto"/>
              <w:right w:val="single" w:sz="4" w:space="0" w:color="auto"/>
            </w:tcBorders>
            <w:hideMark/>
          </w:tcPr>
          <w:p w14:paraId="3A991A36" w14:textId="77777777" w:rsidR="005B1147" w:rsidRDefault="005B1147">
            <w:pPr>
              <w:pStyle w:val="BodyTextIndent"/>
              <w:ind w:left="0" w:firstLine="0"/>
              <w:jc w:val="center"/>
              <w:rPr>
                <w:sz w:val="20"/>
                <w:szCs w:val="20"/>
              </w:rPr>
            </w:pPr>
            <w:r>
              <w:rPr>
                <w:sz w:val="20"/>
                <w:szCs w:val="20"/>
              </w:rPr>
              <w:t>3,750</w:t>
            </w:r>
          </w:p>
        </w:tc>
        <w:tc>
          <w:tcPr>
            <w:tcW w:w="2094" w:type="dxa"/>
            <w:tcBorders>
              <w:top w:val="single" w:sz="4" w:space="0" w:color="auto"/>
              <w:left w:val="single" w:sz="4" w:space="0" w:color="auto"/>
              <w:bottom w:val="single" w:sz="4" w:space="0" w:color="auto"/>
              <w:right w:val="single" w:sz="4" w:space="0" w:color="auto"/>
            </w:tcBorders>
            <w:hideMark/>
          </w:tcPr>
          <w:p w14:paraId="1E8F4B55" w14:textId="77777777" w:rsidR="005B1147" w:rsidRDefault="005B1147">
            <w:pPr>
              <w:pStyle w:val="BodyTextIndent"/>
              <w:ind w:left="0" w:firstLine="0"/>
              <w:jc w:val="center"/>
              <w:rPr>
                <w:sz w:val="20"/>
                <w:szCs w:val="20"/>
              </w:rPr>
            </w:pPr>
            <w:r>
              <w:rPr>
                <w:sz w:val="20"/>
                <w:szCs w:val="20"/>
              </w:rPr>
              <w:t>$328,000</w:t>
            </w:r>
          </w:p>
        </w:tc>
      </w:tr>
      <w:tr w:rsidR="005B1147" w14:paraId="331A1756" w14:textId="77777777" w:rsidTr="005B1147">
        <w:trPr>
          <w:jc w:val="center"/>
        </w:trPr>
        <w:tc>
          <w:tcPr>
            <w:tcW w:w="1417" w:type="dxa"/>
            <w:tcBorders>
              <w:top w:val="single" w:sz="4" w:space="0" w:color="auto"/>
              <w:left w:val="single" w:sz="4" w:space="0" w:color="auto"/>
              <w:bottom w:val="single" w:sz="4" w:space="0" w:color="auto"/>
              <w:right w:val="single" w:sz="4" w:space="0" w:color="auto"/>
            </w:tcBorders>
            <w:hideMark/>
          </w:tcPr>
          <w:p w14:paraId="7990D3F1" w14:textId="77777777" w:rsidR="005B1147" w:rsidRDefault="005B1147">
            <w:pPr>
              <w:pStyle w:val="BodyTextIndent"/>
              <w:ind w:left="0" w:firstLine="0"/>
              <w:jc w:val="center"/>
              <w:rPr>
                <w:sz w:val="20"/>
                <w:szCs w:val="20"/>
              </w:rPr>
            </w:pPr>
            <w:r>
              <w:rPr>
                <w:sz w:val="20"/>
                <w:szCs w:val="20"/>
              </w:rPr>
              <w:t>40 SEFs</w:t>
            </w:r>
          </w:p>
        </w:tc>
        <w:tc>
          <w:tcPr>
            <w:tcW w:w="1495" w:type="dxa"/>
            <w:tcBorders>
              <w:top w:val="single" w:sz="4" w:space="0" w:color="auto"/>
              <w:left w:val="single" w:sz="4" w:space="0" w:color="auto"/>
              <w:bottom w:val="single" w:sz="4" w:space="0" w:color="auto"/>
              <w:right w:val="single" w:sz="4" w:space="0" w:color="auto"/>
            </w:tcBorders>
            <w:hideMark/>
          </w:tcPr>
          <w:p w14:paraId="441FB3AB" w14:textId="77777777" w:rsidR="005B1147" w:rsidRDefault="005B1147">
            <w:pPr>
              <w:pStyle w:val="BodyTextIndent"/>
              <w:ind w:left="0" w:firstLine="0"/>
              <w:jc w:val="center"/>
              <w:rPr>
                <w:sz w:val="20"/>
                <w:szCs w:val="20"/>
              </w:rPr>
            </w:pPr>
            <w:r>
              <w:rPr>
                <w:sz w:val="20"/>
                <w:szCs w:val="20"/>
              </w:rPr>
              <w:t>45</w:t>
            </w:r>
          </w:p>
        </w:tc>
        <w:tc>
          <w:tcPr>
            <w:tcW w:w="1910" w:type="dxa"/>
            <w:tcBorders>
              <w:top w:val="single" w:sz="4" w:space="0" w:color="auto"/>
              <w:left w:val="single" w:sz="4" w:space="0" w:color="auto"/>
              <w:bottom w:val="single" w:sz="4" w:space="0" w:color="auto"/>
              <w:right w:val="single" w:sz="4" w:space="0" w:color="auto"/>
            </w:tcBorders>
            <w:hideMark/>
          </w:tcPr>
          <w:p w14:paraId="0F3C8F5A" w14:textId="77777777" w:rsidR="005B1147" w:rsidRDefault="005B1147">
            <w:pPr>
              <w:pStyle w:val="BodyTextIndent"/>
              <w:ind w:left="0" w:firstLine="0"/>
              <w:jc w:val="center"/>
              <w:rPr>
                <w:sz w:val="20"/>
                <w:szCs w:val="20"/>
              </w:rPr>
            </w:pPr>
            <w:r>
              <w:rPr>
                <w:sz w:val="20"/>
                <w:szCs w:val="20"/>
              </w:rPr>
              <w:t>1,800</w:t>
            </w:r>
          </w:p>
        </w:tc>
        <w:tc>
          <w:tcPr>
            <w:tcW w:w="2094" w:type="dxa"/>
            <w:tcBorders>
              <w:top w:val="single" w:sz="4" w:space="0" w:color="auto"/>
              <w:left w:val="single" w:sz="4" w:space="0" w:color="auto"/>
              <w:bottom w:val="single" w:sz="4" w:space="0" w:color="auto"/>
              <w:right w:val="single" w:sz="4" w:space="0" w:color="auto"/>
            </w:tcBorders>
          </w:tcPr>
          <w:p w14:paraId="21541636" w14:textId="77777777" w:rsidR="005B1147" w:rsidRDefault="005B1147">
            <w:pPr>
              <w:jc w:val="center"/>
              <w:rPr>
                <w:rFonts w:ascii="Times New Roman" w:hAnsi="Times New Roman"/>
                <w:color w:val="000000"/>
                <w:sz w:val="20"/>
              </w:rPr>
            </w:pPr>
            <w:r>
              <w:rPr>
                <w:rFonts w:ascii="Times New Roman" w:hAnsi="Times New Roman"/>
                <w:color w:val="000000"/>
                <w:sz w:val="20"/>
              </w:rPr>
              <w:t>$157,440</w:t>
            </w:r>
          </w:p>
          <w:p w14:paraId="31E4D708" w14:textId="77777777" w:rsidR="005B1147" w:rsidRDefault="005B1147">
            <w:pPr>
              <w:pStyle w:val="BodyTextIndent"/>
              <w:ind w:left="0" w:firstLine="0"/>
              <w:jc w:val="center"/>
              <w:rPr>
                <w:sz w:val="20"/>
                <w:szCs w:val="20"/>
              </w:rPr>
            </w:pPr>
          </w:p>
        </w:tc>
      </w:tr>
      <w:tr w:rsidR="005B1147" w14:paraId="7926B825" w14:textId="77777777" w:rsidTr="005B1147">
        <w:trPr>
          <w:jc w:val="center"/>
        </w:trPr>
        <w:tc>
          <w:tcPr>
            <w:tcW w:w="1417" w:type="dxa"/>
            <w:tcBorders>
              <w:top w:val="single" w:sz="4" w:space="0" w:color="auto"/>
              <w:left w:val="single" w:sz="4" w:space="0" w:color="auto"/>
              <w:bottom w:val="single" w:sz="4" w:space="0" w:color="auto"/>
              <w:right w:val="single" w:sz="4" w:space="0" w:color="auto"/>
            </w:tcBorders>
            <w:hideMark/>
          </w:tcPr>
          <w:p w14:paraId="0AFE1862" w14:textId="77777777" w:rsidR="005B1147" w:rsidRDefault="005B1147">
            <w:pPr>
              <w:pStyle w:val="BodyTextIndent"/>
              <w:ind w:left="0" w:firstLine="0"/>
              <w:jc w:val="center"/>
              <w:rPr>
                <w:sz w:val="20"/>
                <w:szCs w:val="20"/>
              </w:rPr>
            </w:pPr>
            <w:r>
              <w:rPr>
                <w:sz w:val="20"/>
                <w:szCs w:val="20"/>
              </w:rPr>
              <w:t>18</w:t>
            </w:r>
            <w:r>
              <w:rPr>
                <w:rStyle w:val="FootnoteReference"/>
                <w:sz w:val="20"/>
                <w:szCs w:val="20"/>
              </w:rPr>
              <w:footnoteReference w:id="25"/>
            </w:r>
            <w:r>
              <w:rPr>
                <w:sz w:val="20"/>
                <w:szCs w:val="20"/>
              </w:rPr>
              <w:t xml:space="preserve"> DCMs</w:t>
            </w:r>
          </w:p>
        </w:tc>
        <w:tc>
          <w:tcPr>
            <w:tcW w:w="1495" w:type="dxa"/>
            <w:tcBorders>
              <w:top w:val="single" w:sz="4" w:space="0" w:color="auto"/>
              <w:left w:val="single" w:sz="4" w:space="0" w:color="auto"/>
              <w:bottom w:val="single" w:sz="4" w:space="0" w:color="auto"/>
              <w:right w:val="single" w:sz="4" w:space="0" w:color="auto"/>
            </w:tcBorders>
            <w:hideMark/>
          </w:tcPr>
          <w:p w14:paraId="50FA2EC8" w14:textId="77777777" w:rsidR="005B1147" w:rsidRDefault="005B1147">
            <w:pPr>
              <w:pStyle w:val="BodyTextIndent"/>
              <w:ind w:left="0" w:firstLine="0"/>
              <w:jc w:val="center"/>
              <w:rPr>
                <w:sz w:val="20"/>
                <w:szCs w:val="20"/>
              </w:rPr>
            </w:pPr>
            <w:r>
              <w:rPr>
                <w:sz w:val="20"/>
                <w:szCs w:val="20"/>
              </w:rPr>
              <w:t>45</w:t>
            </w:r>
          </w:p>
        </w:tc>
        <w:tc>
          <w:tcPr>
            <w:tcW w:w="1910" w:type="dxa"/>
            <w:tcBorders>
              <w:top w:val="single" w:sz="4" w:space="0" w:color="auto"/>
              <w:left w:val="single" w:sz="4" w:space="0" w:color="auto"/>
              <w:bottom w:val="single" w:sz="4" w:space="0" w:color="auto"/>
              <w:right w:val="single" w:sz="4" w:space="0" w:color="auto"/>
            </w:tcBorders>
            <w:hideMark/>
          </w:tcPr>
          <w:p w14:paraId="28E19DED" w14:textId="77777777" w:rsidR="005B1147" w:rsidRDefault="005B1147">
            <w:pPr>
              <w:pStyle w:val="BodyTextIndent"/>
              <w:ind w:left="0" w:firstLine="0"/>
              <w:jc w:val="center"/>
              <w:rPr>
                <w:sz w:val="20"/>
                <w:szCs w:val="20"/>
              </w:rPr>
            </w:pPr>
            <w:r>
              <w:rPr>
                <w:sz w:val="20"/>
                <w:szCs w:val="20"/>
              </w:rPr>
              <w:t>810</w:t>
            </w:r>
          </w:p>
        </w:tc>
        <w:tc>
          <w:tcPr>
            <w:tcW w:w="2094" w:type="dxa"/>
            <w:tcBorders>
              <w:top w:val="single" w:sz="4" w:space="0" w:color="auto"/>
              <w:left w:val="single" w:sz="4" w:space="0" w:color="auto"/>
              <w:bottom w:val="single" w:sz="4" w:space="0" w:color="auto"/>
              <w:right w:val="single" w:sz="4" w:space="0" w:color="auto"/>
            </w:tcBorders>
          </w:tcPr>
          <w:p w14:paraId="72745CD2" w14:textId="77777777" w:rsidR="005B1147" w:rsidRDefault="005B1147">
            <w:pPr>
              <w:jc w:val="center"/>
              <w:rPr>
                <w:rFonts w:ascii="Times New Roman" w:hAnsi="Times New Roman"/>
                <w:color w:val="000000"/>
                <w:sz w:val="20"/>
              </w:rPr>
            </w:pPr>
            <w:r>
              <w:rPr>
                <w:rFonts w:ascii="Times New Roman" w:hAnsi="Times New Roman"/>
                <w:color w:val="000000"/>
                <w:sz w:val="20"/>
              </w:rPr>
              <w:t>$70,848</w:t>
            </w:r>
          </w:p>
          <w:p w14:paraId="7519C851" w14:textId="77777777" w:rsidR="005B1147" w:rsidRDefault="005B1147">
            <w:pPr>
              <w:pStyle w:val="BodyTextIndent"/>
              <w:ind w:left="0" w:firstLine="0"/>
              <w:jc w:val="center"/>
              <w:rPr>
                <w:sz w:val="20"/>
                <w:szCs w:val="20"/>
              </w:rPr>
            </w:pPr>
          </w:p>
        </w:tc>
      </w:tr>
      <w:tr w:rsidR="005B1147" w14:paraId="4E4FE907" w14:textId="77777777" w:rsidTr="005B1147">
        <w:trPr>
          <w:jc w:val="center"/>
        </w:trPr>
        <w:tc>
          <w:tcPr>
            <w:tcW w:w="1417" w:type="dxa"/>
            <w:tcBorders>
              <w:top w:val="single" w:sz="4" w:space="0" w:color="auto"/>
              <w:left w:val="single" w:sz="4" w:space="0" w:color="auto"/>
              <w:bottom w:val="single" w:sz="4" w:space="0" w:color="auto"/>
              <w:right w:val="single" w:sz="4" w:space="0" w:color="auto"/>
            </w:tcBorders>
            <w:hideMark/>
          </w:tcPr>
          <w:p w14:paraId="5D7352DC" w14:textId="77777777" w:rsidR="005B1147" w:rsidRDefault="005B1147">
            <w:pPr>
              <w:pStyle w:val="BodyTextIndent"/>
              <w:ind w:left="0" w:firstLine="0"/>
              <w:rPr>
                <w:sz w:val="20"/>
                <w:szCs w:val="20"/>
              </w:rPr>
            </w:pPr>
            <w:r>
              <w:rPr>
                <w:sz w:val="20"/>
                <w:szCs w:val="20"/>
              </w:rPr>
              <w:t xml:space="preserve">30,000 Non-SDs/non-MSPs </w:t>
            </w:r>
          </w:p>
        </w:tc>
        <w:tc>
          <w:tcPr>
            <w:tcW w:w="1495" w:type="dxa"/>
            <w:tcBorders>
              <w:top w:val="single" w:sz="4" w:space="0" w:color="auto"/>
              <w:left w:val="single" w:sz="4" w:space="0" w:color="auto"/>
              <w:bottom w:val="single" w:sz="4" w:space="0" w:color="auto"/>
              <w:right w:val="single" w:sz="4" w:space="0" w:color="auto"/>
            </w:tcBorders>
            <w:hideMark/>
          </w:tcPr>
          <w:p w14:paraId="2C3E9FA9" w14:textId="77777777" w:rsidR="005B1147" w:rsidRDefault="005B1147">
            <w:pPr>
              <w:pStyle w:val="BodyTextIndent"/>
              <w:ind w:left="0" w:firstLine="0"/>
              <w:jc w:val="center"/>
              <w:rPr>
                <w:sz w:val="20"/>
                <w:szCs w:val="20"/>
              </w:rPr>
            </w:pPr>
            <w:r>
              <w:rPr>
                <w:sz w:val="20"/>
                <w:szCs w:val="20"/>
              </w:rPr>
              <w:t>NA</w:t>
            </w:r>
          </w:p>
        </w:tc>
        <w:tc>
          <w:tcPr>
            <w:tcW w:w="1910" w:type="dxa"/>
            <w:tcBorders>
              <w:top w:val="single" w:sz="4" w:space="0" w:color="auto"/>
              <w:left w:val="single" w:sz="4" w:space="0" w:color="auto"/>
              <w:bottom w:val="single" w:sz="4" w:space="0" w:color="auto"/>
              <w:right w:val="single" w:sz="4" w:space="0" w:color="auto"/>
            </w:tcBorders>
            <w:hideMark/>
          </w:tcPr>
          <w:p w14:paraId="797FD2C9" w14:textId="77777777" w:rsidR="005B1147" w:rsidRDefault="005B1147">
            <w:pPr>
              <w:pStyle w:val="BodyTextIndent"/>
              <w:ind w:left="0" w:firstLine="0"/>
              <w:jc w:val="center"/>
              <w:rPr>
                <w:sz w:val="20"/>
                <w:szCs w:val="20"/>
              </w:rPr>
            </w:pPr>
            <w:r>
              <w:rPr>
                <w:sz w:val="20"/>
                <w:szCs w:val="20"/>
              </w:rPr>
              <w:t>NA</w:t>
            </w:r>
          </w:p>
        </w:tc>
        <w:tc>
          <w:tcPr>
            <w:tcW w:w="2094" w:type="dxa"/>
            <w:tcBorders>
              <w:top w:val="single" w:sz="4" w:space="0" w:color="auto"/>
              <w:left w:val="single" w:sz="4" w:space="0" w:color="auto"/>
              <w:bottom w:val="single" w:sz="4" w:space="0" w:color="auto"/>
              <w:right w:val="single" w:sz="4" w:space="0" w:color="auto"/>
            </w:tcBorders>
            <w:hideMark/>
          </w:tcPr>
          <w:p w14:paraId="37C6524B" w14:textId="77777777" w:rsidR="005B1147" w:rsidRDefault="005B1147">
            <w:pPr>
              <w:pStyle w:val="BodyTextIndent"/>
              <w:ind w:left="0" w:firstLine="0"/>
              <w:jc w:val="center"/>
              <w:rPr>
                <w:sz w:val="20"/>
                <w:szCs w:val="20"/>
              </w:rPr>
            </w:pPr>
            <w:r>
              <w:rPr>
                <w:sz w:val="20"/>
                <w:szCs w:val="20"/>
              </w:rPr>
              <w:t>NA</w:t>
            </w:r>
          </w:p>
        </w:tc>
      </w:tr>
    </w:tbl>
    <w:p w14:paraId="6AAB8CF4" w14:textId="77777777" w:rsidR="005B1147" w:rsidRDefault="005B1147" w:rsidP="005B1147">
      <w:pPr>
        <w:pStyle w:val="BodyTextIndent"/>
        <w:rPr>
          <w:sz w:val="20"/>
          <w:szCs w:val="20"/>
        </w:rPr>
      </w:pPr>
    </w:p>
    <w:p w14:paraId="524B5D8F" w14:textId="77777777" w:rsidR="005B1147" w:rsidRDefault="005B1147" w:rsidP="005B1147">
      <w:pPr>
        <w:pStyle w:val="BodyTextIndent"/>
        <w:jc w:val="center"/>
        <w:rPr>
          <w:sz w:val="20"/>
          <w:szCs w:val="20"/>
        </w:rPr>
      </w:pPr>
    </w:p>
    <w:p w14:paraId="30510686" w14:textId="77777777" w:rsidR="005B1147" w:rsidRDefault="005B1147" w:rsidP="005B1147">
      <w:pPr>
        <w:jc w:val="center"/>
        <w:rPr>
          <w:rFonts w:ascii="Times New Roman" w:hAnsi="Times New Roman"/>
          <w:color w:val="000000"/>
          <w:szCs w:val="24"/>
        </w:rPr>
      </w:pPr>
      <w:r>
        <w:rPr>
          <w:rFonts w:ascii="Times New Roman" w:hAnsi="Times New Roman"/>
          <w:szCs w:val="24"/>
          <w:u w:val="single"/>
        </w:rPr>
        <w:t>Estimated Total Annual Burden Hours</w:t>
      </w:r>
      <w:r>
        <w:rPr>
          <w:rFonts w:ascii="Times New Roman" w:hAnsi="Times New Roman"/>
          <w:szCs w:val="24"/>
        </w:rPr>
        <w:t>:</w:t>
      </w:r>
      <w:r>
        <w:rPr>
          <w:rFonts w:ascii="Times New Roman" w:hAnsi="Times New Roman"/>
          <w:szCs w:val="24"/>
        </w:rPr>
        <w:tab/>
        <w:t>7,500</w:t>
      </w:r>
    </w:p>
    <w:p w14:paraId="2F7418C6" w14:textId="77777777" w:rsidR="005B1147" w:rsidRDefault="005B1147" w:rsidP="005B1147">
      <w:pPr>
        <w:tabs>
          <w:tab w:val="left" w:pos="-720"/>
        </w:tabs>
        <w:suppressAutoHyphens/>
        <w:jc w:val="center"/>
        <w:rPr>
          <w:rFonts w:ascii="Times New Roman" w:hAnsi="Times New Roman"/>
          <w:sz w:val="20"/>
        </w:rPr>
      </w:pPr>
    </w:p>
    <w:p w14:paraId="13E73275" w14:textId="54EBD963" w:rsidR="005B1147" w:rsidRDefault="005B1147" w:rsidP="005E0E0A">
      <w:pPr>
        <w:pStyle w:val="BodyTextIndent"/>
        <w:ind w:left="0" w:firstLine="0"/>
        <w:rPr>
          <w:sz w:val="20"/>
          <w:szCs w:val="20"/>
        </w:rPr>
      </w:pPr>
    </w:p>
    <w:sectPr w:rsidR="005B1147" w:rsidSect="00375F32">
      <w:endnotePr>
        <w:numFmt w:val="decimal"/>
      </w:endnotePr>
      <w:pgSz w:w="15840" w:h="12240" w:orient="landscape"/>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5CC14" w14:textId="77777777" w:rsidR="00BB5F13" w:rsidRDefault="00BB5F13">
      <w:pPr>
        <w:spacing w:line="20" w:lineRule="exact"/>
      </w:pPr>
    </w:p>
  </w:endnote>
  <w:endnote w:type="continuationSeparator" w:id="0">
    <w:p w14:paraId="5485CC15" w14:textId="77777777" w:rsidR="00BB5F13" w:rsidRDefault="00BB5F13">
      <w:r>
        <w:t xml:space="preserve"> </w:t>
      </w:r>
    </w:p>
  </w:endnote>
  <w:endnote w:type="continuationNotice" w:id="1">
    <w:p w14:paraId="5485CC16" w14:textId="77777777" w:rsidR="00BB5F13" w:rsidRDefault="00BB5F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723677"/>
      <w:docPartObj>
        <w:docPartGallery w:val="Page Numbers (Bottom of Page)"/>
        <w:docPartUnique/>
      </w:docPartObj>
    </w:sdtPr>
    <w:sdtEndPr>
      <w:rPr>
        <w:noProof/>
      </w:rPr>
    </w:sdtEndPr>
    <w:sdtContent>
      <w:p w14:paraId="61F704B8" w14:textId="4011B0BC" w:rsidR="00BB5F13" w:rsidRDefault="00BB5F13">
        <w:pPr>
          <w:pStyle w:val="Footer"/>
          <w:jc w:val="right"/>
        </w:pPr>
        <w:r w:rsidRPr="005E0E0A">
          <w:rPr>
            <w:rFonts w:ascii="Times New Roman" w:hAnsi="Times New Roman"/>
          </w:rPr>
          <w:fldChar w:fldCharType="begin"/>
        </w:r>
        <w:r w:rsidRPr="005E0E0A">
          <w:rPr>
            <w:rFonts w:ascii="Times New Roman" w:hAnsi="Times New Roman"/>
          </w:rPr>
          <w:instrText xml:space="preserve"> PAGE   \* MERGEFORMAT </w:instrText>
        </w:r>
        <w:r w:rsidRPr="005E0E0A">
          <w:rPr>
            <w:rFonts w:ascii="Times New Roman" w:hAnsi="Times New Roman"/>
          </w:rPr>
          <w:fldChar w:fldCharType="separate"/>
        </w:r>
        <w:r w:rsidR="00543AA7">
          <w:rPr>
            <w:rFonts w:ascii="Times New Roman" w:hAnsi="Times New Roman"/>
            <w:noProof/>
          </w:rPr>
          <w:t>8</w:t>
        </w:r>
        <w:r w:rsidRPr="005E0E0A">
          <w:rPr>
            <w:rFonts w:ascii="Times New Roman" w:hAnsi="Times New Roman"/>
            <w:noProof/>
          </w:rPr>
          <w:fldChar w:fldCharType="end"/>
        </w:r>
      </w:p>
    </w:sdtContent>
  </w:sdt>
  <w:p w14:paraId="46607C64" w14:textId="77777777" w:rsidR="00BB5F13" w:rsidRDefault="00BB5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5CC12" w14:textId="77777777" w:rsidR="00BB5F13" w:rsidRDefault="00BB5F13">
      <w:r>
        <w:separator/>
      </w:r>
    </w:p>
  </w:footnote>
  <w:footnote w:type="continuationSeparator" w:id="0">
    <w:p w14:paraId="5485CC13" w14:textId="77777777" w:rsidR="00BB5F13" w:rsidRDefault="00BB5F13">
      <w:r>
        <w:t>(..</w:t>
      </w:r>
      <w:proofErr w:type="gramStart"/>
      <w:r>
        <w:t>continued</w:t>
      </w:r>
      <w:proofErr w:type="gramEnd"/>
      <w:r>
        <w:t>)</w:t>
      </w:r>
    </w:p>
  </w:footnote>
  <w:footnote w:id="1">
    <w:p w14:paraId="12710810" w14:textId="77777777" w:rsidR="00BB5F13" w:rsidRDefault="00BB5F13" w:rsidP="005B1147">
      <w:pPr>
        <w:pStyle w:val="PlainText"/>
        <w:spacing w:after="120"/>
        <w:rPr>
          <w:rFonts w:ascii="Times New Roman" w:hAnsi="Times New Roman"/>
          <w:color w:val="auto"/>
          <w:sz w:val="20"/>
          <w:szCs w:val="20"/>
        </w:rPr>
      </w:pPr>
      <w:r>
        <w:rPr>
          <w:rStyle w:val="FootnoteReference"/>
          <w:rFonts w:ascii="Times New Roman" w:hAnsi="Times New Roman"/>
          <w:color w:val="auto"/>
          <w:sz w:val="20"/>
          <w:szCs w:val="20"/>
        </w:rPr>
        <w:footnoteRef/>
      </w:r>
      <w:r>
        <w:rPr>
          <w:rFonts w:ascii="Times New Roman" w:hAnsi="Times New Roman"/>
          <w:color w:val="auto"/>
          <w:sz w:val="20"/>
          <w:szCs w:val="20"/>
        </w:rPr>
        <w:t xml:space="preserve"> </w:t>
      </w:r>
      <w:r>
        <w:rPr>
          <w:rFonts w:ascii="Times New Roman" w:hAnsi="Times New Roman"/>
          <w:i/>
          <w:color w:val="auto"/>
          <w:sz w:val="20"/>
          <w:szCs w:val="20"/>
        </w:rPr>
        <w:t>See</w:t>
      </w:r>
      <w:r>
        <w:rPr>
          <w:rFonts w:ascii="Times New Roman" w:hAnsi="Times New Roman"/>
          <w:color w:val="auto"/>
          <w:sz w:val="20"/>
          <w:szCs w:val="20"/>
        </w:rPr>
        <w:t xml:space="preserve"> Dodd-Frank Wall Street Reform and Consumer Protection Act, Pub. </w:t>
      </w:r>
      <w:proofErr w:type="gramStart"/>
      <w:r>
        <w:rPr>
          <w:rFonts w:ascii="Times New Roman" w:hAnsi="Times New Roman"/>
          <w:color w:val="auto"/>
          <w:sz w:val="20"/>
          <w:szCs w:val="20"/>
        </w:rPr>
        <w:t>L. No. 111-203, 124 Stat. 1376 (2010).</w:t>
      </w:r>
      <w:proofErr w:type="gramEnd"/>
      <w:r>
        <w:rPr>
          <w:rFonts w:ascii="Times New Roman" w:hAnsi="Times New Roman"/>
          <w:color w:val="auto"/>
          <w:sz w:val="20"/>
          <w:szCs w:val="20"/>
        </w:rPr>
        <w:t xml:space="preserve">  </w:t>
      </w:r>
    </w:p>
  </w:footnote>
  <w:footnote w:id="2">
    <w:p w14:paraId="154F09D5" w14:textId="77777777" w:rsidR="00BB5F13" w:rsidRDefault="00BB5F13" w:rsidP="005B1147">
      <w:pPr>
        <w:pStyle w:val="FootnoteText"/>
        <w:spacing w:after="120"/>
        <w:rPr>
          <w:rFonts w:ascii="Times New Roman" w:hAnsi="Times New Roman"/>
          <w:i/>
          <w:sz w:val="20"/>
        </w:rPr>
      </w:pPr>
      <w:r>
        <w:rPr>
          <w:rStyle w:val="FootnoteReference"/>
          <w:rFonts w:ascii="Times New Roman" w:hAnsi="Times New Roman"/>
          <w:sz w:val="20"/>
        </w:rPr>
        <w:footnoteRef/>
      </w:r>
      <w:r>
        <w:rPr>
          <w:rFonts w:ascii="Times New Roman" w:hAnsi="Times New Roman"/>
          <w:sz w:val="20"/>
        </w:rPr>
        <w:t xml:space="preserve"> </w:t>
      </w:r>
      <w:proofErr w:type="gramStart"/>
      <w:r>
        <w:rPr>
          <w:rFonts w:ascii="Times New Roman" w:hAnsi="Times New Roman"/>
          <w:sz w:val="20"/>
        </w:rPr>
        <w:t xml:space="preserve">7 U.S.C. § 1 </w:t>
      </w:r>
      <w:r>
        <w:rPr>
          <w:rFonts w:ascii="Times New Roman" w:hAnsi="Times New Roman"/>
          <w:i/>
          <w:sz w:val="20"/>
        </w:rPr>
        <w:t>et seq.</w:t>
      </w:r>
      <w:proofErr w:type="gramEnd"/>
    </w:p>
  </w:footnote>
  <w:footnote w:id="3">
    <w:p w14:paraId="1438F6D1"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The Commission also received a comment from OMB which took the form of a “Notice of Action.”</w:t>
      </w:r>
    </w:p>
  </w:footnote>
  <w:footnote w:id="4">
    <w:p w14:paraId="19A259BC" w14:textId="0CAA9A69" w:rsidR="00BB5F13" w:rsidRPr="00377881" w:rsidRDefault="00BB5F13">
      <w:pPr>
        <w:pStyle w:val="FootnoteText"/>
        <w:rPr>
          <w:rFonts w:ascii="Times New Roman" w:hAnsi="Times New Roman"/>
          <w:sz w:val="20"/>
        </w:rPr>
      </w:pPr>
      <w:r>
        <w:rPr>
          <w:rStyle w:val="FootnoteReference"/>
        </w:rPr>
        <w:footnoteRef/>
      </w:r>
      <w:r>
        <w:t xml:space="preserve"> </w:t>
      </w:r>
      <w:r>
        <w:rPr>
          <w:rFonts w:ascii="Times New Roman" w:hAnsi="Times New Roman"/>
          <w:sz w:val="20"/>
        </w:rPr>
        <w:t>The term “non-SDs/non-MSPs” includes those parties characterized as “end-users” in the Proposing Release.</w:t>
      </w:r>
    </w:p>
  </w:footnote>
  <w:footnote w:id="5">
    <w:p w14:paraId="68615982"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u w:val="single"/>
        </w:rPr>
        <w:t>See</w:t>
      </w:r>
      <w:r>
        <w:rPr>
          <w:rFonts w:ascii="Times New Roman" w:hAnsi="Times New Roman"/>
          <w:sz w:val="20"/>
        </w:rPr>
        <w:t xml:space="preserve"> 75 FR 76170.</w:t>
      </w:r>
    </w:p>
  </w:footnote>
  <w:footnote w:id="6">
    <w:p w14:paraId="79B3C928"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In so doing, the Commission at times has utilized wage rate estimates based on salary information for the securities industry compiled by the Securities Industry and Financial Markets Association (“SIFMA”).  </w:t>
      </w:r>
      <w:r>
        <w:rPr>
          <w:rStyle w:val="BalloonTextChar"/>
          <w:rFonts w:ascii="Times New Roman" w:hAnsi="Times New Roman"/>
          <w:sz w:val="20"/>
        </w:rPr>
        <w:t>These wage estimates are derived from an industry-wide survey of participants and thus reflect an average across entities; the Commission notes that the actual costs for any individual company or sector may vary from the average</w:t>
      </w:r>
      <w:r>
        <w:rPr>
          <w:rFonts w:ascii="Times New Roman" w:hAnsi="Times New Roman"/>
          <w:sz w:val="20"/>
        </w:rPr>
        <w:t xml:space="preserve">.  </w:t>
      </w:r>
    </w:p>
    <w:p w14:paraId="01390A2E" w14:textId="77777777" w:rsidR="00BB5F13" w:rsidRDefault="00BB5F13" w:rsidP="005B1147">
      <w:pPr>
        <w:pStyle w:val="FootnoteText"/>
        <w:spacing w:after="120"/>
        <w:rPr>
          <w:rFonts w:ascii="Times New Roman" w:hAnsi="Times New Roman"/>
          <w:sz w:val="20"/>
        </w:rPr>
      </w:pPr>
      <w:r>
        <w:rPr>
          <w:rFonts w:ascii="Times New Roman" w:hAnsi="Times New Roman"/>
          <w:sz w:val="20"/>
        </w:rPr>
        <w:t xml:space="preserve">The Commission estimated the dollar costs of hourly burdens for each type of professional using the following calculations: </w:t>
      </w:r>
    </w:p>
    <w:p w14:paraId="044849ED" w14:textId="77777777" w:rsidR="00BB5F13" w:rsidRDefault="00BB5F13" w:rsidP="005B1147">
      <w:pPr>
        <w:pStyle w:val="FootnoteText"/>
        <w:spacing w:after="120"/>
        <w:rPr>
          <w:rFonts w:ascii="Times New Roman" w:hAnsi="Times New Roman"/>
          <w:sz w:val="20"/>
        </w:rPr>
      </w:pPr>
      <w:r>
        <w:rPr>
          <w:rFonts w:ascii="Times New Roman" w:hAnsi="Times New Roman"/>
          <w:sz w:val="20"/>
        </w:rPr>
        <w:t>[(2009 salary + bonus) * (salary growth per professional type, 2009-2010)] = Estimated 2010 total annual compensation.]  The most recent data provided by the SIFMA report describe the 2009 total compensation (salary + bonus) by professional type, the growth in base salary from 2009 to 2010 for each professional type, and the 2010 base salary for each professional type; thus, the Commission estimated the 2010 total compensation for each professional type, but, in the absence of similarly granular data on salary growth or compensation from 2010 to 2011 and beyond, did not estimate dollar costs beyond 2010.</w:t>
      </w:r>
    </w:p>
    <w:p w14:paraId="6448B9F3" w14:textId="77777777" w:rsidR="00BB5F13" w:rsidRDefault="00BB5F13" w:rsidP="005B1147">
      <w:pPr>
        <w:pStyle w:val="FootnoteText"/>
        <w:spacing w:after="120"/>
        <w:rPr>
          <w:rFonts w:ascii="Times New Roman" w:hAnsi="Times New Roman"/>
          <w:sz w:val="20"/>
        </w:rPr>
      </w:pPr>
      <w:r>
        <w:rPr>
          <w:rFonts w:ascii="Times New Roman" w:hAnsi="Times New Roman"/>
          <w:sz w:val="20"/>
        </w:rPr>
        <w:t>[(Estimated 2010 total annual compensation) / (1,800 annual work hours)] = Hourly wage per professional type.]</w:t>
      </w:r>
    </w:p>
    <w:p w14:paraId="5512951A" w14:textId="77777777" w:rsidR="00BB5F13" w:rsidRDefault="00BB5F13" w:rsidP="005B1147">
      <w:pPr>
        <w:pStyle w:val="FootnoteText"/>
        <w:spacing w:after="120"/>
        <w:rPr>
          <w:rFonts w:ascii="Times New Roman" w:hAnsi="Times New Roman"/>
          <w:sz w:val="20"/>
        </w:rPr>
      </w:pPr>
      <w:r>
        <w:rPr>
          <w:rFonts w:ascii="Times New Roman" w:hAnsi="Times New Roman"/>
          <w:sz w:val="20"/>
        </w:rPr>
        <w:t>[Hourly wage) * (Adjustment factor for overhead and other benefits, which the Commission has estimated to be 1.3)] = Adjusted hourly wage per professional type.]</w:t>
      </w:r>
    </w:p>
    <w:p w14:paraId="44EEE54E" w14:textId="77777777" w:rsidR="00BB5F13" w:rsidRDefault="00BB5F13" w:rsidP="005B1147">
      <w:pPr>
        <w:pStyle w:val="FootnoteText"/>
        <w:spacing w:after="120"/>
        <w:rPr>
          <w:rFonts w:ascii="Times New Roman" w:hAnsi="Times New Roman"/>
          <w:sz w:val="20"/>
        </w:rPr>
      </w:pPr>
      <w:r>
        <w:rPr>
          <w:rFonts w:ascii="Times New Roman" w:hAnsi="Times New Roman"/>
          <w:sz w:val="20"/>
        </w:rPr>
        <w:t xml:space="preserve">[(Adjusted hourly wage) * (Estimated hour burden for compliance)] = Dollar cost of compliance for each hour burden estimate per professional type.] </w:t>
      </w:r>
    </w:p>
    <w:p w14:paraId="1BDFB987" w14:textId="77777777" w:rsidR="00BB5F13" w:rsidRDefault="00BB5F13" w:rsidP="005B1147">
      <w:pPr>
        <w:pStyle w:val="FootnoteText"/>
        <w:spacing w:after="120"/>
        <w:rPr>
          <w:rFonts w:ascii="Times New Roman" w:hAnsi="Times New Roman"/>
          <w:sz w:val="20"/>
        </w:rPr>
      </w:pPr>
      <w:r>
        <w:rPr>
          <w:rFonts w:ascii="Times New Roman" w:hAnsi="Times New Roman"/>
          <w:sz w:val="20"/>
        </w:rPr>
        <w:t>The sum of each of these calculations for all professional types involved in compliance with a given element of the final rule represents the total cost for each reporting party, SD, MSP, SEF, DCM, or SDR, as applicable to that element of the final rule.</w:t>
      </w:r>
    </w:p>
  </w:footnote>
  <w:footnote w:id="7">
    <w:p w14:paraId="70DD41DD"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The Commission estimated 2,080 hours by assuming that a significant number of SEFs, DCMs, MSP, and SDs will dedicate the equivalent of least one full-time employee to ensuring compliance with the reporting obligations of Regulation 45.3 (2,080 hours = 52 weeks × 5 days × 8 hours). The Commission believes that this is a reasonable assumption due to the volume of swap transactions that will be processed by these entities, the varied nature of the information required to be reported by part 43, and the frequency (daily) with which some reports must be made. The Commission requested comment on its estimates in its previous submission.</w:t>
      </w:r>
    </w:p>
  </w:footnote>
  <w:footnote w:id="8">
    <w:p w14:paraId="7334A29C" w14:textId="3A30CA92"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$150,017,837.00 (total) = $ 23,349,065 (SDRs) + $54,219,383 (SDs and MSPs) + $17,402,682 (SEFs) + $7,831,207 (DCMs) + </w:t>
      </w:r>
      <w:r>
        <w:rPr>
          <w:rFonts w:ascii="Times New Roman" w:hAnsi="Times New Roman"/>
          <w:color w:val="000000"/>
          <w:sz w:val="20"/>
        </w:rPr>
        <w:t>$45,159,000 (Reporting Party Non-SD/non-MSP) + $2,056,500 (Reporting Party non-SD/non-MSP who contracts with third party).</w:t>
      </w:r>
      <w:r>
        <w:rPr>
          <w:rFonts w:ascii="Times New Roman" w:hAnsi="Times New Roman"/>
          <w:sz w:val="20"/>
        </w:rPr>
        <w:t xml:space="preserve">   </w:t>
      </w:r>
    </w:p>
  </w:footnote>
  <w:footnote w:id="9">
    <w:p w14:paraId="454F2718"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This figure is a composite of the salaries for economists (Grade 11-13) and attorneys (Grade 11-14) in the Commission’s Division of Market Oversight.  In obtaining the composite, Commission staff used the CFTC 2010 Washington Pay Chart (with adjusted locality pay). </w:t>
      </w:r>
    </w:p>
  </w:footnote>
  <w:footnote w:id="10">
    <w:p w14:paraId="089B9744"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This number was obtained in consultation with CFTC’s Information Technology staff. </w:t>
      </w:r>
    </w:p>
  </w:footnote>
  <w:footnote w:id="11">
    <w:p w14:paraId="5406D37C" w14:textId="62E0B673"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For purposes of the Paperwork Reduction Act, the Commission estimates that there will be 15 SDRs, 125 SDs and MSPs, 40 SEFs, 18 DCMs and </w:t>
      </w:r>
      <w:r>
        <w:rPr>
          <w:rFonts w:ascii="Times New Roman" w:hAnsi="Times New Roman"/>
          <w:bCs/>
          <w:sz w:val="20"/>
        </w:rPr>
        <w:t>1,000 end users</w:t>
      </w:r>
      <w:r>
        <w:rPr>
          <w:rFonts w:ascii="Times New Roman" w:hAnsi="Times New Roman"/>
          <w:sz w:val="20"/>
        </w:rPr>
        <w:t xml:space="preserve"> who would annually be subject to the reporting and recordkeeping requirements of  part 43.  The Commission requested comment on its estimate when it submitted the supporting statement during the Real-Time NPRM phase.</w:t>
      </w:r>
    </w:p>
  </w:footnote>
  <w:footnote w:id="12">
    <w:p w14:paraId="24EC1656"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Estimates exclude hours devoted to customary and usual business practices.  Because the Commission has not regulated the swap market, it has not collected data relevant to this estimate.</w:t>
      </w:r>
    </w:p>
  </w:footnote>
  <w:footnote w:id="13">
    <w:p w14:paraId="1021B65D" w14:textId="1F07A8CB"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u w:val="single"/>
        </w:rPr>
        <w:t>See</w:t>
      </w:r>
      <w:r>
        <w:rPr>
          <w:rFonts w:ascii="Times New Roman" w:hAnsi="Times New Roman"/>
          <w:sz w:val="20"/>
        </w:rPr>
        <w:t xml:space="preserve"> </w:t>
      </w:r>
      <w:r>
        <w:rPr>
          <w:rFonts w:ascii="Times New Roman" w:hAnsi="Times New Roman"/>
          <w:sz w:val="20"/>
          <w:u w:val="single"/>
        </w:rPr>
        <w:t>supra</w:t>
      </w:r>
      <w:r>
        <w:rPr>
          <w:rFonts w:ascii="Times New Roman" w:hAnsi="Times New Roman"/>
          <w:sz w:val="20"/>
        </w:rPr>
        <w:t xml:space="preserve"> note </w:t>
      </w:r>
      <w:r w:rsidR="008F73CE">
        <w:rPr>
          <w:rFonts w:ascii="Times New Roman" w:hAnsi="Times New Roman"/>
          <w:sz w:val="20"/>
        </w:rPr>
        <w:t>6</w:t>
      </w:r>
      <w:r>
        <w:rPr>
          <w:rFonts w:ascii="Times New Roman" w:hAnsi="Times New Roman"/>
          <w:sz w:val="20"/>
        </w:rPr>
        <w:t xml:space="preserve"> for wage rate methodology.  For MSPs, SDs, SEFs, and DCMs, and reporting non-SDs/MSPs, this estimate includes $100,000 per reporting entity associated with the recurring technological costs of maintaining connectivity to an SDR.</w:t>
      </w:r>
    </w:p>
  </w:footnote>
  <w:footnote w:id="14">
    <w:p w14:paraId="785DCE72"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The capital and </w:t>
      </w:r>
      <w:proofErr w:type="spellStart"/>
      <w:r>
        <w:rPr>
          <w:rFonts w:ascii="Times New Roman" w:hAnsi="Times New Roman"/>
          <w:sz w:val="20"/>
        </w:rPr>
        <w:t>start up</w:t>
      </w:r>
      <w:proofErr w:type="spellEnd"/>
      <w:r>
        <w:rPr>
          <w:rFonts w:ascii="Times New Roman" w:hAnsi="Times New Roman"/>
          <w:sz w:val="20"/>
        </w:rPr>
        <w:t xml:space="preserve"> cost for part 43’s requirements for high activity respondents was estimated as 5% of the entities’ estimated average total capital and </w:t>
      </w:r>
      <w:proofErr w:type="spellStart"/>
      <w:r>
        <w:rPr>
          <w:rFonts w:ascii="Times New Roman" w:hAnsi="Times New Roman"/>
          <w:sz w:val="20"/>
        </w:rPr>
        <w:t>start up</w:t>
      </w:r>
      <w:proofErr w:type="spellEnd"/>
      <w:r>
        <w:rPr>
          <w:rFonts w:ascii="Times New Roman" w:hAnsi="Times New Roman"/>
          <w:sz w:val="20"/>
        </w:rPr>
        <w:t xml:space="preserve"> cost, $6 million. </w:t>
      </w:r>
    </w:p>
  </w:footnote>
  <w:footnote w:id="15">
    <w:p w14:paraId="41C5E240"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The Estimated Average Total Operational Cost </w:t>
      </w:r>
      <w:proofErr w:type="gramStart"/>
      <w:r>
        <w:rPr>
          <w:rFonts w:ascii="Times New Roman" w:hAnsi="Times New Roman"/>
          <w:sz w:val="20"/>
        </w:rPr>
        <w:t>Per Year Per</w:t>
      </w:r>
      <w:proofErr w:type="gramEnd"/>
      <w:r>
        <w:rPr>
          <w:rFonts w:ascii="Times New Roman" w:hAnsi="Times New Roman"/>
          <w:sz w:val="20"/>
        </w:rPr>
        <w:t xml:space="preserve"> Entity are estimated to be 50% of the capital and </w:t>
      </w:r>
      <w:proofErr w:type="spellStart"/>
      <w:r>
        <w:rPr>
          <w:rFonts w:ascii="Times New Roman" w:hAnsi="Times New Roman"/>
          <w:sz w:val="20"/>
        </w:rPr>
        <w:t>start up</w:t>
      </w:r>
      <w:proofErr w:type="spellEnd"/>
      <w:r>
        <w:rPr>
          <w:rFonts w:ascii="Times New Roman" w:hAnsi="Times New Roman"/>
          <w:sz w:val="20"/>
        </w:rPr>
        <w:t xml:space="preserve"> cost.</w:t>
      </w:r>
    </w:p>
  </w:footnote>
  <w:footnote w:id="16">
    <w:p w14:paraId="5F858E3C"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Registered SDRs that accept and publicly disseminate swap transaction and pricing data in real shall maintain hours of operation to receive and publicly disseminate swap transaction and pricing data at all times, twenty-four hours a day, with some leeway allowed for closing due to system maintenance. </w:t>
      </w:r>
    </w:p>
  </w:footnote>
  <w:footnote w:id="17">
    <w:p w14:paraId="21AE7D99" w14:textId="3DAC38A3"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In its Proposal, the Commission estimated that as many as 250 SDs and 50 MSPs would register.  After recently receiving additional information, particularly a letter from Thomas Sexton, NFA Senior Vice President and General Counsel to Gary Barnett, Director of the Division of Swap Dealer and Intermediary Oversight, the Commission is revising its estimate downward.  Accordingly, the Commission now believes that approximately 125 Swaps Entities</w:t>
      </w:r>
      <w:r w:rsidR="008F73CE">
        <w:rPr>
          <w:rFonts w:ascii="Times New Roman" w:hAnsi="Times New Roman"/>
          <w:sz w:val="20"/>
        </w:rPr>
        <w:t xml:space="preserve"> (i.e. SDs and MSPs)</w:t>
      </w:r>
      <w:r>
        <w:rPr>
          <w:rFonts w:ascii="Times New Roman" w:hAnsi="Times New Roman"/>
          <w:sz w:val="20"/>
        </w:rPr>
        <w:t xml:space="preserve">, including only a handful of MSPs, will register with the Commission as SDs or MSPs.  </w:t>
      </w:r>
    </w:p>
  </w:footnote>
  <w:footnote w:id="18">
    <w:p w14:paraId="3E151C57" w14:textId="61C44C0B"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This number of DCMs was changed from 17 to 18 to reflect the designation of one more contract market since the publication of the Real-Time NPRM in the Federal Register.  </w:t>
      </w:r>
      <w:proofErr w:type="gramStart"/>
      <w:r>
        <w:rPr>
          <w:rFonts w:ascii="Times New Roman" w:hAnsi="Times New Roman"/>
          <w:sz w:val="20"/>
        </w:rPr>
        <w:t>As of December 13, 2011.</w:t>
      </w:r>
      <w:proofErr w:type="gramEnd"/>
      <w:r>
        <w:rPr>
          <w:rFonts w:ascii="Times New Roman" w:hAnsi="Times New Roman"/>
          <w:sz w:val="20"/>
        </w:rPr>
        <w:t xml:space="preserve">  </w:t>
      </w:r>
      <w:r>
        <w:rPr>
          <w:rFonts w:ascii="Times New Roman" w:hAnsi="Times New Roman"/>
          <w:i/>
          <w:sz w:val="20"/>
        </w:rPr>
        <w:t>See</w:t>
      </w:r>
      <w:r>
        <w:rPr>
          <w:rFonts w:ascii="Times New Roman" w:hAnsi="Times New Roman"/>
          <w:sz w:val="20"/>
        </w:rPr>
        <w:t xml:space="preserve"> http://sirt.cftc.gov/SIRT/SIRT.aspx?Topic=TradingOrganizations&amp;implicit=true&amp;type=DCM&amp;CustomColumnDisplay=TTTTTTTT.         </w:t>
      </w:r>
    </w:p>
  </w:footnote>
  <w:footnote w:id="19">
    <w:p w14:paraId="4AED1391" w14:textId="4FFEC140"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sidR="008F73CE">
        <w:rPr>
          <w:rFonts w:ascii="Times New Roman" w:hAnsi="Times New Roman"/>
          <w:color w:val="000000"/>
          <w:sz w:val="20"/>
          <w:u w:val="single"/>
        </w:rPr>
        <w:t>See</w:t>
      </w:r>
      <w:r w:rsidR="008F73CE">
        <w:rPr>
          <w:rFonts w:ascii="Times New Roman" w:hAnsi="Times New Roman"/>
          <w:color w:val="000000"/>
          <w:sz w:val="20"/>
        </w:rPr>
        <w:t xml:space="preserve"> </w:t>
      </w:r>
      <w:r w:rsidR="008F73CE">
        <w:rPr>
          <w:rFonts w:ascii="Times New Roman" w:hAnsi="Times New Roman"/>
          <w:color w:val="000000"/>
          <w:sz w:val="20"/>
          <w:u w:val="single"/>
        </w:rPr>
        <w:t>supra</w:t>
      </w:r>
      <w:r w:rsidR="008F73CE">
        <w:rPr>
          <w:rFonts w:ascii="Times New Roman" w:hAnsi="Times New Roman"/>
          <w:color w:val="000000"/>
          <w:sz w:val="20"/>
        </w:rPr>
        <w:t xml:space="preserve"> note 12.  </w:t>
      </w:r>
      <w:r>
        <w:rPr>
          <w:rFonts w:ascii="Times New Roman" w:hAnsi="Times New Roman"/>
          <w:sz w:val="20"/>
        </w:rPr>
        <w:t xml:space="preserve">This cost estimate includes the recurring costs of capturing swap transaction and pricing data, </w:t>
      </w:r>
      <w:r>
        <w:rPr>
          <w:rFonts w:ascii="Times New Roman" w:hAnsi="Times New Roman"/>
          <w:color w:val="000000"/>
          <w:sz w:val="20"/>
        </w:rPr>
        <w:t xml:space="preserve">maintenance of compliance and operational support programs, and of complying with error and omission requirements and maintaining error and omission reporting systems.  This estimate also includes the cost of maintaining connectivity to an SDR, which the Commission estimates to be $100,000 per year.  </w:t>
      </w:r>
    </w:p>
  </w:footnote>
  <w:footnote w:id="20">
    <w:p w14:paraId="041472FA" w14:textId="7777777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This cost estimate includes the non-recurring costs of developing an internal order management system (OMS), of establishing connectivity with an SDR, of developing written policies and procedures related to compliance with part 43’s reporting requirements, and of establishing a program for reporting errors and omissions.</w:t>
      </w:r>
    </w:p>
  </w:footnote>
  <w:footnote w:id="21">
    <w:p w14:paraId="7E74BEFE" w14:textId="377F2669" w:rsidR="00BB5F13" w:rsidRDefault="00BB5F13">
      <w:pPr>
        <w:pStyle w:val="FootnoteText"/>
        <w:rPr>
          <w:rFonts w:ascii="Times New Roman" w:hAnsi="Times New Roman"/>
          <w:sz w:val="20"/>
        </w:rPr>
      </w:pPr>
      <w:r>
        <w:rPr>
          <w:rStyle w:val="FootnoteReference"/>
        </w:rPr>
        <w:footnoteRef/>
      </w:r>
      <w:r>
        <w:t xml:space="preserve"> </w:t>
      </w:r>
      <w:r>
        <w:rPr>
          <w:rFonts w:ascii="Times New Roman" w:hAnsi="Times New Roman"/>
          <w:sz w:val="20"/>
        </w:rPr>
        <w:t>This estimate does not include the costs associated with the fees likely to be charged to a reporting non-SD/non-MSP by a third party to report swap data to an SDR.  The identity of such third parties, the composition of the marketplace for third party services, and the costs charged by third parties to provide reporting services - given the economies of scale and scope such third parties may realize in providing these reporting services - are all presently unknowable.  Therefore, the Commission does not believe it is feasible to quantify the fees charged by third parties to non-SD/MSPs at the present time.</w:t>
      </w:r>
    </w:p>
    <w:p w14:paraId="6F2B471B" w14:textId="77777777" w:rsidR="00BB5F13" w:rsidRDefault="00BB5F13">
      <w:pPr>
        <w:pStyle w:val="FootnoteText"/>
      </w:pPr>
    </w:p>
  </w:footnote>
  <w:footnote w:id="22">
    <w:p w14:paraId="57DBCAC2" w14:textId="6CEDE47D" w:rsidR="00BB5F13" w:rsidRPr="00DA1EEB" w:rsidRDefault="00BB5F13">
      <w:pPr>
        <w:pStyle w:val="FootnoteText"/>
        <w:rPr>
          <w:rFonts w:ascii="Times New Roman" w:hAnsi="Times New Roman"/>
          <w:sz w:val="20"/>
        </w:rPr>
      </w:pPr>
      <w:r>
        <w:rPr>
          <w:rStyle w:val="FootnoteReference"/>
        </w:rPr>
        <w:footnoteRef/>
      </w:r>
      <w:r>
        <w:t xml:space="preserve"> </w:t>
      </w:r>
      <w:r w:rsidRPr="00DA1EEB">
        <w:rPr>
          <w:rFonts w:ascii="Times New Roman" w:hAnsi="Times New Roman"/>
          <w:sz w:val="20"/>
        </w:rPr>
        <w:t>Th</w:t>
      </w:r>
      <w:r>
        <w:rPr>
          <w:rFonts w:ascii="Times New Roman" w:hAnsi="Times New Roman"/>
          <w:sz w:val="20"/>
        </w:rPr>
        <w:t>is</w:t>
      </w:r>
      <w:r w:rsidRPr="00DA1EEB">
        <w:rPr>
          <w:rFonts w:ascii="Times New Roman" w:hAnsi="Times New Roman"/>
          <w:sz w:val="20"/>
        </w:rPr>
        <w:t xml:space="preserve"> estimat</w:t>
      </w:r>
      <w:r>
        <w:rPr>
          <w:rFonts w:ascii="Times New Roman" w:hAnsi="Times New Roman"/>
          <w:sz w:val="20"/>
        </w:rPr>
        <w:t>e</w:t>
      </w:r>
      <w:r w:rsidRPr="00DA1EEB">
        <w:rPr>
          <w:rFonts w:ascii="Times New Roman" w:hAnsi="Times New Roman"/>
          <w:sz w:val="20"/>
        </w:rPr>
        <w:t xml:space="preserve"> </w:t>
      </w:r>
      <w:r>
        <w:rPr>
          <w:rFonts w:ascii="Times New Roman" w:hAnsi="Times New Roman"/>
          <w:sz w:val="20"/>
        </w:rPr>
        <w:t>reflects</w:t>
      </w:r>
      <w:r w:rsidRPr="00DA1EEB">
        <w:rPr>
          <w:rFonts w:ascii="Times New Roman" w:hAnsi="Times New Roman"/>
          <w:sz w:val="20"/>
        </w:rPr>
        <w:t xml:space="preserve"> the hour burdens to a non-SD/non-MSP</w:t>
      </w:r>
      <w:r>
        <w:rPr>
          <w:rFonts w:ascii="Times New Roman" w:hAnsi="Times New Roman"/>
          <w:sz w:val="20"/>
        </w:rPr>
        <w:t xml:space="preserve"> who contracts with a third party</w:t>
      </w:r>
      <w:r w:rsidRPr="00DA1EEB">
        <w:rPr>
          <w:rFonts w:ascii="Times New Roman" w:hAnsi="Times New Roman"/>
          <w:sz w:val="20"/>
        </w:rPr>
        <w:t xml:space="preserve"> to comply with part 43’s requirements regarding reporting errors and omissions in the swap data that is publicly disseminated.</w:t>
      </w:r>
    </w:p>
  </w:footnote>
  <w:footnote w:id="23">
    <w:p w14:paraId="1F8B975F" w14:textId="77D49967"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For purposes of the Paperwork Reduction Act, the Commission estimates that there would be 15 SDRs, 125 SDs and MSPs, 40 SEFs, and 18 DCMs who would annually be subject to the recordkeeping (</w:t>
      </w:r>
      <w:proofErr w:type="spellStart"/>
      <w:r>
        <w:rPr>
          <w:rFonts w:ascii="Times New Roman" w:hAnsi="Times New Roman"/>
          <w:sz w:val="20"/>
        </w:rPr>
        <w:t>timestamping</w:t>
      </w:r>
      <w:proofErr w:type="spellEnd"/>
      <w:r>
        <w:rPr>
          <w:rFonts w:ascii="Times New Roman" w:hAnsi="Times New Roman"/>
          <w:sz w:val="20"/>
        </w:rPr>
        <w:t xml:space="preserve">) requirements of part 43.  Non-SDs/non-MSPs have no </w:t>
      </w:r>
      <w:proofErr w:type="spellStart"/>
      <w:r>
        <w:rPr>
          <w:rFonts w:ascii="Times New Roman" w:hAnsi="Times New Roman"/>
          <w:sz w:val="20"/>
        </w:rPr>
        <w:t>timestamping</w:t>
      </w:r>
      <w:proofErr w:type="spellEnd"/>
      <w:r>
        <w:rPr>
          <w:rFonts w:ascii="Times New Roman" w:hAnsi="Times New Roman"/>
          <w:sz w:val="20"/>
        </w:rPr>
        <w:t xml:space="preserve"> requirement.</w:t>
      </w:r>
    </w:p>
  </w:footnote>
  <w:footnote w:id="24">
    <w:p w14:paraId="493AD3FB" w14:textId="526147BD"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sz w:val="20"/>
          <w:u w:val="single"/>
        </w:rPr>
        <w:t>See</w:t>
      </w:r>
      <w:r>
        <w:rPr>
          <w:rFonts w:ascii="Times New Roman" w:hAnsi="Times New Roman"/>
          <w:sz w:val="20"/>
        </w:rPr>
        <w:t xml:space="preserve"> </w:t>
      </w:r>
      <w:r>
        <w:rPr>
          <w:rFonts w:ascii="Times New Roman" w:hAnsi="Times New Roman"/>
          <w:sz w:val="20"/>
          <w:u w:val="single"/>
        </w:rPr>
        <w:t>supra</w:t>
      </w:r>
      <w:r w:rsidR="008F73CE">
        <w:rPr>
          <w:rFonts w:ascii="Times New Roman" w:hAnsi="Times New Roman"/>
          <w:sz w:val="20"/>
        </w:rPr>
        <w:t xml:space="preserve"> note 6</w:t>
      </w:r>
      <w:r>
        <w:rPr>
          <w:rFonts w:ascii="Times New Roman" w:hAnsi="Times New Roman"/>
          <w:sz w:val="20"/>
        </w:rPr>
        <w:t>.</w:t>
      </w:r>
    </w:p>
  </w:footnote>
  <w:footnote w:id="25">
    <w:p w14:paraId="70E30E0F" w14:textId="320DF5A3" w:rsidR="00BB5F13" w:rsidRDefault="00BB5F13" w:rsidP="005B1147">
      <w:pPr>
        <w:pStyle w:val="FootnoteText"/>
        <w:spacing w:after="12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The number of DCMs was changed from 17 to 18 to reflect the designation of one more contract market since the publication of the Real-Time NPRM in the Federal Register.  </w:t>
      </w:r>
      <w:proofErr w:type="gramStart"/>
      <w:r>
        <w:rPr>
          <w:rFonts w:ascii="Times New Roman" w:hAnsi="Times New Roman"/>
          <w:sz w:val="20"/>
        </w:rPr>
        <w:t>As of December 13, 2011.</w:t>
      </w:r>
      <w:proofErr w:type="gramEnd"/>
      <w:r>
        <w:rPr>
          <w:rFonts w:ascii="Times New Roman" w:hAnsi="Times New Roman"/>
          <w:sz w:val="20"/>
        </w:rPr>
        <w:t xml:space="preserve">  </w:t>
      </w:r>
      <w:r>
        <w:rPr>
          <w:rFonts w:ascii="Times New Roman" w:hAnsi="Times New Roman"/>
          <w:i/>
          <w:sz w:val="20"/>
        </w:rPr>
        <w:t>See</w:t>
      </w:r>
      <w:r>
        <w:rPr>
          <w:rFonts w:ascii="Times New Roman" w:hAnsi="Times New Roman"/>
          <w:sz w:val="20"/>
        </w:rPr>
        <w:t xml:space="preserve"> http://sirt.cftc.gov/SIRT/SIRT.aspx?Topic=TradingOrganizations&amp;implicit=true&amp;type=DCM&amp;CustomColumnDisplay=TTTTTTTT.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7B"/>
    <w:multiLevelType w:val="hybridMultilevel"/>
    <w:tmpl w:val="DDCA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0800B2"/>
    <w:multiLevelType w:val="hybridMultilevel"/>
    <w:tmpl w:val="42BE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3E2E11"/>
    <w:multiLevelType w:val="hybridMultilevel"/>
    <w:tmpl w:val="52C8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A4D29"/>
    <w:multiLevelType w:val="hybridMultilevel"/>
    <w:tmpl w:val="6A28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E24D1F"/>
    <w:multiLevelType w:val="hybridMultilevel"/>
    <w:tmpl w:val="D92E4B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1274E"/>
    <w:rsid w:val="00014195"/>
    <w:rsid w:val="00023D77"/>
    <w:rsid w:val="00026FE0"/>
    <w:rsid w:val="00032D9E"/>
    <w:rsid w:val="000339AB"/>
    <w:rsid w:val="000356F2"/>
    <w:rsid w:val="00041EE7"/>
    <w:rsid w:val="0005062E"/>
    <w:rsid w:val="00055D1E"/>
    <w:rsid w:val="000561BD"/>
    <w:rsid w:val="00057274"/>
    <w:rsid w:val="0006364B"/>
    <w:rsid w:val="00066087"/>
    <w:rsid w:val="000670ED"/>
    <w:rsid w:val="000718CC"/>
    <w:rsid w:val="00073FD1"/>
    <w:rsid w:val="000763E7"/>
    <w:rsid w:val="00077953"/>
    <w:rsid w:val="00095AB7"/>
    <w:rsid w:val="000A52A8"/>
    <w:rsid w:val="000C630A"/>
    <w:rsid w:val="000C6FDE"/>
    <w:rsid w:val="000D579A"/>
    <w:rsid w:val="000E405F"/>
    <w:rsid w:val="000F18B7"/>
    <w:rsid w:val="000F7DDE"/>
    <w:rsid w:val="0010687B"/>
    <w:rsid w:val="00111796"/>
    <w:rsid w:val="0011566C"/>
    <w:rsid w:val="00123149"/>
    <w:rsid w:val="00126394"/>
    <w:rsid w:val="00126A3B"/>
    <w:rsid w:val="00143F22"/>
    <w:rsid w:val="00145A79"/>
    <w:rsid w:val="00154A9F"/>
    <w:rsid w:val="0016041A"/>
    <w:rsid w:val="00161E35"/>
    <w:rsid w:val="001627B1"/>
    <w:rsid w:val="00166E7D"/>
    <w:rsid w:val="0017115A"/>
    <w:rsid w:val="00175CF9"/>
    <w:rsid w:val="00187A93"/>
    <w:rsid w:val="00195839"/>
    <w:rsid w:val="00197D1E"/>
    <w:rsid w:val="001A2A3B"/>
    <w:rsid w:val="001A6DC5"/>
    <w:rsid w:val="001B0DFB"/>
    <w:rsid w:val="001C5637"/>
    <w:rsid w:val="001E60B0"/>
    <w:rsid w:val="001F2733"/>
    <w:rsid w:val="001F36F1"/>
    <w:rsid w:val="001F397B"/>
    <w:rsid w:val="001F5A6E"/>
    <w:rsid w:val="001F64BB"/>
    <w:rsid w:val="00206AA1"/>
    <w:rsid w:val="00210EC3"/>
    <w:rsid w:val="00210F10"/>
    <w:rsid w:val="00216B48"/>
    <w:rsid w:val="00221038"/>
    <w:rsid w:val="00224F45"/>
    <w:rsid w:val="00230AC5"/>
    <w:rsid w:val="00234FD1"/>
    <w:rsid w:val="00241404"/>
    <w:rsid w:val="00241E17"/>
    <w:rsid w:val="002426EB"/>
    <w:rsid w:val="00251AD9"/>
    <w:rsid w:val="0025266F"/>
    <w:rsid w:val="00253348"/>
    <w:rsid w:val="00261D5E"/>
    <w:rsid w:val="002651BD"/>
    <w:rsid w:val="00266B89"/>
    <w:rsid w:val="002864CD"/>
    <w:rsid w:val="0029666E"/>
    <w:rsid w:val="00296D28"/>
    <w:rsid w:val="002973A6"/>
    <w:rsid w:val="002A2FB2"/>
    <w:rsid w:val="002C0649"/>
    <w:rsid w:val="002C1BC0"/>
    <w:rsid w:val="002D133A"/>
    <w:rsid w:val="002D166B"/>
    <w:rsid w:val="002E178D"/>
    <w:rsid w:val="002F3B32"/>
    <w:rsid w:val="00303FAC"/>
    <w:rsid w:val="0030737A"/>
    <w:rsid w:val="00314D5F"/>
    <w:rsid w:val="00315019"/>
    <w:rsid w:val="00327163"/>
    <w:rsid w:val="00337AAB"/>
    <w:rsid w:val="00341695"/>
    <w:rsid w:val="003418C5"/>
    <w:rsid w:val="00346853"/>
    <w:rsid w:val="00373D02"/>
    <w:rsid w:val="00375A05"/>
    <w:rsid w:val="00375F32"/>
    <w:rsid w:val="00377881"/>
    <w:rsid w:val="003858D4"/>
    <w:rsid w:val="00386B91"/>
    <w:rsid w:val="0039108F"/>
    <w:rsid w:val="003A232A"/>
    <w:rsid w:val="003A3510"/>
    <w:rsid w:val="003B17D5"/>
    <w:rsid w:val="003B51C9"/>
    <w:rsid w:val="003C6204"/>
    <w:rsid w:val="003D25B1"/>
    <w:rsid w:val="003E0166"/>
    <w:rsid w:val="003F082E"/>
    <w:rsid w:val="00405AF3"/>
    <w:rsid w:val="00406241"/>
    <w:rsid w:val="00407173"/>
    <w:rsid w:val="004165C8"/>
    <w:rsid w:val="00417718"/>
    <w:rsid w:val="0042078E"/>
    <w:rsid w:val="00425D33"/>
    <w:rsid w:val="00434C7A"/>
    <w:rsid w:val="00447C34"/>
    <w:rsid w:val="0045708C"/>
    <w:rsid w:val="004613AC"/>
    <w:rsid w:val="00466BD0"/>
    <w:rsid w:val="00481E8A"/>
    <w:rsid w:val="004851A2"/>
    <w:rsid w:val="00492321"/>
    <w:rsid w:val="004A24BB"/>
    <w:rsid w:val="004A28BE"/>
    <w:rsid w:val="004A40FC"/>
    <w:rsid w:val="004A572E"/>
    <w:rsid w:val="004B24A8"/>
    <w:rsid w:val="004B4621"/>
    <w:rsid w:val="004B7DFF"/>
    <w:rsid w:val="004D63F1"/>
    <w:rsid w:val="004E1485"/>
    <w:rsid w:val="004E2922"/>
    <w:rsid w:val="004E719A"/>
    <w:rsid w:val="004F33BA"/>
    <w:rsid w:val="00511438"/>
    <w:rsid w:val="00513DEC"/>
    <w:rsid w:val="0051422F"/>
    <w:rsid w:val="005151A5"/>
    <w:rsid w:val="00521489"/>
    <w:rsid w:val="0053678B"/>
    <w:rsid w:val="00540134"/>
    <w:rsid w:val="00541E46"/>
    <w:rsid w:val="00543AA7"/>
    <w:rsid w:val="00546616"/>
    <w:rsid w:val="005476A9"/>
    <w:rsid w:val="00554C90"/>
    <w:rsid w:val="00560466"/>
    <w:rsid w:val="00560D2D"/>
    <w:rsid w:val="00561DAB"/>
    <w:rsid w:val="00570BCD"/>
    <w:rsid w:val="00576F84"/>
    <w:rsid w:val="00580609"/>
    <w:rsid w:val="00582F36"/>
    <w:rsid w:val="005865C1"/>
    <w:rsid w:val="0059030E"/>
    <w:rsid w:val="005905A3"/>
    <w:rsid w:val="00594505"/>
    <w:rsid w:val="0059648F"/>
    <w:rsid w:val="005B1147"/>
    <w:rsid w:val="005C053B"/>
    <w:rsid w:val="005C1876"/>
    <w:rsid w:val="005C4735"/>
    <w:rsid w:val="005C6C0D"/>
    <w:rsid w:val="005E0E0A"/>
    <w:rsid w:val="005E5977"/>
    <w:rsid w:val="005E72C7"/>
    <w:rsid w:val="0060223B"/>
    <w:rsid w:val="0060312D"/>
    <w:rsid w:val="0061421E"/>
    <w:rsid w:val="006170AB"/>
    <w:rsid w:val="006170B6"/>
    <w:rsid w:val="00621CDC"/>
    <w:rsid w:val="00624426"/>
    <w:rsid w:val="00635235"/>
    <w:rsid w:val="006355C2"/>
    <w:rsid w:val="00643CF2"/>
    <w:rsid w:val="00660A96"/>
    <w:rsid w:val="00663240"/>
    <w:rsid w:val="00664657"/>
    <w:rsid w:val="00672D78"/>
    <w:rsid w:val="006A2C38"/>
    <w:rsid w:val="006A376C"/>
    <w:rsid w:val="006C14F1"/>
    <w:rsid w:val="006C65C2"/>
    <w:rsid w:val="006D04D1"/>
    <w:rsid w:val="006E3672"/>
    <w:rsid w:val="006F0086"/>
    <w:rsid w:val="006F53A1"/>
    <w:rsid w:val="006F646B"/>
    <w:rsid w:val="006F757B"/>
    <w:rsid w:val="007042E2"/>
    <w:rsid w:val="00712AD2"/>
    <w:rsid w:val="007245F8"/>
    <w:rsid w:val="00725580"/>
    <w:rsid w:val="0072621F"/>
    <w:rsid w:val="00727038"/>
    <w:rsid w:val="00751875"/>
    <w:rsid w:val="00751AFA"/>
    <w:rsid w:val="00761F87"/>
    <w:rsid w:val="0076675B"/>
    <w:rsid w:val="00774E6F"/>
    <w:rsid w:val="00787AD9"/>
    <w:rsid w:val="00795F9D"/>
    <w:rsid w:val="00796A36"/>
    <w:rsid w:val="007A1889"/>
    <w:rsid w:val="007B55D0"/>
    <w:rsid w:val="007C58B3"/>
    <w:rsid w:val="007D17AC"/>
    <w:rsid w:val="007D3206"/>
    <w:rsid w:val="007D3919"/>
    <w:rsid w:val="007E2A73"/>
    <w:rsid w:val="007E38E4"/>
    <w:rsid w:val="007E5B0B"/>
    <w:rsid w:val="007F38D8"/>
    <w:rsid w:val="007F4DFA"/>
    <w:rsid w:val="00820D4F"/>
    <w:rsid w:val="00827737"/>
    <w:rsid w:val="00832F9C"/>
    <w:rsid w:val="0085223E"/>
    <w:rsid w:val="00852839"/>
    <w:rsid w:val="0085755E"/>
    <w:rsid w:val="00884E06"/>
    <w:rsid w:val="008928D7"/>
    <w:rsid w:val="00892B3D"/>
    <w:rsid w:val="008A0C11"/>
    <w:rsid w:val="008A2A11"/>
    <w:rsid w:val="008A77A3"/>
    <w:rsid w:val="008B21A7"/>
    <w:rsid w:val="008B50D5"/>
    <w:rsid w:val="008B5955"/>
    <w:rsid w:val="008D43C2"/>
    <w:rsid w:val="008D4596"/>
    <w:rsid w:val="008D7B28"/>
    <w:rsid w:val="008F010A"/>
    <w:rsid w:val="008F1CF7"/>
    <w:rsid w:val="008F73CE"/>
    <w:rsid w:val="00903E78"/>
    <w:rsid w:val="009114EF"/>
    <w:rsid w:val="009266A7"/>
    <w:rsid w:val="00932545"/>
    <w:rsid w:val="00933614"/>
    <w:rsid w:val="00947AAC"/>
    <w:rsid w:val="0095222C"/>
    <w:rsid w:val="00953D28"/>
    <w:rsid w:val="00971541"/>
    <w:rsid w:val="00973F59"/>
    <w:rsid w:val="00976FE8"/>
    <w:rsid w:val="009865B2"/>
    <w:rsid w:val="0099720F"/>
    <w:rsid w:val="009C4EEC"/>
    <w:rsid w:val="009D5326"/>
    <w:rsid w:val="009D6BA8"/>
    <w:rsid w:val="009F7CC3"/>
    <w:rsid w:val="00A10688"/>
    <w:rsid w:val="00A12329"/>
    <w:rsid w:val="00A27B57"/>
    <w:rsid w:val="00A3597D"/>
    <w:rsid w:val="00A456A7"/>
    <w:rsid w:val="00A507D0"/>
    <w:rsid w:val="00A53575"/>
    <w:rsid w:val="00A54A0D"/>
    <w:rsid w:val="00A607F3"/>
    <w:rsid w:val="00A622DB"/>
    <w:rsid w:val="00A6290D"/>
    <w:rsid w:val="00A66A17"/>
    <w:rsid w:val="00A775FC"/>
    <w:rsid w:val="00A83EFB"/>
    <w:rsid w:val="00A91C1C"/>
    <w:rsid w:val="00A92F06"/>
    <w:rsid w:val="00A97A3A"/>
    <w:rsid w:val="00AA2518"/>
    <w:rsid w:val="00AA60A8"/>
    <w:rsid w:val="00AB625A"/>
    <w:rsid w:val="00AD5A6C"/>
    <w:rsid w:val="00AD7531"/>
    <w:rsid w:val="00AE66A0"/>
    <w:rsid w:val="00AF4DDF"/>
    <w:rsid w:val="00B05A72"/>
    <w:rsid w:val="00B2296D"/>
    <w:rsid w:val="00B26ECD"/>
    <w:rsid w:val="00B31D96"/>
    <w:rsid w:val="00B371A2"/>
    <w:rsid w:val="00B3723D"/>
    <w:rsid w:val="00B4789B"/>
    <w:rsid w:val="00B551D1"/>
    <w:rsid w:val="00B57247"/>
    <w:rsid w:val="00B86481"/>
    <w:rsid w:val="00B90C12"/>
    <w:rsid w:val="00B9650A"/>
    <w:rsid w:val="00B97F00"/>
    <w:rsid w:val="00BA5783"/>
    <w:rsid w:val="00BB202A"/>
    <w:rsid w:val="00BB5383"/>
    <w:rsid w:val="00BB5F13"/>
    <w:rsid w:val="00BC34A5"/>
    <w:rsid w:val="00BD2744"/>
    <w:rsid w:val="00C02B62"/>
    <w:rsid w:val="00C0441B"/>
    <w:rsid w:val="00C06615"/>
    <w:rsid w:val="00C20A2D"/>
    <w:rsid w:val="00C45422"/>
    <w:rsid w:val="00C4765C"/>
    <w:rsid w:val="00C517BB"/>
    <w:rsid w:val="00C564BF"/>
    <w:rsid w:val="00C6311D"/>
    <w:rsid w:val="00C73BA4"/>
    <w:rsid w:val="00C74C11"/>
    <w:rsid w:val="00C84884"/>
    <w:rsid w:val="00C91C39"/>
    <w:rsid w:val="00C92C99"/>
    <w:rsid w:val="00CA15BB"/>
    <w:rsid w:val="00CA2237"/>
    <w:rsid w:val="00CA6538"/>
    <w:rsid w:val="00CB1499"/>
    <w:rsid w:val="00CB46AA"/>
    <w:rsid w:val="00CB5C27"/>
    <w:rsid w:val="00CC1E18"/>
    <w:rsid w:val="00CC5E39"/>
    <w:rsid w:val="00CC68AF"/>
    <w:rsid w:val="00CD4CA0"/>
    <w:rsid w:val="00CD53E3"/>
    <w:rsid w:val="00CD59B1"/>
    <w:rsid w:val="00CD7165"/>
    <w:rsid w:val="00CE199F"/>
    <w:rsid w:val="00CE62EA"/>
    <w:rsid w:val="00CE71D1"/>
    <w:rsid w:val="00CF304B"/>
    <w:rsid w:val="00CF403B"/>
    <w:rsid w:val="00CF4CB1"/>
    <w:rsid w:val="00D07F58"/>
    <w:rsid w:val="00D229AE"/>
    <w:rsid w:val="00D25803"/>
    <w:rsid w:val="00D2779B"/>
    <w:rsid w:val="00D30C3C"/>
    <w:rsid w:val="00D407D0"/>
    <w:rsid w:val="00D41DED"/>
    <w:rsid w:val="00D432A9"/>
    <w:rsid w:val="00D513B1"/>
    <w:rsid w:val="00D53835"/>
    <w:rsid w:val="00D56946"/>
    <w:rsid w:val="00D57535"/>
    <w:rsid w:val="00D703F3"/>
    <w:rsid w:val="00D70784"/>
    <w:rsid w:val="00D72996"/>
    <w:rsid w:val="00D85607"/>
    <w:rsid w:val="00D85A01"/>
    <w:rsid w:val="00D9422C"/>
    <w:rsid w:val="00DA1EEB"/>
    <w:rsid w:val="00DA3B6E"/>
    <w:rsid w:val="00DA73B2"/>
    <w:rsid w:val="00DB0876"/>
    <w:rsid w:val="00DB0CAB"/>
    <w:rsid w:val="00DB3C65"/>
    <w:rsid w:val="00DB722D"/>
    <w:rsid w:val="00DC29CB"/>
    <w:rsid w:val="00DC40D1"/>
    <w:rsid w:val="00DD0CAB"/>
    <w:rsid w:val="00DD6F22"/>
    <w:rsid w:val="00DE3E7D"/>
    <w:rsid w:val="00DF1AA0"/>
    <w:rsid w:val="00E0436A"/>
    <w:rsid w:val="00E068A1"/>
    <w:rsid w:val="00E06D2E"/>
    <w:rsid w:val="00E115EF"/>
    <w:rsid w:val="00E1644A"/>
    <w:rsid w:val="00E212E8"/>
    <w:rsid w:val="00E26223"/>
    <w:rsid w:val="00E42BBE"/>
    <w:rsid w:val="00E45DFA"/>
    <w:rsid w:val="00E51C15"/>
    <w:rsid w:val="00E533BC"/>
    <w:rsid w:val="00E62AFC"/>
    <w:rsid w:val="00E639CD"/>
    <w:rsid w:val="00E64415"/>
    <w:rsid w:val="00E667BE"/>
    <w:rsid w:val="00E73525"/>
    <w:rsid w:val="00E736E6"/>
    <w:rsid w:val="00E74AE2"/>
    <w:rsid w:val="00E77585"/>
    <w:rsid w:val="00E876D6"/>
    <w:rsid w:val="00E93E1C"/>
    <w:rsid w:val="00EA2E8F"/>
    <w:rsid w:val="00EA5D1A"/>
    <w:rsid w:val="00EB0D2C"/>
    <w:rsid w:val="00EB6C9B"/>
    <w:rsid w:val="00EC1360"/>
    <w:rsid w:val="00EC3C56"/>
    <w:rsid w:val="00EC3CD5"/>
    <w:rsid w:val="00EC719C"/>
    <w:rsid w:val="00ED3A7E"/>
    <w:rsid w:val="00ED48A5"/>
    <w:rsid w:val="00ED6C64"/>
    <w:rsid w:val="00EE654F"/>
    <w:rsid w:val="00EF2441"/>
    <w:rsid w:val="00F037C6"/>
    <w:rsid w:val="00F044A4"/>
    <w:rsid w:val="00F06E2C"/>
    <w:rsid w:val="00F07F57"/>
    <w:rsid w:val="00F11978"/>
    <w:rsid w:val="00F15E3D"/>
    <w:rsid w:val="00F16E6E"/>
    <w:rsid w:val="00F213B6"/>
    <w:rsid w:val="00F422CF"/>
    <w:rsid w:val="00F42C8D"/>
    <w:rsid w:val="00F4772E"/>
    <w:rsid w:val="00F51781"/>
    <w:rsid w:val="00F77A44"/>
    <w:rsid w:val="00F92157"/>
    <w:rsid w:val="00F938BC"/>
    <w:rsid w:val="00F947D9"/>
    <w:rsid w:val="00F97F7B"/>
    <w:rsid w:val="00FA0BB4"/>
    <w:rsid w:val="00FB23E6"/>
    <w:rsid w:val="00FB44A2"/>
    <w:rsid w:val="00FB4BFB"/>
    <w:rsid w:val="00FB5B4F"/>
    <w:rsid w:val="00FC0F41"/>
    <w:rsid w:val="00FC5EBE"/>
    <w:rsid w:val="00FF00C7"/>
    <w:rsid w:val="00FF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485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7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397B"/>
  </w:style>
  <w:style w:type="character" w:styleId="EndnoteReference">
    <w:name w:val="endnote reference"/>
    <w:basedOn w:val="DefaultParagraphFont"/>
    <w:semiHidden/>
    <w:rsid w:val="001F397B"/>
    <w:rPr>
      <w:vertAlign w:val="superscript"/>
    </w:rPr>
  </w:style>
  <w:style w:type="paragraph" w:styleId="FootnoteText">
    <w:name w:val="footnote text"/>
    <w:aliases w:val="fn,ft,Car,Footnote Text Char Char Char Char Char Char Char Char Char Char Char Char Char Char Char Char Char,Footnote Text Char Char Char Char Char Char Char Char Char Char Char Char Char Char Char Char Char Char Char Char"/>
    <w:basedOn w:val="Normal"/>
    <w:link w:val="FootnoteTextChar"/>
    <w:uiPriority w:val="99"/>
    <w:rsid w:val="001F397B"/>
  </w:style>
  <w:style w:type="character" w:styleId="FootnoteReference">
    <w:name w:val="footnote reference"/>
    <w:basedOn w:val="DefaultParagraphFont"/>
    <w:uiPriority w:val="99"/>
    <w:semiHidden/>
    <w:rsid w:val="001F397B"/>
    <w:rPr>
      <w:vertAlign w:val="superscript"/>
    </w:rPr>
  </w:style>
  <w:style w:type="character" w:customStyle="1" w:styleId="Document8">
    <w:name w:val="Document 8"/>
    <w:basedOn w:val="DefaultParagraphFont"/>
    <w:rsid w:val="001F397B"/>
  </w:style>
  <w:style w:type="character" w:customStyle="1" w:styleId="Document4">
    <w:name w:val="Document 4"/>
    <w:basedOn w:val="DefaultParagraphFont"/>
    <w:rsid w:val="001F397B"/>
    <w:rPr>
      <w:b/>
      <w:i/>
      <w:sz w:val="24"/>
    </w:rPr>
  </w:style>
  <w:style w:type="character" w:customStyle="1" w:styleId="Document6">
    <w:name w:val="Document 6"/>
    <w:basedOn w:val="DefaultParagraphFont"/>
    <w:rsid w:val="001F397B"/>
  </w:style>
  <w:style w:type="character" w:customStyle="1" w:styleId="Document5">
    <w:name w:val="Document 5"/>
    <w:basedOn w:val="DefaultParagraphFont"/>
    <w:rsid w:val="001F397B"/>
  </w:style>
  <w:style w:type="character" w:customStyle="1" w:styleId="Document2">
    <w:name w:val="Document 2"/>
    <w:basedOn w:val="DefaultParagraphFont"/>
    <w:rsid w:val="001F397B"/>
    <w:rPr>
      <w:rFonts w:ascii="Courier" w:hAnsi="Courier"/>
      <w:noProof w:val="0"/>
      <w:sz w:val="24"/>
      <w:lang w:val="en-US"/>
    </w:rPr>
  </w:style>
  <w:style w:type="character" w:customStyle="1" w:styleId="Document7">
    <w:name w:val="Document 7"/>
    <w:basedOn w:val="DefaultParagraphFont"/>
    <w:rsid w:val="001F397B"/>
  </w:style>
  <w:style w:type="character" w:customStyle="1" w:styleId="Bibliogrphy">
    <w:name w:val="Bibliogrphy"/>
    <w:basedOn w:val="DefaultParagraphFont"/>
    <w:rsid w:val="001F397B"/>
  </w:style>
  <w:style w:type="paragraph" w:customStyle="1" w:styleId="RightPar1">
    <w:name w:val="Right Par 1"/>
    <w:rsid w:val="001F397B"/>
    <w:pPr>
      <w:tabs>
        <w:tab w:val="left" w:pos="-720"/>
        <w:tab w:val="left" w:pos="0"/>
        <w:tab w:val="decimal" w:pos="720"/>
      </w:tabs>
      <w:suppressAutoHyphens/>
      <w:ind w:left="720"/>
    </w:pPr>
    <w:rPr>
      <w:rFonts w:ascii="Courier" w:hAnsi="Courier"/>
      <w:sz w:val="24"/>
    </w:rPr>
  </w:style>
  <w:style w:type="paragraph" w:customStyle="1" w:styleId="RightPar2">
    <w:name w:val="Right Par 2"/>
    <w:rsid w:val="001F397B"/>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1F397B"/>
    <w:rPr>
      <w:rFonts w:ascii="Courier" w:hAnsi="Courier"/>
      <w:noProof w:val="0"/>
      <w:sz w:val="24"/>
      <w:lang w:val="en-US"/>
    </w:rPr>
  </w:style>
  <w:style w:type="paragraph" w:customStyle="1" w:styleId="RightPar3">
    <w:name w:val="Right Par 3"/>
    <w:rsid w:val="001F397B"/>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1F397B"/>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1F397B"/>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1F397B"/>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1F397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1F397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1F397B"/>
    <w:pPr>
      <w:keepNext/>
      <w:keepLines/>
      <w:tabs>
        <w:tab w:val="left" w:pos="-720"/>
      </w:tabs>
      <w:suppressAutoHyphens/>
    </w:pPr>
    <w:rPr>
      <w:rFonts w:ascii="Courier" w:hAnsi="Courier"/>
      <w:sz w:val="24"/>
    </w:rPr>
  </w:style>
  <w:style w:type="character" w:customStyle="1" w:styleId="DocInit">
    <w:name w:val="Doc Init"/>
    <w:basedOn w:val="DefaultParagraphFont"/>
    <w:rsid w:val="001F397B"/>
  </w:style>
  <w:style w:type="character" w:customStyle="1" w:styleId="TechInit">
    <w:name w:val="Tech Init"/>
    <w:basedOn w:val="DefaultParagraphFont"/>
    <w:rsid w:val="001F397B"/>
    <w:rPr>
      <w:rFonts w:ascii="Courier" w:hAnsi="Courier"/>
      <w:noProof w:val="0"/>
      <w:sz w:val="24"/>
      <w:lang w:val="en-US"/>
    </w:rPr>
  </w:style>
  <w:style w:type="paragraph" w:customStyle="1" w:styleId="Technical5">
    <w:name w:val="Technical 5"/>
    <w:rsid w:val="001F397B"/>
    <w:pPr>
      <w:tabs>
        <w:tab w:val="left" w:pos="-720"/>
      </w:tabs>
      <w:suppressAutoHyphens/>
      <w:ind w:firstLine="720"/>
    </w:pPr>
    <w:rPr>
      <w:rFonts w:ascii="Courier" w:hAnsi="Courier"/>
      <w:b/>
      <w:sz w:val="24"/>
    </w:rPr>
  </w:style>
  <w:style w:type="paragraph" w:customStyle="1" w:styleId="Technical6">
    <w:name w:val="Technical 6"/>
    <w:rsid w:val="001F397B"/>
    <w:pPr>
      <w:tabs>
        <w:tab w:val="left" w:pos="-720"/>
      </w:tabs>
      <w:suppressAutoHyphens/>
      <w:ind w:firstLine="720"/>
    </w:pPr>
    <w:rPr>
      <w:rFonts w:ascii="Courier" w:hAnsi="Courier"/>
      <w:b/>
      <w:sz w:val="24"/>
    </w:rPr>
  </w:style>
  <w:style w:type="character" w:customStyle="1" w:styleId="Technical2">
    <w:name w:val="Technical 2"/>
    <w:basedOn w:val="DefaultParagraphFont"/>
    <w:rsid w:val="001F397B"/>
    <w:rPr>
      <w:rFonts w:ascii="Courier" w:hAnsi="Courier"/>
      <w:noProof w:val="0"/>
      <w:sz w:val="24"/>
      <w:lang w:val="en-US"/>
    </w:rPr>
  </w:style>
  <w:style w:type="character" w:customStyle="1" w:styleId="Technical3">
    <w:name w:val="Technical 3"/>
    <w:basedOn w:val="DefaultParagraphFont"/>
    <w:rsid w:val="001F397B"/>
    <w:rPr>
      <w:rFonts w:ascii="Courier" w:hAnsi="Courier"/>
      <w:noProof w:val="0"/>
      <w:sz w:val="24"/>
      <w:lang w:val="en-US"/>
    </w:rPr>
  </w:style>
  <w:style w:type="paragraph" w:customStyle="1" w:styleId="Technical4">
    <w:name w:val="Technical 4"/>
    <w:rsid w:val="001F397B"/>
    <w:pPr>
      <w:tabs>
        <w:tab w:val="left" w:pos="-720"/>
      </w:tabs>
      <w:suppressAutoHyphens/>
    </w:pPr>
    <w:rPr>
      <w:rFonts w:ascii="Courier" w:hAnsi="Courier"/>
      <w:b/>
      <w:sz w:val="24"/>
    </w:rPr>
  </w:style>
  <w:style w:type="character" w:customStyle="1" w:styleId="Technical1">
    <w:name w:val="Technical 1"/>
    <w:basedOn w:val="DefaultParagraphFont"/>
    <w:rsid w:val="001F397B"/>
    <w:rPr>
      <w:rFonts w:ascii="Courier" w:hAnsi="Courier"/>
      <w:noProof w:val="0"/>
      <w:sz w:val="24"/>
      <w:lang w:val="en-US"/>
    </w:rPr>
  </w:style>
  <w:style w:type="paragraph" w:customStyle="1" w:styleId="Technical7">
    <w:name w:val="Technical 7"/>
    <w:rsid w:val="001F397B"/>
    <w:pPr>
      <w:tabs>
        <w:tab w:val="left" w:pos="-720"/>
      </w:tabs>
      <w:suppressAutoHyphens/>
      <w:ind w:firstLine="720"/>
    </w:pPr>
    <w:rPr>
      <w:rFonts w:ascii="Courier" w:hAnsi="Courier"/>
      <w:b/>
      <w:sz w:val="24"/>
    </w:rPr>
  </w:style>
  <w:style w:type="paragraph" w:customStyle="1" w:styleId="Technical8">
    <w:name w:val="Technical 8"/>
    <w:rsid w:val="001F397B"/>
    <w:pPr>
      <w:tabs>
        <w:tab w:val="left" w:pos="-720"/>
      </w:tabs>
      <w:suppressAutoHyphens/>
      <w:ind w:firstLine="720"/>
    </w:pPr>
    <w:rPr>
      <w:rFonts w:ascii="Courier" w:hAnsi="Courier"/>
      <w:b/>
      <w:sz w:val="24"/>
    </w:rPr>
  </w:style>
  <w:style w:type="paragraph" w:styleId="TOC1">
    <w:name w:val="toc 1"/>
    <w:basedOn w:val="Normal"/>
    <w:next w:val="Normal"/>
    <w:semiHidden/>
    <w:rsid w:val="001F397B"/>
    <w:pPr>
      <w:tabs>
        <w:tab w:val="right" w:leader="dot" w:pos="9360"/>
      </w:tabs>
      <w:suppressAutoHyphens/>
      <w:spacing w:before="480"/>
      <w:ind w:left="720" w:right="720" w:hanging="720"/>
    </w:pPr>
  </w:style>
  <w:style w:type="paragraph" w:styleId="TOC2">
    <w:name w:val="toc 2"/>
    <w:basedOn w:val="Normal"/>
    <w:next w:val="Normal"/>
    <w:semiHidden/>
    <w:rsid w:val="001F397B"/>
    <w:pPr>
      <w:tabs>
        <w:tab w:val="right" w:leader="dot" w:pos="9360"/>
      </w:tabs>
      <w:suppressAutoHyphens/>
      <w:ind w:left="1440" w:right="720" w:hanging="720"/>
    </w:pPr>
  </w:style>
  <w:style w:type="paragraph" w:styleId="TOC3">
    <w:name w:val="toc 3"/>
    <w:basedOn w:val="Normal"/>
    <w:next w:val="Normal"/>
    <w:semiHidden/>
    <w:rsid w:val="001F397B"/>
    <w:pPr>
      <w:tabs>
        <w:tab w:val="right" w:leader="dot" w:pos="9360"/>
      </w:tabs>
      <w:suppressAutoHyphens/>
      <w:ind w:left="2160" w:right="720" w:hanging="720"/>
    </w:pPr>
  </w:style>
  <w:style w:type="paragraph" w:styleId="TOC4">
    <w:name w:val="toc 4"/>
    <w:basedOn w:val="Normal"/>
    <w:next w:val="Normal"/>
    <w:semiHidden/>
    <w:rsid w:val="001F397B"/>
    <w:pPr>
      <w:tabs>
        <w:tab w:val="right" w:leader="dot" w:pos="9360"/>
      </w:tabs>
      <w:suppressAutoHyphens/>
      <w:ind w:left="2880" w:right="720" w:hanging="720"/>
    </w:pPr>
  </w:style>
  <w:style w:type="paragraph" w:styleId="TOC5">
    <w:name w:val="toc 5"/>
    <w:basedOn w:val="Normal"/>
    <w:next w:val="Normal"/>
    <w:semiHidden/>
    <w:rsid w:val="001F397B"/>
    <w:pPr>
      <w:tabs>
        <w:tab w:val="right" w:leader="dot" w:pos="9360"/>
      </w:tabs>
      <w:suppressAutoHyphens/>
      <w:ind w:left="3600" w:right="720" w:hanging="720"/>
    </w:pPr>
  </w:style>
  <w:style w:type="paragraph" w:styleId="TOC6">
    <w:name w:val="toc 6"/>
    <w:basedOn w:val="Normal"/>
    <w:next w:val="Normal"/>
    <w:semiHidden/>
    <w:rsid w:val="001F397B"/>
    <w:pPr>
      <w:tabs>
        <w:tab w:val="right" w:pos="9360"/>
      </w:tabs>
      <w:suppressAutoHyphens/>
      <w:ind w:left="720" w:hanging="720"/>
    </w:pPr>
  </w:style>
  <w:style w:type="paragraph" w:styleId="TOC7">
    <w:name w:val="toc 7"/>
    <w:basedOn w:val="Normal"/>
    <w:next w:val="Normal"/>
    <w:semiHidden/>
    <w:rsid w:val="001F397B"/>
    <w:pPr>
      <w:suppressAutoHyphens/>
      <w:ind w:left="720" w:hanging="720"/>
    </w:pPr>
  </w:style>
  <w:style w:type="paragraph" w:styleId="TOC8">
    <w:name w:val="toc 8"/>
    <w:basedOn w:val="Normal"/>
    <w:next w:val="Normal"/>
    <w:semiHidden/>
    <w:rsid w:val="001F397B"/>
    <w:pPr>
      <w:tabs>
        <w:tab w:val="right" w:pos="9360"/>
      </w:tabs>
      <w:suppressAutoHyphens/>
      <w:ind w:left="720" w:hanging="720"/>
    </w:pPr>
  </w:style>
  <w:style w:type="paragraph" w:styleId="TOC9">
    <w:name w:val="toc 9"/>
    <w:basedOn w:val="Normal"/>
    <w:next w:val="Normal"/>
    <w:semiHidden/>
    <w:rsid w:val="001F397B"/>
    <w:pPr>
      <w:tabs>
        <w:tab w:val="right" w:leader="dot" w:pos="9360"/>
      </w:tabs>
      <w:suppressAutoHyphens/>
      <w:ind w:left="720" w:hanging="720"/>
    </w:pPr>
  </w:style>
  <w:style w:type="paragraph" w:styleId="Index1">
    <w:name w:val="index 1"/>
    <w:basedOn w:val="Normal"/>
    <w:next w:val="Normal"/>
    <w:semiHidden/>
    <w:rsid w:val="001F397B"/>
    <w:pPr>
      <w:tabs>
        <w:tab w:val="right" w:leader="dot" w:pos="9360"/>
      </w:tabs>
      <w:suppressAutoHyphens/>
      <w:ind w:left="1440" w:right="720" w:hanging="1440"/>
    </w:pPr>
  </w:style>
  <w:style w:type="paragraph" w:styleId="Index2">
    <w:name w:val="index 2"/>
    <w:basedOn w:val="Normal"/>
    <w:next w:val="Normal"/>
    <w:semiHidden/>
    <w:rsid w:val="001F397B"/>
    <w:pPr>
      <w:tabs>
        <w:tab w:val="right" w:leader="dot" w:pos="9360"/>
      </w:tabs>
      <w:suppressAutoHyphens/>
      <w:ind w:left="1440" w:right="720" w:hanging="720"/>
    </w:pPr>
  </w:style>
  <w:style w:type="paragraph" w:styleId="TOAHeading">
    <w:name w:val="toa heading"/>
    <w:basedOn w:val="Normal"/>
    <w:next w:val="Normal"/>
    <w:semiHidden/>
    <w:rsid w:val="001F397B"/>
    <w:pPr>
      <w:tabs>
        <w:tab w:val="right" w:pos="9360"/>
      </w:tabs>
      <w:suppressAutoHyphens/>
    </w:pPr>
  </w:style>
  <w:style w:type="paragraph" w:styleId="Caption">
    <w:name w:val="caption"/>
    <w:basedOn w:val="Normal"/>
    <w:next w:val="Normal"/>
    <w:qFormat/>
    <w:rsid w:val="001F397B"/>
  </w:style>
  <w:style w:type="character" w:customStyle="1" w:styleId="EquationCaption">
    <w:name w:val="_Equation Caption"/>
    <w:rsid w:val="001F397B"/>
  </w:style>
  <w:style w:type="character" w:customStyle="1" w:styleId="FootnoteTextChar">
    <w:name w:val="Footnote Text Char"/>
    <w:aliases w:val="fn Char,ft Char,Car Char,Footnote Text Char Char Char Char Char Char Char Char Char Char Char Char Char Char Char Char Char Char"/>
    <w:basedOn w:val="DefaultParagraphFont"/>
    <w:link w:val="FootnoteText"/>
    <w:uiPriority w:val="99"/>
    <w:rsid w:val="000718CC"/>
    <w:rPr>
      <w:rFonts w:ascii="Courier" w:hAnsi="Courier"/>
      <w:sz w:val="24"/>
    </w:rPr>
  </w:style>
  <w:style w:type="paragraph" w:styleId="PlainText">
    <w:name w:val="Plain Text"/>
    <w:basedOn w:val="Normal"/>
    <w:link w:val="PlainTextChar"/>
    <w:uiPriority w:val="99"/>
    <w:unhideWhenUsed/>
    <w:rsid w:val="000718CC"/>
    <w:rPr>
      <w:rFonts w:ascii="Calibri" w:hAnsi="Calibri"/>
      <w:color w:val="1F497D"/>
      <w:sz w:val="22"/>
      <w:szCs w:val="21"/>
    </w:rPr>
  </w:style>
  <w:style w:type="character" w:customStyle="1" w:styleId="PlainTextChar">
    <w:name w:val="Plain Text Char"/>
    <w:basedOn w:val="DefaultParagraphFont"/>
    <w:link w:val="PlainText"/>
    <w:uiPriority w:val="99"/>
    <w:rsid w:val="000718CC"/>
    <w:rPr>
      <w:rFonts w:ascii="Calibri" w:hAnsi="Calibri"/>
      <w:color w:val="1F497D"/>
      <w:sz w:val="22"/>
      <w:szCs w:val="21"/>
    </w:rPr>
  </w:style>
  <w:style w:type="table" w:styleId="TableGrid">
    <w:name w:val="Table Grid"/>
    <w:basedOn w:val="TableNormal"/>
    <w:uiPriority w:val="59"/>
    <w:rsid w:val="00E043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1DED"/>
    <w:pPr>
      <w:tabs>
        <w:tab w:val="center" w:pos="4680"/>
        <w:tab w:val="right" w:pos="9360"/>
      </w:tabs>
    </w:pPr>
  </w:style>
  <w:style w:type="character" w:customStyle="1" w:styleId="HeaderChar">
    <w:name w:val="Header Char"/>
    <w:basedOn w:val="DefaultParagraphFont"/>
    <w:link w:val="Header"/>
    <w:uiPriority w:val="99"/>
    <w:rsid w:val="00D41DED"/>
    <w:rPr>
      <w:rFonts w:ascii="Courier" w:hAnsi="Courier"/>
      <w:sz w:val="24"/>
    </w:rPr>
  </w:style>
  <w:style w:type="paragraph" w:styleId="Footer">
    <w:name w:val="footer"/>
    <w:basedOn w:val="Normal"/>
    <w:link w:val="FooterChar"/>
    <w:uiPriority w:val="99"/>
    <w:unhideWhenUsed/>
    <w:rsid w:val="00D41DED"/>
    <w:pPr>
      <w:tabs>
        <w:tab w:val="center" w:pos="4680"/>
        <w:tab w:val="right" w:pos="9360"/>
      </w:tabs>
    </w:pPr>
  </w:style>
  <w:style w:type="character" w:customStyle="1" w:styleId="FooterChar">
    <w:name w:val="Footer Char"/>
    <w:basedOn w:val="DefaultParagraphFont"/>
    <w:link w:val="Footer"/>
    <w:uiPriority w:val="99"/>
    <w:rsid w:val="00D41DED"/>
    <w:rPr>
      <w:rFonts w:ascii="Courier" w:hAnsi="Courier"/>
      <w:sz w:val="24"/>
    </w:rPr>
  </w:style>
  <w:style w:type="character" w:styleId="Hyperlink">
    <w:name w:val="Hyperlink"/>
    <w:basedOn w:val="DefaultParagraphFont"/>
    <w:uiPriority w:val="99"/>
    <w:unhideWhenUsed/>
    <w:rsid w:val="00933614"/>
    <w:rPr>
      <w:color w:val="0000FF"/>
      <w:u w:val="single"/>
    </w:rPr>
  </w:style>
  <w:style w:type="paragraph" w:styleId="BalloonText">
    <w:name w:val="Balloon Text"/>
    <w:basedOn w:val="Normal"/>
    <w:link w:val="BalloonTextChar"/>
    <w:uiPriority w:val="99"/>
    <w:unhideWhenUsed/>
    <w:rsid w:val="00D85A01"/>
    <w:rPr>
      <w:rFonts w:ascii="Tahoma" w:hAnsi="Tahoma" w:cs="Tahoma"/>
      <w:sz w:val="16"/>
      <w:szCs w:val="16"/>
    </w:rPr>
  </w:style>
  <w:style w:type="character" w:customStyle="1" w:styleId="BalloonTextChar">
    <w:name w:val="Balloon Text Char"/>
    <w:basedOn w:val="DefaultParagraphFont"/>
    <w:link w:val="BalloonText"/>
    <w:uiPriority w:val="99"/>
    <w:rsid w:val="00D85A01"/>
    <w:rPr>
      <w:rFonts w:ascii="Tahoma" w:hAnsi="Tahoma" w:cs="Tahoma"/>
      <w:sz w:val="16"/>
      <w:szCs w:val="16"/>
    </w:rPr>
  </w:style>
  <w:style w:type="character" w:styleId="CommentReference">
    <w:name w:val="annotation reference"/>
    <w:basedOn w:val="DefaultParagraphFont"/>
    <w:uiPriority w:val="99"/>
    <w:semiHidden/>
    <w:unhideWhenUsed/>
    <w:rsid w:val="00187A93"/>
    <w:rPr>
      <w:sz w:val="16"/>
      <w:szCs w:val="16"/>
    </w:rPr>
  </w:style>
  <w:style w:type="paragraph" w:styleId="CommentText">
    <w:name w:val="annotation text"/>
    <w:basedOn w:val="Normal"/>
    <w:link w:val="CommentTextChar"/>
    <w:uiPriority w:val="99"/>
    <w:semiHidden/>
    <w:unhideWhenUsed/>
    <w:rsid w:val="00187A93"/>
    <w:rPr>
      <w:sz w:val="20"/>
    </w:rPr>
  </w:style>
  <w:style w:type="character" w:customStyle="1" w:styleId="CommentTextChar">
    <w:name w:val="Comment Text Char"/>
    <w:basedOn w:val="DefaultParagraphFont"/>
    <w:link w:val="CommentText"/>
    <w:uiPriority w:val="99"/>
    <w:semiHidden/>
    <w:rsid w:val="00187A93"/>
    <w:rPr>
      <w:rFonts w:ascii="Courier" w:hAnsi="Courier"/>
    </w:rPr>
  </w:style>
  <w:style w:type="paragraph" w:styleId="CommentSubject">
    <w:name w:val="annotation subject"/>
    <w:basedOn w:val="CommentText"/>
    <w:next w:val="CommentText"/>
    <w:link w:val="CommentSubjectChar"/>
    <w:uiPriority w:val="99"/>
    <w:semiHidden/>
    <w:unhideWhenUsed/>
    <w:rsid w:val="00187A93"/>
    <w:rPr>
      <w:b/>
      <w:bCs/>
    </w:rPr>
  </w:style>
  <w:style w:type="character" w:customStyle="1" w:styleId="CommentSubjectChar">
    <w:name w:val="Comment Subject Char"/>
    <w:basedOn w:val="CommentTextChar"/>
    <w:link w:val="CommentSubject"/>
    <w:uiPriority w:val="99"/>
    <w:semiHidden/>
    <w:rsid w:val="00187A93"/>
    <w:rPr>
      <w:rFonts w:ascii="Courier" w:hAnsi="Courier"/>
      <w:b/>
      <w:bCs/>
    </w:rPr>
  </w:style>
  <w:style w:type="paragraph" w:styleId="ListParagraph">
    <w:name w:val="List Paragraph"/>
    <w:basedOn w:val="Normal"/>
    <w:uiPriority w:val="34"/>
    <w:qFormat/>
    <w:rsid w:val="00AB625A"/>
    <w:pPr>
      <w:ind w:left="720"/>
    </w:pPr>
  </w:style>
  <w:style w:type="paragraph" w:styleId="BodyTextIndent">
    <w:name w:val="Body Text Indent"/>
    <w:basedOn w:val="Normal"/>
    <w:link w:val="BodyTextIndentChar"/>
    <w:rsid w:val="00B05A72"/>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B05A72"/>
    <w:rPr>
      <w:sz w:val="24"/>
      <w:szCs w:val="24"/>
    </w:rPr>
  </w:style>
  <w:style w:type="paragraph" w:styleId="Revision">
    <w:name w:val="Revision"/>
    <w:hidden/>
    <w:uiPriority w:val="99"/>
    <w:semiHidden/>
    <w:rsid w:val="00560466"/>
    <w:rPr>
      <w:rFonts w:ascii="Courier" w:hAnsi="Courier"/>
      <w:sz w:val="24"/>
    </w:rPr>
  </w:style>
  <w:style w:type="character" w:styleId="FollowedHyperlink">
    <w:name w:val="FollowedHyperlink"/>
    <w:basedOn w:val="DefaultParagraphFont"/>
    <w:uiPriority w:val="99"/>
    <w:semiHidden/>
    <w:unhideWhenUsed/>
    <w:rsid w:val="00B90C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7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397B"/>
  </w:style>
  <w:style w:type="character" w:styleId="EndnoteReference">
    <w:name w:val="endnote reference"/>
    <w:basedOn w:val="DefaultParagraphFont"/>
    <w:semiHidden/>
    <w:rsid w:val="001F397B"/>
    <w:rPr>
      <w:vertAlign w:val="superscript"/>
    </w:rPr>
  </w:style>
  <w:style w:type="paragraph" w:styleId="FootnoteText">
    <w:name w:val="footnote text"/>
    <w:aliases w:val="fn,ft,Car,Footnote Text Char Char Char Char Char Char Char Char Char Char Char Char Char Char Char Char Char,Footnote Text Char Char Char Char Char Char Char Char Char Char Char Char Char Char Char Char Char Char Char Char"/>
    <w:basedOn w:val="Normal"/>
    <w:link w:val="FootnoteTextChar"/>
    <w:uiPriority w:val="99"/>
    <w:rsid w:val="001F397B"/>
  </w:style>
  <w:style w:type="character" w:styleId="FootnoteReference">
    <w:name w:val="footnote reference"/>
    <w:basedOn w:val="DefaultParagraphFont"/>
    <w:uiPriority w:val="99"/>
    <w:semiHidden/>
    <w:rsid w:val="001F397B"/>
    <w:rPr>
      <w:vertAlign w:val="superscript"/>
    </w:rPr>
  </w:style>
  <w:style w:type="character" w:customStyle="1" w:styleId="Document8">
    <w:name w:val="Document 8"/>
    <w:basedOn w:val="DefaultParagraphFont"/>
    <w:rsid w:val="001F397B"/>
  </w:style>
  <w:style w:type="character" w:customStyle="1" w:styleId="Document4">
    <w:name w:val="Document 4"/>
    <w:basedOn w:val="DefaultParagraphFont"/>
    <w:rsid w:val="001F397B"/>
    <w:rPr>
      <w:b/>
      <w:i/>
      <w:sz w:val="24"/>
    </w:rPr>
  </w:style>
  <w:style w:type="character" w:customStyle="1" w:styleId="Document6">
    <w:name w:val="Document 6"/>
    <w:basedOn w:val="DefaultParagraphFont"/>
    <w:rsid w:val="001F397B"/>
  </w:style>
  <w:style w:type="character" w:customStyle="1" w:styleId="Document5">
    <w:name w:val="Document 5"/>
    <w:basedOn w:val="DefaultParagraphFont"/>
    <w:rsid w:val="001F397B"/>
  </w:style>
  <w:style w:type="character" w:customStyle="1" w:styleId="Document2">
    <w:name w:val="Document 2"/>
    <w:basedOn w:val="DefaultParagraphFont"/>
    <w:rsid w:val="001F397B"/>
    <w:rPr>
      <w:rFonts w:ascii="Courier" w:hAnsi="Courier"/>
      <w:noProof w:val="0"/>
      <w:sz w:val="24"/>
      <w:lang w:val="en-US"/>
    </w:rPr>
  </w:style>
  <w:style w:type="character" w:customStyle="1" w:styleId="Document7">
    <w:name w:val="Document 7"/>
    <w:basedOn w:val="DefaultParagraphFont"/>
    <w:rsid w:val="001F397B"/>
  </w:style>
  <w:style w:type="character" w:customStyle="1" w:styleId="Bibliogrphy">
    <w:name w:val="Bibliogrphy"/>
    <w:basedOn w:val="DefaultParagraphFont"/>
    <w:rsid w:val="001F397B"/>
  </w:style>
  <w:style w:type="paragraph" w:customStyle="1" w:styleId="RightPar1">
    <w:name w:val="Right Par 1"/>
    <w:rsid w:val="001F397B"/>
    <w:pPr>
      <w:tabs>
        <w:tab w:val="left" w:pos="-720"/>
        <w:tab w:val="left" w:pos="0"/>
        <w:tab w:val="decimal" w:pos="720"/>
      </w:tabs>
      <w:suppressAutoHyphens/>
      <w:ind w:left="720"/>
    </w:pPr>
    <w:rPr>
      <w:rFonts w:ascii="Courier" w:hAnsi="Courier"/>
      <w:sz w:val="24"/>
    </w:rPr>
  </w:style>
  <w:style w:type="paragraph" w:customStyle="1" w:styleId="RightPar2">
    <w:name w:val="Right Par 2"/>
    <w:rsid w:val="001F397B"/>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1F397B"/>
    <w:rPr>
      <w:rFonts w:ascii="Courier" w:hAnsi="Courier"/>
      <w:noProof w:val="0"/>
      <w:sz w:val="24"/>
      <w:lang w:val="en-US"/>
    </w:rPr>
  </w:style>
  <w:style w:type="paragraph" w:customStyle="1" w:styleId="RightPar3">
    <w:name w:val="Right Par 3"/>
    <w:rsid w:val="001F397B"/>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1F397B"/>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1F397B"/>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1F397B"/>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1F397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1F397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1F397B"/>
    <w:pPr>
      <w:keepNext/>
      <w:keepLines/>
      <w:tabs>
        <w:tab w:val="left" w:pos="-720"/>
      </w:tabs>
      <w:suppressAutoHyphens/>
    </w:pPr>
    <w:rPr>
      <w:rFonts w:ascii="Courier" w:hAnsi="Courier"/>
      <w:sz w:val="24"/>
    </w:rPr>
  </w:style>
  <w:style w:type="character" w:customStyle="1" w:styleId="DocInit">
    <w:name w:val="Doc Init"/>
    <w:basedOn w:val="DefaultParagraphFont"/>
    <w:rsid w:val="001F397B"/>
  </w:style>
  <w:style w:type="character" w:customStyle="1" w:styleId="TechInit">
    <w:name w:val="Tech Init"/>
    <w:basedOn w:val="DefaultParagraphFont"/>
    <w:rsid w:val="001F397B"/>
    <w:rPr>
      <w:rFonts w:ascii="Courier" w:hAnsi="Courier"/>
      <w:noProof w:val="0"/>
      <w:sz w:val="24"/>
      <w:lang w:val="en-US"/>
    </w:rPr>
  </w:style>
  <w:style w:type="paragraph" w:customStyle="1" w:styleId="Technical5">
    <w:name w:val="Technical 5"/>
    <w:rsid w:val="001F397B"/>
    <w:pPr>
      <w:tabs>
        <w:tab w:val="left" w:pos="-720"/>
      </w:tabs>
      <w:suppressAutoHyphens/>
      <w:ind w:firstLine="720"/>
    </w:pPr>
    <w:rPr>
      <w:rFonts w:ascii="Courier" w:hAnsi="Courier"/>
      <w:b/>
      <w:sz w:val="24"/>
    </w:rPr>
  </w:style>
  <w:style w:type="paragraph" w:customStyle="1" w:styleId="Technical6">
    <w:name w:val="Technical 6"/>
    <w:rsid w:val="001F397B"/>
    <w:pPr>
      <w:tabs>
        <w:tab w:val="left" w:pos="-720"/>
      </w:tabs>
      <w:suppressAutoHyphens/>
      <w:ind w:firstLine="720"/>
    </w:pPr>
    <w:rPr>
      <w:rFonts w:ascii="Courier" w:hAnsi="Courier"/>
      <w:b/>
      <w:sz w:val="24"/>
    </w:rPr>
  </w:style>
  <w:style w:type="character" w:customStyle="1" w:styleId="Technical2">
    <w:name w:val="Technical 2"/>
    <w:basedOn w:val="DefaultParagraphFont"/>
    <w:rsid w:val="001F397B"/>
    <w:rPr>
      <w:rFonts w:ascii="Courier" w:hAnsi="Courier"/>
      <w:noProof w:val="0"/>
      <w:sz w:val="24"/>
      <w:lang w:val="en-US"/>
    </w:rPr>
  </w:style>
  <w:style w:type="character" w:customStyle="1" w:styleId="Technical3">
    <w:name w:val="Technical 3"/>
    <w:basedOn w:val="DefaultParagraphFont"/>
    <w:rsid w:val="001F397B"/>
    <w:rPr>
      <w:rFonts w:ascii="Courier" w:hAnsi="Courier"/>
      <w:noProof w:val="0"/>
      <w:sz w:val="24"/>
      <w:lang w:val="en-US"/>
    </w:rPr>
  </w:style>
  <w:style w:type="paragraph" w:customStyle="1" w:styleId="Technical4">
    <w:name w:val="Technical 4"/>
    <w:rsid w:val="001F397B"/>
    <w:pPr>
      <w:tabs>
        <w:tab w:val="left" w:pos="-720"/>
      </w:tabs>
      <w:suppressAutoHyphens/>
    </w:pPr>
    <w:rPr>
      <w:rFonts w:ascii="Courier" w:hAnsi="Courier"/>
      <w:b/>
      <w:sz w:val="24"/>
    </w:rPr>
  </w:style>
  <w:style w:type="character" w:customStyle="1" w:styleId="Technical1">
    <w:name w:val="Technical 1"/>
    <w:basedOn w:val="DefaultParagraphFont"/>
    <w:rsid w:val="001F397B"/>
    <w:rPr>
      <w:rFonts w:ascii="Courier" w:hAnsi="Courier"/>
      <w:noProof w:val="0"/>
      <w:sz w:val="24"/>
      <w:lang w:val="en-US"/>
    </w:rPr>
  </w:style>
  <w:style w:type="paragraph" w:customStyle="1" w:styleId="Technical7">
    <w:name w:val="Technical 7"/>
    <w:rsid w:val="001F397B"/>
    <w:pPr>
      <w:tabs>
        <w:tab w:val="left" w:pos="-720"/>
      </w:tabs>
      <w:suppressAutoHyphens/>
      <w:ind w:firstLine="720"/>
    </w:pPr>
    <w:rPr>
      <w:rFonts w:ascii="Courier" w:hAnsi="Courier"/>
      <w:b/>
      <w:sz w:val="24"/>
    </w:rPr>
  </w:style>
  <w:style w:type="paragraph" w:customStyle="1" w:styleId="Technical8">
    <w:name w:val="Technical 8"/>
    <w:rsid w:val="001F397B"/>
    <w:pPr>
      <w:tabs>
        <w:tab w:val="left" w:pos="-720"/>
      </w:tabs>
      <w:suppressAutoHyphens/>
      <w:ind w:firstLine="720"/>
    </w:pPr>
    <w:rPr>
      <w:rFonts w:ascii="Courier" w:hAnsi="Courier"/>
      <w:b/>
      <w:sz w:val="24"/>
    </w:rPr>
  </w:style>
  <w:style w:type="paragraph" w:styleId="TOC1">
    <w:name w:val="toc 1"/>
    <w:basedOn w:val="Normal"/>
    <w:next w:val="Normal"/>
    <w:semiHidden/>
    <w:rsid w:val="001F397B"/>
    <w:pPr>
      <w:tabs>
        <w:tab w:val="right" w:leader="dot" w:pos="9360"/>
      </w:tabs>
      <w:suppressAutoHyphens/>
      <w:spacing w:before="480"/>
      <w:ind w:left="720" w:right="720" w:hanging="720"/>
    </w:pPr>
  </w:style>
  <w:style w:type="paragraph" w:styleId="TOC2">
    <w:name w:val="toc 2"/>
    <w:basedOn w:val="Normal"/>
    <w:next w:val="Normal"/>
    <w:semiHidden/>
    <w:rsid w:val="001F397B"/>
    <w:pPr>
      <w:tabs>
        <w:tab w:val="right" w:leader="dot" w:pos="9360"/>
      </w:tabs>
      <w:suppressAutoHyphens/>
      <w:ind w:left="1440" w:right="720" w:hanging="720"/>
    </w:pPr>
  </w:style>
  <w:style w:type="paragraph" w:styleId="TOC3">
    <w:name w:val="toc 3"/>
    <w:basedOn w:val="Normal"/>
    <w:next w:val="Normal"/>
    <w:semiHidden/>
    <w:rsid w:val="001F397B"/>
    <w:pPr>
      <w:tabs>
        <w:tab w:val="right" w:leader="dot" w:pos="9360"/>
      </w:tabs>
      <w:suppressAutoHyphens/>
      <w:ind w:left="2160" w:right="720" w:hanging="720"/>
    </w:pPr>
  </w:style>
  <w:style w:type="paragraph" w:styleId="TOC4">
    <w:name w:val="toc 4"/>
    <w:basedOn w:val="Normal"/>
    <w:next w:val="Normal"/>
    <w:semiHidden/>
    <w:rsid w:val="001F397B"/>
    <w:pPr>
      <w:tabs>
        <w:tab w:val="right" w:leader="dot" w:pos="9360"/>
      </w:tabs>
      <w:suppressAutoHyphens/>
      <w:ind w:left="2880" w:right="720" w:hanging="720"/>
    </w:pPr>
  </w:style>
  <w:style w:type="paragraph" w:styleId="TOC5">
    <w:name w:val="toc 5"/>
    <w:basedOn w:val="Normal"/>
    <w:next w:val="Normal"/>
    <w:semiHidden/>
    <w:rsid w:val="001F397B"/>
    <w:pPr>
      <w:tabs>
        <w:tab w:val="right" w:leader="dot" w:pos="9360"/>
      </w:tabs>
      <w:suppressAutoHyphens/>
      <w:ind w:left="3600" w:right="720" w:hanging="720"/>
    </w:pPr>
  </w:style>
  <w:style w:type="paragraph" w:styleId="TOC6">
    <w:name w:val="toc 6"/>
    <w:basedOn w:val="Normal"/>
    <w:next w:val="Normal"/>
    <w:semiHidden/>
    <w:rsid w:val="001F397B"/>
    <w:pPr>
      <w:tabs>
        <w:tab w:val="right" w:pos="9360"/>
      </w:tabs>
      <w:suppressAutoHyphens/>
      <w:ind w:left="720" w:hanging="720"/>
    </w:pPr>
  </w:style>
  <w:style w:type="paragraph" w:styleId="TOC7">
    <w:name w:val="toc 7"/>
    <w:basedOn w:val="Normal"/>
    <w:next w:val="Normal"/>
    <w:semiHidden/>
    <w:rsid w:val="001F397B"/>
    <w:pPr>
      <w:suppressAutoHyphens/>
      <w:ind w:left="720" w:hanging="720"/>
    </w:pPr>
  </w:style>
  <w:style w:type="paragraph" w:styleId="TOC8">
    <w:name w:val="toc 8"/>
    <w:basedOn w:val="Normal"/>
    <w:next w:val="Normal"/>
    <w:semiHidden/>
    <w:rsid w:val="001F397B"/>
    <w:pPr>
      <w:tabs>
        <w:tab w:val="right" w:pos="9360"/>
      </w:tabs>
      <w:suppressAutoHyphens/>
      <w:ind w:left="720" w:hanging="720"/>
    </w:pPr>
  </w:style>
  <w:style w:type="paragraph" w:styleId="TOC9">
    <w:name w:val="toc 9"/>
    <w:basedOn w:val="Normal"/>
    <w:next w:val="Normal"/>
    <w:semiHidden/>
    <w:rsid w:val="001F397B"/>
    <w:pPr>
      <w:tabs>
        <w:tab w:val="right" w:leader="dot" w:pos="9360"/>
      </w:tabs>
      <w:suppressAutoHyphens/>
      <w:ind w:left="720" w:hanging="720"/>
    </w:pPr>
  </w:style>
  <w:style w:type="paragraph" w:styleId="Index1">
    <w:name w:val="index 1"/>
    <w:basedOn w:val="Normal"/>
    <w:next w:val="Normal"/>
    <w:semiHidden/>
    <w:rsid w:val="001F397B"/>
    <w:pPr>
      <w:tabs>
        <w:tab w:val="right" w:leader="dot" w:pos="9360"/>
      </w:tabs>
      <w:suppressAutoHyphens/>
      <w:ind w:left="1440" w:right="720" w:hanging="1440"/>
    </w:pPr>
  </w:style>
  <w:style w:type="paragraph" w:styleId="Index2">
    <w:name w:val="index 2"/>
    <w:basedOn w:val="Normal"/>
    <w:next w:val="Normal"/>
    <w:semiHidden/>
    <w:rsid w:val="001F397B"/>
    <w:pPr>
      <w:tabs>
        <w:tab w:val="right" w:leader="dot" w:pos="9360"/>
      </w:tabs>
      <w:suppressAutoHyphens/>
      <w:ind w:left="1440" w:right="720" w:hanging="720"/>
    </w:pPr>
  </w:style>
  <w:style w:type="paragraph" w:styleId="TOAHeading">
    <w:name w:val="toa heading"/>
    <w:basedOn w:val="Normal"/>
    <w:next w:val="Normal"/>
    <w:semiHidden/>
    <w:rsid w:val="001F397B"/>
    <w:pPr>
      <w:tabs>
        <w:tab w:val="right" w:pos="9360"/>
      </w:tabs>
      <w:suppressAutoHyphens/>
    </w:pPr>
  </w:style>
  <w:style w:type="paragraph" w:styleId="Caption">
    <w:name w:val="caption"/>
    <w:basedOn w:val="Normal"/>
    <w:next w:val="Normal"/>
    <w:qFormat/>
    <w:rsid w:val="001F397B"/>
  </w:style>
  <w:style w:type="character" w:customStyle="1" w:styleId="EquationCaption">
    <w:name w:val="_Equation Caption"/>
    <w:rsid w:val="001F397B"/>
  </w:style>
  <w:style w:type="character" w:customStyle="1" w:styleId="FootnoteTextChar">
    <w:name w:val="Footnote Text Char"/>
    <w:aliases w:val="fn Char,ft Char,Car Char,Footnote Text Char Char Char Char Char Char Char Char Char Char Char Char Char Char Char Char Char Char"/>
    <w:basedOn w:val="DefaultParagraphFont"/>
    <w:link w:val="FootnoteText"/>
    <w:uiPriority w:val="99"/>
    <w:rsid w:val="000718CC"/>
    <w:rPr>
      <w:rFonts w:ascii="Courier" w:hAnsi="Courier"/>
      <w:sz w:val="24"/>
    </w:rPr>
  </w:style>
  <w:style w:type="paragraph" w:styleId="PlainText">
    <w:name w:val="Plain Text"/>
    <w:basedOn w:val="Normal"/>
    <w:link w:val="PlainTextChar"/>
    <w:uiPriority w:val="99"/>
    <w:unhideWhenUsed/>
    <w:rsid w:val="000718CC"/>
    <w:rPr>
      <w:rFonts w:ascii="Calibri" w:hAnsi="Calibri"/>
      <w:color w:val="1F497D"/>
      <w:sz w:val="22"/>
      <w:szCs w:val="21"/>
    </w:rPr>
  </w:style>
  <w:style w:type="character" w:customStyle="1" w:styleId="PlainTextChar">
    <w:name w:val="Plain Text Char"/>
    <w:basedOn w:val="DefaultParagraphFont"/>
    <w:link w:val="PlainText"/>
    <w:uiPriority w:val="99"/>
    <w:rsid w:val="000718CC"/>
    <w:rPr>
      <w:rFonts w:ascii="Calibri" w:hAnsi="Calibri"/>
      <w:color w:val="1F497D"/>
      <w:sz w:val="22"/>
      <w:szCs w:val="21"/>
    </w:rPr>
  </w:style>
  <w:style w:type="table" w:styleId="TableGrid">
    <w:name w:val="Table Grid"/>
    <w:basedOn w:val="TableNormal"/>
    <w:uiPriority w:val="59"/>
    <w:rsid w:val="00E043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1DED"/>
    <w:pPr>
      <w:tabs>
        <w:tab w:val="center" w:pos="4680"/>
        <w:tab w:val="right" w:pos="9360"/>
      </w:tabs>
    </w:pPr>
  </w:style>
  <w:style w:type="character" w:customStyle="1" w:styleId="HeaderChar">
    <w:name w:val="Header Char"/>
    <w:basedOn w:val="DefaultParagraphFont"/>
    <w:link w:val="Header"/>
    <w:uiPriority w:val="99"/>
    <w:rsid w:val="00D41DED"/>
    <w:rPr>
      <w:rFonts w:ascii="Courier" w:hAnsi="Courier"/>
      <w:sz w:val="24"/>
    </w:rPr>
  </w:style>
  <w:style w:type="paragraph" w:styleId="Footer">
    <w:name w:val="footer"/>
    <w:basedOn w:val="Normal"/>
    <w:link w:val="FooterChar"/>
    <w:uiPriority w:val="99"/>
    <w:unhideWhenUsed/>
    <w:rsid w:val="00D41DED"/>
    <w:pPr>
      <w:tabs>
        <w:tab w:val="center" w:pos="4680"/>
        <w:tab w:val="right" w:pos="9360"/>
      </w:tabs>
    </w:pPr>
  </w:style>
  <w:style w:type="character" w:customStyle="1" w:styleId="FooterChar">
    <w:name w:val="Footer Char"/>
    <w:basedOn w:val="DefaultParagraphFont"/>
    <w:link w:val="Footer"/>
    <w:uiPriority w:val="99"/>
    <w:rsid w:val="00D41DED"/>
    <w:rPr>
      <w:rFonts w:ascii="Courier" w:hAnsi="Courier"/>
      <w:sz w:val="24"/>
    </w:rPr>
  </w:style>
  <w:style w:type="character" w:styleId="Hyperlink">
    <w:name w:val="Hyperlink"/>
    <w:basedOn w:val="DefaultParagraphFont"/>
    <w:uiPriority w:val="99"/>
    <w:unhideWhenUsed/>
    <w:rsid w:val="00933614"/>
    <w:rPr>
      <w:color w:val="0000FF"/>
      <w:u w:val="single"/>
    </w:rPr>
  </w:style>
  <w:style w:type="paragraph" w:styleId="BalloonText">
    <w:name w:val="Balloon Text"/>
    <w:basedOn w:val="Normal"/>
    <w:link w:val="BalloonTextChar"/>
    <w:uiPriority w:val="99"/>
    <w:unhideWhenUsed/>
    <w:rsid w:val="00D85A01"/>
    <w:rPr>
      <w:rFonts w:ascii="Tahoma" w:hAnsi="Tahoma" w:cs="Tahoma"/>
      <w:sz w:val="16"/>
      <w:szCs w:val="16"/>
    </w:rPr>
  </w:style>
  <w:style w:type="character" w:customStyle="1" w:styleId="BalloonTextChar">
    <w:name w:val="Balloon Text Char"/>
    <w:basedOn w:val="DefaultParagraphFont"/>
    <w:link w:val="BalloonText"/>
    <w:uiPriority w:val="99"/>
    <w:rsid w:val="00D85A01"/>
    <w:rPr>
      <w:rFonts w:ascii="Tahoma" w:hAnsi="Tahoma" w:cs="Tahoma"/>
      <w:sz w:val="16"/>
      <w:szCs w:val="16"/>
    </w:rPr>
  </w:style>
  <w:style w:type="character" w:styleId="CommentReference">
    <w:name w:val="annotation reference"/>
    <w:basedOn w:val="DefaultParagraphFont"/>
    <w:uiPriority w:val="99"/>
    <w:semiHidden/>
    <w:unhideWhenUsed/>
    <w:rsid w:val="00187A93"/>
    <w:rPr>
      <w:sz w:val="16"/>
      <w:szCs w:val="16"/>
    </w:rPr>
  </w:style>
  <w:style w:type="paragraph" w:styleId="CommentText">
    <w:name w:val="annotation text"/>
    <w:basedOn w:val="Normal"/>
    <w:link w:val="CommentTextChar"/>
    <w:uiPriority w:val="99"/>
    <w:semiHidden/>
    <w:unhideWhenUsed/>
    <w:rsid w:val="00187A93"/>
    <w:rPr>
      <w:sz w:val="20"/>
    </w:rPr>
  </w:style>
  <w:style w:type="character" w:customStyle="1" w:styleId="CommentTextChar">
    <w:name w:val="Comment Text Char"/>
    <w:basedOn w:val="DefaultParagraphFont"/>
    <w:link w:val="CommentText"/>
    <w:uiPriority w:val="99"/>
    <w:semiHidden/>
    <w:rsid w:val="00187A93"/>
    <w:rPr>
      <w:rFonts w:ascii="Courier" w:hAnsi="Courier"/>
    </w:rPr>
  </w:style>
  <w:style w:type="paragraph" w:styleId="CommentSubject">
    <w:name w:val="annotation subject"/>
    <w:basedOn w:val="CommentText"/>
    <w:next w:val="CommentText"/>
    <w:link w:val="CommentSubjectChar"/>
    <w:uiPriority w:val="99"/>
    <w:semiHidden/>
    <w:unhideWhenUsed/>
    <w:rsid w:val="00187A93"/>
    <w:rPr>
      <w:b/>
      <w:bCs/>
    </w:rPr>
  </w:style>
  <w:style w:type="character" w:customStyle="1" w:styleId="CommentSubjectChar">
    <w:name w:val="Comment Subject Char"/>
    <w:basedOn w:val="CommentTextChar"/>
    <w:link w:val="CommentSubject"/>
    <w:uiPriority w:val="99"/>
    <w:semiHidden/>
    <w:rsid w:val="00187A93"/>
    <w:rPr>
      <w:rFonts w:ascii="Courier" w:hAnsi="Courier"/>
      <w:b/>
      <w:bCs/>
    </w:rPr>
  </w:style>
  <w:style w:type="paragraph" w:styleId="ListParagraph">
    <w:name w:val="List Paragraph"/>
    <w:basedOn w:val="Normal"/>
    <w:uiPriority w:val="34"/>
    <w:qFormat/>
    <w:rsid w:val="00AB625A"/>
    <w:pPr>
      <w:ind w:left="720"/>
    </w:pPr>
  </w:style>
  <w:style w:type="paragraph" w:styleId="BodyTextIndent">
    <w:name w:val="Body Text Indent"/>
    <w:basedOn w:val="Normal"/>
    <w:link w:val="BodyTextIndentChar"/>
    <w:rsid w:val="00B05A72"/>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B05A72"/>
    <w:rPr>
      <w:sz w:val="24"/>
      <w:szCs w:val="24"/>
    </w:rPr>
  </w:style>
  <w:style w:type="paragraph" w:styleId="Revision">
    <w:name w:val="Revision"/>
    <w:hidden/>
    <w:uiPriority w:val="99"/>
    <w:semiHidden/>
    <w:rsid w:val="00560466"/>
    <w:rPr>
      <w:rFonts w:ascii="Courier" w:hAnsi="Courier"/>
      <w:sz w:val="24"/>
    </w:rPr>
  </w:style>
  <w:style w:type="character" w:styleId="FollowedHyperlink">
    <w:name w:val="FollowedHyperlink"/>
    <w:basedOn w:val="DefaultParagraphFont"/>
    <w:uiPriority w:val="99"/>
    <w:semiHidden/>
    <w:unhideWhenUsed/>
    <w:rsid w:val="00B90C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13">
      <w:bodyDiv w:val="1"/>
      <w:marLeft w:val="0"/>
      <w:marRight w:val="0"/>
      <w:marTop w:val="0"/>
      <w:marBottom w:val="0"/>
      <w:divBdr>
        <w:top w:val="none" w:sz="0" w:space="0" w:color="auto"/>
        <w:left w:val="none" w:sz="0" w:space="0" w:color="auto"/>
        <w:bottom w:val="none" w:sz="0" w:space="0" w:color="auto"/>
        <w:right w:val="none" w:sz="0" w:space="0" w:color="auto"/>
      </w:divBdr>
    </w:div>
    <w:div w:id="62683617">
      <w:bodyDiv w:val="1"/>
      <w:marLeft w:val="0"/>
      <w:marRight w:val="0"/>
      <w:marTop w:val="0"/>
      <w:marBottom w:val="0"/>
      <w:divBdr>
        <w:top w:val="none" w:sz="0" w:space="0" w:color="auto"/>
        <w:left w:val="none" w:sz="0" w:space="0" w:color="auto"/>
        <w:bottom w:val="none" w:sz="0" w:space="0" w:color="auto"/>
        <w:right w:val="none" w:sz="0" w:space="0" w:color="auto"/>
      </w:divBdr>
    </w:div>
    <w:div w:id="340936519">
      <w:bodyDiv w:val="1"/>
      <w:marLeft w:val="0"/>
      <w:marRight w:val="0"/>
      <w:marTop w:val="0"/>
      <w:marBottom w:val="0"/>
      <w:divBdr>
        <w:top w:val="none" w:sz="0" w:space="0" w:color="auto"/>
        <w:left w:val="none" w:sz="0" w:space="0" w:color="auto"/>
        <w:bottom w:val="none" w:sz="0" w:space="0" w:color="auto"/>
        <w:right w:val="none" w:sz="0" w:space="0" w:color="auto"/>
      </w:divBdr>
    </w:div>
    <w:div w:id="480313763">
      <w:bodyDiv w:val="1"/>
      <w:marLeft w:val="0"/>
      <w:marRight w:val="0"/>
      <w:marTop w:val="0"/>
      <w:marBottom w:val="0"/>
      <w:divBdr>
        <w:top w:val="none" w:sz="0" w:space="0" w:color="auto"/>
        <w:left w:val="none" w:sz="0" w:space="0" w:color="auto"/>
        <w:bottom w:val="none" w:sz="0" w:space="0" w:color="auto"/>
        <w:right w:val="none" w:sz="0" w:space="0" w:color="auto"/>
      </w:divBdr>
    </w:div>
    <w:div w:id="645205988">
      <w:bodyDiv w:val="1"/>
      <w:marLeft w:val="0"/>
      <w:marRight w:val="0"/>
      <w:marTop w:val="0"/>
      <w:marBottom w:val="0"/>
      <w:divBdr>
        <w:top w:val="none" w:sz="0" w:space="0" w:color="auto"/>
        <w:left w:val="none" w:sz="0" w:space="0" w:color="auto"/>
        <w:bottom w:val="none" w:sz="0" w:space="0" w:color="auto"/>
        <w:right w:val="none" w:sz="0" w:space="0" w:color="auto"/>
      </w:divBdr>
    </w:div>
    <w:div w:id="878005442">
      <w:bodyDiv w:val="1"/>
      <w:marLeft w:val="0"/>
      <w:marRight w:val="0"/>
      <w:marTop w:val="0"/>
      <w:marBottom w:val="0"/>
      <w:divBdr>
        <w:top w:val="none" w:sz="0" w:space="0" w:color="auto"/>
        <w:left w:val="none" w:sz="0" w:space="0" w:color="auto"/>
        <w:bottom w:val="none" w:sz="0" w:space="0" w:color="auto"/>
        <w:right w:val="none" w:sz="0" w:space="0" w:color="auto"/>
      </w:divBdr>
    </w:div>
    <w:div w:id="953635001">
      <w:bodyDiv w:val="1"/>
      <w:marLeft w:val="0"/>
      <w:marRight w:val="0"/>
      <w:marTop w:val="0"/>
      <w:marBottom w:val="0"/>
      <w:divBdr>
        <w:top w:val="none" w:sz="0" w:space="0" w:color="auto"/>
        <w:left w:val="none" w:sz="0" w:space="0" w:color="auto"/>
        <w:bottom w:val="none" w:sz="0" w:space="0" w:color="auto"/>
        <w:right w:val="none" w:sz="0" w:space="0" w:color="auto"/>
      </w:divBdr>
    </w:div>
    <w:div w:id="1141075133">
      <w:bodyDiv w:val="1"/>
      <w:marLeft w:val="0"/>
      <w:marRight w:val="0"/>
      <w:marTop w:val="0"/>
      <w:marBottom w:val="0"/>
      <w:divBdr>
        <w:top w:val="none" w:sz="0" w:space="0" w:color="auto"/>
        <w:left w:val="none" w:sz="0" w:space="0" w:color="auto"/>
        <w:bottom w:val="none" w:sz="0" w:space="0" w:color="auto"/>
        <w:right w:val="none" w:sz="0" w:space="0" w:color="auto"/>
      </w:divBdr>
    </w:div>
    <w:div w:id="1227063214">
      <w:bodyDiv w:val="1"/>
      <w:marLeft w:val="0"/>
      <w:marRight w:val="0"/>
      <w:marTop w:val="0"/>
      <w:marBottom w:val="0"/>
      <w:divBdr>
        <w:top w:val="none" w:sz="0" w:space="0" w:color="auto"/>
        <w:left w:val="none" w:sz="0" w:space="0" w:color="auto"/>
        <w:bottom w:val="none" w:sz="0" w:space="0" w:color="auto"/>
        <w:right w:val="none" w:sz="0" w:space="0" w:color="auto"/>
      </w:divBdr>
    </w:div>
    <w:div w:id="1261259104">
      <w:bodyDiv w:val="1"/>
      <w:marLeft w:val="0"/>
      <w:marRight w:val="0"/>
      <w:marTop w:val="0"/>
      <w:marBottom w:val="0"/>
      <w:divBdr>
        <w:top w:val="none" w:sz="0" w:space="0" w:color="auto"/>
        <w:left w:val="none" w:sz="0" w:space="0" w:color="auto"/>
        <w:bottom w:val="none" w:sz="0" w:space="0" w:color="auto"/>
        <w:right w:val="none" w:sz="0" w:space="0" w:color="auto"/>
      </w:divBdr>
    </w:div>
    <w:div w:id="1329017978">
      <w:bodyDiv w:val="1"/>
      <w:marLeft w:val="0"/>
      <w:marRight w:val="0"/>
      <w:marTop w:val="0"/>
      <w:marBottom w:val="0"/>
      <w:divBdr>
        <w:top w:val="none" w:sz="0" w:space="0" w:color="auto"/>
        <w:left w:val="none" w:sz="0" w:space="0" w:color="auto"/>
        <w:bottom w:val="none" w:sz="0" w:space="0" w:color="auto"/>
        <w:right w:val="none" w:sz="0" w:space="0" w:color="auto"/>
      </w:divBdr>
    </w:div>
    <w:div w:id="1385713662">
      <w:bodyDiv w:val="1"/>
      <w:marLeft w:val="0"/>
      <w:marRight w:val="0"/>
      <w:marTop w:val="0"/>
      <w:marBottom w:val="0"/>
      <w:divBdr>
        <w:top w:val="none" w:sz="0" w:space="0" w:color="auto"/>
        <w:left w:val="none" w:sz="0" w:space="0" w:color="auto"/>
        <w:bottom w:val="none" w:sz="0" w:space="0" w:color="auto"/>
        <w:right w:val="none" w:sz="0" w:space="0" w:color="auto"/>
      </w:divBdr>
    </w:div>
    <w:div w:id="1670406380">
      <w:bodyDiv w:val="1"/>
      <w:marLeft w:val="0"/>
      <w:marRight w:val="0"/>
      <w:marTop w:val="0"/>
      <w:marBottom w:val="0"/>
      <w:divBdr>
        <w:top w:val="none" w:sz="0" w:space="0" w:color="auto"/>
        <w:left w:val="none" w:sz="0" w:space="0" w:color="auto"/>
        <w:bottom w:val="none" w:sz="0" w:space="0" w:color="auto"/>
        <w:right w:val="none" w:sz="0" w:space="0" w:color="auto"/>
      </w:divBdr>
    </w:div>
    <w:div w:id="19199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ftc.gov/ucm/groups/public/@swaps/documents/file/derivative18sub091410.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_x0020_Subject xmlns="03fa93b7-8116-4f87-be7f-598e4c8461d4">1</Rule_x0020_Subject>
    <FOIA_x0020_Cost_x002d_Benefit xmlns="03fa93b7-8116-4f87-be7f-598e4c8461d4">false</FOIA_x0020_Cost_x002d_Benefi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82AA0EB91F92458687EE838913C2E1" ma:contentTypeVersion="3" ma:contentTypeDescription="Create a new document." ma:contentTypeScope="" ma:versionID="a9b236ad82b8f2f3a2d5effa8e476431">
  <xsd:schema xmlns:xsd="http://www.w3.org/2001/XMLSchema" xmlns:p="http://schemas.microsoft.com/office/2006/metadata/properties" xmlns:ns2="03fa93b7-8116-4f87-be7f-598e4c8461d4" targetNamespace="http://schemas.microsoft.com/office/2006/metadata/properties" ma:root="true" ma:fieldsID="9a35df9d7e95f6e80086e50ed798200c" ns2:_="">
    <xsd:import namespace="03fa93b7-8116-4f87-be7f-598e4c8461d4"/>
    <xsd:element name="properties">
      <xsd:complexType>
        <xsd:sequence>
          <xsd:element name="documentManagement">
            <xsd:complexType>
              <xsd:all>
                <xsd:element ref="ns2:Rule_x0020_Subject" minOccurs="0"/>
                <xsd:element ref="ns2:FOIA_x0020_Cost_x002d_Benefit" minOccurs="0"/>
              </xsd:all>
            </xsd:complexType>
          </xsd:element>
        </xsd:sequence>
      </xsd:complexType>
    </xsd:element>
  </xsd:schema>
  <xsd:schema xmlns:xsd="http://www.w3.org/2001/XMLSchema" xmlns:dms="http://schemas.microsoft.com/office/2006/documentManagement/types" targetNamespace="03fa93b7-8116-4f87-be7f-598e4c8461d4" elementFormDefault="qualified">
    <xsd:import namespace="http://schemas.microsoft.com/office/2006/documentManagement/types"/>
    <xsd:element name="Rule_x0020_Subject" ma:index="8" nillable="true" ma:displayName="Rule Subject" ma:list="{ad0c429e-f014-4694-9333-10b07c8d359b}" ma:internalName="Rule_x0020_Subject" ma:showField="Title">
      <xsd:simpleType>
        <xsd:restriction base="dms:Lookup"/>
      </xsd:simpleType>
    </xsd:element>
    <xsd:element name="FOIA_x0020_Cost_x002d_Benefit" ma:index="9" nillable="true" ma:displayName="FOIA Cost-Benefit" ma:default="0" ma:internalName="FOIA_x0020_Cost_x002d_Benefi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F5061-AB72-405D-8DBC-D6D7449D400E}">
  <ds:schemaRefs>
    <ds:schemaRef ds:uri="http://schemas.microsoft.com/office/2006/metadata/longProperties"/>
  </ds:schemaRefs>
</ds:datastoreItem>
</file>

<file path=customXml/itemProps2.xml><?xml version="1.0" encoding="utf-8"?>
<ds:datastoreItem xmlns:ds="http://schemas.openxmlformats.org/officeDocument/2006/customXml" ds:itemID="{E245E639-93A4-4F2C-A663-EB749C8298C5}">
  <ds:schemaRefs>
    <ds:schemaRef ds:uri="http://schemas.microsoft.com/sharepoint/v3/contenttype/forms"/>
  </ds:schemaRefs>
</ds:datastoreItem>
</file>

<file path=customXml/itemProps3.xml><?xml version="1.0" encoding="utf-8"?>
<ds:datastoreItem xmlns:ds="http://schemas.openxmlformats.org/officeDocument/2006/customXml" ds:itemID="{D3FD8AF9-BC4E-4D78-AF28-70D6572DBC0D}">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03fa93b7-8116-4f87-be7f-598e4c8461d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540E627-9ECD-4699-A20F-DE6BBED4B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a93b7-8116-4f87-be7f-598e4c8461d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B3FFAE3-D5DF-44DE-8DB4-46B4B120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5079</Words>
  <Characters>29030</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PRA Supporting Statement</vt:lpstr>
    </vt:vector>
  </TitlesOfParts>
  <LinksUpToDate>false</LinksUpToDate>
  <CharactersWithSpaces>34041</CharactersWithSpaces>
  <SharedDoc>false</SharedDoc>
  <HLinks>
    <vt:vector size="18" baseType="variant">
      <vt:variant>
        <vt:i4>5963838</vt:i4>
      </vt:variant>
      <vt:variant>
        <vt:i4>0</vt:i4>
      </vt:variant>
      <vt:variant>
        <vt:i4>0</vt:i4>
      </vt:variant>
      <vt:variant>
        <vt:i4>5</vt:i4>
      </vt:variant>
      <vt:variant>
        <vt:lpwstr>http://www.cftc.gov/ucm/groups/public/@swaps/documents/file/derivative18sub091410.pdf</vt:lpwstr>
      </vt:variant>
      <vt:variant>
        <vt:lpwstr/>
      </vt:variant>
      <vt:variant>
        <vt:i4>5242947</vt:i4>
      </vt:variant>
      <vt:variant>
        <vt:i4>3</vt:i4>
      </vt:variant>
      <vt:variant>
        <vt:i4>0</vt:i4>
      </vt:variant>
      <vt:variant>
        <vt:i4>5</vt:i4>
      </vt:variant>
      <vt:variant>
        <vt:lpwstr>http://services.cftc.gov/SIRT/SIRT.aspx?Topic=TradingOrganizations&amp;implicit=true&amp;type=DCM&amp;CustomColumnDisplay=TTTTTTT</vt:lpwstr>
      </vt:variant>
      <vt:variant>
        <vt:lpwstr/>
      </vt:variant>
      <vt:variant>
        <vt:i4>5242947</vt:i4>
      </vt:variant>
      <vt:variant>
        <vt:i4>0</vt:i4>
      </vt:variant>
      <vt:variant>
        <vt:i4>0</vt:i4>
      </vt:variant>
      <vt:variant>
        <vt:i4>5</vt:i4>
      </vt:variant>
      <vt:variant>
        <vt:lpwstr>http://services.cftc.gov/SIRT/SIRT.aspx?Topic=TradingOrganizations&amp;implicit=true&amp;type=DCM&amp;CustomColumnDisplay=TTTTTTT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dc:title>
  <dc:creator/>
  <cp:lastModifiedBy/>
  <cp:revision>1</cp:revision>
  <dcterms:created xsi:type="dcterms:W3CDTF">2012-01-06T02:00:00Z</dcterms:created>
  <dcterms:modified xsi:type="dcterms:W3CDTF">2012-01-06T02:00:00Z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0x010100D682AA0EB91F92458687EE838913C2E1</vt:lpwstr>
  </property>
</Properties>
</file>