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C23" w:rsidRDefault="00AB2C23">
      <w:pPr>
        <w:jc w:val="center"/>
      </w:pPr>
      <w:r>
        <w:t>Supporting Statement for the</w:t>
      </w:r>
    </w:p>
    <w:p w:rsidR="00AB2C23" w:rsidRDefault="00AB2C23">
      <w:pPr>
        <w:jc w:val="center"/>
      </w:pPr>
      <w:r>
        <w:t xml:space="preserve">Control Technology Determinations for Constructed and </w:t>
      </w:r>
    </w:p>
    <w:p w:rsidR="00AB2C23" w:rsidRDefault="00AB2C23">
      <w:pPr>
        <w:jc w:val="center"/>
      </w:pPr>
      <w:r>
        <w:t>Reconstructed Major Sources of Hazardous Air Pollutants,</w:t>
      </w:r>
    </w:p>
    <w:p w:rsidR="00AB2C23" w:rsidRDefault="00AB2C23">
      <w:pPr>
        <w:jc w:val="center"/>
      </w:pPr>
      <w:r>
        <w:t xml:space="preserve">40 </w:t>
      </w:r>
      <w:smartTag w:uri="urn:schemas-microsoft-com:office:smarttags" w:element="stockticker">
        <w:r>
          <w:t>CFR</w:t>
        </w:r>
      </w:smartTag>
      <w:r>
        <w:t xml:space="preserve"> </w:t>
      </w:r>
      <w:proofErr w:type="gramStart"/>
      <w:r>
        <w:t>part</w:t>
      </w:r>
      <w:proofErr w:type="gramEnd"/>
      <w:r>
        <w:t xml:space="preserve"> 63, subpart B</w:t>
      </w:r>
    </w:p>
    <w:p w:rsidR="00AB2C23" w:rsidRDefault="00AB2C23"/>
    <w:p w:rsidR="00AB2C23" w:rsidRDefault="00AB2C23"/>
    <w:p w:rsidR="00AB2C23" w:rsidRDefault="00AB2C23"/>
    <w:p w:rsidR="00AB2C23" w:rsidRDefault="00AB2C23">
      <w:pPr>
        <w:tabs>
          <w:tab w:val="center" w:pos="4680"/>
        </w:tabs>
      </w:pPr>
      <w:r>
        <w:tab/>
        <w:t>Prepared by</w:t>
      </w:r>
    </w:p>
    <w:p w:rsidR="00AB2C23" w:rsidRDefault="00AB2C23"/>
    <w:p w:rsidR="00AB2C23" w:rsidRDefault="00AB2C23">
      <w:pPr>
        <w:tabs>
          <w:tab w:val="center" w:pos="4680"/>
        </w:tabs>
      </w:pPr>
      <w:r>
        <w:tab/>
        <w:t>Office of Air Quality Planning and Standards</w:t>
      </w:r>
    </w:p>
    <w:p w:rsidR="00AB2C23" w:rsidRDefault="00AB2C23"/>
    <w:p w:rsidR="00AB2C23" w:rsidRDefault="00AB2C23"/>
    <w:p w:rsidR="00AB2C23" w:rsidRDefault="00AB2C23"/>
    <w:p w:rsidR="00AB2C23" w:rsidRDefault="00AB2C23"/>
    <w:p w:rsidR="00AB2C23" w:rsidRDefault="00AB2C23">
      <w:pPr>
        <w:sectPr w:rsidR="00AB2C23">
          <w:headerReference w:type="default" r:id="rId8"/>
          <w:pgSz w:w="12240" w:h="15840"/>
          <w:pgMar w:top="1440" w:right="1440" w:bottom="1440" w:left="1440" w:header="1440" w:footer="1440" w:gutter="0"/>
          <w:cols w:space="720"/>
          <w:vAlign w:val="center"/>
          <w:noEndnote/>
        </w:sectPr>
      </w:pPr>
    </w:p>
    <w:p w:rsidR="00AB2C23" w:rsidRDefault="00AB2C23">
      <w:pPr>
        <w:tabs>
          <w:tab w:val="center" w:pos="4680"/>
        </w:tabs>
      </w:pPr>
      <w:r>
        <w:lastRenderedPageBreak/>
        <w:tab/>
      </w:r>
      <w:r>
        <w:rPr>
          <w:b/>
          <w:bCs/>
          <w:sz w:val="32"/>
          <w:szCs w:val="32"/>
        </w:rPr>
        <w:t>Part A of the Supporting Statement</w:t>
      </w:r>
    </w:p>
    <w:p w:rsidR="00AB2C23" w:rsidRDefault="00AB2C23"/>
    <w:p w:rsidR="00AB2C23" w:rsidRDefault="00AB2C23">
      <w:pPr>
        <w:tabs>
          <w:tab w:val="left" w:pos="-1440"/>
        </w:tabs>
        <w:ind w:left="720" w:hanging="720"/>
        <w:rPr>
          <w:b/>
          <w:bCs/>
        </w:rPr>
      </w:pPr>
      <w:r>
        <w:rPr>
          <w:b/>
          <w:bCs/>
        </w:rPr>
        <w:t>1.</w:t>
      </w:r>
      <w:r>
        <w:rPr>
          <w:b/>
          <w:bCs/>
        </w:rPr>
        <w:tab/>
        <w:t>IDENTIFICATION OF THE INFORMATION COLLECTION</w:t>
      </w:r>
    </w:p>
    <w:p w:rsidR="00AB2C23" w:rsidRDefault="00AB2C23"/>
    <w:p w:rsidR="00AB2C23" w:rsidRDefault="00AB2C23">
      <w:pPr>
        <w:tabs>
          <w:tab w:val="left" w:pos="-1440"/>
        </w:tabs>
        <w:ind w:left="1440" w:hanging="720"/>
      </w:pPr>
      <w:r>
        <w:rPr>
          <w:b/>
          <w:bCs/>
        </w:rPr>
        <w:t>1(a)</w:t>
      </w:r>
      <w:r>
        <w:rPr>
          <w:b/>
          <w:bCs/>
        </w:rPr>
        <w:tab/>
        <w:t>Title of the Information Collection</w:t>
      </w:r>
    </w:p>
    <w:p w:rsidR="00AB2C23" w:rsidRDefault="00AB2C23"/>
    <w:p w:rsidR="00AB2C23" w:rsidRDefault="00AB2C23">
      <w:pPr>
        <w:ind w:firstLine="720"/>
      </w:pPr>
      <w:r>
        <w:t>This Information Collection Request (ICR) is entitled “Control Technology Determinations for Constructed and Reconstructed Major Sources o</w:t>
      </w:r>
      <w:r w:rsidR="003D1998">
        <w:t>f Hazardous Air Pollutants</w:t>
      </w:r>
      <w:r>
        <w:t xml:space="preserve"> </w:t>
      </w:r>
      <w:r w:rsidR="003D1998">
        <w:t>(</w:t>
      </w:r>
      <w:r>
        <w:t xml:space="preserve">40 </w:t>
      </w:r>
      <w:smartTag w:uri="urn:schemas-microsoft-com:office:smarttags" w:element="stockticker">
        <w:r>
          <w:t>CFR</w:t>
        </w:r>
      </w:smartTag>
      <w:r>
        <w:t xml:space="preserve"> part 63, subpart B</w:t>
      </w:r>
      <w:r w:rsidR="003D1998">
        <w:t>)</w:t>
      </w:r>
      <w:r>
        <w:t>” and numbered as EPA ICR Number 1658.0</w:t>
      </w:r>
      <w:r w:rsidR="00CA7C23">
        <w:t>7</w:t>
      </w:r>
      <w:r>
        <w:t xml:space="preserve"> and Office of Management and Budget (OMB) Control Number 2060-0373.  </w:t>
      </w:r>
    </w:p>
    <w:p w:rsidR="00AB2C23" w:rsidRDefault="00AB2C23"/>
    <w:p w:rsidR="00AB2C23" w:rsidRDefault="00AB2C23">
      <w:pPr>
        <w:tabs>
          <w:tab w:val="left" w:pos="-1440"/>
        </w:tabs>
        <w:ind w:left="1440" w:hanging="720"/>
      </w:pPr>
      <w:r>
        <w:rPr>
          <w:b/>
          <w:bCs/>
        </w:rPr>
        <w:t>1(b)</w:t>
      </w:r>
      <w:r>
        <w:rPr>
          <w:b/>
          <w:bCs/>
        </w:rPr>
        <w:tab/>
        <w:t>Short Characterization</w:t>
      </w:r>
    </w:p>
    <w:p w:rsidR="00AB2C23" w:rsidRDefault="00AB2C23"/>
    <w:p w:rsidR="00AB2C23" w:rsidRDefault="00AB2C23">
      <w:pPr>
        <w:ind w:firstLine="720"/>
      </w:pPr>
      <w:r>
        <w:t>Section 112(g</w:t>
      </w:r>
      <w:proofErr w:type="gramStart"/>
      <w:r>
        <w:t>)(</w:t>
      </w:r>
      <w:proofErr w:type="gramEnd"/>
      <w:r>
        <w:t>2)(B) of the Clean Air Act as amended in 1990 (</w:t>
      </w:r>
      <w:smartTag w:uri="urn:schemas-microsoft-com:office:smarttags" w:element="stockticker">
        <w:r>
          <w:t>CAA</w:t>
        </w:r>
      </w:smartTag>
      <w:r>
        <w:t>) requires that maximum achievable control technology (MACT) standards be met by constructed or reconstructed major sources of h</w:t>
      </w:r>
      <w:r w:rsidR="0047669E">
        <w:t xml:space="preserve">azardous air pollutants (HAP). </w:t>
      </w:r>
      <w:r>
        <w:t>Where no applicable emission limit has been set, the MACT determination shall be made on a case-by-case basis.</w:t>
      </w:r>
    </w:p>
    <w:p w:rsidR="00AB2C23" w:rsidRDefault="00AB2C23"/>
    <w:p w:rsidR="00AB2C23" w:rsidRDefault="00AB2C23">
      <w:pPr>
        <w:ind w:firstLine="720"/>
      </w:pPr>
      <w:r>
        <w:t xml:space="preserve">This ICR supports the regulations at 40 </w:t>
      </w:r>
      <w:smartTag w:uri="urn:schemas-microsoft-com:office:smarttags" w:element="stockticker">
        <w:r>
          <w:t>CFR</w:t>
        </w:r>
      </w:smartTag>
      <w:r>
        <w:t xml:space="preserve"> </w:t>
      </w:r>
      <w:proofErr w:type="gramStart"/>
      <w:r>
        <w:t>part</w:t>
      </w:r>
      <w:proofErr w:type="gramEnd"/>
      <w:r>
        <w:t xml:space="preserve"> 63, subpart B (sections 63.40 – 63.44</w:t>
      </w:r>
      <w:r w:rsidR="0047669E">
        <w:t xml:space="preserve">) to implement section 112(g). </w:t>
      </w:r>
      <w:r>
        <w:t>It addresses the information collection burden (hour</w:t>
      </w:r>
      <w:r w:rsidR="0047669E">
        <w:t xml:space="preserve">s and costs) to three parties: </w:t>
      </w:r>
      <w:r>
        <w:t xml:space="preserve">(1) industry respondents subject to these provisions, (2) State, local, and Tribal agencies that review applications made under these provisions, and (3) </w:t>
      </w:r>
      <w:r w:rsidR="00CA7C23">
        <w:t xml:space="preserve">the </w:t>
      </w:r>
      <w:r>
        <w:t>EPA for oversight review of a percen</w:t>
      </w:r>
      <w:r w:rsidR="0047669E">
        <w:t xml:space="preserve">tage of State/local decisions. </w:t>
      </w:r>
      <w:r>
        <w:t>The information collection activities for which burden estimates are calculated are summarized below.</w:t>
      </w:r>
    </w:p>
    <w:p w:rsidR="00AB2C23" w:rsidRDefault="00AB2C23"/>
    <w:p w:rsidR="00AB2C23" w:rsidRDefault="00AB2C23">
      <w:pPr>
        <w:ind w:firstLine="720"/>
      </w:pPr>
      <w:r>
        <w:t>Owners or operators who construct or reconstruct a major source of HAP emissions must comply with</w:t>
      </w:r>
      <w:r w:rsidR="0047669E">
        <w:t xml:space="preserve"> any applicable MACT standard. </w:t>
      </w:r>
      <w:r>
        <w:t xml:space="preserve">Where no MACT standard exists, a case-by-case determination of MACT (case-by-case MACT) under </w:t>
      </w:r>
      <w:smartTag w:uri="urn:schemas-microsoft-com:office:smarttags" w:element="stockticker">
        <w:r>
          <w:t>CAA</w:t>
        </w:r>
      </w:smartTag>
      <w:r>
        <w:t xml:space="preserve"> secti</w:t>
      </w:r>
      <w:r w:rsidR="0047669E">
        <w:t>on 112(g) must be made.</w:t>
      </w:r>
      <w:r>
        <w:t xml:space="preserve"> The owner or operator is responsible for obtaining such a ca</w:t>
      </w:r>
      <w:r w:rsidR="0047669E">
        <w:t xml:space="preserve">se-by-case MACT determination. </w:t>
      </w:r>
      <w:r>
        <w:t>This ICR contains supporting information for case-by-case MACT determinations.</w:t>
      </w:r>
    </w:p>
    <w:p w:rsidR="00AB2C23" w:rsidRDefault="00AB2C23"/>
    <w:p w:rsidR="00AB2C23" w:rsidRDefault="00AB2C23">
      <w:pPr>
        <w:ind w:firstLine="720"/>
      </w:pPr>
      <w:r>
        <w:t xml:space="preserve">State, local, and Tribal agencies with operating permit programs that have been approved by </w:t>
      </w:r>
      <w:r w:rsidR="00CA7C23">
        <w:t xml:space="preserve">the </w:t>
      </w:r>
      <w:r>
        <w:t xml:space="preserve">EPA will review applications submitted by sources under the </w:t>
      </w:r>
      <w:smartTag w:uri="urn:schemas-microsoft-com:office:smarttags" w:element="stockticker">
        <w:r>
          <w:t>CAA</w:t>
        </w:r>
      </w:smartTag>
      <w:r>
        <w:t xml:space="preserve"> section 112(g) provisions.</w:t>
      </w:r>
      <w:r w:rsidR="0047669E">
        <w:t xml:space="preserve"> </w:t>
      </w:r>
      <w:r>
        <w:t>These permitting agencies must determine the level of control that will be necessary to meet case-by-case MACT requirements for new</w:t>
      </w:r>
      <w:r w:rsidR="0047669E">
        <w:t xml:space="preserve"> sources. </w:t>
      </w:r>
      <w:r>
        <w:t xml:space="preserve">Finally, </w:t>
      </w:r>
      <w:r w:rsidR="00CA7C23">
        <w:t xml:space="preserve">the </w:t>
      </w:r>
      <w:r>
        <w:t>EPA will review a percentage of the determinations in order to provide oversight of the various State, local, and Tribal permitting authorities.</w:t>
      </w:r>
    </w:p>
    <w:p w:rsidR="00AB2C23" w:rsidRDefault="00AB2C23"/>
    <w:p w:rsidR="00AB2C23" w:rsidRDefault="00AB2C23">
      <w:pPr>
        <w:tabs>
          <w:tab w:val="left" w:pos="-1440"/>
        </w:tabs>
        <w:ind w:left="720" w:hanging="720"/>
      </w:pPr>
      <w:r>
        <w:rPr>
          <w:b/>
          <w:bCs/>
        </w:rPr>
        <w:t>2.</w:t>
      </w:r>
      <w:r>
        <w:rPr>
          <w:b/>
          <w:bCs/>
        </w:rPr>
        <w:tab/>
        <w:t xml:space="preserve">NEED FOR </w:t>
      </w:r>
      <w:smartTag w:uri="urn:schemas-microsoft-com:office:smarttags" w:element="stockticker">
        <w:r>
          <w:rPr>
            <w:b/>
            <w:bCs/>
          </w:rPr>
          <w:t>AND</w:t>
        </w:r>
      </w:smartTag>
      <w:r>
        <w:rPr>
          <w:b/>
          <w:bCs/>
        </w:rPr>
        <w:t xml:space="preserve"> USE OF THE COLLECTION</w:t>
      </w:r>
    </w:p>
    <w:p w:rsidR="00AB2C23" w:rsidRDefault="00AB2C23"/>
    <w:p w:rsidR="00AB2C23" w:rsidRDefault="00AB2C23">
      <w:pPr>
        <w:tabs>
          <w:tab w:val="left" w:pos="-1440"/>
        </w:tabs>
        <w:ind w:left="1440" w:hanging="720"/>
        <w:rPr>
          <w:b/>
          <w:bCs/>
        </w:rPr>
      </w:pPr>
      <w:r>
        <w:rPr>
          <w:b/>
          <w:bCs/>
        </w:rPr>
        <w:t>2(a)</w:t>
      </w:r>
      <w:r>
        <w:rPr>
          <w:b/>
          <w:bCs/>
        </w:rPr>
        <w:tab/>
        <w:t>Need / Authority for the Collection</w:t>
      </w:r>
    </w:p>
    <w:p w:rsidR="00AB2C23" w:rsidRDefault="00AB2C23">
      <w:pPr>
        <w:tabs>
          <w:tab w:val="left" w:pos="-1440"/>
        </w:tabs>
        <w:ind w:left="1440" w:hanging="720"/>
      </w:pPr>
    </w:p>
    <w:p w:rsidR="00AB2C23" w:rsidRDefault="00AB2C23">
      <w:pPr>
        <w:ind w:firstLine="720"/>
      </w:pPr>
      <w:r>
        <w:t>Th</w:t>
      </w:r>
      <w:r w:rsidR="001D1725">
        <w:t>is</w:t>
      </w:r>
      <w:r>
        <w:t xml:space="preserve"> information is needed and used to determine if the entity submitting an application for a case-by-case MACT determination has met the criteria established in the </w:t>
      </w:r>
      <w:smartTag w:uri="urn:schemas-microsoft-com:office:smarttags" w:element="stockticker">
        <w:r>
          <w:t>CAA</w:t>
        </w:r>
      </w:smartTag>
      <w:r w:rsidR="0047669E">
        <w:t xml:space="preserve"> section 112(g) rule. </w:t>
      </w:r>
      <w:r>
        <w:t xml:space="preserve">This information is necessary for the State or local agency to make the </w:t>
      </w:r>
      <w:r w:rsidR="0047669E">
        <w:t xml:space="preserve">case-by-case determination. </w:t>
      </w:r>
      <w:r>
        <w:t>Finally, this information is needed by the Administrator to review a portion of the case-by-case determinations to ensure that the program is functioning as intended.</w:t>
      </w:r>
    </w:p>
    <w:p w:rsidR="00AB2C23" w:rsidRDefault="00AB2C23"/>
    <w:p w:rsidR="00AB2C23" w:rsidRDefault="00AB2C23">
      <w:pPr>
        <w:ind w:firstLine="720"/>
      </w:pPr>
      <w:r>
        <w:t xml:space="preserve">The need and authority for this information collection is contained in </w:t>
      </w:r>
      <w:smartTag w:uri="urn:schemas-microsoft-com:office:smarttags" w:element="stockticker">
        <w:r>
          <w:t>CAA</w:t>
        </w:r>
      </w:smartTag>
      <w:r>
        <w:t xml:space="preserve"> section 112(g) 42 U.S.C. 7401 (et seq.) as amended by Pub. L. 101-549.</w:t>
      </w:r>
    </w:p>
    <w:p w:rsidR="00AB2C23" w:rsidRDefault="00AB2C23"/>
    <w:p w:rsidR="00AB2C23" w:rsidRDefault="00AB2C23">
      <w:pPr>
        <w:tabs>
          <w:tab w:val="left" w:pos="-1440"/>
        </w:tabs>
        <w:ind w:left="1440" w:hanging="720"/>
      </w:pPr>
      <w:r>
        <w:rPr>
          <w:b/>
          <w:bCs/>
        </w:rPr>
        <w:t>2(b)</w:t>
      </w:r>
      <w:r>
        <w:rPr>
          <w:b/>
          <w:bCs/>
        </w:rPr>
        <w:tab/>
        <w:t>Practical Utility / Users of the Data</w:t>
      </w:r>
    </w:p>
    <w:p w:rsidR="00AB2C23" w:rsidRDefault="00AB2C23"/>
    <w:p w:rsidR="00AB2C23" w:rsidRDefault="00AB2C23">
      <w:pPr>
        <w:ind w:firstLine="720"/>
      </w:pPr>
      <w:r>
        <w:t xml:space="preserve">The information collected in the </w:t>
      </w:r>
      <w:smartTag w:uri="urn:schemas-microsoft-com:office:smarttags" w:element="stockticker">
        <w:r>
          <w:t>CAA</w:t>
        </w:r>
      </w:smartTag>
      <w:r>
        <w:t xml:space="preserve"> section 112(g) applications provides (for the purposes of compliance determination) documentation of the selection of a particular control tec</w:t>
      </w:r>
      <w:r w:rsidR="0047669E">
        <w:t xml:space="preserve">hnology for case-by-case MACT. </w:t>
      </w:r>
      <w:r>
        <w:t xml:space="preserve">Applications are reviewed by a State or local agency for which authority has been delegated by </w:t>
      </w:r>
      <w:r w:rsidR="00CA7C23">
        <w:t xml:space="preserve">the </w:t>
      </w:r>
      <w:r>
        <w:t>EPA to make</w:t>
      </w:r>
      <w:r w:rsidR="0047669E">
        <w:t xml:space="preserve"> the requisite determinations. </w:t>
      </w:r>
      <w:r>
        <w:t xml:space="preserve">In addition, </w:t>
      </w:r>
      <w:r w:rsidR="00CA7C23">
        <w:t xml:space="preserve">the </w:t>
      </w:r>
      <w:r>
        <w:t>EPA will review some applications as an oversight function.</w:t>
      </w:r>
    </w:p>
    <w:p w:rsidR="00AB2C23" w:rsidRDefault="00AB2C23"/>
    <w:p w:rsidR="00AB2C23" w:rsidRDefault="00AB2C23">
      <w:pPr>
        <w:tabs>
          <w:tab w:val="left" w:pos="-1440"/>
        </w:tabs>
        <w:ind w:left="720" w:hanging="720"/>
      </w:pPr>
      <w:r>
        <w:rPr>
          <w:b/>
          <w:bCs/>
        </w:rPr>
        <w:t>3.</w:t>
      </w:r>
      <w:r>
        <w:rPr>
          <w:b/>
          <w:bCs/>
        </w:rPr>
        <w:tab/>
        <w:t xml:space="preserve">NONDUPLICATION, CONSULTATIONS, </w:t>
      </w:r>
      <w:smartTag w:uri="urn:schemas-microsoft-com:office:smarttags" w:element="stockticker">
        <w:r>
          <w:rPr>
            <w:b/>
            <w:bCs/>
          </w:rPr>
          <w:t>AND</w:t>
        </w:r>
      </w:smartTag>
      <w:r>
        <w:rPr>
          <w:b/>
          <w:bCs/>
        </w:rPr>
        <w:t xml:space="preserve"> OTHER COLLECTION CRITERIA</w:t>
      </w:r>
    </w:p>
    <w:p w:rsidR="00AB2C23" w:rsidRDefault="00AB2C23"/>
    <w:p w:rsidR="00AB2C23" w:rsidRDefault="00AB2C23">
      <w:pPr>
        <w:tabs>
          <w:tab w:val="left" w:pos="-1440"/>
        </w:tabs>
        <w:ind w:left="1440" w:hanging="720"/>
      </w:pPr>
      <w:r>
        <w:rPr>
          <w:b/>
          <w:bCs/>
        </w:rPr>
        <w:t>3(a)</w:t>
      </w:r>
      <w:r>
        <w:rPr>
          <w:b/>
          <w:bCs/>
        </w:rPr>
        <w:tab/>
      </w:r>
      <w:proofErr w:type="spellStart"/>
      <w:r>
        <w:rPr>
          <w:b/>
          <w:bCs/>
        </w:rPr>
        <w:t>Nonduplication</w:t>
      </w:r>
      <w:proofErr w:type="spellEnd"/>
    </w:p>
    <w:p w:rsidR="00AB2C23" w:rsidRDefault="00AB2C23"/>
    <w:p w:rsidR="00AB2C23" w:rsidRDefault="00AB2C23">
      <w:pPr>
        <w:ind w:firstLine="720"/>
      </w:pPr>
      <w:r>
        <w:t>This information collection is not unnecessarily duplicative of information otherwis</w:t>
      </w:r>
      <w:r w:rsidR="001867CE">
        <w:t xml:space="preserve">e reasonably accessible to us. </w:t>
      </w:r>
      <w:r>
        <w:t>For instances where other information items (e.g., a site plan) may have been previously collected from source owners or operators by the permitting authority in support of other applications, it is possible to use this information to meet all or part of the requirements o</w:t>
      </w:r>
      <w:r w:rsidR="001867CE">
        <w:t xml:space="preserve">f this information collection. </w:t>
      </w:r>
      <w:r>
        <w:t xml:space="preserve">In general, however, most items of information are tailored specifically for the individual case-by-case MACT determinations, meaning that previously submitted information is likely to be inadequate for </w:t>
      </w:r>
      <w:smartTag w:uri="urn:schemas-microsoft-com:office:smarttags" w:element="stockticker">
        <w:r>
          <w:t>CAA</w:t>
        </w:r>
      </w:smartTag>
      <w:r>
        <w:t xml:space="preserve"> section 112(g) purposes.</w:t>
      </w:r>
    </w:p>
    <w:p w:rsidR="00AB2C23" w:rsidRDefault="00AB2C23"/>
    <w:p w:rsidR="00AB2C23" w:rsidRDefault="00AB2C23">
      <w:pPr>
        <w:keepNext/>
        <w:keepLines/>
        <w:tabs>
          <w:tab w:val="left" w:pos="-1440"/>
        </w:tabs>
        <w:ind w:left="1440" w:hanging="720"/>
      </w:pPr>
      <w:r>
        <w:rPr>
          <w:b/>
          <w:bCs/>
        </w:rPr>
        <w:t>3(b)</w:t>
      </w:r>
      <w:r>
        <w:rPr>
          <w:b/>
          <w:bCs/>
        </w:rPr>
        <w:tab/>
        <w:t>Public Notice Required Prior to ICR Submission to OMB</w:t>
      </w:r>
    </w:p>
    <w:p w:rsidR="00AB2C23" w:rsidRDefault="00AB2C23">
      <w:pPr>
        <w:keepNext/>
        <w:keepLines/>
      </w:pPr>
    </w:p>
    <w:p w:rsidR="00AB2C23" w:rsidRDefault="00610C34">
      <w:pPr>
        <w:keepLines/>
        <w:ind w:firstLine="720"/>
      </w:pPr>
      <w:r>
        <w:t>EPA</w:t>
      </w:r>
      <w:r w:rsidR="00AB2C23">
        <w:t xml:space="preserve"> issued a </w:t>
      </w:r>
      <w:r w:rsidR="00AB2C23">
        <w:rPr>
          <w:i/>
          <w:iCs/>
        </w:rPr>
        <w:t>Federal Register</w:t>
      </w:r>
      <w:r w:rsidR="00AB2C23">
        <w:t xml:space="preserve"> notice requesting comments on the ICR renewal on </w:t>
      </w:r>
      <w:r>
        <w:t>September 9, 2009 (76</w:t>
      </w:r>
      <w:r w:rsidR="006456E3">
        <w:t xml:space="preserve"> FR</w:t>
      </w:r>
      <w:r>
        <w:t>55905</w:t>
      </w:r>
      <w:r w:rsidR="006456E3">
        <w:t>)</w:t>
      </w:r>
      <w:r>
        <w:t>, and received no comment</w:t>
      </w:r>
      <w:r w:rsidR="00C05AB7">
        <w:t>.</w:t>
      </w:r>
      <w:r w:rsidR="001867CE">
        <w:t xml:space="preserve"> </w:t>
      </w:r>
    </w:p>
    <w:p w:rsidR="00AB2C23" w:rsidRDefault="00AB2C23"/>
    <w:p w:rsidR="00AB2C23" w:rsidRDefault="00AB2C23">
      <w:pPr>
        <w:tabs>
          <w:tab w:val="left" w:pos="-1440"/>
        </w:tabs>
        <w:ind w:left="1440" w:hanging="720"/>
      </w:pPr>
      <w:r>
        <w:rPr>
          <w:b/>
          <w:bCs/>
        </w:rPr>
        <w:t>3(c)</w:t>
      </w:r>
      <w:r>
        <w:rPr>
          <w:b/>
          <w:bCs/>
        </w:rPr>
        <w:tab/>
        <w:t>Consultations</w:t>
      </w:r>
    </w:p>
    <w:p w:rsidR="00AB2C23" w:rsidRDefault="00AB2C23"/>
    <w:p w:rsidR="00AB2C23" w:rsidRDefault="00AB2C23">
      <w:pPr>
        <w:ind w:firstLine="720"/>
      </w:pPr>
      <w:r>
        <w:t xml:space="preserve">The final rule for subpart B was issued on </w:t>
      </w:r>
      <w:smartTag w:uri="urn:schemas-microsoft-com:office:smarttags" w:element="date">
        <w:smartTagPr>
          <w:attr w:name="Year" w:val="1996"/>
          <w:attr w:name="Day" w:val="27"/>
          <w:attr w:name="Month" w:val="12"/>
          <w:attr w:name="ls" w:val="trans"/>
        </w:smartTagPr>
        <w:r>
          <w:t>December 27, 1996</w:t>
        </w:r>
      </w:smartTag>
      <w:r w:rsidR="001867CE">
        <w:t xml:space="preserve"> (61 FR 68384). </w:t>
      </w:r>
      <w:r>
        <w:t xml:space="preserve">Since then, we have gained extensive experience in working with the State and local agencies in developing case-by-case MACT determinations for sources subject to </w:t>
      </w:r>
      <w:smartTag w:uri="urn:schemas-microsoft-com:office:smarttags" w:element="stockticker">
        <w:r>
          <w:t>CAA</w:t>
        </w:r>
      </w:smartTag>
      <w:r w:rsidR="001867CE">
        <w:t xml:space="preserve"> section 112(g). </w:t>
      </w:r>
      <w:r>
        <w:t xml:space="preserve">We have consulted with knowledgeable State agency staff who have been involved in making case-by-case </w:t>
      </w:r>
      <w:r>
        <w:lastRenderedPageBreak/>
        <w:t>MACT determinations over the past 3 years and p</w:t>
      </w:r>
      <w:r w:rsidR="001867CE">
        <w:t xml:space="preserve">otential industry respondents. </w:t>
      </w:r>
      <w:r>
        <w:t>We used this information to prepare this ICR renewal package.</w:t>
      </w:r>
    </w:p>
    <w:p w:rsidR="00AB2C23" w:rsidRDefault="00AB2C23"/>
    <w:p w:rsidR="00AB2C23" w:rsidRDefault="002B5AC3">
      <w:pPr>
        <w:ind w:firstLine="720"/>
      </w:pPr>
      <w:r>
        <w:t xml:space="preserve">In general, </w:t>
      </w:r>
      <w:r w:rsidR="00AB2C23">
        <w:t xml:space="preserve">State contacts confirmed that there has been a low level of activity related to </w:t>
      </w:r>
      <w:smartTag w:uri="urn:schemas-microsoft-com:office:smarttags" w:element="stockticker">
        <w:r w:rsidR="00AB2C23">
          <w:t>CAA</w:t>
        </w:r>
      </w:smartTag>
      <w:r w:rsidR="00AB2C23">
        <w:t xml:space="preserve"> section 112(g) applications over the last few years and that most of the applications were for major sources that were eventually subject to </w:t>
      </w:r>
      <w:smartTag w:uri="urn:schemas-microsoft-com:office:smarttags" w:element="stockticker">
        <w:r w:rsidR="00AB2C23">
          <w:t>CAA</w:t>
        </w:r>
      </w:smartTag>
      <w:r w:rsidR="00AB2C23">
        <w:t xml:space="preserve"> section 112(d) MACT standards or for sources that ended up taking enforceable permit limits to keep their emissions below the </w:t>
      </w:r>
      <w:smartTag w:uri="urn:schemas-microsoft-com:office:smarttags" w:element="stockticker">
        <w:r w:rsidR="00AB2C23">
          <w:t>CAA</w:t>
        </w:r>
      </w:smartTag>
      <w:r w:rsidR="00AB2C23">
        <w:t xml:space="preserve"> section 112(g) applicability threshol</w:t>
      </w:r>
      <w:r w:rsidR="001867CE">
        <w:t xml:space="preserve">d (i.e., major source status). </w:t>
      </w:r>
      <w:r w:rsidR="00AB2C23">
        <w:t xml:space="preserve">They confirmed that the relative burden </w:t>
      </w:r>
      <w:r w:rsidR="001867CE">
        <w:t xml:space="preserve">hours for the State review of these applications were on average reasonable. </w:t>
      </w:r>
      <w:r w:rsidR="00AB2C23">
        <w:t xml:space="preserve">They also reported that there were no major concerns related to the burden associated with the section </w:t>
      </w:r>
      <w:smartTag w:uri="urn:schemas-microsoft-com:office:smarttags" w:element="stockticker">
        <w:r w:rsidR="00AB2C23">
          <w:t>CAA</w:t>
        </w:r>
      </w:smartTag>
      <w:r w:rsidR="00AB2C23">
        <w:t xml:space="preserve"> 112(g) requirements by the permit applicants they worked with.</w:t>
      </w:r>
      <w:r w:rsidR="001867CE">
        <w:t xml:space="preserve"> </w:t>
      </w:r>
      <w:r w:rsidR="00AB2C23">
        <w:t>The industry contact raised no major issues with the hourly burden estimate.</w:t>
      </w:r>
    </w:p>
    <w:p w:rsidR="00AB2C23" w:rsidRDefault="00AB2C23"/>
    <w:p w:rsidR="00AB2C23" w:rsidRDefault="00AB2C23">
      <w:pPr>
        <w:ind w:firstLine="720"/>
      </w:pPr>
      <w:r>
        <w:t>The following table lists the contact information of the people we consulted.</w:t>
      </w:r>
    </w:p>
    <w:p w:rsidR="00AB2C23" w:rsidRDefault="00AB2C23">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AB2C23">
        <w:tc>
          <w:tcPr>
            <w:tcW w:w="3192" w:type="dxa"/>
          </w:tcPr>
          <w:p w:rsidR="00AB2C23" w:rsidRDefault="00AB2C23">
            <w:r>
              <w:t>Name</w:t>
            </w:r>
          </w:p>
        </w:tc>
        <w:tc>
          <w:tcPr>
            <w:tcW w:w="3192" w:type="dxa"/>
          </w:tcPr>
          <w:p w:rsidR="00AB2C23" w:rsidRDefault="00AB2C23">
            <w:r>
              <w:t>Agency</w:t>
            </w:r>
          </w:p>
        </w:tc>
        <w:tc>
          <w:tcPr>
            <w:tcW w:w="3192" w:type="dxa"/>
          </w:tcPr>
          <w:p w:rsidR="00AB2C23" w:rsidRDefault="00AB2C23">
            <w:r>
              <w:t>Phone Number</w:t>
            </w:r>
          </w:p>
        </w:tc>
      </w:tr>
      <w:tr w:rsidR="00AB2C23">
        <w:tc>
          <w:tcPr>
            <w:tcW w:w="3192" w:type="dxa"/>
          </w:tcPr>
          <w:p w:rsidR="00AB2C23" w:rsidRDefault="00AB2C23">
            <w:r>
              <w:t xml:space="preserve">James </w:t>
            </w:r>
            <w:proofErr w:type="spellStart"/>
            <w:r>
              <w:t>Geier</w:t>
            </w:r>
            <w:proofErr w:type="spellEnd"/>
          </w:p>
        </w:tc>
        <w:tc>
          <w:tcPr>
            <w:tcW w:w="3192" w:type="dxa"/>
          </w:tcPr>
          <w:p w:rsidR="00AB2C23" w:rsidRDefault="00AB2C23">
            <w:r>
              <w:t>Colorado Department of Public Health and Environment</w:t>
            </w:r>
          </w:p>
        </w:tc>
        <w:tc>
          <w:tcPr>
            <w:tcW w:w="3192" w:type="dxa"/>
          </w:tcPr>
          <w:p w:rsidR="00AB2C23" w:rsidRDefault="00AB2C23">
            <w:r>
              <w:t>303/692/3167</w:t>
            </w:r>
          </w:p>
        </w:tc>
      </w:tr>
      <w:tr w:rsidR="00AB2C23">
        <w:tc>
          <w:tcPr>
            <w:tcW w:w="3192" w:type="dxa"/>
          </w:tcPr>
          <w:p w:rsidR="00AB2C23" w:rsidRDefault="00AB2C23">
            <w:r>
              <w:t>Joseph Eller</w:t>
            </w:r>
          </w:p>
        </w:tc>
        <w:tc>
          <w:tcPr>
            <w:tcW w:w="3192" w:type="dxa"/>
          </w:tcPr>
          <w:p w:rsidR="00AB2C23" w:rsidRDefault="00AB2C23">
            <w:r>
              <w:t>South Carolina Department of Health and Environmental Control</w:t>
            </w:r>
          </w:p>
        </w:tc>
        <w:tc>
          <w:tcPr>
            <w:tcW w:w="3192" w:type="dxa"/>
          </w:tcPr>
          <w:p w:rsidR="00AB2C23" w:rsidRDefault="00AB2C23">
            <w:r>
              <w:t>803/898-4079</w:t>
            </w:r>
          </w:p>
        </w:tc>
      </w:tr>
      <w:tr w:rsidR="00AB2C23">
        <w:tc>
          <w:tcPr>
            <w:tcW w:w="3192" w:type="dxa"/>
          </w:tcPr>
          <w:p w:rsidR="00AB2C23" w:rsidRDefault="00AB2C23">
            <w:r>
              <w:t>Cindy Phillips</w:t>
            </w:r>
          </w:p>
        </w:tc>
        <w:tc>
          <w:tcPr>
            <w:tcW w:w="3192" w:type="dxa"/>
          </w:tcPr>
          <w:p w:rsidR="00AB2C23" w:rsidRDefault="00AB2C23">
            <w:r>
              <w:t>Florida Department of Environmental Protection</w:t>
            </w:r>
          </w:p>
        </w:tc>
        <w:tc>
          <w:tcPr>
            <w:tcW w:w="3192" w:type="dxa"/>
          </w:tcPr>
          <w:p w:rsidR="00AB2C23" w:rsidRDefault="00AB2C23">
            <w:r>
              <w:t>850/921-9534</w:t>
            </w:r>
          </w:p>
        </w:tc>
      </w:tr>
      <w:tr w:rsidR="00AB2C23">
        <w:tc>
          <w:tcPr>
            <w:tcW w:w="3192" w:type="dxa"/>
          </w:tcPr>
          <w:p w:rsidR="00AB2C23" w:rsidRDefault="00AB2C23">
            <w:r>
              <w:t xml:space="preserve">Brian </w:t>
            </w:r>
            <w:proofErr w:type="spellStart"/>
            <w:r>
              <w:t>Toth</w:t>
            </w:r>
            <w:proofErr w:type="spellEnd"/>
          </w:p>
        </w:tc>
        <w:tc>
          <w:tcPr>
            <w:tcW w:w="3192" w:type="dxa"/>
          </w:tcPr>
          <w:p w:rsidR="00AB2C23" w:rsidRDefault="00AB2C23">
            <w:r>
              <w:t>Southern Company</w:t>
            </w:r>
          </w:p>
        </w:tc>
        <w:tc>
          <w:tcPr>
            <w:tcW w:w="3192" w:type="dxa"/>
          </w:tcPr>
          <w:p w:rsidR="00AB2C23" w:rsidRDefault="00AB2C23">
            <w:r>
              <w:t>205/257-7440</w:t>
            </w:r>
          </w:p>
        </w:tc>
      </w:tr>
    </w:tbl>
    <w:p w:rsidR="00AB2C23" w:rsidRDefault="00AB2C23">
      <w:pPr>
        <w:ind w:firstLine="720"/>
      </w:pPr>
    </w:p>
    <w:p w:rsidR="00AB2C23" w:rsidRDefault="00AB2C23"/>
    <w:p w:rsidR="00AB2C23" w:rsidRDefault="00AB2C23">
      <w:pPr>
        <w:tabs>
          <w:tab w:val="left" w:pos="-1440"/>
        </w:tabs>
        <w:ind w:left="1440" w:hanging="720"/>
      </w:pPr>
      <w:r>
        <w:rPr>
          <w:b/>
          <w:bCs/>
        </w:rPr>
        <w:t>3(d)</w:t>
      </w:r>
      <w:r>
        <w:rPr>
          <w:b/>
          <w:bCs/>
        </w:rPr>
        <w:tab/>
        <w:t>Effects of Less Frequent Collection</w:t>
      </w:r>
    </w:p>
    <w:p w:rsidR="00AB2C23" w:rsidRDefault="00AB2C23"/>
    <w:p w:rsidR="00AB2C23" w:rsidRDefault="00AB2C23">
      <w:pPr>
        <w:ind w:firstLine="720"/>
      </w:pPr>
      <w:r>
        <w:t>This section does not apply because the information required to be submitted by each applicant would be submitted on a one-time-only basis.</w:t>
      </w:r>
    </w:p>
    <w:p w:rsidR="00AB2C23" w:rsidRDefault="00AB2C23"/>
    <w:p w:rsidR="00AB2C23" w:rsidRDefault="00AB2C23">
      <w:pPr>
        <w:tabs>
          <w:tab w:val="left" w:pos="-1440"/>
        </w:tabs>
        <w:ind w:left="1440" w:hanging="720"/>
      </w:pPr>
      <w:r>
        <w:rPr>
          <w:b/>
          <w:bCs/>
        </w:rPr>
        <w:t>3(e)</w:t>
      </w:r>
      <w:r>
        <w:rPr>
          <w:b/>
          <w:bCs/>
        </w:rPr>
        <w:tab/>
        <w:t>General Guidelines</w:t>
      </w:r>
    </w:p>
    <w:p w:rsidR="00AB2C23" w:rsidRDefault="00AB2C23">
      <w:pPr>
        <w:tabs>
          <w:tab w:val="left" w:pos="-1440"/>
        </w:tabs>
        <w:ind w:left="1440" w:hanging="720"/>
      </w:pPr>
    </w:p>
    <w:p w:rsidR="00AB2C23" w:rsidRDefault="00AB2C23">
      <w:pPr>
        <w:ind w:firstLine="720"/>
      </w:pPr>
      <w:r>
        <w:t xml:space="preserve">None of the general information collection guidelines in 5 </w:t>
      </w:r>
      <w:smartTag w:uri="urn:schemas-microsoft-com:office:smarttags" w:element="stockticker">
        <w:r>
          <w:t>CFR</w:t>
        </w:r>
      </w:smartTag>
      <w:r>
        <w:t xml:space="preserve"> 1230.5(d</w:t>
      </w:r>
      <w:proofErr w:type="gramStart"/>
      <w:r>
        <w:t>)(</w:t>
      </w:r>
      <w:proofErr w:type="gramEnd"/>
      <w:r>
        <w:t xml:space="preserve">2) of the OMB regulations implementing the Paperwork Reduction Act is being exceeded in the </w:t>
      </w:r>
      <w:smartTag w:uri="urn:schemas-microsoft-com:office:smarttags" w:element="stockticker">
        <w:r>
          <w:t>CAA</w:t>
        </w:r>
      </w:smartTag>
      <w:r>
        <w:t xml:space="preserve"> section 112(g) regulations.</w:t>
      </w:r>
    </w:p>
    <w:p w:rsidR="00AB2C23" w:rsidRDefault="00AB2C23"/>
    <w:p w:rsidR="00AB2C23" w:rsidRDefault="00AB2C23">
      <w:pPr>
        <w:tabs>
          <w:tab w:val="left" w:pos="-1440"/>
        </w:tabs>
        <w:ind w:left="1440" w:hanging="720"/>
      </w:pPr>
      <w:r>
        <w:rPr>
          <w:b/>
          <w:bCs/>
        </w:rPr>
        <w:t>3(f)</w:t>
      </w:r>
      <w:r>
        <w:rPr>
          <w:b/>
          <w:bCs/>
        </w:rPr>
        <w:tab/>
        <w:t>Confidentiality</w:t>
      </w:r>
    </w:p>
    <w:p w:rsidR="00AB2C23" w:rsidRDefault="00AB2C23"/>
    <w:p w:rsidR="00AB2C23" w:rsidRDefault="00AB2C23">
      <w:pPr>
        <w:ind w:firstLine="720"/>
      </w:pPr>
      <w:r>
        <w:t xml:space="preserve">All information submitted to us for which a claim of confidentiality is made will be </w:t>
      </w:r>
      <w:r>
        <w:lastRenderedPageBreak/>
        <w:t>safeguarded according to the policies set forth in Title 40, Chapter 1, part 2, subpart B, Confidenti</w:t>
      </w:r>
      <w:r w:rsidR="00FC46F2">
        <w:t xml:space="preserve">ality of Business Information. </w:t>
      </w:r>
      <w:r>
        <w:t xml:space="preserve">See 40 </w:t>
      </w:r>
      <w:smartTag w:uri="urn:schemas-microsoft-com:office:smarttags" w:element="stockticker">
        <w:r>
          <w:t>CFR</w:t>
        </w:r>
      </w:smartTag>
      <w:r>
        <w:t xml:space="preserve">; 41 </w:t>
      </w:r>
      <w:r>
        <w:rPr>
          <w:u w:val="single"/>
        </w:rPr>
        <w:t>FR</w:t>
      </w:r>
      <w:r>
        <w:t xml:space="preserve"> 36902, </w:t>
      </w:r>
      <w:smartTag w:uri="urn:schemas-microsoft-com:office:smarttags" w:element="date">
        <w:smartTagPr>
          <w:attr w:name="Year" w:val="1976"/>
          <w:attr w:name="Day" w:val="1"/>
          <w:attr w:name="Month" w:val="9"/>
          <w:attr w:name="ls" w:val="trans"/>
        </w:smartTagPr>
        <w:r>
          <w:t>September 1, 1976</w:t>
        </w:r>
      </w:smartTag>
      <w:r>
        <w:t xml:space="preserve">; amended by 43 </w:t>
      </w:r>
      <w:r>
        <w:rPr>
          <w:u w:val="single"/>
        </w:rPr>
        <w:t>FR</w:t>
      </w:r>
      <w:r>
        <w:t xml:space="preserve"> 3999, </w:t>
      </w:r>
      <w:smartTag w:uri="urn:schemas-microsoft-com:office:smarttags" w:element="date">
        <w:smartTagPr>
          <w:attr w:name="Year" w:val="1978"/>
          <w:attr w:name="Day" w:val="8"/>
          <w:attr w:name="Month" w:val="9"/>
          <w:attr w:name="ls" w:val="trans"/>
        </w:smartTagPr>
        <w:r>
          <w:t>September 8, 1978</w:t>
        </w:r>
      </w:smartTag>
      <w:r>
        <w:t xml:space="preserve">; 43 </w:t>
      </w:r>
      <w:r>
        <w:rPr>
          <w:u w:val="single"/>
        </w:rPr>
        <w:t>FR</w:t>
      </w:r>
      <w:r>
        <w:t xml:space="preserve"> 42251, </w:t>
      </w:r>
      <w:smartTag w:uri="urn:schemas-microsoft-com:office:smarttags" w:element="date">
        <w:smartTagPr>
          <w:attr w:name="Year" w:val="1978"/>
          <w:attr w:name="Day" w:val="28"/>
          <w:attr w:name="Month" w:val="9"/>
          <w:attr w:name="ls" w:val="trans"/>
        </w:smartTagPr>
        <w:r>
          <w:t>September 28, 1978</w:t>
        </w:r>
      </w:smartTag>
      <w:r>
        <w:t xml:space="preserve">; and 44 </w:t>
      </w:r>
      <w:r>
        <w:rPr>
          <w:u w:val="single"/>
        </w:rPr>
        <w:t>FR</w:t>
      </w:r>
      <w:r>
        <w:t xml:space="preserve"> 17674, </w:t>
      </w:r>
      <w:smartTag w:uri="urn:schemas-microsoft-com:office:smarttags" w:element="date">
        <w:smartTagPr>
          <w:attr w:name="Year" w:val="1979"/>
          <w:attr w:name="Day" w:val="23"/>
          <w:attr w:name="Month" w:val="3"/>
          <w:attr w:name="ls" w:val="trans"/>
        </w:smartTagPr>
        <w:r>
          <w:t>March 23, 1979</w:t>
        </w:r>
      </w:smartTag>
      <w:r w:rsidR="00FC46F2">
        <w:t xml:space="preserve">. </w:t>
      </w:r>
      <w:r>
        <w:t xml:space="preserve">Even where we have determined that data received in response to an ICR is eligible for confidential treatment under 40 </w:t>
      </w:r>
      <w:smartTag w:uri="urn:schemas-microsoft-com:office:smarttags" w:element="stockticker">
        <w:r>
          <w:t>CFR</w:t>
        </w:r>
      </w:smartTag>
      <w:r>
        <w:t xml:space="preserve"> part 2, subpart B, we may nonetheless disclose the information if it is “relevant in any proceeding” under the statute [42 U.S.C. 7414(c); 40 </w:t>
      </w:r>
      <w:smartTag w:uri="urn:schemas-microsoft-com:office:smarttags" w:element="stockticker">
        <w:r>
          <w:t>CFR</w:t>
        </w:r>
      </w:smartTag>
      <w:r w:rsidR="00FC46F2">
        <w:t xml:space="preserve"> 2.301(g)]. </w:t>
      </w:r>
      <w:r>
        <w:t>The information collection complies with the Privacy Act of 1974 and OMB Circular 108.</w:t>
      </w:r>
    </w:p>
    <w:p w:rsidR="00AB2C23" w:rsidRDefault="00AB2C23"/>
    <w:p w:rsidR="00AB2C23" w:rsidRDefault="00AB2C23">
      <w:pPr>
        <w:tabs>
          <w:tab w:val="left" w:pos="-1440"/>
        </w:tabs>
        <w:ind w:left="1440" w:hanging="720"/>
      </w:pPr>
      <w:r>
        <w:rPr>
          <w:b/>
          <w:bCs/>
        </w:rPr>
        <w:t>3(g)</w:t>
      </w:r>
      <w:r>
        <w:rPr>
          <w:b/>
          <w:bCs/>
        </w:rPr>
        <w:tab/>
        <w:t>Sensitive Questions</w:t>
      </w:r>
    </w:p>
    <w:p w:rsidR="00AB2C23" w:rsidRDefault="00AB2C23"/>
    <w:p w:rsidR="00AB2C23" w:rsidRDefault="00AB2C23">
      <w:pPr>
        <w:ind w:firstLine="720"/>
      </w:pPr>
      <w:r>
        <w:t>T</w:t>
      </w:r>
      <w:r w:rsidR="00FC46F2">
        <w:t xml:space="preserve">his section is not applicable. </w:t>
      </w:r>
      <w:r>
        <w:t>This ICR does not contain any sensitive questions relating to sexuality, religious beliefs, or other matters usually considered private.</w:t>
      </w:r>
    </w:p>
    <w:p w:rsidR="00AB2C23" w:rsidRDefault="00AB2C23"/>
    <w:p w:rsidR="00AB2C23" w:rsidRDefault="00AB2C23">
      <w:pPr>
        <w:tabs>
          <w:tab w:val="left" w:pos="-1440"/>
        </w:tabs>
        <w:ind w:left="720" w:hanging="720"/>
      </w:pPr>
      <w:r>
        <w:rPr>
          <w:b/>
          <w:bCs/>
        </w:rPr>
        <w:t>4.</w:t>
      </w:r>
      <w:r>
        <w:rPr>
          <w:b/>
          <w:bCs/>
        </w:rPr>
        <w:tab/>
        <w:t xml:space="preserve">THE RESPONDENTS </w:t>
      </w:r>
      <w:smartTag w:uri="urn:schemas-microsoft-com:office:smarttags" w:element="stockticker">
        <w:r>
          <w:rPr>
            <w:b/>
            <w:bCs/>
          </w:rPr>
          <w:t>AND</w:t>
        </w:r>
      </w:smartTag>
      <w:r>
        <w:rPr>
          <w:b/>
          <w:bCs/>
        </w:rPr>
        <w:t xml:space="preserve"> THE INFORMATION REQUESTED</w:t>
      </w:r>
    </w:p>
    <w:p w:rsidR="00AB2C23" w:rsidRDefault="00AB2C23"/>
    <w:p w:rsidR="00AB2C23" w:rsidRDefault="00AB2C23">
      <w:pPr>
        <w:tabs>
          <w:tab w:val="left" w:pos="-1440"/>
        </w:tabs>
        <w:ind w:left="1440" w:hanging="720"/>
      </w:pPr>
      <w:r>
        <w:rPr>
          <w:b/>
          <w:bCs/>
        </w:rPr>
        <w:t>4(a)</w:t>
      </w:r>
      <w:r>
        <w:rPr>
          <w:b/>
          <w:bCs/>
        </w:rPr>
        <w:tab/>
        <w:t>Respondents / SIC Codes</w:t>
      </w:r>
    </w:p>
    <w:p w:rsidR="00AB2C23" w:rsidRDefault="00AB2C23"/>
    <w:p w:rsidR="00AB2C23" w:rsidRDefault="00AB2C23">
      <w:pPr>
        <w:ind w:firstLine="720"/>
      </w:pPr>
      <w:r>
        <w:t>Respondents include owners/operators of constructed or reconstructed major sources of HAP where no applicable MACT e</w:t>
      </w:r>
      <w:r w:rsidR="00FC46F2">
        <w:t xml:space="preserve">mission limit has been set. </w:t>
      </w:r>
      <w:r>
        <w:t xml:space="preserve">The section 112(g) regulations define “construct a major source” and “reconstruct a major source” at 40 </w:t>
      </w:r>
      <w:smartTag w:uri="urn:schemas-microsoft-com:office:smarttags" w:element="stockticker">
        <w:r>
          <w:t>CFR</w:t>
        </w:r>
      </w:smartTag>
      <w:r>
        <w:t xml:space="preserve"> 63.41 (also see Sect</w:t>
      </w:r>
      <w:r w:rsidR="00FC46F2">
        <w:t>ion 6(a</w:t>
      </w:r>
      <w:proofErr w:type="gramStart"/>
      <w:r w:rsidR="00FC46F2">
        <w:t>)(</w:t>
      </w:r>
      <w:proofErr w:type="spellStart"/>
      <w:proofErr w:type="gramEnd"/>
      <w:r w:rsidR="00FC46F2">
        <w:t>i</w:t>
      </w:r>
      <w:proofErr w:type="spellEnd"/>
      <w:r w:rsidR="00FC46F2">
        <w:t xml:space="preserve">) of this document). </w:t>
      </w:r>
      <w:r>
        <w:t xml:space="preserve">A major source is defined as one that emits more than 10 tons per year of any HAP, 25 tons per year for a combination of all HAP, or amounts exceeding any lesser quantity cutoff established under 40 </w:t>
      </w:r>
      <w:smartTag w:uri="urn:schemas-microsoft-com:office:smarttags" w:element="stockticker">
        <w:r>
          <w:t>CFR</w:t>
        </w:r>
      </w:smartTag>
      <w:r w:rsidR="00FC46F2">
        <w:t xml:space="preserve"> </w:t>
      </w:r>
      <w:proofErr w:type="gramStart"/>
      <w:r w:rsidR="00FC46F2">
        <w:t>part</w:t>
      </w:r>
      <w:proofErr w:type="gramEnd"/>
      <w:r w:rsidR="00FC46F2">
        <w:t xml:space="preserve"> 63. </w:t>
      </w:r>
      <w:r>
        <w:t>This definition of major source cuts across a wide variety of industries, including both manufacturing and non</w:t>
      </w:r>
      <w:r w:rsidR="00FC46F2">
        <w:t xml:space="preserve">-manufacturing sources. </w:t>
      </w:r>
      <w:r>
        <w:t>See Attachment 1 for a list of potentially affected industry sectors</w:t>
      </w:r>
      <w:r w:rsidR="00A11C04">
        <w:t xml:space="preserve">. </w:t>
      </w:r>
      <w:r>
        <w:t xml:space="preserve">Potentially affected sources include those formerly subject to the vacated MACT standards for polyvinyl chloride and copolymers production; brick and structural clay products manufacturing; </w:t>
      </w:r>
      <w:r w:rsidR="00FC46F2">
        <w:t xml:space="preserve">and </w:t>
      </w:r>
      <w:r>
        <w:t>clay ceramics manufacturing</w:t>
      </w:r>
      <w:r w:rsidR="00FC46F2">
        <w:t>.</w:t>
      </w:r>
      <w:r w:rsidR="00FC46F2" w:rsidRPr="00D15F67">
        <w:rPr>
          <w:b/>
        </w:rPr>
        <w:t xml:space="preserve"> </w:t>
      </w:r>
    </w:p>
    <w:p w:rsidR="00AB2C23" w:rsidRDefault="00AB2C23"/>
    <w:p w:rsidR="00AB2C23" w:rsidRDefault="00AB2C23">
      <w:pPr>
        <w:ind w:firstLine="720"/>
      </w:pPr>
      <w:r>
        <w:t>Respondents also include State, local and tribal agencies that make the cas</w:t>
      </w:r>
      <w:r w:rsidR="00D15F67">
        <w:t xml:space="preserve">e-by-case MACT determinations. </w:t>
      </w:r>
      <w:r>
        <w:t>These government establishments are classified as Air and Water Resource and Solid Waste Management Programs under Standard Industrial Classification (SIC) code 9511 and North American Industry Classification System (NAICS) code 92411.</w:t>
      </w:r>
    </w:p>
    <w:p w:rsidR="00AB2C23" w:rsidRDefault="00AB2C23"/>
    <w:p w:rsidR="00AB2C23" w:rsidRDefault="00AB2C23">
      <w:pPr>
        <w:tabs>
          <w:tab w:val="left" w:pos="-1440"/>
        </w:tabs>
        <w:ind w:left="1440" w:hanging="720"/>
      </w:pPr>
      <w:r>
        <w:rPr>
          <w:b/>
          <w:bCs/>
        </w:rPr>
        <w:t>4(b)</w:t>
      </w:r>
      <w:r>
        <w:rPr>
          <w:b/>
          <w:bCs/>
        </w:rPr>
        <w:tab/>
        <w:t>Information Requested</w:t>
      </w:r>
    </w:p>
    <w:p w:rsidR="00AB2C23" w:rsidRDefault="00AB2C23">
      <w:pPr>
        <w:tabs>
          <w:tab w:val="left" w:pos="-1440"/>
        </w:tabs>
        <w:ind w:left="1440" w:hanging="720"/>
      </w:pPr>
    </w:p>
    <w:p w:rsidR="00AB2C23" w:rsidRDefault="00AB2C23">
      <w:pPr>
        <w:tabs>
          <w:tab w:val="left" w:pos="-1440"/>
        </w:tabs>
      </w:pPr>
      <w:r>
        <w:rPr>
          <w:i/>
          <w:iCs/>
        </w:rPr>
        <w:t>(</w:t>
      </w:r>
      <w:proofErr w:type="spellStart"/>
      <w:r>
        <w:rPr>
          <w:i/>
          <w:iCs/>
        </w:rPr>
        <w:t>i</w:t>
      </w:r>
      <w:proofErr w:type="spellEnd"/>
      <w:r>
        <w:rPr>
          <w:i/>
          <w:iCs/>
        </w:rPr>
        <w:t>)</w:t>
      </w:r>
      <w:r>
        <w:rPr>
          <w:i/>
          <w:iCs/>
        </w:rPr>
        <w:tab/>
        <w:t>Data Items, Including Recordkeeping Requirements</w:t>
      </w:r>
    </w:p>
    <w:p w:rsidR="00AB2C23" w:rsidRDefault="00AB2C23">
      <w:pPr>
        <w:ind w:left="720"/>
      </w:pPr>
    </w:p>
    <w:p w:rsidR="00AB2C23" w:rsidRDefault="00AB2C23">
      <w:pPr>
        <w:ind w:firstLine="720"/>
      </w:pPr>
      <w:r>
        <w:t xml:space="preserve">All items addressed in this ICR involve information submitted with the application.  There are no recordkeeping requirements </w:t>
      </w:r>
      <w:r>
        <w:rPr>
          <w:i/>
          <w:iCs/>
        </w:rPr>
        <w:t>per se</w:t>
      </w:r>
      <w:r>
        <w:t xml:space="preserve">, although some of the information necessary to document control options would require the source to have kept records of certain information.  </w:t>
      </w:r>
      <w:r>
        <w:lastRenderedPageBreak/>
        <w:t xml:space="preserve">The data items for the </w:t>
      </w:r>
      <w:smartTag w:uri="urn:schemas-microsoft-com:office:smarttags" w:element="stockticker">
        <w:r>
          <w:t>CAA</w:t>
        </w:r>
      </w:smartTag>
      <w:r>
        <w:t xml:space="preserve"> section 112(g) rule consist of the following:</w:t>
      </w:r>
    </w:p>
    <w:p w:rsidR="00AB2C23" w:rsidRDefault="00AB2C23"/>
    <w:p w:rsidR="00AB2C23" w:rsidRDefault="00AB2C23">
      <w:pPr>
        <w:ind w:firstLine="720"/>
      </w:pPr>
      <w:proofErr w:type="gramStart"/>
      <w:r>
        <w:rPr>
          <w:i/>
          <w:iCs/>
        </w:rPr>
        <w:t>Actual Emissions</w:t>
      </w:r>
      <w:r w:rsidR="00D15F67">
        <w:t>.</w:t>
      </w:r>
      <w:proofErr w:type="gramEnd"/>
      <w:r w:rsidR="00D15F67">
        <w:t xml:space="preserve"> </w:t>
      </w:r>
      <w:r>
        <w:t xml:space="preserve">Sources complying with the requirements of </w:t>
      </w:r>
      <w:smartTag w:uri="urn:schemas-microsoft-com:office:smarttags" w:element="stockticker">
        <w:r>
          <w:t>CAA</w:t>
        </w:r>
      </w:smartTag>
      <w:r>
        <w:t xml:space="preserve"> section 112(g) under the case-by-case MACT provisions (i.e., constructed and reconstructed major sources) generally do not have to provide detailed analytic determinations of individual HAP if the owner/operator agrees that the HAP emissions will exceed major source thresholds that will subject the construction or reconstruction to the </w:t>
      </w:r>
      <w:smartTag w:uri="urn:schemas-microsoft-com:office:smarttags" w:element="stockticker">
        <w:r>
          <w:t>CAA</w:t>
        </w:r>
      </w:smartTag>
      <w:r w:rsidR="00D15F67">
        <w:t xml:space="preserve"> section 112(g) requirements. </w:t>
      </w:r>
      <w:r>
        <w:t>Rather, the source needs only to identify and quantify classes and types of pollutants to a sufficient degree to support the MACT evaluation.</w:t>
      </w:r>
    </w:p>
    <w:p w:rsidR="00AB2C23" w:rsidRDefault="00AB2C23"/>
    <w:p w:rsidR="00AB2C23" w:rsidRDefault="00AB2C23">
      <w:pPr>
        <w:ind w:firstLine="720"/>
      </w:pPr>
      <w:proofErr w:type="gramStart"/>
      <w:r>
        <w:rPr>
          <w:i/>
          <w:iCs/>
        </w:rPr>
        <w:t>Case-by-Case MACT Determination</w:t>
      </w:r>
      <w:r w:rsidR="00D15F67">
        <w:t>.</w:t>
      </w:r>
      <w:proofErr w:type="gramEnd"/>
      <w:r w:rsidR="00D15F67">
        <w:t xml:space="preserve"> </w:t>
      </w:r>
      <w:r>
        <w:t xml:space="preserve">The source owner or operator must submit the following information when it performs a case-by-case MACT determination [40 </w:t>
      </w:r>
      <w:smartTag w:uri="urn:schemas-microsoft-com:office:smarttags" w:element="stockticker">
        <w:r>
          <w:t>CFR</w:t>
        </w:r>
      </w:smartTag>
      <w:r>
        <w:t xml:space="preserve"> 63.43(e)]:</w:t>
      </w:r>
    </w:p>
    <w:p w:rsidR="00AB2C23" w:rsidRDefault="00AB2C23"/>
    <w:p w:rsidR="00AB2C23" w:rsidRDefault="00AB2C23" w:rsidP="001B1071">
      <w:pPr>
        <w:pStyle w:val="Level1"/>
        <w:numPr>
          <w:ilvl w:val="0"/>
          <w:numId w:val="4"/>
        </w:numPr>
        <w:tabs>
          <w:tab w:val="left" w:pos="-1440"/>
        </w:tabs>
        <w:outlineLvl w:val="9"/>
      </w:pPr>
      <w:r>
        <w:t>The name and address (physical location) of the major source and affected source(s) undergoing construction or reconstruction</w:t>
      </w:r>
      <w:r w:rsidR="001B1071">
        <w:t>;</w:t>
      </w:r>
    </w:p>
    <w:p w:rsidR="00AB2C23" w:rsidRDefault="00AB2C23" w:rsidP="001B1071">
      <w:pPr>
        <w:pStyle w:val="Level1"/>
        <w:numPr>
          <w:ilvl w:val="0"/>
          <w:numId w:val="4"/>
        </w:numPr>
        <w:tabs>
          <w:tab w:val="left" w:pos="-1440"/>
        </w:tabs>
        <w:outlineLvl w:val="9"/>
      </w:pPr>
      <w:r>
        <w:t>A brief description of the major source, its source category or subcategory, and a description of the affected stationary source(s) requiring a MACT determination</w:t>
      </w:r>
      <w:r w:rsidR="001B1071">
        <w:t>;</w:t>
      </w:r>
    </w:p>
    <w:p w:rsidR="00AB2C23" w:rsidRDefault="00AB2C23" w:rsidP="001B1071">
      <w:pPr>
        <w:pStyle w:val="Level1"/>
        <w:numPr>
          <w:ilvl w:val="0"/>
          <w:numId w:val="4"/>
        </w:numPr>
        <w:tabs>
          <w:tab w:val="left" w:pos="-1440"/>
        </w:tabs>
        <w:outlineLvl w:val="9"/>
      </w:pPr>
      <w:r>
        <w:t>The expected commencement date of the construction or reconstruction of the affected source</w:t>
      </w:r>
      <w:r w:rsidR="001B1071">
        <w:t>;</w:t>
      </w:r>
    </w:p>
    <w:p w:rsidR="00AB2C23" w:rsidRDefault="00AB2C23" w:rsidP="001B1071">
      <w:pPr>
        <w:pStyle w:val="Level1"/>
        <w:numPr>
          <w:ilvl w:val="0"/>
          <w:numId w:val="4"/>
        </w:numPr>
        <w:tabs>
          <w:tab w:val="left" w:pos="-1440"/>
        </w:tabs>
        <w:outlineLvl w:val="9"/>
      </w:pPr>
      <w:r>
        <w:t>The expected completion date of the construction or reconstruction of the affected sources</w:t>
      </w:r>
      <w:r w:rsidR="001B1071">
        <w:t>;</w:t>
      </w:r>
    </w:p>
    <w:p w:rsidR="00AB2C23" w:rsidRDefault="00AB2C23" w:rsidP="001B1071">
      <w:pPr>
        <w:pStyle w:val="Level1"/>
        <w:numPr>
          <w:ilvl w:val="0"/>
          <w:numId w:val="4"/>
        </w:numPr>
        <w:tabs>
          <w:tab w:val="left" w:pos="-1440"/>
        </w:tabs>
        <w:outlineLvl w:val="9"/>
      </w:pPr>
      <w:r>
        <w:t>The anticipated date of start-up</w:t>
      </w:r>
      <w:r w:rsidR="001B1071">
        <w:t>;</w:t>
      </w:r>
    </w:p>
    <w:p w:rsidR="00AB2C23" w:rsidRDefault="00AB2C23" w:rsidP="001B1071">
      <w:pPr>
        <w:pStyle w:val="Level1"/>
        <w:numPr>
          <w:ilvl w:val="0"/>
          <w:numId w:val="4"/>
        </w:numPr>
        <w:tabs>
          <w:tab w:val="left" w:pos="-1440"/>
        </w:tabs>
        <w:outlineLvl w:val="9"/>
      </w:pPr>
      <w:r>
        <w:t>The type of HAP emitted by each emission unit and the emission rate for each HAP</w:t>
      </w:r>
      <w:r w:rsidR="001B1071">
        <w:t>;</w:t>
      </w:r>
    </w:p>
    <w:p w:rsidR="00AB2C23" w:rsidRDefault="00AB2C23" w:rsidP="001B1071">
      <w:pPr>
        <w:pStyle w:val="Level1"/>
        <w:numPr>
          <w:ilvl w:val="0"/>
          <w:numId w:val="4"/>
        </w:numPr>
        <w:tabs>
          <w:tab w:val="left" w:pos="-1440"/>
        </w:tabs>
        <w:outlineLvl w:val="9"/>
      </w:pPr>
      <w:r>
        <w:t>Any federally-enforceable emission limitations applicable to the MACT-affected emissions units</w:t>
      </w:r>
      <w:r w:rsidR="001B1071">
        <w:t>;</w:t>
      </w:r>
    </w:p>
    <w:p w:rsidR="00AB2C23" w:rsidRDefault="00AB2C23" w:rsidP="001B1071">
      <w:pPr>
        <w:pStyle w:val="Level1"/>
        <w:numPr>
          <w:ilvl w:val="0"/>
          <w:numId w:val="4"/>
        </w:numPr>
        <w:tabs>
          <w:tab w:val="left" w:pos="-1440"/>
        </w:tabs>
        <w:outlineLvl w:val="9"/>
      </w:pPr>
      <w:r>
        <w:t>The maximum capacity and expected utilization, and associated uncontrolled emission rates, for the MACT-affected emissions units (potential to emit in an uncontrolled state)</w:t>
      </w:r>
      <w:r w:rsidR="001B1071">
        <w:t>;</w:t>
      </w:r>
    </w:p>
    <w:p w:rsidR="00AB2C23" w:rsidRDefault="00AB2C23" w:rsidP="001B1071">
      <w:pPr>
        <w:pStyle w:val="Level1"/>
        <w:numPr>
          <w:ilvl w:val="0"/>
          <w:numId w:val="4"/>
        </w:numPr>
        <w:tabs>
          <w:tab w:val="left" w:pos="-1440"/>
        </w:tabs>
        <w:outlineLvl w:val="9"/>
      </w:pPr>
      <w:r w:rsidRPr="00307F30">
        <w:t>Controlled emissions for the MACT</w:t>
      </w:r>
      <w:r>
        <w:t>-affected emission unit in tons per year (potential to emit in a controlled state)</w:t>
      </w:r>
      <w:r w:rsidR="001B1071">
        <w:t>; and</w:t>
      </w:r>
    </w:p>
    <w:p w:rsidR="00AB2C23" w:rsidRDefault="00AB2C23" w:rsidP="001B1071">
      <w:pPr>
        <w:pStyle w:val="Level1"/>
        <w:numPr>
          <w:ilvl w:val="0"/>
          <w:numId w:val="4"/>
        </w:numPr>
        <w:tabs>
          <w:tab w:val="left" w:pos="-1440"/>
        </w:tabs>
        <w:outlineLvl w:val="9"/>
      </w:pPr>
      <w:r>
        <w:t>A recommended emission limitation for the MACT-affected emission unit that complies with all relevant emission standards</w:t>
      </w:r>
      <w:r w:rsidR="001B1071">
        <w:t>.</w:t>
      </w:r>
    </w:p>
    <w:p w:rsidR="00AB2C23" w:rsidRDefault="00AB2C23">
      <w:pPr>
        <w:pStyle w:val="Level1"/>
        <w:numPr>
          <w:ilvl w:val="0"/>
          <w:numId w:val="0"/>
        </w:numPr>
        <w:tabs>
          <w:tab w:val="left" w:pos="-1440"/>
        </w:tabs>
        <w:ind w:left="720" w:hanging="720"/>
        <w:outlineLvl w:val="9"/>
      </w:pPr>
    </w:p>
    <w:p w:rsidR="00AB2C23" w:rsidRDefault="00AB2C23">
      <w:pPr>
        <w:pStyle w:val="Level1"/>
        <w:numPr>
          <w:ilvl w:val="0"/>
          <w:numId w:val="0"/>
        </w:numPr>
        <w:tabs>
          <w:tab w:val="left" w:pos="-1440"/>
        </w:tabs>
        <w:ind w:left="720" w:hanging="720"/>
        <w:outlineLvl w:val="9"/>
      </w:pPr>
      <w:r>
        <w:t>If the application specifies additional control technology or a change in control technologies, the application must include:</w:t>
      </w:r>
    </w:p>
    <w:p w:rsidR="00AB2C23" w:rsidRDefault="00AB2C23">
      <w:pPr>
        <w:pStyle w:val="Level1"/>
        <w:numPr>
          <w:ilvl w:val="0"/>
          <w:numId w:val="0"/>
        </w:numPr>
        <w:tabs>
          <w:tab w:val="left" w:pos="-1440"/>
        </w:tabs>
        <w:ind w:left="720" w:hanging="720"/>
        <w:outlineLvl w:val="9"/>
      </w:pPr>
    </w:p>
    <w:p w:rsidR="00AB2C23" w:rsidRDefault="00AB2C23" w:rsidP="001B1071">
      <w:pPr>
        <w:pStyle w:val="Level1"/>
        <w:numPr>
          <w:ilvl w:val="0"/>
          <w:numId w:val="6"/>
        </w:numPr>
        <w:tabs>
          <w:tab w:val="left" w:pos="-1440"/>
        </w:tabs>
        <w:outlineLvl w:val="9"/>
      </w:pPr>
      <w:r>
        <w:t>The candidate control technology to meet the emission limitation including technical information on the design, operation, size, estimated control efficiency, etc.</w:t>
      </w:r>
      <w:r w:rsidR="001B1071">
        <w:t>;</w:t>
      </w:r>
    </w:p>
    <w:p w:rsidR="00AB2C23" w:rsidRDefault="00AB2C23" w:rsidP="001B1071">
      <w:pPr>
        <w:pStyle w:val="Level1"/>
        <w:numPr>
          <w:ilvl w:val="0"/>
          <w:numId w:val="6"/>
        </w:numPr>
        <w:tabs>
          <w:tab w:val="left" w:pos="-1440"/>
        </w:tabs>
        <w:outlineLvl w:val="9"/>
      </w:pPr>
      <w:r>
        <w:t>Supporting documentation including identification of alternative control technologies considered to meet the emission limitation, and an analysis of non-air quality health environmental impacts or energy requirements for the selected MACT candidate</w:t>
      </w:r>
      <w:r w:rsidR="001B1071">
        <w:t xml:space="preserve">; and </w:t>
      </w:r>
    </w:p>
    <w:p w:rsidR="00AB2C23" w:rsidRDefault="00AB2C23" w:rsidP="001B1071">
      <w:pPr>
        <w:pStyle w:val="Level1"/>
        <w:numPr>
          <w:ilvl w:val="0"/>
          <w:numId w:val="6"/>
        </w:numPr>
        <w:tabs>
          <w:tab w:val="left" w:pos="-1440"/>
        </w:tabs>
        <w:outlineLvl w:val="9"/>
      </w:pPr>
      <w:r>
        <w:t xml:space="preserve">Any other information which may be required pursuant to 40 </w:t>
      </w:r>
      <w:smartTag w:uri="urn:schemas-microsoft-com:office:smarttags" w:element="stockticker">
        <w:r>
          <w:t>CFR</w:t>
        </w:r>
      </w:smartTag>
      <w:r>
        <w:t xml:space="preserve"> part 63, subpart A.</w:t>
      </w:r>
    </w:p>
    <w:p w:rsidR="00AB2C23" w:rsidRDefault="00AB2C23"/>
    <w:p w:rsidR="00AB2C23" w:rsidRDefault="00AB2C23">
      <w:pPr>
        <w:pStyle w:val="Level1"/>
        <w:numPr>
          <w:ilvl w:val="0"/>
          <w:numId w:val="0"/>
        </w:numPr>
        <w:tabs>
          <w:tab w:val="left" w:pos="-1440"/>
        </w:tabs>
        <w:rPr>
          <w:i/>
        </w:rPr>
      </w:pPr>
      <w:r>
        <w:rPr>
          <w:i/>
        </w:rPr>
        <w:tab/>
        <w:t>(ii) Respondent Activities.</w:t>
      </w:r>
    </w:p>
    <w:p w:rsidR="00AB2C23" w:rsidRDefault="00AB2C23"/>
    <w:p w:rsidR="00AB2C23" w:rsidRDefault="00AB2C23">
      <w:pPr>
        <w:ind w:firstLine="720"/>
      </w:pPr>
      <w:r>
        <w:t>Activities that the owner or operator must perform are listed in this section.</w:t>
      </w:r>
    </w:p>
    <w:p w:rsidR="00AB2C23" w:rsidRDefault="00AB2C23"/>
    <w:p w:rsidR="00AB2C23" w:rsidRDefault="00AB2C23" w:rsidP="001B1071">
      <w:pPr>
        <w:pStyle w:val="Level1"/>
        <w:numPr>
          <w:ilvl w:val="0"/>
          <w:numId w:val="7"/>
        </w:numPr>
        <w:tabs>
          <w:tab w:val="left" w:pos="-1440"/>
        </w:tabs>
        <w:outlineLvl w:val="9"/>
      </w:pPr>
      <w:r>
        <w:t>Read applicable regulations to determine compliance requirements</w:t>
      </w:r>
      <w:r w:rsidR="00307F30">
        <w:t>;</w:t>
      </w:r>
    </w:p>
    <w:p w:rsidR="00AB2C23" w:rsidRDefault="00AB2C23" w:rsidP="001B1071">
      <w:pPr>
        <w:pStyle w:val="Level1"/>
        <w:numPr>
          <w:ilvl w:val="0"/>
          <w:numId w:val="7"/>
        </w:numPr>
        <w:tabs>
          <w:tab w:val="left" w:pos="-1440"/>
        </w:tabs>
        <w:outlineLvl w:val="9"/>
      </w:pPr>
      <w:r>
        <w:t>Assemble necessary source information, including source identification and descriptive information, construction schedules, sufficient data on classes and types of pollutants to support the MACT evaluations, and potential to emit (controlled and uncontrolled)</w:t>
      </w:r>
      <w:r w:rsidR="00307F30">
        <w:t>;</w:t>
      </w:r>
    </w:p>
    <w:p w:rsidR="00AB2C23" w:rsidRDefault="00AB2C23" w:rsidP="001B1071">
      <w:pPr>
        <w:pStyle w:val="Level1"/>
        <w:numPr>
          <w:ilvl w:val="0"/>
          <w:numId w:val="7"/>
        </w:numPr>
        <w:tabs>
          <w:tab w:val="left" w:pos="-1440"/>
        </w:tabs>
        <w:outlineLvl w:val="9"/>
      </w:pPr>
      <w:r>
        <w:t>Identify and describe MACT candidate, any required MACT limits, expected emissions limitation, and MACT installation schedule</w:t>
      </w:r>
      <w:r w:rsidR="00307F30">
        <w:t>;</w:t>
      </w:r>
    </w:p>
    <w:p w:rsidR="00AB2C23" w:rsidRDefault="00AB2C23" w:rsidP="001B1071">
      <w:pPr>
        <w:pStyle w:val="Level1"/>
        <w:numPr>
          <w:ilvl w:val="0"/>
          <w:numId w:val="7"/>
        </w:numPr>
        <w:tabs>
          <w:tab w:val="left" w:pos="-1440"/>
        </w:tabs>
        <w:outlineLvl w:val="9"/>
      </w:pPr>
      <w:r>
        <w:t>Prepare and submit application</w:t>
      </w:r>
      <w:r w:rsidR="00307F30">
        <w:t>; and</w:t>
      </w:r>
    </w:p>
    <w:p w:rsidR="00AB2C23" w:rsidRDefault="00AB2C23" w:rsidP="001B1071">
      <w:pPr>
        <w:pStyle w:val="Level1"/>
        <w:numPr>
          <w:ilvl w:val="0"/>
          <w:numId w:val="7"/>
        </w:numPr>
        <w:tabs>
          <w:tab w:val="left" w:pos="-1440"/>
        </w:tabs>
        <w:outlineLvl w:val="9"/>
      </w:pPr>
      <w:r>
        <w:t xml:space="preserve">Revise application per comments received from the permitting authority, ensuring compliance </w:t>
      </w:r>
      <w:r w:rsidR="001B1071">
        <w:t xml:space="preserve">with </w:t>
      </w:r>
      <w:r w:rsidR="00307F30">
        <w:t xml:space="preserve">the </w:t>
      </w:r>
      <w:r w:rsidR="001B1071">
        <w:t>case-by-case MACT decision</w:t>
      </w:r>
      <w:r w:rsidR="00307F30">
        <w:t>.</w:t>
      </w:r>
    </w:p>
    <w:p w:rsidR="00AB2C23" w:rsidRDefault="00AB2C23"/>
    <w:p w:rsidR="00AB2C23" w:rsidRDefault="00AB2C23">
      <w:pPr>
        <w:ind w:firstLine="720"/>
      </w:pPr>
      <w:r>
        <w:t>The permitting authority, typically the State, local or Tribal air agency, will perform the following activities:</w:t>
      </w:r>
    </w:p>
    <w:p w:rsidR="00AB2C23" w:rsidRDefault="00AB2C23"/>
    <w:p w:rsidR="00AB2C23" w:rsidRDefault="00AB2C23" w:rsidP="001B1071">
      <w:pPr>
        <w:pStyle w:val="Level1"/>
        <w:numPr>
          <w:ilvl w:val="0"/>
          <w:numId w:val="8"/>
        </w:numPr>
        <w:tabs>
          <w:tab w:val="left" w:pos="-1440"/>
        </w:tabs>
        <w:outlineLvl w:val="9"/>
      </w:pPr>
      <w:r>
        <w:t>Answer respondent questions</w:t>
      </w:r>
      <w:r w:rsidR="001B1071">
        <w:t>;</w:t>
      </w:r>
    </w:p>
    <w:p w:rsidR="00AB2C23" w:rsidRDefault="00AB2C23" w:rsidP="001B1071">
      <w:pPr>
        <w:pStyle w:val="Level1"/>
        <w:numPr>
          <w:ilvl w:val="0"/>
          <w:numId w:val="8"/>
        </w:numPr>
        <w:tabs>
          <w:tab w:val="left" w:pos="-1440"/>
        </w:tabs>
        <w:outlineLvl w:val="9"/>
      </w:pPr>
      <w:r>
        <w:t>Log in and review applications</w:t>
      </w:r>
      <w:r w:rsidR="001B1071">
        <w:t>;</w:t>
      </w:r>
    </w:p>
    <w:p w:rsidR="00AB2C23" w:rsidRDefault="00AB2C23" w:rsidP="001B1071">
      <w:pPr>
        <w:pStyle w:val="Level1"/>
        <w:numPr>
          <w:ilvl w:val="0"/>
          <w:numId w:val="8"/>
        </w:numPr>
        <w:tabs>
          <w:tab w:val="left" w:pos="-1440"/>
        </w:tabs>
        <w:outlineLvl w:val="9"/>
      </w:pPr>
      <w:r>
        <w:t>Request additional information for incomplete applications</w:t>
      </w:r>
      <w:r w:rsidR="001B1071">
        <w:t>;</w:t>
      </w:r>
    </w:p>
    <w:p w:rsidR="00AB2C23" w:rsidRDefault="00AB2C23" w:rsidP="001B1071">
      <w:pPr>
        <w:pStyle w:val="Level1"/>
        <w:numPr>
          <w:ilvl w:val="0"/>
          <w:numId w:val="8"/>
        </w:numPr>
        <w:tabs>
          <w:tab w:val="left" w:pos="-1440"/>
        </w:tabs>
        <w:outlineLvl w:val="9"/>
      </w:pPr>
      <w:r>
        <w:t>When no MACT standard has been promulgated, verify that the source will achieve the level of control necessary to meet case-by-case MACT requirements for constructed or reconstructed sources</w:t>
      </w:r>
      <w:r w:rsidR="001B1071">
        <w:t>; and</w:t>
      </w:r>
    </w:p>
    <w:p w:rsidR="00AB2C23" w:rsidRDefault="00AB2C23" w:rsidP="001B1071">
      <w:pPr>
        <w:pStyle w:val="Level1"/>
        <w:numPr>
          <w:ilvl w:val="0"/>
          <w:numId w:val="8"/>
        </w:numPr>
        <w:tabs>
          <w:tab w:val="left" w:pos="-1440"/>
        </w:tabs>
        <w:outlineLvl w:val="9"/>
      </w:pPr>
      <w:r>
        <w:t xml:space="preserve">Inform </w:t>
      </w:r>
      <w:r w:rsidR="00307F30">
        <w:t xml:space="preserve">the </w:t>
      </w:r>
      <w:r>
        <w:t>source of permitting authority</w:t>
      </w:r>
      <w:r w:rsidR="001B1071">
        <w:t>'</w:t>
      </w:r>
      <w:r>
        <w:t>s decision regarding the application.</w:t>
      </w:r>
    </w:p>
    <w:p w:rsidR="00AB2C23" w:rsidRDefault="00AB2C23"/>
    <w:p w:rsidR="00AB2C23" w:rsidRDefault="00AB2C23">
      <w:pPr>
        <w:tabs>
          <w:tab w:val="left" w:pos="-1440"/>
        </w:tabs>
        <w:ind w:left="720" w:hanging="720"/>
        <w:rPr>
          <w:b/>
          <w:bCs/>
        </w:rPr>
      </w:pPr>
      <w:r>
        <w:rPr>
          <w:b/>
          <w:bCs/>
        </w:rPr>
        <w:t>5.</w:t>
      </w:r>
      <w:r>
        <w:rPr>
          <w:b/>
          <w:bCs/>
        </w:rPr>
        <w:tab/>
        <w:t xml:space="preserve">THE INFORMATION COLLECTED -- AGENCY ACTIVITIES, COLLECTION METHODOLOGY, </w:t>
      </w:r>
      <w:smartTag w:uri="urn:schemas-microsoft-com:office:smarttags" w:element="stockticker">
        <w:r>
          <w:rPr>
            <w:b/>
            <w:bCs/>
          </w:rPr>
          <w:t>AND</w:t>
        </w:r>
      </w:smartTag>
      <w:r>
        <w:rPr>
          <w:b/>
          <w:bCs/>
        </w:rPr>
        <w:t xml:space="preserve"> INFORMATION MANAGEMENT</w:t>
      </w:r>
    </w:p>
    <w:p w:rsidR="00AB2C23" w:rsidRDefault="00AB2C23"/>
    <w:p w:rsidR="00AB2C23" w:rsidRDefault="00AB2C23">
      <w:pPr>
        <w:tabs>
          <w:tab w:val="left" w:pos="-1440"/>
        </w:tabs>
        <w:ind w:left="1440" w:hanging="720"/>
      </w:pPr>
      <w:r>
        <w:rPr>
          <w:b/>
          <w:bCs/>
        </w:rPr>
        <w:t>5(a)</w:t>
      </w:r>
      <w:r>
        <w:rPr>
          <w:b/>
          <w:bCs/>
        </w:rPr>
        <w:tab/>
        <w:t>Agency Activities</w:t>
      </w:r>
    </w:p>
    <w:p w:rsidR="00AB2C23" w:rsidRDefault="00AB2C23"/>
    <w:p w:rsidR="00AB2C23" w:rsidRDefault="00AB2C23">
      <w:pPr>
        <w:ind w:firstLine="720"/>
      </w:pPr>
      <w:r>
        <w:t xml:space="preserve">In carrying out its oversight role, </w:t>
      </w:r>
      <w:r w:rsidR="00CA7C23">
        <w:t xml:space="preserve">the </w:t>
      </w:r>
      <w:r>
        <w:t>EPA will review the decision of the permitting authority.</w:t>
      </w:r>
    </w:p>
    <w:p w:rsidR="00AB2C23" w:rsidRDefault="00AB2C23">
      <w:pPr>
        <w:ind w:firstLine="720"/>
      </w:pPr>
    </w:p>
    <w:p w:rsidR="00AB2C23" w:rsidRDefault="00AB2C23">
      <w:pPr>
        <w:tabs>
          <w:tab w:val="left" w:pos="-1440"/>
        </w:tabs>
        <w:ind w:left="1440" w:hanging="720"/>
      </w:pPr>
      <w:r>
        <w:rPr>
          <w:b/>
          <w:bCs/>
        </w:rPr>
        <w:t>5(b)</w:t>
      </w:r>
      <w:r>
        <w:rPr>
          <w:b/>
          <w:bCs/>
        </w:rPr>
        <w:tab/>
        <w:t>Collection Methodology and Management</w:t>
      </w:r>
    </w:p>
    <w:p w:rsidR="00AB2C23" w:rsidRDefault="00AB2C23"/>
    <w:p w:rsidR="00AB2C23" w:rsidRDefault="00AB2C23">
      <w:pPr>
        <w:ind w:firstLine="720"/>
      </w:pPr>
      <w:r>
        <w:t xml:space="preserve">It will be the responsibility of the owners or operators of the constructed or reconstructed major sources affected by these regulations to submit an application to the permitting authority.  Applications will be prepared and submitted according to guidance issued in conjunction with the </w:t>
      </w:r>
      <w:smartTag w:uri="urn:schemas-microsoft-com:office:smarttags" w:element="stockticker">
        <w:r>
          <w:t>CAA</w:t>
        </w:r>
      </w:smartTag>
      <w:r w:rsidR="00307F30">
        <w:t xml:space="preserve"> section 112(g) rules. </w:t>
      </w:r>
      <w:r>
        <w:t xml:space="preserve">No forms are contained in the regulations for </w:t>
      </w:r>
      <w:smartTag w:uri="urn:schemas-microsoft-com:office:smarttags" w:element="stockticker">
        <w:r>
          <w:t>CAA</w:t>
        </w:r>
      </w:smartTag>
      <w:r>
        <w:t xml:space="preserve"> section 112(g) applications.</w:t>
      </w:r>
    </w:p>
    <w:p w:rsidR="00AB2C23" w:rsidRDefault="00AB2C23"/>
    <w:p w:rsidR="00AB2C23" w:rsidRDefault="00AB2C23">
      <w:pPr>
        <w:ind w:firstLine="720"/>
      </w:pPr>
      <w:r>
        <w:t xml:space="preserve">The permitting authority will determine how to </w:t>
      </w:r>
      <w:r w:rsidR="00307F30">
        <w:t xml:space="preserve">log in and track applications. </w:t>
      </w:r>
      <w:r>
        <w:t>MACT determinations are perf</w:t>
      </w:r>
      <w:r w:rsidR="00307F30">
        <w:t xml:space="preserve">ormed on a case-by-case basis. </w:t>
      </w:r>
      <w:r>
        <w:t xml:space="preserve">It will also be the responsibility of the permitting authority to provide </w:t>
      </w:r>
      <w:r w:rsidR="00CA7C23">
        <w:t xml:space="preserve">the </w:t>
      </w:r>
      <w:r>
        <w:t>EPA with the information necessary for oversight review.</w:t>
      </w:r>
    </w:p>
    <w:p w:rsidR="00AB2C23" w:rsidRDefault="00AB2C23"/>
    <w:p w:rsidR="00AB2C23" w:rsidRDefault="00AB2C23">
      <w:pPr>
        <w:ind w:firstLine="720"/>
      </w:pPr>
      <w:r>
        <w:t>For each application, the applicant will be required to supply information on how the data were obtained (e.g., indicate whether the emissions data were obtained through the use of emission factors or test data) and ho</w:t>
      </w:r>
      <w:r w:rsidR="00307F30">
        <w:t xml:space="preserve">w calculations were performed. </w:t>
      </w:r>
      <w:r>
        <w:t xml:space="preserve">Qualified staff at the permitting authority will check the quality of </w:t>
      </w:r>
      <w:r w:rsidR="00307F30">
        <w:t xml:space="preserve">the </w:t>
      </w:r>
      <w:r>
        <w:t>data submitted by the appl</w:t>
      </w:r>
      <w:r w:rsidR="00307F30">
        <w:t xml:space="preserve">icant on a case-by-case basis. </w:t>
      </w:r>
      <w:r>
        <w:t>This will be done by reviewing control technology determinations for similar sources, by reviewing test data, and by chec</w:t>
      </w:r>
      <w:r w:rsidR="00307F30">
        <w:t xml:space="preserve">king engineering calculations. </w:t>
      </w:r>
      <w:r>
        <w:t>Confidential information submitted by the applicant will be handled by the permitting authority in conformance with confidential in</w:t>
      </w:r>
      <w:r w:rsidR="000C0BC5">
        <w:t xml:space="preserve">formation handling procedures. </w:t>
      </w:r>
      <w:r>
        <w:t>No specific provisions have been made for electronic methods of submittal.</w:t>
      </w:r>
    </w:p>
    <w:p w:rsidR="00AB2C23" w:rsidRDefault="00AB2C23"/>
    <w:p w:rsidR="00AB2C23" w:rsidRDefault="00AB2C23">
      <w:pPr>
        <w:ind w:firstLine="720"/>
      </w:pPr>
      <w:r>
        <w:t xml:space="preserve">The </w:t>
      </w:r>
      <w:smartTag w:uri="urn:schemas-microsoft-com:office:smarttags" w:element="stockticker">
        <w:r>
          <w:t>CAA</w:t>
        </w:r>
      </w:smartTag>
      <w:r>
        <w:t xml:space="preserve"> section 112(g) regulations will not require the request of information through any type of survey.</w:t>
      </w:r>
    </w:p>
    <w:p w:rsidR="00AB2C23" w:rsidRDefault="00AB2C23"/>
    <w:p w:rsidR="00AB2C23" w:rsidRDefault="00AB2C23">
      <w:pPr>
        <w:tabs>
          <w:tab w:val="left" w:pos="-1440"/>
        </w:tabs>
        <w:ind w:left="1440" w:hanging="720"/>
      </w:pPr>
      <w:proofErr w:type="gramStart"/>
      <w:r>
        <w:rPr>
          <w:b/>
          <w:bCs/>
        </w:rPr>
        <w:t>5(c)</w:t>
      </w:r>
      <w:r>
        <w:rPr>
          <w:b/>
          <w:bCs/>
        </w:rPr>
        <w:tab/>
        <w:t>Small Entity Flexibility</w:t>
      </w:r>
      <w:proofErr w:type="gramEnd"/>
    </w:p>
    <w:p w:rsidR="00AB2C23" w:rsidRDefault="00AB2C23"/>
    <w:p w:rsidR="00AB2C23" w:rsidRDefault="00AB2C23">
      <w:pPr>
        <w:ind w:firstLine="720"/>
      </w:pPr>
      <w:r>
        <w:t>Minimizing the information collection burden for all sizes of organizations is a continu</w:t>
      </w:r>
      <w:r w:rsidR="000C0BC5">
        <w:t xml:space="preserve">ing principle for our efforts. </w:t>
      </w:r>
      <w:r>
        <w:t xml:space="preserve">The </w:t>
      </w:r>
      <w:smartTag w:uri="urn:schemas-microsoft-com:office:smarttags" w:element="stockticker">
        <w:r>
          <w:t>CAA</w:t>
        </w:r>
      </w:smartTag>
      <w:r>
        <w:t xml:space="preserve"> section 112(g) regulation</w:t>
      </w:r>
      <w:r w:rsidR="000C0BC5">
        <w:t xml:space="preserve">s only include the application and </w:t>
      </w:r>
      <w:r>
        <w:t>recordkeeping and reporting requirements we need to deter</w:t>
      </w:r>
      <w:r w:rsidR="000C0BC5">
        <w:t xml:space="preserve">mine compliance with the rule. </w:t>
      </w:r>
      <w:r>
        <w:t>We have reduced the collection burden to the extent practicable and appropriate, including consideration of the resources available to the respondents and clarifying, consolidating, and</w:t>
      </w:r>
      <w:r w:rsidR="000C0BC5">
        <w:t xml:space="preserve"> simplifying the requirements. </w:t>
      </w:r>
      <w:r>
        <w:t>Furthermore, we do not anticipate that any small entities will be participating in this program.</w:t>
      </w:r>
    </w:p>
    <w:p w:rsidR="00AB2C23" w:rsidRDefault="00AB2C23"/>
    <w:p w:rsidR="00AB2C23" w:rsidRDefault="00AB2C23">
      <w:pPr>
        <w:tabs>
          <w:tab w:val="left" w:pos="-1440"/>
        </w:tabs>
        <w:ind w:left="1440" w:hanging="720"/>
      </w:pPr>
      <w:r>
        <w:rPr>
          <w:b/>
          <w:bCs/>
        </w:rPr>
        <w:t>5(d)</w:t>
      </w:r>
      <w:r>
        <w:rPr>
          <w:b/>
          <w:bCs/>
        </w:rPr>
        <w:tab/>
        <w:t>Collection Schedule</w:t>
      </w:r>
    </w:p>
    <w:p w:rsidR="00AB2C23" w:rsidRDefault="00AB2C23"/>
    <w:p w:rsidR="00AB2C23" w:rsidRDefault="00AB2C23">
      <w:pPr>
        <w:ind w:firstLine="720"/>
      </w:pPr>
      <w:r>
        <w:t xml:space="preserve">Each source affected by the </w:t>
      </w:r>
      <w:smartTag w:uri="urn:schemas-microsoft-com:office:smarttags" w:element="stockticker">
        <w:r>
          <w:t>CAA</w:t>
        </w:r>
      </w:smartTag>
      <w:r>
        <w:t xml:space="preserve"> section 112(g) regulations will be requ</w:t>
      </w:r>
      <w:r w:rsidR="000C0BC5">
        <w:t xml:space="preserve">ired to submit an application. </w:t>
      </w:r>
      <w:r>
        <w:t xml:space="preserve">Preparation of the application in compliance with the </w:t>
      </w:r>
      <w:smartTag w:uri="urn:schemas-microsoft-com:office:smarttags" w:element="stockticker">
        <w:r>
          <w:t>CAA</w:t>
        </w:r>
      </w:smartTag>
      <w:r>
        <w:t xml:space="preserve"> section 112(g) rules is a one-time-only activity (i.e., once for each construction or reconstruction subject to the </w:t>
      </w:r>
      <w:smartTag w:uri="urn:schemas-microsoft-com:office:smarttags" w:element="stockticker">
        <w:r>
          <w:t>CAA</w:t>
        </w:r>
      </w:smartTag>
      <w:r>
        <w:t xml:space="preserve"> section 11</w:t>
      </w:r>
      <w:r w:rsidR="000C0BC5">
        <w:t>2(g) provisions).</w:t>
      </w:r>
      <w:r>
        <w:t xml:space="preserve"> The </w:t>
      </w:r>
      <w:smartTag w:uri="urn:schemas-microsoft-com:office:smarttags" w:element="stockticker">
        <w:r>
          <w:t>CAA</w:t>
        </w:r>
      </w:smartTag>
      <w:r>
        <w:t xml:space="preserve"> section 112(g) regulations will not require periodic reporting or surveys.</w:t>
      </w:r>
    </w:p>
    <w:p w:rsidR="00AB2C23" w:rsidRDefault="00AB2C23"/>
    <w:p w:rsidR="00AB2C23" w:rsidRDefault="00AB2C23">
      <w:pPr>
        <w:tabs>
          <w:tab w:val="left" w:pos="-1440"/>
        </w:tabs>
        <w:ind w:left="720" w:hanging="720"/>
      </w:pPr>
      <w:r>
        <w:rPr>
          <w:b/>
          <w:bCs/>
        </w:rPr>
        <w:t>6.</w:t>
      </w:r>
      <w:r>
        <w:rPr>
          <w:b/>
          <w:bCs/>
        </w:rPr>
        <w:tab/>
        <w:t xml:space="preserve">ESTIMATING THE BURDEN </w:t>
      </w:r>
      <w:smartTag w:uri="urn:schemas-microsoft-com:office:smarttags" w:element="stockticker">
        <w:r>
          <w:rPr>
            <w:b/>
            <w:bCs/>
          </w:rPr>
          <w:t>AND</w:t>
        </w:r>
      </w:smartTag>
      <w:r>
        <w:rPr>
          <w:b/>
          <w:bCs/>
        </w:rPr>
        <w:t xml:space="preserve"> </w:t>
      </w:r>
      <w:smartTag w:uri="urn:schemas-microsoft-com:office:smarttags" w:element="stockticker">
        <w:r>
          <w:rPr>
            <w:b/>
            <w:bCs/>
          </w:rPr>
          <w:t>COST</w:t>
        </w:r>
      </w:smartTag>
      <w:r>
        <w:rPr>
          <w:b/>
          <w:bCs/>
        </w:rPr>
        <w:t xml:space="preserve"> OF THE COLLECTION</w:t>
      </w:r>
    </w:p>
    <w:p w:rsidR="00AB2C23" w:rsidRDefault="00AB2C23">
      <w:pPr>
        <w:tabs>
          <w:tab w:val="left" w:pos="-1440"/>
        </w:tabs>
        <w:ind w:left="720" w:hanging="720"/>
      </w:pPr>
    </w:p>
    <w:p w:rsidR="00AB2C23" w:rsidRDefault="00AB2C23">
      <w:pPr>
        <w:tabs>
          <w:tab w:val="left" w:pos="-1440"/>
        </w:tabs>
        <w:ind w:left="1440" w:hanging="720"/>
      </w:pPr>
      <w:r>
        <w:rPr>
          <w:b/>
          <w:bCs/>
        </w:rPr>
        <w:t>6(a)</w:t>
      </w:r>
      <w:r>
        <w:rPr>
          <w:b/>
          <w:bCs/>
        </w:rPr>
        <w:tab/>
        <w:t>Estimating Respondent Burden</w:t>
      </w:r>
    </w:p>
    <w:p w:rsidR="00AB2C23" w:rsidRDefault="00AB2C23"/>
    <w:p w:rsidR="00AB2C23" w:rsidRDefault="00AB2C23">
      <w:pPr>
        <w:ind w:firstLine="720"/>
      </w:pPr>
      <w:r>
        <w:rPr>
          <w:i/>
          <w:iCs/>
        </w:rPr>
        <w:t>(</w:t>
      </w:r>
      <w:proofErr w:type="spellStart"/>
      <w:r>
        <w:rPr>
          <w:i/>
          <w:iCs/>
        </w:rPr>
        <w:t>i</w:t>
      </w:r>
      <w:proofErr w:type="spellEnd"/>
      <w:r>
        <w:rPr>
          <w:i/>
          <w:iCs/>
        </w:rPr>
        <w:t>)</w:t>
      </w:r>
      <w:r>
        <w:rPr>
          <w:i/>
          <w:iCs/>
        </w:rPr>
        <w:tab/>
        <w:t>Estimating Industry Burden</w:t>
      </w:r>
    </w:p>
    <w:p w:rsidR="00AB2C23" w:rsidRDefault="00AB2C23"/>
    <w:p w:rsidR="00AB2C23" w:rsidRDefault="00AB2C23">
      <w:pPr>
        <w:ind w:firstLine="720"/>
      </w:pPr>
      <w:r>
        <w:lastRenderedPageBreak/>
        <w:t>Respondents include owners/operators of major sources of HAP, for which no MACT standard is in effect, that undertake c</w:t>
      </w:r>
      <w:r w:rsidR="000C0BC5">
        <w:t xml:space="preserve">onstruction or reconstruction. </w:t>
      </w:r>
      <w:r>
        <w:t>To construct a major source means generally to fabricate, erect, or install at any “</w:t>
      </w:r>
      <w:proofErr w:type="spellStart"/>
      <w:r>
        <w:t>greenfield</w:t>
      </w:r>
      <w:proofErr w:type="spellEnd"/>
      <w:r>
        <w:t xml:space="preserve">” site a major source of HAP, or to fabricate, erect, or install at any developed site a new process or production unit which in and of itself is a major source (40 </w:t>
      </w:r>
      <w:smartTag w:uri="urn:schemas-microsoft-com:office:smarttags" w:element="stockticker">
        <w:r>
          <w:t>CFR</w:t>
        </w:r>
      </w:smartTag>
      <w:r w:rsidR="000C0BC5">
        <w:t xml:space="preserve"> 63.41). </w:t>
      </w:r>
      <w:r>
        <w:t xml:space="preserve">To reconstruct a major source means to replace components of an existing process or production unit that in and of itself is a major source of HAP to the extent that the fixed capital costs of the replacement components exceeds 50 percent of the fixed capital cost that would be required to construct a comparable process or production unit, and it is technically and economically feasible for the reconstructed major source to meet the applicable MACT emission limitation of new sources established under the </w:t>
      </w:r>
      <w:smartTag w:uri="urn:schemas-microsoft-com:office:smarttags" w:element="stockticker">
        <w:r>
          <w:t>CAA</w:t>
        </w:r>
      </w:smartTag>
      <w:r>
        <w:t xml:space="preserve"> sect</w:t>
      </w:r>
      <w:r w:rsidR="002B5AC3">
        <w:t>ion 112(g) regulations. (id.) When</w:t>
      </w:r>
      <w:r>
        <w:t xml:space="preserve"> calculating the burden hours for this ICR, we made assumptions about the number of sources that would submit applications each year. As discussed in more detail in Section 6(d), Estimating the Respondent Universe and Total Burden Costs, we have conservatively estimated that there could be about </w:t>
      </w:r>
      <w:r w:rsidR="008A708C">
        <w:t>6</w:t>
      </w:r>
      <w:r>
        <w:t xml:space="preserve"> sources affected by </w:t>
      </w:r>
      <w:smartTag w:uri="urn:schemas-microsoft-com:office:smarttags" w:element="stockticker">
        <w:r>
          <w:t>CAA</w:t>
        </w:r>
      </w:smartTag>
      <w:r>
        <w:t xml:space="preserve"> section 112(g) over the next 3 years.</w:t>
      </w:r>
    </w:p>
    <w:p w:rsidR="00AB2C23" w:rsidRDefault="00AB2C23"/>
    <w:p w:rsidR="00AB2C23" w:rsidRDefault="00AB2C23">
      <w:pPr>
        <w:ind w:firstLine="720"/>
      </w:pPr>
      <w:r w:rsidRPr="008A708C">
        <w:t xml:space="preserve">We retained the same activities and burden hour estimates per respondent used in the </w:t>
      </w:r>
      <w:r w:rsidR="000C0BC5" w:rsidRPr="008A708C">
        <w:t>previous ICR (ICR Number 1658.06).</w:t>
      </w:r>
      <w:r w:rsidR="000C0BC5">
        <w:t xml:space="preserve"> </w:t>
      </w:r>
      <w:r>
        <w:t>Based on our consultations, we did not identify any concerns that the burden hours associated with preparing an application are understated.  Contacts noted that these sources are often also complying with New Source Review requirements and other State preco</w:t>
      </w:r>
      <w:r w:rsidR="000C0BC5">
        <w:t xml:space="preserve">nstruction permitting as well. </w:t>
      </w:r>
      <w:r>
        <w:t xml:space="preserve">The additional information needed that is unique to the </w:t>
      </w:r>
      <w:smartTag w:uri="urn:schemas-microsoft-com:office:smarttags" w:element="stockticker">
        <w:r>
          <w:t>CAA</w:t>
        </w:r>
      </w:smartTag>
      <w:r>
        <w:t xml:space="preserve"> section 112(g) application is an estimate of HAP emissions.</w:t>
      </w:r>
    </w:p>
    <w:p w:rsidR="00AB2C23" w:rsidRDefault="00AB2C23"/>
    <w:p w:rsidR="00AB2C23" w:rsidRDefault="00AB2C23">
      <w:pPr>
        <w:ind w:firstLine="720"/>
      </w:pPr>
      <w:r>
        <w:t>The total hours associated with preparing the application in Table 1</w:t>
      </w:r>
      <w:r w:rsidR="000C0BC5">
        <w:t xml:space="preserve"> are for technical hours only. </w:t>
      </w:r>
      <w:r>
        <w:t xml:space="preserve">Table 4 contains the results of the burden </w:t>
      </w:r>
      <w:proofErr w:type="gramStart"/>
      <w:r>
        <w:t>hours</w:t>
      </w:r>
      <w:proofErr w:type="gramEnd"/>
      <w:r>
        <w:t xml:space="preserve"> calculation for each activity</w:t>
      </w:r>
      <w:r w:rsidR="000C0BC5">
        <w:t xml:space="preserve"> during each year of this ICR. </w:t>
      </w:r>
      <w:r>
        <w:t xml:space="preserve">Overall, the </w:t>
      </w:r>
      <w:smartTag w:uri="urn:schemas-microsoft-com:office:smarttags" w:element="stockticker">
        <w:r>
          <w:t>CAA</w:t>
        </w:r>
      </w:smartTag>
      <w:r>
        <w:t xml:space="preserve"> section 112(g) regulations contain an average burden of </w:t>
      </w:r>
      <w:r w:rsidR="00A71CBD">
        <w:t xml:space="preserve">345 </w:t>
      </w:r>
      <w:r>
        <w:t>hours per year.</w:t>
      </w:r>
    </w:p>
    <w:p w:rsidR="00AB2C23" w:rsidRDefault="00AB2C23"/>
    <w:p w:rsidR="00AB2C23" w:rsidRDefault="00AB2C23">
      <w:pPr>
        <w:ind w:firstLine="720"/>
      </w:pPr>
      <w:r>
        <w:rPr>
          <w:i/>
          <w:iCs/>
        </w:rPr>
        <w:t>(ii)</w:t>
      </w:r>
      <w:r>
        <w:rPr>
          <w:i/>
          <w:iCs/>
        </w:rPr>
        <w:tab/>
        <w:t>Estimating State, Local, and Tribal Agency Burden</w:t>
      </w:r>
    </w:p>
    <w:p w:rsidR="00AB2C23" w:rsidRDefault="00AB2C23"/>
    <w:p w:rsidR="00AB2C23" w:rsidRDefault="00AB2C23">
      <w:pPr>
        <w:ind w:firstLine="720"/>
        <w:rPr>
          <w:bCs/>
        </w:rPr>
      </w:pPr>
      <w:r>
        <w:rPr>
          <w:bCs/>
        </w:rPr>
        <w:t xml:space="preserve">The estimated number of State, </w:t>
      </w:r>
      <w:r w:rsidR="001177BC">
        <w:rPr>
          <w:bCs/>
        </w:rPr>
        <w:t>local</w:t>
      </w:r>
      <w:r>
        <w:rPr>
          <w:bCs/>
        </w:rPr>
        <w:t xml:space="preserve"> and Tribal agency respondents is equal to the number of </w:t>
      </w:r>
      <w:r w:rsidR="000C0BC5">
        <w:rPr>
          <w:bCs/>
        </w:rPr>
        <w:t>estimated permit applications</w:t>
      </w:r>
      <w:r w:rsidR="000C0BC5" w:rsidRPr="008A708C">
        <w:rPr>
          <w:bCs/>
        </w:rPr>
        <w:t xml:space="preserve">. </w:t>
      </w:r>
      <w:r w:rsidRPr="008A708C">
        <w:rPr>
          <w:bCs/>
        </w:rPr>
        <w:t>We retained the same activities and burden hour estimates per respondent used in the previous ICR (ICR Number 1658.0</w:t>
      </w:r>
      <w:r w:rsidR="000C0BC5" w:rsidRPr="008A708C">
        <w:rPr>
          <w:bCs/>
        </w:rPr>
        <w:t>6</w:t>
      </w:r>
      <w:r w:rsidR="009E0491" w:rsidRPr="008A708C">
        <w:rPr>
          <w:bCs/>
        </w:rPr>
        <w:t>).</w:t>
      </w:r>
      <w:r>
        <w:rPr>
          <w:bCs/>
        </w:rPr>
        <w:t xml:space="preserve"> Based on our consultations, we determined that the previous estimate </w:t>
      </w:r>
      <w:r w:rsidRPr="0039025C">
        <w:rPr>
          <w:bCs/>
        </w:rPr>
        <w:t>of 80</w:t>
      </w:r>
      <w:r>
        <w:rPr>
          <w:bCs/>
        </w:rPr>
        <w:t xml:space="preserve"> technical hours per application is </w:t>
      </w:r>
      <w:r w:rsidR="000C0BC5">
        <w:rPr>
          <w:bCs/>
        </w:rPr>
        <w:t xml:space="preserve">a reasonable average estimate. </w:t>
      </w:r>
      <w:r>
        <w:rPr>
          <w:bCs/>
        </w:rPr>
        <w:t>Some applications might be more complex and take more hours, but others would be similar to other sources and/or MACT standards or represent simple scenarios and would take fewer hours.</w:t>
      </w:r>
    </w:p>
    <w:p w:rsidR="00AB2C23" w:rsidRDefault="00AB2C23"/>
    <w:p w:rsidR="00AB2C23" w:rsidRDefault="00AB2C23">
      <w:pPr>
        <w:ind w:firstLine="720"/>
      </w:pPr>
      <w:r>
        <w:t>The total hours associated with preparing the application in Table 2</w:t>
      </w:r>
      <w:r w:rsidR="000C0BC5">
        <w:t xml:space="preserve"> are for technical hours only. </w:t>
      </w:r>
      <w:r>
        <w:t xml:space="preserve">Table 4 contains the results of the burden </w:t>
      </w:r>
      <w:proofErr w:type="gramStart"/>
      <w:r>
        <w:t>hours</w:t>
      </w:r>
      <w:proofErr w:type="gramEnd"/>
      <w:r>
        <w:t xml:space="preserve"> calculation for each activity</w:t>
      </w:r>
      <w:r w:rsidR="000C0BC5">
        <w:t xml:space="preserve"> during each year of this ICR. </w:t>
      </w:r>
      <w:r>
        <w:t xml:space="preserve">Overall, the </w:t>
      </w:r>
      <w:smartTag w:uri="urn:schemas-microsoft-com:office:smarttags" w:element="stockticker">
        <w:r>
          <w:t>CAA</w:t>
        </w:r>
      </w:smartTag>
      <w:r>
        <w:t xml:space="preserve"> section 112(g) regulations contain an average burden of </w:t>
      </w:r>
      <w:r w:rsidR="00A71CBD">
        <w:rPr>
          <w:bCs/>
        </w:rPr>
        <w:t>184</w:t>
      </w:r>
      <w:r>
        <w:t xml:space="preserve"> hours per year for State, local, and Tribal agencies.</w:t>
      </w:r>
    </w:p>
    <w:p w:rsidR="00AB2C23" w:rsidRDefault="00AB2C23"/>
    <w:p w:rsidR="00AB2C23" w:rsidRDefault="00AB2C23">
      <w:pPr>
        <w:tabs>
          <w:tab w:val="left" w:pos="-1440"/>
        </w:tabs>
        <w:ind w:left="1440" w:hanging="720"/>
        <w:rPr>
          <w:b/>
          <w:bCs/>
        </w:rPr>
      </w:pPr>
      <w:r w:rsidRPr="00610C34">
        <w:rPr>
          <w:b/>
          <w:bCs/>
        </w:rPr>
        <w:t>6(b)</w:t>
      </w:r>
      <w:r w:rsidRPr="00610C34">
        <w:rPr>
          <w:b/>
          <w:bCs/>
        </w:rPr>
        <w:tab/>
        <w:t>Estimating</w:t>
      </w:r>
      <w:r>
        <w:rPr>
          <w:b/>
          <w:bCs/>
        </w:rPr>
        <w:t xml:space="preserve"> Respondent Costs</w:t>
      </w:r>
    </w:p>
    <w:p w:rsidR="00AB2C23" w:rsidRDefault="00AB2C23">
      <w:pPr>
        <w:rPr>
          <w:b/>
          <w:bCs/>
        </w:rPr>
      </w:pPr>
    </w:p>
    <w:p w:rsidR="00AB2C23" w:rsidRDefault="00AB2C23">
      <w:pPr>
        <w:ind w:firstLine="720"/>
        <w:rPr>
          <w:b/>
          <w:bCs/>
        </w:rPr>
      </w:pPr>
      <w:r>
        <w:rPr>
          <w:i/>
          <w:iCs/>
        </w:rPr>
        <w:t>(</w:t>
      </w:r>
      <w:proofErr w:type="spellStart"/>
      <w:r>
        <w:rPr>
          <w:i/>
          <w:iCs/>
        </w:rPr>
        <w:t>i</w:t>
      </w:r>
      <w:proofErr w:type="spellEnd"/>
      <w:r>
        <w:rPr>
          <w:i/>
          <w:iCs/>
        </w:rPr>
        <w:t>)</w:t>
      </w:r>
      <w:r>
        <w:rPr>
          <w:i/>
          <w:iCs/>
        </w:rPr>
        <w:tab/>
        <w:t>Estimating Industry Costs</w:t>
      </w:r>
    </w:p>
    <w:p w:rsidR="00AB2C23" w:rsidRDefault="00AB2C23">
      <w:pPr>
        <w:rPr>
          <w:b/>
          <w:bCs/>
        </w:rPr>
      </w:pPr>
    </w:p>
    <w:p w:rsidR="00AB2C23" w:rsidRDefault="00AB2C23">
      <w:pPr>
        <w:ind w:firstLine="720"/>
      </w:pPr>
      <w:r>
        <w:rPr>
          <w:spacing w:val="-2"/>
        </w:rPr>
        <w:t>Wage rates were based on raw labor rates for the Manufacturing Sector (NAICS 31 thru 34), loaded using an overhead factor of 110 percent</w:t>
      </w:r>
      <w:r w:rsidR="000C0BC5">
        <w:rPr>
          <w:spacing w:val="-2"/>
        </w:rPr>
        <w:t xml:space="preserve">. </w:t>
      </w:r>
      <w:r>
        <w:rPr>
          <w:spacing w:val="-2"/>
        </w:rPr>
        <w:t xml:space="preserve">The resulting rates </w:t>
      </w:r>
      <w:r w:rsidRPr="0039025C">
        <w:rPr>
          <w:spacing w:val="-2"/>
        </w:rPr>
        <w:t xml:space="preserve">are $115.12 for management </w:t>
      </w:r>
      <w:r w:rsidRPr="0039025C">
        <w:rPr>
          <w:spacing w:val="-4"/>
        </w:rPr>
        <w:t xml:space="preserve">personnel, $77.77 for technical </w:t>
      </w:r>
      <w:r w:rsidR="001A4F65" w:rsidRPr="0039025C">
        <w:rPr>
          <w:spacing w:val="-4"/>
        </w:rPr>
        <w:t>personnel</w:t>
      </w:r>
      <w:r w:rsidRPr="0039025C">
        <w:rPr>
          <w:spacing w:val="-4"/>
        </w:rPr>
        <w:t xml:space="preserve"> and $30.58</w:t>
      </w:r>
      <w:r w:rsidR="001A4F65" w:rsidRPr="0039025C">
        <w:rPr>
          <w:spacing w:val="-4"/>
        </w:rPr>
        <w:t xml:space="preserve"> for cle</w:t>
      </w:r>
      <w:r w:rsidR="001A4F65">
        <w:rPr>
          <w:spacing w:val="-4"/>
        </w:rPr>
        <w:t xml:space="preserve">rical personnel. </w:t>
      </w:r>
      <w:r>
        <w:rPr>
          <w:spacing w:val="-4"/>
        </w:rPr>
        <w:t xml:space="preserve">These </w:t>
      </w:r>
      <w:r>
        <w:t>values were taken from the Bureau of Labor Statistics (</w:t>
      </w:r>
      <w:smartTag w:uri="urn:schemas-microsoft-com:office:smarttags" w:element="stockticker">
        <w:r>
          <w:t>BLS</w:t>
        </w:r>
      </w:smartTag>
      <w:r>
        <w:t>) Occupational Employment Statistics Survey website</w:t>
      </w:r>
      <w:r w:rsidR="001A4F65">
        <w:t xml:space="preserve">. </w:t>
      </w:r>
      <w:r>
        <w:t>The Employment Cost Index is located at: http://www.bls</w:t>
      </w:r>
      <w:r w:rsidR="001A4F65">
        <w:t xml:space="preserve">.gov/news.release/eci.t02.htm. </w:t>
      </w:r>
      <w:r>
        <w:t>Table 1 provides a breakdown of labor hours and associated costs per occurrence for each activity in each part of the application process for affected sources.</w:t>
      </w:r>
    </w:p>
    <w:p w:rsidR="00AB2C23" w:rsidRDefault="00AB2C23"/>
    <w:p w:rsidR="00AB2C23" w:rsidRDefault="00AB2C23">
      <w:pPr>
        <w:ind w:firstLine="720"/>
      </w:pPr>
      <w:r>
        <w:t>The respondent labor costs are found by multiplying the burden hours associated with each activity by the hourly rate asso</w:t>
      </w:r>
      <w:r w:rsidR="001A4F65">
        <w:t xml:space="preserve">ciated with each labor type. </w:t>
      </w:r>
      <w:r>
        <w:t xml:space="preserve">In total, the </w:t>
      </w:r>
      <w:smartTag w:uri="urn:schemas-microsoft-com:office:smarttags" w:element="stockticker">
        <w:r>
          <w:t>CAA</w:t>
        </w:r>
      </w:smartTag>
      <w:r>
        <w:t xml:space="preserve"> section 112(g) regulations contain an average labor cost of $</w:t>
      </w:r>
      <w:r w:rsidR="00A71CBD">
        <w:rPr>
          <w:bCs/>
        </w:rPr>
        <w:t>28,089</w:t>
      </w:r>
      <w:r w:rsidR="001A4F65">
        <w:t xml:space="preserve"> per year. </w:t>
      </w:r>
      <w:r>
        <w:t>Table 4 contains the results of the calculation of labor costs for the respondents.</w:t>
      </w:r>
    </w:p>
    <w:p w:rsidR="00AB2C23" w:rsidRDefault="00AB2C23"/>
    <w:p w:rsidR="00AB2C23" w:rsidRDefault="00AB2C23">
      <w:pPr>
        <w:ind w:firstLine="720"/>
      </w:pPr>
      <w:r>
        <w:t>This ICR does not require any capital or start-up costs for equipment, machinery, and construction.</w:t>
      </w:r>
    </w:p>
    <w:p w:rsidR="00AB2C23" w:rsidRDefault="00AB2C23"/>
    <w:p w:rsidR="00AB2C23" w:rsidRDefault="00AB2C23">
      <w:pPr>
        <w:ind w:firstLine="720"/>
      </w:pPr>
      <w:r>
        <w:t xml:space="preserve">Industry applicants submitting </w:t>
      </w:r>
      <w:smartTag w:uri="urn:schemas-microsoft-com:office:smarttags" w:element="stockticker">
        <w:r>
          <w:t>CAA</w:t>
        </w:r>
      </w:smartTag>
      <w:r>
        <w:t xml:space="preserve"> section 112(g) applications for case-by-case MACT determinations must transmit their findings to the delegated State, local, and Tribal agency, which results in ph</w:t>
      </w:r>
      <w:r w:rsidR="001A4F65">
        <w:t xml:space="preserve">otocopying and postage costs. </w:t>
      </w:r>
      <w:r>
        <w:t>We determined that two types of documents wo</w:t>
      </w:r>
      <w:r w:rsidR="001A4F65">
        <w:t xml:space="preserve">uld be both copied and mailed: </w:t>
      </w:r>
      <w:r>
        <w:t>2-ounce</w:t>
      </w:r>
      <w:r w:rsidR="001A4F65">
        <w:t xml:space="preserve"> letters and 1-pound packages. </w:t>
      </w:r>
      <w:r>
        <w:t>The 2-ounce letter would contain 5 pages, and the 1-pound pa</w:t>
      </w:r>
      <w:r w:rsidR="00F30D13">
        <w:t xml:space="preserve">ckage would contain 200 pages. </w:t>
      </w:r>
      <w:r>
        <w:t>Based on the typical price to copy a page, we used $0.05 a page as our p</w:t>
      </w:r>
      <w:r w:rsidR="001A4F65">
        <w:t xml:space="preserve">rice per unit cost of copying. </w:t>
      </w:r>
      <w:r>
        <w:t xml:space="preserve">The cost for mailing a 2-ounce letter and 1-pound package via the United States Postal </w:t>
      </w:r>
      <w:r w:rsidRPr="007B01D9">
        <w:t>Service is $0.58 and $4.50</w:t>
      </w:r>
      <w:r w:rsidR="001A4F65" w:rsidRPr="007B01D9">
        <w:t xml:space="preserve">, respectively. </w:t>
      </w:r>
      <w:r w:rsidRPr="007B01D9">
        <w:t>We also assumed that a total of three copies would be ma</w:t>
      </w:r>
      <w:r w:rsidR="001A4F65" w:rsidRPr="007B01D9">
        <w:t>de fo</w:t>
      </w:r>
      <w:r w:rsidR="001A4F65">
        <w:t xml:space="preserve">r each letter or package. </w:t>
      </w:r>
      <w:r>
        <w:t>We estimate that each applicant will submit one package (the permit application) and one l</w:t>
      </w:r>
      <w:r w:rsidR="001A4F65">
        <w:t xml:space="preserve">etter (response to questions). </w:t>
      </w:r>
      <w:r>
        <w:t>Table 5 summarizes the total copyi</w:t>
      </w:r>
      <w:r w:rsidR="001A4F65">
        <w:t xml:space="preserve">ng and mailing costs per year. </w:t>
      </w:r>
      <w:r>
        <w:t xml:space="preserve">For industry respondents, the average cost for copying and postage </w:t>
      </w:r>
      <w:r w:rsidRPr="007B01D9">
        <w:t>is $</w:t>
      </w:r>
      <w:r w:rsidR="00EB2108">
        <w:rPr>
          <w:bCs/>
        </w:rPr>
        <w:t>153</w:t>
      </w:r>
      <w:r w:rsidR="001A4F65" w:rsidRPr="007B01D9">
        <w:t xml:space="preserve"> per year. </w:t>
      </w:r>
      <w:r w:rsidRPr="007B01D9">
        <w:t>Therefore, the average total cost to respondents, including labor cost and copying/postage cost, is $</w:t>
      </w:r>
      <w:r w:rsidR="00EB2108">
        <w:rPr>
          <w:bCs/>
        </w:rPr>
        <w:t>2</w:t>
      </w:r>
      <w:r w:rsidR="007F5B06">
        <w:rPr>
          <w:bCs/>
        </w:rPr>
        <w:t>8,242</w:t>
      </w:r>
      <w:r w:rsidRPr="007B01D9">
        <w:rPr>
          <w:bCs/>
        </w:rPr>
        <w:t xml:space="preserve"> </w:t>
      </w:r>
      <w:r w:rsidR="001A4F65" w:rsidRPr="007B01D9">
        <w:t xml:space="preserve">per year. </w:t>
      </w:r>
      <w:r w:rsidRPr="007B01D9">
        <w:t>Table 6 shows this breakdown by year.</w:t>
      </w:r>
    </w:p>
    <w:p w:rsidR="00AB2C23" w:rsidRDefault="00AB2C23"/>
    <w:p w:rsidR="00AB2C23" w:rsidRDefault="00AB2C23">
      <w:pPr>
        <w:ind w:firstLine="720"/>
      </w:pPr>
      <w:r>
        <w:rPr>
          <w:i/>
          <w:iCs/>
        </w:rPr>
        <w:t>(ii)</w:t>
      </w:r>
      <w:r>
        <w:rPr>
          <w:i/>
          <w:iCs/>
        </w:rPr>
        <w:tab/>
        <w:t>Estimating State, Local, and Tribal Agency Costs</w:t>
      </w:r>
    </w:p>
    <w:p w:rsidR="00AB2C23" w:rsidRDefault="00AB2C23"/>
    <w:p w:rsidR="00AB2C23" w:rsidRDefault="00AB2C23">
      <w:pPr>
        <w:sectPr w:rsidR="00AB2C23">
          <w:headerReference w:type="default" r:id="rId9"/>
          <w:footerReference w:type="default" r:id="rId10"/>
          <w:pgSz w:w="12240" w:h="15840"/>
          <w:pgMar w:top="1440" w:right="1440" w:bottom="1440" w:left="1440" w:header="1440" w:footer="1440" w:gutter="0"/>
          <w:cols w:space="720"/>
          <w:noEndnote/>
        </w:sectPr>
      </w:pPr>
    </w:p>
    <w:p w:rsidR="00AB2C23" w:rsidRDefault="00AB2C23">
      <w:pPr>
        <w:ind w:firstLine="720"/>
      </w:pPr>
      <w:r>
        <w:lastRenderedPageBreak/>
        <w:t>The activities for State, local, and Tribal agencies are divided into the activities that would take place for the applicatio</w:t>
      </w:r>
      <w:r w:rsidR="001A4F65">
        <w:t xml:space="preserve">n process as shown in Table 2. </w:t>
      </w:r>
      <w:r>
        <w:t>Wage rates for State, local, and Tribal employees were retrieved from the BLS</w:t>
      </w:r>
      <w:r w:rsidR="009E0491">
        <w:t xml:space="preserve"> website</w:t>
      </w:r>
      <w:r w:rsidR="001A4F65">
        <w:t xml:space="preserve">. </w:t>
      </w:r>
      <w:r>
        <w:t xml:space="preserve">Employer costs per hour worked for employee compensation and costs as a percent </w:t>
      </w:r>
      <w:r w:rsidR="001A4F65">
        <w:t xml:space="preserve">of total compensation: </w:t>
      </w:r>
      <w:r>
        <w:t xml:space="preserve">State and </w:t>
      </w:r>
      <w:r w:rsidRPr="0039025C">
        <w:t xml:space="preserve">local government </w:t>
      </w:r>
      <w:r w:rsidRPr="0039025C">
        <w:lastRenderedPageBreak/>
        <w:t>workers, by occupational group and full-time and part-time status</w:t>
      </w:r>
      <w:r w:rsidR="009E0491" w:rsidRPr="0039025C">
        <w:t>)</w:t>
      </w:r>
      <w:r w:rsidR="001A4F65" w:rsidRPr="0039025C">
        <w:t xml:space="preserve"> and are as follows: </w:t>
      </w:r>
      <w:r w:rsidRPr="0039025C">
        <w:t>$33.11 per hour for management labor, $33.22 per hour for technical labor, and $16.39 per hour</w:t>
      </w:r>
      <w:r>
        <w:t xml:space="preserve"> for clerica</w:t>
      </w:r>
      <w:r w:rsidR="001A4F65">
        <w:t xml:space="preserve">l labor. </w:t>
      </w:r>
      <w:r>
        <w:t xml:space="preserve">We added in the value of total benefits </w:t>
      </w:r>
      <w:r w:rsidRPr="009E0491">
        <w:t>in BLS</w:t>
      </w:r>
      <w:r w:rsidR="001A4F65">
        <w:t xml:space="preserve">. </w:t>
      </w:r>
      <w:r>
        <w:t>We chose 20 percent of the base rate as the percentage of sal</w:t>
      </w:r>
      <w:r w:rsidR="001A4F65">
        <w:t xml:space="preserve">ary that constitutes overhead. </w:t>
      </w:r>
      <w:r>
        <w:t>The addition of benefits and overhead to the hourly rate produces a pay rate that reflects the true cost to employ a State, L</w:t>
      </w:r>
      <w:r w:rsidR="001A4F65">
        <w:t>ocal, or Tribal agency worker. The f</w:t>
      </w:r>
      <w:r>
        <w:t>ollowing is a summary of the computed hourly wages for State, Local, and Tribal agency employees.</w:t>
      </w:r>
    </w:p>
    <w:p w:rsidR="00AB2C23" w:rsidRDefault="00AB2C23"/>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tblPr>
      <w:tblGrid>
        <w:gridCol w:w="1872"/>
        <w:gridCol w:w="1872"/>
        <w:gridCol w:w="1872"/>
        <w:gridCol w:w="1872"/>
        <w:gridCol w:w="1872"/>
      </w:tblGrid>
      <w:tr w:rsidR="00AB2C23">
        <w:tblPrEx>
          <w:tblCellMar>
            <w:top w:w="0" w:type="dxa"/>
            <w:bottom w:w="0" w:type="dxa"/>
          </w:tblCellMar>
        </w:tblPrEx>
        <w:trPr>
          <w:cantSplit/>
        </w:trPr>
        <w:tc>
          <w:tcPr>
            <w:tcW w:w="9360" w:type="dxa"/>
            <w:gridSpan w:val="5"/>
            <w:tcBorders>
              <w:top w:val="nil"/>
              <w:left w:val="nil"/>
              <w:bottom w:val="double" w:sz="7" w:space="0" w:color="000000"/>
              <w:right w:val="single" w:sz="4" w:space="0" w:color="auto"/>
            </w:tcBorders>
          </w:tcPr>
          <w:p w:rsidR="00AB2C23" w:rsidRDefault="00AB2C23">
            <w:pPr>
              <w:keepNext/>
              <w:keepLines/>
              <w:spacing w:before="87" w:after="25"/>
              <w:jc w:val="center"/>
            </w:pPr>
            <w:r>
              <w:rPr>
                <w:b/>
                <w:sz w:val="20"/>
              </w:rPr>
              <w:t xml:space="preserve"> Hourly Labor Rates for State, Local, and Tribal Respondents</w:t>
            </w:r>
          </w:p>
        </w:tc>
      </w:tr>
      <w:tr w:rsidR="00AB2C23">
        <w:tblPrEx>
          <w:tblCellMar>
            <w:top w:w="0" w:type="dxa"/>
            <w:bottom w:w="0" w:type="dxa"/>
          </w:tblCellMar>
        </w:tblPrEx>
        <w:trPr>
          <w:cantSplit/>
        </w:trPr>
        <w:tc>
          <w:tcPr>
            <w:tcW w:w="1872" w:type="dxa"/>
            <w:tcBorders>
              <w:top w:val="double" w:sz="7" w:space="0" w:color="000000"/>
              <w:left w:val="nil"/>
              <w:bottom w:val="double" w:sz="7" w:space="0" w:color="000000"/>
              <w:right w:val="nil"/>
            </w:tcBorders>
          </w:tcPr>
          <w:p w:rsidR="00AB2C23" w:rsidRDefault="00AB2C23">
            <w:pPr>
              <w:keepNext/>
              <w:keepLines/>
              <w:spacing w:before="87" w:after="25"/>
              <w:rPr>
                <w:sz w:val="20"/>
              </w:rPr>
            </w:pPr>
            <w:r>
              <w:rPr>
                <w:b/>
                <w:sz w:val="20"/>
              </w:rPr>
              <w:t>Labor Type</w:t>
            </w:r>
          </w:p>
        </w:tc>
        <w:tc>
          <w:tcPr>
            <w:tcW w:w="1872" w:type="dxa"/>
            <w:tcBorders>
              <w:top w:val="double" w:sz="7" w:space="0" w:color="000000"/>
              <w:left w:val="nil"/>
              <w:bottom w:val="double" w:sz="7" w:space="0" w:color="000000"/>
              <w:right w:val="nil"/>
            </w:tcBorders>
          </w:tcPr>
          <w:p w:rsidR="00AB2C23" w:rsidRDefault="00AB2C23">
            <w:pPr>
              <w:keepNext/>
              <w:keepLines/>
              <w:spacing w:before="87" w:after="25"/>
              <w:jc w:val="center"/>
              <w:rPr>
                <w:sz w:val="20"/>
              </w:rPr>
            </w:pPr>
            <w:r>
              <w:rPr>
                <w:b/>
                <w:sz w:val="20"/>
              </w:rPr>
              <w:t>Hourly Rate</w:t>
            </w:r>
          </w:p>
        </w:tc>
        <w:tc>
          <w:tcPr>
            <w:tcW w:w="1872" w:type="dxa"/>
            <w:tcBorders>
              <w:top w:val="double" w:sz="7" w:space="0" w:color="000000"/>
              <w:left w:val="nil"/>
              <w:bottom w:val="double" w:sz="7" w:space="0" w:color="000000"/>
              <w:right w:val="nil"/>
            </w:tcBorders>
          </w:tcPr>
          <w:p w:rsidR="00AB2C23" w:rsidRDefault="00AB2C23">
            <w:pPr>
              <w:keepNext/>
              <w:keepLines/>
              <w:spacing w:before="87"/>
              <w:jc w:val="center"/>
              <w:rPr>
                <w:b/>
                <w:sz w:val="20"/>
              </w:rPr>
            </w:pPr>
            <w:r>
              <w:rPr>
                <w:b/>
                <w:sz w:val="20"/>
              </w:rPr>
              <w:t>Benefits</w:t>
            </w:r>
          </w:p>
          <w:p w:rsidR="00AB2C23" w:rsidRDefault="00AB2C23">
            <w:pPr>
              <w:keepNext/>
              <w:keepLines/>
              <w:spacing w:after="25"/>
              <w:jc w:val="center"/>
              <w:rPr>
                <w:sz w:val="20"/>
              </w:rPr>
            </w:pPr>
          </w:p>
        </w:tc>
        <w:tc>
          <w:tcPr>
            <w:tcW w:w="1872" w:type="dxa"/>
            <w:tcBorders>
              <w:top w:val="double" w:sz="7" w:space="0" w:color="000000"/>
              <w:left w:val="nil"/>
              <w:bottom w:val="double" w:sz="7" w:space="0" w:color="000000"/>
              <w:right w:val="nil"/>
            </w:tcBorders>
          </w:tcPr>
          <w:p w:rsidR="00AB2C23" w:rsidRDefault="00AB2C23">
            <w:pPr>
              <w:keepNext/>
              <w:keepLines/>
              <w:spacing w:before="87"/>
              <w:jc w:val="center"/>
              <w:rPr>
                <w:b/>
                <w:sz w:val="20"/>
              </w:rPr>
            </w:pPr>
            <w:r>
              <w:rPr>
                <w:b/>
                <w:sz w:val="20"/>
              </w:rPr>
              <w:t>Overhead</w:t>
            </w:r>
          </w:p>
          <w:p w:rsidR="00AB2C23" w:rsidRDefault="00AB2C23">
            <w:pPr>
              <w:keepNext/>
              <w:keepLines/>
              <w:spacing w:after="25"/>
              <w:jc w:val="center"/>
              <w:rPr>
                <w:sz w:val="20"/>
              </w:rPr>
            </w:pPr>
            <w:r>
              <w:rPr>
                <w:b/>
                <w:sz w:val="20"/>
              </w:rPr>
              <w:t>(20 % Salary)</w:t>
            </w:r>
          </w:p>
        </w:tc>
        <w:tc>
          <w:tcPr>
            <w:tcW w:w="1872" w:type="dxa"/>
            <w:tcBorders>
              <w:top w:val="double" w:sz="7" w:space="0" w:color="000000"/>
              <w:left w:val="nil"/>
              <w:bottom w:val="double" w:sz="7" w:space="0" w:color="000000"/>
              <w:right w:val="single" w:sz="4" w:space="0" w:color="auto"/>
            </w:tcBorders>
          </w:tcPr>
          <w:p w:rsidR="00AB2C23" w:rsidRDefault="00AB2C23">
            <w:pPr>
              <w:keepNext/>
              <w:keepLines/>
              <w:spacing w:before="87" w:after="25"/>
              <w:jc w:val="center"/>
              <w:rPr>
                <w:sz w:val="20"/>
              </w:rPr>
            </w:pPr>
            <w:r>
              <w:rPr>
                <w:b/>
                <w:sz w:val="20"/>
              </w:rPr>
              <w:t>Adjusted Hourly Rate</w:t>
            </w:r>
          </w:p>
        </w:tc>
      </w:tr>
      <w:tr w:rsidR="00AB2C23">
        <w:tblPrEx>
          <w:tblCellMar>
            <w:top w:w="0" w:type="dxa"/>
            <w:bottom w:w="0" w:type="dxa"/>
          </w:tblCellMar>
        </w:tblPrEx>
        <w:trPr>
          <w:cantSplit/>
        </w:trPr>
        <w:tc>
          <w:tcPr>
            <w:tcW w:w="1872" w:type="dxa"/>
            <w:tcBorders>
              <w:top w:val="none" w:sz="0" w:space="0" w:color="auto"/>
              <w:left w:val="nil"/>
              <w:bottom w:val="none" w:sz="0" w:space="0" w:color="auto"/>
              <w:right w:val="nil"/>
            </w:tcBorders>
          </w:tcPr>
          <w:p w:rsidR="00AB2C23" w:rsidRDefault="00AB2C23">
            <w:pPr>
              <w:keepNext/>
              <w:keepLines/>
              <w:spacing w:before="87" w:after="25"/>
              <w:rPr>
                <w:sz w:val="20"/>
              </w:rPr>
            </w:pPr>
            <w:r>
              <w:rPr>
                <w:b/>
                <w:sz w:val="20"/>
              </w:rPr>
              <w:t>Management</w:t>
            </w:r>
          </w:p>
        </w:tc>
        <w:tc>
          <w:tcPr>
            <w:tcW w:w="1872" w:type="dxa"/>
            <w:tcBorders>
              <w:top w:val="none" w:sz="0" w:space="0" w:color="auto"/>
              <w:left w:val="nil"/>
              <w:bottom w:val="none" w:sz="0" w:space="0" w:color="auto"/>
              <w:right w:val="nil"/>
            </w:tcBorders>
          </w:tcPr>
          <w:p w:rsidR="00AB2C23" w:rsidRPr="009E0491" w:rsidRDefault="00AB2C23">
            <w:pPr>
              <w:keepNext/>
              <w:keepLines/>
              <w:spacing w:before="87" w:after="25"/>
              <w:jc w:val="center"/>
              <w:rPr>
                <w:sz w:val="20"/>
              </w:rPr>
            </w:pPr>
            <w:r w:rsidRPr="009E0491">
              <w:rPr>
                <w:sz w:val="20"/>
              </w:rPr>
              <w:t>$33.11</w:t>
            </w:r>
          </w:p>
        </w:tc>
        <w:tc>
          <w:tcPr>
            <w:tcW w:w="1872" w:type="dxa"/>
            <w:tcBorders>
              <w:top w:val="none" w:sz="0" w:space="0" w:color="auto"/>
              <w:left w:val="nil"/>
              <w:bottom w:val="none" w:sz="0" w:space="0" w:color="auto"/>
              <w:right w:val="nil"/>
            </w:tcBorders>
          </w:tcPr>
          <w:p w:rsidR="00AB2C23" w:rsidRPr="009E0491" w:rsidRDefault="00AB2C23">
            <w:pPr>
              <w:keepNext/>
              <w:keepLines/>
              <w:spacing w:before="87" w:after="25"/>
              <w:jc w:val="center"/>
              <w:rPr>
                <w:sz w:val="20"/>
              </w:rPr>
            </w:pPr>
            <w:r w:rsidRPr="009E0491">
              <w:rPr>
                <w:sz w:val="20"/>
              </w:rPr>
              <w:t>$14.18</w:t>
            </w:r>
          </w:p>
        </w:tc>
        <w:tc>
          <w:tcPr>
            <w:tcW w:w="1872" w:type="dxa"/>
            <w:tcBorders>
              <w:top w:val="none" w:sz="0" w:space="0" w:color="auto"/>
              <w:left w:val="nil"/>
              <w:bottom w:val="none" w:sz="0" w:space="0" w:color="auto"/>
              <w:right w:val="nil"/>
            </w:tcBorders>
          </w:tcPr>
          <w:p w:rsidR="00AB2C23" w:rsidRPr="009E0491" w:rsidRDefault="00AB2C23">
            <w:pPr>
              <w:keepNext/>
              <w:keepLines/>
              <w:spacing w:before="87" w:after="25"/>
              <w:jc w:val="center"/>
              <w:rPr>
                <w:sz w:val="20"/>
              </w:rPr>
            </w:pPr>
            <w:r w:rsidRPr="009E0491">
              <w:rPr>
                <w:sz w:val="20"/>
              </w:rPr>
              <w:t>$6.62</w:t>
            </w:r>
          </w:p>
        </w:tc>
        <w:tc>
          <w:tcPr>
            <w:tcW w:w="1872" w:type="dxa"/>
            <w:tcBorders>
              <w:top w:val="none" w:sz="0" w:space="0" w:color="auto"/>
              <w:left w:val="nil"/>
              <w:bottom w:val="none" w:sz="0" w:space="0" w:color="auto"/>
              <w:right w:val="single" w:sz="4" w:space="0" w:color="auto"/>
            </w:tcBorders>
          </w:tcPr>
          <w:p w:rsidR="00AB2C23" w:rsidRPr="009E0491" w:rsidRDefault="00AB2C23">
            <w:pPr>
              <w:keepNext/>
              <w:keepLines/>
              <w:spacing w:before="87" w:after="25"/>
              <w:jc w:val="center"/>
              <w:rPr>
                <w:sz w:val="20"/>
              </w:rPr>
            </w:pPr>
            <w:r w:rsidRPr="009E0491">
              <w:rPr>
                <w:sz w:val="20"/>
              </w:rPr>
              <w:t>$53.91</w:t>
            </w:r>
          </w:p>
        </w:tc>
      </w:tr>
      <w:tr w:rsidR="00AB2C23">
        <w:tblPrEx>
          <w:tblCellMar>
            <w:top w:w="0" w:type="dxa"/>
            <w:bottom w:w="0" w:type="dxa"/>
          </w:tblCellMar>
        </w:tblPrEx>
        <w:trPr>
          <w:cantSplit/>
        </w:trPr>
        <w:tc>
          <w:tcPr>
            <w:tcW w:w="1872" w:type="dxa"/>
            <w:tcBorders>
              <w:top w:val="dashed" w:sz="7" w:space="0" w:color="000000"/>
              <w:left w:val="nil"/>
              <w:bottom w:val="dashed" w:sz="7" w:space="0" w:color="000000"/>
              <w:right w:val="nil"/>
            </w:tcBorders>
          </w:tcPr>
          <w:p w:rsidR="00AB2C23" w:rsidRDefault="00AB2C23">
            <w:pPr>
              <w:keepNext/>
              <w:keepLines/>
              <w:spacing w:before="87" w:after="25"/>
              <w:rPr>
                <w:sz w:val="20"/>
              </w:rPr>
            </w:pPr>
            <w:r>
              <w:rPr>
                <w:b/>
                <w:sz w:val="20"/>
              </w:rPr>
              <w:t>Technical</w:t>
            </w:r>
          </w:p>
        </w:tc>
        <w:tc>
          <w:tcPr>
            <w:tcW w:w="1872" w:type="dxa"/>
            <w:tcBorders>
              <w:top w:val="dashed" w:sz="7" w:space="0" w:color="000000"/>
              <w:left w:val="nil"/>
              <w:bottom w:val="dashed" w:sz="7" w:space="0" w:color="000000"/>
              <w:right w:val="nil"/>
            </w:tcBorders>
          </w:tcPr>
          <w:p w:rsidR="00AB2C23" w:rsidRPr="009E0491" w:rsidRDefault="00AB2C23">
            <w:pPr>
              <w:keepNext/>
              <w:keepLines/>
              <w:spacing w:before="87" w:after="25"/>
              <w:jc w:val="center"/>
              <w:rPr>
                <w:sz w:val="20"/>
              </w:rPr>
            </w:pPr>
            <w:r w:rsidRPr="009E0491">
              <w:rPr>
                <w:sz w:val="20"/>
              </w:rPr>
              <w:t>$33.22</w:t>
            </w:r>
          </w:p>
        </w:tc>
        <w:tc>
          <w:tcPr>
            <w:tcW w:w="1872" w:type="dxa"/>
            <w:tcBorders>
              <w:top w:val="dashed" w:sz="7" w:space="0" w:color="000000"/>
              <w:left w:val="nil"/>
              <w:bottom w:val="dashed" w:sz="7" w:space="0" w:color="000000"/>
              <w:right w:val="nil"/>
            </w:tcBorders>
          </w:tcPr>
          <w:p w:rsidR="00AB2C23" w:rsidRPr="009E0491" w:rsidRDefault="00AB2C23">
            <w:pPr>
              <w:keepNext/>
              <w:keepLines/>
              <w:spacing w:before="87" w:after="25"/>
              <w:jc w:val="center"/>
              <w:rPr>
                <w:sz w:val="20"/>
              </w:rPr>
            </w:pPr>
            <w:r w:rsidRPr="009E0491">
              <w:rPr>
                <w:sz w:val="20"/>
              </w:rPr>
              <w:t>$13.79</w:t>
            </w:r>
          </w:p>
        </w:tc>
        <w:tc>
          <w:tcPr>
            <w:tcW w:w="1872" w:type="dxa"/>
            <w:tcBorders>
              <w:top w:val="dashed" w:sz="7" w:space="0" w:color="000000"/>
              <w:left w:val="nil"/>
              <w:bottom w:val="dashed" w:sz="7" w:space="0" w:color="000000"/>
              <w:right w:val="nil"/>
            </w:tcBorders>
          </w:tcPr>
          <w:p w:rsidR="00AB2C23" w:rsidRPr="009E0491" w:rsidRDefault="00AB2C23">
            <w:pPr>
              <w:keepNext/>
              <w:keepLines/>
              <w:spacing w:before="87" w:after="25"/>
              <w:jc w:val="center"/>
              <w:rPr>
                <w:sz w:val="20"/>
              </w:rPr>
            </w:pPr>
            <w:r w:rsidRPr="009E0491">
              <w:rPr>
                <w:sz w:val="20"/>
              </w:rPr>
              <w:t>$6.64</w:t>
            </w:r>
          </w:p>
        </w:tc>
        <w:tc>
          <w:tcPr>
            <w:tcW w:w="1872" w:type="dxa"/>
            <w:tcBorders>
              <w:top w:val="dashed" w:sz="7" w:space="0" w:color="000000"/>
              <w:left w:val="nil"/>
              <w:bottom w:val="dashed" w:sz="7" w:space="0" w:color="000000"/>
              <w:right w:val="single" w:sz="4" w:space="0" w:color="auto"/>
            </w:tcBorders>
          </w:tcPr>
          <w:p w:rsidR="00AB2C23" w:rsidRPr="009E0491" w:rsidRDefault="00AB2C23">
            <w:pPr>
              <w:keepNext/>
              <w:keepLines/>
              <w:spacing w:before="87" w:after="25"/>
              <w:jc w:val="center"/>
              <w:rPr>
                <w:sz w:val="20"/>
              </w:rPr>
            </w:pPr>
            <w:r w:rsidRPr="009E0491">
              <w:rPr>
                <w:sz w:val="20"/>
              </w:rPr>
              <w:t>$53.65</w:t>
            </w:r>
          </w:p>
        </w:tc>
      </w:tr>
      <w:tr w:rsidR="00AB2C23">
        <w:tblPrEx>
          <w:tblCellMar>
            <w:top w:w="0" w:type="dxa"/>
            <w:bottom w:w="0" w:type="dxa"/>
          </w:tblCellMar>
        </w:tblPrEx>
        <w:trPr>
          <w:cantSplit/>
        </w:trPr>
        <w:tc>
          <w:tcPr>
            <w:tcW w:w="1872" w:type="dxa"/>
            <w:tcBorders>
              <w:top w:val="none" w:sz="0" w:space="0" w:color="auto"/>
              <w:left w:val="nil"/>
              <w:bottom w:val="double" w:sz="12" w:space="0" w:color="000000"/>
              <w:right w:val="nil"/>
            </w:tcBorders>
          </w:tcPr>
          <w:p w:rsidR="00AB2C23" w:rsidRDefault="00AB2C23">
            <w:pPr>
              <w:keepNext/>
              <w:keepLines/>
              <w:spacing w:before="87" w:after="25"/>
              <w:rPr>
                <w:sz w:val="20"/>
              </w:rPr>
            </w:pPr>
            <w:r>
              <w:rPr>
                <w:b/>
                <w:sz w:val="20"/>
              </w:rPr>
              <w:t>Clerical</w:t>
            </w:r>
          </w:p>
        </w:tc>
        <w:tc>
          <w:tcPr>
            <w:tcW w:w="1872" w:type="dxa"/>
            <w:tcBorders>
              <w:top w:val="none" w:sz="0" w:space="0" w:color="auto"/>
              <w:left w:val="nil"/>
              <w:bottom w:val="double" w:sz="12" w:space="0" w:color="000000"/>
              <w:right w:val="nil"/>
            </w:tcBorders>
          </w:tcPr>
          <w:p w:rsidR="00AB2C23" w:rsidRPr="009E0491" w:rsidRDefault="00AB2C23">
            <w:pPr>
              <w:keepNext/>
              <w:keepLines/>
              <w:spacing w:before="87" w:after="25"/>
              <w:jc w:val="center"/>
              <w:rPr>
                <w:sz w:val="20"/>
              </w:rPr>
            </w:pPr>
            <w:r w:rsidRPr="009E0491">
              <w:rPr>
                <w:sz w:val="20"/>
              </w:rPr>
              <w:t>$16.39</w:t>
            </w:r>
          </w:p>
        </w:tc>
        <w:tc>
          <w:tcPr>
            <w:tcW w:w="1872" w:type="dxa"/>
            <w:tcBorders>
              <w:top w:val="none" w:sz="0" w:space="0" w:color="auto"/>
              <w:left w:val="nil"/>
              <w:bottom w:val="double" w:sz="12" w:space="0" w:color="000000"/>
              <w:right w:val="nil"/>
            </w:tcBorders>
          </w:tcPr>
          <w:p w:rsidR="00AB2C23" w:rsidRPr="009E0491" w:rsidRDefault="00AB2C23">
            <w:pPr>
              <w:keepNext/>
              <w:keepLines/>
              <w:spacing w:before="87" w:after="25"/>
              <w:jc w:val="center"/>
              <w:rPr>
                <w:sz w:val="20"/>
              </w:rPr>
            </w:pPr>
            <w:r w:rsidRPr="009E0491">
              <w:rPr>
                <w:sz w:val="20"/>
              </w:rPr>
              <w:t>$10.21</w:t>
            </w:r>
          </w:p>
        </w:tc>
        <w:tc>
          <w:tcPr>
            <w:tcW w:w="1872" w:type="dxa"/>
            <w:tcBorders>
              <w:top w:val="none" w:sz="0" w:space="0" w:color="auto"/>
              <w:left w:val="nil"/>
              <w:bottom w:val="double" w:sz="12" w:space="0" w:color="000000"/>
              <w:right w:val="nil"/>
            </w:tcBorders>
          </w:tcPr>
          <w:p w:rsidR="00AB2C23" w:rsidRPr="009E0491" w:rsidRDefault="00AB2C23">
            <w:pPr>
              <w:keepNext/>
              <w:keepLines/>
              <w:spacing w:before="87" w:after="25"/>
              <w:jc w:val="center"/>
              <w:rPr>
                <w:sz w:val="20"/>
              </w:rPr>
            </w:pPr>
            <w:r w:rsidRPr="009E0491">
              <w:rPr>
                <w:sz w:val="20"/>
              </w:rPr>
              <w:t>$3.28</w:t>
            </w:r>
          </w:p>
        </w:tc>
        <w:tc>
          <w:tcPr>
            <w:tcW w:w="1872" w:type="dxa"/>
            <w:tcBorders>
              <w:top w:val="none" w:sz="0" w:space="0" w:color="auto"/>
              <w:left w:val="nil"/>
              <w:bottom w:val="double" w:sz="12" w:space="0" w:color="000000"/>
              <w:right w:val="single" w:sz="4" w:space="0" w:color="auto"/>
            </w:tcBorders>
          </w:tcPr>
          <w:p w:rsidR="00AB2C23" w:rsidRPr="009E0491" w:rsidRDefault="00AB2C23">
            <w:pPr>
              <w:keepNext/>
              <w:keepLines/>
              <w:spacing w:before="87" w:after="25"/>
              <w:jc w:val="center"/>
            </w:pPr>
            <w:r w:rsidRPr="009E0491">
              <w:rPr>
                <w:sz w:val="20"/>
              </w:rPr>
              <w:t>$29.88</w:t>
            </w:r>
          </w:p>
        </w:tc>
      </w:tr>
    </w:tbl>
    <w:p w:rsidR="00AB2C23" w:rsidRDefault="00AB2C23">
      <w:pPr>
        <w:ind w:firstLine="720"/>
      </w:pPr>
    </w:p>
    <w:p w:rsidR="00AB2C23" w:rsidRDefault="00AB2C23">
      <w:pPr>
        <w:ind w:firstLine="720"/>
      </w:pPr>
      <w:r>
        <w:t>The State and local labor costs are found by multiplying the burden hours associated with each activity by the hourly rate as</w:t>
      </w:r>
      <w:r w:rsidR="001A4F65">
        <w:t xml:space="preserve">sociated with each labor type. </w:t>
      </w:r>
      <w:r>
        <w:t xml:space="preserve">In total, the </w:t>
      </w:r>
      <w:smartTag w:uri="urn:schemas-microsoft-com:office:smarttags" w:element="stockticker">
        <w:r>
          <w:t>CAA</w:t>
        </w:r>
      </w:smartTag>
      <w:r>
        <w:t xml:space="preserve"> section 112(g) regulations contain an average labor cost of $</w:t>
      </w:r>
      <w:r w:rsidR="007F5B06">
        <w:rPr>
          <w:bCs/>
        </w:rPr>
        <w:t>9,782</w:t>
      </w:r>
      <w:r>
        <w:rPr>
          <w:bCs/>
        </w:rPr>
        <w:t xml:space="preserve"> per </w:t>
      </w:r>
      <w:r w:rsidR="001A4F65">
        <w:t xml:space="preserve">year. </w:t>
      </w:r>
      <w:r>
        <w:t>Table 4 contains the results of the calculation of labor costs for the State and local agencies.</w:t>
      </w:r>
    </w:p>
    <w:p w:rsidR="00AB2C23" w:rsidRDefault="00AB2C23"/>
    <w:p w:rsidR="00AB2C23" w:rsidRDefault="00AB2C23">
      <w:pPr>
        <w:ind w:firstLine="720"/>
      </w:pPr>
      <w:r>
        <w:t>This ICR does not require any capital or start-up costs for equipment, machinery, and construction.</w:t>
      </w:r>
    </w:p>
    <w:p w:rsidR="00AB2C23" w:rsidRDefault="00AB2C23"/>
    <w:p w:rsidR="00AB2C23" w:rsidRDefault="00AB2C23">
      <w:pPr>
        <w:pStyle w:val="BodyTextIndent"/>
      </w:pPr>
      <w:r>
        <w:t>State, local, and Tribal agencies responding to applications for case-by-case MACT determinations must transmit their findings to the applicant, which results in p</w:t>
      </w:r>
      <w:r w:rsidR="001A4F65">
        <w:t xml:space="preserve">hotocopying and postage costs. </w:t>
      </w:r>
      <w:r>
        <w:t>Copying and postage costs were calculated in the s</w:t>
      </w:r>
      <w:r w:rsidR="009E0491">
        <w:t xml:space="preserve">ame manner as described above. </w:t>
      </w:r>
      <w:r>
        <w:t>We estimate that each State, local, and Tribal agency responding to an application will send three letters (receipt of complete application and/or notice of additional information, notice of MACT approval to source, no</w:t>
      </w:r>
      <w:r w:rsidR="001A4F65">
        <w:t xml:space="preserve">tice of MACT approval to </w:t>
      </w:r>
      <w:r w:rsidR="00CA7C23">
        <w:t xml:space="preserve">the </w:t>
      </w:r>
      <w:r w:rsidR="001A4F65">
        <w:t xml:space="preserve">EPA). </w:t>
      </w:r>
      <w:r>
        <w:t>Table 5 summarizes the total copyi</w:t>
      </w:r>
      <w:r w:rsidR="001A4F65">
        <w:t xml:space="preserve">ng and mailing costs per year. </w:t>
      </w:r>
      <w:r>
        <w:t xml:space="preserve">For State, local, and Tribal agencies, the total average cost for copying and postage </w:t>
      </w:r>
      <w:r w:rsidRPr="00E35DF0">
        <w:t>is $</w:t>
      </w:r>
      <w:r w:rsidR="003940F6">
        <w:t>15</w:t>
      </w:r>
      <w:r w:rsidR="001A4F65">
        <w:t xml:space="preserve"> per year. </w:t>
      </w:r>
      <w:r>
        <w:t>Therefore, the average total cost to respondents, including labor cost and copying/postage cost is $</w:t>
      </w:r>
      <w:r w:rsidR="003940F6">
        <w:t>9,797</w:t>
      </w:r>
      <w:r w:rsidR="007F5B06">
        <w:t xml:space="preserve"> </w:t>
      </w:r>
      <w:r w:rsidR="001A4F65">
        <w:t xml:space="preserve">per year. </w:t>
      </w:r>
      <w:r>
        <w:t>Table 6 shows this breakdown by year.</w:t>
      </w:r>
    </w:p>
    <w:p w:rsidR="00AB2C23" w:rsidRDefault="00AB2C23"/>
    <w:p w:rsidR="00AB2C23" w:rsidRDefault="00AB2C23">
      <w:pPr>
        <w:tabs>
          <w:tab w:val="left" w:pos="-1440"/>
        </w:tabs>
        <w:ind w:left="1440" w:hanging="720"/>
      </w:pPr>
      <w:r>
        <w:rPr>
          <w:b/>
          <w:bCs/>
        </w:rPr>
        <w:t>6(c)</w:t>
      </w:r>
      <w:r>
        <w:rPr>
          <w:b/>
          <w:bCs/>
        </w:rPr>
        <w:tab/>
        <w:t>Estimating Agency Burden and Costs</w:t>
      </w:r>
    </w:p>
    <w:p w:rsidR="00AB2C23" w:rsidRDefault="00AB2C23"/>
    <w:p w:rsidR="00AB2C23" w:rsidRDefault="00AB2C23">
      <w:pPr>
        <w:ind w:firstLine="720"/>
      </w:pPr>
      <w:r>
        <w:t xml:space="preserve">Under the </w:t>
      </w:r>
      <w:smartTag w:uri="urn:schemas-microsoft-com:office:smarttags" w:element="stockticker">
        <w:r>
          <w:t>CAA</w:t>
        </w:r>
      </w:smartTag>
      <w:r>
        <w:t xml:space="preserve"> section 112(g) regulations, </w:t>
      </w:r>
      <w:r w:rsidR="001A4F65">
        <w:t>the EPA</w:t>
      </w:r>
      <w:r>
        <w:t xml:space="preserve"> serve</w:t>
      </w:r>
      <w:r w:rsidR="001A4F65">
        <w:t>s</w:t>
      </w:r>
      <w:r>
        <w:t xml:space="preserve"> in an oversight capacity and audit</w:t>
      </w:r>
      <w:r w:rsidR="001A4F65">
        <w:t>s</w:t>
      </w:r>
      <w:r>
        <w:t xml:space="preserve"> approximately 10 percent of all applications processed by State, local, Tribal agencies, for an average of about</w:t>
      </w:r>
      <w:r w:rsidR="001A4F65">
        <w:t xml:space="preserve"> 2 to 3 applications per year. </w:t>
      </w:r>
      <w:r w:rsidR="00FE3602">
        <w:t xml:space="preserve">Since MACT applications are rare, we conservatively estimated that </w:t>
      </w:r>
      <w:r w:rsidR="00CA7C23">
        <w:t xml:space="preserve">the </w:t>
      </w:r>
      <w:r w:rsidR="00FE3602">
        <w:t xml:space="preserve">EPA would review one application a year. </w:t>
      </w:r>
      <w:r>
        <w:t>In reviewing and evaluating these applications, we will carry out the activities liste</w:t>
      </w:r>
      <w:r w:rsidR="001A4F65">
        <w:t xml:space="preserve">d in section 5(a) of this </w:t>
      </w:r>
      <w:r w:rsidR="001A4F65" w:rsidRPr="008A708C">
        <w:t xml:space="preserve">ICR. </w:t>
      </w:r>
      <w:r w:rsidRPr="008A708C">
        <w:lastRenderedPageBreak/>
        <w:t>We retained the same activities and burden hour estimates used in the previous ICR (ICR Number 1658.0</w:t>
      </w:r>
      <w:r w:rsidR="001A4F65" w:rsidRPr="008A708C">
        <w:t>6</w:t>
      </w:r>
      <w:r w:rsidRPr="008A708C">
        <w:t>).</w:t>
      </w:r>
    </w:p>
    <w:p w:rsidR="00AB2C23" w:rsidRDefault="00AB2C23"/>
    <w:p w:rsidR="00AB2C23" w:rsidRDefault="00AB2C23">
      <w:pPr>
        <w:sectPr w:rsidR="00AB2C23">
          <w:type w:val="continuous"/>
          <w:pgSz w:w="12240" w:h="15840"/>
          <w:pgMar w:top="1440" w:right="1440" w:bottom="1440" w:left="1440" w:header="1440" w:footer="1440" w:gutter="0"/>
          <w:cols w:space="720"/>
          <w:noEndnote/>
        </w:sectPr>
      </w:pPr>
    </w:p>
    <w:p w:rsidR="00AB2C23" w:rsidRDefault="00AB2C23">
      <w:pPr>
        <w:ind w:firstLine="720"/>
      </w:pPr>
      <w:r>
        <w:lastRenderedPageBreak/>
        <w:t xml:space="preserve">Table 4 contains the results of the burden </w:t>
      </w:r>
      <w:proofErr w:type="gramStart"/>
      <w:r>
        <w:t>hours</w:t>
      </w:r>
      <w:proofErr w:type="gramEnd"/>
      <w:r>
        <w:t xml:space="preserve"> calculation for each activity during each year of this ICR</w:t>
      </w:r>
      <w:r w:rsidR="009E0491">
        <w:t xml:space="preserve">. </w:t>
      </w:r>
      <w:r>
        <w:t xml:space="preserve">Overall, the section </w:t>
      </w:r>
      <w:smartTag w:uri="urn:schemas-microsoft-com:office:smarttags" w:element="stockticker">
        <w:r>
          <w:t>CAA</w:t>
        </w:r>
      </w:smartTag>
      <w:r>
        <w:t xml:space="preserve"> 112(g) regulations contain an average burden </w:t>
      </w:r>
      <w:r w:rsidRPr="0039025C">
        <w:t xml:space="preserve">of </w:t>
      </w:r>
      <w:r w:rsidRPr="0039025C">
        <w:rPr>
          <w:bCs/>
        </w:rPr>
        <w:t>84</w:t>
      </w:r>
      <w:r w:rsidRPr="0039025C">
        <w:t xml:space="preserve"> hours</w:t>
      </w:r>
      <w:r>
        <w:t xml:space="preserve"> per year for </w:t>
      </w:r>
      <w:r w:rsidR="00CA7C23">
        <w:t xml:space="preserve">the </w:t>
      </w:r>
      <w:r>
        <w:t>EPA.</w:t>
      </w:r>
    </w:p>
    <w:p w:rsidR="00AB2C23" w:rsidRDefault="00AB2C23"/>
    <w:p w:rsidR="00AB2C23" w:rsidRDefault="00AB2C23">
      <w:pPr>
        <w:ind w:firstLine="720"/>
      </w:pPr>
      <w:r>
        <w:t xml:space="preserve">We calculated the hourly rates for </w:t>
      </w:r>
      <w:r w:rsidR="00CA7C23">
        <w:t xml:space="preserve">the </w:t>
      </w:r>
      <w:r>
        <w:t>EPA employees using information on annual salaries from the Internet site for the Office of Personnel Mana</w:t>
      </w:r>
      <w:r w:rsidR="009E0491">
        <w:t xml:space="preserve">gement. </w:t>
      </w:r>
      <w:r>
        <w:t>We used the appropriate pay grade levels for management, tech</w:t>
      </w:r>
      <w:r w:rsidR="00E35DF0">
        <w:t xml:space="preserve">nical, and clerical personnel. </w:t>
      </w:r>
      <w:r>
        <w:t>We divided the annual pay rate by 2080, the amount of working hours during a calendar year</w:t>
      </w:r>
      <w:r w:rsidR="00E35DF0">
        <w:t xml:space="preserve">, to get the hourly wage rate. </w:t>
      </w:r>
      <w:r>
        <w:t xml:space="preserve">We then multiplied this rate by 1.6 to produce a pay rate that reflects the true cost to the Federal government to employ a worker. The value of 1.6 incorporates the addition of benefits at 40 percent of salary and the addition of overhead at 20 percent of salary to the hourly rate.  Following is a summary of the computed wages for </w:t>
      </w:r>
      <w:r w:rsidR="00CA7C23">
        <w:t xml:space="preserve">the </w:t>
      </w:r>
      <w:r>
        <w:t>EPA personnel.</w:t>
      </w:r>
    </w:p>
    <w:p w:rsidR="00AB2C23" w:rsidRDefault="00AB2C23"/>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tblPr>
      <w:tblGrid>
        <w:gridCol w:w="1530"/>
        <w:gridCol w:w="1080"/>
        <w:gridCol w:w="1080"/>
        <w:gridCol w:w="1080"/>
        <w:gridCol w:w="1710"/>
        <w:gridCol w:w="1530"/>
        <w:gridCol w:w="1350"/>
      </w:tblGrid>
      <w:tr w:rsidR="00AB2C23">
        <w:tblPrEx>
          <w:tblCellMar>
            <w:top w:w="0" w:type="dxa"/>
            <w:bottom w:w="0" w:type="dxa"/>
          </w:tblCellMar>
        </w:tblPrEx>
        <w:trPr>
          <w:cantSplit/>
        </w:trPr>
        <w:tc>
          <w:tcPr>
            <w:tcW w:w="9360" w:type="dxa"/>
            <w:gridSpan w:val="7"/>
            <w:tcBorders>
              <w:top w:val="none" w:sz="0" w:space="0" w:color="auto"/>
              <w:left w:val="none" w:sz="0" w:space="0" w:color="auto"/>
              <w:bottom w:val="double" w:sz="7" w:space="0" w:color="000000"/>
              <w:right w:val="none" w:sz="0" w:space="0" w:color="auto"/>
            </w:tcBorders>
          </w:tcPr>
          <w:p w:rsidR="00AB2C23" w:rsidRDefault="00AB2C23">
            <w:pPr>
              <w:keepNext/>
              <w:keepLines/>
              <w:widowControl/>
              <w:spacing w:before="87" w:after="25"/>
              <w:jc w:val="center"/>
            </w:pPr>
            <w:r>
              <w:rPr>
                <w:b/>
                <w:sz w:val="20"/>
              </w:rPr>
              <w:t xml:space="preserve"> Hourly Labor Rates for EPA</w:t>
            </w:r>
          </w:p>
        </w:tc>
      </w:tr>
      <w:tr w:rsidR="00AB2C23">
        <w:tblPrEx>
          <w:tblCellMar>
            <w:top w:w="0" w:type="dxa"/>
            <w:bottom w:w="0" w:type="dxa"/>
          </w:tblCellMar>
        </w:tblPrEx>
        <w:trPr>
          <w:cantSplit/>
        </w:trPr>
        <w:tc>
          <w:tcPr>
            <w:tcW w:w="1530" w:type="dxa"/>
            <w:tcBorders>
              <w:top w:val="double" w:sz="7" w:space="0" w:color="000000"/>
              <w:left w:val="none" w:sz="0" w:space="0" w:color="auto"/>
              <w:bottom w:val="double" w:sz="7" w:space="0" w:color="000000"/>
              <w:right w:val="none" w:sz="0" w:space="0" w:color="auto"/>
            </w:tcBorders>
          </w:tcPr>
          <w:p w:rsidR="00AB2C23" w:rsidRDefault="00AB2C23">
            <w:pPr>
              <w:keepNext/>
              <w:keepLines/>
              <w:widowControl/>
              <w:spacing w:before="87" w:after="25"/>
              <w:rPr>
                <w:sz w:val="20"/>
              </w:rPr>
            </w:pPr>
            <w:r>
              <w:rPr>
                <w:b/>
                <w:sz w:val="20"/>
              </w:rPr>
              <w:t>Labor Type</w:t>
            </w:r>
          </w:p>
        </w:tc>
        <w:tc>
          <w:tcPr>
            <w:tcW w:w="1080" w:type="dxa"/>
            <w:tcBorders>
              <w:top w:val="double" w:sz="7" w:space="0" w:color="000000"/>
              <w:left w:val="none" w:sz="0" w:space="0" w:color="auto"/>
              <w:bottom w:val="double" w:sz="7" w:space="0" w:color="000000"/>
              <w:right w:val="none" w:sz="0" w:space="0" w:color="auto"/>
            </w:tcBorders>
          </w:tcPr>
          <w:p w:rsidR="00AB2C23" w:rsidRDefault="00AB2C23">
            <w:pPr>
              <w:keepNext/>
              <w:keepLines/>
              <w:widowControl/>
              <w:spacing w:before="87" w:after="25"/>
              <w:jc w:val="center"/>
              <w:rPr>
                <w:sz w:val="20"/>
              </w:rPr>
            </w:pPr>
            <w:r>
              <w:rPr>
                <w:b/>
                <w:sz w:val="20"/>
              </w:rPr>
              <w:t>Pay Grade</w:t>
            </w:r>
          </w:p>
        </w:tc>
        <w:tc>
          <w:tcPr>
            <w:tcW w:w="1080" w:type="dxa"/>
            <w:tcBorders>
              <w:top w:val="double" w:sz="7" w:space="0" w:color="000000"/>
              <w:left w:val="none" w:sz="0" w:space="0" w:color="auto"/>
              <w:bottom w:val="double" w:sz="7" w:space="0" w:color="000000"/>
              <w:right w:val="none" w:sz="0" w:space="0" w:color="auto"/>
            </w:tcBorders>
          </w:tcPr>
          <w:p w:rsidR="00AB2C23" w:rsidRDefault="00AB2C23">
            <w:pPr>
              <w:keepNext/>
              <w:keepLines/>
              <w:widowControl/>
              <w:spacing w:before="87" w:after="25"/>
              <w:jc w:val="center"/>
              <w:rPr>
                <w:sz w:val="20"/>
              </w:rPr>
            </w:pPr>
            <w:r>
              <w:rPr>
                <w:b/>
                <w:sz w:val="20"/>
              </w:rPr>
              <w:t>Annual Salary</w:t>
            </w:r>
          </w:p>
        </w:tc>
        <w:tc>
          <w:tcPr>
            <w:tcW w:w="1080" w:type="dxa"/>
            <w:tcBorders>
              <w:top w:val="double" w:sz="7" w:space="0" w:color="000000"/>
              <w:left w:val="none" w:sz="0" w:space="0" w:color="auto"/>
              <w:bottom w:val="double" w:sz="7" w:space="0" w:color="000000"/>
              <w:right w:val="none" w:sz="0" w:space="0" w:color="auto"/>
            </w:tcBorders>
          </w:tcPr>
          <w:p w:rsidR="00AB2C23" w:rsidRDefault="00AB2C23">
            <w:pPr>
              <w:keepNext/>
              <w:keepLines/>
              <w:widowControl/>
              <w:spacing w:before="87" w:after="25"/>
              <w:jc w:val="center"/>
              <w:rPr>
                <w:sz w:val="20"/>
              </w:rPr>
            </w:pPr>
            <w:r>
              <w:rPr>
                <w:b/>
                <w:sz w:val="20"/>
              </w:rPr>
              <w:t>Hourly Rate</w:t>
            </w:r>
          </w:p>
        </w:tc>
        <w:tc>
          <w:tcPr>
            <w:tcW w:w="1710" w:type="dxa"/>
            <w:tcBorders>
              <w:top w:val="double" w:sz="7" w:space="0" w:color="000000"/>
              <w:left w:val="none" w:sz="0" w:space="0" w:color="auto"/>
              <w:bottom w:val="double" w:sz="7" w:space="0" w:color="000000"/>
              <w:right w:val="none" w:sz="0" w:space="0" w:color="auto"/>
            </w:tcBorders>
          </w:tcPr>
          <w:p w:rsidR="00AB2C23" w:rsidRDefault="00AB2C23">
            <w:pPr>
              <w:keepNext/>
              <w:keepLines/>
              <w:widowControl/>
              <w:spacing w:before="87"/>
              <w:jc w:val="center"/>
              <w:rPr>
                <w:b/>
                <w:sz w:val="20"/>
              </w:rPr>
            </w:pPr>
            <w:r>
              <w:rPr>
                <w:b/>
                <w:sz w:val="20"/>
              </w:rPr>
              <w:t>Benefits</w:t>
            </w:r>
          </w:p>
          <w:p w:rsidR="00AB2C23" w:rsidRDefault="00AB2C23">
            <w:pPr>
              <w:keepNext/>
              <w:keepLines/>
              <w:widowControl/>
              <w:spacing w:after="25"/>
              <w:jc w:val="center"/>
              <w:rPr>
                <w:sz w:val="20"/>
              </w:rPr>
            </w:pPr>
            <w:r>
              <w:rPr>
                <w:b/>
                <w:sz w:val="20"/>
              </w:rPr>
              <w:t>(40 % Salary)</w:t>
            </w:r>
          </w:p>
        </w:tc>
        <w:tc>
          <w:tcPr>
            <w:tcW w:w="1530" w:type="dxa"/>
            <w:tcBorders>
              <w:top w:val="double" w:sz="7" w:space="0" w:color="000000"/>
              <w:left w:val="none" w:sz="0" w:space="0" w:color="auto"/>
              <w:bottom w:val="double" w:sz="7" w:space="0" w:color="000000"/>
              <w:right w:val="none" w:sz="0" w:space="0" w:color="auto"/>
            </w:tcBorders>
          </w:tcPr>
          <w:p w:rsidR="00AB2C23" w:rsidRDefault="00AB2C23">
            <w:pPr>
              <w:keepNext/>
              <w:keepLines/>
              <w:widowControl/>
              <w:spacing w:before="87"/>
              <w:jc w:val="center"/>
              <w:rPr>
                <w:b/>
                <w:sz w:val="20"/>
              </w:rPr>
            </w:pPr>
            <w:r>
              <w:rPr>
                <w:b/>
                <w:sz w:val="20"/>
              </w:rPr>
              <w:t>Overhead</w:t>
            </w:r>
          </w:p>
          <w:p w:rsidR="00AB2C23" w:rsidRDefault="00AB2C23">
            <w:pPr>
              <w:keepNext/>
              <w:keepLines/>
              <w:widowControl/>
              <w:spacing w:after="25"/>
              <w:jc w:val="center"/>
              <w:rPr>
                <w:sz w:val="20"/>
              </w:rPr>
            </w:pPr>
            <w:r>
              <w:rPr>
                <w:b/>
                <w:sz w:val="20"/>
              </w:rPr>
              <w:t>(20 % Salary)</w:t>
            </w:r>
          </w:p>
        </w:tc>
        <w:tc>
          <w:tcPr>
            <w:tcW w:w="1350" w:type="dxa"/>
            <w:tcBorders>
              <w:top w:val="double" w:sz="7" w:space="0" w:color="000000"/>
              <w:left w:val="none" w:sz="0" w:space="0" w:color="auto"/>
              <w:bottom w:val="double" w:sz="7" w:space="0" w:color="000000"/>
              <w:right w:val="none" w:sz="0" w:space="0" w:color="auto"/>
            </w:tcBorders>
          </w:tcPr>
          <w:p w:rsidR="00AB2C23" w:rsidRDefault="00AB2C23">
            <w:pPr>
              <w:keepNext/>
              <w:keepLines/>
              <w:widowControl/>
              <w:spacing w:before="87" w:after="25"/>
              <w:jc w:val="center"/>
              <w:rPr>
                <w:sz w:val="20"/>
              </w:rPr>
            </w:pPr>
            <w:r>
              <w:rPr>
                <w:b/>
                <w:sz w:val="20"/>
              </w:rPr>
              <w:t>Adjusted Hourly Rate</w:t>
            </w:r>
          </w:p>
        </w:tc>
      </w:tr>
      <w:tr w:rsidR="00AB2C23" w:rsidRPr="00706F72">
        <w:tblPrEx>
          <w:tblCellMar>
            <w:top w:w="0" w:type="dxa"/>
            <w:bottom w:w="0" w:type="dxa"/>
          </w:tblCellMar>
        </w:tblPrEx>
        <w:trPr>
          <w:cantSplit/>
        </w:trPr>
        <w:tc>
          <w:tcPr>
            <w:tcW w:w="1530" w:type="dxa"/>
            <w:tcBorders>
              <w:top w:val="none" w:sz="0" w:space="0" w:color="auto"/>
              <w:left w:val="none" w:sz="0" w:space="0" w:color="auto"/>
              <w:bottom w:val="none" w:sz="0" w:space="0" w:color="auto"/>
              <w:right w:val="none" w:sz="0" w:space="0" w:color="auto"/>
            </w:tcBorders>
          </w:tcPr>
          <w:p w:rsidR="00AB2C23" w:rsidRPr="0039025C" w:rsidRDefault="00AB2C23">
            <w:pPr>
              <w:keepNext/>
              <w:keepLines/>
              <w:widowControl/>
              <w:spacing w:before="87" w:after="25"/>
              <w:rPr>
                <w:sz w:val="20"/>
              </w:rPr>
            </w:pPr>
            <w:r w:rsidRPr="0039025C">
              <w:rPr>
                <w:b/>
                <w:sz w:val="20"/>
              </w:rPr>
              <w:t>Management</w:t>
            </w:r>
          </w:p>
        </w:tc>
        <w:tc>
          <w:tcPr>
            <w:tcW w:w="1080" w:type="dxa"/>
            <w:tcBorders>
              <w:top w:val="none" w:sz="0" w:space="0" w:color="auto"/>
              <w:left w:val="none" w:sz="0" w:space="0" w:color="auto"/>
              <w:bottom w:val="none" w:sz="0" w:space="0" w:color="auto"/>
              <w:right w:val="none" w:sz="0" w:space="0" w:color="auto"/>
            </w:tcBorders>
          </w:tcPr>
          <w:p w:rsidR="00AB2C23" w:rsidRPr="0039025C" w:rsidRDefault="00AB2C23">
            <w:pPr>
              <w:keepNext/>
              <w:keepLines/>
              <w:widowControl/>
              <w:spacing w:before="87" w:after="25"/>
              <w:jc w:val="center"/>
              <w:rPr>
                <w:sz w:val="20"/>
              </w:rPr>
            </w:pPr>
            <w:r w:rsidRPr="0039025C">
              <w:rPr>
                <w:sz w:val="20"/>
              </w:rPr>
              <w:t>GS-15</w:t>
            </w:r>
          </w:p>
        </w:tc>
        <w:tc>
          <w:tcPr>
            <w:tcW w:w="1080" w:type="dxa"/>
            <w:tcBorders>
              <w:top w:val="none" w:sz="0" w:space="0" w:color="auto"/>
              <w:left w:val="none" w:sz="0" w:space="0" w:color="auto"/>
              <w:bottom w:val="none" w:sz="0" w:space="0" w:color="auto"/>
              <w:right w:val="none" w:sz="0" w:space="0" w:color="auto"/>
            </w:tcBorders>
          </w:tcPr>
          <w:p w:rsidR="00AB2C23" w:rsidRPr="0039025C" w:rsidRDefault="00AB2C23" w:rsidP="00E35DF0">
            <w:pPr>
              <w:keepNext/>
              <w:keepLines/>
              <w:widowControl/>
              <w:spacing w:before="87" w:after="25"/>
              <w:jc w:val="center"/>
              <w:rPr>
                <w:sz w:val="20"/>
              </w:rPr>
            </w:pPr>
            <w:r w:rsidRPr="0039025C">
              <w:rPr>
                <w:sz w:val="20"/>
              </w:rPr>
              <w:t>$</w:t>
            </w:r>
            <w:r w:rsidR="00E35DF0" w:rsidRPr="0039025C">
              <w:rPr>
                <w:sz w:val="20"/>
              </w:rPr>
              <w:t>117,202</w:t>
            </w:r>
          </w:p>
        </w:tc>
        <w:tc>
          <w:tcPr>
            <w:tcW w:w="1080" w:type="dxa"/>
            <w:tcBorders>
              <w:top w:val="none" w:sz="0" w:space="0" w:color="auto"/>
              <w:left w:val="none" w:sz="0" w:space="0" w:color="auto"/>
              <w:bottom w:val="none" w:sz="0" w:space="0" w:color="auto"/>
              <w:right w:val="none" w:sz="0" w:space="0" w:color="auto"/>
            </w:tcBorders>
          </w:tcPr>
          <w:p w:rsidR="00AB2C23" w:rsidRPr="0039025C" w:rsidRDefault="00AB2C23" w:rsidP="00E35DF0">
            <w:pPr>
              <w:keepNext/>
              <w:keepLines/>
              <w:widowControl/>
              <w:spacing w:before="87" w:after="25"/>
              <w:jc w:val="center"/>
              <w:rPr>
                <w:sz w:val="20"/>
              </w:rPr>
            </w:pPr>
            <w:r w:rsidRPr="0039025C">
              <w:rPr>
                <w:sz w:val="20"/>
              </w:rPr>
              <w:t>$</w:t>
            </w:r>
            <w:r w:rsidR="00E35DF0" w:rsidRPr="0039025C">
              <w:rPr>
                <w:sz w:val="20"/>
              </w:rPr>
              <w:t>56.35</w:t>
            </w:r>
          </w:p>
        </w:tc>
        <w:tc>
          <w:tcPr>
            <w:tcW w:w="1710" w:type="dxa"/>
            <w:tcBorders>
              <w:top w:val="none" w:sz="0" w:space="0" w:color="auto"/>
              <w:left w:val="none" w:sz="0" w:space="0" w:color="auto"/>
              <w:bottom w:val="none" w:sz="0" w:space="0" w:color="auto"/>
              <w:right w:val="none" w:sz="0" w:space="0" w:color="auto"/>
            </w:tcBorders>
          </w:tcPr>
          <w:p w:rsidR="00AB2C23" w:rsidRPr="0039025C" w:rsidRDefault="00AB2C23" w:rsidP="00E35DF0">
            <w:pPr>
              <w:keepNext/>
              <w:keepLines/>
              <w:widowControl/>
              <w:spacing w:before="87" w:after="25"/>
              <w:jc w:val="center"/>
              <w:rPr>
                <w:sz w:val="20"/>
              </w:rPr>
            </w:pPr>
            <w:r w:rsidRPr="0039025C">
              <w:rPr>
                <w:sz w:val="20"/>
              </w:rPr>
              <w:t>$</w:t>
            </w:r>
            <w:r w:rsidR="00E35DF0" w:rsidRPr="0039025C">
              <w:rPr>
                <w:sz w:val="20"/>
              </w:rPr>
              <w:t>22.54</w:t>
            </w:r>
          </w:p>
        </w:tc>
        <w:tc>
          <w:tcPr>
            <w:tcW w:w="1530" w:type="dxa"/>
            <w:tcBorders>
              <w:top w:val="none" w:sz="0" w:space="0" w:color="auto"/>
              <w:left w:val="none" w:sz="0" w:space="0" w:color="auto"/>
              <w:bottom w:val="none" w:sz="0" w:space="0" w:color="auto"/>
              <w:right w:val="none" w:sz="0" w:space="0" w:color="auto"/>
            </w:tcBorders>
          </w:tcPr>
          <w:p w:rsidR="00AB2C23" w:rsidRPr="0039025C" w:rsidRDefault="00AB2C23" w:rsidP="00E35DF0">
            <w:pPr>
              <w:keepNext/>
              <w:keepLines/>
              <w:widowControl/>
              <w:spacing w:before="87" w:after="25"/>
              <w:jc w:val="center"/>
              <w:rPr>
                <w:sz w:val="20"/>
              </w:rPr>
            </w:pPr>
            <w:r w:rsidRPr="0039025C">
              <w:rPr>
                <w:sz w:val="20"/>
              </w:rPr>
              <w:t>$</w:t>
            </w:r>
            <w:r w:rsidR="00E35DF0" w:rsidRPr="0039025C">
              <w:rPr>
                <w:sz w:val="20"/>
              </w:rPr>
              <w:t>11.72</w:t>
            </w:r>
          </w:p>
        </w:tc>
        <w:tc>
          <w:tcPr>
            <w:tcW w:w="1350" w:type="dxa"/>
            <w:tcBorders>
              <w:top w:val="none" w:sz="0" w:space="0" w:color="auto"/>
              <w:left w:val="none" w:sz="0" w:space="0" w:color="auto"/>
              <w:bottom w:val="none" w:sz="0" w:space="0" w:color="auto"/>
              <w:right w:val="none" w:sz="0" w:space="0" w:color="auto"/>
            </w:tcBorders>
          </w:tcPr>
          <w:p w:rsidR="00AB2C23" w:rsidRPr="00706F72" w:rsidRDefault="00AB2C23" w:rsidP="00E35DF0">
            <w:pPr>
              <w:keepNext/>
              <w:keepLines/>
              <w:widowControl/>
              <w:spacing w:before="87" w:after="25"/>
              <w:jc w:val="center"/>
              <w:rPr>
                <w:sz w:val="20"/>
              </w:rPr>
            </w:pPr>
            <w:r w:rsidRPr="00706F72">
              <w:rPr>
                <w:sz w:val="20"/>
              </w:rPr>
              <w:t>$</w:t>
            </w:r>
            <w:r w:rsidR="00E35DF0" w:rsidRPr="00706F72">
              <w:rPr>
                <w:sz w:val="20"/>
              </w:rPr>
              <w:t>90.16</w:t>
            </w:r>
          </w:p>
        </w:tc>
      </w:tr>
      <w:tr w:rsidR="00AB2C23" w:rsidRPr="00706F72">
        <w:tblPrEx>
          <w:tblCellMar>
            <w:top w:w="0" w:type="dxa"/>
            <w:bottom w:w="0" w:type="dxa"/>
          </w:tblCellMar>
        </w:tblPrEx>
        <w:trPr>
          <w:cantSplit/>
        </w:trPr>
        <w:tc>
          <w:tcPr>
            <w:tcW w:w="1530" w:type="dxa"/>
            <w:tcBorders>
              <w:top w:val="dashed" w:sz="7" w:space="0" w:color="000000"/>
              <w:left w:val="none" w:sz="0" w:space="0" w:color="auto"/>
              <w:bottom w:val="dashed" w:sz="7" w:space="0" w:color="000000"/>
              <w:right w:val="none" w:sz="0" w:space="0" w:color="auto"/>
            </w:tcBorders>
          </w:tcPr>
          <w:p w:rsidR="00AB2C23" w:rsidRPr="0039025C" w:rsidRDefault="00AB2C23">
            <w:pPr>
              <w:keepNext/>
              <w:keepLines/>
              <w:widowControl/>
              <w:spacing w:before="87" w:after="25"/>
              <w:rPr>
                <w:sz w:val="20"/>
              </w:rPr>
            </w:pPr>
            <w:r w:rsidRPr="0039025C">
              <w:rPr>
                <w:b/>
                <w:sz w:val="20"/>
              </w:rPr>
              <w:t>Technical</w:t>
            </w:r>
          </w:p>
        </w:tc>
        <w:tc>
          <w:tcPr>
            <w:tcW w:w="1080" w:type="dxa"/>
            <w:tcBorders>
              <w:top w:val="dashed" w:sz="7" w:space="0" w:color="000000"/>
              <w:left w:val="none" w:sz="0" w:space="0" w:color="auto"/>
              <w:bottom w:val="dashed" w:sz="7" w:space="0" w:color="000000"/>
              <w:right w:val="none" w:sz="0" w:space="0" w:color="auto"/>
            </w:tcBorders>
          </w:tcPr>
          <w:p w:rsidR="00AB2C23" w:rsidRPr="0039025C" w:rsidRDefault="00AB2C23">
            <w:pPr>
              <w:keepNext/>
              <w:keepLines/>
              <w:widowControl/>
              <w:spacing w:before="87" w:after="25"/>
              <w:jc w:val="center"/>
              <w:rPr>
                <w:sz w:val="20"/>
              </w:rPr>
            </w:pPr>
            <w:r w:rsidRPr="0039025C">
              <w:rPr>
                <w:sz w:val="20"/>
              </w:rPr>
              <w:t>GS-12</w:t>
            </w:r>
          </w:p>
        </w:tc>
        <w:tc>
          <w:tcPr>
            <w:tcW w:w="1080" w:type="dxa"/>
            <w:tcBorders>
              <w:top w:val="dashed" w:sz="7" w:space="0" w:color="000000"/>
              <w:left w:val="none" w:sz="0" w:space="0" w:color="auto"/>
              <w:bottom w:val="dashed" w:sz="7" w:space="0" w:color="000000"/>
              <w:right w:val="none" w:sz="0" w:space="0" w:color="auto"/>
            </w:tcBorders>
          </w:tcPr>
          <w:p w:rsidR="00AB2C23" w:rsidRPr="0039025C" w:rsidRDefault="00AB2C23" w:rsidP="00E35DF0">
            <w:pPr>
              <w:keepNext/>
              <w:keepLines/>
              <w:widowControl/>
              <w:spacing w:before="87" w:after="25"/>
              <w:jc w:val="center"/>
              <w:rPr>
                <w:sz w:val="20"/>
              </w:rPr>
            </w:pPr>
            <w:r w:rsidRPr="0039025C">
              <w:rPr>
                <w:sz w:val="20"/>
              </w:rPr>
              <w:t>$</w:t>
            </w:r>
            <w:r w:rsidR="00E35DF0" w:rsidRPr="0039025C">
              <w:rPr>
                <w:sz w:val="20"/>
              </w:rPr>
              <w:t>70,906</w:t>
            </w:r>
          </w:p>
        </w:tc>
        <w:tc>
          <w:tcPr>
            <w:tcW w:w="1080" w:type="dxa"/>
            <w:tcBorders>
              <w:top w:val="dashed" w:sz="7" w:space="0" w:color="000000"/>
              <w:left w:val="none" w:sz="0" w:space="0" w:color="auto"/>
              <w:bottom w:val="dashed" w:sz="7" w:space="0" w:color="000000"/>
              <w:right w:val="none" w:sz="0" w:space="0" w:color="auto"/>
            </w:tcBorders>
          </w:tcPr>
          <w:p w:rsidR="00AB2C23" w:rsidRPr="0039025C" w:rsidRDefault="00AB2C23" w:rsidP="00E35DF0">
            <w:pPr>
              <w:keepNext/>
              <w:keepLines/>
              <w:widowControl/>
              <w:spacing w:before="87" w:after="25"/>
              <w:jc w:val="center"/>
              <w:rPr>
                <w:sz w:val="20"/>
              </w:rPr>
            </w:pPr>
            <w:r w:rsidRPr="0039025C">
              <w:rPr>
                <w:sz w:val="20"/>
              </w:rPr>
              <w:t>$</w:t>
            </w:r>
            <w:r w:rsidR="00E35DF0" w:rsidRPr="0039025C">
              <w:rPr>
                <w:sz w:val="20"/>
              </w:rPr>
              <w:t>34.09</w:t>
            </w:r>
          </w:p>
        </w:tc>
        <w:tc>
          <w:tcPr>
            <w:tcW w:w="1710" w:type="dxa"/>
            <w:tcBorders>
              <w:top w:val="dashed" w:sz="7" w:space="0" w:color="000000"/>
              <w:left w:val="none" w:sz="0" w:space="0" w:color="auto"/>
              <w:bottom w:val="dashed" w:sz="7" w:space="0" w:color="000000"/>
              <w:right w:val="none" w:sz="0" w:space="0" w:color="auto"/>
            </w:tcBorders>
          </w:tcPr>
          <w:p w:rsidR="00AB2C23" w:rsidRPr="0039025C" w:rsidRDefault="00AB2C23" w:rsidP="00E35DF0">
            <w:pPr>
              <w:keepNext/>
              <w:keepLines/>
              <w:widowControl/>
              <w:spacing w:before="87" w:after="25"/>
              <w:jc w:val="center"/>
              <w:rPr>
                <w:sz w:val="20"/>
              </w:rPr>
            </w:pPr>
            <w:r w:rsidRPr="0039025C">
              <w:rPr>
                <w:sz w:val="20"/>
              </w:rPr>
              <w:t>$</w:t>
            </w:r>
            <w:r w:rsidR="00E35DF0" w:rsidRPr="0039025C">
              <w:rPr>
                <w:sz w:val="20"/>
              </w:rPr>
              <w:t>13.64</w:t>
            </w:r>
          </w:p>
        </w:tc>
        <w:tc>
          <w:tcPr>
            <w:tcW w:w="1530" w:type="dxa"/>
            <w:tcBorders>
              <w:top w:val="dashed" w:sz="7" w:space="0" w:color="000000"/>
              <w:left w:val="none" w:sz="0" w:space="0" w:color="auto"/>
              <w:bottom w:val="dashed" w:sz="7" w:space="0" w:color="000000"/>
              <w:right w:val="none" w:sz="0" w:space="0" w:color="auto"/>
            </w:tcBorders>
          </w:tcPr>
          <w:p w:rsidR="00AB2C23" w:rsidRPr="0039025C" w:rsidRDefault="00AB2C23" w:rsidP="00E35DF0">
            <w:pPr>
              <w:keepNext/>
              <w:keepLines/>
              <w:widowControl/>
              <w:spacing w:before="87" w:after="25"/>
              <w:jc w:val="center"/>
              <w:rPr>
                <w:sz w:val="20"/>
              </w:rPr>
            </w:pPr>
            <w:r w:rsidRPr="0039025C">
              <w:rPr>
                <w:sz w:val="20"/>
              </w:rPr>
              <w:t>$</w:t>
            </w:r>
            <w:r w:rsidR="00E35DF0" w:rsidRPr="0039025C">
              <w:rPr>
                <w:sz w:val="20"/>
              </w:rPr>
              <w:t>6.82</w:t>
            </w:r>
          </w:p>
        </w:tc>
        <w:tc>
          <w:tcPr>
            <w:tcW w:w="1350" w:type="dxa"/>
            <w:tcBorders>
              <w:top w:val="dashed" w:sz="7" w:space="0" w:color="000000"/>
              <w:left w:val="none" w:sz="0" w:space="0" w:color="auto"/>
              <w:bottom w:val="dashed" w:sz="7" w:space="0" w:color="000000"/>
              <w:right w:val="none" w:sz="0" w:space="0" w:color="auto"/>
            </w:tcBorders>
          </w:tcPr>
          <w:p w:rsidR="00AB2C23" w:rsidRPr="00706F72" w:rsidRDefault="00AB2C23" w:rsidP="00E35DF0">
            <w:pPr>
              <w:keepNext/>
              <w:keepLines/>
              <w:widowControl/>
              <w:spacing w:before="87" w:after="25"/>
              <w:jc w:val="center"/>
              <w:rPr>
                <w:sz w:val="20"/>
              </w:rPr>
            </w:pPr>
            <w:r w:rsidRPr="00706F72">
              <w:rPr>
                <w:sz w:val="20"/>
              </w:rPr>
              <w:t>$</w:t>
            </w:r>
            <w:r w:rsidR="00E35DF0" w:rsidRPr="00706F72">
              <w:rPr>
                <w:sz w:val="20"/>
              </w:rPr>
              <w:t>54.54</w:t>
            </w:r>
          </w:p>
        </w:tc>
      </w:tr>
      <w:tr w:rsidR="00AB2C23" w:rsidRPr="00706F72">
        <w:tblPrEx>
          <w:tblCellMar>
            <w:top w:w="0" w:type="dxa"/>
            <w:bottom w:w="0" w:type="dxa"/>
          </w:tblCellMar>
        </w:tblPrEx>
        <w:trPr>
          <w:cantSplit/>
        </w:trPr>
        <w:tc>
          <w:tcPr>
            <w:tcW w:w="1530" w:type="dxa"/>
            <w:tcBorders>
              <w:top w:val="none" w:sz="0" w:space="0" w:color="auto"/>
              <w:left w:val="none" w:sz="0" w:space="0" w:color="auto"/>
              <w:bottom w:val="double" w:sz="7" w:space="0" w:color="000000"/>
              <w:right w:val="none" w:sz="0" w:space="0" w:color="auto"/>
            </w:tcBorders>
          </w:tcPr>
          <w:p w:rsidR="00AB2C23" w:rsidRPr="0039025C" w:rsidRDefault="00AB2C23">
            <w:pPr>
              <w:keepNext/>
              <w:keepLines/>
              <w:widowControl/>
              <w:spacing w:before="87" w:after="25"/>
              <w:rPr>
                <w:sz w:val="20"/>
              </w:rPr>
            </w:pPr>
            <w:r w:rsidRPr="0039025C">
              <w:rPr>
                <w:b/>
                <w:sz w:val="20"/>
              </w:rPr>
              <w:t>Clerical</w:t>
            </w:r>
          </w:p>
        </w:tc>
        <w:tc>
          <w:tcPr>
            <w:tcW w:w="1080" w:type="dxa"/>
            <w:tcBorders>
              <w:top w:val="none" w:sz="0" w:space="0" w:color="auto"/>
              <w:left w:val="none" w:sz="0" w:space="0" w:color="auto"/>
              <w:bottom w:val="double" w:sz="7" w:space="0" w:color="000000"/>
              <w:right w:val="none" w:sz="0" w:space="0" w:color="auto"/>
            </w:tcBorders>
          </w:tcPr>
          <w:p w:rsidR="00AB2C23" w:rsidRPr="0039025C" w:rsidRDefault="00AB2C23">
            <w:pPr>
              <w:keepNext/>
              <w:keepLines/>
              <w:widowControl/>
              <w:spacing w:before="87" w:after="25"/>
              <w:jc w:val="center"/>
              <w:rPr>
                <w:sz w:val="20"/>
              </w:rPr>
            </w:pPr>
            <w:r w:rsidRPr="0039025C">
              <w:rPr>
                <w:sz w:val="20"/>
              </w:rPr>
              <w:t>GS-6</w:t>
            </w:r>
          </w:p>
        </w:tc>
        <w:tc>
          <w:tcPr>
            <w:tcW w:w="1080" w:type="dxa"/>
            <w:tcBorders>
              <w:top w:val="none" w:sz="0" w:space="0" w:color="auto"/>
              <w:left w:val="none" w:sz="0" w:space="0" w:color="auto"/>
              <w:bottom w:val="double" w:sz="7" w:space="0" w:color="000000"/>
              <w:right w:val="none" w:sz="0" w:space="0" w:color="auto"/>
            </w:tcBorders>
          </w:tcPr>
          <w:p w:rsidR="00AB2C23" w:rsidRPr="0039025C" w:rsidRDefault="00AB2C23" w:rsidP="00E35DF0">
            <w:pPr>
              <w:keepNext/>
              <w:keepLines/>
              <w:widowControl/>
              <w:spacing w:before="87" w:after="25"/>
              <w:jc w:val="center"/>
              <w:rPr>
                <w:sz w:val="20"/>
              </w:rPr>
            </w:pPr>
            <w:r w:rsidRPr="0039025C">
              <w:rPr>
                <w:sz w:val="20"/>
              </w:rPr>
              <w:t>$</w:t>
            </w:r>
            <w:r w:rsidR="00E35DF0" w:rsidRPr="0039025C">
              <w:rPr>
                <w:sz w:val="20"/>
              </w:rPr>
              <w:t>35,971</w:t>
            </w:r>
          </w:p>
        </w:tc>
        <w:tc>
          <w:tcPr>
            <w:tcW w:w="1080" w:type="dxa"/>
            <w:tcBorders>
              <w:top w:val="none" w:sz="0" w:space="0" w:color="auto"/>
              <w:left w:val="none" w:sz="0" w:space="0" w:color="auto"/>
              <w:bottom w:val="double" w:sz="7" w:space="0" w:color="000000"/>
              <w:right w:val="none" w:sz="0" w:space="0" w:color="auto"/>
            </w:tcBorders>
          </w:tcPr>
          <w:p w:rsidR="00AB2C23" w:rsidRPr="0039025C" w:rsidRDefault="00AB2C23" w:rsidP="00E35DF0">
            <w:pPr>
              <w:keepNext/>
              <w:keepLines/>
              <w:widowControl/>
              <w:spacing w:before="87" w:after="25"/>
              <w:jc w:val="center"/>
              <w:rPr>
                <w:sz w:val="20"/>
              </w:rPr>
            </w:pPr>
            <w:r w:rsidRPr="0039025C">
              <w:rPr>
                <w:sz w:val="20"/>
              </w:rPr>
              <w:t>$</w:t>
            </w:r>
            <w:r w:rsidR="00E35DF0" w:rsidRPr="0039025C">
              <w:rPr>
                <w:sz w:val="20"/>
              </w:rPr>
              <w:t>17.29</w:t>
            </w:r>
          </w:p>
        </w:tc>
        <w:tc>
          <w:tcPr>
            <w:tcW w:w="1710" w:type="dxa"/>
            <w:tcBorders>
              <w:top w:val="none" w:sz="0" w:space="0" w:color="auto"/>
              <w:left w:val="none" w:sz="0" w:space="0" w:color="auto"/>
              <w:bottom w:val="double" w:sz="7" w:space="0" w:color="000000"/>
              <w:right w:val="none" w:sz="0" w:space="0" w:color="auto"/>
            </w:tcBorders>
          </w:tcPr>
          <w:p w:rsidR="00AB2C23" w:rsidRPr="0039025C" w:rsidRDefault="00E35DF0">
            <w:pPr>
              <w:keepNext/>
              <w:keepLines/>
              <w:widowControl/>
              <w:spacing w:before="87" w:after="25"/>
              <w:jc w:val="center"/>
              <w:rPr>
                <w:sz w:val="20"/>
              </w:rPr>
            </w:pPr>
            <w:r w:rsidRPr="0039025C">
              <w:rPr>
                <w:sz w:val="20"/>
              </w:rPr>
              <w:t>$6.92</w:t>
            </w:r>
          </w:p>
        </w:tc>
        <w:tc>
          <w:tcPr>
            <w:tcW w:w="1530" w:type="dxa"/>
            <w:tcBorders>
              <w:top w:val="none" w:sz="0" w:space="0" w:color="auto"/>
              <w:left w:val="none" w:sz="0" w:space="0" w:color="auto"/>
              <w:bottom w:val="double" w:sz="7" w:space="0" w:color="000000"/>
              <w:right w:val="none" w:sz="0" w:space="0" w:color="auto"/>
            </w:tcBorders>
          </w:tcPr>
          <w:p w:rsidR="00AB2C23" w:rsidRPr="0039025C" w:rsidRDefault="00AB2C23" w:rsidP="00E35DF0">
            <w:pPr>
              <w:keepNext/>
              <w:keepLines/>
              <w:widowControl/>
              <w:spacing w:before="87" w:after="25"/>
              <w:jc w:val="center"/>
              <w:rPr>
                <w:sz w:val="20"/>
              </w:rPr>
            </w:pPr>
            <w:r w:rsidRPr="0039025C">
              <w:rPr>
                <w:sz w:val="20"/>
              </w:rPr>
              <w:t>$3.</w:t>
            </w:r>
            <w:r w:rsidR="00E35DF0" w:rsidRPr="0039025C">
              <w:rPr>
                <w:sz w:val="20"/>
              </w:rPr>
              <w:t>46</w:t>
            </w:r>
          </w:p>
        </w:tc>
        <w:tc>
          <w:tcPr>
            <w:tcW w:w="1350" w:type="dxa"/>
            <w:tcBorders>
              <w:top w:val="none" w:sz="0" w:space="0" w:color="auto"/>
              <w:left w:val="none" w:sz="0" w:space="0" w:color="auto"/>
              <w:bottom w:val="double" w:sz="7" w:space="0" w:color="000000"/>
              <w:right w:val="none" w:sz="0" w:space="0" w:color="auto"/>
            </w:tcBorders>
          </w:tcPr>
          <w:p w:rsidR="00AB2C23" w:rsidRPr="00706F72" w:rsidRDefault="00AB2C23" w:rsidP="00E35DF0">
            <w:pPr>
              <w:keepNext/>
              <w:keepLines/>
              <w:widowControl/>
              <w:spacing w:before="87" w:after="25"/>
              <w:jc w:val="center"/>
            </w:pPr>
            <w:r w:rsidRPr="00706F72">
              <w:rPr>
                <w:sz w:val="20"/>
              </w:rPr>
              <w:t>$</w:t>
            </w:r>
            <w:r w:rsidR="00E35DF0" w:rsidRPr="00706F72">
              <w:rPr>
                <w:sz w:val="20"/>
              </w:rPr>
              <w:t>27.67</w:t>
            </w:r>
          </w:p>
        </w:tc>
      </w:tr>
    </w:tbl>
    <w:p w:rsidR="00AB2C23" w:rsidRDefault="00AB2C23">
      <w:pPr>
        <w:rPr>
          <w:sz w:val="20"/>
          <w:szCs w:val="20"/>
        </w:rPr>
      </w:pPr>
    </w:p>
    <w:p w:rsidR="00AB2C23" w:rsidRDefault="00AB2C23">
      <w:pPr>
        <w:pStyle w:val="BodyTextIndent"/>
      </w:pPr>
      <w:r>
        <w:t>The EPA labor costs are found by multiplying the burden hours associated with each activity by the hourly rate associate</w:t>
      </w:r>
      <w:r w:rsidR="00E35DF0">
        <w:t xml:space="preserve">d with each labor type. </w:t>
      </w:r>
      <w:r>
        <w:t>As shown in Table 4, the average labor cost for the EPA is $</w:t>
      </w:r>
      <w:r w:rsidR="00FE3602">
        <w:t>1,979</w:t>
      </w:r>
      <w:r w:rsidR="00E35DF0">
        <w:t xml:space="preserve"> dollars per year. </w:t>
      </w:r>
      <w:r>
        <w:t xml:space="preserve">Copying and postal costs for the EPA were calculated in the same manner as </w:t>
      </w:r>
      <w:r w:rsidR="00E35DF0">
        <w:t xml:space="preserve">described in the section 6(b). </w:t>
      </w:r>
      <w:r>
        <w:t xml:space="preserve">We estimate that </w:t>
      </w:r>
      <w:r w:rsidR="00CA7C23">
        <w:t xml:space="preserve">the </w:t>
      </w:r>
      <w:r>
        <w:t>EPA will send two letters (questions on the MACT determi</w:t>
      </w:r>
      <w:r w:rsidR="00E35DF0">
        <w:t xml:space="preserve">nation, final review results). </w:t>
      </w:r>
      <w:r>
        <w:t>Table 5 presents the total</w:t>
      </w:r>
      <w:r w:rsidR="00E35DF0">
        <w:t xml:space="preserve"> EPA copying and postal costs. </w:t>
      </w:r>
      <w:r w:rsidR="00CA7C23">
        <w:t xml:space="preserve">The </w:t>
      </w:r>
      <w:r>
        <w:t>EPA would spend an annual average</w:t>
      </w:r>
      <w:r w:rsidR="001740DA">
        <w:t xml:space="preserve"> of $5</w:t>
      </w:r>
      <w:r w:rsidR="00E35DF0">
        <w:t xml:space="preserve"> on copying and postage. </w:t>
      </w:r>
      <w:r>
        <w:t xml:space="preserve">The total cost for </w:t>
      </w:r>
      <w:r w:rsidR="00CA7C23">
        <w:t xml:space="preserve">the </w:t>
      </w:r>
      <w:r>
        <w:t>EPA, including labor and copying/postal costs, would be an average of $</w:t>
      </w:r>
      <w:r w:rsidR="001740DA">
        <w:t>1,984</w:t>
      </w:r>
      <w:r>
        <w:t xml:space="preserve"> per year as shown in Table 6.</w:t>
      </w:r>
    </w:p>
    <w:p w:rsidR="00AB2C23" w:rsidRDefault="00AB2C23"/>
    <w:p w:rsidR="00AB2C23" w:rsidRDefault="00AB2C23">
      <w:pPr>
        <w:tabs>
          <w:tab w:val="left" w:pos="-1440"/>
        </w:tabs>
        <w:ind w:left="1440" w:hanging="720"/>
      </w:pPr>
      <w:r>
        <w:rPr>
          <w:b/>
          <w:bCs/>
        </w:rPr>
        <w:t>6(d)</w:t>
      </w:r>
      <w:r>
        <w:rPr>
          <w:b/>
          <w:bCs/>
        </w:rPr>
        <w:tab/>
        <w:t>Estimating the Respondent Universe and Total Burden Costs</w:t>
      </w:r>
    </w:p>
    <w:p w:rsidR="00AB2C23" w:rsidRDefault="00AB2C23"/>
    <w:p w:rsidR="00AB2C23" w:rsidRDefault="00AB2C23">
      <w:pPr>
        <w:ind w:firstLine="720"/>
      </w:pPr>
      <w:r>
        <w:t xml:space="preserve">All of the </w:t>
      </w:r>
      <w:smartTag w:uri="urn:schemas-microsoft-com:office:smarttags" w:element="stockticker">
        <w:r>
          <w:t>CAA</w:t>
        </w:r>
      </w:smartTag>
      <w:r>
        <w:t xml:space="preserve"> section 112(d) standards for listed categories have been promulgated</w:t>
      </w:r>
      <w:r w:rsidR="006B5DE4">
        <w:t xml:space="preserve">. </w:t>
      </w:r>
      <w:r>
        <w:t xml:space="preserve">In addition, the MACT standards for the source categories of polyvinyl chloride and copolymers production; brick and structural clay products manufacturing; </w:t>
      </w:r>
      <w:r w:rsidR="00E35DF0">
        <w:t xml:space="preserve">and </w:t>
      </w:r>
      <w:r>
        <w:t xml:space="preserve">clay ceramics manufacturing have been vacated and are now subject to </w:t>
      </w:r>
      <w:smartTag w:uri="urn:schemas-microsoft-com:office:smarttags" w:element="stockticker">
        <w:r>
          <w:t>CAA</w:t>
        </w:r>
      </w:smartTag>
      <w:r w:rsidR="00E35DF0">
        <w:t xml:space="preserve"> section 112(g). </w:t>
      </w:r>
      <w:r>
        <w:t xml:space="preserve">We have estimated the potential universe of sources that could be subject to </w:t>
      </w:r>
      <w:smartTag w:uri="urn:schemas-microsoft-com:office:smarttags" w:element="stockticker">
        <w:r>
          <w:t>CAA</w:t>
        </w:r>
      </w:smartTag>
      <w:r>
        <w:t xml:space="preserve"> section 112(g).</w:t>
      </w:r>
    </w:p>
    <w:p w:rsidR="00AB2C23" w:rsidRDefault="00AB2C23"/>
    <w:p w:rsidR="00AB2C23" w:rsidRDefault="00AB2C23">
      <w:pPr>
        <w:pStyle w:val="BodyTextIndent"/>
      </w:pPr>
      <w:r>
        <w:lastRenderedPageBreak/>
        <w:t xml:space="preserve">Based on our consultations as described in section 3(c), we learned that a small proportion of facilities have submitted </w:t>
      </w:r>
      <w:smartTag w:uri="urn:schemas-microsoft-com:office:smarttags" w:element="stockticker">
        <w:r>
          <w:t>CAA</w:t>
        </w:r>
      </w:smartTag>
      <w:r>
        <w:t xml:space="preserve"> section 112(g) applications, even in past years when the universe of potentially affected sources was larger and included those for which a MACT standard w</w:t>
      </w:r>
      <w:r w:rsidR="00E35DF0">
        <w:t xml:space="preserve">as planned, but not yet final. </w:t>
      </w:r>
      <w:r>
        <w:t xml:space="preserve">Our State contacts estimated that </w:t>
      </w:r>
      <w:r w:rsidR="00315B36">
        <w:t>an average of 1 to 3 applications per year was</w:t>
      </w:r>
      <w:r>
        <w:t xml:space="preserve"> actually processed i</w:t>
      </w:r>
      <w:r w:rsidR="00315B36">
        <w:t xml:space="preserve">n the previously approved ICR. </w:t>
      </w:r>
      <w:r>
        <w:t>Most of these were for listed source categories for which no MACT</w:t>
      </w:r>
      <w:r w:rsidR="00315B36">
        <w:t xml:space="preserve"> standard had yet been issued. </w:t>
      </w:r>
      <w:r>
        <w:t xml:space="preserve">Therefore, based only on that estimate, the number of applications would have decreased in </w:t>
      </w:r>
      <w:r w:rsidR="00315B36">
        <w:t xml:space="preserve">the next ICR clearance period. </w:t>
      </w:r>
      <w:r>
        <w:t>In the previous ICR, we assumed two dete</w:t>
      </w:r>
      <w:r w:rsidR="00315B36">
        <w:t xml:space="preserve">rminations per year per State. </w:t>
      </w:r>
      <w:r>
        <w:t>This determination represents any major source not included in a source category listed on the source category list.</w:t>
      </w:r>
    </w:p>
    <w:p w:rsidR="00AB2C23" w:rsidRDefault="00AB2C23">
      <w:pPr>
        <w:ind w:firstLine="720"/>
      </w:pPr>
    </w:p>
    <w:p w:rsidR="00AB2C23" w:rsidRDefault="00AB2C23">
      <w:pPr>
        <w:ind w:firstLine="720"/>
      </w:pPr>
      <w:r>
        <w:t xml:space="preserve">Although sources in the source categories of polyvinyl chloride and copolymers production; brick and structural clay products manufacturing; </w:t>
      </w:r>
      <w:r w:rsidR="00315B36">
        <w:t xml:space="preserve">and </w:t>
      </w:r>
      <w:r>
        <w:t xml:space="preserve">clay ceramics manufacturing are potentially subject to section 112(g) due to the MACT standards vacaturs, we are not aware of any new or reconstructed major sources over the next 3 years in those categories that would trigger section 112(g).  </w:t>
      </w:r>
    </w:p>
    <w:p w:rsidR="00AB2C23" w:rsidRDefault="00AB2C23">
      <w:pPr>
        <w:ind w:firstLine="720"/>
      </w:pPr>
    </w:p>
    <w:p w:rsidR="00AB2C23" w:rsidRDefault="00AB2C23">
      <w:pPr>
        <w:ind w:firstLine="720"/>
      </w:pPr>
      <w:r>
        <w:t xml:space="preserve">Thus, we have assumed that </w:t>
      </w:r>
      <w:r w:rsidRPr="006B5DE4">
        <w:t>2</w:t>
      </w:r>
      <w:r>
        <w:t xml:space="preserve"> unspecified major sources will file section 112(g) permit applications per year, for a total of </w:t>
      </w:r>
      <w:r w:rsidR="006B5DE4">
        <w:t>6</w:t>
      </w:r>
      <w:r>
        <w:t xml:space="preserve"> permit appli</w:t>
      </w:r>
      <w:r w:rsidR="00315B36">
        <w:t xml:space="preserve">cations over the next 3 years. </w:t>
      </w:r>
      <w:r>
        <w:t xml:space="preserve">This estimate </w:t>
      </w:r>
      <w:r w:rsidR="00315B36">
        <w:t>will</w:t>
      </w:r>
      <w:r>
        <w:t xml:space="preserve"> become smaller if vacated MACT standards are re-promulgated before the end of 3 years.</w:t>
      </w:r>
    </w:p>
    <w:p w:rsidR="00AB2C23" w:rsidRDefault="00AB2C23"/>
    <w:p w:rsidR="00AB2C23" w:rsidRDefault="00AB2C23">
      <w:pPr>
        <w:ind w:firstLine="720"/>
      </w:pPr>
      <w:r>
        <w:t xml:space="preserve">We also assume </w:t>
      </w:r>
      <w:r w:rsidR="0039025C">
        <w:t>6</w:t>
      </w:r>
      <w:r>
        <w:t xml:space="preserve"> State, local, and agency respondents over the next three years to review the permit applications, for a total of about </w:t>
      </w:r>
      <w:r w:rsidR="001740DA">
        <w:t>6</w:t>
      </w:r>
      <w:r>
        <w:t xml:space="preserve"> respondents.</w:t>
      </w:r>
    </w:p>
    <w:p w:rsidR="00AB2C23" w:rsidRDefault="00AB2C23"/>
    <w:p w:rsidR="00AB2C23" w:rsidRDefault="00AB2C23">
      <w:pPr>
        <w:pStyle w:val="BodyTextIndent"/>
      </w:pPr>
      <w:r>
        <w:t xml:space="preserve">As shown in Table 4, the total </w:t>
      </w:r>
      <w:r w:rsidR="00E33C93">
        <w:t xml:space="preserve">3-year </w:t>
      </w:r>
      <w:r>
        <w:t xml:space="preserve">respondent burden is </w:t>
      </w:r>
      <w:r w:rsidR="001740DA">
        <w:t>1,587</w:t>
      </w:r>
      <w:r w:rsidR="002C10EC">
        <w:t xml:space="preserve"> hours. </w:t>
      </w:r>
      <w:r>
        <w:t xml:space="preserve">As shown in Table 6, the total </w:t>
      </w:r>
      <w:r w:rsidR="00E33C93">
        <w:t xml:space="preserve">3-year </w:t>
      </w:r>
      <w:r>
        <w:t xml:space="preserve">respondent </w:t>
      </w:r>
      <w:r w:rsidR="00E33C93">
        <w:t xml:space="preserve">labor </w:t>
      </w:r>
      <w:r>
        <w:t>cost is $</w:t>
      </w:r>
      <w:r w:rsidR="001740DA">
        <w:t>113,611</w:t>
      </w:r>
      <w:r>
        <w:t>.</w:t>
      </w:r>
    </w:p>
    <w:p w:rsidR="00AB2C23" w:rsidRDefault="00AB2C23"/>
    <w:p w:rsidR="00AB2C23" w:rsidRDefault="00AB2C23">
      <w:pPr>
        <w:sectPr w:rsidR="00AB2C23">
          <w:type w:val="continuous"/>
          <w:pgSz w:w="12240" w:h="15840"/>
          <w:pgMar w:top="1440" w:right="1440" w:bottom="1440" w:left="1440" w:header="1440" w:footer="1440" w:gutter="0"/>
          <w:cols w:space="720"/>
          <w:noEndnote/>
        </w:sectPr>
      </w:pPr>
    </w:p>
    <w:p w:rsidR="00AB2C23" w:rsidRDefault="00AB2C23">
      <w:pPr>
        <w:keepNext/>
        <w:keepLines/>
        <w:tabs>
          <w:tab w:val="left" w:pos="-1440"/>
        </w:tabs>
        <w:ind w:left="1440" w:hanging="720"/>
      </w:pPr>
      <w:r>
        <w:rPr>
          <w:b/>
          <w:bCs/>
        </w:rPr>
        <w:lastRenderedPageBreak/>
        <w:t>6(e)</w:t>
      </w:r>
      <w:r>
        <w:rPr>
          <w:b/>
          <w:bCs/>
        </w:rPr>
        <w:tab/>
        <w:t>Bottom Line Burden Hours and Cost</w:t>
      </w:r>
    </w:p>
    <w:p w:rsidR="00AB2C23" w:rsidRDefault="00AB2C23">
      <w:pPr>
        <w:keepNext/>
        <w:keepLines/>
      </w:pPr>
    </w:p>
    <w:p w:rsidR="00AB2C23" w:rsidRDefault="00AB2C23">
      <w:pPr>
        <w:keepNext/>
        <w:keepLines/>
        <w:ind w:firstLine="720"/>
      </w:pPr>
      <w:r>
        <w:rPr>
          <w:i/>
          <w:iCs/>
        </w:rPr>
        <w:t>(</w:t>
      </w:r>
      <w:proofErr w:type="spellStart"/>
      <w:r>
        <w:rPr>
          <w:i/>
          <w:iCs/>
        </w:rPr>
        <w:t>i</w:t>
      </w:r>
      <w:proofErr w:type="spellEnd"/>
      <w:r>
        <w:rPr>
          <w:i/>
          <w:iCs/>
        </w:rPr>
        <w:t>)</w:t>
      </w:r>
      <w:r>
        <w:rPr>
          <w:i/>
          <w:iCs/>
        </w:rPr>
        <w:tab/>
        <w:t>Respondent Tally</w:t>
      </w:r>
    </w:p>
    <w:p w:rsidR="00AB2C23" w:rsidRDefault="00AB2C23">
      <w:pPr>
        <w:keepNext/>
        <w:keepLines/>
      </w:pPr>
    </w:p>
    <w:p w:rsidR="00AB2C23" w:rsidRDefault="00AB2C23">
      <w:pPr>
        <w:pStyle w:val="BodyTextIndent"/>
        <w:keepLines/>
      </w:pPr>
      <w:r>
        <w:t xml:space="preserve">Over the 3-year period of this ICR, the total average annual burden and labor cost for the respondents resulting from the </w:t>
      </w:r>
      <w:smartTag w:uri="urn:schemas-microsoft-com:office:smarttags" w:element="stockticker">
        <w:r>
          <w:t>CAA</w:t>
        </w:r>
      </w:smartTag>
      <w:r>
        <w:t xml:space="preserve"> section 112(g) regulations are </w:t>
      </w:r>
      <w:r w:rsidR="000D4132">
        <w:t>529</w:t>
      </w:r>
      <w:r>
        <w:t xml:space="preserve"> hours and $</w:t>
      </w:r>
      <w:r w:rsidR="002011A7">
        <w:t>37,871</w:t>
      </w:r>
      <w:r w:rsidR="002C10EC">
        <w:t xml:space="preserve">, respectively (see Table 4). </w:t>
      </w:r>
      <w:r>
        <w:t xml:space="preserve">There </w:t>
      </w:r>
      <w:r w:rsidR="002C10EC">
        <w:t>is</w:t>
      </w:r>
      <w:r>
        <w:t xml:space="preserve"> no capital start-up costs associated with this collection.  Operation and maintenance costs result from photocopying and postage expenses, which are a total of $</w:t>
      </w:r>
      <w:r w:rsidR="002011A7">
        <w:t>1</w:t>
      </w:r>
      <w:r w:rsidR="002570A9">
        <w:t>68</w:t>
      </w:r>
      <w:r w:rsidR="002C10EC">
        <w:t xml:space="preserve"> per year (see Table 5). </w:t>
      </w:r>
      <w:r>
        <w:t>The total average annual cost to respondents is $</w:t>
      </w:r>
      <w:r w:rsidR="002570A9">
        <w:t>38,039</w:t>
      </w:r>
      <w:r>
        <w:t xml:space="preserve"> (see Table 6).</w:t>
      </w:r>
    </w:p>
    <w:p w:rsidR="00AB2C23" w:rsidRDefault="00AB2C23"/>
    <w:p w:rsidR="00AB2C23" w:rsidRDefault="00AB2C23">
      <w:pPr>
        <w:ind w:firstLine="720"/>
      </w:pPr>
      <w:r>
        <w:rPr>
          <w:i/>
          <w:iCs/>
        </w:rPr>
        <w:t>(ii)</w:t>
      </w:r>
      <w:r>
        <w:rPr>
          <w:i/>
          <w:iCs/>
        </w:rPr>
        <w:tab/>
        <w:t>Agency Tally</w:t>
      </w:r>
    </w:p>
    <w:p w:rsidR="00AB2C23" w:rsidRDefault="00AB2C23"/>
    <w:p w:rsidR="00AB2C23" w:rsidRDefault="00AB2C23">
      <w:pPr>
        <w:pStyle w:val="BodyTextIndent"/>
      </w:pPr>
      <w:r>
        <w:t xml:space="preserve">Over the 3-year period of this ICR, the total average annual burden and labor cost for </w:t>
      </w:r>
      <w:r w:rsidR="00CA7C23">
        <w:t xml:space="preserve">the </w:t>
      </w:r>
      <w:r>
        <w:t xml:space="preserve">EPA is </w:t>
      </w:r>
      <w:r w:rsidR="002011A7">
        <w:t>69 hours</w:t>
      </w:r>
      <w:r>
        <w:t xml:space="preserve"> and $</w:t>
      </w:r>
      <w:r w:rsidR="002011A7">
        <w:t>1,979</w:t>
      </w:r>
      <w:r w:rsidR="002C10EC">
        <w:t>, respectively (see Table 4)</w:t>
      </w:r>
      <w:proofErr w:type="gramStart"/>
      <w:r w:rsidR="002C10EC">
        <w:t>.</w:t>
      </w:r>
      <w:proofErr w:type="gramEnd"/>
      <w:r w:rsidR="002C10EC">
        <w:t xml:space="preserve"> </w:t>
      </w:r>
      <w:r>
        <w:t xml:space="preserve">Operation and maintenance costs result </w:t>
      </w:r>
      <w:r>
        <w:lastRenderedPageBreak/>
        <w:t>from photocopying and postage expenses, which are a total of $</w:t>
      </w:r>
      <w:r w:rsidR="002011A7">
        <w:t>5</w:t>
      </w:r>
      <w:r w:rsidR="002C10EC">
        <w:t xml:space="preserve"> per year (see Table 5). </w:t>
      </w:r>
      <w:r>
        <w:t xml:space="preserve">The total average annual cost to </w:t>
      </w:r>
      <w:r w:rsidR="00CA7C23">
        <w:t xml:space="preserve">the </w:t>
      </w:r>
      <w:r>
        <w:t>EPA is $</w:t>
      </w:r>
      <w:r w:rsidR="002011A7">
        <w:t>1,984</w:t>
      </w:r>
      <w:r>
        <w:t xml:space="preserve"> (see Table 6).</w:t>
      </w:r>
    </w:p>
    <w:p w:rsidR="00AB2C23" w:rsidRDefault="00AB2C23"/>
    <w:p w:rsidR="00AB2C23" w:rsidRDefault="00AB2C23">
      <w:pPr>
        <w:tabs>
          <w:tab w:val="left" w:pos="-1440"/>
        </w:tabs>
        <w:ind w:left="1440" w:hanging="720"/>
      </w:pPr>
      <w:r>
        <w:rPr>
          <w:b/>
          <w:bCs/>
        </w:rPr>
        <w:t>6(f)</w:t>
      </w:r>
      <w:r>
        <w:rPr>
          <w:b/>
          <w:bCs/>
        </w:rPr>
        <w:tab/>
        <w:t>Reasons for Change in Burden</w:t>
      </w:r>
    </w:p>
    <w:p w:rsidR="00AB2C23" w:rsidRDefault="00AB2C23"/>
    <w:p w:rsidR="00AB2C23" w:rsidRDefault="00AB2C23">
      <w:pPr>
        <w:pStyle w:val="BodyTextIndent"/>
      </w:pPr>
      <w:r>
        <w:t>The currently approved reporting and recordkeeping hour burden, based on ICR Number 1658.0</w:t>
      </w:r>
      <w:r w:rsidR="006B5DE4">
        <w:t>6</w:t>
      </w:r>
      <w:r>
        <w:t xml:space="preserve">, is </w:t>
      </w:r>
      <w:r w:rsidR="00ED324D">
        <w:t xml:space="preserve">6,437 </w:t>
      </w:r>
      <w:r>
        <w:t>hours</w:t>
      </w:r>
      <w:r w:rsidR="002C10EC">
        <w:t xml:space="preserve"> per year. </w:t>
      </w:r>
      <w:r>
        <w:t xml:space="preserve">The difference, </w:t>
      </w:r>
      <w:r w:rsidR="00ED324D">
        <w:t>5,908</w:t>
      </w:r>
      <w:r>
        <w:t xml:space="preserve"> hours, i</w:t>
      </w:r>
      <w:r w:rsidR="002C10EC">
        <w:t xml:space="preserve">s due to a program adjustment. </w:t>
      </w:r>
      <w:r>
        <w:t>The following discussion explains these changes.</w:t>
      </w:r>
    </w:p>
    <w:p w:rsidR="00AB2C23" w:rsidRDefault="00AB2C23">
      <w:pPr>
        <w:ind w:firstLine="720"/>
      </w:pPr>
    </w:p>
    <w:p w:rsidR="00AB2C23" w:rsidRDefault="00AB2C23">
      <w:pPr>
        <w:ind w:firstLine="720"/>
      </w:pPr>
      <w:r>
        <w:t xml:space="preserve">Primarily, the change in burden is due to </w:t>
      </w:r>
      <w:r w:rsidR="006B5DE4">
        <w:t xml:space="preserve">promulgation of the </w:t>
      </w:r>
      <w:r w:rsidR="002C10EC">
        <w:t xml:space="preserve">industrial, commercial, and institutional boilers and process heaters and electric utility steam generating unit MACTs.  </w:t>
      </w:r>
      <w:r>
        <w:t xml:space="preserve">Therefore, our revised estimate of burden is </w:t>
      </w:r>
      <w:r w:rsidR="00ED324D">
        <w:t xml:space="preserve">much </w:t>
      </w:r>
      <w:r>
        <w:t>smaller than that estimated in the last ICR.</w:t>
      </w:r>
    </w:p>
    <w:p w:rsidR="00AB2C23" w:rsidRDefault="00AB2C23"/>
    <w:p w:rsidR="00AB2C23" w:rsidRDefault="00AB2C23">
      <w:pPr>
        <w:pStyle w:val="BodyTextIndent"/>
      </w:pPr>
      <w:r>
        <w:t>We are also requesting a decrease in the reporting and recordkeeping co</w:t>
      </w:r>
      <w:r w:rsidR="009F6A63">
        <w:t xml:space="preserve">st burden due to the decrease in </w:t>
      </w:r>
      <w:r>
        <w:t xml:space="preserve">photocopying and postage costs for the </w:t>
      </w:r>
      <w:smartTag w:uri="urn:schemas-microsoft-com:office:smarttags" w:element="stockticker">
        <w:r>
          <w:t>CAA</w:t>
        </w:r>
      </w:smartTag>
      <w:r>
        <w:t xml:space="preserve"> section 112(g) applications as part of annual operatio</w:t>
      </w:r>
      <w:r w:rsidR="00AA05E0">
        <w:t xml:space="preserve">n and maintenance (O&amp;M) costs. </w:t>
      </w:r>
      <w:r>
        <w:t xml:space="preserve">Our assumptions for copying and postage costs </w:t>
      </w:r>
      <w:r w:rsidR="002C10EC">
        <w:t xml:space="preserve">are discussed in section 6(b). </w:t>
      </w:r>
      <w:r>
        <w:t xml:space="preserve">The total annual copying and postage </w:t>
      </w:r>
      <w:proofErr w:type="gramStart"/>
      <w:r w:rsidR="0039025C">
        <w:t xml:space="preserve">costs for respondents </w:t>
      </w:r>
      <w:r w:rsidR="002570A9">
        <w:t>is</w:t>
      </w:r>
      <w:proofErr w:type="gramEnd"/>
      <w:r w:rsidRPr="00ED324D">
        <w:t xml:space="preserve"> </w:t>
      </w:r>
      <w:r w:rsidR="00ED324D" w:rsidRPr="00ED324D">
        <w:t>$168</w:t>
      </w:r>
      <w:r>
        <w:t xml:space="preserve">, a decrease from the previous </w:t>
      </w:r>
      <w:r w:rsidRPr="00ED324D">
        <w:t>estimate of $</w:t>
      </w:r>
      <w:r w:rsidR="00ED324D" w:rsidRPr="00ED324D">
        <w:t>801</w:t>
      </w:r>
      <w:r>
        <w:t xml:space="preserve"> per year.</w:t>
      </w:r>
    </w:p>
    <w:p w:rsidR="00AB2C23" w:rsidRDefault="00AB2C23"/>
    <w:p w:rsidR="00AB2C23" w:rsidRDefault="00AB2C23">
      <w:pPr>
        <w:tabs>
          <w:tab w:val="left" w:pos="-1440"/>
        </w:tabs>
        <w:ind w:left="1440" w:hanging="720"/>
      </w:pPr>
      <w:r>
        <w:rPr>
          <w:b/>
          <w:bCs/>
        </w:rPr>
        <w:t>6(g)</w:t>
      </w:r>
      <w:r>
        <w:rPr>
          <w:b/>
          <w:bCs/>
        </w:rPr>
        <w:tab/>
        <w:t>Burden Statement</w:t>
      </w:r>
    </w:p>
    <w:p w:rsidR="00AB2C23" w:rsidRDefault="00AB2C23"/>
    <w:p w:rsidR="00AB2C23" w:rsidRDefault="00AB2C23">
      <w:pPr>
        <w:sectPr w:rsidR="00AB2C23">
          <w:type w:val="continuous"/>
          <w:pgSz w:w="12240" w:h="15840"/>
          <w:pgMar w:top="1440" w:right="1440" w:bottom="1440" w:left="1440" w:header="1440" w:footer="1440" w:gutter="0"/>
          <w:cols w:space="720"/>
          <w:noEndnote/>
        </w:sectPr>
      </w:pPr>
    </w:p>
    <w:p w:rsidR="00AB2C23" w:rsidRDefault="00AB2C23">
      <w:pPr>
        <w:ind w:firstLine="720"/>
      </w:pPr>
      <w:r>
        <w:lastRenderedPageBreak/>
        <w:t>Burden means the total time, effort, or financial resources expended by persons to generate, maintain, retain, or disclose or provide informati</w:t>
      </w:r>
      <w:r w:rsidR="00AA05E0">
        <w:t xml:space="preserve">on to or for a Federal agency. </w:t>
      </w:r>
      <w:r>
        <w:t>This includes the time need to review instructions; develop, acquire, install, and utilize technology and systems for the purposes of collecting, validating, and verifying information, processing and ways to comply with any previously applicable instructions and requirements; train personnel to be able to respond to a collection of information; search data sources; complete and review the collection of information; and transmit or other</w:t>
      </w:r>
      <w:r w:rsidR="002C10EC">
        <w:t xml:space="preserve">wise disclose the information. </w:t>
      </w:r>
      <w:r>
        <w:t>An agency may not conduct or sponsor, and a person is not required to respond to, a collection of information unless it displays a curre</w:t>
      </w:r>
      <w:r w:rsidR="002C10EC">
        <w:t xml:space="preserve">ntly valid OMB control number. </w:t>
      </w:r>
      <w:r>
        <w:t>The OMB control numbers for</w:t>
      </w:r>
      <w:r w:rsidR="00CA7C23">
        <w:t xml:space="preserve"> the</w:t>
      </w:r>
      <w:r>
        <w:t xml:space="preserve"> EPA</w:t>
      </w:r>
      <w:r w:rsidR="00DF0685">
        <w:t>'</w:t>
      </w:r>
      <w:r>
        <w:t xml:space="preserve">s regulation are listed in 40 </w:t>
      </w:r>
      <w:smartTag w:uri="urn:schemas-microsoft-com:office:smarttags" w:element="stockticker">
        <w:r>
          <w:t>CFR</w:t>
        </w:r>
      </w:smartTag>
      <w:r>
        <w:t xml:space="preserve"> part 9 and 48 </w:t>
      </w:r>
      <w:smartTag w:uri="urn:schemas-microsoft-com:office:smarttags" w:element="stockticker">
        <w:r>
          <w:t>CFR</w:t>
        </w:r>
      </w:smartTag>
      <w:r>
        <w:t xml:space="preserve"> Chapter 15.</w:t>
      </w:r>
    </w:p>
    <w:p w:rsidR="00AB2C23" w:rsidRDefault="00AB2C23"/>
    <w:p w:rsidR="00DF0685" w:rsidRDefault="00DF0685" w:rsidP="00DF068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F0F0F"/>
        </w:rPr>
        <w:t xml:space="preserve">To comment on the Agency's need for this information, the accuracy of the provided burden estimates, and any suggested methods for minimizing respondent burden, including the use of automated collection techniques, </w:t>
      </w:r>
      <w:r w:rsidR="00CA7C23">
        <w:rPr>
          <w:color w:val="0F0F0F"/>
        </w:rPr>
        <w:t xml:space="preserve">the </w:t>
      </w:r>
      <w:r>
        <w:rPr>
          <w:color w:val="0F0F0F"/>
        </w:rPr>
        <w:t xml:space="preserve">EPA has established a public docket for this ICR under Docket ID </w:t>
      </w:r>
      <w:r w:rsidRPr="002565D2">
        <w:rPr>
          <w:color w:val="0F0F0F"/>
        </w:rPr>
        <w:t xml:space="preserve">Number </w:t>
      </w:r>
      <w:r w:rsidR="001D1725" w:rsidRPr="002565D2">
        <w:rPr>
          <w:color w:val="0F0F0F"/>
        </w:rPr>
        <w:t>EPA-HQ-OAR-2004-0073</w:t>
      </w:r>
      <w:r w:rsidRPr="002565D2">
        <w:rPr>
          <w:color w:val="0F0F0F"/>
        </w:rPr>
        <w:t>, which</w:t>
      </w:r>
      <w:r>
        <w:rPr>
          <w:color w:val="0F0F0F"/>
        </w:rPr>
        <w:t xml:space="preserve"> is available for online viewing at </w:t>
      </w:r>
      <w:hyperlink r:id="rId11" w:history="1">
        <w:r w:rsidRPr="00C968CF">
          <w:rPr>
            <w:rStyle w:val="Hyperlink"/>
          </w:rPr>
          <w:t>www.regulations.gov</w:t>
        </w:r>
      </w:hyperlink>
      <w:r>
        <w:rPr>
          <w:color w:val="0F0F0F"/>
        </w:rPr>
        <w:t>, or in person viewing at the Air and Radiation Docket and Information Center in the EPA Docket Center (EPA/DC), EPA West, Room 3334, 1301 Constitution Avenue, NW, Washington, D.C.  The EPA Docket Center Public Reading Room is open from 8:30 a.m. to 4:30 p.m., Monday through Fri</w:t>
      </w:r>
      <w:r w:rsidR="002C10EC">
        <w:rPr>
          <w:color w:val="0F0F0F"/>
        </w:rPr>
        <w:t xml:space="preserve">day, excluding legal holidays. </w:t>
      </w:r>
      <w:r>
        <w:rPr>
          <w:color w:val="0F0F0F"/>
        </w:rPr>
        <w:t>The telephone number for the Reading Room is (202) 566-1744, and the telephone number for the Air and Radiation Docket and Informa</w:t>
      </w:r>
      <w:r w:rsidR="002C10EC">
        <w:rPr>
          <w:color w:val="0F0F0F"/>
        </w:rPr>
        <w:t xml:space="preserve">tion Center is (202) 566-1742. </w:t>
      </w:r>
      <w:r>
        <w:rPr>
          <w:color w:val="0F0F0F"/>
        </w:rPr>
        <w:t xml:space="preserve">An electronic version of the public docket is </w:t>
      </w:r>
      <w:r>
        <w:rPr>
          <w:color w:val="0F0F0F"/>
        </w:rPr>
        <w:lastRenderedPageBreak/>
        <w:t>ava</w:t>
      </w:r>
      <w:r w:rsidR="002C10EC">
        <w:rPr>
          <w:color w:val="0F0F0F"/>
        </w:rPr>
        <w:t xml:space="preserve">ilable at www.regulations.gov. </w:t>
      </w:r>
      <w:r>
        <w:rPr>
          <w:color w:val="0F0F0F"/>
        </w:rPr>
        <w:t>This site can be used to submit or view public comments, access the index listing of the contents of the public docket, and to access those documents in the public docket that</w:t>
      </w:r>
      <w:r w:rsidR="002C10EC">
        <w:rPr>
          <w:color w:val="0F0F0F"/>
        </w:rPr>
        <w:t xml:space="preserve"> are available electronically. </w:t>
      </w:r>
      <w:r>
        <w:rPr>
          <w:color w:val="0F0F0F"/>
        </w:rPr>
        <w:t>When in the system, select “search,” then key in the Dock</w:t>
      </w:r>
      <w:r w:rsidR="002C10EC">
        <w:rPr>
          <w:color w:val="0F0F0F"/>
        </w:rPr>
        <w:t xml:space="preserve">et ID Number identified above. </w:t>
      </w:r>
      <w:r>
        <w:rPr>
          <w:color w:val="0F0F0F"/>
        </w:rPr>
        <w:t>Also, you can send comments to the Office of Information and Regulatory Affairs, Office of Management and Budget, 725 17th Street, NW, Washington, D.C. 20503, Attention: Desk Officer</w:t>
      </w:r>
      <w:r w:rsidR="002C10EC">
        <w:rPr>
          <w:color w:val="0F0F0F"/>
        </w:rPr>
        <w:t xml:space="preserve"> for EPA. </w:t>
      </w:r>
      <w:r>
        <w:rPr>
          <w:color w:val="0F0F0F"/>
        </w:rPr>
        <w:t>Please include the EPA Docket ID</w:t>
      </w:r>
      <w:r>
        <w:rPr>
          <w:rFonts w:ascii="Courier New" w:hAnsi="Courier New" w:cs="Courier New"/>
          <w:color w:val="0F0F0F"/>
        </w:rPr>
        <w:t xml:space="preserve"> </w:t>
      </w:r>
      <w:r w:rsidRPr="002565D2">
        <w:rPr>
          <w:color w:val="0F0F0F"/>
        </w:rPr>
        <w:t xml:space="preserve">Number </w:t>
      </w:r>
      <w:r w:rsidR="001D1725" w:rsidRPr="002565D2">
        <w:rPr>
          <w:color w:val="0F0F0F"/>
        </w:rPr>
        <w:t>EPA-HQ-OAR-2004-0073</w:t>
      </w:r>
      <w:r w:rsidRPr="002565D2">
        <w:rPr>
          <w:color w:val="0F0F0F"/>
        </w:rPr>
        <w:t xml:space="preserve"> and OMB Control Number </w:t>
      </w:r>
      <w:r w:rsidR="001D1725" w:rsidRPr="002565D2">
        <w:t>2060-0373</w:t>
      </w:r>
      <w:r w:rsidRPr="002565D2">
        <w:rPr>
          <w:color w:val="0F0F0F"/>
        </w:rPr>
        <w:t xml:space="preserve"> in</w:t>
      </w:r>
      <w:r>
        <w:rPr>
          <w:color w:val="0F0F0F"/>
        </w:rPr>
        <w:t xml:space="preserve"> any correspondence.</w:t>
      </w:r>
    </w:p>
    <w:p w:rsidR="00AB2C23" w:rsidRDefault="00AB2C23">
      <w:pPr>
        <w:rPr>
          <w:color w:val="000000"/>
        </w:rPr>
      </w:pPr>
    </w:p>
    <w:p w:rsidR="00AB2C23" w:rsidRDefault="00AB2C23">
      <w:pPr>
        <w:rPr>
          <w:color w:val="000000"/>
        </w:rPr>
      </w:pPr>
    </w:p>
    <w:p w:rsidR="00AB2C23" w:rsidRDefault="00AB2C23">
      <w:pPr>
        <w:ind w:firstLine="5040"/>
        <w:rPr>
          <w:color w:val="000000"/>
        </w:rPr>
        <w:sectPr w:rsidR="00AB2C23">
          <w:type w:val="continuous"/>
          <w:pgSz w:w="12240" w:h="15840"/>
          <w:pgMar w:top="1440" w:right="1440" w:bottom="1440" w:left="1440" w:header="1440" w:footer="1440" w:gutter="0"/>
          <w:cols w:space="720"/>
          <w:noEndnote/>
        </w:sectPr>
      </w:pPr>
    </w:p>
    <w:p w:rsidR="00AB2C23" w:rsidRDefault="00AB2C23">
      <w:pPr>
        <w:jc w:val="center"/>
        <w:rPr>
          <w:color w:val="000000"/>
        </w:rPr>
      </w:pPr>
      <w:proofErr w:type="gramStart"/>
      <w:r>
        <w:rPr>
          <w:b/>
          <w:bCs/>
          <w:color w:val="000000"/>
        </w:rPr>
        <w:lastRenderedPageBreak/>
        <w:t>TABLE 1.</w:t>
      </w:r>
      <w:proofErr w:type="gramEnd"/>
      <w:r>
        <w:rPr>
          <w:b/>
          <w:bCs/>
          <w:color w:val="000000"/>
        </w:rPr>
        <w:t xml:space="preserve">  INDUSTRY RESPONDENT BURDEN ESTIMATES </w:t>
      </w:r>
      <w:smartTag w:uri="urn:schemas-microsoft-com:office:smarttags" w:element="stockticker">
        <w:r>
          <w:rPr>
            <w:b/>
            <w:bCs/>
            <w:color w:val="000000"/>
          </w:rPr>
          <w:t>PER</w:t>
        </w:r>
      </w:smartTag>
      <w:r>
        <w:rPr>
          <w:b/>
          <w:bCs/>
          <w:color w:val="000000"/>
        </w:rPr>
        <w:t xml:space="preserve"> RESPONSE</w:t>
      </w:r>
    </w:p>
    <w:p w:rsidR="00AB2C23" w:rsidRDefault="00AB2C23">
      <w:pPr>
        <w:rPr>
          <w:color w:val="000000"/>
        </w:rPr>
      </w:pPr>
    </w:p>
    <w:tbl>
      <w:tblPr>
        <w:tblW w:w="0" w:type="auto"/>
        <w:jc w:val="center"/>
        <w:tblLayout w:type="fixed"/>
        <w:tblCellMar>
          <w:left w:w="120" w:type="dxa"/>
          <w:right w:w="120" w:type="dxa"/>
        </w:tblCellMar>
        <w:tblLook w:val="0000"/>
      </w:tblPr>
      <w:tblGrid>
        <w:gridCol w:w="6210"/>
        <w:gridCol w:w="3150"/>
      </w:tblGrid>
      <w:tr w:rsidR="00AB2C23">
        <w:tblPrEx>
          <w:tblCellMar>
            <w:top w:w="0" w:type="dxa"/>
            <w:bottom w:w="0" w:type="dxa"/>
          </w:tblCellMar>
        </w:tblPrEx>
        <w:trPr>
          <w:trHeight w:hRule="exact" w:val="432"/>
          <w:jc w:val="center"/>
        </w:trPr>
        <w:tc>
          <w:tcPr>
            <w:tcW w:w="6210" w:type="dxa"/>
            <w:tcBorders>
              <w:top w:val="double" w:sz="7" w:space="0" w:color="000000"/>
              <w:left w:val="double" w:sz="7" w:space="0" w:color="000000"/>
              <w:bottom w:val="single" w:sz="7" w:space="0" w:color="000000"/>
              <w:right w:val="single" w:sz="7" w:space="0" w:color="000000"/>
            </w:tcBorders>
          </w:tcPr>
          <w:p w:rsidR="00AB2C23" w:rsidRDefault="00AB2C23">
            <w:pPr>
              <w:spacing w:line="120" w:lineRule="exact"/>
              <w:rPr>
                <w:color w:val="000000"/>
              </w:rPr>
            </w:pPr>
          </w:p>
          <w:p w:rsidR="00AB2C23" w:rsidRDefault="00AB2C23">
            <w:pPr>
              <w:spacing w:after="58"/>
              <w:jc w:val="center"/>
              <w:rPr>
                <w:b/>
                <w:bCs/>
                <w:color w:val="000000"/>
              </w:rPr>
            </w:pPr>
            <w:r>
              <w:rPr>
                <w:b/>
                <w:bCs/>
                <w:color w:val="000000"/>
              </w:rPr>
              <w:t>Activity</w:t>
            </w:r>
          </w:p>
        </w:tc>
        <w:tc>
          <w:tcPr>
            <w:tcW w:w="3150" w:type="dxa"/>
            <w:tcBorders>
              <w:top w:val="double" w:sz="7" w:space="0" w:color="000000"/>
              <w:left w:val="single" w:sz="7" w:space="0" w:color="000000"/>
              <w:bottom w:val="single" w:sz="7" w:space="0" w:color="000000"/>
              <w:right w:val="double" w:sz="7" w:space="0" w:color="000000"/>
            </w:tcBorders>
          </w:tcPr>
          <w:p w:rsidR="00AB2C23" w:rsidRDefault="00AB2C23">
            <w:pPr>
              <w:spacing w:line="120" w:lineRule="exact"/>
              <w:rPr>
                <w:b/>
                <w:bCs/>
                <w:color w:val="000000"/>
              </w:rPr>
            </w:pPr>
          </w:p>
          <w:p w:rsidR="00AB2C23" w:rsidRDefault="00AB2C23">
            <w:pPr>
              <w:spacing w:after="58"/>
              <w:jc w:val="center"/>
              <w:rPr>
                <w:b/>
                <w:bCs/>
                <w:color w:val="000000"/>
              </w:rPr>
            </w:pPr>
            <w:r>
              <w:rPr>
                <w:b/>
                <w:bCs/>
                <w:color w:val="000000"/>
              </w:rPr>
              <w:t>Hours</w:t>
            </w:r>
          </w:p>
        </w:tc>
      </w:tr>
      <w:tr w:rsidR="00AB2C23">
        <w:tblPrEx>
          <w:tblCellMar>
            <w:top w:w="0" w:type="dxa"/>
            <w:bottom w:w="0" w:type="dxa"/>
          </w:tblCellMar>
        </w:tblPrEx>
        <w:trPr>
          <w:jc w:val="center"/>
        </w:trPr>
        <w:tc>
          <w:tcPr>
            <w:tcW w:w="6210" w:type="dxa"/>
            <w:tcBorders>
              <w:top w:val="single" w:sz="7" w:space="0" w:color="000000"/>
              <w:left w:val="double" w:sz="7" w:space="0" w:color="000000"/>
              <w:bottom w:val="single" w:sz="7" w:space="0" w:color="000000"/>
              <w:right w:val="single" w:sz="7" w:space="0" w:color="000000"/>
            </w:tcBorders>
          </w:tcPr>
          <w:p w:rsidR="00AB2C23" w:rsidRDefault="00AB2C23">
            <w:pPr>
              <w:spacing w:after="58"/>
              <w:rPr>
                <w:color w:val="000000"/>
              </w:rPr>
            </w:pPr>
            <w:r>
              <w:rPr>
                <w:color w:val="000000"/>
              </w:rPr>
              <w:t>1.  Read rule, make compliance determination</w:t>
            </w:r>
          </w:p>
        </w:tc>
        <w:tc>
          <w:tcPr>
            <w:tcW w:w="3150" w:type="dxa"/>
            <w:tcBorders>
              <w:top w:val="single" w:sz="7" w:space="0" w:color="000000"/>
              <w:left w:val="single" w:sz="7" w:space="0" w:color="000000"/>
              <w:bottom w:val="single" w:sz="7" w:space="0" w:color="000000"/>
              <w:right w:val="double" w:sz="7" w:space="0" w:color="000000"/>
            </w:tcBorders>
          </w:tcPr>
          <w:p w:rsidR="00AB2C23" w:rsidRDefault="00AB2C23">
            <w:pPr>
              <w:spacing w:after="58"/>
              <w:jc w:val="center"/>
              <w:rPr>
                <w:color w:val="000000"/>
              </w:rPr>
            </w:pPr>
            <w:r>
              <w:rPr>
                <w:color w:val="000000"/>
              </w:rPr>
              <w:t>15</w:t>
            </w:r>
          </w:p>
        </w:tc>
      </w:tr>
      <w:tr w:rsidR="00AB2C23">
        <w:tblPrEx>
          <w:tblCellMar>
            <w:top w:w="0" w:type="dxa"/>
            <w:bottom w:w="0" w:type="dxa"/>
          </w:tblCellMar>
        </w:tblPrEx>
        <w:trPr>
          <w:jc w:val="center"/>
        </w:trPr>
        <w:tc>
          <w:tcPr>
            <w:tcW w:w="6210" w:type="dxa"/>
            <w:tcBorders>
              <w:top w:val="single" w:sz="7" w:space="0" w:color="000000"/>
              <w:left w:val="double" w:sz="7" w:space="0" w:color="000000"/>
              <w:bottom w:val="single" w:sz="7" w:space="0" w:color="000000"/>
              <w:right w:val="single" w:sz="7" w:space="0" w:color="000000"/>
            </w:tcBorders>
          </w:tcPr>
          <w:p w:rsidR="00AB2C23" w:rsidRDefault="00AB2C23">
            <w:pPr>
              <w:spacing w:after="58"/>
              <w:rPr>
                <w:color w:val="000000"/>
              </w:rPr>
            </w:pPr>
            <w:r>
              <w:rPr>
                <w:color w:val="000000"/>
              </w:rPr>
              <w:t>2.  Receive training</w:t>
            </w:r>
          </w:p>
        </w:tc>
        <w:tc>
          <w:tcPr>
            <w:tcW w:w="3150" w:type="dxa"/>
            <w:tcBorders>
              <w:top w:val="single" w:sz="7" w:space="0" w:color="000000"/>
              <w:left w:val="single" w:sz="7" w:space="0" w:color="000000"/>
              <w:bottom w:val="single" w:sz="7" w:space="0" w:color="000000"/>
              <w:right w:val="double" w:sz="7" w:space="0" w:color="000000"/>
            </w:tcBorders>
          </w:tcPr>
          <w:p w:rsidR="00AB2C23" w:rsidRDefault="00AB2C23">
            <w:pPr>
              <w:spacing w:after="58"/>
              <w:jc w:val="center"/>
              <w:rPr>
                <w:color w:val="000000"/>
              </w:rPr>
            </w:pPr>
            <w:r>
              <w:rPr>
                <w:color w:val="000000"/>
              </w:rPr>
              <w:t>7.5</w:t>
            </w:r>
          </w:p>
        </w:tc>
      </w:tr>
      <w:tr w:rsidR="00AB2C23">
        <w:tblPrEx>
          <w:tblCellMar>
            <w:top w:w="0" w:type="dxa"/>
            <w:bottom w:w="0" w:type="dxa"/>
          </w:tblCellMar>
        </w:tblPrEx>
        <w:trPr>
          <w:jc w:val="center"/>
        </w:trPr>
        <w:tc>
          <w:tcPr>
            <w:tcW w:w="6210" w:type="dxa"/>
            <w:tcBorders>
              <w:top w:val="single" w:sz="7" w:space="0" w:color="000000"/>
              <w:left w:val="double" w:sz="7" w:space="0" w:color="000000"/>
              <w:bottom w:val="single" w:sz="7" w:space="0" w:color="000000"/>
              <w:right w:val="single" w:sz="7" w:space="0" w:color="000000"/>
            </w:tcBorders>
          </w:tcPr>
          <w:p w:rsidR="00AB2C23" w:rsidRDefault="00AB2C23">
            <w:pPr>
              <w:spacing w:after="58"/>
              <w:rPr>
                <w:color w:val="000000"/>
              </w:rPr>
            </w:pPr>
            <w:r>
              <w:rPr>
                <w:color w:val="000000"/>
              </w:rPr>
              <w:t>3.  Plan activities</w:t>
            </w:r>
          </w:p>
        </w:tc>
        <w:tc>
          <w:tcPr>
            <w:tcW w:w="3150" w:type="dxa"/>
            <w:tcBorders>
              <w:top w:val="single" w:sz="7" w:space="0" w:color="000000"/>
              <w:left w:val="single" w:sz="7" w:space="0" w:color="000000"/>
              <w:bottom w:val="single" w:sz="7" w:space="0" w:color="000000"/>
              <w:right w:val="double" w:sz="7" w:space="0" w:color="000000"/>
            </w:tcBorders>
          </w:tcPr>
          <w:p w:rsidR="00AB2C23" w:rsidRDefault="00AB2C23">
            <w:pPr>
              <w:spacing w:after="58"/>
              <w:jc w:val="center"/>
              <w:rPr>
                <w:color w:val="000000"/>
              </w:rPr>
            </w:pPr>
            <w:r>
              <w:rPr>
                <w:color w:val="000000"/>
              </w:rPr>
              <w:t>15</w:t>
            </w:r>
          </w:p>
        </w:tc>
      </w:tr>
      <w:tr w:rsidR="00AB2C23">
        <w:tblPrEx>
          <w:tblCellMar>
            <w:top w:w="0" w:type="dxa"/>
            <w:bottom w:w="0" w:type="dxa"/>
          </w:tblCellMar>
        </w:tblPrEx>
        <w:trPr>
          <w:jc w:val="center"/>
        </w:trPr>
        <w:tc>
          <w:tcPr>
            <w:tcW w:w="6210" w:type="dxa"/>
            <w:tcBorders>
              <w:top w:val="single" w:sz="7" w:space="0" w:color="000000"/>
              <w:left w:val="double" w:sz="7" w:space="0" w:color="000000"/>
              <w:bottom w:val="single" w:sz="7" w:space="0" w:color="000000"/>
              <w:right w:val="single" w:sz="7" w:space="0" w:color="000000"/>
            </w:tcBorders>
          </w:tcPr>
          <w:p w:rsidR="00AB2C23" w:rsidRDefault="00AB2C23">
            <w:pPr>
              <w:spacing w:after="58"/>
              <w:rPr>
                <w:color w:val="000000"/>
              </w:rPr>
            </w:pPr>
            <w:r>
              <w:rPr>
                <w:color w:val="000000"/>
              </w:rPr>
              <w:t>4.  Gather information</w:t>
            </w:r>
          </w:p>
        </w:tc>
        <w:tc>
          <w:tcPr>
            <w:tcW w:w="3150" w:type="dxa"/>
            <w:tcBorders>
              <w:top w:val="single" w:sz="7" w:space="0" w:color="000000"/>
              <w:left w:val="single" w:sz="7" w:space="0" w:color="000000"/>
              <w:bottom w:val="single" w:sz="7" w:space="0" w:color="000000"/>
              <w:right w:val="double" w:sz="7" w:space="0" w:color="000000"/>
            </w:tcBorders>
          </w:tcPr>
          <w:p w:rsidR="00AB2C23" w:rsidRDefault="00AB2C23">
            <w:pPr>
              <w:spacing w:after="58"/>
              <w:jc w:val="center"/>
              <w:rPr>
                <w:color w:val="000000"/>
              </w:rPr>
            </w:pPr>
            <w:r>
              <w:rPr>
                <w:color w:val="000000"/>
              </w:rPr>
              <w:t>55</w:t>
            </w:r>
          </w:p>
        </w:tc>
      </w:tr>
      <w:tr w:rsidR="00AB2C23">
        <w:tblPrEx>
          <w:tblCellMar>
            <w:top w:w="0" w:type="dxa"/>
            <w:bottom w:w="0" w:type="dxa"/>
          </w:tblCellMar>
        </w:tblPrEx>
        <w:trPr>
          <w:jc w:val="center"/>
        </w:trPr>
        <w:tc>
          <w:tcPr>
            <w:tcW w:w="6210" w:type="dxa"/>
            <w:tcBorders>
              <w:top w:val="single" w:sz="7" w:space="0" w:color="000000"/>
              <w:left w:val="double" w:sz="7" w:space="0" w:color="000000"/>
              <w:bottom w:val="single" w:sz="7" w:space="0" w:color="000000"/>
              <w:right w:val="single" w:sz="7" w:space="0" w:color="000000"/>
            </w:tcBorders>
          </w:tcPr>
          <w:p w:rsidR="00AB2C23" w:rsidRDefault="00AB2C23">
            <w:pPr>
              <w:spacing w:after="58"/>
              <w:rPr>
                <w:color w:val="000000"/>
              </w:rPr>
            </w:pPr>
            <w:r>
              <w:rPr>
                <w:color w:val="000000"/>
              </w:rPr>
              <w:t>5.  Process, compile, and review information for accuracy and appropriateness</w:t>
            </w:r>
          </w:p>
        </w:tc>
        <w:tc>
          <w:tcPr>
            <w:tcW w:w="3150" w:type="dxa"/>
            <w:tcBorders>
              <w:top w:val="single" w:sz="7" w:space="0" w:color="000000"/>
              <w:left w:val="single" w:sz="7" w:space="0" w:color="000000"/>
              <w:bottom w:val="single" w:sz="7" w:space="0" w:color="000000"/>
              <w:right w:val="double" w:sz="7" w:space="0" w:color="000000"/>
            </w:tcBorders>
          </w:tcPr>
          <w:p w:rsidR="00AB2C23" w:rsidRDefault="00AB2C23">
            <w:pPr>
              <w:spacing w:after="58"/>
              <w:jc w:val="center"/>
              <w:rPr>
                <w:color w:val="000000"/>
              </w:rPr>
            </w:pPr>
            <w:r>
              <w:rPr>
                <w:color w:val="000000"/>
              </w:rPr>
              <w:t>20</w:t>
            </w:r>
          </w:p>
        </w:tc>
      </w:tr>
      <w:tr w:rsidR="00AB2C23">
        <w:tblPrEx>
          <w:tblCellMar>
            <w:top w:w="0" w:type="dxa"/>
            <w:bottom w:w="0" w:type="dxa"/>
          </w:tblCellMar>
        </w:tblPrEx>
        <w:trPr>
          <w:jc w:val="center"/>
        </w:trPr>
        <w:tc>
          <w:tcPr>
            <w:tcW w:w="6210" w:type="dxa"/>
            <w:tcBorders>
              <w:top w:val="single" w:sz="7" w:space="0" w:color="000000"/>
              <w:left w:val="double" w:sz="7" w:space="0" w:color="000000"/>
              <w:bottom w:val="single" w:sz="7" w:space="0" w:color="000000"/>
              <w:right w:val="single" w:sz="7" w:space="0" w:color="000000"/>
            </w:tcBorders>
          </w:tcPr>
          <w:p w:rsidR="00AB2C23" w:rsidRDefault="00AB2C23">
            <w:pPr>
              <w:spacing w:after="58"/>
              <w:rPr>
                <w:color w:val="000000"/>
              </w:rPr>
            </w:pPr>
            <w:r>
              <w:rPr>
                <w:color w:val="000000"/>
              </w:rPr>
              <w:t>6.  Complete application</w:t>
            </w:r>
          </w:p>
        </w:tc>
        <w:tc>
          <w:tcPr>
            <w:tcW w:w="3150" w:type="dxa"/>
            <w:tcBorders>
              <w:top w:val="single" w:sz="7" w:space="0" w:color="000000"/>
              <w:left w:val="single" w:sz="7" w:space="0" w:color="000000"/>
              <w:bottom w:val="single" w:sz="7" w:space="0" w:color="000000"/>
              <w:right w:val="double" w:sz="7" w:space="0" w:color="000000"/>
            </w:tcBorders>
          </w:tcPr>
          <w:p w:rsidR="00AB2C23" w:rsidRDefault="00AB2C23">
            <w:pPr>
              <w:spacing w:after="58"/>
              <w:jc w:val="center"/>
              <w:rPr>
                <w:color w:val="000000"/>
              </w:rPr>
            </w:pPr>
            <w:r>
              <w:rPr>
                <w:color w:val="000000"/>
              </w:rPr>
              <w:t>37.5</w:t>
            </w:r>
          </w:p>
        </w:tc>
      </w:tr>
      <w:tr w:rsidR="00AB2C23">
        <w:tblPrEx>
          <w:tblCellMar>
            <w:top w:w="0" w:type="dxa"/>
            <w:bottom w:w="0" w:type="dxa"/>
          </w:tblCellMar>
        </w:tblPrEx>
        <w:trPr>
          <w:jc w:val="center"/>
        </w:trPr>
        <w:tc>
          <w:tcPr>
            <w:tcW w:w="6210" w:type="dxa"/>
            <w:tcBorders>
              <w:top w:val="single" w:sz="7" w:space="0" w:color="000000"/>
              <w:left w:val="double" w:sz="7" w:space="0" w:color="000000"/>
              <w:bottom w:val="single" w:sz="7" w:space="0" w:color="000000"/>
              <w:right w:val="single" w:sz="7" w:space="0" w:color="000000"/>
            </w:tcBorders>
          </w:tcPr>
          <w:p w:rsidR="00AB2C23" w:rsidRDefault="00AB2C23">
            <w:pPr>
              <w:spacing w:after="58"/>
              <w:rPr>
                <w:color w:val="000000"/>
              </w:rPr>
            </w:pPr>
            <w:r>
              <w:rPr>
                <w:color w:val="000000"/>
              </w:rPr>
              <w:t>Total Technical Hours</w:t>
            </w:r>
          </w:p>
        </w:tc>
        <w:tc>
          <w:tcPr>
            <w:tcW w:w="3150" w:type="dxa"/>
            <w:tcBorders>
              <w:top w:val="single" w:sz="7" w:space="0" w:color="000000"/>
              <w:left w:val="single" w:sz="7" w:space="0" w:color="000000"/>
              <w:bottom w:val="single" w:sz="7" w:space="0" w:color="000000"/>
              <w:right w:val="double" w:sz="7" w:space="0" w:color="000000"/>
            </w:tcBorders>
          </w:tcPr>
          <w:p w:rsidR="00AB2C23" w:rsidRDefault="00AB2C23">
            <w:pPr>
              <w:spacing w:after="58"/>
              <w:jc w:val="center"/>
              <w:rPr>
                <w:color w:val="000000"/>
              </w:rPr>
            </w:pPr>
            <w:r>
              <w:rPr>
                <w:color w:val="000000"/>
              </w:rPr>
              <w:t>150</w:t>
            </w:r>
          </w:p>
        </w:tc>
      </w:tr>
      <w:tr w:rsidR="00AB2C23">
        <w:tblPrEx>
          <w:tblCellMar>
            <w:top w:w="0" w:type="dxa"/>
            <w:bottom w:w="0" w:type="dxa"/>
          </w:tblCellMar>
        </w:tblPrEx>
        <w:trPr>
          <w:jc w:val="center"/>
        </w:trPr>
        <w:tc>
          <w:tcPr>
            <w:tcW w:w="6210" w:type="dxa"/>
            <w:tcBorders>
              <w:top w:val="single" w:sz="7" w:space="0" w:color="000000"/>
              <w:left w:val="double" w:sz="7" w:space="0" w:color="000000"/>
              <w:bottom w:val="single" w:sz="7" w:space="0" w:color="000000"/>
              <w:right w:val="single" w:sz="7" w:space="0" w:color="000000"/>
            </w:tcBorders>
          </w:tcPr>
          <w:p w:rsidR="00AB2C23" w:rsidRDefault="00AB2C23">
            <w:pPr>
              <w:spacing w:after="58"/>
              <w:rPr>
                <w:color w:val="000000"/>
              </w:rPr>
            </w:pPr>
            <w:r>
              <w:rPr>
                <w:color w:val="000000"/>
              </w:rPr>
              <w:t>Total technical, managerial, and clerical hours</w:t>
            </w:r>
          </w:p>
        </w:tc>
        <w:tc>
          <w:tcPr>
            <w:tcW w:w="3150" w:type="dxa"/>
            <w:tcBorders>
              <w:top w:val="single" w:sz="7" w:space="0" w:color="000000"/>
              <w:left w:val="single" w:sz="7" w:space="0" w:color="000000"/>
              <w:bottom w:val="single" w:sz="7" w:space="0" w:color="000000"/>
              <w:right w:val="double" w:sz="7" w:space="0" w:color="000000"/>
            </w:tcBorders>
          </w:tcPr>
          <w:p w:rsidR="00AB2C23" w:rsidRDefault="00AB2C23">
            <w:pPr>
              <w:spacing w:after="58"/>
              <w:jc w:val="center"/>
              <w:rPr>
                <w:color w:val="000000"/>
              </w:rPr>
            </w:pPr>
            <w:r>
              <w:rPr>
                <w:color w:val="000000"/>
              </w:rPr>
              <w:t>172.5</w:t>
            </w:r>
          </w:p>
        </w:tc>
      </w:tr>
    </w:tbl>
    <w:p w:rsidR="00AB2C23" w:rsidRDefault="00AB2C23">
      <w:pPr>
        <w:rPr>
          <w:color w:val="000000"/>
        </w:rPr>
      </w:pPr>
    </w:p>
    <w:p w:rsidR="00AB2C23" w:rsidRDefault="00AB2C23">
      <w:pPr>
        <w:rPr>
          <w:color w:val="000000"/>
        </w:rPr>
      </w:pPr>
    </w:p>
    <w:p w:rsidR="00AB2C23" w:rsidRDefault="00AB2C23">
      <w:pPr>
        <w:jc w:val="center"/>
        <w:rPr>
          <w:color w:val="000000"/>
        </w:rPr>
      </w:pPr>
      <w:proofErr w:type="gramStart"/>
      <w:r>
        <w:rPr>
          <w:b/>
          <w:bCs/>
          <w:color w:val="000000"/>
        </w:rPr>
        <w:t>TABLE 2.</w:t>
      </w:r>
      <w:proofErr w:type="gramEnd"/>
      <w:r>
        <w:rPr>
          <w:b/>
          <w:bCs/>
          <w:color w:val="000000"/>
        </w:rPr>
        <w:t xml:space="preserve">  STATE </w:t>
      </w:r>
      <w:smartTag w:uri="urn:schemas-microsoft-com:office:smarttags" w:element="stockticker">
        <w:r>
          <w:rPr>
            <w:b/>
            <w:bCs/>
            <w:color w:val="000000"/>
          </w:rPr>
          <w:t>AND</w:t>
        </w:r>
      </w:smartTag>
      <w:r>
        <w:rPr>
          <w:b/>
          <w:bCs/>
          <w:color w:val="000000"/>
        </w:rPr>
        <w:t xml:space="preserve"> LOCAL AGENCY BURDEN ESTIMATES </w:t>
      </w:r>
      <w:smartTag w:uri="urn:schemas-microsoft-com:office:smarttags" w:element="stockticker">
        <w:r>
          <w:rPr>
            <w:b/>
            <w:bCs/>
            <w:color w:val="000000"/>
          </w:rPr>
          <w:t>PER</w:t>
        </w:r>
      </w:smartTag>
      <w:r>
        <w:rPr>
          <w:b/>
          <w:bCs/>
          <w:color w:val="000000"/>
        </w:rPr>
        <w:t xml:space="preserve"> RESPONSE</w:t>
      </w:r>
    </w:p>
    <w:p w:rsidR="00AB2C23" w:rsidRDefault="00AB2C23">
      <w:pPr>
        <w:jc w:val="center"/>
        <w:rPr>
          <w:color w:val="000000"/>
        </w:rPr>
      </w:pPr>
    </w:p>
    <w:tbl>
      <w:tblPr>
        <w:tblW w:w="0" w:type="auto"/>
        <w:jc w:val="center"/>
        <w:tblLayout w:type="fixed"/>
        <w:tblCellMar>
          <w:left w:w="120" w:type="dxa"/>
          <w:right w:w="120" w:type="dxa"/>
        </w:tblCellMar>
        <w:tblLook w:val="0000"/>
      </w:tblPr>
      <w:tblGrid>
        <w:gridCol w:w="6210"/>
        <w:gridCol w:w="3150"/>
      </w:tblGrid>
      <w:tr w:rsidR="00AB2C23">
        <w:tblPrEx>
          <w:tblCellMar>
            <w:top w:w="0" w:type="dxa"/>
            <w:bottom w:w="0" w:type="dxa"/>
          </w:tblCellMar>
        </w:tblPrEx>
        <w:trPr>
          <w:jc w:val="center"/>
        </w:trPr>
        <w:tc>
          <w:tcPr>
            <w:tcW w:w="6210" w:type="dxa"/>
            <w:tcBorders>
              <w:top w:val="double" w:sz="7" w:space="0" w:color="000000"/>
              <w:left w:val="double" w:sz="7" w:space="0" w:color="000000"/>
              <w:bottom w:val="single" w:sz="7" w:space="0" w:color="000000"/>
              <w:right w:val="single" w:sz="7" w:space="0" w:color="000000"/>
            </w:tcBorders>
          </w:tcPr>
          <w:p w:rsidR="00AB2C23" w:rsidRDefault="00AB2C23">
            <w:pPr>
              <w:spacing w:line="120" w:lineRule="exact"/>
              <w:rPr>
                <w:color w:val="000000"/>
              </w:rPr>
            </w:pPr>
          </w:p>
          <w:p w:rsidR="00AB2C23" w:rsidRDefault="00AB2C23">
            <w:pPr>
              <w:spacing w:after="58"/>
              <w:jc w:val="center"/>
              <w:rPr>
                <w:b/>
                <w:bCs/>
                <w:color w:val="000000"/>
              </w:rPr>
            </w:pPr>
            <w:r>
              <w:rPr>
                <w:b/>
                <w:bCs/>
                <w:color w:val="000000"/>
              </w:rPr>
              <w:t>Activity</w:t>
            </w:r>
          </w:p>
        </w:tc>
        <w:tc>
          <w:tcPr>
            <w:tcW w:w="3150" w:type="dxa"/>
            <w:tcBorders>
              <w:top w:val="double" w:sz="7" w:space="0" w:color="000000"/>
              <w:left w:val="single" w:sz="7" w:space="0" w:color="000000"/>
              <w:bottom w:val="single" w:sz="7" w:space="0" w:color="000000"/>
              <w:right w:val="double" w:sz="7" w:space="0" w:color="000000"/>
            </w:tcBorders>
          </w:tcPr>
          <w:p w:rsidR="00AB2C23" w:rsidRDefault="00AB2C23">
            <w:pPr>
              <w:spacing w:line="120" w:lineRule="exact"/>
              <w:rPr>
                <w:b/>
                <w:bCs/>
                <w:color w:val="000000"/>
              </w:rPr>
            </w:pPr>
          </w:p>
          <w:p w:rsidR="00AB2C23" w:rsidRDefault="00AB2C23">
            <w:pPr>
              <w:spacing w:after="58"/>
              <w:jc w:val="center"/>
              <w:rPr>
                <w:b/>
                <w:bCs/>
                <w:color w:val="000000"/>
              </w:rPr>
            </w:pPr>
            <w:r>
              <w:rPr>
                <w:b/>
                <w:bCs/>
                <w:color w:val="000000"/>
              </w:rPr>
              <w:t>Hours</w:t>
            </w:r>
          </w:p>
        </w:tc>
      </w:tr>
      <w:tr w:rsidR="00AB2C23">
        <w:tblPrEx>
          <w:tblCellMar>
            <w:top w:w="0" w:type="dxa"/>
            <w:bottom w:w="0" w:type="dxa"/>
          </w:tblCellMar>
        </w:tblPrEx>
        <w:trPr>
          <w:jc w:val="center"/>
        </w:trPr>
        <w:tc>
          <w:tcPr>
            <w:tcW w:w="6210" w:type="dxa"/>
            <w:tcBorders>
              <w:top w:val="single" w:sz="7" w:space="0" w:color="000000"/>
              <w:left w:val="double" w:sz="7" w:space="0" w:color="000000"/>
              <w:bottom w:val="single" w:sz="7" w:space="0" w:color="000000"/>
              <w:right w:val="single" w:sz="7" w:space="0" w:color="000000"/>
            </w:tcBorders>
          </w:tcPr>
          <w:p w:rsidR="00AB2C23" w:rsidRDefault="00AB2C23">
            <w:pPr>
              <w:spacing w:after="58"/>
              <w:rPr>
                <w:color w:val="000000"/>
              </w:rPr>
            </w:pPr>
            <w:r>
              <w:rPr>
                <w:color w:val="000000"/>
              </w:rPr>
              <w:t>1.  Answer respondent questions</w:t>
            </w:r>
          </w:p>
        </w:tc>
        <w:tc>
          <w:tcPr>
            <w:tcW w:w="3150" w:type="dxa"/>
            <w:tcBorders>
              <w:top w:val="single" w:sz="7" w:space="0" w:color="000000"/>
              <w:left w:val="single" w:sz="7" w:space="0" w:color="000000"/>
              <w:bottom w:val="single" w:sz="7" w:space="0" w:color="000000"/>
              <w:right w:val="double" w:sz="7" w:space="0" w:color="000000"/>
            </w:tcBorders>
          </w:tcPr>
          <w:p w:rsidR="00AB2C23" w:rsidRDefault="00AB2C23">
            <w:pPr>
              <w:spacing w:after="58"/>
              <w:jc w:val="center"/>
              <w:rPr>
                <w:color w:val="000000"/>
              </w:rPr>
            </w:pPr>
            <w:r>
              <w:rPr>
                <w:color w:val="000000"/>
              </w:rPr>
              <w:t>8</w:t>
            </w:r>
          </w:p>
        </w:tc>
      </w:tr>
      <w:tr w:rsidR="00AB2C23">
        <w:tblPrEx>
          <w:tblCellMar>
            <w:top w:w="0" w:type="dxa"/>
            <w:bottom w:w="0" w:type="dxa"/>
          </w:tblCellMar>
        </w:tblPrEx>
        <w:trPr>
          <w:jc w:val="center"/>
        </w:trPr>
        <w:tc>
          <w:tcPr>
            <w:tcW w:w="6210" w:type="dxa"/>
            <w:tcBorders>
              <w:top w:val="single" w:sz="7" w:space="0" w:color="000000"/>
              <w:left w:val="double" w:sz="7" w:space="0" w:color="000000"/>
              <w:bottom w:val="single" w:sz="7" w:space="0" w:color="000000"/>
              <w:right w:val="single" w:sz="7" w:space="0" w:color="000000"/>
            </w:tcBorders>
          </w:tcPr>
          <w:p w:rsidR="00AB2C23" w:rsidRDefault="00AB2C23">
            <w:pPr>
              <w:spacing w:after="58"/>
              <w:rPr>
                <w:color w:val="000000"/>
              </w:rPr>
            </w:pPr>
            <w:r>
              <w:rPr>
                <w:color w:val="000000"/>
              </w:rPr>
              <w:t>2.  Log in and review/audit applications</w:t>
            </w:r>
          </w:p>
        </w:tc>
        <w:tc>
          <w:tcPr>
            <w:tcW w:w="3150" w:type="dxa"/>
            <w:tcBorders>
              <w:top w:val="single" w:sz="7" w:space="0" w:color="000000"/>
              <w:left w:val="single" w:sz="7" w:space="0" w:color="000000"/>
              <w:bottom w:val="single" w:sz="7" w:space="0" w:color="000000"/>
              <w:right w:val="double" w:sz="7" w:space="0" w:color="000000"/>
            </w:tcBorders>
          </w:tcPr>
          <w:p w:rsidR="00AB2C23" w:rsidRDefault="00AB2C23">
            <w:pPr>
              <w:spacing w:after="58"/>
              <w:jc w:val="center"/>
              <w:rPr>
                <w:color w:val="000000"/>
              </w:rPr>
            </w:pPr>
            <w:r>
              <w:rPr>
                <w:color w:val="000000"/>
              </w:rPr>
              <w:t>36</w:t>
            </w:r>
          </w:p>
        </w:tc>
      </w:tr>
      <w:tr w:rsidR="00AB2C23">
        <w:tblPrEx>
          <w:tblCellMar>
            <w:top w:w="0" w:type="dxa"/>
            <w:bottom w:w="0" w:type="dxa"/>
          </w:tblCellMar>
        </w:tblPrEx>
        <w:trPr>
          <w:jc w:val="center"/>
        </w:trPr>
        <w:tc>
          <w:tcPr>
            <w:tcW w:w="6210" w:type="dxa"/>
            <w:tcBorders>
              <w:top w:val="single" w:sz="7" w:space="0" w:color="000000"/>
              <w:left w:val="double" w:sz="7" w:space="0" w:color="000000"/>
              <w:bottom w:val="single" w:sz="7" w:space="0" w:color="000000"/>
              <w:right w:val="single" w:sz="7" w:space="0" w:color="000000"/>
            </w:tcBorders>
          </w:tcPr>
          <w:p w:rsidR="00AB2C23" w:rsidRDefault="00AB2C23">
            <w:pPr>
              <w:spacing w:after="58"/>
              <w:rPr>
                <w:color w:val="000000"/>
              </w:rPr>
            </w:pPr>
            <w:r>
              <w:rPr>
                <w:color w:val="000000"/>
              </w:rPr>
              <w:t>3.  Determine early MACT, if required, and verify MACT is being proposed</w:t>
            </w:r>
          </w:p>
        </w:tc>
        <w:tc>
          <w:tcPr>
            <w:tcW w:w="3150" w:type="dxa"/>
            <w:tcBorders>
              <w:top w:val="single" w:sz="7" w:space="0" w:color="000000"/>
              <w:left w:val="single" w:sz="7" w:space="0" w:color="000000"/>
              <w:bottom w:val="single" w:sz="7" w:space="0" w:color="000000"/>
              <w:right w:val="double" w:sz="7" w:space="0" w:color="000000"/>
            </w:tcBorders>
          </w:tcPr>
          <w:p w:rsidR="00AB2C23" w:rsidRDefault="00AB2C23">
            <w:pPr>
              <w:spacing w:after="58"/>
              <w:jc w:val="center"/>
              <w:rPr>
                <w:color w:val="000000"/>
              </w:rPr>
            </w:pPr>
            <w:r>
              <w:rPr>
                <w:color w:val="000000"/>
              </w:rPr>
              <w:t>36</w:t>
            </w:r>
          </w:p>
        </w:tc>
      </w:tr>
      <w:tr w:rsidR="00AB2C23">
        <w:tblPrEx>
          <w:tblCellMar>
            <w:top w:w="0" w:type="dxa"/>
            <w:bottom w:w="0" w:type="dxa"/>
          </w:tblCellMar>
        </w:tblPrEx>
        <w:trPr>
          <w:jc w:val="center"/>
        </w:trPr>
        <w:tc>
          <w:tcPr>
            <w:tcW w:w="6210" w:type="dxa"/>
            <w:tcBorders>
              <w:top w:val="single" w:sz="7" w:space="0" w:color="000000"/>
              <w:left w:val="double" w:sz="7" w:space="0" w:color="000000"/>
              <w:bottom w:val="single" w:sz="7" w:space="0" w:color="000000"/>
              <w:right w:val="single" w:sz="7" w:space="0" w:color="000000"/>
            </w:tcBorders>
          </w:tcPr>
          <w:p w:rsidR="00AB2C23" w:rsidRDefault="00AB2C23">
            <w:pPr>
              <w:spacing w:after="58"/>
              <w:rPr>
                <w:color w:val="000000"/>
              </w:rPr>
            </w:pPr>
            <w:r>
              <w:rPr>
                <w:color w:val="000000"/>
              </w:rPr>
              <w:t>Total Technical Hours</w:t>
            </w:r>
          </w:p>
        </w:tc>
        <w:tc>
          <w:tcPr>
            <w:tcW w:w="3150" w:type="dxa"/>
            <w:tcBorders>
              <w:top w:val="single" w:sz="7" w:space="0" w:color="000000"/>
              <w:left w:val="single" w:sz="7" w:space="0" w:color="000000"/>
              <w:bottom w:val="single" w:sz="7" w:space="0" w:color="000000"/>
              <w:right w:val="double" w:sz="7" w:space="0" w:color="000000"/>
            </w:tcBorders>
          </w:tcPr>
          <w:p w:rsidR="00AB2C23" w:rsidRDefault="00AB2C23">
            <w:pPr>
              <w:spacing w:after="58"/>
              <w:jc w:val="center"/>
              <w:rPr>
                <w:color w:val="000000"/>
              </w:rPr>
            </w:pPr>
            <w:r>
              <w:rPr>
                <w:color w:val="000000"/>
              </w:rPr>
              <w:t>80</w:t>
            </w:r>
          </w:p>
        </w:tc>
      </w:tr>
      <w:tr w:rsidR="00AB2C23">
        <w:tblPrEx>
          <w:tblCellMar>
            <w:top w:w="0" w:type="dxa"/>
            <w:bottom w:w="0" w:type="dxa"/>
          </w:tblCellMar>
        </w:tblPrEx>
        <w:trPr>
          <w:jc w:val="center"/>
        </w:trPr>
        <w:tc>
          <w:tcPr>
            <w:tcW w:w="6210" w:type="dxa"/>
            <w:tcBorders>
              <w:top w:val="single" w:sz="7" w:space="0" w:color="000000"/>
              <w:left w:val="double" w:sz="7" w:space="0" w:color="000000"/>
              <w:bottom w:val="double" w:sz="7" w:space="0" w:color="000000"/>
              <w:right w:val="single" w:sz="7" w:space="0" w:color="000000"/>
            </w:tcBorders>
          </w:tcPr>
          <w:p w:rsidR="00AB2C23" w:rsidRDefault="00AB2C23">
            <w:pPr>
              <w:spacing w:after="58"/>
              <w:rPr>
                <w:color w:val="000000"/>
              </w:rPr>
            </w:pPr>
            <w:r>
              <w:rPr>
                <w:color w:val="000000"/>
              </w:rPr>
              <w:t>Total technical, managerial, and clerical hours</w:t>
            </w:r>
          </w:p>
        </w:tc>
        <w:tc>
          <w:tcPr>
            <w:tcW w:w="3150" w:type="dxa"/>
            <w:tcBorders>
              <w:top w:val="single" w:sz="7" w:space="0" w:color="000000"/>
              <w:left w:val="single" w:sz="7" w:space="0" w:color="000000"/>
              <w:bottom w:val="double" w:sz="7" w:space="0" w:color="000000"/>
              <w:right w:val="double" w:sz="7" w:space="0" w:color="000000"/>
            </w:tcBorders>
          </w:tcPr>
          <w:p w:rsidR="00AB2C23" w:rsidRDefault="00AB2C23">
            <w:pPr>
              <w:spacing w:after="58"/>
              <w:jc w:val="center"/>
              <w:rPr>
                <w:color w:val="000000"/>
              </w:rPr>
            </w:pPr>
            <w:r>
              <w:rPr>
                <w:color w:val="000000"/>
              </w:rPr>
              <w:t>92</w:t>
            </w:r>
          </w:p>
        </w:tc>
      </w:tr>
    </w:tbl>
    <w:p w:rsidR="00AB2C23" w:rsidRDefault="00AB2C23">
      <w:pPr>
        <w:rPr>
          <w:color w:val="000000"/>
        </w:rPr>
      </w:pPr>
    </w:p>
    <w:p w:rsidR="00AB2C23" w:rsidRDefault="00AB2C23">
      <w:pPr>
        <w:rPr>
          <w:color w:val="000000"/>
        </w:rPr>
      </w:pPr>
    </w:p>
    <w:p w:rsidR="00AB2C23" w:rsidRDefault="00AB2C23">
      <w:pPr>
        <w:jc w:val="center"/>
        <w:rPr>
          <w:color w:val="000000"/>
        </w:rPr>
      </w:pPr>
      <w:proofErr w:type="gramStart"/>
      <w:r>
        <w:rPr>
          <w:b/>
          <w:bCs/>
          <w:color w:val="000000"/>
        </w:rPr>
        <w:t>TABLE 3.</w:t>
      </w:r>
      <w:proofErr w:type="gramEnd"/>
      <w:r>
        <w:rPr>
          <w:b/>
          <w:bCs/>
          <w:color w:val="000000"/>
        </w:rPr>
        <w:t xml:space="preserve">  EPA BURDEN ESTIMATES </w:t>
      </w:r>
      <w:smartTag w:uri="urn:schemas-microsoft-com:office:smarttags" w:element="stockticker">
        <w:r>
          <w:rPr>
            <w:b/>
            <w:bCs/>
            <w:color w:val="000000"/>
          </w:rPr>
          <w:t>PER</w:t>
        </w:r>
      </w:smartTag>
      <w:r>
        <w:rPr>
          <w:b/>
          <w:bCs/>
          <w:color w:val="000000"/>
        </w:rPr>
        <w:t xml:space="preserve"> RESPONSE</w:t>
      </w:r>
    </w:p>
    <w:p w:rsidR="00AB2C23" w:rsidRDefault="00AB2C23">
      <w:pPr>
        <w:jc w:val="center"/>
        <w:rPr>
          <w:color w:val="000000"/>
        </w:rPr>
      </w:pPr>
    </w:p>
    <w:tbl>
      <w:tblPr>
        <w:tblW w:w="0" w:type="auto"/>
        <w:jc w:val="center"/>
        <w:tblLayout w:type="fixed"/>
        <w:tblCellMar>
          <w:left w:w="120" w:type="dxa"/>
          <w:right w:w="120" w:type="dxa"/>
        </w:tblCellMar>
        <w:tblLook w:val="0000"/>
      </w:tblPr>
      <w:tblGrid>
        <w:gridCol w:w="6210"/>
        <w:gridCol w:w="3150"/>
      </w:tblGrid>
      <w:tr w:rsidR="00AB2C23">
        <w:tblPrEx>
          <w:tblCellMar>
            <w:top w:w="0" w:type="dxa"/>
            <w:bottom w:w="0" w:type="dxa"/>
          </w:tblCellMar>
        </w:tblPrEx>
        <w:trPr>
          <w:jc w:val="center"/>
        </w:trPr>
        <w:tc>
          <w:tcPr>
            <w:tcW w:w="6210" w:type="dxa"/>
            <w:tcBorders>
              <w:top w:val="double" w:sz="7" w:space="0" w:color="000000"/>
              <w:left w:val="double" w:sz="7" w:space="0" w:color="000000"/>
              <w:bottom w:val="single" w:sz="7" w:space="0" w:color="000000"/>
              <w:right w:val="single" w:sz="7" w:space="0" w:color="000000"/>
            </w:tcBorders>
          </w:tcPr>
          <w:p w:rsidR="00AB2C23" w:rsidRDefault="00AB2C23">
            <w:pPr>
              <w:spacing w:line="120" w:lineRule="exact"/>
              <w:rPr>
                <w:color w:val="000000"/>
              </w:rPr>
            </w:pPr>
          </w:p>
          <w:p w:rsidR="00AB2C23" w:rsidRDefault="00AB2C23">
            <w:pPr>
              <w:spacing w:after="58"/>
              <w:jc w:val="center"/>
              <w:rPr>
                <w:b/>
                <w:bCs/>
                <w:color w:val="000000"/>
              </w:rPr>
            </w:pPr>
            <w:r>
              <w:rPr>
                <w:b/>
                <w:bCs/>
                <w:color w:val="000000"/>
              </w:rPr>
              <w:t>Activity</w:t>
            </w:r>
          </w:p>
        </w:tc>
        <w:tc>
          <w:tcPr>
            <w:tcW w:w="3150" w:type="dxa"/>
            <w:tcBorders>
              <w:top w:val="double" w:sz="7" w:space="0" w:color="000000"/>
              <w:left w:val="single" w:sz="7" w:space="0" w:color="000000"/>
              <w:bottom w:val="single" w:sz="7" w:space="0" w:color="000000"/>
              <w:right w:val="double" w:sz="7" w:space="0" w:color="000000"/>
            </w:tcBorders>
          </w:tcPr>
          <w:p w:rsidR="00AB2C23" w:rsidRDefault="00AB2C23">
            <w:pPr>
              <w:spacing w:line="120" w:lineRule="exact"/>
              <w:rPr>
                <w:b/>
                <w:bCs/>
                <w:color w:val="000000"/>
              </w:rPr>
            </w:pPr>
          </w:p>
          <w:p w:rsidR="00AB2C23" w:rsidRDefault="00AB2C23">
            <w:pPr>
              <w:spacing w:after="58"/>
              <w:jc w:val="center"/>
              <w:rPr>
                <w:b/>
                <w:bCs/>
                <w:color w:val="000000"/>
              </w:rPr>
            </w:pPr>
            <w:r>
              <w:rPr>
                <w:b/>
                <w:bCs/>
                <w:color w:val="000000"/>
              </w:rPr>
              <w:t>Hours</w:t>
            </w:r>
          </w:p>
        </w:tc>
      </w:tr>
      <w:tr w:rsidR="00AB2C23">
        <w:tblPrEx>
          <w:tblCellMar>
            <w:top w:w="0" w:type="dxa"/>
            <w:bottom w:w="0" w:type="dxa"/>
          </w:tblCellMar>
        </w:tblPrEx>
        <w:trPr>
          <w:jc w:val="center"/>
        </w:trPr>
        <w:tc>
          <w:tcPr>
            <w:tcW w:w="6210" w:type="dxa"/>
            <w:tcBorders>
              <w:top w:val="single" w:sz="7" w:space="0" w:color="000000"/>
              <w:left w:val="double" w:sz="7" w:space="0" w:color="000000"/>
              <w:bottom w:val="single" w:sz="7" w:space="0" w:color="000000"/>
              <w:right w:val="single" w:sz="7" w:space="0" w:color="000000"/>
            </w:tcBorders>
          </w:tcPr>
          <w:p w:rsidR="00AB2C23" w:rsidRDefault="00AB2C23">
            <w:pPr>
              <w:spacing w:after="58"/>
              <w:rPr>
                <w:color w:val="000000"/>
              </w:rPr>
            </w:pPr>
            <w:r>
              <w:rPr>
                <w:color w:val="000000"/>
              </w:rPr>
              <w:t>1.  Audit, review applications</w:t>
            </w:r>
          </w:p>
        </w:tc>
        <w:tc>
          <w:tcPr>
            <w:tcW w:w="3150" w:type="dxa"/>
            <w:tcBorders>
              <w:top w:val="single" w:sz="7" w:space="0" w:color="000000"/>
              <w:left w:val="single" w:sz="7" w:space="0" w:color="000000"/>
              <w:bottom w:val="single" w:sz="7" w:space="0" w:color="000000"/>
              <w:right w:val="double" w:sz="7" w:space="0" w:color="000000"/>
            </w:tcBorders>
          </w:tcPr>
          <w:p w:rsidR="00AB2C23" w:rsidRDefault="00AB2C23">
            <w:pPr>
              <w:spacing w:after="58"/>
              <w:jc w:val="center"/>
              <w:rPr>
                <w:color w:val="000000"/>
              </w:rPr>
            </w:pPr>
            <w:r>
              <w:rPr>
                <w:color w:val="000000"/>
              </w:rPr>
              <w:t>15</w:t>
            </w:r>
          </w:p>
        </w:tc>
      </w:tr>
      <w:tr w:rsidR="00AB2C23">
        <w:tblPrEx>
          <w:tblCellMar>
            <w:top w:w="0" w:type="dxa"/>
            <w:bottom w:w="0" w:type="dxa"/>
          </w:tblCellMar>
        </w:tblPrEx>
        <w:trPr>
          <w:jc w:val="center"/>
        </w:trPr>
        <w:tc>
          <w:tcPr>
            <w:tcW w:w="6210" w:type="dxa"/>
            <w:tcBorders>
              <w:top w:val="single" w:sz="7" w:space="0" w:color="000000"/>
              <w:left w:val="double" w:sz="7" w:space="0" w:color="000000"/>
              <w:bottom w:val="single" w:sz="7" w:space="0" w:color="000000"/>
              <w:right w:val="single" w:sz="7" w:space="0" w:color="000000"/>
            </w:tcBorders>
          </w:tcPr>
          <w:p w:rsidR="00AB2C23" w:rsidRDefault="00AB2C23">
            <w:pPr>
              <w:spacing w:after="58"/>
              <w:rPr>
                <w:color w:val="000000"/>
              </w:rPr>
            </w:pPr>
            <w:r>
              <w:rPr>
                <w:color w:val="000000"/>
              </w:rPr>
              <w:t>2.  Review decisions of permitting authority</w:t>
            </w:r>
          </w:p>
        </w:tc>
        <w:tc>
          <w:tcPr>
            <w:tcW w:w="3150" w:type="dxa"/>
            <w:tcBorders>
              <w:top w:val="single" w:sz="7" w:space="0" w:color="000000"/>
              <w:left w:val="single" w:sz="7" w:space="0" w:color="000000"/>
              <w:bottom w:val="single" w:sz="7" w:space="0" w:color="000000"/>
              <w:right w:val="double" w:sz="7" w:space="0" w:color="000000"/>
            </w:tcBorders>
          </w:tcPr>
          <w:p w:rsidR="00AB2C23" w:rsidRDefault="00AB2C23">
            <w:pPr>
              <w:spacing w:after="58"/>
              <w:jc w:val="center"/>
              <w:rPr>
                <w:color w:val="000000"/>
              </w:rPr>
            </w:pPr>
            <w:r>
              <w:rPr>
                <w:color w:val="000000"/>
              </w:rPr>
              <w:t>15</w:t>
            </w:r>
          </w:p>
        </w:tc>
      </w:tr>
      <w:tr w:rsidR="00AB2C23">
        <w:tblPrEx>
          <w:tblCellMar>
            <w:top w:w="0" w:type="dxa"/>
            <w:bottom w:w="0" w:type="dxa"/>
          </w:tblCellMar>
        </w:tblPrEx>
        <w:trPr>
          <w:jc w:val="center"/>
        </w:trPr>
        <w:tc>
          <w:tcPr>
            <w:tcW w:w="6210" w:type="dxa"/>
            <w:tcBorders>
              <w:top w:val="single" w:sz="7" w:space="0" w:color="000000"/>
              <w:left w:val="double" w:sz="7" w:space="0" w:color="000000"/>
              <w:bottom w:val="single" w:sz="7" w:space="0" w:color="000000"/>
              <w:right w:val="single" w:sz="7" w:space="0" w:color="000000"/>
            </w:tcBorders>
          </w:tcPr>
          <w:p w:rsidR="00AB2C23" w:rsidRDefault="00AB2C23">
            <w:pPr>
              <w:spacing w:after="58"/>
              <w:rPr>
                <w:color w:val="000000"/>
              </w:rPr>
            </w:pPr>
            <w:r>
              <w:rPr>
                <w:color w:val="000000"/>
              </w:rPr>
              <w:t>Total Technical Hours</w:t>
            </w:r>
          </w:p>
        </w:tc>
        <w:tc>
          <w:tcPr>
            <w:tcW w:w="3150" w:type="dxa"/>
            <w:tcBorders>
              <w:top w:val="single" w:sz="7" w:space="0" w:color="000000"/>
              <w:left w:val="single" w:sz="7" w:space="0" w:color="000000"/>
              <w:bottom w:val="single" w:sz="7" w:space="0" w:color="000000"/>
              <w:right w:val="double" w:sz="7" w:space="0" w:color="000000"/>
            </w:tcBorders>
          </w:tcPr>
          <w:p w:rsidR="00AB2C23" w:rsidRDefault="00AB2C23">
            <w:pPr>
              <w:spacing w:after="58"/>
              <w:jc w:val="center"/>
              <w:rPr>
                <w:color w:val="000000"/>
              </w:rPr>
            </w:pPr>
            <w:r>
              <w:rPr>
                <w:color w:val="000000"/>
              </w:rPr>
              <w:t>30</w:t>
            </w:r>
          </w:p>
        </w:tc>
      </w:tr>
      <w:tr w:rsidR="00AB2C23">
        <w:tblPrEx>
          <w:tblCellMar>
            <w:top w:w="0" w:type="dxa"/>
            <w:bottom w:w="0" w:type="dxa"/>
          </w:tblCellMar>
        </w:tblPrEx>
        <w:trPr>
          <w:jc w:val="center"/>
        </w:trPr>
        <w:tc>
          <w:tcPr>
            <w:tcW w:w="6210" w:type="dxa"/>
            <w:tcBorders>
              <w:top w:val="single" w:sz="7" w:space="0" w:color="000000"/>
              <w:left w:val="double" w:sz="7" w:space="0" w:color="000000"/>
              <w:bottom w:val="double" w:sz="7" w:space="0" w:color="000000"/>
              <w:right w:val="single" w:sz="7" w:space="0" w:color="000000"/>
            </w:tcBorders>
          </w:tcPr>
          <w:p w:rsidR="00AB2C23" w:rsidRDefault="00AB2C23">
            <w:pPr>
              <w:spacing w:after="58"/>
              <w:rPr>
                <w:color w:val="000000"/>
              </w:rPr>
            </w:pPr>
            <w:r>
              <w:rPr>
                <w:color w:val="000000"/>
              </w:rPr>
              <w:t>Total technical, managerial, and clerical hours</w:t>
            </w:r>
          </w:p>
        </w:tc>
        <w:tc>
          <w:tcPr>
            <w:tcW w:w="3150" w:type="dxa"/>
            <w:tcBorders>
              <w:top w:val="single" w:sz="7" w:space="0" w:color="000000"/>
              <w:left w:val="single" w:sz="7" w:space="0" w:color="000000"/>
              <w:bottom w:val="double" w:sz="7" w:space="0" w:color="000000"/>
              <w:right w:val="double" w:sz="7" w:space="0" w:color="000000"/>
            </w:tcBorders>
          </w:tcPr>
          <w:p w:rsidR="00AB2C23" w:rsidRDefault="00AB2C23">
            <w:pPr>
              <w:spacing w:after="58"/>
              <w:jc w:val="center"/>
              <w:rPr>
                <w:color w:val="000000"/>
              </w:rPr>
            </w:pPr>
            <w:r>
              <w:rPr>
                <w:color w:val="000000"/>
              </w:rPr>
              <w:t>34.5</w:t>
            </w:r>
          </w:p>
        </w:tc>
      </w:tr>
    </w:tbl>
    <w:p w:rsidR="00AB2C23" w:rsidRDefault="00AB2C23">
      <w:pPr>
        <w:rPr>
          <w:color w:val="000000"/>
        </w:rPr>
        <w:sectPr w:rsidR="00AB2C23">
          <w:pgSz w:w="12240" w:h="15840"/>
          <w:pgMar w:top="1440" w:right="1440" w:bottom="1440" w:left="1440" w:header="1440" w:footer="1440" w:gutter="0"/>
          <w:cols w:space="720"/>
          <w:noEndnote/>
        </w:sectPr>
      </w:pPr>
    </w:p>
    <w:tbl>
      <w:tblPr>
        <w:tblW w:w="0" w:type="auto"/>
        <w:tblBorders>
          <w:top w:val="single" w:sz="4" w:space="0" w:color="auto"/>
          <w:left w:val="double" w:sz="6" w:space="0" w:color="auto"/>
          <w:bottom w:val="double" w:sz="6" w:space="0" w:color="auto"/>
          <w:right w:val="double" w:sz="6" w:space="0" w:color="auto"/>
          <w:insideH w:val="single" w:sz="4" w:space="0" w:color="auto"/>
          <w:insideV w:val="double" w:sz="6" w:space="0" w:color="auto"/>
        </w:tblBorders>
        <w:tblLook w:val="01E0"/>
      </w:tblPr>
      <w:tblGrid>
        <w:gridCol w:w="1771"/>
        <w:gridCol w:w="1771"/>
        <w:gridCol w:w="1771"/>
        <w:gridCol w:w="1771"/>
        <w:gridCol w:w="1772"/>
      </w:tblGrid>
      <w:tr w:rsidR="00AB2C23">
        <w:trPr>
          <w:trHeight w:val="576"/>
        </w:trPr>
        <w:tc>
          <w:tcPr>
            <w:tcW w:w="8856" w:type="dxa"/>
            <w:gridSpan w:val="5"/>
            <w:vAlign w:val="center"/>
          </w:tcPr>
          <w:p w:rsidR="00AB2C23" w:rsidRDefault="00AB2C23">
            <w:pPr>
              <w:jc w:val="center"/>
              <w:rPr>
                <w:b/>
              </w:rPr>
            </w:pPr>
            <w:r>
              <w:rPr>
                <w:b/>
              </w:rPr>
              <w:lastRenderedPageBreak/>
              <w:t>Table 4.  Burden Hours and Costs</w:t>
            </w:r>
          </w:p>
        </w:tc>
      </w:tr>
      <w:tr w:rsidR="00AB2C23">
        <w:trPr>
          <w:trHeight w:val="576"/>
        </w:trPr>
        <w:tc>
          <w:tcPr>
            <w:tcW w:w="1771" w:type="dxa"/>
            <w:tcBorders>
              <w:right w:val="single" w:sz="4" w:space="0" w:color="auto"/>
            </w:tcBorders>
          </w:tcPr>
          <w:p w:rsidR="00AB2C23" w:rsidRDefault="00AB2C23"/>
        </w:tc>
        <w:tc>
          <w:tcPr>
            <w:tcW w:w="1771" w:type="dxa"/>
            <w:tcBorders>
              <w:left w:val="single" w:sz="4" w:space="0" w:color="auto"/>
              <w:bottom w:val="single" w:sz="4" w:space="0" w:color="auto"/>
              <w:right w:val="single" w:sz="4" w:space="0" w:color="auto"/>
            </w:tcBorders>
            <w:vAlign w:val="center"/>
          </w:tcPr>
          <w:p w:rsidR="00AB2C23" w:rsidRDefault="00AB2C23">
            <w:pPr>
              <w:jc w:val="center"/>
            </w:pPr>
            <w:r>
              <w:t>Total Over 3 Years</w:t>
            </w:r>
          </w:p>
        </w:tc>
        <w:tc>
          <w:tcPr>
            <w:tcW w:w="1771" w:type="dxa"/>
            <w:tcBorders>
              <w:left w:val="single" w:sz="4" w:space="0" w:color="auto"/>
              <w:right w:val="single" w:sz="4" w:space="0" w:color="auto"/>
            </w:tcBorders>
            <w:vAlign w:val="center"/>
          </w:tcPr>
          <w:p w:rsidR="00AB2C23" w:rsidRDefault="00AB2C23">
            <w:pPr>
              <w:jc w:val="center"/>
            </w:pPr>
            <w:r>
              <w:t>Annual Average</w:t>
            </w:r>
          </w:p>
        </w:tc>
        <w:tc>
          <w:tcPr>
            <w:tcW w:w="1771" w:type="dxa"/>
            <w:tcBorders>
              <w:left w:val="single" w:sz="4" w:space="0" w:color="auto"/>
              <w:bottom w:val="single" w:sz="4" w:space="0" w:color="auto"/>
              <w:right w:val="single" w:sz="4" w:space="0" w:color="auto"/>
            </w:tcBorders>
            <w:vAlign w:val="center"/>
          </w:tcPr>
          <w:p w:rsidR="00AB2C23" w:rsidRDefault="00AB2C23">
            <w:pPr>
              <w:jc w:val="center"/>
            </w:pPr>
            <w:r>
              <w:t>Total Over 3 Years</w:t>
            </w:r>
          </w:p>
        </w:tc>
        <w:tc>
          <w:tcPr>
            <w:tcW w:w="1772" w:type="dxa"/>
            <w:tcBorders>
              <w:left w:val="single" w:sz="4" w:space="0" w:color="auto"/>
            </w:tcBorders>
            <w:vAlign w:val="center"/>
          </w:tcPr>
          <w:p w:rsidR="00AB2C23" w:rsidRDefault="00AB2C23">
            <w:pPr>
              <w:jc w:val="center"/>
            </w:pPr>
            <w:r>
              <w:t>Annual Average</w:t>
            </w:r>
          </w:p>
        </w:tc>
      </w:tr>
      <w:tr w:rsidR="00AB2C23">
        <w:trPr>
          <w:trHeight w:val="576"/>
        </w:trPr>
        <w:tc>
          <w:tcPr>
            <w:tcW w:w="1771" w:type="dxa"/>
            <w:tcBorders>
              <w:right w:val="single" w:sz="4" w:space="0" w:color="auto"/>
            </w:tcBorders>
            <w:vAlign w:val="center"/>
          </w:tcPr>
          <w:p w:rsidR="00AB2C23" w:rsidRDefault="00AB2C23">
            <w:r>
              <w:t>No. of Permit Applications</w:t>
            </w:r>
          </w:p>
        </w:tc>
        <w:tc>
          <w:tcPr>
            <w:tcW w:w="1771" w:type="dxa"/>
            <w:tcBorders>
              <w:left w:val="single" w:sz="4" w:space="0" w:color="auto"/>
              <w:bottom w:val="single" w:sz="4" w:space="0" w:color="auto"/>
              <w:right w:val="single" w:sz="4" w:space="0" w:color="auto"/>
            </w:tcBorders>
            <w:vAlign w:val="center"/>
          </w:tcPr>
          <w:p w:rsidR="00AB2C23" w:rsidRDefault="00706F72">
            <w:pPr>
              <w:jc w:val="center"/>
            </w:pPr>
            <w:r>
              <w:t>6</w:t>
            </w:r>
          </w:p>
        </w:tc>
        <w:tc>
          <w:tcPr>
            <w:tcW w:w="1771" w:type="dxa"/>
            <w:tcBorders>
              <w:left w:val="single" w:sz="4" w:space="0" w:color="auto"/>
              <w:right w:val="single" w:sz="4" w:space="0" w:color="auto"/>
            </w:tcBorders>
            <w:vAlign w:val="center"/>
          </w:tcPr>
          <w:p w:rsidR="00AB2C23" w:rsidRDefault="00706F72">
            <w:pPr>
              <w:jc w:val="center"/>
            </w:pPr>
            <w:r>
              <w:t>2</w:t>
            </w:r>
          </w:p>
        </w:tc>
        <w:tc>
          <w:tcPr>
            <w:tcW w:w="1771" w:type="dxa"/>
            <w:tcBorders>
              <w:left w:val="single" w:sz="4" w:space="0" w:color="auto"/>
              <w:bottom w:val="single" w:sz="4" w:space="0" w:color="auto"/>
              <w:right w:val="single" w:sz="4" w:space="0" w:color="auto"/>
            </w:tcBorders>
            <w:vAlign w:val="center"/>
          </w:tcPr>
          <w:p w:rsidR="00AB2C23" w:rsidRDefault="00706F72">
            <w:pPr>
              <w:jc w:val="center"/>
            </w:pPr>
            <w:r>
              <w:t>6</w:t>
            </w:r>
          </w:p>
        </w:tc>
        <w:tc>
          <w:tcPr>
            <w:tcW w:w="1772" w:type="dxa"/>
            <w:tcBorders>
              <w:left w:val="single" w:sz="4" w:space="0" w:color="auto"/>
              <w:bottom w:val="single" w:sz="4" w:space="0" w:color="auto"/>
            </w:tcBorders>
            <w:vAlign w:val="center"/>
          </w:tcPr>
          <w:p w:rsidR="00AB2C23" w:rsidRDefault="00706F72">
            <w:pPr>
              <w:jc w:val="center"/>
            </w:pPr>
            <w:r>
              <w:t>2</w:t>
            </w:r>
          </w:p>
        </w:tc>
      </w:tr>
      <w:tr w:rsidR="00AB2C23">
        <w:trPr>
          <w:trHeight w:val="576"/>
        </w:trPr>
        <w:tc>
          <w:tcPr>
            <w:tcW w:w="1771" w:type="dxa"/>
            <w:tcBorders>
              <w:right w:val="single" w:sz="4" w:space="0" w:color="auto"/>
            </w:tcBorders>
            <w:vAlign w:val="center"/>
          </w:tcPr>
          <w:p w:rsidR="00AB2C23" w:rsidRDefault="00AB2C23"/>
        </w:tc>
        <w:tc>
          <w:tcPr>
            <w:tcW w:w="3542" w:type="dxa"/>
            <w:gridSpan w:val="2"/>
            <w:tcBorders>
              <w:left w:val="single" w:sz="4" w:space="0" w:color="auto"/>
              <w:bottom w:val="single" w:sz="4" w:space="0" w:color="auto"/>
              <w:right w:val="single" w:sz="4" w:space="0" w:color="auto"/>
            </w:tcBorders>
            <w:vAlign w:val="center"/>
          </w:tcPr>
          <w:p w:rsidR="00AB2C23" w:rsidRDefault="00AB2C23">
            <w:pPr>
              <w:jc w:val="center"/>
            </w:pPr>
            <w:r>
              <w:t>Person Hours (Hrs)</w:t>
            </w:r>
          </w:p>
        </w:tc>
        <w:tc>
          <w:tcPr>
            <w:tcW w:w="3543" w:type="dxa"/>
            <w:gridSpan w:val="2"/>
            <w:tcBorders>
              <w:left w:val="single" w:sz="4" w:space="0" w:color="auto"/>
              <w:bottom w:val="single" w:sz="4" w:space="0" w:color="auto"/>
              <w:right w:val="double" w:sz="6" w:space="0" w:color="auto"/>
            </w:tcBorders>
            <w:vAlign w:val="center"/>
          </w:tcPr>
          <w:p w:rsidR="00AB2C23" w:rsidRDefault="00AB2C23">
            <w:pPr>
              <w:jc w:val="center"/>
            </w:pPr>
            <w:r>
              <w:t>Labor Costs ($)</w:t>
            </w:r>
          </w:p>
        </w:tc>
      </w:tr>
      <w:tr w:rsidR="00AB2C23">
        <w:trPr>
          <w:trHeight w:val="576"/>
        </w:trPr>
        <w:tc>
          <w:tcPr>
            <w:tcW w:w="1771" w:type="dxa"/>
            <w:tcBorders>
              <w:right w:val="single" w:sz="4" w:space="0" w:color="auto"/>
            </w:tcBorders>
            <w:vAlign w:val="center"/>
          </w:tcPr>
          <w:p w:rsidR="00AB2C23" w:rsidRDefault="00AB2C23">
            <w:r>
              <w:t>Industry Respondents</w:t>
            </w:r>
          </w:p>
        </w:tc>
        <w:tc>
          <w:tcPr>
            <w:tcW w:w="1771" w:type="dxa"/>
            <w:tcBorders>
              <w:left w:val="single" w:sz="4" w:space="0" w:color="auto"/>
              <w:bottom w:val="single" w:sz="4" w:space="0" w:color="auto"/>
              <w:right w:val="single" w:sz="4" w:space="0" w:color="auto"/>
            </w:tcBorders>
            <w:vAlign w:val="center"/>
          </w:tcPr>
          <w:p w:rsidR="00AB2C23" w:rsidRDefault="00AA05E0">
            <w:pPr>
              <w:jc w:val="right"/>
            </w:pPr>
            <w:r>
              <w:t>1,035</w:t>
            </w:r>
          </w:p>
        </w:tc>
        <w:tc>
          <w:tcPr>
            <w:tcW w:w="1771" w:type="dxa"/>
            <w:tcBorders>
              <w:left w:val="single" w:sz="4" w:space="0" w:color="auto"/>
              <w:right w:val="single" w:sz="4" w:space="0" w:color="auto"/>
            </w:tcBorders>
            <w:vAlign w:val="center"/>
          </w:tcPr>
          <w:p w:rsidR="00AB2C23" w:rsidRDefault="00AA05E0">
            <w:pPr>
              <w:jc w:val="right"/>
            </w:pPr>
            <w:r>
              <w:t>345</w:t>
            </w:r>
          </w:p>
        </w:tc>
        <w:tc>
          <w:tcPr>
            <w:tcW w:w="1771" w:type="dxa"/>
            <w:tcBorders>
              <w:left w:val="single" w:sz="4" w:space="0" w:color="auto"/>
              <w:bottom w:val="single" w:sz="4" w:space="0" w:color="auto"/>
              <w:right w:val="single" w:sz="4" w:space="0" w:color="auto"/>
            </w:tcBorders>
            <w:vAlign w:val="center"/>
          </w:tcPr>
          <w:p w:rsidR="00AB2C23" w:rsidRDefault="00AA05E0">
            <w:pPr>
              <w:jc w:val="right"/>
            </w:pPr>
            <w:r>
              <w:t>84,266</w:t>
            </w:r>
          </w:p>
        </w:tc>
        <w:tc>
          <w:tcPr>
            <w:tcW w:w="1772" w:type="dxa"/>
            <w:tcBorders>
              <w:left w:val="single" w:sz="4" w:space="0" w:color="auto"/>
            </w:tcBorders>
            <w:vAlign w:val="center"/>
          </w:tcPr>
          <w:p w:rsidR="00AB2C23" w:rsidRDefault="00AA05E0">
            <w:pPr>
              <w:jc w:val="right"/>
            </w:pPr>
            <w:r>
              <w:t>28,089</w:t>
            </w:r>
          </w:p>
        </w:tc>
      </w:tr>
      <w:tr w:rsidR="00AB2C23">
        <w:trPr>
          <w:trHeight w:val="576"/>
        </w:trPr>
        <w:tc>
          <w:tcPr>
            <w:tcW w:w="1771" w:type="dxa"/>
            <w:tcBorders>
              <w:right w:val="single" w:sz="4" w:space="0" w:color="auto"/>
            </w:tcBorders>
            <w:vAlign w:val="center"/>
          </w:tcPr>
          <w:p w:rsidR="00AB2C23" w:rsidRDefault="00AB2C23">
            <w:r>
              <w:t>State and Local Agencies</w:t>
            </w:r>
          </w:p>
        </w:tc>
        <w:tc>
          <w:tcPr>
            <w:tcW w:w="1771" w:type="dxa"/>
            <w:tcBorders>
              <w:left w:val="single" w:sz="4" w:space="0" w:color="auto"/>
              <w:bottom w:val="single" w:sz="4" w:space="0" w:color="auto"/>
              <w:right w:val="single" w:sz="4" w:space="0" w:color="auto"/>
            </w:tcBorders>
            <w:vAlign w:val="center"/>
          </w:tcPr>
          <w:p w:rsidR="00AB2C23" w:rsidRDefault="00AA05E0">
            <w:pPr>
              <w:jc w:val="right"/>
            </w:pPr>
            <w:r>
              <w:t>552</w:t>
            </w:r>
          </w:p>
        </w:tc>
        <w:tc>
          <w:tcPr>
            <w:tcW w:w="1771" w:type="dxa"/>
            <w:tcBorders>
              <w:left w:val="single" w:sz="4" w:space="0" w:color="auto"/>
              <w:right w:val="single" w:sz="4" w:space="0" w:color="auto"/>
            </w:tcBorders>
            <w:vAlign w:val="center"/>
          </w:tcPr>
          <w:p w:rsidR="00AB2C23" w:rsidRDefault="00AA05E0">
            <w:pPr>
              <w:jc w:val="right"/>
            </w:pPr>
            <w:r>
              <w:t>184</w:t>
            </w:r>
          </w:p>
        </w:tc>
        <w:tc>
          <w:tcPr>
            <w:tcW w:w="1771" w:type="dxa"/>
            <w:tcBorders>
              <w:left w:val="single" w:sz="4" w:space="0" w:color="auto"/>
              <w:bottom w:val="single" w:sz="4" w:space="0" w:color="auto"/>
              <w:right w:val="single" w:sz="4" w:space="0" w:color="auto"/>
            </w:tcBorders>
            <w:vAlign w:val="center"/>
          </w:tcPr>
          <w:p w:rsidR="00AB2C23" w:rsidRDefault="00AA05E0">
            <w:pPr>
              <w:jc w:val="right"/>
            </w:pPr>
            <w:r>
              <w:t>29,345</w:t>
            </w:r>
          </w:p>
        </w:tc>
        <w:tc>
          <w:tcPr>
            <w:tcW w:w="1772" w:type="dxa"/>
            <w:tcBorders>
              <w:left w:val="single" w:sz="4" w:space="0" w:color="auto"/>
            </w:tcBorders>
            <w:vAlign w:val="center"/>
          </w:tcPr>
          <w:p w:rsidR="00AB2C23" w:rsidRDefault="00AA05E0">
            <w:pPr>
              <w:jc w:val="right"/>
            </w:pPr>
            <w:r>
              <w:t>9,782</w:t>
            </w:r>
          </w:p>
        </w:tc>
      </w:tr>
      <w:tr w:rsidR="00AB2C23">
        <w:trPr>
          <w:trHeight w:val="576"/>
        </w:trPr>
        <w:tc>
          <w:tcPr>
            <w:tcW w:w="1771" w:type="dxa"/>
            <w:tcBorders>
              <w:right w:val="single" w:sz="4" w:space="0" w:color="auto"/>
            </w:tcBorders>
            <w:vAlign w:val="center"/>
          </w:tcPr>
          <w:p w:rsidR="00AB2C23" w:rsidRDefault="00AB2C23">
            <w:r>
              <w:t>Total for Respondents</w:t>
            </w:r>
          </w:p>
        </w:tc>
        <w:tc>
          <w:tcPr>
            <w:tcW w:w="1771" w:type="dxa"/>
            <w:tcBorders>
              <w:left w:val="single" w:sz="4" w:space="0" w:color="auto"/>
              <w:bottom w:val="single" w:sz="4" w:space="0" w:color="auto"/>
              <w:right w:val="single" w:sz="4" w:space="0" w:color="auto"/>
            </w:tcBorders>
            <w:vAlign w:val="center"/>
          </w:tcPr>
          <w:p w:rsidR="00AB2C23" w:rsidRDefault="00AA05E0" w:rsidP="00AA05E0">
            <w:pPr>
              <w:jc w:val="right"/>
            </w:pPr>
            <w:r>
              <w:t>1,587</w:t>
            </w:r>
          </w:p>
        </w:tc>
        <w:tc>
          <w:tcPr>
            <w:tcW w:w="1771" w:type="dxa"/>
            <w:tcBorders>
              <w:left w:val="single" w:sz="4" w:space="0" w:color="auto"/>
              <w:right w:val="single" w:sz="4" w:space="0" w:color="auto"/>
            </w:tcBorders>
            <w:vAlign w:val="center"/>
          </w:tcPr>
          <w:p w:rsidR="00AB2C23" w:rsidRDefault="00AA05E0">
            <w:pPr>
              <w:jc w:val="right"/>
            </w:pPr>
            <w:r>
              <w:t>529</w:t>
            </w:r>
          </w:p>
        </w:tc>
        <w:tc>
          <w:tcPr>
            <w:tcW w:w="1771" w:type="dxa"/>
            <w:tcBorders>
              <w:left w:val="single" w:sz="4" w:space="0" w:color="auto"/>
              <w:bottom w:val="single" w:sz="4" w:space="0" w:color="auto"/>
              <w:right w:val="single" w:sz="4" w:space="0" w:color="auto"/>
            </w:tcBorders>
            <w:vAlign w:val="center"/>
          </w:tcPr>
          <w:p w:rsidR="00AB2C23" w:rsidRDefault="00AA05E0">
            <w:pPr>
              <w:jc w:val="right"/>
            </w:pPr>
            <w:r>
              <w:t>113,611</w:t>
            </w:r>
          </w:p>
        </w:tc>
        <w:tc>
          <w:tcPr>
            <w:tcW w:w="1772" w:type="dxa"/>
            <w:tcBorders>
              <w:left w:val="single" w:sz="4" w:space="0" w:color="auto"/>
            </w:tcBorders>
            <w:vAlign w:val="center"/>
          </w:tcPr>
          <w:p w:rsidR="00AB2C23" w:rsidRDefault="00AA05E0">
            <w:pPr>
              <w:jc w:val="right"/>
            </w:pPr>
            <w:r>
              <w:t>37,871</w:t>
            </w:r>
          </w:p>
        </w:tc>
      </w:tr>
      <w:tr w:rsidR="00AB2C23">
        <w:trPr>
          <w:trHeight w:val="576"/>
        </w:trPr>
        <w:tc>
          <w:tcPr>
            <w:tcW w:w="1771" w:type="dxa"/>
            <w:tcBorders>
              <w:right w:val="single" w:sz="4" w:space="0" w:color="auto"/>
            </w:tcBorders>
            <w:vAlign w:val="center"/>
          </w:tcPr>
          <w:p w:rsidR="00AB2C23" w:rsidRDefault="00AB2C23">
            <w:r>
              <w:t>EPA</w:t>
            </w:r>
          </w:p>
        </w:tc>
        <w:tc>
          <w:tcPr>
            <w:tcW w:w="1771" w:type="dxa"/>
            <w:tcBorders>
              <w:left w:val="single" w:sz="4" w:space="0" w:color="auto"/>
              <w:bottom w:val="double" w:sz="6" w:space="0" w:color="auto"/>
              <w:right w:val="single" w:sz="4" w:space="0" w:color="auto"/>
            </w:tcBorders>
            <w:vAlign w:val="center"/>
          </w:tcPr>
          <w:p w:rsidR="00AB2C23" w:rsidRDefault="00AA05E0">
            <w:pPr>
              <w:jc w:val="right"/>
            </w:pPr>
            <w:r>
              <w:t>207</w:t>
            </w:r>
          </w:p>
        </w:tc>
        <w:tc>
          <w:tcPr>
            <w:tcW w:w="1771" w:type="dxa"/>
            <w:tcBorders>
              <w:left w:val="single" w:sz="4" w:space="0" w:color="auto"/>
              <w:right w:val="single" w:sz="4" w:space="0" w:color="auto"/>
            </w:tcBorders>
            <w:vAlign w:val="center"/>
          </w:tcPr>
          <w:p w:rsidR="00AB2C23" w:rsidRDefault="00AA05E0">
            <w:pPr>
              <w:jc w:val="right"/>
            </w:pPr>
            <w:r>
              <w:t>69</w:t>
            </w:r>
          </w:p>
        </w:tc>
        <w:tc>
          <w:tcPr>
            <w:tcW w:w="1771" w:type="dxa"/>
            <w:tcBorders>
              <w:left w:val="single" w:sz="4" w:space="0" w:color="auto"/>
              <w:bottom w:val="double" w:sz="6" w:space="0" w:color="auto"/>
              <w:right w:val="single" w:sz="4" w:space="0" w:color="auto"/>
            </w:tcBorders>
            <w:vAlign w:val="center"/>
          </w:tcPr>
          <w:p w:rsidR="00AB2C23" w:rsidRDefault="00AA05E0">
            <w:pPr>
              <w:jc w:val="right"/>
            </w:pPr>
            <w:r>
              <w:t>5,938</w:t>
            </w:r>
          </w:p>
        </w:tc>
        <w:tc>
          <w:tcPr>
            <w:tcW w:w="1772" w:type="dxa"/>
            <w:tcBorders>
              <w:left w:val="single" w:sz="4" w:space="0" w:color="auto"/>
            </w:tcBorders>
            <w:vAlign w:val="center"/>
          </w:tcPr>
          <w:p w:rsidR="00AB2C23" w:rsidRDefault="00AA05E0">
            <w:pPr>
              <w:jc w:val="right"/>
            </w:pPr>
            <w:r>
              <w:t>1,979</w:t>
            </w:r>
          </w:p>
        </w:tc>
      </w:tr>
    </w:tbl>
    <w:p w:rsidR="00AB2C23" w:rsidRDefault="00AB2C23"/>
    <w:p w:rsidR="00AB2C23" w:rsidRDefault="00AB2C23"/>
    <w:p w:rsidR="00AB2C23" w:rsidRDefault="00AB2C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1476"/>
        <w:gridCol w:w="1476"/>
        <w:gridCol w:w="1476"/>
        <w:gridCol w:w="1476"/>
        <w:gridCol w:w="1476"/>
      </w:tblGrid>
      <w:tr w:rsidR="00AB2C23">
        <w:trPr>
          <w:trHeight w:val="576"/>
        </w:trPr>
        <w:tc>
          <w:tcPr>
            <w:tcW w:w="4428" w:type="dxa"/>
            <w:gridSpan w:val="3"/>
            <w:tcBorders>
              <w:top w:val="double" w:sz="6" w:space="0" w:color="auto"/>
              <w:left w:val="double" w:sz="6" w:space="0" w:color="auto"/>
              <w:right w:val="double" w:sz="6" w:space="0" w:color="auto"/>
            </w:tcBorders>
            <w:vAlign w:val="center"/>
          </w:tcPr>
          <w:p w:rsidR="00AB2C23" w:rsidRDefault="00AB2C23">
            <w:pPr>
              <w:jc w:val="center"/>
              <w:rPr>
                <w:b/>
              </w:rPr>
            </w:pPr>
            <w:r>
              <w:rPr>
                <w:b/>
              </w:rPr>
              <w:t>Table 5.  Copying and Postal Costs ($)</w:t>
            </w:r>
          </w:p>
        </w:tc>
        <w:tc>
          <w:tcPr>
            <w:tcW w:w="4428" w:type="dxa"/>
            <w:gridSpan w:val="3"/>
            <w:tcBorders>
              <w:top w:val="double" w:sz="6" w:space="0" w:color="auto"/>
              <w:left w:val="double" w:sz="6" w:space="0" w:color="auto"/>
              <w:right w:val="double" w:sz="6" w:space="0" w:color="auto"/>
            </w:tcBorders>
            <w:vAlign w:val="center"/>
          </w:tcPr>
          <w:p w:rsidR="00AB2C23" w:rsidRDefault="00AB2C23">
            <w:pPr>
              <w:jc w:val="center"/>
              <w:rPr>
                <w:b/>
              </w:rPr>
            </w:pPr>
            <w:r>
              <w:rPr>
                <w:b/>
              </w:rPr>
              <w:t>Table 6.  Total Costs ($)</w:t>
            </w:r>
          </w:p>
        </w:tc>
      </w:tr>
      <w:tr w:rsidR="00AB2C23">
        <w:trPr>
          <w:trHeight w:val="576"/>
        </w:trPr>
        <w:tc>
          <w:tcPr>
            <w:tcW w:w="1476" w:type="dxa"/>
            <w:tcBorders>
              <w:left w:val="double" w:sz="6" w:space="0" w:color="auto"/>
            </w:tcBorders>
            <w:vAlign w:val="center"/>
          </w:tcPr>
          <w:p w:rsidR="00AB2C23" w:rsidRDefault="00AB2C23">
            <w:pPr>
              <w:jc w:val="center"/>
            </w:pPr>
          </w:p>
        </w:tc>
        <w:tc>
          <w:tcPr>
            <w:tcW w:w="1476" w:type="dxa"/>
            <w:vAlign w:val="center"/>
          </w:tcPr>
          <w:p w:rsidR="00AB2C23" w:rsidRDefault="00AB2C23">
            <w:pPr>
              <w:jc w:val="center"/>
            </w:pPr>
            <w:r>
              <w:t>Total Over 3 Years</w:t>
            </w:r>
          </w:p>
        </w:tc>
        <w:tc>
          <w:tcPr>
            <w:tcW w:w="1476" w:type="dxa"/>
            <w:tcBorders>
              <w:right w:val="double" w:sz="6" w:space="0" w:color="auto"/>
            </w:tcBorders>
            <w:vAlign w:val="center"/>
          </w:tcPr>
          <w:p w:rsidR="00AB2C23" w:rsidRDefault="00AB2C23">
            <w:pPr>
              <w:jc w:val="center"/>
            </w:pPr>
            <w:r>
              <w:t>Annual Average</w:t>
            </w:r>
          </w:p>
        </w:tc>
        <w:tc>
          <w:tcPr>
            <w:tcW w:w="1476" w:type="dxa"/>
            <w:tcBorders>
              <w:left w:val="double" w:sz="6" w:space="0" w:color="auto"/>
            </w:tcBorders>
            <w:vAlign w:val="center"/>
          </w:tcPr>
          <w:p w:rsidR="00AB2C23" w:rsidRDefault="00AB2C23">
            <w:pPr>
              <w:jc w:val="center"/>
            </w:pPr>
          </w:p>
        </w:tc>
        <w:tc>
          <w:tcPr>
            <w:tcW w:w="1476" w:type="dxa"/>
            <w:vAlign w:val="center"/>
          </w:tcPr>
          <w:p w:rsidR="00AB2C23" w:rsidRDefault="00AB2C23">
            <w:pPr>
              <w:jc w:val="center"/>
            </w:pPr>
            <w:r>
              <w:t>Total Over 3 Years</w:t>
            </w:r>
          </w:p>
        </w:tc>
        <w:tc>
          <w:tcPr>
            <w:tcW w:w="1476" w:type="dxa"/>
            <w:tcBorders>
              <w:right w:val="double" w:sz="6" w:space="0" w:color="auto"/>
            </w:tcBorders>
            <w:vAlign w:val="center"/>
          </w:tcPr>
          <w:p w:rsidR="00AB2C23" w:rsidRDefault="00AB2C23">
            <w:pPr>
              <w:jc w:val="center"/>
            </w:pPr>
            <w:r>
              <w:t>Annual Average</w:t>
            </w:r>
          </w:p>
        </w:tc>
      </w:tr>
      <w:tr w:rsidR="00AB2C23">
        <w:trPr>
          <w:trHeight w:val="576"/>
        </w:trPr>
        <w:tc>
          <w:tcPr>
            <w:tcW w:w="1476" w:type="dxa"/>
            <w:tcBorders>
              <w:left w:val="double" w:sz="6" w:space="0" w:color="auto"/>
            </w:tcBorders>
            <w:vAlign w:val="center"/>
          </w:tcPr>
          <w:p w:rsidR="00AB2C23" w:rsidRDefault="00AB2C23">
            <w:r>
              <w:t>Industry Respondents</w:t>
            </w:r>
          </w:p>
        </w:tc>
        <w:tc>
          <w:tcPr>
            <w:tcW w:w="1476" w:type="dxa"/>
            <w:vAlign w:val="center"/>
          </w:tcPr>
          <w:p w:rsidR="00AB2C23" w:rsidRDefault="00AA05E0">
            <w:pPr>
              <w:jc w:val="right"/>
            </w:pPr>
            <w:r>
              <w:t>459</w:t>
            </w:r>
          </w:p>
        </w:tc>
        <w:tc>
          <w:tcPr>
            <w:tcW w:w="1476" w:type="dxa"/>
            <w:tcBorders>
              <w:right w:val="double" w:sz="6" w:space="0" w:color="auto"/>
            </w:tcBorders>
            <w:vAlign w:val="center"/>
          </w:tcPr>
          <w:p w:rsidR="00AB2C23" w:rsidRDefault="00AA05E0">
            <w:pPr>
              <w:jc w:val="right"/>
            </w:pPr>
            <w:r>
              <w:t>153</w:t>
            </w:r>
          </w:p>
        </w:tc>
        <w:tc>
          <w:tcPr>
            <w:tcW w:w="1476" w:type="dxa"/>
            <w:tcBorders>
              <w:left w:val="double" w:sz="6" w:space="0" w:color="auto"/>
            </w:tcBorders>
            <w:vAlign w:val="center"/>
          </w:tcPr>
          <w:p w:rsidR="00AB2C23" w:rsidRDefault="00AB2C23">
            <w:r>
              <w:t>Industry Respondents</w:t>
            </w:r>
          </w:p>
        </w:tc>
        <w:tc>
          <w:tcPr>
            <w:tcW w:w="1476" w:type="dxa"/>
            <w:vAlign w:val="center"/>
          </w:tcPr>
          <w:p w:rsidR="00AB2C23" w:rsidRDefault="00AA05E0">
            <w:pPr>
              <w:jc w:val="right"/>
            </w:pPr>
            <w:r>
              <w:t>84,725</w:t>
            </w:r>
          </w:p>
        </w:tc>
        <w:tc>
          <w:tcPr>
            <w:tcW w:w="1476" w:type="dxa"/>
            <w:tcBorders>
              <w:right w:val="double" w:sz="6" w:space="0" w:color="auto"/>
            </w:tcBorders>
            <w:vAlign w:val="center"/>
          </w:tcPr>
          <w:p w:rsidR="00AB2C23" w:rsidRDefault="00AA05E0">
            <w:pPr>
              <w:jc w:val="right"/>
            </w:pPr>
            <w:r>
              <w:t>28,242</w:t>
            </w:r>
          </w:p>
        </w:tc>
      </w:tr>
      <w:tr w:rsidR="00AB2C23">
        <w:trPr>
          <w:trHeight w:val="576"/>
        </w:trPr>
        <w:tc>
          <w:tcPr>
            <w:tcW w:w="1476" w:type="dxa"/>
            <w:tcBorders>
              <w:left w:val="double" w:sz="6" w:space="0" w:color="auto"/>
            </w:tcBorders>
            <w:vAlign w:val="center"/>
          </w:tcPr>
          <w:p w:rsidR="00AB2C23" w:rsidRDefault="00AB2C23">
            <w:r>
              <w:t>State and Local Agencies</w:t>
            </w:r>
          </w:p>
        </w:tc>
        <w:tc>
          <w:tcPr>
            <w:tcW w:w="1476" w:type="dxa"/>
            <w:vAlign w:val="center"/>
          </w:tcPr>
          <w:p w:rsidR="00AB2C23" w:rsidRDefault="00AA05E0">
            <w:pPr>
              <w:jc w:val="right"/>
            </w:pPr>
            <w:r>
              <w:t>45</w:t>
            </w:r>
          </w:p>
        </w:tc>
        <w:tc>
          <w:tcPr>
            <w:tcW w:w="1476" w:type="dxa"/>
            <w:tcBorders>
              <w:right w:val="double" w:sz="6" w:space="0" w:color="auto"/>
            </w:tcBorders>
            <w:vAlign w:val="center"/>
          </w:tcPr>
          <w:p w:rsidR="00AB2C23" w:rsidRDefault="00AA05E0">
            <w:pPr>
              <w:jc w:val="right"/>
            </w:pPr>
            <w:r>
              <w:t>15</w:t>
            </w:r>
          </w:p>
        </w:tc>
        <w:tc>
          <w:tcPr>
            <w:tcW w:w="1476" w:type="dxa"/>
            <w:tcBorders>
              <w:left w:val="double" w:sz="6" w:space="0" w:color="auto"/>
            </w:tcBorders>
            <w:vAlign w:val="center"/>
          </w:tcPr>
          <w:p w:rsidR="00AB2C23" w:rsidRDefault="00AB2C23">
            <w:r>
              <w:t>State and Local Agencies</w:t>
            </w:r>
          </w:p>
        </w:tc>
        <w:tc>
          <w:tcPr>
            <w:tcW w:w="1476" w:type="dxa"/>
            <w:vAlign w:val="center"/>
          </w:tcPr>
          <w:p w:rsidR="00AB2C23" w:rsidRDefault="00AA05E0">
            <w:pPr>
              <w:jc w:val="right"/>
            </w:pPr>
            <w:r>
              <w:t>29,390</w:t>
            </w:r>
          </w:p>
        </w:tc>
        <w:tc>
          <w:tcPr>
            <w:tcW w:w="1476" w:type="dxa"/>
            <w:tcBorders>
              <w:right w:val="double" w:sz="6" w:space="0" w:color="auto"/>
            </w:tcBorders>
            <w:vAlign w:val="center"/>
          </w:tcPr>
          <w:p w:rsidR="00AB2C23" w:rsidRDefault="00AA05E0">
            <w:pPr>
              <w:jc w:val="right"/>
            </w:pPr>
            <w:r>
              <w:t>9,797</w:t>
            </w:r>
          </w:p>
        </w:tc>
      </w:tr>
      <w:tr w:rsidR="00AB2C23">
        <w:trPr>
          <w:trHeight w:val="576"/>
        </w:trPr>
        <w:tc>
          <w:tcPr>
            <w:tcW w:w="1476" w:type="dxa"/>
            <w:tcBorders>
              <w:left w:val="double" w:sz="6" w:space="0" w:color="auto"/>
            </w:tcBorders>
            <w:vAlign w:val="center"/>
          </w:tcPr>
          <w:p w:rsidR="00AB2C23" w:rsidRDefault="00AB2C23">
            <w:r>
              <w:t>Total for Respondents</w:t>
            </w:r>
          </w:p>
        </w:tc>
        <w:tc>
          <w:tcPr>
            <w:tcW w:w="1476" w:type="dxa"/>
            <w:vAlign w:val="center"/>
          </w:tcPr>
          <w:p w:rsidR="00AB2C23" w:rsidRDefault="00AA05E0">
            <w:pPr>
              <w:jc w:val="right"/>
            </w:pPr>
            <w:r>
              <w:t>504</w:t>
            </w:r>
          </w:p>
        </w:tc>
        <w:tc>
          <w:tcPr>
            <w:tcW w:w="1476" w:type="dxa"/>
            <w:tcBorders>
              <w:right w:val="double" w:sz="6" w:space="0" w:color="auto"/>
            </w:tcBorders>
            <w:vAlign w:val="center"/>
          </w:tcPr>
          <w:p w:rsidR="00AB2C23" w:rsidRDefault="00AA05E0">
            <w:pPr>
              <w:jc w:val="right"/>
            </w:pPr>
            <w:r>
              <w:t>168</w:t>
            </w:r>
          </w:p>
        </w:tc>
        <w:tc>
          <w:tcPr>
            <w:tcW w:w="1476" w:type="dxa"/>
            <w:tcBorders>
              <w:left w:val="double" w:sz="6" w:space="0" w:color="auto"/>
            </w:tcBorders>
            <w:vAlign w:val="center"/>
          </w:tcPr>
          <w:p w:rsidR="00AB2C23" w:rsidRDefault="00AB2C23">
            <w:r>
              <w:t>Total for Respondents</w:t>
            </w:r>
          </w:p>
        </w:tc>
        <w:tc>
          <w:tcPr>
            <w:tcW w:w="1476" w:type="dxa"/>
            <w:vAlign w:val="center"/>
          </w:tcPr>
          <w:p w:rsidR="00AB2C23" w:rsidRDefault="00AA05E0">
            <w:pPr>
              <w:jc w:val="right"/>
            </w:pPr>
            <w:r>
              <w:t>114,115</w:t>
            </w:r>
          </w:p>
        </w:tc>
        <w:tc>
          <w:tcPr>
            <w:tcW w:w="1476" w:type="dxa"/>
            <w:tcBorders>
              <w:right w:val="double" w:sz="6" w:space="0" w:color="auto"/>
            </w:tcBorders>
            <w:vAlign w:val="center"/>
          </w:tcPr>
          <w:p w:rsidR="00AB2C23" w:rsidRDefault="00AA05E0">
            <w:pPr>
              <w:jc w:val="right"/>
            </w:pPr>
            <w:r>
              <w:t>38,039</w:t>
            </w:r>
          </w:p>
        </w:tc>
      </w:tr>
      <w:tr w:rsidR="00AB2C23">
        <w:trPr>
          <w:trHeight w:val="576"/>
        </w:trPr>
        <w:tc>
          <w:tcPr>
            <w:tcW w:w="1476" w:type="dxa"/>
            <w:tcBorders>
              <w:left w:val="double" w:sz="6" w:space="0" w:color="auto"/>
              <w:bottom w:val="double" w:sz="6" w:space="0" w:color="auto"/>
            </w:tcBorders>
            <w:vAlign w:val="center"/>
          </w:tcPr>
          <w:p w:rsidR="00AB2C23" w:rsidRDefault="00AB2C23">
            <w:r>
              <w:t>EPA</w:t>
            </w:r>
          </w:p>
        </w:tc>
        <w:tc>
          <w:tcPr>
            <w:tcW w:w="1476" w:type="dxa"/>
            <w:tcBorders>
              <w:bottom w:val="double" w:sz="6" w:space="0" w:color="auto"/>
            </w:tcBorders>
            <w:vAlign w:val="center"/>
          </w:tcPr>
          <w:p w:rsidR="00AB2C23" w:rsidRDefault="00AA05E0">
            <w:pPr>
              <w:jc w:val="right"/>
            </w:pPr>
            <w:r>
              <w:t>15</w:t>
            </w:r>
          </w:p>
        </w:tc>
        <w:tc>
          <w:tcPr>
            <w:tcW w:w="1476" w:type="dxa"/>
            <w:tcBorders>
              <w:bottom w:val="double" w:sz="6" w:space="0" w:color="auto"/>
              <w:right w:val="double" w:sz="6" w:space="0" w:color="auto"/>
            </w:tcBorders>
            <w:vAlign w:val="center"/>
          </w:tcPr>
          <w:p w:rsidR="00AB2C23" w:rsidRDefault="00AA05E0" w:rsidP="00AA05E0">
            <w:pPr>
              <w:jc w:val="right"/>
            </w:pPr>
            <w:r>
              <w:t>5</w:t>
            </w:r>
          </w:p>
        </w:tc>
        <w:tc>
          <w:tcPr>
            <w:tcW w:w="1476" w:type="dxa"/>
            <w:tcBorders>
              <w:left w:val="double" w:sz="6" w:space="0" w:color="auto"/>
              <w:bottom w:val="double" w:sz="6" w:space="0" w:color="auto"/>
            </w:tcBorders>
            <w:vAlign w:val="center"/>
          </w:tcPr>
          <w:p w:rsidR="00AB2C23" w:rsidRDefault="00AB2C23">
            <w:r>
              <w:t>EPA</w:t>
            </w:r>
          </w:p>
        </w:tc>
        <w:tc>
          <w:tcPr>
            <w:tcW w:w="1476" w:type="dxa"/>
            <w:tcBorders>
              <w:bottom w:val="double" w:sz="6" w:space="0" w:color="auto"/>
            </w:tcBorders>
            <w:vAlign w:val="center"/>
          </w:tcPr>
          <w:p w:rsidR="00AB2C23" w:rsidRDefault="00AA05E0">
            <w:pPr>
              <w:jc w:val="right"/>
            </w:pPr>
            <w:r>
              <w:t>5,953</w:t>
            </w:r>
          </w:p>
        </w:tc>
        <w:tc>
          <w:tcPr>
            <w:tcW w:w="1476" w:type="dxa"/>
            <w:tcBorders>
              <w:bottom w:val="double" w:sz="6" w:space="0" w:color="auto"/>
              <w:right w:val="double" w:sz="6" w:space="0" w:color="auto"/>
            </w:tcBorders>
            <w:vAlign w:val="center"/>
          </w:tcPr>
          <w:p w:rsidR="00AB2C23" w:rsidRDefault="00AA05E0">
            <w:pPr>
              <w:jc w:val="right"/>
            </w:pPr>
            <w:r>
              <w:t>1,984</w:t>
            </w:r>
          </w:p>
        </w:tc>
      </w:tr>
    </w:tbl>
    <w:p w:rsidR="00AB2C23" w:rsidRDefault="00AB2C23"/>
    <w:p w:rsidR="00AB2C23" w:rsidRDefault="00AB2C23">
      <w:pPr>
        <w:rPr>
          <w:rFonts w:ascii="Shruti" w:hAnsi="Shruti" w:cs="Shruti"/>
          <w:color w:val="000000"/>
          <w:sz w:val="20"/>
          <w:szCs w:val="20"/>
        </w:rPr>
        <w:sectPr w:rsidR="00AB2C23">
          <w:pgSz w:w="12240" w:h="15840"/>
          <w:pgMar w:top="1440" w:right="1440" w:bottom="1440" w:left="1440" w:header="1440" w:footer="1440" w:gutter="0"/>
          <w:cols w:space="720"/>
          <w:noEndnote/>
        </w:sectPr>
      </w:pPr>
    </w:p>
    <w:p w:rsidR="00AB2C23" w:rsidRDefault="00AB2C23">
      <w:pPr>
        <w:tabs>
          <w:tab w:val="center" w:pos="4680"/>
        </w:tabs>
        <w:jc w:val="center"/>
        <w:rPr>
          <w:rFonts w:ascii="Shruti" w:hAnsi="Shruti" w:cs="Shruti"/>
          <w:color w:val="000000"/>
        </w:rPr>
      </w:pPr>
      <w:r>
        <w:rPr>
          <w:rFonts w:ascii="Shruti" w:hAnsi="Shruti" w:cs="Shruti"/>
          <w:b/>
          <w:bCs/>
          <w:color w:val="000000"/>
        </w:rPr>
        <w:lastRenderedPageBreak/>
        <w:t>PART B OF THE SUPPORTING STATEMENT</w:t>
      </w:r>
    </w:p>
    <w:p w:rsidR="00AB2C23" w:rsidRDefault="00AB2C23">
      <w:pPr>
        <w:rPr>
          <w:rFonts w:ascii="Shruti" w:hAnsi="Shruti" w:cs="Shruti"/>
          <w:color w:val="000000"/>
        </w:rPr>
      </w:pPr>
    </w:p>
    <w:p w:rsidR="00AB2C23" w:rsidRDefault="00AB2C23">
      <w:pPr>
        <w:ind w:firstLine="720"/>
        <w:rPr>
          <w:rFonts w:ascii="Shruti" w:hAnsi="Shruti" w:cs="Shruti"/>
          <w:color w:val="000000"/>
        </w:rPr>
      </w:pPr>
      <w:r>
        <w:rPr>
          <w:rFonts w:ascii="Shruti" w:hAnsi="Shruti" w:cs="Shruti"/>
          <w:color w:val="000000"/>
        </w:rPr>
        <w:t xml:space="preserve">This section is not applicable because statistical methods are not used in the data collection associated with the </w:t>
      </w:r>
      <w:smartTag w:uri="urn:schemas-microsoft-com:office:smarttags" w:element="stockticker">
        <w:r>
          <w:rPr>
            <w:rFonts w:ascii="Shruti" w:hAnsi="Shruti" w:cs="Shruti"/>
            <w:color w:val="000000"/>
          </w:rPr>
          <w:t>CAA</w:t>
        </w:r>
      </w:smartTag>
      <w:r>
        <w:rPr>
          <w:rFonts w:ascii="Shruti" w:hAnsi="Shruti" w:cs="Shruti"/>
          <w:color w:val="000000"/>
        </w:rPr>
        <w:t xml:space="preserve"> section 112(g) regulations.</w:t>
      </w:r>
    </w:p>
    <w:p w:rsidR="00AB2C23" w:rsidRDefault="00AB2C23">
      <w:pPr>
        <w:rPr>
          <w:rFonts w:ascii="Shruti" w:hAnsi="Shruti" w:cs="Shruti"/>
          <w:color w:val="000000"/>
        </w:rPr>
      </w:pPr>
    </w:p>
    <w:p w:rsidR="00AB2C23" w:rsidRDefault="00AB2C23">
      <w:pPr>
        <w:ind w:firstLine="2880"/>
        <w:rPr>
          <w:rFonts w:ascii="Shruti" w:hAnsi="Shruti" w:cs="Shruti"/>
          <w:color w:val="000000"/>
        </w:rPr>
        <w:sectPr w:rsidR="00AB2C23">
          <w:pgSz w:w="12240" w:h="15840"/>
          <w:pgMar w:top="1440" w:right="1440" w:bottom="1440" w:left="1440" w:header="1440" w:footer="1440" w:gutter="0"/>
          <w:cols w:space="720"/>
          <w:noEndnote/>
        </w:sectPr>
      </w:pPr>
    </w:p>
    <w:p w:rsidR="00AB2C23" w:rsidRDefault="00AB2C23">
      <w:pPr>
        <w:tabs>
          <w:tab w:val="center" w:pos="4680"/>
        </w:tabs>
        <w:jc w:val="center"/>
        <w:rPr>
          <w:rFonts w:ascii="Shruti" w:hAnsi="Shruti" w:cs="Shruti"/>
          <w:color w:val="000000"/>
        </w:rPr>
      </w:pPr>
      <w:r>
        <w:rPr>
          <w:rFonts w:ascii="Shruti" w:hAnsi="Shruti" w:cs="Shruti"/>
          <w:b/>
          <w:bCs/>
          <w:color w:val="000000"/>
        </w:rPr>
        <w:lastRenderedPageBreak/>
        <w:t>ATTACHMENT 1</w:t>
      </w:r>
    </w:p>
    <w:p w:rsidR="00AB2C23" w:rsidRDefault="00AB2C23">
      <w:pPr>
        <w:rPr>
          <w:rFonts w:ascii="Shruti" w:hAnsi="Shruti" w:cs="Shruti"/>
          <w:color w:val="000000"/>
        </w:rPr>
      </w:pPr>
    </w:p>
    <w:p w:rsidR="00AB2C23" w:rsidRDefault="00AB2C23">
      <w:pPr>
        <w:tabs>
          <w:tab w:val="center" w:pos="4680"/>
        </w:tabs>
        <w:jc w:val="center"/>
        <w:rPr>
          <w:rFonts w:ascii="Shruti" w:hAnsi="Shruti" w:cs="Shruti"/>
          <w:b/>
          <w:bCs/>
          <w:color w:val="000000"/>
        </w:rPr>
      </w:pPr>
      <w:r>
        <w:rPr>
          <w:rFonts w:ascii="Shruti" w:hAnsi="Shruti" w:cs="Shruti"/>
          <w:b/>
          <w:bCs/>
          <w:color w:val="000000"/>
        </w:rPr>
        <w:t>List of Potentially Affected Industry Sectors (by NAICS codes)</w:t>
      </w:r>
    </w:p>
    <w:p w:rsidR="00AB2C23" w:rsidRDefault="00AB2C23">
      <w:pPr>
        <w:rPr>
          <w:rFonts w:ascii="Shruti" w:hAnsi="Shruti" w:cs="Shruti"/>
          <w:b/>
          <w:bCs/>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5940"/>
      </w:tblGrid>
      <w:tr w:rsidR="00A11C04" w:rsidTr="00A11C04">
        <w:tc>
          <w:tcPr>
            <w:tcW w:w="3258" w:type="dxa"/>
          </w:tcPr>
          <w:p w:rsidR="00A11C04" w:rsidRPr="00A11C04" w:rsidRDefault="00A11C04" w:rsidP="00A11C04">
            <w:pPr>
              <w:jc w:val="center"/>
              <w:rPr>
                <w:b/>
              </w:rPr>
            </w:pPr>
            <w:r w:rsidRPr="00A11C04">
              <w:rPr>
                <w:b/>
              </w:rPr>
              <w:t>NAICS Code</w:t>
            </w:r>
          </w:p>
        </w:tc>
        <w:tc>
          <w:tcPr>
            <w:tcW w:w="5940" w:type="dxa"/>
          </w:tcPr>
          <w:p w:rsidR="00A11C04" w:rsidRPr="00A11C04" w:rsidRDefault="00A11C04" w:rsidP="00A11C04">
            <w:pPr>
              <w:jc w:val="center"/>
              <w:rPr>
                <w:b/>
              </w:rPr>
            </w:pPr>
            <w:r w:rsidRPr="00A11C04">
              <w:rPr>
                <w:b/>
              </w:rPr>
              <w:t>NAICS Title</w:t>
            </w:r>
          </w:p>
        </w:tc>
      </w:tr>
      <w:tr w:rsidR="00A11C04" w:rsidTr="00A11C04">
        <w:tc>
          <w:tcPr>
            <w:tcW w:w="3258" w:type="dxa"/>
          </w:tcPr>
          <w:p w:rsidR="00A11C04" w:rsidRDefault="00A11C04" w:rsidP="00A11C04">
            <w:pPr>
              <w:jc w:val="center"/>
            </w:pPr>
            <w:r>
              <w:t>325211</w:t>
            </w:r>
          </w:p>
        </w:tc>
        <w:tc>
          <w:tcPr>
            <w:tcW w:w="5940" w:type="dxa"/>
          </w:tcPr>
          <w:p w:rsidR="00A11C04" w:rsidRDefault="00A11C04" w:rsidP="00A11C04">
            <w:pPr>
              <w:jc w:val="center"/>
            </w:pPr>
            <w:r>
              <w:t>Polyvinyl Chloride Resins Manufacturing</w:t>
            </w:r>
          </w:p>
        </w:tc>
      </w:tr>
      <w:tr w:rsidR="00A11C04" w:rsidTr="00A11C04">
        <w:tc>
          <w:tcPr>
            <w:tcW w:w="3258" w:type="dxa"/>
          </w:tcPr>
          <w:p w:rsidR="00A11C04" w:rsidRDefault="00A11C04" w:rsidP="00A11C04">
            <w:pPr>
              <w:jc w:val="center"/>
            </w:pPr>
            <w:r>
              <w:t>327121</w:t>
            </w:r>
          </w:p>
        </w:tc>
        <w:tc>
          <w:tcPr>
            <w:tcW w:w="5940" w:type="dxa"/>
          </w:tcPr>
          <w:p w:rsidR="00A11C04" w:rsidRDefault="00A11C04" w:rsidP="00A11C04">
            <w:pPr>
              <w:jc w:val="center"/>
            </w:pPr>
            <w:r>
              <w:t>Brick and Structural Clay Tile Manufacturing Facilities</w:t>
            </w:r>
          </w:p>
        </w:tc>
      </w:tr>
      <w:tr w:rsidR="00A11C04" w:rsidTr="00A11C04">
        <w:tc>
          <w:tcPr>
            <w:tcW w:w="3258" w:type="dxa"/>
          </w:tcPr>
          <w:p w:rsidR="00A11C04" w:rsidRDefault="00A11C04" w:rsidP="00A11C04">
            <w:pPr>
              <w:jc w:val="center"/>
            </w:pPr>
            <w:r>
              <w:t>327122</w:t>
            </w:r>
          </w:p>
        </w:tc>
        <w:tc>
          <w:tcPr>
            <w:tcW w:w="5940" w:type="dxa"/>
          </w:tcPr>
          <w:p w:rsidR="00A11C04" w:rsidRDefault="00A11C04" w:rsidP="00A11C04">
            <w:pPr>
              <w:jc w:val="center"/>
            </w:pPr>
            <w:r>
              <w:t>Extruded Tile Manufacturing Facilities</w:t>
            </w:r>
          </w:p>
        </w:tc>
      </w:tr>
      <w:tr w:rsidR="00A11C04" w:rsidTr="00A11C04">
        <w:tc>
          <w:tcPr>
            <w:tcW w:w="3258" w:type="dxa"/>
          </w:tcPr>
          <w:p w:rsidR="00A11C04" w:rsidRDefault="00A11C04" w:rsidP="00A11C04">
            <w:pPr>
              <w:jc w:val="center"/>
            </w:pPr>
            <w:r>
              <w:t>327123</w:t>
            </w:r>
          </w:p>
        </w:tc>
        <w:tc>
          <w:tcPr>
            <w:tcW w:w="5940" w:type="dxa"/>
          </w:tcPr>
          <w:p w:rsidR="00A11C04" w:rsidRDefault="00A11C04" w:rsidP="00A11C04">
            <w:pPr>
              <w:jc w:val="center"/>
            </w:pPr>
            <w:r>
              <w:t>Other Structural Clay Products Manufacturing Facilities</w:t>
            </w:r>
          </w:p>
        </w:tc>
      </w:tr>
    </w:tbl>
    <w:p w:rsidR="00A11C04" w:rsidRDefault="00A11C04" w:rsidP="00A11C04"/>
    <w:p w:rsidR="00AB2C23" w:rsidRDefault="00AB2C23">
      <w:pPr>
        <w:rPr>
          <w:rFonts w:ascii="Shruti" w:hAnsi="Shruti" w:cs="Shruti"/>
          <w:b/>
          <w:bCs/>
          <w:color w:val="000000"/>
        </w:rPr>
      </w:pPr>
    </w:p>
    <w:sectPr w:rsidR="00AB2C23" w:rsidSect="00A11C04">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2A5" w:rsidRDefault="004F12A5">
      <w:r>
        <w:separator/>
      </w:r>
    </w:p>
  </w:endnote>
  <w:endnote w:type="continuationSeparator" w:id="0">
    <w:p w:rsidR="004F12A5" w:rsidRDefault="004F12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998" w:rsidRDefault="003D1998">
    <w:pPr>
      <w:spacing w:line="240" w:lineRule="exact"/>
    </w:pPr>
  </w:p>
  <w:p w:rsidR="003D1998" w:rsidRDefault="003D1998">
    <w:pPr>
      <w:framePr w:w="9361" w:wrap="notBeside" w:vAnchor="text" w:hAnchor="text" w:x="1" w:y="1"/>
      <w:jc w:val="center"/>
    </w:pPr>
    <w:fldSimple w:instr="PAGE ">
      <w:r w:rsidR="00E33C93">
        <w:rPr>
          <w:noProof/>
        </w:rPr>
        <w:t>14</w:t>
      </w:r>
    </w:fldSimple>
  </w:p>
  <w:p w:rsidR="003D1998" w:rsidRDefault="003D199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2A5" w:rsidRDefault="004F12A5">
      <w:r>
        <w:separator/>
      </w:r>
    </w:p>
  </w:footnote>
  <w:footnote w:type="continuationSeparator" w:id="0">
    <w:p w:rsidR="004F12A5" w:rsidRDefault="004F12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998" w:rsidRDefault="003D1998"/>
  <w:p w:rsidR="003D1998" w:rsidRDefault="003D1998">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998" w:rsidRDefault="003D1998"/>
  <w:p w:rsidR="003D1998" w:rsidRDefault="003D1998">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74A8872"/>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Triangles"/>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4"/>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5">
    <w:nsid w:val="0000000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6B15C19"/>
    <w:multiLevelType w:val="hybridMultilevel"/>
    <w:tmpl w:val="B64E8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CE44736"/>
    <w:multiLevelType w:val="hybridMultilevel"/>
    <w:tmpl w:val="FBA21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11563A4"/>
    <w:multiLevelType w:val="hybridMultilevel"/>
    <w:tmpl w:val="113201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63A34A1"/>
    <w:multiLevelType w:val="hybridMultilevel"/>
    <w:tmpl w:val="74CE72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DD40BEA"/>
    <w:multiLevelType w:val="hybridMultilevel"/>
    <w:tmpl w:val="C820E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2"/>
      <w:lvl w:ilvl="0">
        <w:start w:val="2"/>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4">
    <w:abstractNumId w:val="7"/>
  </w:num>
  <w:num w:numId="5">
    <w:abstractNumId w:val="9"/>
  </w:num>
  <w:num w:numId="6">
    <w:abstractNumId w:val="8"/>
  </w:num>
  <w:num w:numId="7">
    <w:abstractNumId w:val="1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56E3"/>
    <w:rsid w:val="000819FE"/>
    <w:rsid w:val="00092297"/>
    <w:rsid w:val="000C0BC5"/>
    <w:rsid w:val="000D4132"/>
    <w:rsid w:val="001177BC"/>
    <w:rsid w:val="001740DA"/>
    <w:rsid w:val="001867CE"/>
    <w:rsid w:val="001A4F65"/>
    <w:rsid w:val="001B1071"/>
    <w:rsid w:val="001D1725"/>
    <w:rsid w:val="001F007F"/>
    <w:rsid w:val="002011A7"/>
    <w:rsid w:val="00215E5B"/>
    <w:rsid w:val="0025016C"/>
    <w:rsid w:val="002565D2"/>
    <w:rsid w:val="002570A9"/>
    <w:rsid w:val="002806E1"/>
    <w:rsid w:val="002B5AC3"/>
    <w:rsid w:val="002C10EC"/>
    <w:rsid w:val="002C7097"/>
    <w:rsid w:val="00307F30"/>
    <w:rsid w:val="00315B36"/>
    <w:rsid w:val="0039025C"/>
    <w:rsid w:val="003940F6"/>
    <w:rsid w:val="003D1998"/>
    <w:rsid w:val="0047669E"/>
    <w:rsid w:val="004F12A5"/>
    <w:rsid w:val="00610C34"/>
    <w:rsid w:val="006456E3"/>
    <w:rsid w:val="00676782"/>
    <w:rsid w:val="006B5DE4"/>
    <w:rsid w:val="006E2C09"/>
    <w:rsid w:val="006E5430"/>
    <w:rsid w:val="00706F72"/>
    <w:rsid w:val="00736D9A"/>
    <w:rsid w:val="007B01D9"/>
    <w:rsid w:val="007B41AF"/>
    <w:rsid w:val="007F5B06"/>
    <w:rsid w:val="00867F7F"/>
    <w:rsid w:val="008A708C"/>
    <w:rsid w:val="008B79A6"/>
    <w:rsid w:val="008D178B"/>
    <w:rsid w:val="00987083"/>
    <w:rsid w:val="00993114"/>
    <w:rsid w:val="009E0491"/>
    <w:rsid w:val="009F6A63"/>
    <w:rsid w:val="00A11C04"/>
    <w:rsid w:val="00A71CBD"/>
    <w:rsid w:val="00A85C79"/>
    <w:rsid w:val="00AA05E0"/>
    <w:rsid w:val="00AB2C23"/>
    <w:rsid w:val="00B27847"/>
    <w:rsid w:val="00B66A33"/>
    <w:rsid w:val="00C003AF"/>
    <w:rsid w:val="00C05AB7"/>
    <w:rsid w:val="00C377E0"/>
    <w:rsid w:val="00CA7C23"/>
    <w:rsid w:val="00CF69B1"/>
    <w:rsid w:val="00D0083B"/>
    <w:rsid w:val="00D15F67"/>
    <w:rsid w:val="00DA6C44"/>
    <w:rsid w:val="00DB3598"/>
    <w:rsid w:val="00DC06CF"/>
    <w:rsid w:val="00DF0685"/>
    <w:rsid w:val="00E16AB6"/>
    <w:rsid w:val="00E33C93"/>
    <w:rsid w:val="00E35DF0"/>
    <w:rsid w:val="00EB2108"/>
    <w:rsid w:val="00ED324D"/>
    <w:rsid w:val="00F30D13"/>
    <w:rsid w:val="00F7636A"/>
    <w:rsid w:val="00FC46F2"/>
    <w:rsid w:val="00FE360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Indent">
    <w:name w:val="Body Text Indent"/>
    <w:basedOn w:val="Normal"/>
    <w:pPr>
      <w:ind w:firstLine="720"/>
    </w:pPr>
  </w:style>
  <w:style w:type="paragraph" w:styleId="FootnoteText">
    <w:name w:val="footnote text"/>
    <w:basedOn w:val="Normal"/>
    <w:link w:val="FootnoteTextChar"/>
    <w:rsid w:val="00FC46F2"/>
    <w:rPr>
      <w:sz w:val="20"/>
      <w:szCs w:val="20"/>
    </w:rPr>
  </w:style>
  <w:style w:type="character" w:customStyle="1" w:styleId="FootnoteTextChar">
    <w:name w:val="Footnote Text Char"/>
    <w:basedOn w:val="DefaultParagraphFont"/>
    <w:link w:val="FootnoteText"/>
    <w:rsid w:val="00FC46F2"/>
  </w:style>
  <w:style w:type="table" w:styleId="TableGrid">
    <w:name w:val="Table Grid"/>
    <w:basedOn w:val="TableNormal"/>
    <w:uiPriority w:val="59"/>
    <w:rsid w:val="00A11C04"/>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610C34"/>
    <w:pPr>
      <w:tabs>
        <w:tab w:val="center" w:pos="4680"/>
        <w:tab w:val="right" w:pos="9360"/>
      </w:tabs>
    </w:pPr>
  </w:style>
  <w:style w:type="character" w:customStyle="1" w:styleId="HeaderChar">
    <w:name w:val="Header Char"/>
    <w:basedOn w:val="DefaultParagraphFont"/>
    <w:link w:val="Header"/>
    <w:rsid w:val="00610C34"/>
    <w:rPr>
      <w:sz w:val="24"/>
      <w:szCs w:val="24"/>
    </w:rPr>
  </w:style>
  <w:style w:type="paragraph" w:styleId="Footer">
    <w:name w:val="footer"/>
    <w:basedOn w:val="Normal"/>
    <w:link w:val="FooterChar"/>
    <w:rsid w:val="00610C34"/>
    <w:pPr>
      <w:tabs>
        <w:tab w:val="center" w:pos="4680"/>
        <w:tab w:val="right" w:pos="9360"/>
      </w:tabs>
    </w:pPr>
  </w:style>
  <w:style w:type="character" w:customStyle="1" w:styleId="FooterChar">
    <w:name w:val="Footer Char"/>
    <w:basedOn w:val="DefaultParagraphFont"/>
    <w:link w:val="Footer"/>
    <w:rsid w:val="00610C34"/>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DB97C-5668-448D-A4E5-A73719C38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5313</Words>
  <Characters>30286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
  <LinksUpToDate>false</LinksUpToDate>
  <CharactersWithSpaces>35528</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rcolyer</dc:creator>
  <cp:keywords/>
  <dc:description/>
  <cp:lastModifiedBy>ckerwin</cp:lastModifiedBy>
  <cp:revision>2</cp:revision>
  <cp:lastPrinted>2011-08-30T16:16:00Z</cp:lastPrinted>
  <dcterms:created xsi:type="dcterms:W3CDTF">2012-01-17T14:26:00Z</dcterms:created>
  <dcterms:modified xsi:type="dcterms:W3CDTF">2012-01-17T14:26:00Z</dcterms:modified>
</cp:coreProperties>
</file>