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A9" w:rsidRPr="00BE1671" w:rsidRDefault="000914A9" w:rsidP="00BE1671">
      <w:pPr>
        <w:pStyle w:val="Title"/>
        <w:spacing w:before="0"/>
        <w:rPr>
          <w:rFonts w:ascii="Calibri" w:hAnsi="Calibri"/>
        </w:rPr>
      </w:pPr>
      <w:bookmarkStart w:id="0" w:name="_GoBack"/>
      <w:bookmarkStart w:id="1" w:name="_Toc277610534"/>
      <w:bookmarkStart w:id="2" w:name="_Toc194326997"/>
      <w:bookmarkStart w:id="3" w:name="_Toc194460413"/>
      <w:bookmarkStart w:id="4" w:name="_Toc240286005"/>
      <w:bookmarkStart w:id="5" w:name="_Toc248896471"/>
      <w:bookmarkStart w:id="6" w:name="_Toc268775278"/>
      <w:bookmarkStart w:id="7" w:name="_Toc268870620"/>
      <w:bookmarkStart w:id="8" w:name="_Toc269137991"/>
      <w:bookmarkEnd w:id="0"/>
      <w:r w:rsidRPr="00BE1671">
        <w:rPr>
          <w:rFonts w:ascii="Calibri" w:hAnsi="Calibri"/>
        </w:rPr>
        <w:t>Contract # ED-CFO-10-A-0110-0001</w:t>
      </w:r>
    </w:p>
    <w:p w:rsidR="000914A9" w:rsidRDefault="000914A9" w:rsidP="00BE1671">
      <w:pPr>
        <w:spacing w:line="276" w:lineRule="auto"/>
        <w:jc w:val="center"/>
        <w:rPr>
          <w:rFonts w:ascii="Calibri" w:hAnsi="Calibri"/>
          <w:b/>
          <w:color w:val="000000"/>
          <w:sz w:val="48"/>
        </w:rPr>
      </w:pPr>
      <w:r w:rsidRPr="00BE1671">
        <w:rPr>
          <w:rFonts w:ascii="Calibri" w:hAnsi="Calibri"/>
          <w:b/>
          <w:color w:val="000000"/>
          <w:sz w:val="48"/>
        </w:rPr>
        <w:t>21</w:t>
      </w:r>
      <w:r w:rsidRPr="00BE1671">
        <w:rPr>
          <w:rFonts w:ascii="Calibri" w:hAnsi="Calibri"/>
          <w:b/>
          <w:color w:val="000000"/>
          <w:sz w:val="48"/>
          <w:vertAlign w:val="superscript"/>
        </w:rPr>
        <w:t>st</w:t>
      </w:r>
      <w:r w:rsidRPr="00BE1671">
        <w:rPr>
          <w:rFonts w:ascii="Calibri" w:hAnsi="Calibri"/>
          <w:b/>
          <w:color w:val="000000"/>
          <w:sz w:val="48"/>
        </w:rPr>
        <w:t xml:space="preserve"> Century Community Learning Centers: </w:t>
      </w:r>
      <w:r w:rsidR="005750E1">
        <w:rPr>
          <w:rFonts w:ascii="Calibri" w:hAnsi="Calibri"/>
          <w:b/>
          <w:color w:val="000000"/>
          <w:sz w:val="48"/>
        </w:rPr>
        <w:t>Lessons Learned</w:t>
      </w:r>
      <w:r w:rsidRPr="00BE1671">
        <w:rPr>
          <w:rFonts w:ascii="Calibri" w:hAnsi="Calibri"/>
          <w:b/>
          <w:color w:val="000000"/>
          <w:sz w:val="48"/>
        </w:rPr>
        <w:t xml:space="preserve"> Guides</w:t>
      </w:r>
    </w:p>
    <w:p w:rsidR="000914A9" w:rsidRDefault="000914A9" w:rsidP="00BE1671">
      <w:pPr>
        <w:spacing w:line="276" w:lineRule="auto"/>
        <w:jc w:val="center"/>
        <w:rPr>
          <w:rFonts w:ascii="Calibri" w:hAnsi="Calibri"/>
          <w:color w:val="000000"/>
        </w:rPr>
      </w:pPr>
    </w:p>
    <w:p w:rsidR="000914A9" w:rsidRPr="00BE1671" w:rsidRDefault="000914A9" w:rsidP="00BE1671">
      <w:pPr>
        <w:spacing w:line="276" w:lineRule="auto"/>
        <w:jc w:val="center"/>
        <w:rPr>
          <w:rFonts w:ascii="Calibri" w:hAnsi="Calibri"/>
          <w:i/>
          <w:sz w:val="36"/>
        </w:rPr>
      </w:pPr>
      <w:r>
        <w:rPr>
          <w:rFonts w:ascii="Calibri" w:hAnsi="Calibri"/>
          <w:i/>
          <w:sz w:val="36"/>
        </w:rPr>
        <w:t>Deliverable 3.</w:t>
      </w:r>
      <w:r w:rsidR="00FC37C5">
        <w:rPr>
          <w:rFonts w:ascii="Calibri" w:hAnsi="Calibri"/>
          <w:i/>
          <w:sz w:val="36"/>
        </w:rPr>
        <w:t>5</w:t>
      </w:r>
      <w:r>
        <w:rPr>
          <w:rFonts w:ascii="Calibri" w:hAnsi="Calibri"/>
          <w:i/>
          <w:sz w:val="36"/>
        </w:rPr>
        <w:t xml:space="preserve"> (1 of 2)</w:t>
      </w:r>
      <w:r w:rsidRPr="00BE1671">
        <w:rPr>
          <w:rFonts w:ascii="Calibri" w:hAnsi="Calibri"/>
          <w:i/>
          <w:sz w:val="36"/>
        </w:rPr>
        <w:t xml:space="preserve">: </w:t>
      </w:r>
      <w:r w:rsidR="00FC37C5">
        <w:rPr>
          <w:rFonts w:ascii="Calibri" w:hAnsi="Calibri"/>
          <w:i/>
          <w:sz w:val="36"/>
        </w:rPr>
        <w:t>Final</w:t>
      </w:r>
      <w:r>
        <w:rPr>
          <w:rFonts w:ascii="Calibri" w:hAnsi="Calibri"/>
          <w:i/>
          <w:sz w:val="36"/>
        </w:rPr>
        <w:t xml:space="preserve"> OMB Package</w:t>
      </w:r>
    </w:p>
    <w:p w:rsidR="000914A9" w:rsidRDefault="000914A9" w:rsidP="00BE1671">
      <w:pPr>
        <w:spacing w:line="276" w:lineRule="auto"/>
        <w:jc w:val="center"/>
        <w:rPr>
          <w:rFonts w:ascii="Calibri" w:hAnsi="Calibri"/>
          <w:sz w:val="32"/>
        </w:rPr>
      </w:pPr>
    </w:p>
    <w:p w:rsidR="000914A9" w:rsidRDefault="000914A9" w:rsidP="00BE1671">
      <w:pPr>
        <w:spacing w:line="276" w:lineRule="auto"/>
        <w:jc w:val="center"/>
        <w:rPr>
          <w:rFonts w:ascii="Calibri" w:hAnsi="Calibri"/>
          <w:sz w:val="32"/>
        </w:rPr>
      </w:pPr>
      <w:r>
        <w:rPr>
          <w:rFonts w:ascii="Calibri" w:hAnsi="Calibri"/>
          <w:sz w:val="32"/>
        </w:rPr>
        <w:t>Supporting Statement for Paperwork Reduction Act “A”</w:t>
      </w:r>
    </w:p>
    <w:p w:rsidR="000914A9" w:rsidRPr="00BE1671" w:rsidRDefault="000914A9" w:rsidP="00BE1671">
      <w:pPr>
        <w:spacing w:line="276" w:lineRule="auto"/>
        <w:jc w:val="center"/>
        <w:rPr>
          <w:rFonts w:ascii="Calibri" w:hAnsi="Calibri"/>
          <w:sz w:val="32"/>
        </w:rPr>
      </w:pPr>
    </w:p>
    <w:p w:rsidR="000914A9" w:rsidRDefault="000914A9" w:rsidP="00BE1671">
      <w:pPr>
        <w:spacing w:line="276" w:lineRule="auto"/>
        <w:jc w:val="center"/>
        <w:rPr>
          <w:rFonts w:ascii="Calibri" w:hAnsi="Calibri"/>
          <w:sz w:val="32"/>
        </w:rPr>
      </w:pPr>
      <w:r>
        <w:rPr>
          <w:rFonts w:ascii="Calibri" w:hAnsi="Calibri"/>
          <w:sz w:val="32"/>
        </w:rPr>
        <w:t xml:space="preserve"> January 16, 2011</w:t>
      </w:r>
    </w:p>
    <w:p w:rsidR="001131D3" w:rsidRDefault="001131D3" w:rsidP="00BE1671">
      <w:pPr>
        <w:spacing w:line="276" w:lineRule="auto"/>
        <w:jc w:val="center"/>
        <w:rPr>
          <w:rFonts w:ascii="Calibri" w:hAnsi="Calibri"/>
          <w:sz w:val="32"/>
        </w:rPr>
      </w:pPr>
      <w:r>
        <w:rPr>
          <w:rFonts w:ascii="Calibri" w:hAnsi="Calibri"/>
          <w:sz w:val="32"/>
        </w:rPr>
        <w:t>Revised January 31, 2012</w:t>
      </w:r>
    </w:p>
    <w:p w:rsidR="002D640D" w:rsidRPr="00BE1671" w:rsidRDefault="002D640D" w:rsidP="00BE1671">
      <w:pPr>
        <w:spacing w:line="276" w:lineRule="auto"/>
        <w:jc w:val="center"/>
        <w:rPr>
          <w:rFonts w:ascii="Calibri" w:hAnsi="Calibri"/>
          <w:sz w:val="32"/>
        </w:rPr>
      </w:pPr>
      <w:r>
        <w:rPr>
          <w:rFonts w:ascii="Calibri" w:hAnsi="Calibri"/>
          <w:sz w:val="32"/>
        </w:rPr>
        <w:t>Revised February 6, 2012</w:t>
      </w:r>
    </w:p>
    <w:p w:rsidR="000914A9" w:rsidRDefault="000914A9" w:rsidP="00BE1671">
      <w:pPr>
        <w:spacing w:line="276" w:lineRule="auto"/>
        <w:jc w:val="center"/>
        <w:rPr>
          <w:rFonts w:ascii="Calibri" w:hAnsi="Calibri"/>
          <w:sz w:val="32"/>
        </w:rPr>
      </w:pPr>
    </w:p>
    <w:p w:rsidR="000914A9" w:rsidRPr="00BE1671" w:rsidRDefault="000914A9" w:rsidP="00BE1671">
      <w:pPr>
        <w:spacing w:line="276" w:lineRule="auto"/>
        <w:jc w:val="center"/>
        <w:rPr>
          <w:rFonts w:ascii="Calibri" w:hAnsi="Calibri"/>
          <w:sz w:val="28"/>
        </w:rPr>
      </w:pPr>
      <w:r w:rsidRPr="00BE1671">
        <w:rPr>
          <w:rFonts w:ascii="Calibri" w:hAnsi="Calibri"/>
          <w:sz w:val="28"/>
        </w:rPr>
        <w:t>Prepared for</w:t>
      </w:r>
    </w:p>
    <w:p w:rsidR="000914A9" w:rsidRPr="00BE1671" w:rsidRDefault="00F979A7" w:rsidP="00BE1671">
      <w:pPr>
        <w:spacing w:line="276" w:lineRule="auto"/>
        <w:jc w:val="center"/>
        <w:rPr>
          <w:rFonts w:ascii="Calibri" w:hAnsi="Calibri"/>
          <w:b/>
          <w:sz w:val="28"/>
        </w:rPr>
      </w:pPr>
      <w:r>
        <w:rPr>
          <w:noProof/>
        </w:rPr>
        <w:drawing>
          <wp:anchor distT="0" distB="0" distL="114300" distR="114300" simplePos="0" relativeHeight="251657728" behindDoc="0" locked="0" layoutInCell="1" allowOverlap="1">
            <wp:simplePos x="0" y="0"/>
            <wp:positionH relativeFrom="column">
              <wp:posOffset>2120900</wp:posOffset>
            </wp:positionH>
            <wp:positionV relativeFrom="paragraph">
              <wp:posOffset>114935</wp:posOffset>
            </wp:positionV>
            <wp:extent cx="1689100" cy="168910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689100" cy="1689100"/>
                    </a:xfrm>
                    <a:prstGeom prst="rect">
                      <a:avLst/>
                    </a:prstGeom>
                    <a:noFill/>
                  </pic:spPr>
                </pic:pic>
              </a:graphicData>
            </a:graphic>
          </wp:anchor>
        </w:drawing>
      </w:r>
    </w:p>
    <w:p w:rsidR="000914A9" w:rsidRPr="00BE1671" w:rsidRDefault="000914A9" w:rsidP="00BE1671">
      <w:pPr>
        <w:spacing w:line="276" w:lineRule="auto"/>
        <w:jc w:val="center"/>
        <w:rPr>
          <w:rFonts w:ascii="Calibri" w:hAnsi="Calibri"/>
          <w:b/>
          <w:sz w:val="28"/>
        </w:rPr>
      </w:pPr>
    </w:p>
    <w:p w:rsidR="000914A9" w:rsidRPr="00BE1671" w:rsidRDefault="000914A9" w:rsidP="00BE1671">
      <w:pPr>
        <w:spacing w:line="276" w:lineRule="auto"/>
        <w:jc w:val="center"/>
        <w:rPr>
          <w:rFonts w:ascii="Calibri" w:hAnsi="Calibri"/>
          <w:b/>
          <w:sz w:val="28"/>
        </w:rPr>
      </w:pPr>
    </w:p>
    <w:p w:rsidR="000914A9" w:rsidRPr="00BE1671" w:rsidRDefault="000914A9" w:rsidP="00BE1671">
      <w:pPr>
        <w:spacing w:line="276" w:lineRule="auto"/>
        <w:jc w:val="center"/>
        <w:rPr>
          <w:rFonts w:ascii="Calibri" w:hAnsi="Calibri"/>
          <w:b/>
          <w:sz w:val="28"/>
        </w:rPr>
      </w:pPr>
    </w:p>
    <w:p w:rsidR="000914A9" w:rsidRPr="00BE1671" w:rsidRDefault="000914A9" w:rsidP="00BE1671">
      <w:pPr>
        <w:spacing w:line="276" w:lineRule="auto"/>
        <w:jc w:val="center"/>
        <w:rPr>
          <w:rFonts w:ascii="Calibri" w:hAnsi="Calibri"/>
          <w:b/>
          <w:sz w:val="28"/>
        </w:rPr>
      </w:pPr>
    </w:p>
    <w:p w:rsidR="000914A9" w:rsidRPr="00BE1671" w:rsidRDefault="000914A9" w:rsidP="00BE1671">
      <w:pPr>
        <w:spacing w:line="276" w:lineRule="auto"/>
        <w:jc w:val="center"/>
        <w:rPr>
          <w:rFonts w:ascii="Calibri" w:hAnsi="Calibri"/>
          <w:b/>
          <w:sz w:val="28"/>
        </w:rPr>
      </w:pPr>
    </w:p>
    <w:p w:rsidR="000914A9" w:rsidRPr="00BE1671" w:rsidRDefault="000914A9" w:rsidP="00BE1671">
      <w:pPr>
        <w:spacing w:line="276" w:lineRule="auto"/>
        <w:jc w:val="center"/>
        <w:rPr>
          <w:rFonts w:ascii="Calibri" w:hAnsi="Calibri"/>
          <w:b/>
          <w:sz w:val="28"/>
        </w:rPr>
      </w:pPr>
    </w:p>
    <w:p w:rsidR="000914A9" w:rsidRDefault="000914A9" w:rsidP="00BE1671">
      <w:pPr>
        <w:spacing w:line="276" w:lineRule="auto"/>
        <w:jc w:val="center"/>
        <w:rPr>
          <w:rFonts w:ascii="Calibri" w:hAnsi="Calibri"/>
          <w:b/>
          <w:sz w:val="28"/>
        </w:rPr>
      </w:pPr>
    </w:p>
    <w:p w:rsidR="000914A9" w:rsidRPr="00BE1671" w:rsidRDefault="000914A9" w:rsidP="00BE1671">
      <w:pPr>
        <w:spacing w:line="276" w:lineRule="auto"/>
        <w:jc w:val="center"/>
        <w:rPr>
          <w:rFonts w:ascii="Calibri" w:hAnsi="Calibri"/>
          <w:b/>
          <w:sz w:val="28"/>
        </w:rPr>
      </w:pPr>
    </w:p>
    <w:p w:rsidR="000914A9" w:rsidRDefault="000914A9" w:rsidP="00BE1671">
      <w:pPr>
        <w:spacing w:line="276" w:lineRule="auto"/>
        <w:jc w:val="center"/>
        <w:rPr>
          <w:rFonts w:ascii="Calibri" w:hAnsi="Calibri"/>
          <w:sz w:val="28"/>
        </w:rPr>
      </w:pPr>
      <w:r w:rsidRPr="00BE1671">
        <w:rPr>
          <w:rFonts w:ascii="Calibri" w:hAnsi="Calibri"/>
          <w:sz w:val="28"/>
        </w:rPr>
        <w:t>Prepared by</w:t>
      </w:r>
    </w:p>
    <w:p w:rsidR="00FC37C5" w:rsidRPr="00BE1671" w:rsidRDefault="00FC37C5" w:rsidP="00BE1671">
      <w:pPr>
        <w:spacing w:line="276" w:lineRule="auto"/>
        <w:jc w:val="center"/>
        <w:rPr>
          <w:rFonts w:ascii="Calibri" w:hAnsi="Calibri"/>
          <w:sz w:val="28"/>
        </w:rPr>
      </w:pPr>
    </w:p>
    <w:p w:rsidR="000914A9" w:rsidRPr="00BE1671" w:rsidRDefault="00F979A7" w:rsidP="00BE1671">
      <w:pPr>
        <w:spacing w:line="276" w:lineRule="auto"/>
        <w:jc w:val="center"/>
        <w:rPr>
          <w:rFonts w:ascii="Calibri" w:hAnsi="Calibri"/>
          <w:b/>
          <w:sz w:val="28"/>
        </w:rPr>
      </w:pPr>
      <w:r>
        <w:rPr>
          <w:noProof/>
        </w:rPr>
        <w:drawing>
          <wp:inline distT="0" distB="0" distL="0" distR="0">
            <wp:extent cx="3328670" cy="822960"/>
            <wp:effectExtent l="19050" t="0" r="5080" b="0"/>
            <wp:docPr id="1" name="Picture 1" descr="C:\Users\kristy.krivickas\AppData\Local\AppData\Local\Microsoft\Windows\Temporary Internet Files\Content.Outlook\6ZQ3SHRB\msglogo 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y.krivickas\AppData\Local\AppData\Local\Microsoft\Windows\Temporary Internet Files\Content.Outlook\6ZQ3SHRB\msglogo NEW.gif"/>
                    <pic:cNvPicPr>
                      <a:picLocks noChangeAspect="1" noChangeArrowheads="1"/>
                    </pic:cNvPicPr>
                  </pic:nvPicPr>
                  <pic:blipFill>
                    <a:blip r:embed="rId8" cstate="print"/>
                    <a:srcRect/>
                    <a:stretch>
                      <a:fillRect/>
                    </a:stretch>
                  </pic:blipFill>
                  <pic:spPr bwMode="auto">
                    <a:xfrm>
                      <a:off x="0" y="0"/>
                      <a:ext cx="3328670" cy="822960"/>
                    </a:xfrm>
                    <a:prstGeom prst="rect">
                      <a:avLst/>
                    </a:prstGeom>
                    <a:noFill/>
                    <a:ln w="9525">
                      <a:noFill/>
                      <a:miter lim="800000"/>
                      <a:headEnd/>
                      <a:tailEnd/>
                    </a:ln>
                  </pic:spPr>
                </pic:pic>
              </a:graphicData>
            </a:graphic>
          </wp:inline>
        </w:drawing>
      </w:r>
    </w:p>
    <w:p w:rsidR="000914A9" w:rsidRPr="00BE1671" w:rsidRDefault="000914A9" w:rsidP="00BE1671">
      <w:pPr>
        <w:rPr>
          <w:rFonts w:ascii="Calibri" w:hAnsi="Calibri"/>
          <w:b/>
          <w:sz w:val="28"/>
        </w:rPr>
      </w:pPr>
    </w:p>
    <w:p w:rsidR="000914A9" w:rsidRPr="000025E8" w:rsidRDefault="000914A9" w:rsidP="00BE1671">
      <w:pPr>
        <w:pStyle w:val="HEAD1"/>
        <w:spacing w:after="0" w:line="240" w:lineRule="auto"/>
        <w:rPr>
          <w:rFonts w:ascii="Times New Roman" w:hAnsi="Times New Roman"/>
          <w:sz w:val="24"/>
        </w:rPr>
      </w:pPr>
      <w:r w:rsidRPr="000C106E">
        <w:rPr>
          <w:b w:val="0"/>
          <w:sz w:val="28"/>
        </w:rPr>
        <w:br w:type="page"/>
      </w:r>
      <w:r w:rsidRPr="000025E8">
        <w:rPr>
          <w:rFonts w:ascii="Times New Roman" w:hAnsi="Times New Roman"/>
          <w:sz w:val="24"/>
        </w:rPr>
        <w:lastRenderedPageBreak/>
        <w:t>Supporting Statement for Paperwork Reduction Act</w:t>
      </w:r>
      <w:bookmarkEnd w:id="1"/>
    </w:p>
    <w:p w:rsidR="000914A9" w:rsidRDefault="000914A9" w:rsidP="004E5DD1">
      <w:pPr>
        <w:pStyle w:val="HEAD-2"/>
        <w:spacing w:after="0" w:line="240" w:lineRule="auto"/>
        <w:rPr>
          <w:rFonts w:ascii="Times New Roman" w:hAnsi="Times New Roman"/>
          <w:sz w:val="24"/>
        </w:rPr>
      </w:pPr>
      <w:r w:rsidRPr="004E5DD1">
        <w:rPr>
          <w:rFonts w:ascii="Times New Roman" w:hAnsi="Times New Roman"/>
          <w:b w:val="0"/>
          <w:smallCaps w:val="0"/>
          <w:sz w:val="24"/>
        </w:rPr>
        <w:t>A.</w:t>
      </w:r>
      <w:r>
        <w:rPr>
          <w:rFonts w:ascii="Times New Roman" w:hAnsi="Times New Roman"/>
          <w:smallCaps w:val="0"/>
          <w:sz w:val="24"/>
        </w:rPr>
        <w:t xml:space="preserve"> JUSTIFICATION</w:t>
      </w:r>
    </w:p>
    <w:p w:rsidR="000914A9" w:rsidRPr="000025E8" w:rsidRDefault="000914A9" w:rsidP="00C0150B">
      <w:pPr>
        <w:pStyle w:val="HEAD-2"/>
        <w:spacing w:after="0" w:line="240" w:lineRule="auto"/>
        <w:jc w:val="left"/>
        <w:rPr>
          <w:rFonts w:ascii="Times New Roman" w:hAnsi="Times New Roman"/>
          <w:sz w:val="24"/>
        </w:rPr>
      </w:pPr>
    </w:p>
    <w:p w:rsidR="000914A9" w:rsidRPr="000025E8" w:rsidRDefault="000914A9" w:rsidP="00C0150B">
      <w:pPr>
        <w:pStyle w:val="Heading2"/>
        <w:tabs>
          <w:tab w:val="left" w:pos="540"/>
        </w:tabs>
        <w:ind w:left="547" w:hanging="547"/>
        <w:rPr>
          <w:i/>
        </w:rPr>
      </w:pPr>
      <w:r w:rsidRPr="000025E8">
        <w:rPr>
          <w:i/>
        </w:rPr>
        <w:t>1.</w:t>
      </w:r>
      <w:r w:rsidRPr="000025E8">
        <w:rPr>
          <w:i/>
        </w:rPr>
        <w:tab/>
        <w:t>Circumstances making collection of information necessary</w:t>
      </w:r>
    </w:p>
    <w:p w:rsidR="000914A9" w:rsidRDefault="000914A9" w:rsidP="00C0150B">
      <w:pPr>
        <w:tabs>
          <w:tab w:val="left" w:pos="-1440"/>
        </w:tabs>
      </w:pPr>
    </w:p>
    <w:p w:rsidR="000914A9" w:rsidRPr="000025E8" w:rsidRDefault="000914A9" w:rsidP="00C0150B">
      <w:pPr>
        <w:tabs>
          <w:tab w:val="left" w:pos="-1440"/>
        </w:tabs>
      </w:pPr>
      <w:r w:rsidRPr="00240710">
        <w:t>The U.S. Department of Education’s 21</w:t>
      </w:r>
      <w:r w:rsidRPr="00240710">
        <w:rPr>
          <w:vertAlign w:val="superscript"/>
        </w:rPr>
        <w:t>st</w:t>
      </w:r>
      <w:r w:rsidRPr="00240710">
        <w:t xml:space="preserve"> Century Community Learning Centers (21</w:t>
      </w:r>
      <w:r w:rsidRPr="00240710">
        <w:rPr>
          <w:vertAlign w:val="superscript"/>
        </w:rPr>
        <w:t>st</w:t>
      </w:r>
      <w:r w:rsidRPr="00240710">
        <w:t xml:space="preserve"> CCLC) program </w:t>
      </w:r>
      <w:r w:rsidRPr="000025E8">
        <w:t xml:space="preserve">is authorized under Title IV, Part B, of the Elementary and Secondary Education Act (ESEA), as amended by the </w:t>
      </w:r>
      <w:r w:rsidRPr="000025E8">
        <w:rPr>
          <w:i/>
          <w:iCs/>
        </w:rPr>
        <w:t>No Child Left Behind Act of 200</w:t>
      </w:r>
      <w:r>
        <w:rPr>
          <w:i/>
          <w:iCs/>
        </w:rPr>
        <w:t>1</w:t>
      </w:r>
      <w:r w:rsidRPr="000025E8">
        <w:t>. The program’s purposes are to create community learning centers that provide students with academic enrichment opportunities as well as additional activities designed to complement their regular academic program. The 21</w:t>
      </w:r>
      <w:r w:rsidRPr="000025E8">
        <w:rPr>
          <w:vertAlign w:val="superscript"/>
        </w:rPr>
        <w:t>st</w:t>
      </w:r>
      <w:r w:rsidRPr="000025E8">
        <w:t xml:space="preserve"> CCLC program is designed to provide activities to address the educational, health, social services, cultural, and recreational needs of students after regular school hours, on weekends</w:t>
      </w:r>
      <w:r>
        <w:t>,</w:t>
      </w:r>
      <w:r w:rsidRPr="000025E8">
        <w:t xml:space="preserve"> and during the summer</w:t>
      </w:r>
      <w:r>
        <w:t xml:space="preserve"> at school sites</w:t>
      </w:r>
      <w:r w:rsidRPr="000025E8">
        <w:t xml:space="preserve">. By providing more time for enrichment and academics, </w:t>
      </w:r>
      <w:r>
        <w:t xml:space="preserve">the </w:t>
      </w:r>
      <w:r w:rsidRPr="000025E8">
        <w:t>21</w:t>
      </w:r>
      <w:r w:rsidRPr="000025E8">
        <w:rPr>
          <w:vertAlign w:val="superscript"/>
        </w:rPr>
        <w:t>st</w:t>
      </w:r>
      <w:r>
        <w:t xml:space="preserve"> CCLC</w:t>
      </w:r>
      <w:r w:rsidRPr="000025E8">
        <w:t xml:space="preserve"> </w:t>
      </w:r>
      <w:r>
        <w:t xml:space="preserve">program </w:t>
      </w:r>
      <w:r w:rsidRPr="000025E8">
        <w:t>play</w:t>
      </w:r>
      <w:r>
        <w:t>s</w:t>
      </w:r>
      <w:r w:rsidRPr="000025E8">
        <w:t xml:space="preserve"> an important role in ensuring that all students are college- and career-ready.</w:t>
      </w:r>
    </w:p>
    <w:p w:rsidR="000914A9" w:rsidRPr="000025E8" w:rsidRDefault="000914A9" w:rsidP="00C0150B">
      <w:pPr>
        <w:rPr>
          <w:bCs/>
        </w:rPr>
      </w:pPr>
    </w:p>
    <w:p w:rsidR="000914A9" w:rsidRDefault="000914A9" w:rsidP="00C0150B">
      <w:r w:rsidRPr="00240710">
        <w:t xml:space="preserve">Building on its investment in these centers nationwide, the Department </w:t>
      </w:r>
      <w:r>
        <w:t xml:space="preserve">has continuously sought to identify and promote those practices that best support the program’s goals of complementing participants’ regular academic program and helping them become college- and career-ready.  The Department </w:t>
      </w:r>
      <w:r w:rsidRPr="00240710">
        <w:t xml:space="preserve">commissioned this study to </w:t>
      </w:r>
      <w:r>
        <w:t>learn from the field about programmatic successes and challenges</w:t>
      </w:r>
      <w:r w:rsidRPr="00240710">
        <w:t xml:space="preserve"> for four </w:t>
      </w:r>
      <w:r>
        <w:t>topic</w:t>
      </w:r>
      <w:r w:rsidRPr="00240710">
        <w:t xml:space="preserve"> a</w:t>
      </w:r>
      <w:r>
        <w:t xml:space="preserve">reas of afterschool programming: </w:t>
      </w:r>
      <w:r w:rsidRPr="00240710">
        <w:t xml:space="preserve">(1) </w:t>
      </w:r>
      <w:r>
        <w:t>S</w:t>
      </w:r>
      <w:r w:rsidRPr="00240710">
        <w:t xml:space="preserve">cience, </w:t>
      </w:r>
      <w:r>
        <w:t>T</w:t>
      </w:r>
      <w:r w:rsidRPr="00240710">
        <w:t xml:space="preserve">echnology, </w:t>
      </w:r>
      <w:r>
        <w:t>E</w:t>
      </w:r>
      <w:r w:rsidRPr="00240710">
        <w:t xml:space="preserve">ngineering, and </w:t>
      </w:r>
      <w:r>
        <w:t>M</w:t>
      </w:r>
      <w:r w:rsidRPr="00240710">
        <w:t xml:space="preserve">ath (STEM), </w:t>
      </w:r>
      <w:r w:rsidRPr="00240710">
        <w:rPr>
          <w:bCs/>
        </w:rPr>
        <w:t xml:space="preserve">(2) English </w:t>
      </w:r>
      <w:r>
        <w:rPr>
          <w:bCs/>
        </w:rPr>
        <w:t>L</w:t>
      </w:r>
      <w:r w:rsidRPr="00240710">
        <w:rPr>
          <w:bCs/>
        </w:rPr>
        <w:t>earners (EL</w:t>
      </w:r>
      <w:r>
        <w:rPr>
          <w:bCs/>
        </w:rPr>
        <w:t>s</w:t>
      </w:r>
      <w:r w:rsidRPr="00240710">
        <w:rPr>
          <w:bCs/>
        </w:rPr>
        <w:t xml:space="preserve">), </w:t>
      </w:r>
      <w:r w:rsidRPr="00240710">
        <w:t xml:space="preserve">(3) </w:t>
      </w:r>
      <w:r>
        <w:t>C</w:t>
      </w:r>
      <w:r w:rsidRPr="00240710">
        <w:t xml:space="preserve">areer and </w:t>
      </w:r>
      <w:r>
        <w:t>T</w:t>
      </w:r>
      <w:r w:rsidRPr="00240710">
        <w:t xml:space="preserve">echnical </w:t>
      </w:r>
      <w:r>
        <w:t>E</w:t>
      </w:r>
      <w:r w:rsidRPr="00240710">
        <w:t xml:space="preserve">ducation (CTE), and (4) structures to increase learning time (ILT). </w:t>
      </w:r>
      <w:r>
        <w:t>Knowledge of the curricula, enrichment activities, and strategies related to these topics that are currently used within 21</w:t>
      </w:r>
      <w:r w:rsidRPr="00321DEA">
        <w:rPr>
          <w:vertAlign w:val="superscript"/>
        </w:rPr>
        <w:t>st</w:t>
      </w:r>
      <w:r>
        <w:t xml:space="preserve"> CCLC sites remains limited, and </w:t>
      </w:r>
      <w:r w:rsidRPr="008A004E">
        <w:t xml:space="preserve">it is important to determine how </w:t>
      </w:r>
      <w:r>
        <w:t>these topics are being</w:t>
      </w:r>
      <w:r w:rsidRPr="008A004E">
        <w:t xml:space="preserve"> implemented by individual </w:t>
      </w:r>
      <w:r>
        <w:t>sub</w:t>
      </w:r>
      <w:r w:rsidRPr="008A004E">
        <w:t xml:space="preserve">grantees. </w:t>
      </w:r>
      <w:r>
        <w:t>(Please note that 21</w:t>
      </w:r>
      <w:r w:rsidRPr="00AA6973">
        <w:rPr>
          <w:vertAlign w:val="superscript"/>
        </w:rPr>
        <w:t>st</w:t>
      </w:r>
      <w:r>
        <w:t xml:space="preserve"> CCLC subgrantees may operate a single program site or may implement a program across multiple sites. This study is designed to concentrate its research and observations at the site, rather than the program, level.)</w:t>
      </w:r>
      <w:r w:rsidR="002D640D">
        <w:t xml:space="preserve">  It should be noted that </w:t>
      </w:r>
      <w:proofErr w:type="spellStart"/>
      <w:r w:rsidR="002D640D">
        <w:t>subgrantees</w:t>
      </w:r>
      <w:proofErr w:type="spellEnd"/>
      <w:r w:rsidR="002D640D">
        <w:t xml:space="preserve"> have an obligation to respond to research requests such as this study in order to retain a benefit (ESEA, Sec. 9306(a)(4)).</w:t>
      </w:r>
    </w:p>
    <w:p w:rsidR="000914A9" w:rsidRDefault="000914A9" w:rsidP="00C0150B"/>
    <w:p w:rsidR="000914A9" w:rsidRDefault="000914A9" w:rsidP="00C0150B">
      <w:r>
        <w:t>Specifically, the Department is interested in learning about particular practices related to each of the topic areas as they are currently being implemented by 21</w:t>
      </w:r>
      <w:r w:rsidRPr="00437219">
        <w:rPr>
          <w:vertAlign w:val="superscript"/>
        </w:rPr>
        <w:t>st</w:t>
      </w:r>
      <w:r>
        <w:t xml:space="preserve"> CCLC sites. A practice is defined here as any instructional approach, programmatic structure, or other activity or strategy enacted by a program as part of its organization or operation. The topic-area specific practices in which the Department is most interested are as follows:</w:t>
      </w:r>
    </w:p>
    <w:p w:rsidR="000914A9" w:rsidRDefault="000914A9" w:rsidP="00C0150B"/>
    <w:p w:rsidR="000914A9" w:rsidRPr="00993BB4" w:rsidRDefault="000914A9" w:rsidP="00437219">
      <w:pPr>
        <w:pStyle w:val="ListParagraph"/>
        <w:numPr>
          <w:ilvl w:val="0"/>
          <w:numId w:val="42"/>
        </w:numPr>
        <w:autoSpaceDE w:val="0"/>
        <w:autoSpaceDN w:val="0"/>
        <w:adjustRightInd w:val="0"/>
        <w:rPr>
          <w:i/>
          <w:iCs/>
        </w:rPr>
      </w:pPr>
      <w:r w:rsidRPr="00993BB4">
        <w:rPr>
          <w:i/>
          <w:iCs/>
        </w:rPr>
        <w:t>STEM</w:t>
      </w:r>
      <w:r>
        <w:rPr>
          <w:iCs/>
        </w:rPr>
        <w:t xml:space="preserve">.  The Department is looking for practices </w:t>
      </w:r>
      <w:r w:rsidRPr="00993BB4">
        <w:rPr>
          <w:iCs/>
        </w:rPr>
        <w:t xml:space="preserve">to give students the knowledge, skills, and experiences to be prepared to go into a STEM field </w:t>
      </w:r>
      <w:r>
        <w:rPr>
          <w:iCs/>
        </w:rPr>
        <w:t>or</w:t>
      </w:r>
      <w:r w:rsidRPr="00993BB4">
        <w:rPr>
          <w:iCs/>
        </w:rPr>
        <w:t xml:space="preserve"> know whether they are interested in a STEM field. </w:t>
      </w:r>
      <w:r>
        <w:rPr>
          <w:iCs/>
        </w:rPr>
        <w:t>This may involve practices including i</w:t>
      </w:r>
      <w:r w:rsidRPr="00993BB4">
        <w:rPr>
          <w:iCs/>
        </w:rPr>
        <w:t>nquiry-based learning,</w:t>
      </w:r>
      <w:r>
        <w:rPr>
          <w:iCs/>
        </w:rPr>
        <w:t xml:space="preserve"> p</w:t>
      </w:r>
      <w:r w:rsidRPr="00993BB4">
        <w:rPr>
          <w:iCs/>
        </w:rPr>
        <w:t>artnerships (e.g., with community-based orga</w:t>
      </w:r>
      <w:r>
        <w:rPr>
          <w:iCs/>
        </w:rPr>
        <w:t>nizations or businesses</w:t>
      </w:r>
      <w:r w:rsidRPr="00993BB4">
        <w:rPr>
          <w:iCs/>
        </w:rPr>
        <w:t>), and</w:t>
      </w:r>
      <w:r>
        <w:rPr>
          <w:iCs/>
        </w:rPr>
        <w:t xml:space="preserve"> p</w:t>
      </w:r>
      <w:r w:rsidRPr="00993BB4">
        <w:rPr>
          <w:iCs/>
        </w:rPr>
        <w:t>rofessional development for staff to understand inquiry-based learning and</w:t>
      </w:r>
      <w:r>
        <w:rPr>
          <w:iCs/>
        </w:rPr>
        <w:t xml:space="preserve"> know where to find information on STEM topics</w:t>
      </w:r>
      <w:r w:rsidRPr="00993BB4">
        <w:rPr>
          <w:iCs/>
        </w:rPr>
        <w:t>.</w:t>
      </w:r>
      <w:r>
        <w:rPr>
          <w:iCs/>
        </w:rPr>
        <w:t xml:space="preserve"> It may also involve practices aimed at engaging students in scientific discourse and inquiry, designing engineering projects, using technology, or practicing math concepts in creative ways.</w:t>
      </w:r>
    </w:p>
    <w:p w:rsidR="000914A9" w:rsidRPr="00962C0F" w:rsidRDefault="000914A9" w:rsidP="00437219">
      <w:pPr>
        <w:pStyle w:val="ListParagraph"/>
        <w:numPr>
          <w:ilvl w:val="0"/>
          <w:numId w:val="42"/>
        </w:numPr>
        <w:autoSpaceDE w:val="0"/>
        <w:autoSpaceDN w:val="0"/>
        <w:adjustRightInd w:val="0"/>
        <w:rPr>
          <w:i/>
          <w:iCs/>
        </w:rPr>
      </w:pPr>
      <w:r w:rsidRPr="00962C0F">
        <w:rPr>
          <w:i/>
          <w:iCs/>
        </w:rPr>
        <w:lastRenderedPageBreak/>
        <w:t>EL</w:t>
      </w:r>
      <w:r>
        <w:rPr>
          <w:iCs/>
        </w:rPr>
        <w:t>.</w:t>
      </w:r>
      <w:r>
        <w:rPr>
          <w:i/>
          <w:iCs/>
        </w:rPr>
        <w:t xml:space="preserve">  </w:t>
      </w:r>
      <w:r>
        <w:rPr>
          <w:iCs/>
        </w:rPr>
        <w:t>The Department is looking for practices (either in programs with dedicated EL activities or programs that have a substantial population of EL participants) that help make</w:t>
      </w:r>
      <w:r w:rsidRPr="00962C0F">
        <w:rPr>
          <w:iCs/>
        </w:rPr>
        <w:t xml:space="preserve"> ELs proficient in English and </w:t>
      </w:r>
      <w:r>
        <w:rPr>
          <w:iCs/>
        </w:rPr>
        <w:t>equip them</w:t>
      </w:r>
      <w:r w:rsidRPr="00962C0F">
        <w:rPr>
          <w:iCs/>
        </w:rPr>
        <w:t xml:space="preserve"> with the skills needed to participate fully in society, </w:t>
      </w:r>
      <w:r>
        <w:rPr>
          <w:iCs/>
        </w:rPr>
        <w:t xml:space="preserve">both academically and socially. This may include oral English practice, division of students by fluency level, use of English in meaningful and creative ways, or activities that address the socioeconomic needs of EL students. It will also include </w:t>
      </w:r>
      <w:r w:rsidRPr="00962C0F">
        <w:rPr>
          <w:iCs/>
        </w:rPr>
        <w:t xml:space="preserve">strategies to engage and support EL families. </w:t>
      </w:r>
      <w:r>
        <w:rPr>
          <w:iCs/>
        </w:rPr>
        <w:t>The Department aims to examine practices aimed at Spanish-language students as well as a diversity of other language communities.</w:t>
      </w:r>
    </w:p>
    <w:p w:rsidR="000914A9" w:rsidRPr="00962C0F" w:rsidRDefault="000914A9" w:rsidP="00437219">
      <w:pPr>
        <w:pStyle w:val="ListParagraph"/>
        <w:numPr>
          <w:ilvl w:val="0"/>
          <w:numId w:val="42"/>
        </w:numPr>
        <w:autoSpaceDE w:val="0"/>
        <w:autoSpaceDN w:val="0"/>
        <w:adjustRightInd w:val="0"/>
        <w:rPr>
          <w:i/>
          <w:iCs/>
        </w:rPr>
      </w:pPr>
      <w:r w:rsidRPr="00993BB4">
        <w:rPr>
          <w:i/>
          <w:iCs/>
        </w:rPr>
        <w:t>CTE</w:t>
      </w:r>
      <w:r>
        <w:rPr>
          <w:iCs/>
        </w:rPr>
        <w:t>.  The Department is looking for practices that give</w:t>
      </w:r>
      <w:r w:rsidRPr="00993BB4">
        <w:rPr>
          <w:iCs/>
        </w:rPr>
        <w:t xml:space="preserve"> students the knowledge, skills, and experiences to prepare them for career</w:t>
      </w:r>
      <w:r>
        <w:rPr>
          <w:iCs/>
        </w:rPr>
        <w:t>s</w:t>
      </w:r>
      <w:r w:rsidRPr="00993BB4">
        <w:rPr>
          <w:iCs/>
        </w:rPr>
        <w:t xml:space="preserve">. </w:t>
      </w:r>
      <w:r>
        <w:rPr>
          <w:iCs/>
        </w:rPr>
        <w:t>This may include practices around p</w:t>
      </w:r>
      <w:r w:rsidRPr="00962C0F">
        <w:rPr>
          <w:iCs/>
        </w:rPr>
        <w:t>artnerships,</w:t>
      </w:r>
      <w:r>
        <w:rPr>
          <w:iCs/>
        </w:rPr>
        <w:t xml:space="preserve"> internships (</w:t>
      </w:r>
      <w:r w:rsidRPr="00962C0F">
        <w:rPr>
          <w:iCs/>
        </w:rPr>
        <w:t>particularly internships that provide a learning experience</w:t>
      </w:r>
      <w:r>
        <w:rPr>
          <w:iCs/>
        </w:rPr>
        <w:t>)</w:t>
      </w:r>
      <w:r w:rsidRPr="00962C0F">
        <w:rPr>
          <w:iCs/>
        </w:rPr>
        <w:t xml:space="preserve">, </w:t>
      </w:r>
      <w:r>
        <w:rPr>
          <w:iCs/>
        </w:rPr>
        <w:t>instruction in job-related and general employability skills, and practice in higher-order reasoning and problem-solving skills</w:t>
      </w:r>
      <w:r w:rsidRPr="00962C0F">
        <w:rPr>
          <w:iCs/>
        </w:rPr>
        <w:t xml:space="preserve">. </w:t>
      </w:r>
    </w:p>
    <w:p w:rsidR="000914A9" w:rsidRPr="00962C0F" w:rsidRDefault="000914A9" w:rsidP="00437219">
      <w:pPr>
        <w:pStyle w:val="ListParagraph"/>
        <w:numPr>
          <w:ilvl w:val="0"/>
          <w:numId w:val="42"/>
        </w:numPr>
        <w:autoSpaceDE w:val="0"/>
        <w:autoSpaceDN w:val="0"/>
        <w:adjustRightInd w:val="0"/>
        <w:rPr>
          <w:i/>
          <w:iCs/>
        </w:rPr>
      </w:pPr>
      <w:r>
        <w:rPr>
          <w:i/>
          <w:iCs/>
        </w:rPr>
        <w:t xml:space="preserve">ILT.  </w:t>
      </w:r>
      <w:r w:rsidRPr="00993BB4">
        <w:rPr>
          <w:iCs/>
        </w:rPr>
        <w:t xml:space="preserve">The Department is </w:t>
      </w:r>
      <w:r>
        <w:rPr>
          <w:iCs/>
        </w:rPr>
        <w:t>looking for practices that support a programmatic focus on aligning with the school day</w:t>
      </w:r>
      <w:r w:rsidRPr="00993BB4">
        <w:rPr>
          <w:iCs/>
        </w:rPr>
        <w:t xml:space="preserve">. </w:t>
      </w:r>
      <w:r>
        <w:rPr>
          <w:iCs/>
        </w:rPr>
        <w:t xml:space="preserve">This may include practices such as shared professional </w:t>
      </w:r>
      <w:r w:rsidR="00924AFB">
        <w:rPr>
          <w:iCs/>
        </w:rPr>
        <w:t xml:space="preserve">development, shared curriculum, </w:t>
      </w:r>
      <w:r>
        <w:rPr>
          <w:iCs/>
        </w:rPr>
        <w:t xml:space="preserve">or shared planning time between regular school day and afterschool staff. It may also include reinforcement of concepts learned during the school day and explicit alignment of activities with school day learning standards.  </w:t>
      </w:r>
    </w:p>
    <w:p w:rsidR="000914A9" w:rsidRDefault="000914A9" w:rsidP="00C0150B"/>
    <w:p w:rsidR="000914A9" w:rsidRDefault="000914A9" w:rsidP="00C0150B"/>
    <w:p w:rsidR="000914A9" w:rsidRPr="000025E8" w:rsidRDefault="000914A9" w:rsidP="00C0150B">
      <w:pPr>
        <w:pStyle w:val="Heading2"/>
        <w:tabs>
          <w:tab w:val="left" w:pos="540"/>
        </w:tabs>
        <w:ind w:left="547" w:hanging="547"/>
        <w:rPr>
          <w:i/>
        </w:rPr>
      </w:pPr>
      <w:r w:rsidRPr="000025E8">
        <w:rPr>
          <w:i/>
        </w:rPr>
        <w:t>2.</w:t>
      </w:r>
      <w:r w:rsidRPr="000025E8">
        <w:rPr>
          <w:i/>
        </w:rPr>
        <w:tab/>
        <w:t>Purposes and uses of the data</w:t>
      </w:r>
    </w:p>
    <w:p w:rsidR="000914A9" w:rsidRDefault="000914A9" w:rsidP="00C0150B">
      <w:pPr>
        <w:rPr>
          <w:bCs/>
        </w:rPr>
      </w:pPr>
    </w:p>
    <w:p w:rsidR="000914A9" w:rsidRPr="008158AF" w:rsidRDefault="000914A9" w:rsidP="00C0150B">
      <w:pPr>
        <w:rPr>
          <w:bCs/>
        </w:rPr>
      </w:pPr>
      <w:r w:rsidRPr="00DA7DE3">
        <w:rPr>
          <w:bCs/>
        </w:rPr>
        <w:t xml:space="preserve">The field data collection portion of the study will involve case studies conducted in </w:t>
      </w:r>
      <w:r>
        <w:rPr>
          <w:bCs/>
        </w:rPr>
        <w:t>60 21</w:t>
      </w:r>
      <w:r w:rsidRPr="00DA7DE3">
        <w:rPr>
          <w:bCs/>
          <w:vertAlign w:val="superscript"/>
        </w:rPr>
        <w:t>st</w:t>
      </w:r>
      <w:r>
        <w:rPr>
          <w:bCs/>
        </w:rPr>
        <w:t xml:space="preserve"> CCLC programs</w:t>
      </w:r>
      <w:r w:rsidRPr="00DA7DE3">
        <w:rPr>
          <w:bCs/>
        </w:rPr>
        <w:t xml:space="preserve"> nationwide </w:t>
      </w:r>
      <w:r>
        <w:rPr>
          <w:bCs/>
        </w:rPr>
        <w:t xml:space="preserve">(15 programs per topic area) </w:t>
      </w:r>
      <w:r w:rsidRPr="00DA7DE3">
        <w:rPr>
          <w:bCs/>
        </w:rPr>
        <w:t xml:space="preserve">to document </w:t>
      </w:r>
      <w:r>
        <w:rPr>
          <w:bCs/>
        </w:rPr>
        <w:t>practices related to the topic areas</w:t>
      </w:r>
      <w:r w:rsidRPr="00DA7DE3">
        <w:rPr>
          <w:bCs/>
        </w:rPr>
        <w:t xml:space="preserve">. </w:t>
      </w:r>
      <w:r w:rsidRPr="00240710">
        <w:t xml:space="preserve">Through </w:t>
      </w:r>
      <w:r>
        <w:t>site visits</w:t>
      </w:r>
      <w:r w:rsidRPr="00240710">
        <w:t xml:space="preserve"> and subsequent case study analysis, </w:t>
      </w:r>
      <w:r w:rsidRPr="00240710">
        <w:rPr>
          <w:bCs/>
        </w:rPr>
        <w:t>four “</w:t>
      </w:r>
      <w:r>
        <w:rPr>
          <w:bCs/>
        </w:rPr>
        <w:t>Lessons Learned</w:t>
      </w:r>
      <w:r w:rsidRPr="00240710">
        <w:rPr>
          <w:bCs/>
        </w:rPr>
        <w:t xml:space="preserve"> Guides</w:t>
      </w:r>
      <w:r>
        <w:rPr>
          <w:bCs/>
        </w:rPr>
        <w:t>” will be produced.</w:t>
      </w:r>
      <w:r w:rsidRPr="00240710">
        <w:rPr>
          <w:bCs/>
        </w:rPr>
        <w:t xml:space="preserve"> </w:t>
      </w:r>
      <w:r>
        <w:rPr>
          <w:bCs/>
        </w:rPr>
        <w:t xml:space="preserve">The guides will provide specific information on programmatic and instructional practices related to each of the topic areas. For STEM, this will include information on </w:t>
      </w:r>
      <w:r w:rsidRPr="00A64546">
        <w:rPr>
          <w:bCs/>
        </w:rPr>
        <w:t>practices aimed at engaging students in scientific discourse and inquiry, designing engineering projects, using technology, or practicing</w:t>
      </w:r>
      <w:r>
        <w:rPr>
          <w:bCs/>
        </w:rPr>
        <w:t xml:space="preserve"> math concepts in creative ways. It will also encompass inquiry-based learning practices, identification and utilization of partnerships, and the use of professional development activities to aid staff in learning STEM instructional techniques and provide access to background information on STEM topics. For EL, this will include information on practices aimed at making EL students across a diversity of language communities more proficient in English and better able to function academically and socially; it will also include strategies around communicating with and supporting EL families. For CTE, this will include information on effective partnerships, appropriate use of internships, and instructional practices around instilling and reinforcing practical job skills, general employability skills, and higher-order reasoning and problem-solving skills. For ILT, this will include programmatic and instructional strategies for aligning to the school day through techniques such as shared professional development and resources, reinforcement of school day concepts, and alignment to school day learning standards. In addition to information on the specific topic area practices described above, the study is designed to identify new or emergent practices within the sites. To this end, aspects of the interview protocols and the observation protocols are designed to remain open-ended to allow site visitors to identify new examples of programmatic and instructional practices in each topic area rather than to evaluate the program’s adherence to a preexistent list of practices. Ultimately, the guides will be designed to include information that </w:t>
      </w:r>
      <w:r>
        <w:rPr>
          <w:bCs/>
        </w:rPr>
        <w:lastRenderedPageBreak/>
        <w:t>21</w:t>
      </w:r>
      <w:r w:rsidRPr="006505E3">
        <w:rPr>
          <w:bCs/>
          <w:vertAlign w:val="superscript"/>
        </w:rPr>
        <w:t>st</w:t>
      </w:r>
      <w:r>
        <w:rPr>
          <w:bCs/>
        </w:rPr>
        <w:t xml:space="preserve"> CCLC subgrantees can use to improve their program. T</w:t>
      </w:r>
      <w:r w:rsidRPr="00240710">
        <w:rPr>
          <w:bCs/>
        </w:rPr>
        <w:t xml:space="preserve">he Department’s staff </w:t>
      </w:r>
      <w:r>
        <w:rPr>
          <w:bCs/>
        </w:rPr>
        <w:t xml:space="preserve">will also use the guide to </w:t>
      </w:r>
      <w:r w:rsidRPr="00240710">
        <w:rPr>
          <w:bCs/>
        </w:rPr>
        <w:t>provid</w:t>
      </w:r>
      <w:r>
        <w:rPr>
          <w:bCs/>
        </w:rPr>
        <w:t>e</w:t>
      </w:r>
      <w:r w:rsidRPr="00240710">
        <w:rPr>
          <w:bCs/>
        </w:rPr>
        <w:t xml:space="preserve"> technical assistance to grantees. The g</w:t>
      </w:r>
      <w:r>
        <w:rPr>
          <w:bCs/>
        </w:rPr>
        <w:t>uides will</w:t>
      </w:r>
      <w:r w:rsidRPr="00240710">
        <w:rPr>
          <w:bCs/>
        </w:rPr>
        <w:t xml:space="preserve"> be </w:t>
      </w:r>
      <w:r>
        <w:rPr>
          <w:bCs/>
        </w:rPr>
        <w:t>posted on the U.S. Department of Education website</w:t>
      </w:r>
      <w:r w:rsidRPr="00240710">
        <w:rPr>
          <w:bCs/>
        </w:rPr>
        <w:t xml:space="preserve">.  </w:t>
      </w:r>
    </w:p>
    <w:p w:rsidR="000914A9" w:rsidRDefault="000914A9" w:rsidP="00C0150B">
      <w:pPr>
        <w:rPr>
          <w:bCs/>
        </w:rPr>
      </w:pPr>
    </w:p>
    <w:p w:rsidR="000914A9" w:rsidRPr="00DA7DE3" w:rsidRDefault="000914A9" w:rsidP="00C0150B">
      <w:pPr>
        <w:rPr>
          <w:bCs/>
        </w:rPr>
      </w:pPr>
    </w:p>
    <w:p w:rsidR="000914A9" w:rsidRPr="000025E8" w:rsidRDefault="000914A9" w:rsidP="00C0150B">
      <w:pPr>
        <w:pStyle w:val="Heading2"/>
        <w:tabs>
          <w:tab w:val="left" w:pos="540"/>
        </w:tabs>
        <w:rPr>
          <w:i/>
        </w:rPr>
      </w:pPr>
      <w:r w:rsidRPr="000025E8">
        <w:rPr>
          <w:i/>
        </w:rPr>
        <w:t>3.</w:t>
      </w:r>
      <w:r w:rsidRPr="000025E8">
        <w:rPr>
          <w:i/>
        </w:rPr>
        <w:tab/>
        <w:t>Use of technology to reduce burden</w:t>
      </w:r>
    </w:p>
    <w:p w:rsidR="000914A9" w:rsidRDefault="000914A9" w:rsidP="00C0150B"/>
    <w:p w:rsidR="000914A9" w:rsidRPr="00500542" w:rsidRDefault="000914A9" w:rsidP="00C0150B">
      <w:r>
        <w:t>Both the pre</w:t>
      </w:r>
      <w:r w:rsidR="00D16482">
        <w:t>-</w:t>
      </w:r>
      <w:r>
        <w:t>selection screening tool and the information survey</w:t>
      </w:r>
      <w:r w:rsidRPr="000025E8">
        <w:t xml:space="preserve"> will be available online</w:t>
      </w:r>
      <w:r>
        <w:t xml:space="preserve">. </w:t>
      </w:r>
      <w:r w:rsidRPr="000025E8">
        <w:t xml:space="preserve">The use of multiple skip patterns, integrated </w:t>
      </w:r>
      <w:r>
        <w:t>in</w:t>
      </w:r>
      <w:r w:rsidRPr="000025E8">
        <w:t xml:space="preserve">to the online survey, will greatly reduce burden on respondents by presenting them only with </w:t>
      </w:r>
      <w:r>
        <w:t xml:space="preserve">relevant </w:t>
      </w:r>
      <w:r w:rsidRPr="000025E8">
        <w:t xml:space="preserve">questions. </w:t>
      </w:r>
      <w:r>
        <w:t xml:space="preserve">In order to further reduce burden, the information survey will be pre-populated wherever possible with information from the screening tool. </w:t>
      </w:r>
      <w:r w:rsidRPr="000025E8">
        <w:t>All respondents will have the option to request the s</w:t>
      </w:r>
      <w:r w:rsidR="00FC37C5">
        <w:t>urvey in hard copy format. The w</w:t>
      </w:r>
      <w:r w:rsidRPr="000025E8">
        <w:t>eb-based survey will be password protected.</w:t>
      </w:r>
      <w:r>
        <w:t xml:space="preserve"> </w:t>
      </w:r>
    </w:p>
    <w:p w:rsidR="000914A9" w:rsidRPr="000025E8" w:rsidRDefault="000914A9" w:rsidP="00C0150B"/>
    <w:p w:rsidR="000914A9" w:rsidRPr="000025E8" w:rsidRDefault="000914A9" w:rsidP="00C0150B"/>
    <w:p w:rsidR="000914A9" w:rsidRPr="000025E8" w:rsidRDefault="000914A9" w:rsidP="00C0150B">
      <w:pPr>
        <w:pStyle w:val="Heading2"/>
        <w:tabs>
          <w:tab w:val="left" w:pos="540"/>
        </w:tabs>
        <w:ind w:left="547" w:hanging="547"/>
        <w:rPr>
          <w:i/>
        </w:rPr>
      </w:pPr>
      <w:r w:rsidRPr="000025E8">
        <w:rPr>
          <w:i/>
        </w:rPr>
        <w:t>4.</w:t>
      </w:r>
      <w:r w:rsidRPr="000025E8">
        <w:rPr>
          <w:i/>
        </w:rPr>
        <w:tab/>
        <w:t>Efforts to identify duplication</w:t>
      </w:r>
    </w:p>
    <w:p w:rsidR="000914A9" w:rsidRDefault="000914A9" w:rsidP="00C0150B"/>
    <w:p w:rsidR="000914A9" w:rsidRPr="00254EC1" w:rsidRDefault="000914A9" w:rsidP="00C0150B">
      <w:r w:rsidRPr="000025E8">
        <w:t>Th</w:t>
      </w:r>
      <w:r>
        <w:t>is</w:t>
      </w:r>
      <w:r w:rsidRPr="000025E8">
        <w:t xml:space="preserve"> study of </w:t>
      </w:r>
      <w:r>
        <w:t>lessons learned from 21</w:t>
      </w:r>
      <w:r w:rsidRPr="006505E3">
        <w:rPr>
          <w:vertAlign w:val="superscript"/>
        </w:rPr>
        <w:t>st</w:t>
      </w:r>
      <w:r>
        <w:t xml:space="preserve"> CCLC</w:t>
      </w:r>
      <w:r w:rsidRPr="000025E8">
        <w:t xml:space="preserve"> </w:t>
      </w:r>
      <w:r>
        <w:t xml:space="preserve">activities </w:t>
      </w:r>
      <w:r w:rsidRPr="000025E8">
        <w:t>in t</w:t>
      </w:r>
      <w:r>
        <w:t xml:space="preserve">he four topic areas </w:t>
      </w:r>
      <w:r w:rsidRPr="000025E8">
        <w:t xml:space="preserve">represents </w:t>
      </w:r>
      <w:r>
        <w:t>the Department’s</w:t>
      </w:r>
      <w:r w:rsidRPr="000025E8">
        <w:t xml:space="preserve"> first and only study aimed at compiling data in </w:t>
      </w:r>
      <w:r>
        <w:t>these</w:t>
      </w:r>
      <w:r w:rsidRPr="000025E8">
        <w:t xml:space="preserve"> areas</w:t>
      </w:r>
      <w:r>
        <w:t xml:space="preserve"> for the 21</w:t>
      </w:r>
      <w:r w:rsidRPr="00254EC1">
        <w:rPr>
          <w:vertAlign w:val="superscript"/>
        </w:rPr>
        <w:t>st</w:t>
      </w:r>
      <w:r>
        <w:t xml:space="preserve"> CCLC program.</w:t>
      </w:r>
      <w:r w:rsidRPr="000025E8">
        <w:t xml:space="preserve"> The Department has not conducted any other </w:t>
      </w:r>
      <w:r>
        <w:t>research studies</w:t>
      </w:r>
      <w:r w:rsidRPr="000025E8">
        <w:t xml:space="preserve"> on these topics since the start of the program. </w:t>
      </w:r>
    </w:p>
    <w:p w:rsidR="000914A9" w:rsidRPr="000025E8" w:rsidRDefault="000914A9" w:rsidP="00C0150B"/>
    <w:p w:rsidR="000914A9" w:rsidRPr="000025E8" w:rsidRDefault="000914A9" w:rsidP="00C0150B"/>
    <w:p w:rsidR="000914A9" w:rsidRPr="000025E8" w:rsidRDefault="000914A9" w:rsidP="00C0150B">
      <w:pPr>
        <w:pStyle w:val="Heading2"/>
        <w:tabs>
          <w:tab w:val="left" w:pos="540"/>
        </w:tabs>
        <w:ind w:left="547" w:hanging="547"/>
        <w:rPr>
          <w:i/>
        </w:rPr>
      </w:pPr>
      <w:r w:rsidRPr="000025E8">
        <w:rPr>
          <w:i/>
        </w:rPr>
        <w:t>5.</w:t>
      </w:r>
      <w:r w:rsidRPr="000025E8">
        <w:rPr>
          <w:i/>
        </w:rPr>
        <w:tab/>
        <w:t>Methods to minimize burden on small entities</w:t>
      </w:r>
    </w:p>
    <w:p w:rsidR="000914A9" w:rsidRDefault="000914A9" w:rsidP="00C0150B"/>
    <w:p w:rsidR="000914A9" w:rsidRDefault="000914A9" w:rsidP="00C0150B">
      <w:r>
        <w:t>Some of the 21</w:t>
      </w:r>
      <w:r w:rsidRPr="000034A8">
        <w:rPr>
          <w:vertAlign w:val="superscript"/>
        </w:rPr>
        <w:t>st</w:t>
      </w:r>
      <w:r>
        <w:t xml:space="preserve"> CCLC subgrantees selected</w:t>
      </w:r>
      <w:r w:rsidRPr="000034A8">
        <w:t xml:space="preserve"> </w:t>
      </w:r>
      <w:r>
        <w:t xml:space="preserve">may be </w:t>
      </w:r>
      <w:r w:rsidRPr="000034A8">
        <w:t xml:space="preserve">community-based organizations, and some of these may be small entities. These </w:t>
      </w:r>
      <w:r>
        <w:t>programs</w:t>
      </w:r>
      <w:r w:rsidRPr="000034A8">
        <w:t xml:space="preserve"> will experience the same level of burden as all other </w:t>
      </w:r>
      <w:r>
        <w:t>programs</w:t>
      </w:r>
      <w:r w:rsidRPr="000034A8">
        <w:t xml:space="preserve"> and will be able to use technology to reduce burden.</w:t>
      </w:r>
      <w:r>
        <w:t xml:space="preserve"> We are not able to take further steps to minimize the burden on these programs as we need to ensure consistency in the data collected across all subgrantees.</w:t>
      </w:r>
    </w:p>
    <w:p w:rsidR="000914A9" w:rsidRDefault="000914A9" w:rsidP="00C0150B"/>
    <w:p w:rsidR="000914A9" w:rsidRPr="000025E8" w:rsidRDefault="000914A9" w:rsidP="00C0150B"/>
    <w:p w:rsidR="000914A9" w:rsidRPr="000025E8" w:rsidRDefault="000914A9" w:rsidP="00C0150B">
      <w:pPr>
        <w:pStyle w:val="Heading2"/>
        <w:tabs>
          <w:tab w:val="left" w:pos="540"/>
        </w:tabs>
        <w:ind w:left="547" w:hanging="547"/>
        <w:rPr>
          <w:i/>
        </w:rPr>
      </w:pPr>
      <w:r w:rsidRPr="000025E8">
        <w:rPr>
          <w:i/>
        </w:rPr>
        <w:t>6.</w:t>
      </w:r>
      <w:r w:rsidRPr="000025E8">
        <w:rPr>
          <w:i/>
        </w:rPr>
        <w:tab/>
        <w:t>Consequences of not collecting the data</w:t>
      </w:r>
    </w:p>
    <w:p w:rsidR="000914A9" w:rsidRDefault="000914A9" w:rsidP="00C0150B"/>
    <w:p w:rsidR="000914A9" w:rsidRDefault="000914A9" w:rsidP="00C0150B">
      <w:r w:rsidRPr="000025E8">
        <w:t>The 21</w:t>
      </w:r>
      <w:r w:rsidRPr="000025E8">
        <w:rPr>
          <w:vertAlign w:val="superscript"/>
        </w:rPr>
        <w:t>st</w:t>
      </w:r>
      <w:r>
        <w:t xml:space="preserve"> CCLC</w:t>
      </w:r>
      <w:r w:rsidRPr="000025E8">
        <w:t xml:space="preserve"> </w:t>
      </w:r>
      <w:r>
        <w:t xml:space="preserve">program </w:t>
      </w:r>
      <w:r w:rsidRPr="000025E8">
        <w:t xml:space="preserve">is </w:t>
      </w:r>
      <w:r>
        <w:t xml:space="preserve">a government-funded program and </w:t>
      </w:r>
      <w:r w:rsidRPr="000025E8">
        <w:t xml:space="preserve">one of the only federal funding sources for </w:t>
      </w:r>
      <w:r>
        <w:t>out-of-school time</w:t>
      </w:r>
      <w:r w:rsidRPr="000025E8">
        <w:t xml:space="preserve"> education</w:t>
      </w:r>
      <w:r>
        <w:t>, including afterschool and summer programs</w:t>
      </w:r>
      <w:r w:rsidRPr="000025E8">
        <w:t xml:space="preserve">. </w:t>
      </w:r>
      <w:r>
        <w:t>To date</w:t>
      </w:r>
      <w:r w:rsidRPr="000025E8">
        <w:t xml:space="preserve">, </w:t>
      </w:r>
      <w:r>
        <w:t>the Department</w:t>
      </w:r>
      <w:r w:rsidRPr="000025E8">
        <w:t xml:space="preserve"> has not captured or documented the range of </w:t>
      </w:r>
      <w:r>
        <w:t>curricula, enrichment activities, and strategies related to the topic areas that are currently used within 21</w:t>
      </w:r>
      <w:r w:rsidRPr="00321DEA">
        <w:rPr>
          <w:vertAlign w:val="superscript"/>
        </w:rPr>
        <w:t>st</w:t>
      </w:r>
      <w:r>
        <w:t xml:space="preserve"> CCLC sites. If this data is not collected, the Department will have an incomplete understanding of current</w:t>
      </w:r>
      <w:r w:rsidRPr="000025E8">
        <w:t xml:space="preserve"> </w:t>
      </w:r>
      <w:r>
        <w:t xml:space="preserve">practices in these topic areas and will be limited in its </w:t>
      </w:r>
      <w:r w:rsidRPr="00352B38">
        <w:t>capacity</w:t>
      </w:r>
      <w:r w:rsidRPr="00352B38" w:rsidDel="00F762B0">
        <w:t xml:space="preserve"> </w:t>
      </w:r>
      <w:r w:rsidRPr="00352B38">
        <w:t xml:space="preserve">to provide useful </w:t>
      </w:r>
      <w:r w:rsidRPr="00240710">
        <w:rPr>
          <w:bCs/>
        </w:rPr>
        <w:t>technical assistance to grantees</w:t>
      </w:r>
      <w:r>
        <w:rPr>
          <w:bCs/>
        </w:rPr>
        <w:t xml:space="preserve"> in areas that are projected to grow in upcoming years. </w:t>
      </w:r>
    </w:p>
    <w:p w:rsidR="000914A9" w:rsidRDefault="000914A9" w:rsidP="00C0150B"/>
    <w:p w:rsidR="000914A9" w:rsidRPr="000025E8" w:rsidRDefault="000914A9" w:rsidP="00C0150B"/>
    <w:p w:rsidR="000914A9" w:rsidRPr="000025E8" w:rsidRDefault="000914A9" w:rsidP="00C0150B">
      <w:pPr>
        <w:pStyle w:val="Heading2"/>
        <w:tabs>
          <w:tab w:val="left" w:pos="540"/>
        </w:tabs>
        <w:ind w:left="547" w:hanging="547"/>
        <w:rPr>
          <w:i/>
        </w:rPr>
      </w:pPr>
      <w:r w:rsidRPr="000025E8">
        <w:rPr>
          <w:i/>
        </w:rPr>
        <w:t>7.</w:t>
      </w:r>
      <w:r w:rsidRPr="000025E8">
        <w:rPr>
          <w:i/>
        </w:rPr>
        <w:tab/>
        <w:t>Special circumstances</w:t>
      </w:r>
    </w:p>
    <w:p w:rsidR="000914A9" w:rsidRDefault="000914A9" w:rsidP="00C0150B"/>
    <w:p w:rsidR="000914A9" w:rsidRDefault="000914A9" w:rsidP="00C0150B">
      <w:r w:rsidRPr="000025E8">
        <w:t>No special circumstances apply to this study.</w:t>
      </w:r>
    </w:p>
    <w:p w:rsidR="000914A9" w:rsidRDefault="000914A9" w:rsidP="00C0150B"/>
    <w:p w:rsidR="000914A9" w:rsidRPr="000025E8" w:rsidRDefault="000914A9" w:rsidP="00C0150B">
      <w:pPr>
        <w:pStyle w:val="Heading2"/>
        <w:tabs>
          <w:tab w:val="left" w:pos="540"/>
        </w:tabs>
        <w:ind w:left="547" w:hanging="547"/>
        <w:rPr>
          <w:i/>
        </w:rPr>
      </w:pPr>
      <w:r w:rsidRPr="000025E8">
        <w:rPr>
          <w:i/>
        </w:rPr>
        <w:t>8.</w:t>
      </w:r>
      <w:r w:rsidRPr="000025E8">
        <w:rPr>
          <w:i/>
        </w:rPr>
        <w:tab/>
        <w:t>Adherence to 5CFR 1320.8 guidelines and consultation outside the agency</w:t>
      </w:r>
    </w:p>
    <w:p w:rsidR="000914A9" w:rsidRDefault="000914A9" w:rsidP="00C0150B"/>
    <w:p w:rsidR="000914A9" w:rsidRPr="000025E8" w:rsidRDefault="002D640D" w:rsidP="00C0150B">
      <w:r>
        <w:t xml:space="preserve">A 60-day notice about this study was published in the Federal Register Notice Vol. 76, page 76393 on 12/7/11.  </w:t>
      </w:r>
      <w:r w:rsidR="000914A9" w:rsidRPr="000025E8">
        <w:t xml:space="preserve">A 30-day notice about this study will be </w:t>
      </w:r>
      <w:r>
        <w:t xml:space="preserve">also </w:t>
      </w:r>
      <w:r w:rsidR="000914A9" w:rsidRPr="000025E8">
        <w:t xml:space="preserve">published in the Federal Register to provide the opportunity for public comment. </w:t>
      </w:r>
      <w:r>
        <w:t xml:space="preserve"> No public comments have been received to date.</w:t>
      </w:r>
    </w:p>
    <w:p w:rsidR="000914A9" w:rsidRPr="000025E8" w:rsidRDefault="000914A9" w:rsidP="00C0150B">
      <w:pPr>
        <w:ind w:left="540"/>
      </w:pPr>
    </w:p>
    <w:p w:rsidR="000914A9" w:rsidRPr="00393D4F" w:rsidRDefault="000914A9" w:rsidP="00C0150B">
      <w:r w:rsidRPr="00393D4F">
        <w:t>The</w:t>
      </w:r>
      <w:r>
        <w:t xml:space="preserve"> contractor has convened a 12</w:t>
      </w:r>
      <w:r w:rsidRPr="00393D4F">
        <w:t xml:space="preserve">-member </w:t>
      </w:r>
      <w:r>
        <w:t>Technical Work Group (TWG)</w:t>
      </w:r>
      <w:r w:rsidRPr="00393D4F">
        <w:t xml:space="preserve"> </w:t>
      </w:r>
      <w:r>
        <w:t>of individuals with expertise on 21</w:t>
      </w:r>
      <w:r w:rsidRPr="00813929">
        <w:rPr>
          <w:vertAlign w:val="superscript"/>
        </w:rPr>
        <w:t>st</w:t>
      </w:r>
      <w:r>
        <w:t xml:space="preserve"> CCLC programs, including researchers, practitioners, and administrators.</w:t>
      </w:r>
      <w:r w:rsidDel="00F762B0">
        <w:t xml:space="preserve"> </w:t>
      </w:r>
      <w:r w:rsidRPr="00393D4F">
        <w:t xml:space="preserve">The purposes of such consultations are to ensure the technical soundness and user relevance of study findings; to verify the importance, relevance, and accessibility of the information sought through the field data collection; to assess the clarity of interview items; and to minimize respondent burden. </w:t>
      </w:r>
    </w:p>
    <w:p w:rsidR="000914A9" w:rsidRPr="00393D4F" w:rsidRDefault="000914A9" w:rsidP="00C0150B"/>
    <w:p w:rsidR="000914A9" w:rsidRPr="00393D4F" w:rsidRDefault="000914A9" w:rsidP="00C0150B">
      <w:r w:rsidRPr="00393D4F">
        <w:t>Expert</w:t>
      </w:r>
      <w:r>
        <w:t>s will serve either as part of a core TWG or as part of a topic-area specific TWG.  Members of the core TWG will provide comments on site visit protocols and selection criteria, suggest possible 21</w:t>
      </w:r>
      <w:r w:rsidRPr="00813929">
        <w:rPr>
          <w:vertAlign w:val="superscript"/>
        </w:rPr>
        <w:t>st</w:t>
      </w:r>
      <w:r>
        <w:t xml:space="preserve"> CCLC programs for site visits, and provide feedback on the Lessons Learned Guides. Members of the topic-area specific TWGs will participate only in reviewing materials for their content areas. The panel members of both TWGs, with their roles indicated in parentheses, are as follows</w:t>
      </w:r>
      <w:r w:rsidRPr="00393D4F">
        <w:t>:</w:t>
      </w:r>
    </w:p>
    <w:p w:rsidR="000914A9" w:rsidRDefault="000914A9" w:rsidP="00C0150B"/>
    <w:p w:rsidR="000914A9" w:rsidRDefault="000914A9" w:rsidP="00C0150B">
      <w:pPr>
        <w:pStyle w:val="ListParagraph"/>
        <w:numPr>
          <w:ilvl w:val="0"/>
          <w:numId w:val="38"/>
        </w:numPr>
      </w:pPr>
      <w:r w:rsidRPr="00FF3C30">
        <w:rPr>
          <w:b/>
        </w:rPr>
        <w:t>Fred Doolittle</w:t>
      </w:r>
      <w:r w:rsidRPr="00041236">
        <w:t>, Vice President and Director, K-12 Education Policy Area, MDRC</w:t>
      </w:r>
      <w:r>
        <w:t xml:space="preserve"> (Core)</w:t>
      </w:r>
    </w:p>
    <w:p w:rsidR="000914A9" w:rsidRPr="00041236" w:rsidRDefault="000914A9" w:rsidP="00C0150B">
      <w:pPr>
        <w:pStyle w:val="ListParagraph"/>
        <w:numPr>
          <w:ilvl w:val="0"/>
          <w:numId w:val="38"/>
        </w:numPr>
      </w:pPr>
      <w:r w:rsidRPr="00FF3C30">
        <w:rPr>
          <w:b/>
        </w:rPr>
        <w:t>Lorraine Thoreson</w:t>
      </w:r>
      <w:r w:rsidRPr="00041236">
        <w:t>, Michigan Department of Education (Core)</w:t>
      </w:r>
    </w:p>
    <w:p w:rsidR="000914A9" w:rsidRPr="00041236" w:rsidRDefault="000914A9" w:rsidP="00C0150B">
      <w:pPr>
        <w:pStyle w:val="ListParagraph"/>
        <w:numPr>
          <w:ilvl w:val="0"/>
          <w:numId w:val="38"/>
        </w:numPr>
      </w:pPr>
      <w:r w:rsidRPr="00FF3C30">
        <w:rPr>
          <w:b/>
        </w:rPr>
        <w:t>Megan Beckett</w:t>
      </w:r>
      <w:r w:rsidRPr="00041236">
        <w:t>, Behavioral/Social Scientist, RAND Corporation (</w:t>
      </w:r>
      <w:r>
        <w:t>Core)</w:t>
      </w:r>
    </w:p>
    <w:p w:rsidR="000914A9" w:rsidRDefault="000914A9" w:rsidP="00C0150B">
      <w:pPr>
        <w:pStyle w:val="ListParagraph"/>
        <w:numPr>
          <w:ilvl w:val="0"/>
          <w:numId w:val="38"/>
        </w:numPr>
      </w:pPr>
      <w:r>
        <w:rPr>
          <w:b/>
        </w:rPr>
        <w:t>Nancy Deutsch</w:t>
      </w:r>
      <w:r>
        <w:t xml:space="preserve">, Asst. Professor of Education, University of Virginia (Core) </w:t>
      </w:r>
    </w:p>
    <w:p w:rsidR="000914A9" w:rsidRDefault="000914A9" w:rsidP="00C0150B">
      <w:pPr>
        <w:pStyle w:val="ListParagraph"/>
        <w:numPr>
          <w:ilvl w:val="0"/>
          <w:numId w:val="38"/>
        </w:numPr>
      </w:pPr>
      <w:r>
        <w:rPr>
          <w:b/>
        </w:rPr>
        <w:t>Carol Tang</w:t>
      </w:r>
      <w:r>
        <w:t xml:space="preserve">, Director of the Coalition for Science After School (STEM) </w:t>
      </w:r>
    </w:p>
    <w:p w:rsidR="000914A9" w:rsidRDefault="000914A9" w:rsidP="00C0150B">
      <w:pPr>
        <w:pStyle w:val="ListParagraph"/>
        <w:numPr>
          <w:ilvl w:val="0"/>
          <w:numId w:val="38"/>
        </w:numPr>
      </w:pPr>
      <w:r>
        <w:rPr>
          <w:b/>
        </w:rPr>
        <w:t>Gil Noam</w:t>
      </w:r>
      <w:r>
        <w:t>, Founder and Director of the Program in Education, Afterschool, &amp; Resiliency</w:t>
      </w:r>
      <w:r>
        <w:rPr>
          <w:i/>
        </w:rPr>
        <w:t xml:space="preserve"> </w:t>
      </w:r>
      <w:r>
        <w:t>(STEM)</w:t>
      </w:r>
    </w:p>
    <w:p w:rsidR="000914A9" w:rsidRPr="006A7159" w:rsidRDefault="000914A9" w:rsidP="00C0150B">
      <w:pPr>
        <w:pStyle w:val="ListParagraph"/>
        <w:numPr>
          <w:ilvl w:val="0"/>
          <w:numId w:val="38"/>
        </w:numPr>
      </w:pPr>
      <w:r w:rsidRPr="006A7159">
        <w:rPr>
          <w:b/>
        </w:rPr>
        <w:t>Laurie Olsen</w:t>
      </w:r>
      <w:r w:rsidRPr="006A7159">
        <w:t>, Director of the Sobrato Early Academic Literacy Initiative</w:t>
      </w:r>
      <w:r>
        <w:t xml:space="preserve"> (EL)</w:t>
      </w:r>
    </w:p>
    <w:p w:rsidR="000914A9" w:rsidRDefault="000914A9" w:rsidP="00C0150B">
      <w:pPr>
        <w:pStyle w:val="ListParagraph"/>
        <w:numPr>
          <w:ilvl w:val="0"/>
          <w:numId w:val="38"/>
        </w:numPr>
      </w:pPr>
      <w:r>
        <w:rPr>
          <w:b/>
        </w:rPr>
        <w:t>Julie Maxwell-Jolly</w:t>
      </w:r>
      <w:r>
        <w:t xml:space="preserve">, Managing Director of the Center for Applied Policy in Education, UC Davis School of Education  (EL) </w:t>
      </w:r>
    </w:p>
    <w:p w:rsidR="000914A9" w:rsidRPr="006A7159" w:rsidRDefault="000914A9" w:rsidP="00C0150B">
      <w:pPr>
        <w:pStyle w:val="ListParagraph"/>
        <w:numPr>
          <w:ilvl w:val="0"/>
          <w:numId w:val="38"/>
        </w:numPr>
      </w:pPr>
      <w:r>
        <w:rPr>
          <w:b/>
        </w:rPr>
        <w:t>Richard Tagle</w:t>
      </w:r>
      <w:r>
        <w:t>, CEO, Higher Achievement (CTE)</w:t>
      </w:r>
    </w:p>
    <w:p w:rsidR="000914A9" w:rsidRDefault="000914A9" w:rsidP="00C0150B">
      <w:pPr>
        <w:pStyle w:val="ListParagraph"/>
        <w:numPr>
          <w:ilvl w:val="0"/>
          <w:numId w:val="38"/>
        </w:numPr>
      </w:pPr>
      <w:r w:rsidRPr="00220860">
        <w:rPr>
          <w:b/>
        </w:rPr>
        <w:t>Kim Green</w:t>
      </w:r>
      <w:r w:rsidRPr="00FF3C30">
        <w:t>, National Association of State Directors for Career and Technical Education (CTE)</w:t>
      </w:r>
    </w:p>
    <w:p w:rsidR="000914A9" w:rsidRDefault="000914A9" w:rsidP="00C0150B">
      <w:pPr>
        <w:pStyle w:val="ListParagraph"/>
        <w:numPr>
          <w:ilvl w:val="0"/>
          <w:numId w:val="38"/>
        </w:numPr>
      </w:pPr>
      <w:r w:rsidRPr="00FF3C30">
        <w:rPr>
          <w:b/>
        </w:rPr>
        <w:t>Ayeola Fortune</w:t>
      </w:r>
      <w:r w:rsidRPr="00FF3C30">
        <w:t>, former Director, Extended Learning Opportunities and Development Project, Council of Chief State School Officers (ILT)</w:t>
      </w:r>
    </w:p>
    <w:p w:rsidR="000914A9" w:rsidRPr="00FF3C30" w:rsidRDefault="000914A9" w:rsidP="00C0150B">
      <w:pPr>
        <w:pStyle w:val="ListParagraph"/>
        <w:numPr>
          <w:ilvl w:val="0"/>
          <w:numId w:val="38"/>
        </w:numPr>
      </w:pPr>
      <w:r w:rsidRPr="00FF3C30">
        <w:rPr>
          <w:b/>
        </w:rPr>
        <w:t>Sarah M. Deschenes</w:t>
      </w:r>
      <w:r w:rsidRPr="00FF3C30">
        <w:t xml:space="preserve">, </w:t>
      </w:r>
      <w:r>
        <w:t xml:space="preserve">Independent Consultant, formerly </w:t>
      </w:r>
      <w:r w:rsidRPr="00FF3C30">
        <w:t>Senior Researcher, Harvard Family Research Project (ILT)</w:t>
      </w:r>
    </w:p>
    <w:p w:rsidR="000914A9" w:rsidRDefault="000914A9" w:rsidP="00C0150B"/>
    <w:p w:rsidR="000914A9" w:rsidRPr="000025E8" w:rsidRDefault="000914A9" w:rsidP="00C0150B">
      <w:r w:rsidRPr="000025E8">
        <w:rPr>
          <w:color w:val="000000"/>
        </w:rPr>
        <w:t xml:space="preserve">Manhattan Strategy Group (MSG) </w:t>
      </w:r>
      <w:r>
        <w:rPr>
          <w:color w:val="000000"/>
        </w:rPr>
        <w:t>is organizing</w:t>
      </w:r>
      <w:r w:rsidRPr="000025E8">
        <w:rPr>
          <w:color w:val="000000"/>
        </w:rPr>
        <w:t xml:space="preserve"> </w:t>
      </w:r>
      <w:r>
        <w:rPr>
          <w:color w:val="000000"/>
        </w:rPr>
        <w:t>one in-person meeting</w:t>
      </w:r>
      <w:r w:rsidRPr="000025E8">
        <w:rPr>
          <w:color w:val="000000"/>
        </w:rPr>
        <w:t xml:space="preserve"> </w:t>
      </w:r>
      <w:r>
        <w:rPr>
          <w:color w:val="000000"/>
        </w:rPr>
        <w:t xml:space="preserve">and four phone calls </w:t>
      </w:r>
      <w:r w:rsidRPr="000025E8">
        <w:rPr>
          <w:color w:val="000000"/>
        </w:rPr>
        <w:t xml:space="preserve">to consult TWG members to ensure </w:t>
      </w:r>
      <w:r>
        <w:rPr>
          <w:color w:val="000000"/>
        </w:rPr>
        <w:t>an appropriate</w:t>
      </w:r>
      <w:r w:rsidRPr="000025E8">
        <w:rPr>
          <w:color w:val="000000"/>
        </w:rPr>
        <w:t xml:space="preserve"> study design and provide input on the data collection instruments</w:t>
      </w:r>
      <w:r>
        <w:rPr>
          <w:color w:val="000000"/>
        </w:rPr>
        <w:t xml:space="preserve"> and Lessons Learned Guides.</w:t>
      </w:r>
      <w:r w:rsidRPr="000025E8">
        <w:rPr>
          <w:color w:val="000000"/>
        </w:rPr>
        <w:t xml:space="preserve"> </w:t>
      </w:r>
      <w:r w:rsidRPr="000025E8">
        <w:t xml:space="preserve">In addition, project staff will also use outside experts for consultation on an as-needed basis throughout the study.  </w:t>
      </w:r>
    </w:p>
    <w:p w:rsidR="000914A9" w:rsidRDefault="000914A9" w:rsidP="00C0150B"/>
    <w:p w:rsidR="000914A9" w:rsidRPr="000025E8" w:rsidRDefault="000914A9" w:rsidP="009E64B3">
      <w:pPr>
        <w:pStyle w:val="Heading2"/>
        <w:tabs>
          <w:tab w:val="left" w:pos="540"/>
        </w:tabs>
        <w:rPr>
          <w:i/>
        </w:rPr>
      </w:pPr>
      <w:r w:rsidRPr="000025E8">
        <w:rPr>
          <w:i/>
        </w:rPr>
        <w:lastRenderedPageBreak/>
        <w:t>9.</w:t>
      </w:r>
      <w:r w:rsidRPr="000025E8">
        <w:rPr>
          <w:i/>
        </w:rPr>
        <w:tab/>
        <w:t>Payment or gifts</w:t>
      </w:r>
    </w:p>
    <w:p w:rsidR="000914A9" w:rsidRDefault="000914A9" w:rsidP="00C0150B"/>
    <w:p w:rsidR="000914A9" w:rsidRDefault="000914A9" w:rsidP="00C0150B">
      <w:r w:rsidRPr="000025E8">
        <w:t>No payments or gifts will be used over the course of this study.</w:t>
      </w:r>
    </w:p>
    <w:p w:rsidR="000914A9" w:rsidRDefault="000914A9" w:rsidP="00C0150B"/>
    <w:p w:rsidR="000914A9" w:rsidRPr="000025E8" w:rsidRDefault="000914A9" w:rsidP="009E64B3">
      <w:pPr>
        <w:pStyle w:val="Heading2"/>
        <w:tabs>
          <w:tab w:val="left" w:pos="540"/>
        </w:tabs>
        <w:rPr>
          <w:i/>
        </w:rPr>
      </w:pPr>
      <w:r w:rsidRPr="000025E8">
        <w:rPr>
          <w:i/>
        </w:rPr>
        <w:t>10.</w:t>
      </w:r>
      <w:r w:rsidRPr="000025E8">
        <w:rPr>
          <w:i/>
        </w:rPr>
        <w:tab/>
        <w:t>Assurances of confidentiality</w:t>
      </w:r>
    </w:p>
    <w:p w:rsidR="000914A9" w:rsidRDefault="000914A9" w:rsidP="00C0150B"/>
    <w:p w:rsidR="000914A9" w:rsidRPr="003C6ED5" w:rsidRDefault="000914A9" w:rsidP="003C6ED5">
      <w:r w:rsidRPr="000025E8">
        <w:t xml:space="preserve">MSG </w:t>
      </w:r>
      <w:r w:rsidRPr="003C6ED5">
        <w:t xml:space="preserve">is concerned with maintaining the confidentiality and security of its records. </w:t>
      </w:r>
      <w:r>
        <w:t>The Lessons Learned Guides will name each selected site and provide program profile summaries of each.  Program profiles will discuss positive practices observed in each site; weaknesses and shortcomings will be discussed in generalized sections that do not name individual sites. Individuals associated with the sites will not be identified in the reports at any point. I</w:t>
      </w:r>
      <w:r w:rsidRPr="00D12DB1">
        <w:t xml:space="preserve">t would not be difficult </w:t>
      </w:r>
      <w:r>
        <w:t xml:space="preserve">for individuals reading the report </w:t>
      </w:r>
      <w:r w:rsidRPr="00D12DB1">
        <w:t xml:space="preserve">to </w:t>
      </w:r>
      <w:r>
        <w:t>research</w:t>
      </w:r>
      <w:r w:rsidRPr="00D12DB1">
        <w:t xml:space="preserve"> </w:t>
      </w:r>
      <w:r>
        <w:t xml:space="preserve">project </w:t>
      </w:r>
      <w:r w:rsidRPr="00D12DB1">
        <w:t xml:space="preserve">directors </w:t>
      </w:r>
      <w:r>
        <w:t xml:space="preserve">or other individuals associated with </w:t>
      </w:r>
      <w:r w:rsidRPr="00D12DB1">
        <w:t xml:space="preserve">each </w:t>
      </w:r>
      <w:r>
        <w:t>site</w:t>
      </w:r>
      <w:r w:rsidRPr="00D12DB1">
        <w:t xml:space="preserve"> and thus determine the identity of our respondents. </w:t>
      </w:r>
      <w:r>
        <w:t>W</w:t>
      </w:r>
      <w:r w:rsidRPr="00D12DB1">
        <w:t xml:space="preserve">e will endeavor to protect the privacy of our </w:t>
      </w:r>
      <w:r>
        <w:t xml:space="preserve">interviewees, and </w:t>
      </w:r>
      <w:r w:rsidRPr="00D12DB1">
        <w:t xml:space="preserve">we will avoid using their names in </w:t>
      </w:r>
      <w:r>
        <w:t>the guides</w:t>
      </w:r>
      <w:r w:rsidRPr="00D12DB1">
        <w:t xml:space="preserve"> and attributing any quotes to specific individuals. </w:t>
      </w:r>
      <w:r w:rsidRPr="003C6ED5">
        <w:t xml:space="preserve">The team will </w:t>
      </w:r>
      <w:r>
        <w:t xml:space="preserve">further </w:t>
      </w:r>
      <w:r w:rsidRPr="003C6ED5">
        <w:t xml:space="preserve">ensure the confidentiality of the data to the extent possible through a variety of measures. The following </w:t>
      </w:r>
      <w:r>
        <w:t xml:space="preserve">specific </w:t>
      </w:r>
      <w:r w:rsidRPr="003C6ED5">
        <w:t>confidentiality and data protection procedures will be in place:</w:t>
      </w:r>
    </w:p>
    <w:p w:rsidR="000914A9" w:rsidRDefault="000914A9" w:rsidP="003C6ED5"/>
    <w:p w:rsidR="000914A9" w:rsidRDefault="000914A9" w:rsidP="00462AA9">
      <w:pPr>
        <w:pStyle w:val="ListParagraph"/>
        <w:numPr>
          <w:ilvl w:val="0"/>
          <w:numId w:val="43"/>
        </w:numPr>
      </w:pPr>
      <w:r>
        <w:t>A</w:t>
      </w:r>
      <w:r w:rsidRPr="00462AA9">
        <w:rPr>
          <w:iCs/>
        </w:rPr>
        <w:t>ll interviewees in the study will be informed that they will not be</w:t>
      </w:r>
      <w:r>
        <w:rPr>
          <w:iCs/>
        </w:rPr>
        <w:t xml:space="preserve"> mentioned by name in the study and that they can refuse to answer any question that they feel uncomfortable answering.</w:t>
      </w:r>
      <w:r w:rsidRPr="00462AA9">
        <w:rPr>
          <w:iCs/>
        </w:rPr>
        <w:t xml:space="preserve"> </w:t>
      </w:r>
      <w:r w:rsidRPr="006C49C7">
        <w:t xml:space="preserve">Permission to audio record the interview will be </w:t>
      </w:r>
      <w:r w:rsidR="002D640D">
        <w:t xml:space="preserve">verbally </w:t>
      </w:r>
      <w:r w:rsidRPr="006C49C7">
        <w:t>requested, and participants are free to decline being recorded.</w:t>
      </w:r>
    </w:p>
    <w:p w:rsidR="000914A9" w:rsidRDefault="000914A9" w:rsidP="003C6ED5"/>
    <w:p w:rsidR="000914A9" w:rsidRDefault="000914A9" w:rsidP="00462AA9">
      <w:pPr>
        <w:pStyle w:val="ListParagraph"/>
        <w:numPr>
          <w:ilvl w:val="0"/>
          <w:numId w:val="43"/>
        </w:numPr>
      </w:pPr>
      <w:r w:rsidRPr="003C6ED5">
        <w:t xml:space="preserve">Project team members will be educated about the confidentiality assurances given to respondents. Each person assigned to the study will be cautioned not to discuss </w:t>
      </w:r>
      <w:r>
        <w:t>project</w:t>
      </w:r>
      <w:r w:rsidRPr="003C6ED5">
        <w:t xml:space="preserve"> data</w:t>
      </w:r>
      <w:r>
        <w:t xml:space="preserve"> outside of official research team meetings</w:t>
      </w:r>
      <w:r w:rsidRPr="003C6ED5">
        <w:t xml:space="preserve">. </w:t>
      </w:r>
    </w:p>
    <w:p w:rsidR="000914A9" w:rsidRPr="003C6ED5" w:rsidRDefault="000914A9" w:rsidP="003C6ED5"/>
    <w:p w:rsidR="000914A9" w:rsidRDefault="000914A9" w:rsidP="00462AA9">
      <w:pPr>
        <w:pStyle w:val="ListParagraph"/>
        <w:numPr>
          <w:ilvl w:val="0"/>
          <w:numId w:val="43"/>
        </w:numPr>
      </w:pPr>
      <w:r>
        <w:t>R</w:t>
      </w:r>
      <w:r w:rsidRPr="003C6ED5">
        <w:t xml:space="preserve">espondents’ </w:t>
      </w:r>
      <w:r>
        <w:t xml:space="preserve">or interviewees’ </w:t>
      </w:r>
      <w:r w:rsidRPr="003C6ED5">
        <w:t xml:space="preserve">names will be disassociated from the data as they are entered into the database. </w:t>
      </w:r>
      <w:r>
        <w:t xml:space="preserve">Data will only be coded according to the position/title of each respondent or interviewee during the data analysis process.  </w:t>
      </w:r>
    </w:p>
    <w:p w:rsidR="000914A9" w:rsidRPr="003C6ED5" w:rsidRDefault="000914A9" w:rsidP="003C6ED5"/>
    <w:p w:rsidR="000914A9" w:rsidRDefault="000914A9" w:rsidP="00462AA9">
      <w:pPr>
        <w:pStyle w:val="ListParagraph"/>
        <w:numPr>
          <w:ilvl w:val="0"/>
          <w:numId w:val="43"/>
        </w:numPr>
      </w:pPr>
      <w:r w:rsidRPr="003C6ED5">
        <w:t xml:space="preserve">We will shred all interview protocols, forms, and other hardcopy documents containing identifiable data as soon as the need for this hard copy no longer exists. We will also destroy any </w:t>
      </w:r>
      <w:r>
        <w:t>media</w:t>
      </w:r>
      <w:r w:rsidRPr="003C6ED5">
        <w:t xml:space="preserve"> containing </w:t>
      </w:r>
      <w:r>
        <w:t>interview responses</w:t>
      </w:r>
      <w:r w:rsidRPr="003C6ED5">
        <w:t>.</w:t>
      </w:r>
    </w:p>
    <w:p w:rsidR="000914A9" w:rsidRPr="003C6ED5" w:rsidRDefault="000914A9" w:rsidP="003C6ED5"/>
    <w:p w:rsidR="000914A9" w:rsidRDefault="000914A9" w:rsidP="00462AA9">
      <w:pPr>
        <w:pStyle w:val="ListParagraph"/>
        <w:numPr>
          <w:ilvl w:val="0"/>
          <w:numId w:val="43"/>
        </w:numPr>
      </w:pPr>
      <w:r w:rsidRPr="003C6ED5">
        <w:t xml:space="preserve">We will not provide information that associates responses or findings with </w:t>
      </w:r>
      <w:r>
        <w:t xml:space="preserve">the names of individual respondents or interviewees </w:t>
      </w:r>
      <w:r w:rsidRPr="003C6ED5">
        <w:t xml:space="preserve">to anyone outside of the study team except if required by law.  </w:t>
      </w:r>
    </w:p>
    <w:p w:rsidR="000914A9" w:rsidRPr="003C6ED5" w:rsidRDefault="000914A9" w:rsidP="003C6ED5"/>
    <w:p w:rsidR="000914A9" w:rsidRDefault="000914A9" w:rsidP="00462AA9">
      <w:pPr>
        <w:pStyle w:val="ListParagraph"/>
        <w:numPr>
          <w:ilvl w:val="0"/>
          <w:numId w:val="43"/>
        </w:numPr>
      </w:pPr>
      <w:r>
        <w:t>We will store all electronic recordings of interviews, interview notes, and other project-related documents in secure areas that are accessible only to authorized staff members. We will duplicate all basic computer files on computer-based backup servers to allow for file restoration in the event of unrecoverable loss of the original data. We will store these backup files under secure conditions in an area separate from the location of the original data.</w:t>
      </w:r>
    </w:p>
    <w:p w:rsidR="001131D3" w:rsidRDefault="001131D3" w:rsidP="001131D3">
      <w:pPr>
        <w:pStyle w:val="ListParagraph"/>
      </w:pPr>
    </w:p>
    <w:p w:rsidR="000914A9" w:rsidRPr="000025E8" w:rsidRDefault="000914A9" w:rsidP="00C0150B">
      <w:pPr>
        <w:pStyle w:val="Heading2"/>
        <w:tabs>
          <w:tab w:val="left" w:pos="540"/>
        </w:tabs>
        <w:ind w:left="547" w:hanging="547"/>
        <w:rPr>
          <w:i/>
        </w:rPr>
      </w:pPr>
      <w:r w:rsidRPr="000025E8">
        <w:rPr>
          <w:i/>
        </w:rPr>
        <w:lastRenderedPageBreak/>
        <w:t>11.</w:t>
      </w:r>
      <w:r w:rsidRPr="000025E8">
        <w:rPr>
          <w:i/>
        </w:rPr>
        <w:tab/>
        <w:t>Justification of sensitive questions</w:t>
      </w:r>
    </w:p>
    <w:p w:rsidR="000914A9" w:rsidRDefault="000914A9" w:rsidP="00C0150B"/>
    <w:p w:rsidR="000914A9" w:rsidRDefault="000914A9" w:rsidP="00C0150B">
      <w:r w:rsidRPr="000025E8">
        <w:t xml:space="preserve">No questions of a sensitive nature will be included in this study. Respondents are reporting on program-level activities only. </w:t>
      </w:r>
    </w:p>
    <w:p w:rsidR="002D640D" w:rsidRDefault="002D640D" w:rsidP="00C0150B"/>
    <w:p w:rsidR="000914A9" w:rsidRPr="000025E8" w:rsidRDefault="000914A9" w:rsidP="00C0150B">
      <w:pPr>
        <w:pStyle w:val="Heading2"/>
        <w:tabs>
          <w:tab w:val="left" w:pos="540"/>
        </w:tabs>
        <w:ind w:left="547" w:hanging="547"/>
        <w:rPr>
          <w:i/>
          <w:color w:val="FF0000"/>
        </w:rPr>
      </w:pPr>
      <w:r w:rsidRPr="000025E8">
        <w:rPr>
          <w:i/>
        </w:rPr>
        <w:t>12.</w:t>
      </w:r>
      <w:r w:rsidRPr="000025E8">
        <w:rPr>
          <w:i/>
        </w:rPr>
        <w:tab/>
        <w:t>Estimates of hour burden</w:t>
      </w:r>
    </w:p>
    <w:p w:rsidR="000914A9" w:rsidRDefault="000914A9" w:rsidP="00C0150B"/>
    <w:p w:rsidR="000914A9" w:rsidRDefault="000914A9" w:rsidP="00C0150B">
      <w:r>
        <w:t>The online screening tool will be completed by 21</w:t>
      </w:r>
      <w:r w:rsidRPr="00A0185A">
        <w:rPr>
          <w:vertAlign w:val="superscript"/>
        </w:rPr>
        <w:t>st</w:t>
      </w:r>
      <w:r>
        <w:t xml:space="preserve"> CCLC project directors as part of the final round of site selection. Total burden associated with participation in the online screening tool is estimated at 60 minutes per respondent, or 120 total hours. </w:t>
      </w:r>
      <w:r w:rsidRPr="00A0185A">
        <w:t xml:space="preserve">Interviews with </w:t>
      </w:r>
      <w:r>
        <w:t>state</w:t>
      </w:r>
      <w:r w:rsidRPr="00A0185A">
        <w:t xml:space="preserve"> </w:t>
      </w:r>
      <w:r>
        <w:t>coordinators</w:t>
      </w:r>
      <w:r w:rsidRPr="00A0185A">
        <w:t xml:space="preserve"> will be completed by telephone prior to the scheduled date of each site visit. Total burden associated with participation in telephone interviews for </w:t>
      </w:r>
      <w:r>
        <w:t>state coordinators is estimated at 30</w:t>
      </w:r>
      <w:r w:rsidRPr="00A0185A">
        <w:t xml:space="preserve"> minutes per respondent, or 3</w:t>
      </w:r>
      <w:r>
        <w:t>0</w:t>
      </w:r>
      <w:r w:rsidRPr="00A0185A">
        <w:t xml:space="preserve"> total hours. </w:t>
      </w:r>
      <w:r>
        <w:t>(In cases where multiple sites are selected within a single state, the state coordinator will participate only in a single phone interview covering all of the sites in his or her state, which will further reduce the hour burden. However, the total amount of reduction cannot be determined until the completion of site selection.) The program information survey will be completed online or in hard</w:t>
      </w:r>
      <w:r w:rsidDel="00F762B0">
        <w:t xml:space="preserve"> </w:t>
      </w:r>
      <w:r>
        <w:t>copy by the 21</w:t>
      </w:r>
      <w:r w:rsidRPr="00CB64E3">
        <w:rPr>
          <w:vertAlign w:val="superscript"/>
        </w:rPr>
        <w:t>st</w:t>
      </w:r>
      <w:r>
        <w:t xml:space="preserve"> CCLC project director prior to the site visit. Total burden associated with completion of the information survey is estimated at 30 minutes per respondent, or 30 total hours.</w:t>
      </w:r>
    </w:p>
    <w:p w:rsidR="000914A9" w:rsidRPr="00A0185A" w:rsidRDefault="000914A9" w:rsidP="00C0150B"/>
    <w:p w:rsidR="000914A9" w:rsidRPr="00A0185A" w:rsidRDefault="000914A9" w:rsidP="00C0150B">
      <w:r w:rsidRPr="00A0185A">
        <w:t xml:space="preserve">Total burden for site personnel includes estimates of time spent by administrative support personnel coordinating </w:t>
      </w:r>
      <w:r>
        <w:t xml:space="preserve">site visit schedules and </w:t>
      </w:r>
      <w:r w:rsidRPr="00A0185A">
        <w:t xml:space="preserve">time spent by </w:t>
      </w:r>
      <w:r>
        <w:t>personnel</w:t>
      </w:r>
      <w:r w:rsidRPr="00A0185A">
        <w:t xml:space="preserve"> participating in in-person interviews. Total burden for administrative support staff </w:t>
      </w:r>
      <w:r>
        <w:t>i</w:t>
      </w:r>
      <w:r w:rsidRPr="00A0185A">
        <w:t>s est</w:t>
      </w:r>
      <w:r>
        <w:t>imated at one hour per site, or 60</w:t>
      </w:r>
      <w:r w:rsidRPr="00A0185A">
        <w:t xml:space="preserve"> total hours. </w:t>
      </w:r>
      <w:r>
        <w:t>Project director burden</w:t>
      </w:r>
      <w:r w:rsidRPr="00A0185A">
        <w:t xml:space="preserve"> associated with interview participation </w:t>
      </w:r>
      <w:r>
        <w:t>i</w:t>
      </w:r>
      <w:r w:rsidRPr="00A0185A">
        <w:t>s</w:t>
      </w:r>
      <w:r>
        <w:t xml:space="preserve"> estimated at 60 </w:t>
      </w:r>
      <w:r w:rsidRPr="00A0185A">
        <w:t xml:space="preserve">minutes per </w:t>
      </w:r>
      <w:r>
        <w:t>director,</w:t>
      </w:r>
      <w:r w:rsidRPr="00A0185A">
        <w:t xml:space="preserve"> for a total of </w:t>
      </w:r>
      <w:r>
        <w:t>60</w:t>
      </w:r>
      <w:r w:rsidRPr="00A0185A">
        <w:t xml:space="preserve"> hours across </w:t>
      </w:r>
      <w:r>
        <w:t>the 60</w:t>
      </w:r>
      <w:r w:rsidRPr="00A0185A">
        <w:t xml:space="preserve"> study sites. </w:t>
      </w:r>
      <w:r>
        <w:t>The burden for 21</w:t>
      </w:r>
      <w:r w:rsidRPr="00612B70">
        <w:rPr>
          <w:vertAlign w:val="superscript"/>
        </w:rPr>
        <w:t>st</w:t>
      </w:r>
      <w:r>
        <w:t xml:space="preserve"> CCLC site coordinators </w:t>
      </w:r>
      <w:r w:rsidRPr="00A0185A">
        <w:t xml:space="preserve">associated with this activity </w:t>
      </w:r>
      <w:r>
        <w:t>is</w:t>
      </w:r>
      <w:r w:rsidRPr="00A0185A">
        <w:t xml:space="preserve"> estimated at </w:t>
      </w:r>
      <w:r>
        <w:t>a maximum of 90</w:t>
      </w:r>
      <w:r w:rsidRPr="00A0185A">
        <w:t xml:space="preserve"> minutes per </w:t>
      </w:r>
      <w:r>
        <w:t>coordinator, for a total of 90 hours. The burden for 21</w:t>
      </w:r>
      <w:r w:rsidRPr="00C8181C">
        <w:rPr>
          <w:vertAlign w:val="superscript"/>
        </w:rPr>
        <w:t>st</w:t>
      </w:r>
      <w:r>
        <w:t xml:space="preserve"> CCLC staff is estimated for interviews at a maximum of 60 minutes per staff member</w:t>
      </w:r>
      <w:r w:rsidRPr="00A0185A">
        <w:t xml:space="preserve"> for up to </w:t>
      </w:r>
      <w:r>
        <w:t>four</w:t>
      </w:r>
      <w:r w:rsidRPr="00A0185A">
        <w:t xml:space="preserve"> </w:t>
      </w:r>
      <w:r>
        <w:t>staff members</w:t>
      </w:r>
      <w:r w:rsidRPr="00A0185A">
        <w:t xml:space="preserve">, resulting in a total burden of </w:t>
      </w:r>
      <w:r>
        <w:t>240</w:t>
      </w:r>
      <w:r w:rsidRPr="00A0185A">
        <w:t xml:space="preserve"> hours. </w:t>
      </w:r>
      <w:r>
        <w:t>The burden for non-21</w:t>
      </w:r>
      <w:r w:rsidRPr="00D935F8">
        <w:rPr>
          <w:vertAlign w:val="superscript"/>
        </w:rPr>
        <w:t>st</w:t>
      </w:r>
      <w:r>
        <w:t xml:space="preserve"> CCLC personnel, </w:t>
      </w:r>
      <w:r w:rsidRPr="00A0185A">
        <w:t xml:space="preserve">including </w:t>
      </w:r>
      <w:r>
        <w:t>principals</w:t>
      </w:r>
      <w:r w:rsidRPr="00A0185A">
        <w:t xml:space="preserve">, </w:t>
      </w:r>
      <w:r>
        <w:t>classroom teachers</w:t>
      </w:r>
      <w:r w:rsidRPr="00A0185A">
        <w:t xml:space="preserve">, and </w:t>
      </w:r>
      <w:r>
        <w:t>partners,</w:t>
      </w:r>
      <w:r w:rsidRPr="00A0185A">
        <w:t xml:space="preserve"> </w:t>
      </w:r>
      <w:r>
        <w:t>i</w:t>
      </w:r>
      <w:r w:rsidRPr="00A0185A">
        <w:t xml:space="preserve">s estimated at </w:t>
      </w:r>
      <w:r>
        <w:t>a maximum of 30 minutes per individual, for a total burden of 150</w:t>
      </w:r>
      <w:r w:rsidRPr="00A0185A">
        <w:t xml:space="preserve"> hours. Total burden per site is estimated at </w:t>
      </w:r>
      <w:r>
        <w:t>13</w:t>
      </w:r>
      <w:r w:rsidRPr="00A0185A">
        <w:t xml:space="preserve"> hours. </w:t>
      </w:r>
      <w:r w:rsidR="002D640D">
        <w:t xml:space="preserve"> (Please note that there is no burden associated with the site visit observations.  Burden is already included for a staff member to set up and coordinate the site visit, and there is no additional staff burden related to the observations.)</w:t>
      </w:r>
    </w:p>
    <w:p w:rsidR="000914A9" w:rsidRPr="00A0185A" w:rsidRDefault="000914A9" w:rsidP="00C0150B"/>
    <w:p w:rsidR="000914A9" w:rsidRPr="00A0185A" w:rsidRDefault="000914A9" w:rsidP="00C0150B">
      <w:r w:rsidRPr="00A0185A">
        <w:t xml:space="preserve">Table 1 shows the total burden calculation for information collected by category of study participant. The total in hours for </w:t>
      </w:r>
      <w:r>
        <w:t>all participants and all portions of the study</w:t>
      </w:r>
      <w:r w:rsidRPr="00A0185A">
        <w:t xml:space="preserve"> is </w:t>
      </w:r>
      <w:r>
        <w:t>780</w:t>
      </w:r>
      <w:r w:rsidRPr="00A0185A">
        <w:t xml:space="preserve"> total hours (or </w:t>
      </w:r>
      <w:r>
        <w:t>46,800</w:t>
      </w:r>
      <w:r w:rsidRPr="00A0185A">
        <w:t xml:space="preserve"> minutes).</w:t>
      </w:r>
      <w:r w:rsidRPr="00A0185A" w:rsidDel="00F762B0">
        <w:t xml:space="preserve"> </w:t>
      </w:r>
      <w:r w:rsidRPr="00A0185A">
        <w:t>The hourly burden breakdown is as follows:</w:t>
      </w:r>
    </w:p>
    <w:p w:rsidR="000914A9" w:rsidRDefault="000914A9" w:rsidP="00C0150B">
      <w:pPr>
        <w:tabs>
          <w:tab w:val="left" w:pos="540"/>
        </w:tabs>
        <w:ind w:left="547"/>
        <w:rPr>
          <w:color w:val="FF0000"/>
        </w:rPr>
      </w:pPr>
    </w:p>
    <w:p w:rsidR="00172042" w:rsidRDefault="00172042" w:rsidP="00C0150B">
      <w:pPr>
        <w:tabs>
          <w:tab w:val="left" w:pos="540"/>
        </w:tabs>
        <w:ind w:left="547"/>
        <w:rPr>
          <w:color w:val="FF0000"/>
        </w:rPr>
      </w:pPr>
    </w:p>
    <w:p w:rsidR="00172042" w:rsidRDefault="00172042" w:rsidP="00C0150B">
      <w:pPr>
        <w:tabs>
          <w:tab w:val="left" w:pos="540"/>
        </w:tabs>
        <w:ind w:left="547"/>
        <w:rPr>
          <w:color w:val="FF0000"/>
        </w:rPr>
      </w:pPr>
    </w:p>
    <w:p w:rsidR="00172042" w:rsidRDefault="00172042" w:rsidP="00C0150B">
      <w:pPr>
        <w:tabs>
          <w:tab w:val="left" w:pos="540"/>
        </w:tabs>
        <w:ind w:left="547"/>
        <w:rPr>
          <w:color w:val="FF0000"/>
        </w:rPr>
      </w:pPr>
    </w:p>
    <w:p w:rsidR="00172042" w:rsidRDefault="00172042" w:rsidP="00C0150B">
      <w:pPr>
        <w:tabs>
          <w:tab w:val="left" w:pos="540"/>
        </w:tabs>
        <w:ind w:left="547"/>
        <w:rPr>
          <w:color w:val="FF0000"/>
        </w:rPr>
      </w:pPr>
    </w:p>
    <w:p w:rsidR="00172042" w:rsidRDefault="00172042" w:rsidP="00C0150B">
      <w:pPr>
        <w:tabs>
          <w:tab w:val="left" w:pos="540"/>
        </w:tabs>
        <w:ind w:left="547"/>
        <w:rPr>
          <w:color w:val="FF0000"/>
        </w:rPr>
      </w:pPr>
    </w:p>
    <w:p w:rsidR="00172042" w:rsidRDefault="00172042" w:rsidP="00C0150B">
      <w:pPr>
        <w:tabs>
          <w:tab w:val="left" w:pos="540"/>
        </w:tabs>
        <w:ind w:left="547"/>
        <w:rPr>
          <w:color w:val="FF0000"/>
        </w:rPr>
      </w:pPr>
    </w:p>
    <w:p w:rsidR="00172042" w:rsidRDefault="00172042" w:rsidP="00C0150B">
      <w:pPr>
        <w:tabs>
          <w:tab w:val="left" w:pos="540"/>
        </w:tabs>
        <w:ind w:left="547"/>
        <w:rPr>
          <w:color w:val="FF0000"/>
        </w:rPr>
      </w:pPr>
    </w:p>
    <w:tbl>
      <w:tblPr>
        <w:tblW w:w="0" w:type="auto"/>
        <w:jc w:val="center"/>
        <w:tblInd w:w="4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115" w:type="dxa"/>
          <w:bottom w:w="43" w:type="dxa"/>
          <w:right w:w="115" w:type="dxa"/>
        </w:tblCellMar>
        <w:tblLook w:val="00A0"/>
      </w:tblPr>
      <w:tblGrid>
        <w:gridCol w:w="2938"/>
        <w:gridCol w:w="1271"/>
        <w:gridCol w:w="1244"/>
        <w:gridCol w:w="1330"/>
        <w:gridCol w:w="1284"/>
        <w:gridCol w:w="1048"/>
      </w:tblGrid>
      <w:tr w:rsidR="000914A9" w:rsidRPr="00417DA5">
        <w:trPr>
          <w:jc w:val="center"/>
        </w:trPr>
        <w:tc>
          <w:tcPr>
            <w:tcW w:w="9115" w:type="dxa"/>
            <w:gridSpan w:val="6"/>
            <w:tcBorders>
              <w:top w:val="nil"/>
              <w:left w:val="nil"/>
              <w:bottom w:val="single" w:sz="12" w:space="0" w:color="auto"/>
              <w:right w:val="nil"/>
            </w:tcBorders>
          </w:tcPr>
          <w:p w:rsidR="000914A9" w:rsidRPr="00ED2281" w:rsidRDefault="000914A9" w:rsidP="00ED2281">
            <w:pPr>
              <w:pStyle w:val="ListParagraph"/>
              <w:ind w:left="0"/>
              <w:rPr>
                <w:color w:val="0D0D0D"/>
                <w:sz w:val="18"/>
              </w:rPr>
            </w:pPr>
            <w:r w:rsidRPr="00ED2281">
              <w:rPr>
                <w:color w:val="0D0D0D"/>
                <w:sz w:val="18"/>
              </w:rPr>
              <w:lastRenderedPageBreak/>
              <w:t>Table 1</w:t>
            </w:r>
          </w:p>
          <w:p w:rsidR="000914A9" w:rsidRPr="00ED2281" w:rsidRDefault="000914A9" w:rsidP="00ED2281">
            <w:pPr>
              <w:pStyle w:val="ListParagraph"/>
              <w:ind w:left="0"/>
              <w:rPr>
                <w:b/>
                <w:color w:val="0D0D0D"/>
                <w:sz w:val="16"/>
              </w:rPr>
            </w:pPr>
            <w:r w:rsidRPr="00ED2281">
              <w:rPr>
                <w:b/>
                <w:color w:val="0D0D0D"/>
                <w:sz w:val="18"/>
              </w:rPr>
              <w:t>Total Estimated Burden in Hours</w:t>
            </w:r>
          </w:p>
        </w:tc>
      </w:tr>
      <w:tr w:rsidR="000914A9" w:rsidRPr="00417DA5">
        <w:trPr>
          <w:jc w:val="center"/>
        </w:trPr>
        <w:tc>
          <w:tcPr>
            <w:tcW w:w="2938" w:type="dxa"/>
            <w:tcBorders>
              <w:top w:val="single" w:sz="12" w:space="0" w:color="auto"/>
            </w:tcBorders>
          </w:tcPr>
          <w:p w:rsidR="000914A9" w:rsidRPr="00ED2281" w:rsidRDefault="000914A9" w:rsidP="00ED2281">
            <w:pPr>
              <w:pStyle w:val="ListParagraph"/>
              <w:ind w:left="0"/>
              <w:rPr>
                <w:color w:val="0D0D0D"/>
                <w:sz w:val="16"/>
              </w:rPr>
            </w:pPr>
          </w:p>
        </w:tc>
        <w:tc>
          <w:tcPr>
            <w:tcW w:w="1271" w:type="dxa"/>
            <w:tcBorders>
              <w:top w:val="single" w:sz="12" w:space="0" w:color="auto"/>
            </w:tcBorders>
            <w:vAlign w:val="bottom"/>
          </w:tcPr>
          <w:p w:rsidR="000914A9" w:rsidRPr="00ED2281" w:rsidRDefault="000914A9" w:rsidP="00ED2281">
            <w:pPr>
              <w:pStyle w:val="ListParagraph"/>
              <w:ind w:left="0"/>
              <w:jc w:val="center"/>
              <w:rPr>
                <w:b/>
                <w:color w:val="0D0D0D"/>
                <w:sz w:val="16"/>
              </w:rPr>
            </w:pPr>
            <w:r w:rsidRPr="00ED2281">
              <w:rPr>
                <w:b/>
                <w:color w:val="0D0D0D"/>
                <w:sz w:val="16"/>
              </w:rPr>
              <w:t>Total per Site</w:t>
            </w:r>
          </w:p>
          <w:p w:rsidR="000914A9" w:rsidRPr="00ED2281" w:rsidRDefault="000914A9" w:rsidP="00ED2281">
            <w:pPr>
              <w:pStyle w:val="ListParagraph"/>
              <w:ind w:left="0"/>
              <w:jc w:val="center"/>
              <w:rPr>
                <w:b/>
                <w:color w:val="0D0D0D"/>
                <w:sz w:val="16"/>
              </w:rPr>
            </w:pPr>
            <w:r w:rsidRPr="00ED2281">
              <w:rPr>
                <w:b/>
                <w:color w:val="0D0D0D"/>
                <w:sz w:val="16"/>
              </w:rPr>
              <w:t>(A)</w:t>
            </w:r>
          </w:p>
        </w:tc>
        <w:tc>
          <w:tcPr>
            <w:tcW w:w="1244" w:type="dxa"/>
            <w:tcBorders>
              <w:top w:val="single" w:sz="12" w:space="0" w:color="auto"/>
            </w:tcBorders>
            <w:vAlign w:val="bottom"/>
          </w:tcPr>
          <w:p w:rsidR="000914A9" w:rsidRPr="00ED2281" w:rsidRDefault="000914A9" w:rsidP="00ED2281">
            <w:pPr>
              <w:pStyle w:val="ListParagraph"/>
              <w:ind w:left="0"/>
              <w:jc w:val="center"/>
              <w:rPr>
                <w:b/>
                <w:color w:val="0D0D0D"/>
                <w:sz w:val="16"/>
              </w:rPr>
            </w:pPr>
            <w:r w:rsidRPr="00ED2281">
              <w:rPr>
                <w:b/>
                <w:color w:val="0D0D0D"/>
                <w:sz w:val="16"/>
              </w:rPr>
              <w:t>Total Respondents</w:t>
            </w:r>
          </w:p>
          <w:p w:rsidR="000914A9" w:rsidRPr="00ED2281" w:rsidRDefault="000914A9" w:rsidP="00ED2281">
            <w:pPr>
              <w:pStyle w:val="ListParagraph"/>
              <w:ind w:left="0"/>
              <w:jc w:val="center"/>
              <w:rPr>
                <w:b/>
                <w:color w:val="0D0D0D"/>
                <w:sz w:val="16"/>
              </w:rPr>
            </w:pPr>
            <w:r w:rsidRPr="00ED2281">
              <w:rPr>
                <w:b/>
                <w:color w:val="0D0D0D"/>
                <w:sz w:val="16"/>
              </w:rPr>
              <w:t>(B)</w:t>
            </w:r>
          </w:p>
        </w:tc>
        <w:tc>
          <w:tcPr>
            <w:tcW w:w="1330" w:type="dxa"/>
            <w:tcBorders>
              <w:top w:val="single" w:sz="12" w:space="0" w:color="auto"/>
            </w:tcBorders>
            <w:vAlign w:val="bottom"/>
          </w:tcPr>
          <w:p w:rsidR="000914A9" w:rsidRPr="00ED2281" w:rsidRDefault="000914A9" w:rsidP="00ED2281">
            <w:pPr>
              <w:pStyle w:val="ListParagraph"/>
              <w:ind w:left="0"/>
              <w:jc w:val="center"/>
              <w:rPr>
                <w:b/>
                <w:color w:val="0D0D0D"/>
                <w:sz w:val="16"/>
              </w:rPr>
            </w:pPr>
            <w:r w:rsidRPr="00ED2281">
              <w:rPr>
                <w:b/>
                <w:color w:val="0D0D0D"/>
                <w:sz w:val="16"/>
              </w:rPr>
              <w:t>Time in Minutes</w:t>
            </w:r>
          </w:p>
          <w:p w:rsidR="000914A9" w:rsidRPr="00ED2281" w:rsidRDefault="000914A9" w:rsidP="00ED2281">
            <w:pPr>
              <w:pStyle w:val="ListParagraph"/>
              <w:ind w:left="0"/>
              <w:jc w:val="center"/>
              <w:rPr>
                <w:b/>
                <w:color w:val="0D0D0D"/>
                <w:sz w:val="16"/>
              </w:rPr>
            </w:pPr>
            <w:r w:rsidRPr="00ED2281">
              <w:rPr>
                <w:b/>
                <w:color w:val="0D0D0D"/>
                <w:sz w:val="16"/>
              </w:rPr>
              <w:t>(C)</w:t>
            </w:r>
          </w:p>
        </w:tc>
        <w:tc>
          <w:tcPr>
            <w:tcW w:w="1284" w:type="dxa"/>
            <w:tcBorders>
              <w:top w:val="single" w:sz="12" w:space="0" w:color="auto"/>
            </w:tcBorders>
            <w:vAlign w:val="bottom"/>
          </w:tcPr>
          <w:p w:rsidR="000914A9" w:rsidRPr="00ED2281" w:rsidRDefault="000914A9" w:rsidP="00ED2281">
            <w:pPr>
              <w:pStyle w:val="ListParagraph"/>
              <w:ind w:left="0"/>
              <w:jc w:val="center"/>
              <w:rPr>
                <w:b/>
                <w:color w:val="0D0D0D"/>
                <w:sz w:val="16"/>
              </w:rPr>
            </w:pPr>
            <w:r w:rsidRPr="00ED2281">
              <w:rPr>
                <w:b/>
                <w:color w:val="0D0D0D"/>
                <w:sz w:val="16"/>
              </w:rPr>
              <w:t>Total Time in Minutes</w:t>
            </w:r>
          </w:p>
          <w:p w:rsidR="000914A9" w:rsidRPr="00ED2281" w:rsidRDefault="000914A9" w:rsidP="00ED2281">
            <w:pPr>
              <w:pStyle w:val="ListParagraph"/>
              <w:ind w:left="0"/>
              <w:jc w:val="center"/>
              <w:rPr>
                <w:b/>
                <w:color w:val="0D0D0D"/>
                <w:sz w:val="16"/>
              </w:rPr>
            </w:pPr>
            <w:r w:rsidRPr="00ED2281">
              <w:rPr>
                <w:b/>
                <w:color w:val="0D0D0D"/>
                <w:sz w:val="16"/>
              </w:rPr>
              <w:t>(B x C)</w:t>
            </w:r>
          </w:p>
        </w:tc>
        <w:tc>
          <w:tcPr>
            <w:tcW w:w="1048" w:type="dxa"/>
            <w:tcBorders>
              <w:top w:val="single" w:sz="12" w:space="0" w:color="auto"/>
            </w:tcBorders>
            <w:vAlign w:val="bottom"/>
          </w:tcPr>
          <w:p w:rsidR="000914A9" w:rsidRPr="00ED2281" w:rsidRDefault="000914A9" w:rsidP="00ED2281">
            <w:pPr>
              <w:pStyle w:val="ListParagraph"/>
              <w:ind w:left="0"/>
              <w:jc w:val="center"/>
              <w:rPr>
                <w:b/>
                <w:color w:val="0D0D0D"/>
                <w:sz w:val="16"/>
              </w:rPr>
            </w:pPr>
            <w:r w:rsidRPr="00ED2281">
              <w:rPr>
                <w:b/>
                <w:color w:val="0D0D0D"/>
                <w:sz w:val="16"/>
              </w:rPr>
              <w:t>Total Time in  Hours</w:t>
            </w:r>
          </w:p>
        </w:tc>
      </w:tr>
      <w:tr w:rsidR="000914A9" w:rsidRPr="00417DA5">
        <w:trPr>
          <w:trHeight w:val="203"/>
          <w:jc w:val="center"/>
        </w:trPr>
        <w:tc>
          <w:tcPr>
            <w:tcW w:w="2938" w:type="dxa"/>
            <w:vAlign w:val="center"/>
          </w:tcPr>
          <w:p w:rsidR="000914A9" w:rsidRDefault="000914A9" w:rsidP="003F5108">
            <w:pPr>
              <w:rPr>
                <w:color w:val="0D0D0D"/>
                <w:sz w:val="16"/>
              </w:rPr>
            </w:pPr>
            <w:r>
              <w:rPr>
                <w:color w:val="0D0D0D"/>
                <w:sz w:val="16"/>
              </w:rPr>
              <w:t>Project Director (Online Screening Tool)</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D0D0D"/>
                <w:sz w:val="16"/>
              </w:rPr>
            </w:pPr>
            <w:r>
              <w:rPr>
                <w:color w:val="0D0D0D"/>
                <w:sz w:val="16"/>
              </w:rPr>
              <w:t>120</w:t>
            </w:r>
          </w:p>
        </w:tc>
        <w:tc>
          <w:tcPr>
            <w:tcW w:w="1330" w:type="dxa"/>
            <w:vAlign w:val="bottom"/>
          </w:tcPr>
          <w:p w:rsidR="000914A9" w:rsidRDefault="000914A9">
            <w:pPr>
              <w:jc w:val="center"/>
              <w:rPr>
                <w:color w:val="0D0D0D"/>
                <w:sz w:val="16"/>
              </w:rPr>
            </w:pPr>
            <w:r>
              <w:rPr>
                <w:color w:val="0D0D0D"/>
                <w:sz w:val="16"/>
              </w:rPr>
              <w:t>60</w:t>
            </w:r>
          </w:p>
        </w:tc>
        <w:tc>
          <w:tcPr>
            <w:tcW w:w="1284" w:type="dxa"/>
            <w:vAlign w:val="bottom"/>
          </w:tcPr>
          <w:p w:rsidR="000914A9" w:rsidRDefault="000914A9">
            <w:pPr>
              <w:jc w:val="center"/>
              <w:rPr>
                <w:color w:val="000000"/>
                <w:sz w:val="16"/>
              </w:rPr>
            </w:pPr>
            <w:r>
              <w:rPr>
                <w:color w:val="000000"/>
                <w:sz w:val="16"/>
              </w:rPr>
              <w:t>7200</w:t>
            </w:r>
          </w:p>
        </w:tc>
        <w:tc>
          <w:tcPr>
            <w:tcW w:w="1048" w:type="dxa"/>
            <w:vAlign w:val="bottom"/>
          </w:tcPr>
          <w:p w:rsidR="000914A9" w:rsidRDefault="000914A9">
            <w:pPr>
              <w:jc w:val="center"/>
              <w:rPr>
                <w:color w:val="000000"/>
                <w:sz w:val="16"/>
              </w:rPr>
            </w:pPr>
            <w:r>
              <w:rPr>
                <w:color w:val="000000"/>
                <w:sz w:val="16"/>
              </w:rPr>
              <w:t>120</w:t>
            </w:r>
          </w:p>
        </w:tc>
      </w:tr>
      <w:tr w:rsidR="000914A9" w:rsidRPr="00417DA5">
        <w:trPr>
          <w:trHeight w:val="176"/>
          <w:jc w:val="center"/>
        </w:trPr>
        <w:tc>
          <w:tcPr>
            <w:tcW w:w="2938" w:type="dxa"/>
            <w:vAlign w:val="center"/>
          </w:tcPr>
          <w:p w:rsidR="000914A9" w:rsidRDefault="000914A9" w:rsidP="003F5108">
            <w:pPr>
              <w:rPr>
                <w:color w:val="0D0D0D"/>
                <w:sz w:val="16"/>
              </w:rPr>
            </w:pPr>
            <w:r>
              <w:rPr>
                <w:color w:val="0D0D0D"/>
                <w:sz w:val="16"/>
              </w:rPr>
              <w:t>State Education Agency Representative</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D0D0D"/>
                <w:sz w:val="16"/>
              </w:rPr>
            </w:pPr>
            <w:r>
              <w:rPr>
                <w:color w:val="0D0D0D"/>
                <w:sz w:val="16"/>
              </w:rPr>
              <w:t>60</w:t>
            </w:r>
          </w:p>
        </w:tc>
        <w:tc>
          <w:tcPr>
            <w:tcW w:w="1330" w:type="dxa"/>
            <w:vAlign w:val="bottom"/>
          </w:tcPr>
          <w:p w:rsidR="000914A9" w:rsidRDefault="000914A9">
            <w:pPr>
              <w:jc w:val="center"/>
              <w:rPr>
                <w:color w:val="0D0D0D"/>
                <w:sz w:val="16"/>
              </w:rPr>
            </w:pPr>
            <w:r>
              <w:rPr>
                <w:color w:val="0D0D0D"/>
                <w:sz w:val="16"/>
              </w:rPr>
              <w:t>30</w:t>
            </w:r>
          </w:p>
        </w:tc>
        <w:tc>
          <w:tcPr>
            <w:tcW w:w="1284" w:type="dxa"/>
            <w:vAlign w:val="bottom"/>
          </w:tcPr>
          <w:p w:rsidR="000914A9" w:rsidRDefault="000914A9">
            <w:pPr>
              <w:jc w:val="center"/>
              <w:rPr>
                <w:color w:val="000000"/>
                <w:sz w:val="16"/>
              </w:rPr>
            </w:pPr>
            <w:r>
              <w:rPr>
                <w:color w:val="000000"/>
                <w:sz w:val="16"/>
              </w:rPr>
              <w:t>1800</w:t>
            </w:r>
          </w:p>
        </w:tc>
        <w:tc>
          <w:tcPr>
            <w:tcW w:w="1048" w:type="dxa"/>
            <w:vAlign w:val="bottom"/>
          </w:tcPr>
          <w:p w:rsidR="000914A9" w:rsidRDefault="000914A9">
            <w:pPr>
              <w:jc w:val="center"/>
              <w:rPr>
                <w:color w:val="000000"/>
                <w:sz w:val="16"/>
              </w:rPr>
            </w:pPr>
            <w:r>
              <w:rPr>
                <w:color w:val="000000"/>
                <w:sz w:val="16"/>
              </w:rPr>
              <w:t>30</w:t>
            </w:r>
          </w:p>
        </w:tc>
      </w:tr>
      <w:tr w:rsidR="000914A9" w:rsidRPr="00417DA5">
        <w:trPr>
          <w:trHeight w:val="185"/>
          <w:jc w:val="center"/>
        </w:trPr>
        <w:tc>
          <w:tcPr>
            <w:tcW w:w="2938" w:type="dxa"/>
            <w:vAlign w:val="center"/>
          </w:tcPr>
          <w:p w:rsidR="000914A9" w:rsidRDefault="000914A9" w:rsidP="003F5108">
            <w:pPr>
              <w:rPr>
                <w:color w:val="0D0D0D"/>
                <w:sz w:val="16"/>
              </w:rPr>
            </w:pPr>
            <w:r>
              <w:rPr>
                <w:color w:val="0D0D0D"/>
                <w:sz w:val="16"/>
              </w:rPr>
              <w:t>Project Director (Information Survey)</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D0D0D"/>
                <w:sz w:val="16"/>
              </w:rPr>
            </w:pPr>
            <w:r>
              <w:rPr>
                <w:color w:val="0D0D0D"/>
                <w:sz w:val="16"/>
              </w:rPr>
              <w:t>60</w:t>
            </w:r>
          </w:p>
        </w:tc>
        <w:tc>
          <w:tcPr>
            <w:tcW w:w="1330" w:type="dxa"/>
            <w:vAlign w:val="bottom"/>
          </w:tcPr>
          <w:p w:rsidR="000914A9" w:rsidRDefault="000914A9">
            <w:pPr>
              <w:jc w:val="center"/>
              <w:rPr>
                <w:color w:val="0D0D0D"/>
                <w:sz w:val="16"/>
              </w:rPr>
            </w:pPr>
            <w:r>
              <w:rPr>
                <w:color w:val="0D0D0D"/>
                <w:sz w:val="16"/>
              </w:rPr>
              <w:t>30</w:t>
            </w:r>
          </w:p>
        </w:tc>
        <w:tc>
          <w:tcPr>
            <w:tcW w:w="1284" w:type="dxa"/>
            <w:vAlign w:val="bottom"/>
          </w:tcPr>
          <w:p w:rsidR="000914A9" w:rsidRDefault="000914A9">
            <w:pPr>
              <w:jc w:val="center"/>
              <w:rPr>
                <w:color w:val="000000"/>
                <w:sz w:val="16"/>
              </w:rPr>
            </w:pPr>
            <w:r>
              <w:rPr>
                <w:color w:val="000000"/>
                <w:sz w:val="16"/>
              </w:rPr>
              <w:t>1800</w:t>
            </w:r>
          </w:p>
        </w:tc>
        <w:tc>
          <w:tcPr>
            <w:tcW w:w="1048" w:type="dxa"/>
            <w:vAlign w:val="bottom"/>
          </w:tcPr>
          <w:p w:rsidR="000914A9" w:rsidRDefault="000914A9">
            <w:pPr>
              <w:jc w:val="center"/>
              <w:rPr>
                <w:color w:val="000000"/>
                <w:sz w:val="16"/>
              </w:rPr>
            </w:pPr>
            <w:r>
              <w:rPr>
                <w:color w:val="000000"/>
                <w:sz w:val="16"/>
              </w:rPr>
              <w:t>30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21</w:t>
            </w:r>
            <w:r>
              <w:rPr>
                <w:color w:val="0D0D0D"/>
                <w:sz w:val="16"/>
                <w:vertAlign w:val="superscript"/>
              </w:rPr>
              <w:t>st</w:t>
            </w:r>
            <w:r>
              <w:rPr>
                <w:color w:val="0D0D0D"/>
                <w:sz w:val="16"/>
              </w:rPr>
              <w:t xml:space="preserve"> CCLC Administrative Assistant </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00000"/>
                <w:sz w:val="16"/>
              </w:rPr>
            </w:pPr>
            <w:r>
              <w:rPr>
                <w:color w:val="000000"/>
                <w:sz w:val="16"/>
              </w:rPr>
              <w:t>60</w:t>
            </w:r>
          </w:p>
        </w:tc>
        <w:tc>
          <w:tcPr>
            <w:tcW w:w="1330" w:type="dxa"/>
            <w:vAlign w:val="bottom"/>
          </w:tcPr>
          <w:p w:rsidR="000914A9" w:rsidRDefault="000914A9">
            <w:pPr>
              <w:jc w:val="center"/>
              <w:rPr>
                <w:color w:val="0D0D0D"/>
                <w:sz w:val="16"/>
              </w:rPr>
            </w:pPr>
            <w:r>
              <w:rPr>
                <w:color w:val="0D0D0D"/>
                <w:sz w:val="16"/>
              </w:rPr>
              <w:t>60</w:t>
            </w:r>
          </w:p>
        </w:tc>
        <w:tc>
          <w:tcPr>
            <w:tcW w:w="1284" w:type="dxa"/>
            <w:vAlign w:val="bottom"/>
          </w:tcPr>
          <w:p w:rsidR="000914A9" w:rsidRDefault="000914A9">
            <w:pPr>
              <w:jc w:val="center"/>
              <w:rPr>
                <w:color w:val="000000"/>
                <w:sz w:val="16"/>
              </w:rPr>
            </w:pPr>
            <w:r>
              <w:rPr>
                <w:color w:val="000000"/>
                <w:sz w:val="16"/>
              </w:rPr>
              <w:t>3600</w:t>
            </w:r>
          </w:p>
        </w:tc>
        <w:tc>
          <w:tcPr>
            <w:tcW w:w="1048" w:type="dxa"/>
            <w:vAlign w:val="bottom"/>
          </w:tcPr>
          <w:p w:rsidR="000914A9" w:rsidRDefault="000914A9">
            <w:pPr>
              <w:jc w:val="center"/>
              <w:rPr>
                <w:color w:val="000000"/>
                <w:sz w:val="16"/>
              </w:rPr>
            </w:pPr>
            <w:r>
              <w:rPr>
                <w:color w:val="000000"/>
                <w:sz w:val="16"/>
              </w:rPr>
              <w:t>60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Project Director</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D0D0D"/>
                <w:sz w:val="16"/>
              </w:rPr>
            </w:pPr>
            <w:r>
              <w:rPr>
                <w:color w:val="0D0D0D"/>
                <w:sz w:val="16"/>
              </w:rPr>
              <w:t>60</w:t>
            </w:r>
          </w:p>
        </w:tc>
        <w:tc>
          <w:tcPr>
            <w:tcW w:w="1330" w:type="dxa"/>
            <w:vAlign w:val="bottom"/>
          </w:tcPr>
          <w:p w:rsidR="000914A9" w:rsidRDefault="000914A9">
            <w:pPr>
              <w:jc w:val="center"/>
              <w:rPr>
                <w:color w:val="0D0D0D"/>
                <w:sz w:val="16"/>
              </w:rPr>
            </w:pPr>
            <w:r>
              <w:rPr>
                <w:color w:val="0D0D0D"/>
                <w:sz w:val="16"/>
              </w:rPr>
              <w:t>60</w:t>
            </w:r>
          </w:p>
        </w:tc>
        <w:tc>
          <w:tcPr>
            <w:tcW w:w="1284" w:type="dxa"/>
            <w:vAlign w:val="bottom"/>
          </w:tcPr>
          <w:p w:rsidR="000914A9" w:rsidRDefault="000914A9">
            <w:pPr>
              <w:jc w:val="center"/>
              <w:rPr>
                <w:color w:val="000000"/>
                <w:sz w:val="16"/>
              </w:rPr>
            </w:pPr>
            <w:r>
              <w:rPr>
                <w:color w:val="000000"/>
                <w:sz w:val="16"/>
              </w:rPr>
              <w:t>3600</w:t>
            </w:r>
          </w:p>
        </w:tc>
        <w:tc>
          <w:tcPr>
            <w:tcW w:w="1048" w:type="dxa"/>
            <w:vAlign w:val="bottom"/>
          </w:tcPr>
          <w:p w:rsidR="000914A9" w:rsidRDefault="000914A9">
            <w:pPr>
              <w:jc w:val="center"/>
              <w:rPr>
                <w:color w:val="000000"/>
                <w:sz w:val="16"/>
              </w:rPr>
            </w:pPr>
            <w:r>
              <w:rPr>
                <w:color w:val="000000"/>
                <w:sz w:val="16"/>
              </w:rPr>
              <w:t>60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Site Coordinator</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D0D0D"/>
                <w:sz w:val="16"/>
              </w:rPr>
            </w:pPr>
            <w:r>
              <w:rPr>
                <w:color w:val="0D0D0D"/>
                <w:sz w:val="16"/>
              </w:rPr>
              <w:t>60</w:t>
            </w:r>
          </w:p>
        </w:tc>
        <w:tc>
          <w:tcPr>
            <w:tcW w:w="1330" w:type="dxa"/>
            <w:vAlign w:val="bottom"/>
          </w:tcPr>
          <w:p w:rsidR="000914A9" w:rsidRDefault="000914A9">
            <w:pPr>
              <w:jc w:val="center"/>
              <w:rPr>
                <w:color w:val="0D0D0D"/>
                <w:sz w:val="16"/>
              </w:rPr>
            </w:pPr>
            <w:r>
              <w:rPr>
                <w:color w:val="0D0D0D"/>
                <w:sz w:val="16"/>
              </w:rPr>
              <w:t>90</w:t>
            </w:r>
          </w:p>
        </w:tc>
        <w:tc>
          <w:tcPr>
            <w:tcW w:w="1284" w:type="dxa"/>
            <w:vAlign w:val="bottom"/>
          </w:tcPr>
          <w:p w:rsidR="000914A9" w:rsidRDefault="000914A9">
            <w:pPr>
              <w:jc w:val="center"/>
              <w:rPr>
                <w:color w:val="000000"/>
                <w:sz w:val="16"/>
              </w:rPr>
            </w:pPr>
            <w:r>
              <w:rPr>
                <w:color w:val="000000"/>
                <w:sz w:val="16"/>
              </w:rPr>
              <w:t>5400</w:t>
            </w:r>
          </w:p>
        </w:tc>
        <w:tc>
          <w:tcPr>
            <w:tcW w:w="1048" w:type="dxa"/>
            <w:vAlign w:val="bottom"/>
          </w:tcPr>
          <w:p w:rsidR="000914A9" w:rsidRDefault="000914A9">
            <w:pPr>
              <w:jc w:val="center"/>
              <w:rPr>
                <w:color w:val="000000"/>
                <w:sz w:val="16"/>
              </w:rPr>
            </w:pPr>
            <w:r>
              <w:rPr>
                <w:color w:val="000000"/>
                <w:sz w:val="16"/>
              </w:rPr>
              <w:t>90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21</w:t>
            </w:r>
            <w:r>
              <w:rPr>
                <w:color w:val="0D0D0D"/>
                <w:sz w:val="16"/>
                <w:vertAlign w:val="superscript"/>
              </w:rPr>
              <w:t>st</w:t>
            </w:r>
            <w:r>
              <w:rPr>
                <w:color w:val="0D0D0D"/>
                <w:sz w:val="16"/>
              </w:rPr>
              <w:t xml:space="preserve"> CCLC Staff</w:t>
            </w:r>
          </w:p>
        </w:tc>
        <w:tc>
          <w:tcPr>
            <w:tcW w:w="1271" w:type="dxa"/>
            <w:vAlign w:val="bottom"/>
          </w:tcPr>
          <w:p w:rsidR="000914A9" w:rsidRDefault="000914A9">
            <w:pPr>
              <w:jc w:val="center"/>
              <w:rPr>
                <w:color w:val="0D0D0D"/>
                <w:sz w:val="16"/>
              </w:rPr>
            </w:pPr>
            <w:r>
              <w:rPr>
                <w:color w:val="0D0D0D"/>
                <w:sz w:val="16"/>
              </w:rPr>
              <w:t>4</w:t>
            </w:r>
          </w:p>
        </w:tc>
        <w:tc>
          <w:tcPr>
            <w:tcW w:w="1244" w:type="dxa"/>
            <w:vAlign w:val="bottom"/>
          </w:tcPr>
          <w:p w:rsidR="000914A9" w:rsidRDefault="000914A9">
            <w:pPr>
              <w:jc w:val="center"/>
              <w:rPr>
                <w:color w:val="0D0D0D"/>
                <w:sz w:val="16"/>
              </w:rPr>
            </w:pPr>
            <w:r>
              <w:rPr>
                <w:color w:val="0D0D0D"/>
                <w:sz w:val="16"/>
              </w:rPr>
              <w:t>240</w:t>
            </w:r>
          </w:p>
        </w:tc>
        <w:tc>
          <w:tcPr>
            <w:tcW w:w="1330" w:type="dxa"/>
            <w:vAlign w:val="bottom"/>
          </w:tcPr>
          <w:p w:rsidR="000914A9" w:rsidRDefault="000914A9">
            <w:pPr>
              <w:jc w:val="center"/>
              <w:rPr>
                <w:color w:val="0D0D0D"/>
                <w:sz w:val="16"/>
              </w:rPr>
            </w:pPr>
            <w:r>
              <w:rPr>
                <w:color w:val="0D0D0D"/>
                <w:sz w:val="16"/>
              </w:rPr>
              <w:t>60</w:t>
            </w:r>
          </w:p>
        </w:tc>
        <w:tc>
          <w:tcPr>
            <w:tcW w:w="1284" w:type="dxa"/>
            <w:vAlign w:val="bottom"/>
          </w:tcPr>
          <w:p w:rsidR="000914A9" w:rsidRDefault="000914A9">
            <w:pPr>
              <w:jc w:val="center"/>
              <w:rPr>
                <w:color w:val="000000"/>
                <w:sz w:val="16"/>
              </w:rPr>
            </w:pPr>
            <w:r>
              <w:rPr>
                <w:color w:val="000000"/>
                <w:sz w:val="16"/>
              </w:rPr>
              <w:t>14400</w:t>
            </w:r>
          </w:p>
        </w:tc>
        <w:tc>
          <w:tcPr>
            <w:tcW w:w="1048" w:type="dxa"/>
            <w:vAlign w:val="bottom"/>
          </w:tcPr>
          <w:p w:rsidR="000914A9" w:rsidRDefault="000914A9">
            <w:pPr>
              <w:jc w:val="center"/>
              <w:rPr>
                <w:color w:val="000000"/>
                <w:sz w:val="16"/>
              </w:rPr>
            </w:pPr>
            <w:r>
              <w:rPr>
                <w:color w:val="000000"/>
                <w:sz w:val="16"/>
              </w:rPr>
              <w:t>240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Principal</w:t>
            </w:r>
          </w:p>
        </w:tc>
        <w:tc>
          <w:tcPr>
            <w:tcW w:w="1271" w:type="dxa"/>
            <w:vAlign w:val="bottom"/>
          </w:tcPr>
          <w:p w:rsidR="000914A9" w:rsidRDefault="000914A9">
            <w:pPr>
              <w:jc w:val="center"/>
              <w:rPr>
                <w:color w:val="0D0D0D"/>
                <w:sz w:val="16"/>
              </w:rPr>
            </w:pPr>
            <w:r>
              <w:rPr>
                <w:color w:val="0D0D0D"/>
                <w:sz w:val="16"/>
              </w:rPr>
              <w:t>1</w:t>
            </w:r>
          </w:p>
        </w:tc>
        <w:tc>
          <w:tcPr>
            <w:tcW w:w="1244" w:type="dxa"/>
            <w:vAlign w:val="bottom"/>
          </w:tcPr>
          <w:p w:rsidR="000914A9" w:rsidRDefault="000914A9">
            <w:pPr>
              <w:jc w:val="center"/>
              <w:rPr>
                <w:color w:val="0D0D0D"/>
                <w:sz w:val="16"/>
              </w:rPr>
            </w:pPr>
            <w:r>
              <w:rPr>
                <w:color w:val="0D0D0D"/>
                <w:sz w:val="16"/>
              </w:rPr>
              <w:t>60</w:t>
            </w:r>
          </w:p>
        </w:tc>
        <w:tc>
          <w:tcPr>
            <w:tcW w:w="1330" w:type="dxa"/>
            <w:vAlign w:val="bottom"/>
          </w:tcPr>
          <w:p w:rsidR="000914A9" w:rsidRDefault="000914A9">
            <w:pPr>
              <w:jc w:val="center"/>
              <w:rPr>
                <w:color w:val="0D0D0D"/>
                <w:sz w:val="16"/>
              </w:rPr>
            </w:pPr>
            <w:r>
              <w:rPr>
                <w:color w:val="0D0D0D"/>
                <w:sz w:val="16"/>
              </w:rPr>
              <w:t>30</w:t>
            </w:r>
          </w:p>
        </w:tc>
        <w:tc>
          <w:tcPr>
            <w:tcW w:w="1284" w:type="dxa"/>
            <w:vAlign w:val="bottom"/>
          </w:tcPr>
          <w:p w:rsidR="000914A9" w:rsidRDefault="000914A9">
            <w:pPr>
              <w:jc w:val="center"/>
              <w:rPr>
                <w:color w:val="000000"/>
                <w:sz w:val="16"/>
              </w:rPr>
            </w:pPr>
            <w:r>
              <w:rPr>
                <w:color w:val="000000"/>
                <w:sz w:val="16"/>
              </w:rPr>
              <w:t>1800</w:t>
            </w:r>
          </w:p>
        </w:tc>
        <w:tc>
          <w:tcPr>
            <w:tcW w:w="1048" w:type="dxa"/>
            <w:vAlign w:val="bottom"/>
          </w:tcPr>
          <w:p w:rsidR="000914A9" w:rsidRDefault="000914A9">
            <w:pPr>
              <w:jc w:val="center"/>
              <w:rPr>
                <w:color w:val="000000"/>
                <w:sz w:val="16"/>
              </w:rPr>
            </w:pPr>
            <w:r>
              <w:rPr>
                <w:color w:val="000000"/>
                <w:sz w:val="16"/>
              </w:rPr>
              <w:t>30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Classroom Teacher</w:t>
            </w:r>
          </w:p>
        </w:tc>
        <w:tc>
          <w:tcPr>
            <w:tcW w:w="1271" w:type="dxa"/>
            <w:vAlign w:val="bottom"/>
          </w:tcPr>
          <w:p w:rsidR="000914A9" w:rsidRDefault="000914A9">
            <w:pPr>
              <w:jc w:val="center"/>
              <w:rPr>
                <w:color w:val="0D0D0D"/>
                <w:sz w:val="16"/>
              </w:rPr>
            </w:pPr>
            <w:r>
              <w:rPr>
                <w:color w:val="0D0D0D"/>
                <w:sz w:val="16"/>
              </w:rPr>
              <w:t>2</w:t>
            </w:r>
          </w:p>
        </w:tc>
        <w:tc>
          <w:tcPr>
            <w:tcW w:w="1244" w:type="dxa"/>
            <w:vAlign w:val="bottom"/>
          </w:tcPr>
          <w:p w:rsidR="000914A9" w:rsidRDefault="000914A9">
            <w:pPr>
              <w:jc w:val="center"/>
              <w:rPr>
                <w:color w:val="0D0D0D"/>
                <w:sz w:val="16"/>
              </w:rPr>
            </w:pPr>
            <w:r>
              <w:rPr>
                <w:color w:val="0D0D0D"/>
                <w:sz w:val="16"/>
              </w:rPr>
              <w:t>120</w:t>
            </w:r>
          </w:p>
        </w:tc>
        <w:tc>
          <w:tcPr>
            <w:tcW w:w="1330" w:type="dxa"/>
            <w:vAlign w:val="bottom"/>
          </w:tcPr>
          <w:p w:rsidR="000914A9" w:rsidRDefault="000914A9">
            <w:pPr>
              <w:jc w:val="center"/>
              <w:rPr>
                <w:color w:val="0D0D0D"/>
                <w:sz w:val="16"/>
              </w:rPr>
            </w:pPr>
            <w:r>
              <w:rPr>
                <w:color w:val="0D0D0D"/>
                <w:sz w:val="16"/>
              </w:rPr>
              <w:t>30</w:t>
            </w:r>
          </w:p>
        </w:tc>
        <w:tc>
          <w:tcPr>
            <w:tcW w:w="1284" w:type="dxa"/>
            <w:vAlign w:val="bottom"/>
          </w:tcPr>
          <w:p w:rsidR="000914A9" w:rsidRDefault="000914A9">
            <w:pPr>
              <w:jc w:val="center"/>
              <w:rPr>
                <w:color w:val="000000"/>
                <w:sz w:val="16"/>
              </w:rPr>
            </w:pPr>
            <w:r>
              <w:rPr>
                <w:color w:val="000000"/>
                <w:sz w:val="16"/>
              </w:rPr>
              <w:t>3600</w:t>
            </w:r>
          </w:p>
        </w:tc>
        <w:tc>
          <w:tcPr>
            <w:tcW w:w="1048" w:type="dxa"/>
            <w:vAlign w:val="bottom"/>
          </w:tcPr>
          <w:p w:rsidR="000914A9" w:rsidRDefault="000914A9">
            <w:pPr>
              <w:jc w:val="center"/>
              <w:rPr>
                <w:color w:val="000000"/>
                <w:sz w:val="16"/>
              </w:rPr>
            </w:pPr>
            <w:r>
              <w:rPr>
                <w:color w:val="000000"/>
                <w:sz w:val="16"/>
              </w:rPr>
              <w:t>60</w:t>
            </w:r>
          </w:p>
        </w:tc>
      </w:tr>
      <w:tr w:rsidR="000914A9" w:rsidRPr="00417DA5">
        <w:trPr>
          <w:jc w:val="center"/>
        </w:trPr>
        <w:tc>
          <w:tcPr>
            <w:tcW w:w="2938" w:type="dxa"/>
            <w:vAlign w:val="center"/>
          </w:tcPr>
          <w:p w:rsidR="000914A9" w:rsidRDefault="000914A9" w:rsidP="003F5108">
            <w:pPr>
              <w:rPr>
                <w:color w:val="0D0D0D"/>
                <w:sz w:val="16"/>
              </w:rPr>
            </w:pPr>
            <w:r>
              <w:rPr>
                <w:color w:val="0D0D0D"/>
                <w:sz w:val="16"/>
              </w:rPr>
              <w:t>Partner</w:t>
            </w:r>
          </w:p>
        </w:tc>
        <w:tc>
          <w:tcPr>
            <w:tcW w:w="1271" w:type="dxa"/>
            <w:vAlign w:val="bottom"/>
          </w:tcPr>
          <w:p w:rsidR="000914A9" w:rsidRDefault="000914A9">
            <w:pPr>
              <w:jc w:val="center"/>
              <w:rPr>
                <w:color w:val="0D0D0D"/>
                <w:sz w:val="16"/>
              </w:rPr>
            </w:pPr>
            <w:r>
              <w:rPr>
                <w:color w:val="0D0D0D"/>
                <w:sz w:val="16"/>
              </w:rPr>
              <w:t>2</w:t>
            </w:r>
          </w:p>
        </w:tc>
        <w:tc>
          <w:tcPr>
            <w:tcW w:w="1244" w:type="dxa"/>
            <w:vAlign w:val="bottom"/>
          </w:tcPr>
          <w:p w:rsidR="000914A9" w:rsidRDefault="000914A9">
            <w:pPr>
              <w:jc w:val="center"/>
              <w:rPr>
                <w:color w:val="0D0D0D"/>
                <w:sz w:val="16"/>
              </w:rPr>
            </w:pPr>
            <w:r>
              <w:rPr>
                <w:color w:val="0D0D0D"/>
                <w:sz w:val="16"/>
              </w:rPr>
              <w:t>120</w:t>
            </w:r>
          </w:p>
        </w:tc>
        <w:tc>
          <w:tcPr>
            <w:tcW w:w="1330" w:type="dxa"/>
            <w:vAlign w:val="bottom"/>
          </w:tcPr>
          <w:p w:rsidR="000914A9" w:rsidRDefault="000914A9">
            <w:pPr>
              <w:jc w:val="center"/>
              <w:rPr>
                <w:color w:val="0D0D0D"/>
                <w:sz w:val="16"/>
              </w:rPr>
            </w:pPr>
            <w:r>
              <w:rPr>
                <w:color w:val="0D0D0D"/>
                <w:sz w:val="16"/>
              </w:rPr>
              <w:t>30</w:t>
            </w:r>
          </w:p>
        </w:tc>
        <w:tc>
          <w:tcPr>
            <w:tcW w:w="1284" w:type="dxa"/>
            <w:vAlign w:val="bottom"/>
          </w:tcPr>
          <w:p w:rsidR="000914A9" w:rsidRDefault="000914A9">
            <w:pPr>
              <w:jc w:val="center"/>
              <w:rPr>
                <w:color w:val="000000"/>
                <w:sz w:val="16"/>
              </w:rPr>
            </w:pPr>
            <w:r>
              <w:rPr>
                <w:color w:val="000000"/>
                <w:sz w:val="16"/>
              </w:rPr>
              <w:t>3600</w:t>
            </w:r>
          </w:p>
        </w:tc>
        <w:tc>
          <w:tcPr>
            <w:tcW w:w="1048" w:type="dxa"/>
            <w:vAlign w:val="bottom"/>
          </w:tcPr>
          <w:p w:rsidR="000914A9" w:rsidRDefault="000914A9">
            <w:pPr>
              <w:jc w:val="center"/>
              <w:rPr>
                <w:color w:val="000000"/>
                <w:sz w:val="16"/>
              </w:rPr>
            </w:pPr>
            <w:r>
              <w:rPr>
                <w:color w:val="000000"/>
                <w:sz w:val="16"/>
              </w:rPr>
              <w:t>60</w:t>
            </w:r>
          </w:p>
        </w:tc>
      </w:tr>
      <w:tr w:rsidR="000914A9" w:rsidRPr="00417DA5">
        <w:trPr>
          <w:jc w:val="center"/>
        </w:trPr>
        <w:tc>
          <w:tcPr>
            <w:tcW w:w="2938" w:type="dxa"/>
            <w:tcBorders>
              <w:bottom w:val="single" w:sz="12" w:space="0" w:color="auto"/>
            </w:tcBorders>
          </w:tcPr>
          <w:p w:rsidR="000914A9" w:rsidRPr="00321D40" w:rsidRDefault="000914A9">
            <w:pPr>
              <w:rPr>
                <w:b/>
                <w:bCs/>
                <w:color w:val="0D0D0D"/>
                <w:sz w:val="16"/>
              </w:rPr>
            </w:pPr>
            <w:r w:rsidRPr="00321D40">
              <w:rPr>
                <w:b/>
                <w:bCs/>
                <w:color w:val="0D0D0D"/>
                <w:sz w:val="16"/>
              </w:rPr>
              <w:t>Total Burden</w:t>
            </w:r>
          </w:p>
        </w:tc>
        <w:tc>
          <w:tcPr>
            <w:tcW w:w="1271" w:type="dxa"/>
            <w:tcBorders>
              <w:bottom w:val="single" w:sz="12" w:space="0" w:color="auto"/>
            </w:tcBorders>
            <w:vAlign w:val="bottom"/>
          </w:tcPr>
          <w:p w:rsidR="000914A9" w:rsidRDefault="000914A9">
            <w:pPr>
              <w:jc w:val="center"/>
              <w:rPr>
                <w:color w:val="0D0D0D"/>
                <w:sz w:val="18"/>
              </w:rPr>
            </w:pPr>
            <w:r>
              <w:rPr>
                <w:color w:val="0D0D0D"/>
                <w:sz w:val="18"/>
              </w:rPr>
              <w:t>--</w:t>
            </w:r>
          </w:p>
        </w:tc>
        <w:tc>
          <w:tcPr>
            <w:tcW w:w="1244" w:type="dxa"/>
            <w:tcBorders>
              <w:bottom w:val="single" w:sz="12" w:space="0" w:color="auto"/>
            </w:tcBorders>
            <w:vAlign w:val="bottom"/>
          </w:tcPr>
          <w:p w:rsidR="000914A9" w:rsidRDefault="000914A9">
            <w:pPr>
              <w:jc w:val="center"/>
              <w:rPr>
                <w:b/>
                <w:bCs/>
                <w:color w:val="0D0D0D"/>
                <w:sz w:val="18"/>
              </w:rPr>
            </w:pPr>
            <w:r>
              <w:rPr>
                <w:b/>
                <w:bCs/>
                <w:color w:val="0D0D0D"/>
                <w:sz w:val="18"/>
              </w:rPr>
              <w:t>960</w:t>
            </w:r>
          </w:p>
        </w:tc>
        <w:tc>
          <w:tcPr>
            <w:tcW w:w="1330" w:type="dxa"/>
            <w:tcBorders>
              <w:bottom w:val="single" w:sz="12" w:space="0" w:color="auto"/>
            </w:tcBorders>
            <w:vAlign w:val="bottom"/>
          </w:tcPr>
          <w:p w:rsidR="000914A9" w:rsidRDefault="000914A9">
            <w:pPr>
              <w:jc w:val="center"/>
              <w:rPr>
                <w:b/>
                <w:bCs/>
                <w:color w:val="0D0D0D"/>
                <w:sz w:val="18"/>
              </w:rPr>
            </w:pPr>
            <w:r>
              <w:rPr>
                <w:b/>
                <w:bCs/>
                <w:color w:val="0D0D0D"/>
                <w:sz w:val="18"/>
              </w:rPr>
              <w:t>--</w:t>
            </w:r>
          </w:p>
        </w:tc>
        <w:tc>
          <w:tcPr>
            <w:tcW w:w="1284" w:type="dxa"/>
            <w:tcBorders>
              <w:bottom w:val="single" w:sz="12" w:space="0" w:color="auto"/>
            </w:tcBorders>
            <w:vAlign w:val="bottom"/>
          </w:tcPr>
          <w:p w:rsidR="000914A9" w:rsidRDefault="000914A9">
            <w:pPr>
              <w:jc w:val="center"/>
              <w:rPr>
                <w:b/>
                <w:bCs/>
                <w:color w:val="000000"/>
                <w:sz w:val="18"/>
              </w:rPr>
            </w:pPr>
            <w:r>
              <w:rPr>
                <w:b/>
                <w:bCs/>
                <w:color w:val="000000"/>
                <w:sz w:val="18"/>
              </w:rPr>
              <w:t>46,800</w:t>
            </w:r>
          </w:p>
        </w:tc>
        <w:tc>
          <w:tcPr>
            <w:tcW w:w="1048" w:type="dxa"/>
            <w:tcBorders>
              <w:bottom w:val="single" w:sz="12" w:space="0" w:color="auto"/>
            </w:tcBorders>
            <w:vAlign w:val="bottom"/>
          </w:tcPr>
          <w:p w:rsidR="000914A9" w:rsidRDefault="000914A9">
            <w:pPr>
              <w:jc w:val="center"/>
              <w:rPr>
                <w:b/>
                <w:bCs/>
                <w:color w:val="000000"/>
                <w:sz w:val="18"/>
              </w:rPr>
            </w:pPr>
            <w:r>
              <w:rPr>
                <w:b/>
                <w:bCs/>
                <w:color w:val="000000"/>
                <w:sz w:val="18"/>
              </w:rPr>
              <w:t>780</w:t>
            </w:r>
          </w:p>
        </w:tc>
      </w:tr>
    </w:tbl>
    <w:p w:rsidR="00172042" w:rsidRDefault="00172042" w:rsidP="00C0150B">
      <w:pPr>
        <w:pStyle w:val="Heading2"/>
        <w:tabs>
          <w:tab w:val="left" w:pos="540"/>
        </w:tabs>
        <w:ind w:left="547" w:hanging="547"/>
        <w:rPr>
          <w:i/>
        </w:rPr>
      </w:pPr>
    </w:p>
    <w:p w:rsidR="000914A9" w:rsidRPr="000025E8" w:rsidRDefault="000914A9" w:rsidP="00C0150B">
      <w:pPr>
        <w:pStyle w:val="Heading2"/>
        <w:tabs>
          <w:tab w:val="left" w:pos="540"/>
        </w:tabs>
        <w:ind w:left="547" w:hanging="547"/>
        <w:rPr>
          <w:i/>
        </w:rPr>
      </w:pPr>
      <w:r w:rsidRPr="000025E8">
        <w:rPr>
          <w:i/>
        </w:rPr>
        <w:t>13.</w:t>
      </w:r>
      <w:r w:rsidRPr="000025E8">
        <w:rPr>
          <w:i/>
        </w:rPr>
        <w:tab/>
        <w:t>Estimate of cost burden to respondents</w:t>
      </w:r>
    </w:p>
    <w:p w:rsidR="000914A9" w:rsidRPr="000025E8" w:rsidRDefault="000914A9" w:rsidP="00C0150B">
      <w:r w:rsidRPr="000025E8">
        <w:t xml:space="preserve">There are no </w:t>
      </w:r>
      <w:r w:rsidRPr="000025E8" w:rsidDel="003F0615">
        <w:t>r</w:t>
      </w:r>
      <w:r w:rsidRPr="000025E8">
        <w:t>espondent costs associated with this data collection other than the hour burden, accounted for in Item 12.</w:t>
      </w:r>
    </w:p>
    <w:p w:rsidR="000914A9" w:rsidRDefault="000914A9" w:rsidP="00C0150B"/>
    <w:p w:rsidR="000914A9" w:rsidRPr="000025E8" w:rsidRDefault="000914A9" w:rsidP="00C0150B">
      <w:pPr>
        <w:pStyle w:val="Heading2"/>
        <w:tabs>
          <w:tab w:val="left" w:pos="540"/>
        </w:tabs>
        <w:ind w:left="547" w:hanging="547"/>
        <w:rPr>
          <w:i/>
        </w:rPr>
      </w:pPr>
      <w:r w:rsidRPr="000025E8">
        <w:rPr>
          <w:i/>
        </w:rPr>
        <w:t>14.</w:t>
      </w:r>
      <w:r w:rsidRPr="000025E8">
        <w:rPr>
          <w:i/>
        </w:rPr>
        <w:tab/>
        <w:t>Estimate of annual cost to the federal government</w:t>
      </w:r>
    </w:p>
    <w:p w:rsidR="000914A9" w:rsidRDefault="000914A9" w:rsidP="00C0150B">
      <w:r w:rsidRPr="00D935F8">
        <w:t xml:space="preserve">The estimated cost for the </w:t>
      </w:r>
      <w:r>
        <w:t xml:space="preserve">110-week </w:t>
      </w:r>
      <w:r w:rsidRPr="00D935F8">
        <w:t xml:space="preserve">study, including development of data collection instruments, justification package, data collection, data analysis, and preparation of </w:t>
      </w:r>
      <w:r>
        <w:t>Lessons Learned Guides</w:t>
      </w:r>
      <w:r w:rsidRPr="00D935F8">
        <w:t>, is $2</w:t>
      </w:r>
      <w:r>
        <w:t>,121,657.80</w:t>
      </w:r>
      <w:r w:rsidRPr="00D935F8">
        <w:t>.</w:t>
      </w:r>
      <w:r>
        <w:t xml:space="preserve"> This averages to an annual cost to the government of $1,002,965.51. </w:t>
      </w:r>
    </w:p>
    <w:p w:rsidR="000914A9" w:rsidRDefault="000914A9" w:rsidP="00C0150B"/>
    <w:p w:rsidR="000914A9" w:rsidRPr="000025E8" w:rsidRDefault="000914A9" w:rsidP="00C0150B"/>
    <w:p w:rsidR="000914A9" w:rsidRPr="000025E8" w:rsidRDefault="000914A9" w:rsidP="00C0150B">
      <w:pPr>
        <w:pStyle w:val="Heading2"/>
        <w:tabs>
          <w:tab w:val="left" w:pos="540"/>
          <w:tab w:val="center" w:pos="4680"/>
        </w:tabs>
        <w:ind w:left="547" w:hanging="547"/>
        <w:rPr>
          <w:i/>
        </w:rPr>
      </w:pPr>
      <w:r w:rsidRPr="000025E8">
        <w:rPr>
          <w:i/>
        </w:rPr>
        <w:t>15.</w:t>
      </w:r>
      <w:r w:rsidRPr="000025E8">
        <w:rPr>
          <w:i/>
        </w:rPr>
        <w:tab/>
        <w:t>Program changes or adjustments</w:t>
      </w:r>
      <w:r w:rsidRPr="000025E8">
        <w:rPr>
          <w:i/>
        </w:rPr>
        <w:tab/>
      </w:r>
    </w:p>
    <w:p w:rsidR="000914A9" w:rsidRPr="000025E8" w:rsidRDefault="000914A9" w:rsidP="00C0150B">
      <w:pPr>
        <w:pStyle w:val="Header"/>
        <w:tabs>
          <w:tab w:val="clear" w:pos="4320"/>
          <w:tab w:val="clear" w:pos="8640"/>
        </w:tabs>
      </w:pPr>
      <w:r w:rsidRPr="000025E8">
        <w:t>The request is for a new data collection.</w:t>
      </w:r>
      <w:r w:rsidRPr="000025E8" w:rsidDel="00F762B0">
        <w:t xml:space="preserve"> </w:t>
      </w:r>
      <w:r w:rsidRPr="000025E8">
        <w:t>Th</w:t>
      </w:r>
      <w:r>
        <w:t xml:space="preserve">is is a </w:t>
      </w:r>
      <w:r w:rsidRPr="000025E8">
        <w:t>program change.</w:t>
      </w:r>
    </w:p>
    <w:p w:rsidR="000914A9" w:rsidRDefault="000914A9" w:rsidP="00C0150B"/>
    <w:p w:rsidR="000914A9" w:rsidRPr="000025E8" w:rsidRDefault="000914A9" w:rsidP="00C0150B"/>
    <w:p w:rsidR="000914A9" w:rsidRPr="000025E8" w:rsidRDefault="000914A9" w:rsidP="00C0150B">
      <w:pPr>
        <w:pStyle w:val="Heading2"/>
        <w:tabs>
          <w:tab w:val="left" w:pos="540"/>
        </w:tabs>
        <w:rPr>
          <w:i/>
        </w:rPr>
      </w:pPr>
      <w:r w:rsidRPr="000025E8">
        <w:rPr>
          <w:i/>
        </w:rPr>
        <w:t>16.</w:t>
      </w:r>
      <w:r w:rsidRPr="000025E8">
        <w:rPr>
          <w:i/>
        </w:rPr>
        <w:tab/>
        <w:t>Plans for tabulation and publication of results</w:t>
      </w:r>
    </w:p>
    <w:p w:rsidR="000914A9" w:rsidRPr="00D56FB5" w:rsidRDefault="000914A9" w:rsidP="00C0150B">
      <w:r w:rsidRPr="00D56FB5">
        <w:t xml:space="preserve">Table 2 presents the time schedule for conducting site visits to </w:t>
      </w:r>
      <w:r>
        <w:t>21</w:t>
      </w:r>
      <w:r w:rsidRPr="00D56FB5">
        <w:rPr>
          <w:vertAlign w:val="superscript"/>
        </w:rPr>
        <w:t>st</w:t>
      </w:r>
      <w:r>
        <w:t xml:space="preserve"> CCLC</w:t>
      </w:r>
      <w:r w:rsidRPr="00D56FB5">
        <w:t xml:space="preserve"> sites and for the publication of study results. The proposed timeline assumes OMB clearance </w:t>
      </w:r>
      <w:r>
        <w:t>in</w:t>
      </w:r>
      <w:r w:rsidRPr="00D56FB5">
        <w:t xml:space="preserve"> </w:t>
      </w:r>
      <w:r>
        <w:t>April 2012</w:t>
      </w:r>
      <w:r w:rsidRPr="00D56FB5">
        <w:t>.</w:t>
      </w:r>
    </w:p>
    <w:p w:rsidR="000914A9" w:rsidRPr="00D56FB5" w:rsidRDefault="000914A9" w:rsidP="00C0150B"/>
    <w:p w:rsidR="000914A9" w:rsidRPr="009C26C1" w:rsidRDefault="000914A9" w:rsidP="00BE1671">
      <w:pPr>
        <w:ind w:left="270"/>
        <w:rPr>
          <w:sz w:val="18"/>
        </w:rPr>
      </w:pPr>
      <w:r w:rsidRPr="009C26C1">
        <w:rPr>
          <w:sz w:val="18"/>
        </w:rPr>
        <w:t>Table 2</w:t>
      </w:r>
    </w:p>
    <w:p w:rsidR="000914A9" w:rsidRPr="009C26C1" w:rsidRDefault="000914A9" w:rsidP="00BE1671">
      <w:pPr>
        <w:ind w:left="270"/>
        <w:rPr>
          <w:sz w:val="18"/>
        </w:rPr>
      </w:pPr>
      <w:r w:rsidRPr="009C26C1">
        <w:rPr>
          <w:b/>
          <w:sz w:val="18"/>
        </w:rPr>
        <w:t>Data Collection and Reporting Tasks and Timelines</w:t>
      </w:r>
    </w:p>
    <w:tbl>
      <w:tblPr>
        <w:tblW w:w="0" w:type="auto"/>
        <w:tblInd w:w="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43" w:type="dxa"/>
          <w:left w:w="115" w:type="dxa"/>
          <w:bottom w:w="43" w:type="dxa"/>
          <w:right w:w="115" w:type="dxa"/>
        </w:tblCellMar>
        <w:tblLook w:val="00A0"/>
      </w:tblPr>
      <w:tblGrid>
        <w:gridCol w:w="5688"/>
        <w:gridCol w:w="2970"/>
      </w:tblGrid>
      <w:tr w:rsidR="000914A9" w:rsidRPr="00D56FB5">
        <w:tc>
          <w:tcPr>
            <w:tcW w:w="5688" w:type="dxa"/>
            <w:tcBorders>
              <w:top w:val="single" w:sz="12" w:space="0" w:color="auto"/>
            </w:tcBorders>
          </w:tcPr>
          <w:p w:rsidR="000914A9" w:rsidRPr="00ED2281" w:rsidRDefault="000914A9" w:rsidP="00C0150B">
            <w:pPr>
              <w:rPr>
                <w:b/>
                <w:sz w:val="16"/>
              </w:rPr>
            </w:pPr>
            <w:r w:rsidRPr="00ED2281">
              <w:rPr>
                <w:b/>
                <w:sz w:val="16"/>
              </w:rPr>
              <w:t>Tasks</w:t>
            </w:r>
          </w:p>
        </w:tc>
        <w:tc>
          <w:tcPr>
            <w:tcW w:w="2970" w:type="dxa"/>
            <w:tcBorders>
              <w:top w:val="single" w:sz="12" w:space="0" w:color="auto"/>
            </w:tcBorders>
          </w:tcPr>
          <w:p w:rsidR="000914A9" w:rsidRPr="00ED2281" w:rsidRDefault="000914A9" w:rsidP="00C0150B">
            <w:pPr>
              <w:rPr>
                <w:b/>
                <w:sz w:val="16"/>
              </w:rPr>
            </w:pPr>
            <w:r w:rsidRPr="00ED2281">
              <w:rPr>
                <w:b/>
                <w:sz w:val="16"/>
              </w:rPr>
              <w:t>Timeline</w:t>
            </w:r>
          </w:p>
        </w:tc>
      </w:tr>
      <w:tr w:rsidR="000914A9" w:rsidRPr="00D56FB5">
        <w:tc>
          <w:tcPr>
            <w:tcW w:w="5688" w:type="dxa"/>
          </w:tcPr>
          <w:p w:rsidR="000914A9" w:rsidRPr="00ED2281" w:rsidRDefault="000914A9" w:rsidP="00C0150B">
            <w:pPr>
              <w:rPr>
                <w:sz w:val="16"/>
              </w:rPr>
            </w:pPr>
            <w:r w:rsidRPr="00ED2281">
              <w:rPr>
                <w:sz w:val="16"/>
              </w:rPr>
              <w:t>Contact short-listed project directors for online screening tool</w:t>
            </w:r>
          </w:p>
        </w:tc>
        <w:tc>
          <w:tcPr>
            <w:tcW w:w="2970" w:type="dxa"/>
          </w:tcPr>
          <w:p w:rsidR="000914A9" w:rsidRPr="00ED2281" w:rsidRDefault="000914A9" w:rsidP="00D62E7E">
            <w:pPr>
              <w:rPr>
                <w:sz w:val="16"/>
              </w:rPr>
            </w:pPr>
            <w:r>
              <w:rPr>
                <w:sz w:val="16"/>
              </w:rPr>
              <w:t>April</w:t>
            </w:r>
            <w:r w:rsidRPr="00ED2281">
              <w:rPr>
                <w:sz w:val="16"/>
              </w:rPr>
              <w:t xml:space="preserve"> 2012</w:t>
            </w:r>
          </w:p>
        </w:tc>
      </w:tr>
      <w:tr w:rsidR="000914A9" w:rsidRPr="00D56FB5">
        <w:tc>
          <w:tcPr>
            <w:tcW w:w="5688" w:type="dxa"/>
          </w:tcPr>
          <w:p w:rsidR="000914A9" w:rsidRPr="00ED2281" w:rsidRDefault="000914A9" w:rsidP="00C0150B">
            <w:pPr>
              <w:rPr>
                <w:sz w:val="16"/>
              </w:rPr>
            </w:pPr>
            <w:r w:rsidRPr="00ED2281">
              <w:rPr>
                <w:sz w:val="16"/>
              </w:rPr>
              <w:t>Recruit school districts and school sites and schedule site visits</w:t>
            </w:r>
          </w:p>
        </w:tc>
        <w:tc>
          <w:tcPr>
            <w:tcW w:w="2970" w:type="dxa"/>
          </w:tcPr>
          <w:p w:rsidR="000914A9" w:rsidRPr="00ED2281" w:rsidRDefault="000914A9" w:rsidP="00D62E7E">
            <w:pPr>
              <w:rPr>
                <w:sz w:val="16"/>
              </w:rPr>
            </w:pPr>
            <w:r>
              <w:rPr>
                <w:sz w:val="16"/>
              </w:rPr>
              <w:t>May</w:t>
            </w:r>
            <w:r w:rsidRPr="00ED2281">
              <w:rPr>
                <w:sz w:val="16"/>
              </w:rPr>
              <w:t xml:space="preserve"> 2012</w:t>
            </w:r>
          </w:p>
        </w:tc>
      </w:tr>
      <w:tr w:rsidR="000914A9" w:rsidRPr="00D56FB5">
        <w:tc>
          <w:tcPr>
            <w:tcW w:w="5688" w:type="dxa"/>
          </w:tcPr>
          <w:p w:rsidR="000914A9" w:rsidRPr="00ED2281" w:rsidRDefault="000914A9" w:rsidP="0052535E">
            <w:pPr>
              <w:rPr>
                <w:sz w:val="16"/>
              </w:rPr>
            </w:pPr>
            <w:r w:rsidRPr="00ED2281">
              <w:rPr>
                <w:sz w:val="16"/>
              </w:rPr>
              <w:t xml:space="preserve">Conduct field visits to 60 sites (including </w:t>
            </w:r>
            <w:r>
              <w:rPr>
                <w:sz w:val="16"/>
              </w:rPr>
              <w:t>state</w:t>
            </w:r>
            <w:r w:rsidRPr="00ED2281">
              <w:rPr>
                <w:sz w:val="16"/>
              </w:rPr>
              <w:t xml:space="preserve"> interviews and information surveys)</w:t>
            </w:r>
          </w:p>
        </w:tc>
        <w:tc>
          <w:tcPr>
            <w:tcW w:w="2970" w:type="dxa"/>
          </w:tcPr>
          <w:p w:rsidR="000914A9" w:rsidRPr="00ED2281" w:rsidRDefault="000914A9" w:rsidP="00531317">
            <w:pPr>
              <w:rPr>
                <w:sz w:val="16"/>
              </w:rPr>
            </w:pPr>
            <w:r>
              <w:rPr>
                <w:sz w:val="16"/>
              </w:rPr>
              <w:t>May</w:t>
            </w:r>
            <w:r w:rsidRPr="00ED2281">
              <w:rPr>
                <w:sz w:val="16"/>
              </w:rPr>
              <w:t>–</w:t>
            </w:r>
            <w:r>
              <w:rPr>
                <w:sz w:val="16"/>
              </w:rPr>
              <w:t>December</w:t>
            </w:r>
            <w:r w:rsidRPr="00ED2281">
              <w:rPr>
                <w:sz w:val="16"/>
              </w:rPr>
              <w:t xml:space="preserve"> 2012</w:t>
            </w:r>
          </w:p>
        </w:tc>
      </w:tr>
      <w:tr w:rsidR="000914A9" w:rsidRPr="00D56FB5">
        <w:tc>
          <w:tcPr>
            <w:tcW w:w="5688" w:type="dxa"/>
          </w:tcPr>
          <w:p w:rsidR="000914A9" w:rsidRPr="00ED2281" w:rsidRDefault="000914A9" w:rsidP="00C0150B">
            <w:pPr>
              <w:rPr>
                <w:sz w:val="16"/>
              </w:rPr>
            </w:pPr>
            <w:r w:rsidRPr="00ED2281">
              <w:rPr>
                <w:sz w:val="16"/>
              </w:rPr>
              <w:t>Analyze site visits</w:t>
            </w:r>
          </w:p>
        </w:tc>
        <w:tc>
          <w:tcPr>
            <w:tcW w:w="2970" w:type="dxa"/>
          </w:tcPr>
          <w:p w:rsidR="000914A9" w:rsidRPr="00ED2281" w:rsidRDefault="000914A9" w:rsidP="00531317">
            <w:pPr>
              <w:rPr>
                <w:sz w:val="16"/>
              </w:rPr>
            </w:pPr>
            <w:r>
              <w:rPr>
                <w:sz w:val="16"/>
              </w:rPr>
              <w:t>December 2012–January</w:t>
            </w:r>
            <w:r w:rsidRPr="00ED2281">
              <w:rPr>
                <w:sz w:val="16"/>
              </w:rPr>
              <w:t xml:space="preserve"> 201</w:t>
            </w:r>
            <w:r>
              <w:rPr>
                <w:sz w:val="16"/>
              </w:rPr>
              <w:t>3</w:t>
            </w:r>
          </w:p>
        </w:tc>
      </w:tr>
      <w:tr w:rsidR="000914A9" w:rsidRPr="00D56FB5">
        <w:tc>
          <w:tcPr>
            <w:tcW w:w="5688" w:type="dxa"/>
          </w:tcPr>
          <w:p w:rsidR="000914A9" w:rsidRPr="00ED2281" w:rsidRDefault="000914A9" w:rsidP="00C0150B">
            <w:pPr>
              <w:rPr>
                <w:sz w:val="16"/>
              </w:rPr>
            </w:pPr>
            <w:r w:rsidRPr="00ED2281">
              <w:rPr>
                <w:sz w:val="16"/>
              </w:rPr>
              <w:t>First Draft of Lessons Learned Guides</w:t>
            </w:r>
          </w:p>
        </w:tc>
        <w:tc>
          <w:tcPr>
            <w:tcW w:w="2970" w:type="dxa"/>
          </w:tcPr>
          <w:p w:rsidR="000914A9" w:rsidRPr="00ED2281" w:rsidRDefault="000914A9" w:rsidP="00C0150B">
            <w:pPr>
              <w:rPr>
                <w:sz w:val="16"/>
              </w:rPr>
            </w:pPr>
            <w:r>
              <w:rPr>
                <w:sz w:val="16"/>
              </w:rPr>
              <w:t>January</w:t>
            </w:r>
            <w:r w:rsidRPr="00ED2281">
              <w:rPr>
                <w:sz w:val="16"/>
              </w:rPr>
              <w:t xml:space="preserve"> 201</w:t>
            </w:r>
            <w:r>
              <w:rPr>
                <w:sz w:val="16"/>
              </w:rPr>
              <w:t>3</w:t>
            </w:r>
          </w:p>
        </w:tc>
      </w:tr>
      <w:tr w:rsidR="000914A9" w:rsidRPr="00D56FB5">
        <w:tc>
          <w:tcPr>
            <w:tcW w:w="5688" w:type="dxa"/>
            <w:tcBorders>
              <w:bottom w:val="single" w:sz="12" w:space="0" w:color="auto"/>
            </w:tcBorders>
          </w:tcPr>
          <w:p w:rsidR="000914A9" w:rsidRPr="00ED2281" w:rsidRDefault="000914A9" w:rsidP="00C0150B">
            <w:pPr>
              <w:rPr>
                <w:sz w:val="16"/>
              </w:rPr>
            </w:pPr>
            <w:r w:rsidRPr="00ED2281">
              <w:rPr>
                <w:sz w:val="16"/>
              </w:rPr>
              <w:t>Final Draft of Lessons Learned Guides</w:t>
            </w:r>
          </w:p>
        </w:tc>
        <w:tc>
          <w:tcPr>
            <w:tcW w:w="2970" w:type="dxa"/>
            <w:tcBorders>
              <w:bottom w:val="single" w:sz="12" w:space="0" w:color="auto"/>
            </w:tcBorders>
          </w:tcPr>
          <w:p w:rsidR="000914A9" w:rsidRPr="00ED2281" w:rsidRDefault="000914A9" w:rsidP="00C0150B">
            <w:pPr>
              <w:rPr>
                <w:sz w:val="16"/>
              </w:rPr>
            </w:pPr>
            <w:r w:rsidRPr="00ED2281">
              <w:rPr>
                <w:sz w:val="16"/>
              </w:rPr>
              <w:t>July 2013</w:t>
            </w:r>
          </w:p>
        </w:tc>
      </w:tr>
    </w:tbl>
    <w:p w:rsidR="001131D3" w:rsidRDefault="001131D3" w:rsidP="00C0150B"/>
    <w:p w:rsidR="000914A9" w:rsidRDefault="000914A9" w:rsidP="00C0150B">
      <w:r w:rsidRPr="00D56FB5">
        <w:lastRenderedPageBreak/>
        <w:t xml:space="preserve">In drafting the </w:t>
      </w:r>
      <w:r>
        <w:t>Lessons Learned Guides</w:t>
      </w:r>
      <w:r w:rsidRPr="00D56FB5">
        <w:t xml:space="preserve">, </w:t>
      </w:r>
      <w:r>
        <w:t>MSG</w:t>
      </w:r>
      <w:r w:rsidRPr="00D56FB5">
        <w:t xml:space="preserve"> will prepare an outline of report contents. The contents will include, but are not limited to, the following:</w:t>
      </w:r>
    </w:p>
    <w:p w:rsidR="000914A9" w:rsidRPr="00D56FB5" w:rsidRDefault="000914A9" w:rsidP="00C0150B">
      <w:pPr>
        <w:numPr>
          <w:ilvl w:val="0"/>
          <w:numId w:val="39"/>
        </w:numPr>
      </w:pPr>
      <w:r w:rsidRPr="00D56FB5">
        <w:t>Executive summary</w:t>
      </w:r>
    </w:p>
    <w:p w:rsidR="000914A9" w:rsidRPr="00D56FB5" w:rsidRDefault="000914A9" w:rsidP="00C0150B">
      <w:pPr>
        <w:numPr>
          <w:ilvl w:val="0"/>
          <w:numId w:val="39"/>
        </w:numPr>
      </w:pPr>
      <w:r w:rsidRPr="00D56FB5">
        <w:t>Study purpose</w:t>
      </w:r>
    </w:p>
    <w:p w:rsidR="000914A9" w:rsidRPr="00D56FB5" w:rsidRDefault="000914A9" w:rsidP="00C0150B">
      <w:pPr>
        <w:numPr>
          <w:ilvl w:val="0"/>
          <w:numId w:val="39"/>
        </w:numPr>
      </w:pPr>
      <w:r w:rsidRPr="00D56FB5">
        <w:t>Research methodology</w:t>
      </w:r>
    </w:p>
    <w:p w:rsidR="000914A9" w:rsidRPr="00D56FB5" w:rsidRDefault="000914A9" w:rsidP="00C0150B">
      <w:pPr>
        <w:numPr>
          <w:ilvl w:val="1"/>
          <w:numId w:val="39"/>
        </w:numPr>
      </w:pPr>
      <w:r w:rsidRPr="00D56FB5">
        <w:t>Interview development</w:t>
      </w:r>
    </w:p>
    <w:p w:rsidR="000914A9" w:rsidRPr="00D56FB5" w:rsidRDefault="000914A9" w:rsidP="00C0150B">
      <w:pPr>
        <w:numPr>
          <w:ilvl w:val="1"/>
          <w:numId w:val="39"/>
        </w:numPr>
      </w:pPr>
      <w:r w:rsidRPr="00D56FB5">
        <w:t>Data collection procedures</w:t>
      </w:r>
    </w:p>
    <w:p w:rsidR="000914A9" w:rsidRPr="00D56FB5" w:rsidRDefault="000914A9" w:rsidP="00C0150B">
      <w:pPr>
        <w:numPr>
          <w:ilvl w:val="1"/>
          <w:numId w:val="39"/>
        </w:numPr>
      </w:pPr>
      <w:r w:rsidRPr="00D56FB5">
        <w:t>Analysis methods</w:t>
      </w:r>
    </w:p>
    <w:p w:rsidR="000914A9" w:rsidRDefault="000914A9" w:rsidP="00C0150B">
      <w:pPr>
        <w:numPr>
          <w:ilvl w:val="0"/>
          <w:numId w:val="39"/>
        </w:numPr>
      </w:pPr>
      <w:r>
        <w:t>Cross-site analysis across topic areas</w:t>
      </w:r>
    </w:p>
    <w:p w:rsidR="000914A9" w:rsidRDefault="000914A9" w:rsidP="00C0150B">
      <w:pPr>
        <w:numPr>
          <w:ilvl w:val="0"/>
          <w:numId w:val="39"/>
        </w:numPr>
      </w:pPr>
      <w:r>
        <w:t>Cross-site analysis within each topic area</w:t>
      </w:r>
    </w:p>
    <w:p w:rsidR="000914A9" w:rsidRDefault="000914A9" w:rsidP="00D167C7">
      <w:pPr>
        <w:numPr>
          <w:ilvl w:val="1"/>
          <w:numId w:val="39"/>
        </w:numPr>
      </w:pPr>
      <w:r>
        <w:t>Lessons learned on programmatic practices to support topic area</w:t>
      </w:r>
    </w:p>
    <w:p w:rsidR="000914A9" w:rsidRDefault="000914A9" w:rsidP="00D167C7">
      <w:pPr>
        <w:numPr>
          <w:ilvl w:val="1"/>
          <w:numId w:val="39"/>
        </w:numPr>
      </w:pPr>
      <w:r>
        <w:t>Associated implementation challenges and strategies to overcome them</w:t>
      </w:r>
    </w:p>
    <w:p w:rsidR="000914A9" w:rsidRDefault="000914A9" w:rsidP="00D167C7">
      <w:pPr>
        <w:numPr>
          <w:ilvl w:val="1"/>
          <w:numId w:val="39"/>
        </w:numPr>
      </w:pPr>
      <w:r>
        <w:t>Lessons learned on instructional practices to support topic area</w:t>
      </w:r>
    </w:p>
    <w:p w:rsidR="000914A9" w:rsidRDefault="000914A9" w:rsidP="00900670">
      <w:pPr>
        <w:numPr>
          <w:ilvl w:val="1"/>
          <w:numId w:val="39"/>
        </w:numPr>
      </w:pPr>
      <w:r>
        <w:t>Associated implementation challenges and strategies to overcome them</w:t>
      </w:r>
    </w:p>
    <w:p w:rsidR="000914A9" w:rsidRDefault="000914A9" w:rsidP="00C0150B">
      <w:pPr>
        <w:numPr>
          <w:ilvl w:val="0"/>
          <w:numId w:val="39"/>
        </w:numPr>
      </w:pPr>
      <w:r>
        <w:t>Program profile summaries within each topic area</w:t>
      </w:r>
    </w:p>
    <w:p w:rsidR="000914A9" w:rsidRPr="00D56FB5" w:rsidRDefault="000914A9" w:rsidP="00C0150B">
      <w:pPr>
        <w:numPr>
          <w:ilvl w:val="0"/>
          <w:numId w:val="39"/>
        </w:numPr>
      </w:pPr>
      <w:r w:rsidRPr="00D56FB5">
        <w:t>Implications of study findings and future directions</w:t>
      </w:r>
    </w:p>
    <w:p w:rsidR="000914A9" w:rsidRDefault="000914A9" w:rsidP="00C0150B"/>
    <w:p w:rsidR="000914A9" w:rsidRPr="00D56FB5" w:rsidRDefault="000914A9" w:rsidP="00C0150B">
      <w:r w:rsidRPr="00D56FB5">
        <w:t xml:space="preserve">The </w:t>
      </w:r>
      <w:r>
        <w:t>Lessons Learned Guides</w:t>
      </w:r>
      <w:r w:rsidRPr="00D56FB5">
        <w:t xml:space="preserve"> will include results for the entire project based on the original study plan and any subsequent modifications to the plan agreed</w:t>
      </w:r>
      <w:r w:rsidRPr="00D56FB5" w:rsidDel="00F762B0">
        <w:t xml:space="preserve"> </w:t>
      </w:r>
      <w:r w:rsidRPr="00D56FB5">
        <w:t xml:space="preserve">upon by </w:t>
      </w:r>
      <w:r>
        <w:t>the Department</w:t>
      </w:r>
      <w:r w:rsidRPr="00D56FB5">
        <w:t xml:space="preserve">. </w:t>
      </w:r>
      <w:r w:rsidRPr="00D167C7">
        <w:t>Each guide will include a description of the methodology employed, findings, and implications for the study. Each</w:t>
      </w:r>
      <w:r w:rsidRPr="00D167C7" w:rsidDel="0052233E">
        <w:t xml:space="preserve"> </w:t>
      </w:r>
      <w:r w:rsidRPr="00D167C7">
        <w:t xml:space="preserve">will also include a nontechnical executive summary, </w:t>
      </w:r>
      <w:r>
        <w:t xml:space="preserve">a cross-site analysis that cuts across all four topic areas, </w:t>
      </w:r>
      <w:r w:rsidRPr="00D167C7">
        <w:t>cross-site analyses</w:t>
      </w:r>
      <w:r>
        <w:t xml:space="preserve"> within each topic area</w:t>
      </w:r>
      <w:r w:rsidRPr="00D167C7">
        <w:t>, and individual site summaries</w:t>
      </w:r>
      <w:r>
        <w:t xml:space="preserve"> within each topic area</w:t>
      </w:r>
      <w:r w:rsidRPr="00D167C7">
        <w:t xml:space="preserve">. Most centrally, they will offer detailed descriptions of the practices identified as being critical to </w:t>
      </w:r>
      <w:r>
        <w:t>successful</w:t>
      </w:r>
      <w:r w:rsidRPr="00D167C7">
        <w:t xml:space="preserve"> implementation of each topic area. Included in these descriptions will be a discussion of the associated implementation challenges and the strategies that programs have used to overcome them. The guides will also provide in-depth descriptions of the practices in place at the study sites so that the reader can see what a practice “looks like in action.” </w:t>
      </w:r>
      <w:r>
        <w:t>We will</w:t>
      </w:r>
      <w:r w:rsidRPr="00F93493">
        <w:t xml:space="preserve"> write the guide</w:t>
      </w:r>
      <w:r>
        <w:t>s</w:t>
      </w:r>
      <w:r w:rsidRPr="00F93493">
        <w:t xml:space="preserve"> and </w:t>
      </w:r>
      <w:r>
        <w:t>the executive summaries</w:t>
      </w:r>
      <w:r w:rsidRPr="00F93493">
        <w:t xml:space="preserve"> in a manner suitable for distribution to a broad audience. </w:t>
      </w:r>
      <w:r w:rsidRPr="00D56FB5">
        <w:t xml:space="preserve">The </w:t>
      </w:r>
      <w:r>
        <w:t xml:space="preserve">Lessons Learned Guides </w:t>
      </w:r>
      <w:r w:rsidRPr="00D56FB5">
        <w:t xml:space="preserve">will be provided in </w:t>
      </w:r>
      <w:r>
        <w:t>a 508-compliant PDF file for the PPSS website</w:t>
      </w:r>
      <w:r w:rsidRPr="00D56FB5">
        <w:t>.</w:t>
      </w:r>
    </w:p>
    <w:p w:rsidR="000914A9" w:rsidRDefault="000914A9" w:rsidP="00C0150B">
      <w:pPr>
        <w:pStyle w:val="Heading2"/>
        <w:tabs>
          <w:tab w:val="left" w:pos="540"/>
        </w:tabs>
        <w:ind w:left="547" w:hanging="547"/>
        <w:rPr>
          <w:i/>
        </w:rPr>
      </w:pPr>
    </w:p>
    <w:p w:rsidR="000914A9" w:rsidRPr="00C0150B" w:rsidRDefault="000914A9" w:rsidP="00C0150B"/>
    <w:p w:rsidR="000914A9" w:rsidRPr="000025E8" w:rsidRDefault="000914A9" w:rsidP="00C0150B">
      <w:pPr>
        <w:pStyle w:val="Heading2"/>
        <w:tabs>
          <w:tab w:val="left" w:pos="540"/>
        </w:tabs>
        <w:ind w:left="547" w:hanging="547"/>
        <w:rPr>
          <w:i/>
        </w:rPr>
      </w:pPr>
      <w:r w:rsidRPr="000025E8">
        <w:rPr>
          <w:i/>
        </w:rPr>
        <w:t>17.</w:t>
      </w:r>
      <w:r w:rsidRPr="000025E8">
        <w:rPr>
          <w:i/>
        </w:rPr>
        <w:tab/>
        <w:t>Approval to not display OMB expiration date</w:t>
      </w:r>
    </w:p>
    <w:p w:rsidR="000914A9" w:rsidRPr="000025E8" w:rsidRDefault="000914A9" w:rsidP="000D17BF">
      <w:r w:rsidRPr="000025E8">
        <w:t>All data collection instruments will include the OMB expiration date.</w:t>
      </w:r>
    </w:p>
    <w:p w:rsidR="000914A9" w:rsidRDefault="000914A9" w:rsidP="00C0150B"/>
    <w:p w:rsidR="000914A9" w:rsidRPr="000025E8" w:rsidRDefault="000914A9" w:rsidP="00C0150B"/>
    <w:p w:rsidR="000914A9" w:rsidRPr="000025E8" w:rsidRDefault="000914A9" w:rsidP="00C0150B">
      <w:pPr>
        <w:pStyle w:val="Heading2"/>
        <w:tabs>
          <w:tab w:val="left" w:pos="540"/>
        </w:tabs>
        <w:ind w:left="547" w:hanging="547"/>
        <w:rPr>
          <w:i/>
        </w:rPr>
      </w:pPr>
      <w:r w:rsidRPr="000025E8">
        <w:rPr>
          <w:i/>
        </w:rPr>
        <w:t>18.</w:t>
      </w:r>
      <w:r w:rsidRPr="000025E8">
        <w:rPr>
          <w:i/>
        </w:rPr>
        <w:tab/>
        <w:t>Explanation of exceptions</w:t>
      </w:r>
    </w:p>
    <w:p w:rsidR="000914A9" w:rsidRPr="000025E8" w:rsidRDefault="000914A9" w:rsidP="000D17BF">
      <w:r w:rsidRPr="000025E8">
        <w:t>No exceptions are requested.</w:t>
      </w:r>
      <w:bookmarkEnd w:id="2"/>
      <w:bookmarkEnd w:id="3"/>
      <w:bookmarkEnd w:id="4"/>
      <w:bookmarkEnd w:id="5"/>
      <w:bookmarkEnd w:id="6"/>
      <w:bookmarkEnd w:id="7"/>
      <w:bookmarkEnd w:id="8"/>
    </w:p>
    <w:p w:rsidR="000914A9" w:rsidRPr="000025E8" w:rsidRDefault="000914A9" w:rsidP="00C0150B"/>
    <w:p w:rsidR="000914A9" w:rsidRPr="000025E8" w:rsidRDefault="000914A9" w:rsidP="00C0150B"/>
    <w:sectPr w:rsidR="000914A9" w:rsidRPr="000025E8" w:rsidSect="00BE1671">
      <w:footerReference w:type="default" r:id="rId9"/>
      <w:footerReference w:type="first" r:id="rId10"/>
      <w:pgSz w:w="12240" w:h="15840" w:code="1"/>
      <w:pgMar w:top="1440" w:right="1440" w:bottom="1440" w:left="1440" w:header="576"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102" w:rsidRDefault="001F1102">
      <w:r>
        <w:separator/>
      </w:r>
    </w:p>
  </w:endnote>
  <w:endnote w:type="continuationSeparator" w:id="0">
    <w:p w:rsidR="001F1102" w:rsidRDefault="001F11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7C" w:rsidRPr="00BE1671" w:rsidRDefault="00DD1C7C" w:rsidP="00BE1671">
    <w:pPr>
      <w:pStyle w:val="Footer"/>
      <w:tabs>
        <w:tab w:val="clear" w:pos="8640"/>
      </w:tabs>
      <w:rPr>
        <w:b/>
        <w:bCs/>
      </w:rPr>
    </w:pPr>
    <w:r w:rsidRPr="00713772">
      <w:rPr>
        <w:rFonts w:cs="Arial"/>
        <w:bCs/>
        <w:color w:val="000000"/>
      </w:rPr>
      <w:t xml:space="preserve">Contract # </w:t>
    </w:r>
    <w:r w:rsidRPr="00E04D72">
      <w:t>ED-CFO-10-A-0110-0001</w:t>
    </w:r>
    <w:r>
      <w:rPr>
        <w:b/>
        <w:bCs/>
      </w:rPr>
      <w:tab/>
    </w:r>
    <w:r>
      <w:rPr>
        <w:b/>
        <w:bCs/>
      </w:rPr>
      <w:tab/>
      <w:t xml:space="preserve">  </w:t>
    </w:r>
    <w:r>
      <w:rPr>
        <w:b/>
        <w:bCs/>
      </w:rPr>
      <w:tab/>
    </w:r>
    <w:r>
      <w:rPr>
        <w:b/>
        <w:bCs/>
      </w:rPr>
      <w:tab/>
    </w:r>
    <w:r>
      <w:rPr>
        <w:b/>
        <w:bCs/>
      </w:rPr>
      <w:tab/>
    </w:r>
    <w:r>
      <w:rPr>
        <w:b/>
        <w:bCs/>
      </w:rPr>
      <w:tab/>
      <w:t xml:space="preserve">           </w:t>
    </w:r>
    <w:r>
      <w:t xml:space="preserve">Page | </w:t>
    </w:r>
    <w:r w:rsidR="005173C5">
      <w:fldChar w:fldCharType="begin"/>
    </w:r>
    <w:r w:rsidR="00897EF5">
      <w:instrText xml:space="preserve"> PAGE   \* MERGEFORMAT </w:instrText>
    </w:r>
    <w:r w:rsidR="005173C5">
      <w:fldChar w:fldCharType="separate"/>
    </w:r>
    <w:r w:rsidR="008B6721">
      <w:rPr>
        <w:noProof/>
      </w:rPr>
      <w:t>1</w:t>
    </w:r>
    <w:r w:rsidR="005173C5">
      <w:rPr>
        <w:noProof/>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C7C" w:rsidRPr="003C53F4" w:rsidRDefault="00DD1C7C" w:rsidP="00B9729C">
    <w:pPr>
      <w:pStyle w:val="Footer"/>
      <w:tabs>
        <w:tab w:val="left" w:pos="9360"/>
      </w:tabs>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102" w:rsidRDefault="001F1102">
      <w:r>
        <w:separator/>
      </w:r>
    </w:p>
  </w:footnote>
  <w:footnote w:type="continuationSeparator" w:id="0">
    <w:p w:rsidR="001F1102" w:rsidRDefault="001F11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2843ED4"/>
    <w:multiLevelType w:val="hybridMultilevel"/>
    <w:tmpl w:val="1FD482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785AA0"/>
    <w:multiLevelType w:val="hybridMultilevel"/>
    <w:tmpl w:val="F3BE64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nsid w:val="1AF154DF"/>
    <w:multiLevelType w:val="hybridMultilevel"/>
    <w:tmpl w:val="8258F91A"/>
    <w:lvl w:ilvl="0" w:tplc="669CD6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D0630BE"/>
    <w:multiLevelType w:val="hybridMultilevel"/>
    <w:tmpl w:val="411C5188"/>
    <w:lvl w:ilvl="0" w:tplc="D4543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nsid w:val="2AB108E0"/>
    <w:multiLevelType w:val="hybridMultilevel"/>
    <w:tmpl w:val="E3F8441C"/>
    <w:lvl w:ilvl="0" w:tplc="0040F8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A405DF2"/>
    <w:multiLevelType w:val="hybridMultilevel"/>
    <w:tmpl w:val="3788E17E"/>
    <w:lvl w:ilvl="0" w:tplc="B26ECD36">
      <w:start w:val="1"/>
      <w:numFmt w:val="lowerLetter"/>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9361CB"/>
    <w:multiLevelType w:val="hybridMultilevel"/>
    <w:tmpl w:val="FF04F524"/>
    <w:lvl w:ilvl="0" w:tplc="5B006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6E3D38"/>
    <w:multiLevelType w:val="hybridMultilevel"/>
    <w:tmpl w:val="A82E6E2E"/>
    <w:lvl w:ilvl="0" w:tplc="DE26EF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B83EF8"/>
    <w:multiLevelType w:val="hybridMultilevel"/>
    <w:tmpl w:val="FC7A578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nsid w:val="538D030C"/>
    <w:multiLevelType w:val="hybridMultilevel"/>
    <w:tmpl w:val="04209872"/>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B978E7"/>
    <w:multiLevelType w:val="hybridMultilevel"/>
    <w:tmpl w:val="020CDF38"/>
    <w:lvl w:ilvl="0" w:tplc="DB22694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3DF4151"/>
    <w:multiLevelType w:val="hybridMultilevel"/>
    <w:tmpl w:val="0616B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63B37"/>
    <w:multiLevelType w:val="hybridMultilevel"/>
    <w:tmpl w:val="C38E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6A2925"/>
    <w:multiLevelType w:val="hybridMultilevel"/>
    <w:tmpl w:val="4874ECCA"/>
    <w:lvl w:ilvl="0" w:tplc="DB2269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E87D6A"/>
    <w:multiLevelType w:val="hybridMultilevel"/>
    <w:tmpl w:val="51627CA4"/>
    <w:lvl w:ilvl="0" w:tplc="7A7AF754">
      <w:start w:val="1"/>
      <w:numFmt w:val="bullet"/>
      <w:lvlText w:val=""/>
      <w:lvlJc w:val="left"/>
      <w:pPr>
        <w:ind w:left="1267" w:hanging="360"/>
      </w:pPr>
      <w:rPr>
        <w:rFonts w:ascii="Symbol" w:hAnsi="Symbol" w:hint="default"/>
      </w:rPr>
    </w:lvl>
    <w:lvl w:ilvl="1" w:tplc="11903504" w:tentative="1">
      <w:start w:val="1"/>
      <w:numFmt w:val="bullet"/>
      <w:lvlText w:val="o"/>
      <w:lvlJc w:val="left"/>
      <w:pPr>
        <w:ind w:left="1987" w:hanging="360"/>
      </w:pPr>
      <w:rPr>
        <w:rFonts w:ascii="Courier New" w:hAnsi="Courier New" w:hint="default"/>
      </w:rPr>
    </w:lvl>
    <w:lvl w:ilvl="2" w:tplc="4678C072" w:tentative="1">
      <w:start w:val="1"/>
      <w:numFmt w:val="bullet"/>
      <w:lvlText w:val=""/>
      <w:lvlJc w:val="left"/>
      <w:pPr>
        <w:ind w:left="2707" w:hanging="360"/>
      </w:pPr>
      <w:rPr>
        <w:rFonts w:ascii="Wingdings" w:hAnsi="Wingdings" w:hint="default"/>
      </w:rPr>
    </w:lvl>
    <w:lvl w:ilvl="3" w:tplc="5120B5A6" w:tentative="1">
      <w:start w:val="1"/>
      <w:numFmt w:val="bullet"/>
      <w:lvlText w:val=""/>
      <w:lvlJc w:val="left"/>
      <w:pPr>
        <w:ind w:left="3427" w:hanging="360"/>
      </w:pPr>
      <w:rPr>
        <w:rFonts w:ascii="Symbol" w:hAnsi="Symbol" w:hint="default"/>
      </w:rPr>
    </w:lvl>
    <w:lvl w:ilvl="4" w:tplc="3926DC78" w:tentative="1">
      <w:start w:val="1"/>
      <w:numFmt w:val="bullet"/>
      <w:lvlText w:val="o"/>
      <w:lvlJc w:val="left"/>
      <w:pPr>
        <w:ind w:left="4147" w:hanging="360"/>
      </w:pPr>
      <w:rPr>
        <w:rFonts w:ascii="Courier New" w:hAnsi="Courier New" w:hint="default"/>
      </w:rPr>
    </w:lvl>
    <w:lvl w:ilvl="5" w:tplc="613E157E" w:tentative="1">
      <w:start w:val="1"/>
      <w:numFmt w:val="bullet"/>
      <w:lvlText w:val=""/>
      <w:lvlJc w:val="left"/>
      <w:pPr>
        <w:ind w:left="4867" w:hanging="360"/>
      </w:pPr>
      <w:rPr>
        <w:rFonts w:ascii="Wingdings" w:hAnsi="Wingdings" w:hint="default"/>
      </w:rPr>
    </w:lvl>
    <w:lvl w:ilvl="6" w:tplc="09DCC166" w:tentative="1">
      <w:start w:val="1"/>
      <w:numFmt w:val="bullet"/>
      <w:lvlText w:val=""/>
      <w:lvlJc w:val="left"/>
      <w:pPr>
        <w:ind w:left="5587" w:hanging="360"/>
      </w:pPr>
      <w:rPr>
        <w:rFonts w:ascii="Symbol" w:hAnsi="Symbol" w:hint="default"/>
      </w:rPr>
    </w:lvl>
    <w:lvl w:ilvl="7" w:tplc="00726BDE" w:tentative="1">
      <w:start w:val="1"/>
      <w:numFmt w:val="bullet"/>
      <w:lvlText w:val="o"/>
      <w:lvlJc w:val="left"/>
      <w:pPr>
        <w:ind w:left="6307" w:hanging="360"/>
      </w:pPr>
      <w:rPr>
        <w:rFonts w:ascii="Courier New" w:hAnsi="Courier New" w:hint="default"/>
      </w:rPr>
    </w:lvl>
    <w:lvl w:ilvl="8" w:tplc="B2980892" w:tentative="1">
      <w:start w:val="1"/>
      <w:numFmt w:val="bullet"/>
      <w:lvlText w:val=""/>
      <w:lvlJc w:val="left"/>
      <w:pPr>
        <w:ind w:left="7027" w:hanging="360"/>
      </w:pPr>
      <w:rPr>
        <w:rFonts w:ascii="Wingdings" w:hAnsi="Wingdings" w:hint="default"/>
      </w:rPr>
    </w:lvl>
  </w:abstractNum>
  <w:abstractNum w:abstractNumId="34">
    <w:nsid w:val="68C62EAD"/>
    <w:multiLevelType w:val="hybridMultilevel"/>
    <w:tmpl w:val="D9EA7D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4B4060"/>
    <w:multiLevelType w:val="hybridMultilevel"/>
    <w:tmpl w:val="8A36B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681E66"/>
    <w:multiLevelType w:val="hybridMultilevel"/>
    <w:tmpl w:val="CE96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CF7E92"/>
    <w:multiLevelType w:val="hybridMultilevel"/>
    <w:tmpl w:val="AB208D7E"/>
    <w:lvl w:ilvl="0" w:tplc="B178C216">
      <w:start w:val="1"/>
      <w:numFmt w:val="bullet"/>
      <w:lvlText w:val=""/>
      <w:lvlJc w:val="left"/>
      <w:pPr>
        <w:ind w:left="720" w:hanging="360"/>
      </w:pPr>
      <w:rPr>
        <w:rFonts w:ascii="Symbol" w:hAnsi="Symbol" w:hint="default"/>
      </w:rPr>
    </w:lvl>
    <w:lvl w:ilvl="1" w:tplc="5926900E" w:tentative="1">
      <w:start w:val="1"/>
      <w:numFmt w:val="bullet"/>
      <w:lvlText w:val="o"/>
      <w:lvlJc w:val="left"/>
      <w:pPr>
        <w:ind w:left="1440" w:hanging="360"/>
      </w:pPr>
      <w:rPr>
        <w:rFonts w:ascii="Courier New" w:hAnsi="Courier New" w:hint="default"/>
      </w:rPr>
    </w:lvl>
    <w:lvl w:ilvl="2" w:tplc="EEBEAF98" w:tentative="1">
      <w:start w:val="1"/>
      <w:numFmt w:val="bullet"/>
      <w:lvlText w:val=""/>
      <w:lvlJc w:val="left"/>
      <w:pPr>
        <w:ind w:left="2160" w:hanging="360"/>
      </w:pPr>
      <w:rPr>
        <w:rFonts w:ascii="Wingdings" w:hAnsi="Wingdings" w:hint="default"/>
      </w:rPr>
    </w:lvl>
    <w:lvl w:ilvl="3" w:tplc="E1D43D7E" w:tentative="1">
      <w:start w:val="1"/>
      <w:numFmt w:val="bullet"/>
      <w:lvlText w:val=""/>
      <w:lvlJc w:val="left"/>
      <w:pPr>
        <w:ind w:left="2880" w:hanging="360"/>
      </w:pPr>
      <w:rPr>
        <w:rFonts w:ascii="Symbol" w:hAnsi="Symbol" w:hint="default"/>
      </w:rPr>
    </w:lvl>
    <w:lvl w:ilvl="4" w:tplc="58260804" w:tentative="1">
      <w:start w:val="1"/>
      <w:numFmt w:val="bullet"/>
      <w:lvlText w:val="o"/>
      <w:lvlJc w:val="left"/>
      <w:pPr>
        <w:ind w:left="3600" w:hanging="360"/>
      </w:pPr>
      <w:rPr>
        <w:rFonts w:ascii="Courier New" w:hAnsi="Courier New" w:hint="default"/>
      </w:rPr>
    </w:lvl>
    <w:lvl w:ilvl="5" w:tplc="DBA4D87C" w:tentative="1">
      <w:start w:val="1"/>
      <w:numFmt w:val="bullet"/>
      <w:lvlText w:val=""/>
      <w:lvlJc w:val="left"/>
      <w:pPr>
        <w:ind w:left="4320" w:hanging="360"/>
      </w:pPr>
      <w:rPr>
        <w:rFonts w:ascii="Wingdings" w:hAnsi="Wingdings" w:hint="default"/>
      </w:rPr>
    </w:lvl>
    <w:lvl w:ilvl="6" w:tplc="BF12A34E" w:tentative="1">
      <w:start w:val="1"/>
      <w:numFmt w:val="bullet"/>
      <w:lvlText w:val=""/>
      <w:lvlJc w:val="left"/>
      <w:pPr>
        <w:ind w:left="5040" w:hanging="360"/>
      </w:pPr>
      <w:rPr>
        <w:rFonts w:ascii="Symbol" w:hAnsi="Symbol" w:hint="default"/>
      </w:rPr>
    </w:lvl>
    <w:lvl w:ilvl="7" w:tplc="62BC556C" w:tentative="1">
      <w:start w:val="1"/>
      <w:numFmt w:val="bullet"/>
      <w:lvlText w:val="o"/>
      <w:lvlJc w:val="left"/>
      <w:pPr>
        <w:ind w:left="5760" w:hanging="360"/>
      </w:pPr>
      <w:rPr>
        <w:rFonts w:ascii="Courier New" w:hAnsi="Courier New" w:hint="default"/>
      </w:rPr>
    </w:lvl>
    <w:lvl w:ilvl="8" w:tplc="9F1203DE" w:tentative="1">
      <w:start w:val="1"/>
      <w:numFmt w:val="bullet"/>
      <w:lvlText w:val=""/>
      <w:lvlJc w:val="left"/>
      <w:pPr>
        <w:ind w:left="6480" w:hanging="360"/>
      </w:pPr>
      <w:rPr>
        <w:rFonts w:ascii="Wingdings" w:hAnsi="Wingdings" w:hint="default"/>
      </w:rPr>
    </w:lvl>
  </w:abstractNum>
  <w:abstractNum w:abstractNumId="39">
    <w:nsid w:val="77391904"/>
    <w:multiLevelType w:val="hybridMultilevel"/>
    <w:tmpl w:val="E1564E84"/>
    <w:lvl w:ilvl="0" w:tplc="04090001">
      <w:start w:val="1"/>
      <w:numFmt w:val="decimal"/>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nsid w:val="799E625B"/>
    <w:multiLevelType w:val="hybridMultilevel"/>
    <w:tmpl w:val="37401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6778C4"/>
    <w:multiLevelType w:val="hybridMultilevel"/>
    <w:tmpl w:val="A28A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CF0B18"/>
    <w:multiLevelType w:val="hybridMultilevel"/>
    <w:tmpl w:val="74D0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25"/>
  </w:num>
  <w:num w:numId="4">
    <w:abstractNumId w:val="39"/>
  </w:num>
  <w:num w:numId="5">
    <w:abstractNumId w:val="23"/>
  </w:num>
  <w:num w:numId="6">
    <w:abstractNumId w:val="28"/>
  </w:num>
  <w:num w:numId="7">
    <w:abstractNumId w:val="17"/>
  </w:num>
  <w:num w:numId="8">
    <w:abstractNumId w:val="32"/>
  </w:num>
  <w:num w:numId="9">
    <w:abstractNumId w:val="27"/>
  </w:num>
  <w:num w:numId="10">
    <w:abstractNumId w:val="37"/>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 w:numId="23">
    <w:abstractNumId w:val="33"/>
  </w:num>
  <w:num w:numId="24">
    <w:abstractNumId w:val="14"/>
  </w:num>
  <w:num w:numId="25">
    <w:abstractNumId w:val="18"/>
  </w:num>
  <w:num w:numId="26">
    <w:abstractNumId w:val="38"/>
  </w:num>
  <w:num w:numId="27">
    <w:abstractNumId w:val="20"/>
  </w:num>
  <w:num w:numId="28">
    <w:abstractNumId w:val="10"/>
  </w:num>
  <w:num w:numId="29">
    <w:abstractNumId w:val="42"/>
  </w:num>
  <w:num w:numId="30">
    <w:abstractNumId w:val="36"/>
  </w:num>
  <w:num w:numId="31">
    <w:abstractNumId w:val="21"/>
  </w:num>
  <w:num w:numId="32">
    <w:abstractNumId w:val="16"/>
  </w:num>
  <w:num w:numId="33">
    <w:abstractNumId w:val="19"/>
  </w:num>
  <w:num w:numId="34">
    <w:abstractNumId w:val="22"/>
  </w:num>
  <w:num w:numId="35">
    <w:abstractNumId w:val="15"/>
  </w:num>
  <w:num w:numId="36">
    <w:abstractNumId w:val="34"/>
  </w:num>
  <w:num w:numId="37">
    <w:abstractNumId w:val="26"/>
  </w:num>
  <w:num w:numId="38">
    <w:abstractNumId w:val="31"/>
  </w:num>
  <w:num w:numId="39">
    <w:abstractNumId w:val="12"/>
  </w:num>
  <w:num w:numId="40">
    <w:abstractNumId w:val="40"/>
  </w:num>
  <w:num w:numId="41">
    <w:abstractNumId w:val="35"/>
  </w:num>
  <w:num w:numId="42">
    <w:abstractNumId w:val="41"/>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2"/>
  <w:proofState w:spelling="clean"/>
  <w:stylePaneFormatFilter w:val="3701"/>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rsids>
    <w:rsidRoot w:val="00746922"/>
    <w:rsid w:val="00001CDB"/>
    <w:rsid w:val="000025E8"/>
    <w:rsid w:val="000034A8"/>
    <w:rsid w:val="00004032"/>
    <w:rsid w:val="0001013B"/>
    <w:rsid w:val="000112EF"/>
    <w:rsid w:val="00013314"/>
    <w:rsid w:val="00021B7F"/>
    <w:rsid w:val="00023460"/>
    <w:rsid w:val="000235BD"/>
    <w:rsid w:val="00024D76"/>
    <w:rsid w:val="0002694A"/>
    <w:rsid w:val="0003006A"/>
    <w:rsid w:val="00030AAD"/>
    <w:rsid w:val="00031A6E"/>
    <w:rsid w:val="0003448B"/>
    <w:rsid w:val="0003595F"/>
    <w:rsid w:val="00036C02"/>
    <w:rsid w:val="00041173"/>
    <w:rsid w:val="00041236"/>
    <w:rsid w:val="00044393"/>
    <w:rsid w:val="000528B1"/>
    <w:rsid w:val="000555A8"/>
    <w:rsid w:val="00055A05"/>
    <w:rsid w:val="00055F10"/>
    <w:rsid w:val="000565AF"/>
    <w:rsid w:val="0006110E"/>
    <w:rsid w:val="00062436"/>
    <w:rsid w:val="00062D02"/>
    <w:rsid w:val="00063984"/>
    <w:rsid w:val="00064D83"/>
    <w:rsid w:val="00065513"/>
    <w:rsid w:val="00065635"/>
    <w:rsid w:val="00065994"/>
    <w:rsid w:val="0006629F"/>
    <w:rsid w:val="00070252"/>
    <w:rsid w:val="00071CF9"/>
    <w:rsid w:val="0007214F"/>
    <w:rsid w:val="000732D2"/>
    <w:rsid w:val="000746E2"/>
    <w:rsid w:val="000755C1"/>
    <w:rsid w:val="000758AC"/>
    <w:rsid w:val="0008064B"/>
    <w:rsid w:val="00080C63"/>
    <w:rsid w:val="00081FD3"/>
    <w:rsid w:val="00083743"/>
    <w:rsid w:val="000856CB"/>
    <w:rsid w:val="000863EF"/>
    <w:rsid w:val="00086F1E"/>
    <w:rsid w:val="00087FC5"/>
    <w:rsid w:val="00090B76"/>
    <w:rsid w:val="000914A9"/>
    <w:rsid w:val="00092FE5"/>
    <w:rsid w:val="000952D1"/>
    <w:rsid w:val="00096859"/>
    <w:rsid w:val="00097F0B"/>
    <w:rsid w:val="000A362F"/>
    <w:rsid w:val="000A3E1F"/>
    <w:rsid w:val="000A4AC6"/>
    <w:rsid w:val="000A59AC"/>
    <w:rsid w:val="000A6C0F"/>
    <w:rsid w:val="000A6FE2"/>
    <w:rsid w:val="000A74C5"/>
    <w:rsid w:val="000B008D"/>
    <w:rsid w:val="000B01A6"/>
    <w:rsid w:val="000B0C0B"/>
    <w:rsid w:val="000B15F2"/>
    <w:rsid w:val="000B5452"/>
    <w:rsid w:val="000B59BB"/>
    <w:rsid w:val="000B5DEC"/>
    <w:rsid w:val="000B754A"/>
    <w:rsid w:val="000B7DAD"/>
    <w:rsid w:val="000C106E"/>
    <w:rsid w:val="000C5F49"/>
    <w:rsid w:val="000D17BF"/>
    <w:rsid w:val="000D3F7F"/>
    <w:rsid w:val="000D7B37"/>
    <w:rsid w:val="000E0C62"/>
    <w:rsid w:val="000E340F"/>
    <w:rsid w:val="000E4226"/>
    <w:rsid w:val="000E79B7"/>
    <w:rsid w:val="000F3D0D"/>
    <w:rsid w:val="000F526C"/>
    <w:rsid w:val="000F5FC0"/>
    <w:rsid w:val="000F7C9A"/>
    <w:rsid w:val="00105B56"/>
    <w:rsid w:val="001102C8"/>
    <w:rsid w:val="0011040B"/>
    <w:rsid w:val="0011306C"/>
    <w:rsid w:val="001131D3"/>
    <w:rsid w:val="00113BA8"/>
    <w:rsid w:val="001141E4"/>
    <w:rsid w:val="001142E6"/>
    <w:rsid w:val="0011523B"/>
    <w:rsid w:val="00115E9F"/>
    <w:rsid w:val="00115F83"/>
    <w:rsid w:val="00116014"/>
    <w:rsid w:val="0011741C"/>
    <w:rsid w:val="00117946"/>
    <w:rsid w:val="001200FA"/>
    <w:rsid w:val="00120B30"/>
    <w:rsid w:val="00120BBA"/>
    <w:rsid w:val="0012298C"/>
    <w:rsid w:val="0012323A"/>
    <w:rsid w:val="00125157"/>
    <w:rsid w:val="001267DB"/>
    <w:rsid w:val="001271BC"/>
    <w:rsid w:val="00127544"/>
    <w:rsid w:val="00130773"/>
    <w:rsid w:val="00131104"/>
    <w:rsid w:val="0013430B"/>
    <w:rsid w:val="00135B8A"/>
    <w:rsid w:val="00141C48"/>
    <w:rsid w:val="0014363E"/>
    <w:rsid w:val="0015294D"/>
    <w:rsid w:val="00152E5D"/>
    <w:rsid w:val="001533E0"/>
    <w:rsid w:val="00154AB2"/>
    <w:rsid w:val="00154FC5"/>
    <w:rsid w:val="00157005"/>
    <w:rsid w:val="00160690"/>
    <w:rsid w:val="00164EC6"/>
    <w:rsid w:val="001665DC"/>
    <w:rsid w:val="00167113"/>
    <w:rsid w:val="001673AF"/>
    <w:rsid w:val="0017029F"/>
    <w:rsid w:val="00172042"/>
    <w:rsid w:val="00172A28"/>
    <w:rsid w:val="00174024"/>
    <w:rsid w:val="0017775F"/>
    <w:rsid w:val="00177D1F"/>
    <w:rsid w:val="00180693"/>
    <w:rsid w:val="001820E9"/>
    <w:rsid w:val="00184199"/>
    <w:rsid w:val="00185C9E"/>
    <w:rsid w:val="0018661F"/>
    <w:rsid w:val="00186638"/>
    <w:rsid w:val="00190050"/>
    <w:rsid w:val="00190C8E"/>
    <w:rsid w:val="0019422E"/>
    <w:rsid w:val="0019510A"/>
    <w:rsid w:val="0019698D"/>
    <w:rsid w:val="001971D2"/>
    <w:rsid w:val="001A01EE"/>
    <w:rsid w:val="001A2762"/>
    <w:rsid w:val="001A5840"/>
    <w:rsid w:val="001B1652"/>
    <w:rsid w:val="001B1E94"/>
    <w:rsid w:val="001B276A"/>
    <w:rsid w:val="001B4CA9"/>
    <w:rsid w:val="001B4D04"/>
    <w:rsid w:val="001B54C9"/>
    <w:rsid w:val="001B55B8"/>
    <w:rsid w:val="001B64A6"/>
    <w:rsid w:val="001C39C1"/>
    <w:rsid w:val="001C4C2E"/>
    <w:rsid w:val="001C5217"/>
    <w:rsid w:val="001D07EF"/>
    <w:rsid w:val="001D3D1A"/>
    <w:rsid w:val="001D5B83"/>
    <w:rsid w:val="001D6B14"/>
    <w:rsid w:val="001D6EFB"/>
    <w:rsid w:val="001D7C77"/>
    <w:rsid w:val="001D7E01"/>
    <w:rsid w:val="001E040B"/>
    <w:rsid w:val="001E0F66"/>
    <w:rsid w:val="001E27C6"/>
    <w:rsid w:val="001E2AD2"/>
    <w:rsid w:val="001E66D4"/>
    <w:rsid w:val="001E6F36"/>
    <w:rsid w:val="001F0685"/>
    <w:rsid w:val="001F0F1E"/>
    <w:rsid w:val="001F1102"/>
    <w:rsid w:val="001F185B"/>
    <w:rsid w:val="001F540B"/>
    <w:rsid w:val="00200161"/>
    <w:rsid w:val="00200DFC"/>
    <w:rsid w:val="00202A46"/>
    <w:rsid w:val="00204DE0"/>
    <w:rsid w:val="00204DFE"/>
    <w:rsid w:val="0020693E"/>
    <w:rsid w:val="00207F26"/>
    <w:rsid w:val="002114DA"/>
    <w:rsid w:val="002129BF"/>
    <w:rsid w:val="002166E9"/>
    <w:rsid w:val="00217B03"/>
    <w:rsid w:val="00220860"/>
    <w:rsid w:val="002216D4"/>
    <w:rsid w:val="002223C0"/>
    <w:rsid w:val="00223FD2"/>
    <w:rsid w:val="00224F51"/>
    <w:rsid w:val="00227427"/>
    <w:rsid w:val="0023027C"/>
    <w:rsid w:val="002313D3"/>
    <w:rsid w:val="00232ABA"/>
    <w:rsid w:val="00234B65"/>
    <w:rsid w:val="0023640F"/>
    <w:rsid w:val="002378A1"/>
    <w:rsid w:val="002404DF"/>
    <w:rsid w:val="00240710"/>
    <w:rsid w:val="00240E5F"/>
    <w:rsid w:val="00242C94"/>
    <w:rsid w:val="00243225"/>
    <w:rsid w:val="00245814"/>
    <w:rsid w:val="00251146"/>
    <w:rsid w:val="00253C2C"/>
    <w:rsid w:val="00254D6B"/>
    <w:rsid w:val="00254EC1"/>
    <w:rsid w:val="002554D6"/>
    <w:rsid w:val="0026010E"/>
    <w:rsid w:val="00260A9C"/>
    <w:rsid w:val="00263488"/>
    <w:rsid w:val="00263701"/>
    <w:rsid w:val="0026595E"/>
    <w:rsid w:val="002668AB"/>
    <w:rsid w:val="00270E6B"/>
    <w:rsid w:val="002718F5"/>
    <w:rsid w:val="002729CF"/>
    <w:rsid w:val="002834DA"/>
    <w:rsid w:val="002846E5"/>
    <w:rsid w:val="002847AC"/>
    <w:rsid w:val="00286967"/>
    <w:rsid w:val="00286A93"/>
    <w:rsid w:val="002A0A57"/>
    <w:rsid w:val="002A1244"/>
    <w:rsid w:val="002A2E1C"/>
    <w:rsid w:val="002A3B19"/>
    <w:rsid w:val="002A5860"/>
    <w:rsid w:val="002A59E8"/>
    <w:rsid w:val="002B1716"/>
    <w:rsid w:val="002B21F3"/>
    <w:rsid w:val="002B281E"/>
    <w:rsid w:val="002B39F5"/>
    <w:rsid w:val="002B4598"/>
    <w:rsid w:val="002B5FC2"/>
    <w:rsid w:val="002B6385"/>
    <w:rsid w:val="002B6A5C"/>
    <w:rsid w:val="002B6A8F"/>
    <w:rsid w:val="002B7EC4"/>
    <w:rsid w:val="002C19B9"/>
    <w:rsid w:val="002C2CE6"/>
    <w:rsid w:val="002C2F0D"/>
    <w:rsid w:val="002C368B"/>
    <w:rsid w:val="002C67C2"/>
    <w:rsid w:val="002C78A6"/>
    <w:rsid w:val="002D3D22"/>
    <w:rsid w:val="002D4281"/>
    <w:rsid w:val="002D521A"/>
    <w:rsid w:val="002D640D"/>
    <w:rsid w:val="002D7C52"/>
    <w:rsid w:val="002E4687"/>
    <w:rsid w:val="002E4980"/>
    <w:rsid w:val="002F1CAD"/>
    <w:rsid w:val="002F337B"/>
    <w:rsid w:val="002F62D4"/>
    <w:rsid w:val="002F7FA4"/>
    <w:rsid w:val="0030070E"/>
    <w:rsid w:val="00300D04"/>
    <w:rsid w:val="00302E0F"/>
    <w:rsid w:val="003041F3"/>
    <w:rsid w:val="00310C27"/>
    <w:rsid w:val="003140A9"/>
    <w:rsid w:val="00314FE0"/>
    <w:rsid w:val="003158E0"/>
    <w:rsid w:val="00317BA5"/>
    <w:rsid w:val="0032136A"/>
    <w:rsid w:val="00321D40"/>
    <w:rsid w:val="00321DEA"/>
    <w:rsid w:val="00322AAE"/>
    <w:rsid w:val="00323D3F"/>
    <w:rsid w:val="00325274"/>
    <w:rsid w:val="00326657"/>
    <w:rsid w:val="0032725D"/>
    <w:rsid w:val="0033197D"/>
    <w:rsid w:val="003322E3"/>
    <w:rsid w:val="00332C3F"/>
    <w:rsid w:val="003346E4"/>
    <w:rsid w:val="003418DF"/>
    <w:rsid w:val="00342F99"/>
    <w:rsid w:val="00352B38"/>
    <w:rsid w:val="00353B9D"/>
    <w:rsid w:val="00367360"/>
    <w:rsid w:val="00367BC6"/>
    <w:rsid w:val="00367E29"/>
    <w:rsid w:val="0037128A"/>
    <w:rsid w:val="00371461"/>
    <w:rsid w:val="003725B9"/>
    <w:rsid w:val="00373F26"/>
    <w:rsid w:val="0038247C"/>
    <w:rsid w:val="003848A6"/>
    <w:rsid w:val="00386123"/>
    <w:rsid w:val="00387834"/>
    <w:rsid w:val="00391CF0"/>
    <w:rsid w:val="00391DB7"/>
    <w:rsid w:val="00393D4F"/>
    <w:rsid w:val="00394640"/>
    <w:rsid w:val="00395D68"/>
    <w:rsid w:val="00396CCF"/>
    <w:rsid w:val="00396EA2"/>
    <w:rsid w:val="003A0A7D"/>
    <w:rsid w:val="003A0F5A"/>
    <w:rsid w:val="003A12DB"/>
    <w:rsid w:val="003A37D9"/>
    <w:rsid w:val="003A6745"/>
    <w:rsid w:val="003A73CA"/>
    <w:rsid w:val="003B0B35"/>
    <w:rsid w:val="003B0DF9"/>
    <w:rsid w:val="003B3485"/>
    <w:rsid w:val="003B3AB4"/>
    <w:rsid w:val="003C53F4"/>
    <w:rsid w:val="003C5ACA"/>
    <w:rsid w:val="003C6850"/>
    <w:rsid w:val="003C6ED5"/>
    <w:rsid w:val="003D3B96"/>
    <w:rsid w:val="003D74BD"/>
    <w:rsid w:val="003E0BB8"/>
    <w:rsid w:val="003E0D0F"/>
    <w:rsid w:val="003E0E78"/>
    <w:rsid w:val="003E2FD2"/>
    <w:rsid w:val="003E3223"/>
    <w:rsid w:val="003E516F"/>
    <w:rsid w:val="003F0615"/>
    <w:rsid w:val="003F2445"/>
    <w:rsid w:val="003F3478"/>
    <w:rsid w:val="003F39F1"/>
    <w:rsid w:val="003F3FEA"/>
    <w:rsid w:val="003F5108"/>
    <w:rsid w:val="003F53B3"/>
    <w:rsid w:val="003F6A65"/>
    <w:rsid w:val="003F6FB6"/>
    <w:rsid w:val="00400239"/>
    <w:rsid w:val="0040089B"/>
    <w:rsid w:val="00402942"/>
    <w:rsid w:val="00404815"/>
    <w:rsid w:val="00404ECF"/>
    <w:rsid w:val="00406C1D"/>
    <w:rsid w:val="004107A5"/>
    <w:rsid w:val="00411B8A"/>
    <w:rsid w:val="00413083"/>
    <w:rsid w:val="004148EB"/>
    <w:rsid w:val="00416BCE"/>
    <w:rsid w:val="00417DA5"/>
    <w:rsid w:val="00421341"/>
    <w:rsid w:val="00424673"/>
    <w:rsid w:val="00427DA3"/>
    <w:rsid w:val="00430CB4"/>
    <w:rsid w:val="00433229"/>
    <w:rsid w:val="0043472E"/>
    <w:rsid w:val="00434840"/>
    <w:rsid w:val="00435243"/>
    <w:rsid w:val="004366DE"/>
    <w:rsid w:val="00437219"/>
    <w:rsid w:val="00437BFC"/>
    <w:rsid w:val="00443296"/>
    <w:rsid w:val="004546EE"/>
    <w:rsid w:val="00457188"/>
    <w:rsid w:val="00461D7B"/>
    <w:rsid w:val="00462AA9"/>
    <w:rsid w:val="00463241"/>
    <w:rsid w:val="004635E0"/>
    <w:rsid w:val="0046435B"/>
    <w:rsid w:val="004645F3"/>
    <w:rsid w:val="004655C5"/>
    <w:rsid w:val="00470B4E"/>
    <w:rsid w:val="00470FC6"/>
    <w:rsid w:val="00474E09"/>
    <w:rsid w:val="004773E6"/>
    <w:rsid w:val="0048083B"/>
    <w:rsid w:val="00480979"/>
    <w:rsid w:val="00481024"/>
    <w:rsid w:val="00481FD7"/>
    <w:rsid w:val="00482ED2"/>
    <w:rsid w:val="004837D6"/>
    <w:rsid w:val="00485163"/>
    <w:rsid w:val="004878B6"/>
    <w:rsid w:val="00487E09"/>
    <w:rsid w:val="004901EA"/>
    <w:rsid w:val="0049058A"/>
    <w:rsid w:val="00497049"/>
    <w:rsid w:val="004A0061"/>
    <w:rsid w:val="004A0A06"/>
    <w:rsid w:val="004A1F7D"/>
    <w:rsid w:val="004A3FC6"/>
    <w:rsid w:val="004A4D85"/>
    <w:rsid w:val="004A79C0"/>
    <w:rsid w:val="004B076C"/>
    <w:rsid w:val="004B4B09"/>
    <w:rsid w:val="004C153D"/>
    <w:rsid w:val="004C298E"/>
    <w:rsid w:val="004C34A7"/>
    <w:rsid w:val="004C3ECA"/>
    <w:rsid w:val="004C68AA"/>
    <w:rsid w:val="004C739C"/>
    <w:rsid w:val="004D1B57"/>
    <w:rsid w:val="004D3603"/>
    <w:rsid w:val="004D4B07"/>
    <w:rsid w:val="004D4B6E"/>
    <w:rsid w:val="004D6A38"/>
    <w:rsid w:val="004E09A2"/>
    <w:rsid w:val="004E0A75"/>
    <w:rsid w:val="004E54BB"/>
    <w:rsid w:val="004E5DD1"/>
    <w:rsid w:val="004E6CEA"/>
    <w:rsid w:val="004F7F21"/>
    <w:rsid w:val="00500542"/>
    <w:rsid w:val="00500F53"/>
    <w:rsid w:val="00502E37"/>
    <w:rsid w:val="0050389B"/>
    <w:rsid w:val="00510815"/>
    <w:rsid w:val="0051282D"/>
    <w:rsid w:val="0051381C"/>
    <w:rsid w:val="00513874"/>
    <w:rsid w:val="0051503F"/>
    <w:rsid w:val="0051563B"/>
    <w:rsid w:val="005164F9"/>
    <w:rsid w:val="005173C5"/>
    <w:rsid w:val="00517CD4"/>
    <w:rsid w:val="00522136"/>
    <w:rsid w:val="0052233E"/>
    <w:rsid w:val="0052535E"/>
    <w:rsid w:val="005277CB"/>
    <w:rsid w:val="00527864"/>
    <w:rsid w:val="005308EA"/>
    <w:rsid w:val="00531317"/>
    <w:rsid w:val="0053210F"/>
    <w:rsid w:val="00533242"/>
    <w:rsid w:val="00534BC4"/>
    <w:rsid w:val="00534F2A"/>
    <w:rsid w:val="005354EA"/>
    <w:rsid w:val="00535F60"/>
    <w:rsid w:val="0053723A"/>
    <w:rsid w:val="00545C34"/>
    <w:rsid w:val="005467AF"/>
    <w:rsid w:val="005500F3"/>
    <w:rsid w:val="00553296"/>
    <w:rsid w:val="00557B38"/>
    <w:rsid w:val="00557D21"/>
    <w:rsid w:val="00560C58"/>
    <w:rsid w:val="00561BF8"/>
    <w:rsid w:val="005641AF"/>
    <w:rsid w:val="005645FA"/>
    <w:rsid w:val="0056474A"/>
    <w:rsid w:val="005659F9"/>
    <w:rsid w:val="005673C7"/>
    <w:rsid w:val="005675B0"/>
    <w:rsid w:val="00570FD4"/>
    <w:rsid w:val="00572136"/>
    <w:rsid w:val="005729C1"/>
    <w:rsid w:val="00573396"/>
    <w:rsid w:val="005750E1"/>
    <w:rsid w:val="005760A2"/>
    <w:rsid w:val="0057659C"/>
    <w:rsid w:val="00577585"/>
    <w:rsid w:val="005814CA"/>
    <w:rsid w:val="00581F94"/>
    <w:rsid w:val="005921AE"/>
    <w:rsid w:val="00595621"/>
    <w:rsid w:val="00595DEC"/>
    <w:rsid w:val="00597BAB"/>
    <w:rsid w:val="005A0FA8"/>
    <w:rsid w:val="005A1AE5"/>
    <w:rsid w:val="005A1BC5"/>
    <w:rsid w:val="005A3592"/>
    <w:rsid w:val="005A7BF9"/>
    <w:rsid w:val="005A7D07"/>
    <w:rsid w:val="005B06C7"/>
    <w:rsid w:val="005B3AC2"/>
    <w:rsid w:val="005B6ACE"/>
    <w:rsid w:val="005B7506"/>
    <w:rsid w:val="005B7E96"/>
    <w:rsid w:val="005C55B9"/>
    <w:rsid w:val="005D164E"/>
    <w:rsid w:val="005D30F9"/>
    <w:rsid w:val="005D50B8"/>
    <w:rsid w:val="005D7486"/>
    <w:rsid w:val="005E03CA"/>
    <w:rsid w:val="005E2000"/>
    <w:rsid w:val="005E20A9"/>
    <w:rsid w:val="005E5EAB"/>
    <w:rsid w:val="005E60D4"/>
    <w:rsid w:val="005E613C"/>
    <w:rsid w:val="005F104D"/>
    <w:rsid w:val="006004C4"/>
    <w:rsid w:val="0060090E"/>
    <w:rsid w:val="00601E5E"/>
    <w:rsid w:val="00602F4A"/>
    <w:rsid w:val="00606093"/>
    <w:rsid w:val="00607D22"/>
    <w:rsid w:val="00610F93"/>
    <w:rsid w:val="006118B1"/>
    <w:rsid w:val="00611B03"/>
    <w:rsid w:val="00612B70"/>
    <w:rsid w:val="00615C4B"/>
    <w:rsid w:val="00621EAA"/>
    <w:rsid w:val="00622E68"/>
    <w:rsid w:val="00623C01"/>
    <w:rsid w:val="0062494A"/>
    <w:rsid w:val="0062524D"/>
    <w:rsid w:val="006300E1"/>
    <w:rsid w:val="00631958"/>
    <w:rsid w:val="0063291C"/>
    <w:rsid w:val="00635539"/>
    <w:rsid w:val="006362B3"/>
    <w:rsid w:val="00637D5F"/>
    <w:rsid w:val="0064079B"/>
    <w:rsid w:val="0064284B"/>
    <w:rsid w:val="00650292"/>
    <w:rsid w:val="006505E3"/>
    <w:rsid w:val="00653F19"/>
    <w:rsid w:val="00657AB1"/>
    <w:rsid w:val="006633AE"/>
    <w:rsid w:val="0066439D"/>
    <w:rsid w:val="00665000"/>
    <w:rsid w:val="006672BB"/>
    <w:rsid w:val="006709BD"/>
    <w:rsid w:val="006725A7"/>
    <w:rsid w:val="00672B49"/>
    <w:rsid w:val="006766BC"/>
    <w:rsid w:val="006812C9"/>
    <w:rsid w:val="00683562"/>
    <w:rsid w:val="006849DD"/>
    <w:rsid w:val="006850AD"/>
    <w:rsid w:val="00687E88"/>
    <w:rsid w:val="006902B7"/>
    <w:rsid w:val="00690F60"/>
    <w:rsid w:val="00691AF3"/>
    <w:rsid w:val="00694474"/>
    <w:rsid w:val="00694DBC"/>
    <w:rsid w:val="006A002A"/>
    <w:rsid w:val="006A2510"/>
    <w:rsid w:val="006A2F79"/>
    <w:rsid w:val="006A51DE"/>
    <w:rsid w:val="006A7159"/>
    <w:rsid w:val="006B3E5E"/>
    <w:rsid w:val="006C00A6"/>
    <w:rsid w:val="006C0F60"/>
    <w:rsid w:val="006C220D"/>
    <w:rsid w:val="006C31A0"/>
    <w:rsid w:val="006C49C7"/>
    <w:rsid w:val="006C4E00"/>
    <w:rsid w:val="006C4EFF"/>
    <w:rsid w:val="006D0919"/>
    <w:rsid w:val="006D1988"/>
    <w:rsid w:val="006D1C8B"/>
    <w:rsid w:val="006D2B89"/>
    <w:rsid w:val="006D2DDF"/>
    <w:rsid w:val="006D4CEC"/>
    <w:rsid w:val="006D55FD"/>
    <w:rsid w:val="006D7805"/>
    <w:rsid w:val="006E07FF"/>
    <w:rsid w:val="006F0FDC"/>
    <w:rsid w:val="006F1FD9"/>
    <w:rsid w:val="006F2458"/>
    <w:rsid w:val="006F2E68"/>
    <w:rsid w:val="006F3E34"/>
    <w:rsid w:val="006F4E0F"/>
    <w:rsid w:val="006F7534"/>
    <w:rsid w:val="00700451"/>
    <w:rsid w:val="00700BBE"/>
    <w:rsid w:val="00702008"/>
    <w:rsid w:val="00703651"/>
    <w:rsid w:val="00703CB5"/>
    <w:rsid w:val="00705C6A"/>
    <w:rsid w:val="00706119"/>
    <w:rsid w:val="00706305"/>
    <w:rsid w:val="007126AC"/>
    <w:rsid w:val="0071320E"/>
    <w:rsid w:val="00713458"/>
    <w:rsid w:val="00713772"/>
    <w:rsid w:val="007147D2"/>
    <w:rsid w:val="00716ACA"/>
    <w:rsid w:val="007253F5"/>
    <w:rsid w:val="00734BE0"/>
    <w:rsid w:val="007435C0"/>
    <w:rsid w:val="00743BB1"/>
    <w:rsid w:val="00744387"/>
    <w:rsid w:val="00746922"/>
    <w:rsid w:val="00746C83"/>
    <w:rsid w:val="007513E6"/>
    <w:rsid w:val="00752C7B"/>
    <w:rsid w:val="00761C88"/>
    <w:rsid w:val="00761F9B"/>
    <w:rsid w:val="007627F1"/>
    <w:rsid w:val="00762BFA"/>
    <w:rsid w:val="00764468"/>
    <w:rsid w:val="00764A61"/>
    <w:rsid w:val="00765FD0"/>
    <w:rsid w:val="007665CC"/>
    <w:rsid w:val="00770E05"/>
    <w:rsid w:val="0077298F"/>
    <w:rsid w:val="00774A62"/>
    <w:rsid w:val="00781758"/>
    <w:rsid w:val="00783736"/>
    <w:rsid w:val="00786BF4"/>
    <w:rsid w:val="00787AC0"/>
    <w:rsid w:val="00791E41"/>
    <w:rsid w:val="00792DA1"/>
    <w:rsid w:val="007940E2"/>
    <w:rsid w:val="007976A7"/>
    <w:rsid w:val="007A30BD"/>
    <w:rsid w:val="007A4CC8"/>
    <w:rsid w:val="007A6498"/>
    <w:rsid w:val="007B05DB"/>
    <w:rsid w:val="007B0C13"/>
    <w:rsid w:val="007B23FE"/>
    <w:rsid w:val="007B3F9F"/>
    <w:rsid w:val="007B4105"/>
    <w:rsid w:val="007B48B3"/>
    <w:rsid w:val="007B641C"/>
    <w:rsid w:val="007B70F3"/>
    <w:rsid w:val="007C20CB"/>
    <w:rsid w:val="007C257D"/>
    <w:rsid w:val="007C62EE"/>
    <w:rsid w:val="007C6422"/>
    <w:rsid w:val="007D032D"/>
    <w:rsid w:val="007D248A"/>
    <w:rsid w:val="007D25DB"/>
    <w:rsid w:val="007D3594"/>
    <w:rsid w:val="007D4698"/>
    <w:rsid w:val="007D46F0"/>
    <w:rsid w:val="007D5376"/>
    <w:rsid w:val="007E0743"/>
    <w:rsid w:val="007E1881"/>
    <w:rsid w:val="007E72A2"/>
    <w:rsid w:val="007F4124"/>
    <w:rsid w:val="007F5A41"/>
    <w:rsid w:val="007F5EA0"/>
    <w:rsid w:val="007F619B"/>
    <w:rsid w:val="007F67AE"/>
    <w:rsid w:val="00800556"/>
    <w:rsid w:val="00801342"/>
    <w:rsid w:val="00803B24"/>
    <w:rsid w:val="00807114"/>
    <w:rsid w:val="008124F8"/>
    <w:rsid w:val="008127C6"/>
    <w:rsid w:val="00813929"/>
    <w:rsid w:val="00814692"/>
    <w:rsid w:val="00814C2D"/>
    <w:rsid w:val="008158AF"/>
    <w:rsid w:val="00817E97"/>
    <w:rsid w:val="0082038C"/>
    <w:rsid w:val="00823194"/>
    <w:rsid w:val="008262C8"/>
    <w:rsid w:val="00831F76"/>
    <w:rsid w:val="008324E9"/>
    <w:rsid w:val="00837E29"/>
    <w:rsid w:val="008430D2"/>
    <w:rsid w:val="00843BD0"/>
    <w:rsid w:val="00844914"/>
    <w:rsid w:val="00844EB1"/>
    <w:rsid w:val="00845653"/>
    <w:rsid w:val="0084759A"/>
    <w:rsid w:val="00847899"/>
    <w:rsid w:val="00850E8C"/>
    <w:rsid w:val="00850FF3"/>
    <w:rsid w:val="00851695"/>
    <w:rsid w:val="00851E7E"/>
    <w:rsid w:val="008534E7"/>
    <w:rsid w:val="0085630A"/>
    <w:rsid w:val="008608C1"/>
    <w:rsid w:val="0086465D"/>
    <w:rsid w:val="00866AC1"/>
    <w:rsid w:val="008729A4"/>
    <w:rsid w:val="00872B74"/>
    <w:rsid w:val="00875625"/>
    <w:rsid w:val="0087781E"/>
    <w:rsid w:val="00877A75"/>
    <w:rsid w:val="00884B4A"/>
    <w:rsid w:val="00884F2D"/>
    <w:rsid w:val="0088516F"/>
    <w:rsid w:val="00885A24"/>
    <w:rsid w:val="0088762A"/>
    <w:rsid w:val="00891284"/>
    <w:rsid w:val="008918C3"/>
    <w:rsid w:val="00892449"/>
    <w:rsid w:val="00896E6E"/>
    <w:rsid w:val="00897281"/>
    <w:rsid w:val="00897C3D"/>
    <w:rsid w:val="00897EF5"/>
    <w:rsid w:val="008A004E"/>
    <w:rsid w:val="008A2093"/>
    <w:rsid w:val="008A32DD"/>
    <w:rsid w:val="008A3B5C"/>
    <w:rsid w:val="008A6106"/>
    <w:rsid w:val="008B10DB"/>
    <w:rsid w:val="008B28BE"/>
    <w:rsid w:val="008B6616"/>
    <w:rsid w:val="008B6721"/>
    <w:rsid w:val="008B7B96"/>
    <w:rsid w:val="008C178A"/>
    <w:rsid w:val="008C19E3"/>
    <w:rsid w:val="008C2B60"/>
    <w:rsid w:val="008C4AC9"/>
    <w:rsid w:val="008D0FED"/>
    <w:rsid w:val="008D348E"/>
    <w:rsid w:val="008D637D"/>
    <w:rsid w:val="008D66B8"/>
    <w:rsid w:val="008E0C51"/>
    <w:rsid w:val="008E338B"/>
    <w:rsid w:val="008E34E0"/>
    <w:rsid w:val="008F1757"/>
    <w:rsid w:val="008F3DE9"/>
    <w:rsid w:val="00900670"/>
    <w:rsid w:val="00902927"/>
    <w:rsid w:val="0091382F"/>
    <w:rsid w:val="00914371"/>
    <w:rsid w:val="00920AD5"/>
    <w:rsid w:val="00921314"/>
    <w:rsid w:val="0092254E"/>
    <w:rsid w:val="00923340"/>
    <w:rsid w:val="00924AFB"/>
    <w:rsid w:val="009266AA"/>
    <w:rsid w:val="0093267E"/>
    <w:rsid w:val="00934BA5"/>
    <w:rsid w:val="00934C68"/>
    <w:rsid w:val="00934ED2"/>
    <w:rsid w:val="00936E09"/>
    <w:rsid w:val="00941292"/>
    <w:rsid w:val="009417EB"/>
    <w:rsid w:val="0094194F"/>
    <w:rsid w:val="0094349C"/>
    <w:rsid w:val="0094427D"/>
    <w:rsid w:val="00944E59"/>
    <w:rsid w:val="0094522A"/>
    <w:rsid w:val="0095182A"/>
    <w:rsid w:val="00954744"/>
    <w:rsid w:val="0096121A"/>
    <w:rsid w:val="00962C0F"/>
    <w:rsid w:val="00965126"/>
    <w:rsid w:val="009659DC"/>
    <w:rsid w:val="009707D1"/>
    <w:rsid w:val="009714AE"/>
    <w:rsid w:val="00972C27"/>
    <w:rsid w:val="00972D9B"/>
    <w:rsid w:val="00974DE7"/>
    <w:rsid w:val="00975778"/>
    <w:rsid w:val="00981743"/>
    <w:rsid w:val="00982B24"/>
    <w:rsid w:val="00983865"/>
    <w:rsid w:val="00993BB4"/>
    <w:rsid w:val="00994C9F"/>
    <w:rsid w:val="00997E09"/>
    <w:rsid w:val="009A08DA"/>
    <w:rsid w:val="009A1C29"/>
    <w:rsid w:val="009A1D09"/>
    <w:rsid w:val="009A2035"/>
    <w:rsid w:val="009A2D9B"/>
    <w:rsid w:val="009A46A9"/>
    <w:rsid w:val="009A5D4D"/>
    <w:rsid w:val="009A72E6"/>
    <w:rsid w:val="009B1EEC"/>
    <w:rsid w:val="009B32D2"/>
    <w:rsid w:val="009B3A29"/>
    <w:rsid w:val="009B49BD"/>
    <w:rsid w:val="009B7D1D"/>
    <w:rsid w:val="009C26C1"/>
    <w:rsid w:val="009C3147"/>
    <w:rsid w:val="009C3777"/>
    <w:rsid w:val="009C435D"/>
    <w:rsid w:val="009C73E4"/>
    <w:rsid w:val="009D0C92"/>
    <w:rsid w:val="009D142A"/>
    <w:rsid w:val="009D143B"/>
    <w:rsid w:val="009D1DE0"/>
    <w:rsid w:val="009D2DB7"/>
    <w:rsid w:val="009D2F7D"/>
    <w:rsid w:val="009D5D0E"/>
    <w:rsid w:val="009E07AC"/>
    <w:rsid w:val="009E1ACE"/>
    <w:rsid w:val="009E322F"/>
    <w:rsid w:val="009E3948"/>
    <w:rsid w:val="009E61A7"/>
    <w:rsid w:val="009E64B3"/>
    <w:rsid w:val="009E6D32"/>
    <w:rsid w:val="009F1187"/>
    <w:rsid w:val="009F70D5"/>
    <w:rsid w:val="00A00A99"/>
    <w:rsid w:val="00A00E7B"/>
    <w:rsid w:val="00A0185A"/>
    <w:rsid w:val="00A031B9"/>
    <w:rsid w:val="00A06027"/>
    <w:rsid w:val="00A073B2"/>
    <w:rsid w:val="00A10F7E"/>
    <w:rsid w:val="00A10FC9"/>
    <w:rsid w:val="00A11378"/>
    <w:rsid w:val="00A11CE0"/>
    <w:rsid w:val="00A14D6B"/>
    <w:rsid w:val="00A16517"/>
    <w:rsid w:val="00A26114"/>
    <w:rsid w:val="00A27009"/>
    <w:rsid w:val="00A27701"/>
    <w:rsid w:val="00A27FD0"/>
    <w:rsid w:val="00A33736"/>
    <w:rsid w:val="00A3475D"/>
    <w:rsid w:val="00A36C8E"/>
    <w:rsid w:val="00A3784D"/>
    <w:rsid w:val="00A37F4E"/>
    <w:rsid w:val="00A406E6"/>
    <w:rsid w:val="00A461B1"/>
    <w:rsid w:val="00A4743C"/>
    <w:rsid w:val="00A52B51"/>
    <w:rsid w:val="00A53B21"/>
    <w:rsid w:val="00A54B1B"/>
    <w:rsid w:val="00A55F75"/>
    <w:rsid w:val="00A56D3B"/>
    <w:rsid w:val="00A57E12"/>
    <w:rsid w:val="00A60139"/>
    <w:rsid w:val="00A61047"/>
    <w:rsid w:val="00A62FC5"/>
    <w:rsid w:val="00A64546"/>
    <w:rsid w:val="00A64CAC"/>
    <w:rsid w:val="00A669D2"/>
    <w:rsid w:val="00A7103A"/>
    <w:rsid w:val="00A7115F"/>
    <w:rsid w:val="00A7359E"/>
    <w:rsid w:val="00A77A4E"/>
    <w:rsid w:val="00A77CF5"/>
    <w:rsid w:val="00A82126"/>
    <w:rsid w:val="00A83187"/>
    <w:rsid w:val="00A85734"/>
    <w:rsid w:val="00A87F87"/>
    <w:rsid w:val="00A900F7"/>
    <w:rsid w:val="00A90A5C"/>
    <w:rsid w:val="00A90D90"/>
    <w:rsid w:val="00A90DBE"/>
    <w:rsid w:val="00A91264"/>
    <w:rsid w:val="00A920E9"/>
    <w:rsid w:val="00A96F55"/>
    <w:rsid w:val="00A9735A"/>
    <w:rsid w:val="00AA1D13"/>
    <w:rsid w:val="00AA310F"/>
    <w:rsid w:val="00AA3263"/>
    <w:rsid w:val="00AA34CE"/>
    <w:rsid w:val="00AA57B5"/>
    <w:rsid w:val="00AA6973"/>
    <w:rsid w:val="00AA6C6A"/>
    <w:rsid w:val="00AA6D9B"/>
    <w:rsid w:val="00AA706D"/>
    <w:rsid w:val="00AA7F59"/>
    <w:rsid w:val="00AB21F3"/>
    <w:rsid w:val="00AB511F"/>
    <w:rsid w:val="00AB5E36"/>
    <w:rsid w:val="00AC58F1"/>
    <w:rsid w:val="00AD2D74"/>
    <w:rsid w:val="00AD5D69"/>
    <w:rsid w:val="00AD5EAC"/>
    <w:rsid w:val="00AD6FC8"/>
    <w:rsid w:val="00AE190A"/>
    <w:rsid w:val="00AE20FA"/>
    <w:rsid w:val="00AE54FD"/>
    <w:rsid w:val="00AE7DB9"/>
    <w:rsid w:val="00AF164B"/>
    <w:rsid w:val="00AF3CAB"/>
    <w:rsid w:val="00B00B0A"/>
    <w:rsid w:val="00B00DD8"/>
    <w:rsid w:val="00B04995"/>
    <w:rsid w:val="00B0629E"/>
    <w:rsid w:val="00B114D7"/>
    <w:rsid w:val="00B137ED"/>
    <w:rsid w:val="00B1432E"/>
    <w:rsid w:val="00B153D0"/>
    <w:rsid w:val="00B1569E"/>
    <w:rsid w:val="00B20547"/>
    <w:rsid w:val="00B20620"/>
    <w:rsid w:val="00B206B3"/>
    <w:rsid w:val="00B218FF"/>
    <w:rsid w:val="00B249FD"/>
    <w:rsid w:val="00B24BE3"/>
    <w:rsid w:val="00B2683F"/>
    <w:rsid w:val="00B26D65"/>
    <w:rsid w:val="00B31669"/>
    <w:rsid w:val="00B31771"/>
    <w:rsid w:val="00B3689B"/>
    <w:rsid w:val="00B36D69"/>
    <w:rsid w:val="00B37213"/>
    <w:rsid w:val="00B420FB"/>
    <w:rsid w:val="00B4281D"/>
    <w:rsid w:val="00B43CC0"/>
    <w:rsid w:val="00B4527A"/>
    <w:rsid w:val="00B46092"/>
    <w:rsid w:val="00B46200"/>
    <w:rsid w:val="00B47EA0"/>
    <w:rsid w:val="00B47EF8"/>
    <w:rsid w:val="00B50895"/>
    <w:rsid w:val="00B509F1"/>
    <w:rsid w:val="00B5139E"/>
    <w:rsid w:val="00B573B4"/>
    <w:rsid w:val="00B6052F"/>
    <w:rsid w:val="00B60D3E"/>
    <w:rsid w:val="00B61269"/>
    <w:rsid w:val="00B639E5"/>
    <w:rsid w:val="00B64F71"/>
    <w:rsid w:val="00B660F3"/>
    <w:rsid w:val="00B70A9E"/>
    <w:rsid w:val="00B70C4C"/>
    <w:rsid w:val="00B718CD"/>
    <w:rsid w:val="00B72A6C"/>
    <w:rsid w:val="00B72BB3"/>
    <w:rsid w:val="00B744A4"/>
    <w:rsid w:val="00B74760"/>
    <w:rsid w:val="00B80936"/>
    <w:rsid w:val="00B80AAC"/>
    <w:rsid w:val="00B81FEA"/>
    <w:rsid w:val="00B82A37"/>
    <w:rsid w:val="00B82A45"/>
    <w:rsid w:val="00B8422E"/>
    <w:rsid w:val="00B84B11"/>
    <w:rsid w:val="00B87023"/>
    <w:rsid w:val="00B918AB"/>
    <w:rsid w:val="00B93A50"/>
    <w:rsid w:val="00B94A2E"/>
    <w:rsid w:val="00B9729C"/>
    <w:rsid w:val="00BA1369"/>
    <w:rsid w:val="00BA3CB6"/>
    <w:rsid w:val="00BA3D74"/>
    <w:rsid w:val="00BA420E"/>
    <w:rsid w:val="00BA584A"/>
    <w:rsid w:val="00BA67D8"/>
    <w:rsid w:val="00BB0200"/>
    <w:rsid w:val="00BB0857"/>
    <w:rsid w:val="00BB16EC"/>
    <w:rsid w:val="00BB34BB"/>
    <w:rsid w:val="00BB4273"/>
    <w:rsid w:val="00BB5CA0"/>
    <w:rsid w:val="00BB6AE9"/>
    <w:rsid w:val="00BC065E"/>
    <w:rsid w:val="00BC1902"/>
    <w:rsid w:val="00BC1ECB"/>
    <w:rsid w:val="00BC2F3B"/>
    <w:rsid w:val="00BC7E21"/>
    <w:rsid w:val="00BD5AA8"/>
    <w:rsid w:val="00BD5E21"/>
    <w:rsid w:val="00BE1671"/>
    <w:rsid w:val="00BE40D3"/>
    <w:rsid w:val="00BE6A39"/>
    <w:rsid w:val="00BE7905"/>
    <w:rsid w:val="00BF1CE7"/>
    <w:rsid w:val="00BF58BA"/>
    <w:rsid w:val="00C00E59"/>
    <w:rsid w:val="00C0150B"/>
    <w:rsid w:val="00C01EBF"/>
    <w:rsid w:val="00C03300"/>
    <w:rsid w:val="00C054B4"/>
    <w:rsid w:val="00C070F7"/>
    <w:rsid w:val="00C102C1"/>
    <w:rsid w:val="00C11366"/>
    <w:rsid w:val="00C11BAB"/>
    <w:rsid w:val="00C1502F"/>
    <w:rsid w:val="00C169F9"/>
    <w:rsid w:val="00C2038D"/>
    <w:rsid w:val="00C22462"/>
    <w:rsid w:val="00C22B27"/>
    <w:rsid w:val="00C24C7C"/>
    <w:rsid w:val="00C317B5"/>
    <w:rsid w:val="00C32EC9"/>
    <w:rsid w:val="00C33470"/>
    <w:rsid w:val="00C338FB"/>
    <w:rsid w:val="00C33E4D"/>
    <w:rsid w:val="00C36631"/>
    <w:rsid w:val="00C408FA"/>
    <w:rsid w:val="00C40D97"/>
    <w:rsid w:val="00C501C6"/>
    <w:rsid w:val="00C51F6E"/>
    <w:rsid w:val="00C5469D"/>
    <w:rsid w:val="00C649D4"/>
    <w:rsid w:val="00C64AB8"/>
    <w:rsid w:val="00C657DB"/>
    <w:rsid w:val="00C6715B"/>
    <w:rsid w:val="00C710C9"/>
    <w:rsid w:val="00C71D4A"/>
    <w:rsid w:val="00C8181C"/>
    <w:rsid w:val="00C848E7"/>
    <w:rsid w:val="00C87827"/>
    <w:rsid w:val="00C918CD"/>
    <w:rsid w:val="00C94B24"/>
    <w:rsid w:val="00C952D2"/>
    <w:rsid w:val="00CA1825"/>
    <w:rsid w:val="00CA19B0"/>
    <w:rsid w:val="00CA2071"/>
    <w:rsid w:val="00CA2609"/>
    <w:rsid w:val="00CB18DA"/>
    <w:rsid w:val="00CB1B3E"/>
    <w:rsid w:val="00CB3A77"/>
    <w:rsid w:val="00CB64E3"/>
    <w:rsid w:val="00CB79E7"/>
    <w:rsid w:val="00CC0071"/>
    <w:rsid w:val="00CC0E7E"/>
    <w:rsid w:val="00CC3E73"/>
    <w:rsid w:val="00CC48C2"/>
    <w:rsid w:val="00CC5161"/>
    <w:rsid w:val="00CD0071"/>
    <w:rsid w:val="00CD06EA"/>
    <w:rsid w:val="00CD1215"/>
    <w:rsid w:val="00CD4F29"/>
    <w:rsid w:val="00CD69D3"/>
    <w:rsid w:val="00CE120E"/>
    <w:rsid w:val="00CE1F78"/>
    <w:rsid w:val="00CE5646"/>
    <w:rsid w:val="00CE61DF"/>
    <w:rsid w:val="00CE7912"/>
    <w:rsid w:val="00CF4CC5"/>
    <w:rsid w:val="00CF5332"/>
    <w:rsid w:val="00CF78EA"/>
    <w:rsid w:val="00D02977"/>
    <w:rsid w:val="00D03C99"/>
    <w:rsid w:val="00D03E75"/>
    <w:rsid w:val="00D04BD5"/>
    <w:rsid w:val="00D06734"/>
    <w:rsid w:val="00D07B28"/>
    <w:rsid w:val="00D10921"/>
    <w:rsid w:val="00D11D35"/>
    <w:rsid w:val="00D12DB1"/>
    <w:rsid w:val="00D14AA3"/>
    <w:rsid w:val="00D16054"/>
    <w:rsid w:val="00D16482"/>
    <w:rsid w:val="00D167C7"/>
    <w:rsid w:val="00D21525"/>
    <w:rsid w:val="00D21935"/>
    <w:rsid w:val="00D21D6A"/>
    <w:rsid w:val="00D22CFD"/>
    <w:rsid w:val="00D24F82"/>
    <w:rsid w:val="00D25F99"/>
    <w:rsid w:val="00D32206"/>
    <w:rsid w:val="00D32A6D"/>
    <w:rsid w:val="00D33927"/>
    <w:rsid w:val="00D35389"/>
    <w:rsid w:val="00D37E2C"/>
    <w:rsid w:val="00D4081C"/>
    <w:rsid w:val="00D41122"/>
    <w:rsid w:val="00D41608"/>
    <w:rsid w:val="00D417A1"/>
    <w:rsid w:val="00D42B35"/>
    <w:rsid w:val="00D46ABF"/>
    <w:rsid w:val="00D53574"/>
    <w:rsid w:val="00D53CEB"/>
    <w:rsid w:val="00D5615C"/>
    <w:rsid w:val="00D56FB5"/>
    <w:rsid w:val="00D573E1"/>
    <w:rsid w:val="00D606AB"/>
    <w:rsid w:val="00D60E21"/>
    <w:rsid w:val="00D621D3"/>
    <w:rsid w:val="00D62E7E"/>
    <w:rsid w:val="00D67A7B"/>
    <w:rsid w:val="00D708B8"/>
    <w:rsid w:val="00D715F1"/>
    <w:rsid w:val="00D718BA"/>
    <w:rsid w:val="00D72054"/>
    <w:rsid w:val="00D73D0C"/>
    <w:rsid w:val="00D744B0"/>
    <w:rsid w:val="00D747C3"/>
    <w:rsid w:val="00D763CB"/>
    <w:rsid w:val="00D7756E"/>
    <w:rsid w:val="00D7796B"/>
    <w:rsid w:val="00D827FB"/>
    <w:rsid w:val="00D85090"/>
    <w:rsid w:val="00D85236"/>
    <w:rsid w:val="00D871DE"/>
    <w:rsid w:val="00D91486"/>
    <w:rsid w:val="00D935F8"/>
    <w:rsid w:val="00D943FF"/>
    <w:rsid w:val="00DA0340"/>
    <w:rsid w:val="00DA405B"/>
    <w:rsid w:val="00DA5F65"/>
    <w:rsid w:val="00DA60AE"/>
    <w:rsid w:val="00DA63B5"/>
    <w:rsid w:val="00DA7DE3"/>
    <w:rsid w:val="00DB0042"/>
    <w:rsid w:val="00DB08B1"/>
    <w:rsid w:val="00DB1A4D"/>
    <w:rsid w:val="00DB3F5C"/>
    <w:rsid w:val="00DB4435"/>
    <w:rsid w:val="00DB5D89"/>
    <w:rsid w:val="00DB7D23"/>
    <w:rsid w:val="00DC0153"/>
    <w:rsid w:val="00DC183E"/>
    <w:rsid w:val="00DC6C30"/>
    <w:rsid w:val="00DD15B7"/>
    <w:rsid w:val="00DD1C7C"/>
    <w:rsid w:val="00DD1F70"/>
    <w:rsid w:val="00DD597D"/>
    <w:rsid w:val="00DE28C5"/>
    <w:rsid w:val="00DE3698"/>
    <w:rsid w:val="00DE43D0"/>
    <w:rsid w:val="00DE603E"/>
    <w:rsid w:val="00DE6062"/>
    <w:rsid w:val="00DE6CD0"/>
    <w:rsid w:val="00DF50B7"/>
    <w:rsid w:val="00DF6085"/>
    <w:rsid w:val="00DF6769"/>
    <w:rsid w:val="00DF7E7F"/>
    <w:rsid w:val="00E011C0"/>
    <w:rsid w:val="00E02230"/>
    <w:rsid w:val="00E04D72"/>
    <w:rsid w:val="00E075E8"/>
    <w:rsid w:val="00E13815"/>
    <w:rsid w:val="00E173F2"/>
    <w:rsid w:val="00E2086D"/>
    <w:rsid w:val="00E22486"/>
    <w:rsid w:val="00E224E6"/>
    <w:rsid w:val="00E32E6B"/>
    <w:rsid w:val="00E35477"/>
    <w:rsid w:val="00E36295"/>
    <w:rsid w:val="00E376A9"/>
    <w:rsid w:val="00E37DD4"/>
    <w:rsid w:val="00E40B2B"/>
    <w:rsid w:val="00E41799"/>
    <w:rsid w:val="00E428CD"/>
    <w:rsid w:val="00E429C8"/>
    <w:rsid w:val="00E432BB"/>
    <w:rsid w:val="00E43C64"/>
    <w:rsid w:val="00E44876"/>
    <w:rsid w:val="00E46568"/>
    <w:rsid w:val="00E46D80"/>
    <w:rsid w:val="00E51A07"/>
    <w:rsid w:val="00E5226B"/>
    <w:rsid w:val="00E54A8D"/>
    <w:rsid w:val="00E57DE1"/>
    <w:rsid w:val="00E62361"/>
    <w:rsid w:val="00E65466"/>
    <w:rsid w:val="00E73608"/>
    <w:rsid w:val="00E73803"/>
    <w:rsid w:val="00E74034"/>
    <w:rsid w:val="00E77FB8"/>
    <w:rsid w:val="00E85501"/>
    <w:rsid w:val="00E8698A"/>
    <w:rsid w:val="00E900C1"/>
    <w:rsid w:val="00E92B9E"/>
    <w:rsid w:val="00E94152"/>
    <w:rsid w:val="00EA6FC2"/>
    <w:rsid w:val="00EB396F"/>
    <w:rsid w:val="00EB7C77"/>
    <w:rsid w:val="00EC0AD9"/>
    <w:rsid w:val="00EC0DF9"/>
    <w:rsid w:val="00EC400D"/>
    <w:rsid w:val="00EC5506"/>
    <w:rsid w:val="00EC7F54"/>
    <w:rsid w:val="00ED2281"/>
    <w:rsid w:val="00ED26EA"/>
    <w:rsid w:val="00ED3561"/>
    <w:rsid w:val="00ED5F43"/>
    <w:rsid w:val="00ED6EF7"/>
    <w:rsid w:val="00EE0FD5"/>
    <w:rsid w:val="00EE273B"/>
    <w:rsid w:val="00EE3723"/>
    <w:rsid w:val="00EE5347"/>
    <w:rsid w:val="00EE5ED6"/>
    <w:rsid w:val="00EE69A9"/>
    <w:rsid w:val="00EE69DF"/>
    <w:rsid w:val="00EE796E"/>
    <w:rsid w:val="00EF18FC"/>
    <w:rsid w:val="00EF2EBD"/>
    <w:rsid w:val="00EF62DF"/>
    <w:rsid w:val="00EF66F1"/>
    <w:rsid w:val="00EF716B"/>
    <w:rsid w:val="00EF773B"/>
    <w:rsid w:val="00EF7C94"/>
    <w:rsid w:val="00F00C39"/>
    <w:rsid w:val="00F034D0"/>
    <w:rsid w:val="00F078CA"/>
    <w:rsid w:val="00F07C51"/>
    <w:rsid w:val="00F10FE3"/>
    <w:rsid w:val="00F142C0"/>
    <w:rsid w:val="00F150A9"/>
    <w:rsid w:val="00F1729F"/>
    <w:rsid w:val="00F179D3"/>
    <w:rsid w:val="00F227D3"/>
    <w:rsid w:val="00F22936"/>
    <w:rsid w:val="00F22A57"/>
    <w:rsid w:val="00F24211"/>
    <w:rsid w:val="00F2434E"/>
    <w:rsid w:val="00F244CD"/>
    <w:rsid w:val="00F246FE"/>
    <w:rsid w:val="00F24F2E"/>
    <w:rsid w:val="00F25760"/>
    <w:rsid w:val="00F25B0B"/>
    <w:rsid w:val="00F31E84"/>
    <w:rsid w:val="00F33137"/>
    <w:rsid w:val="00F3460B"/>
    <w:rsid w:val="00F3463D"/>
    <w:rsid w:val="00F361EB"/>
    <w:rsid w:val="00F40E4E"/>
    <w:rsid w:val="00F41D24"/>
    <w:rsid w:val="00F42DFA"/>
    <w:rsid w:val="00F435FE"/>
    <w:rsid w:val="00F44BC9"/>
    <w:rsid w:val="00F46459"/>
    <w:rsid w:val="00F47971"/>
    <w:rsid w:val="00F47C41"/>
    <w:rsid w:val="00F50C3A"/>
    <w:rsid w:val="00F54B0A"/>
    <w:rsid w:val="00F555F0"/>
    <w:rsid w:val="00F57717"/>
    <w:rsid w:val="00F57BA0"/>
    <w:rsid w:val="00F6021A"/>
    <w:rsid w:val="00F6159C"/>
    <w:rsid w:val="00F617DA"/>
    <w:rsid w:val="00F61EE5"/>
    <w:rsid w:val="00F64362"/>
    <w:rsid w:val="00F742CA"/>
    <w:rsid w:val="00F762B0"/>
    <w:rsid w:val="00F76453"/>
    <w:rsid w:val="00F77870"/>
    <w:rsid w:val="00F8003D"/>
    <w:rsid w:val="00F8147A"/>
    <w:rsid w:val="00F82135"/>
    <w:rsid w:val="00F828ED"/>
    <w:rsid w:val="00F86A51"/>
    <w:rsid w:val="00F875BE"/>
    <w:rsid w:val="00F915EB"/>
    <w:rsid w:val="00F916BF"/>
    <w:rsid w:val="00F93493"/>
    <w:rsid w:val="00F95F41"/>
    <w:rsid w:val="00F967C3"/>
    <w:rsid w:val="00F96841"/>
    <w:rsid w:val="00F979A7"/>
    <w:rsid w:val="00FA01AF"/>
    <w:rsid w:val="00FA53F7"/>
    <w:rsid w:val="00FB0048"/>
    <w:rsid w:val="00FB4448"/>
    <w:rsid w:val="00FB51EB"/>
    <w:rsid w:val="00FB55AE"/>
    <w:rsid w:val="00FB7E73"/>
    <w:rsid w:val="00FC016F"/>
    <w:rsid w:val="00FC161A"/>
    <w:rsid w:val="00FC2F12"/>
    <w:rsid w:val="00FC37C5"/>
    <w:rsid w:val="00FC4F88"/>
    <w:rsid w:val="00FC5061"/>
    <w:rsid w:val="00FC63A8"/>
    <w:rsid w:val="00FC781B"/>
    <w:rsid w:val="00FD1D5E"/>
    <w:rsid w:val="00FD465B"/>
    <w:rsid w:val="00FD5A59"/>
    <w:rsid w:val="00FD75FD"/>
    <w:rsid w:val="00FE0855"/>
    <w:rsid w:val="00FE3FBB"/>
    <w:rsid w:val="00FE78BE"/>
    <w:rsid w:val="00FF2107"/>
    <w:rsid w:val="00FF3C30"/>
    <w:rsid w:val="00FF6602"/>
    <w:rsid w:val="00FF79B9"/>
    <w:rsid w:val="00FF7CB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uiPriority w:val="99"/>
    <w:qFormat/>
    <w:rsid w:val="00B4527A"/>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746922"/>
    <w:pPr>
      <w:keepNext/>
      <w:outlineLvl w:val="1"/>
    </w:pPr>
    <w:rPr>
      <w:b/>
    </w:rPr>
  </w:style>
  <w:style w:type="paragraph" w:styleId="Heading3">
    <w:name w:val="heading 3"/>
    <w:basedOn w:val="Normal"/>
    <w:next w:val="Normal"/>
    <w:link w:val="Heading3Char"/>
    <w:uiPriority w:val="99"/>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527A"/>
    <w:rPr>
      <w:rFonts w:ascii="Helvetica-Narrow" w:eastAsia="Batang" w:hAnsi="Helvetica-Narrow" w:cs="Times New Roman"/>
      <w:b/>
      <w:smallCaps/>
      <w:sz w:val="32"/>
    </w:rPr>
  </w:style>
  <w:style w:type="character" w:customStyle="1" w:styleId="Heading2Char">
    <w:name w:val="Heading 2 Char"/>
    <w:basedOn w:val="DefaultParagraphFont"/>
    <w:link w:val="Heading2"/>
    <w:uiPriority w:val="99"/>
    <w:semiHidden/>
    <w:rsid w:val="00127544"/>
    <w:rPr>
      <w:rFonts w:ascii="Calibri" w:hAnsi="Calibri" w:cs="Times New Roman"/>
      <w:b/>
      <w:bCs/>
      <w:i/>
      <w:iCs/>
      <w:sz w:val="28"/>
    </w:rPr>
  </w:style>
  <w:style w:type="character" w:customStyle="1" w:styleId="Heading3Char">
    <w:name w:val="Heading 3 Char"/>
    <w:basedOn w:val="DefaultParagraphFont"/>
    <w:link w:val="Heading3"/>
    <w:uiPriority w:val="99"/>
    <w:semiHidden/>
    <w:rsid w:val="0023640F"/>
    <w:rPr>
      <w:rFonts w:ascii="Cambria" w:hAnsi="Cambria" w:cs="Times New Roman"/>
      <w:b/>
      <w:bCs/>
      <w:sz w:val="26"/>
    </w:rPr>
  </w:style>
  <w:style w:type="character" w:customStyle="1" w:styleId="Heading4Char">
    <w:name w:val="Heading 4 Char"/>
    <w:basedOn w:val="DefaultParagraphFont"/>
    <w:link w:val="Heading4"/>
    <w:uiPriority w:val="99"/>
    <w:rsid w:val="00B4527A"/>
    <w:rPr>
      <w:rFonts w:ascii="Arial" w:eastAsia="Batang" w:hAnsi="Arial" w:cs="Times New Roman"/>
      <w:i/>
      <w:sz w:val="24"/>
    </w:rPr>
  </w:style>
  <w:style w:type="paragraph" w:styleId="BodyTextIndent">
    <w:name w:val="Body Text Indent"/>
    <w:basedOn w:val="Normal"/>
    <w:link w:val="BodyTextIndentChar"/>
    <w:uiPriority w:val="99"/>
    <w:rsid w:val="00746922"/>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127544"/>
    <w:rPr>
      <w:rFonts w:eastAsia="Batang" w:cs="Times New Roman"/>
      <w:sz w:val="24"/>
    </w:rPr>
  </w:style>
  <w:style w:type="paragraph" w:styleId="Header">
    <w:name w:val="header"/>
    <w:basedOn w:val="Normal"/>
    <w:link w:val="HeaderChar"/>
    <w:uiPriority w:val="99"/>
    <w:rsid w:val="00746922"/>
    <w:pPr>
      <w:tabs>
        <w:tab w:val="center" w:pos="4320"/>
        <w:tab w:val="right" w:pos="8640"/>
      </w:tabs>
    </w:pPr>
  </w:style>
  <w:style w:type="character" w:customStyle="1" w:styleId="HeaderChar">
    <w:name w:val="Header Char"/>
    <w:basedOn w:val="DefaultParagraphFont"/>
    <w:link w:val="Header"/>
    <w:uiPriority w:val="99"/>
    <w:semiHidden/>
    <w:rsid w:val="00127544"/>
    <w:rPr>
      <w:rFonts w:eastAsia="Batang" w:cs="Times New Roman"/>
      <w:sz w:val="24"/>
    </w:rPr>
  </w:style>
  <w:style w:type="paragraph" w:styleId="Footer">
    <w:name w:val="footer"/>
    <w:basedOn w:val="Normal"/>
    <w:link w:val="FooterChar"/>
    <w:uiPriority w:val="99"/>
    <w:semiHidden/>
    <w:rsid w:val="00746922"/>
    <w:pPr>
      <w:tabs>
        <w:tab w:val="center" w:pos="4320"/>
        <w:tab w:val="right" w:pos="8640"/>
      </w:tabs>
    </w:pPr>
  </w:style>
  <w:style w:type="character" w:customStyle="1" w:styleId="FooterChar">
    <w:name w:val="Footer Char"/>
    <w:basedOn w:val="DefaultParagraphFont"/>
    <w:link w:val="Footer"/>
    <w:uiPriority w:val="99"/>
    <w:rsid w:val="00127544"/>
    <w:rPr>
      <w:rFonts w:eastAsia="Batang" w:cs="Times New Roman"/>
      <w:sz w:val="24"/>
    </w:rPr>
  </w:style>
  <w:style w:type="character" w:styleId="PageNumber">
    <w:name w:val="page number"/>
    <w:basedOn w:val="DefaultParagraphFont"/>
    <w:uiPriority w:val="99"/>
    <w:rsid w:val="00746922"/>
    <w:rPr>
      <w:rFonts w:cs="Times New Roman"/>
    </w:rPr>
  </w:style>
  <w:style w:type="paragraph" w:customStyle="1" w:styleId="HEAD1">
    <w:name w:val="HEAD1"/>
    <w:uiPriority w:val="99"/>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link w:val="BodyTextIndent3Char"/>
    <w:uiPriority w:val="99"/>
    <w:rsid w:val="00746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7544"/>
    <w:rPr>
      <w:rFonts w:eastAsia="Batang" w:cs="Times New Roman"/>
      <w:sz w:val="16"/>
    </w:rPr>
  </w:style>
  <w:style w:type="paragraph" w:customStyle="1" w:styleId="HEAD3">
    <w:name w:val="HEAD3"/>
    <w:uiPriority w:val="99"/>
    <w:rsid w:val="00D03C99"/>
    <w:pPr>
      <w:tabs>
        <w:tab w:val="left" w:pos="0"/>
      </w:tabs>
      <w:spacing w:before="200" w:after="360"/>
    </w:pPr>
    <w:rPr>
      <w:rFonts w:ascii="Times New Roman Bold" w:hAnsi="Times New Roman Bold"/>
      <w:b/>
      <w:sz w:val="26"/>
      <w:szCs w:val="28"/>
    </w:rPr>
  </w:style>
  <w:style w:type="paragraph" w:customStyle="1" w:styleId="Text">
    <w:name w:val="Text"/>
    <w:uiPriority w:val="99"/>
    <w:rsid w:val="00746922"/>
    <w:pPr>
      <w:keepNext/>
      <w:tabs>
        <w:tab w:val="left" w:pos="720"/>
      </w:tabs>
      <w:spacing w:line="360" w:lineRule="auto"/>
      <w:ind w:firstLine="720"/>
    </w:pPr>
    <w:rPr>
      <w:rFonts w:eastAsia="Batang"/>
      <w:sz w:val="23"/>
    </w:rPr>
  </w:style>
  <w:style w:type="paragraph" w:customStyle="1" w:styleId="Exhibit">
    <w:name w:val="Exhibit"/>
    <w:basedOn w:val="Normal"/>
    <w:uiPriority w:val="99"/>
    <w:rsid w:val="00E075E8"/>
    <w:pPr>
      <w:spacing w:before="240" w:after="120"/>
      <w:jc w:val="center"/>
    </w:pPr>
    <w:rPr>
      <w:rFonts w:ascii="Helvetica" w:hAnsi="Helvetica"/>
      <w:b/>
      <w:bCs/>
      <w:noProof/>
      <w:sz w:val="28"/>
    </w:rPr>
  </w:style>
  <w:style w:type="paragraph" w:customStyle="1" w:styleId="TEXT0">
    <w:name w:val="TEXT"/>
    <w:basedOn w:val="BodyText"/>
    <w:uiPriority w:val="99"/>
    <w:rsid w:val="00746922"/>
    <w:pPr>
      <w:spacing w:after="0" w:line="480" w:lineRule="auto"/>
      <w:ind w:firstLine="720"/>
    </w:pPr>
  </w:style>
  <w:style w:type="paragraph" w:styleId="BodyText">
    <w:name w:val="Body Text"/>
    <w:basedOn w:val="Normal"/>
    <w:link w:val="BodyTextChar"/>
    <w:uiPriority w:val="99"/>
    <w:rsid w:val="00746922"/>
    <w:pPr>
      <w:spacing w:after="120"/>
    </w:pPr>
  </w:style>
  <w:style w:type="character" w:customStyle="1" w:styleId="BodyTextChar">
    <w:name w:val="Body Text Char"/>
    <w:basedOn w:val="DefaultParagraphFont"/>
    <w:link w:val="BodyText"/>
    <w:uiPriority w:val="99"/>
    <w:semiHidden/>
    <w:rsid w:val="00127544"/>
    <w:rPr>
      <w:rFonts w:eastAsia="Batang" w:cs="Times New Roman"/>
      <w:sz w:val="24"/>
    </w:rPr>
  </w:style>
  <w:style w:type="table" w:styleId="TableGrid">
    <w:name w:val="Table Grid"/>
    <w:basedOn w:val="TableNormal"/>
    <w:uiPriority w:val="99"/>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uiPriority w:val="99"/>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uiPriority w:val="99"/>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uiPriority w:val="99"/>
    <w:semiHidden/>
    <w:rsid w:val="00FE0855"/>
    <w:rPr>
      <w:rFonts w:cs="Times New Roman"/>
      <w:vertAlign w:val="superscript"/>
    </w:rPr>
  </w:style>
  <w:style w:type="paragraph" w:customStyle="1" w:styleId="Sub1">
    <w:name w:val="Sub 1"/>
    <w:basedOn w:val="Normal"/>
    <w:next w:val="Text"/>
    <w:uiPriority w:val="99"/>
    <w:rsid w:val="001141E4"/>
    <w:pPr>
      <w:spacing w:line="360" w:lineRule="auto"/>
      <w:ind w:left="480"/>
    </w:pPr>
    <w:rPr>
      <w:rFonts w:eastAsia="Times New Roman"/>
      <w:szCs w:val="24"/>
    </w:rPr>
  </w:style>
  <w:style w:type="paragraph" w:styleId="BalloonText">
    <w:name w:val="Balloon Text"/>
    <w:basedOn w:val="Normal"/>
    <w:link w:val="BalloonTextChar"/>
    <w:uiPriority w:val="99"/>
    <w:semiHidden/>
    <w:rsid w:val="008262C8"/>
    <w:rPr>
      <w:rFonts w:ascii="Tahoma" w:hAnsi="Tahoma" w:cs="Tahoma"/>
      <w:sz w:val="16"/>
      <w:szCs w:val="16"/>
    </w:rPr>
  </w:style>
  <w:style w:type="character" w:customStyle="1" w:styleId="BalloonTextChar">
    <w:name w:val="Balloon Text Char"/>
    <w:basedOn w:val="DefaultParagraphFont"/>
    <w:link w:val="BalloonText"/>
    <w:uiPriority w:val="99"/>
    <w:rsid w:val="008262C8"/>
    <w:rPr>
      <w:rFonts w:ascii="Tahoma" w:eastAsia="Batang" w:hAnsi="Tahoma" w:cs="Tahoma"/>
      <w:sz w:val="16"/>
    </w:rPr>
  </w:style>
  <w:style w:type="character" w:styleId="CommentReference">
    <w:name w:val="annotation reference"/>
    <w:basedOn w:val="DefaultParagraphFont"/>
    <w:uiPriority w:val="99"/>
    <w:semiHidden/>
    <w:rsid w:val="008262C8"/>
    <w:rPr>
      <w:rFonts w:cs="Times New Roman"/>
      <w:sz w:val="16"/>
    </w:rPr>
  </w:style>
  <w:style w:type="paragraph" w:styleId="CommentText">
    <w:name w:val="annotation text"/>
    <w:basedOn w:val="Normal"/>
    <w:link w:val="CommentTextChar"/>
    <w:uiPriority w:val="99"/>
    <w:semiHidden/>
    <w:rsid w:val="008262C8"/>
    <w:rPr>
      <w:sz w:val="20"/>
    </w:rPr>
  </w:style>
  <w:style w:type="character" w:customStyle="1" w:styleId="CommentTextChar">
    <w:name w:val="Comment Text Char"/>
    <w:basedOn w:val="DefaultParagraphFont"/>
    <w:link w:val="CommentText"/>
    <w:uiPriority w:val="99"/>
    <w:rsid w:val="008262C8"/>
    <w:rPr>
      <w:rFonts w:ascii="Arial Narrow" w:eastAsia="Batang" w:hAnsi="Arial Narrow" w:cs="Times New Roman"/>
    </w:rPr>
  </w:style>
  <w:style w:type="paragraph" w:styleId="CommentSubject">
    <w:name w:val="annotation subject"/>
    <w:basedOn w:val="CommentText"/>
    <w:next w:val="CommentText"/>
    <w:link w:val="CommentSubjectChar"/>
    <w:uiPriority w:val="99"/>
    <w:semiHidden/>
    <w:rsid w:val="008262C8"/>
    <w:rPr>
      <w:b/>
      <w:bCs/>
    </w:rPr>
  </w:style>
  <w:style w:type="character" w:customStyle="1" w:styleId="CommentSubjectChar">
    <w:name w:val="Comment Subject Char"/>
    <w:basedOn w:val="CommentTextChar"/>
    <w:link w:val="CommentSubject"/>
    <w:uiPriority w:val="99"/>
    <w:rsid w:val="008262C8"/>
    <w:rPr>
      <w:rFonts w:ascii="Arial Narrow" w:eastAsia="Batang" w:hAnsi="Arial Narrow" w:cs="Times New Roman"/>
      <w:b/>
      <w:bCs/>
    </w:rPr>
  </w:style>
  <w:style w:type="paragraph" w:customStyle="1" w:styleId="CovAIRName">
    <w:name w:val="Cov—AIR Name"/>
    <w:uiPriority w:val="99"/>
    <w:rsid w:val="00E2086D"/>
    <w:pPr>
      <w:jc w:val="right"/>
    </w:pPr>
    <w:rPr>
      <w:smallCaps/>
      <w:color w:val="008080"/>
      <w:sz w:val="60"/>
    </w:rPr>
  </w:style>
  <w:style w:type="paragraph" w:customStyle="1" w:styleId="CovTrademarkNotice">
    <w:name w:val="Cov—Trademark Notice"/>
    <w:uiPriority w:val="99"/>
    <w:rsid w:val="00E2086D"/>
    <w:pPr>
      <w:spacing w:after="280"/>
      <w:ind w:left="1714"/>
      <w:jc w:val="both"/>
    </w:pPr>
    <w:rPr>
      <w:i/>
      <w:sz w:val="18"/>
      <w:szCs w:val="18"/>
    </w:rPr>
  </w:style>
  <w:style w:type="paragraph" w:customStyle="1" w:styleId="CovAIRAddressFooter">
    <w:name w:val="Cov—AIR Address Footer"/>
    <w:uiPriority w:val="99"/>
    <w:rsid w:val="00E2086D"/>
    <w:pPr>
      <w:ind w:left="1440"/>
      <w:jc w:val="center"/>
    </w:pPr>
    <w:rPr>
      <w:smallCaps/>
      <w:color w:val="008080"/>
      <w:sz w:val="28"/>
      <w:szCs w:val="24"/>
    </w:rPr>
  </w:style>
  <w:style w:type="paragraph" w:customStyle="1" w:styleId="CovAddresses">
    <w:name w:val="Cov—Addresses"/>
    <w:uiPriority w:val="99"/>
    <w:rsid w:val="00E2086D"/>
    <w:pPr>
      <w:spacing w:after="280"/>
      <w:jc w:val="right"/>
    </w:pPr>
    <w:rPr>
      <w:sz w:val="24"/>
      <w:szCs w:val="24"/>
    </w:rPr>
  </w:style>
  <w:style w:type="paragraph" w:customStyle="1" w:styleId="CovAddressesLast">
    <w:name w:val="Cov—Addresses Last"/>
    <w:uiPriority w:val="99"/>
    <w:rsid w:val="00E2086D"/>
    <w:pPr>
      <w:spacing w:after="560"/>
      <w:jc w:val="right"/>
    </w:pPr>
    <w:rPr>
      <w:sz w:val="24"/>
      <w:szCs w:val="24"/>
    </w:rPr>
  </w:style>
  <w:style w:type="paragraph" w:customStyle="1" w:styleId="CovMainHeading">
    <w:name w:val="Cov—Main Heading"/>
    <w:uiPriority w:val="99"/>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uiPriority w:val="99"/>
    <w:rsid w:val="00E2086D"/>
    <w:pPr>
      <w:spacing w:after="240"/>
      <w:jc w:val="right"/>
    </w:pPr>
    <w:rPr>
      <w:rFonts w:ascii="Times New Roman Bold" w:hAnsi="Times New Roman Bold"/>
      <w:b/>
      <w:bCs/>
      <w:smallCaps/>
      <w:sz w:val="28"/>
      <w:szCs w:val="28"/>
    </w:rPr>
  </w:style>
  <w:style w:type="paragraph" w:customStyle="1" w:styleId="CovDate">
    <w:name w:val="Cov—Date"/>
    <w:uiPriority w:val="99"/>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uiPriority w:val="99"/>
    <w:rsid w:val="0023640F"/>
    <w:pPr>
      <w:spacing w:after="120" w:line="480" w:lineRule="auto"/>
    </w:pPr>
  </w:style>
  <w:style w:type="character" w:customStyle="1" w:styleId="BodyText2Char">
    <w:name w:val="Body Text 2 Char"/>
    <w:basedOn w:val="DefaultParagraphFont"/>
    <w:link w:val="BodyText2"/>
    <w:uiPriority w:val="99"/>
    <w:rsid w:val="0023640F"/>
    <w:rPr>
      <w:rFonts w:ascii="Arial Narrow" w:eastAsia="Batang" w:hAnsi="Arial Narrow" w:cs="Times New Roman"/>
      <w:sz w:val="22"/>
    </w:rPr>
  </w:style>
  <w:style w:type="paragraph" w:styleId="BodyText3">
    <w:name w:val="Body Text 3"/>
    <w:basedOn w:val="Normal"/>
    <w:link w:val="BodyText3Char"/>
    <w:uiPriority w:val="99"/>
    <w:rsid w:val="0023640F"/>
    <w:pPr>
      <w:spacing w:after="120"/>
    </w:pPr>
    <w:rPr>
      <w:sz w:val="16"/>
      <w:szCs w:val="16"/>
    </w:rPr>
  </w:style>
  <w:style w:type="character" w:customStyle="1" w:styleId="BodyText3Char">
    <w:name w:val="Body Text 3 Char"/>
    <w:basedOn w:val="DefaultParagraphFont"/>
    <w:link w:val="BodyText3"/>
    <w:uiPriority w:val="99"/>
    <w:rsid w:val="0023640F"/>
    <w:rPr>
      <w:rFonts w:ascii="Arial Narrow" w:eastAsia="Batang" w:hAnsi="Arial Narrow" w:cs="Times New Roman"/>
      <w:sz w:val="16"/>
    </w:rPr>
  </w:style>
  <w:style w:type="character" w:styleId="Hyperlink">
    <w:name w:val="Hyperlink"/>
    <w:basedOn w:val="DefaultParagraphFont"/>
    <w:uiPriority w:val="99"/>
    <w:rsid w:val="0023640F"/>
    <w:rPr>
      <w:rFonts w:cs="Times New Roman"/>
      <w:color w:val="0000FF"/>
      <w:u w:val="single"/>
    </w:rPr>
  </w:style>
  <w:style w:type="paragraph" w:styleId="BodyTextIndent2">
    <w:name w:val="Body Text Indent 2"/>
    <w:basedOn w:val="Normal"/>
    <w:link w:val="BodyTextIndent2Char"/>
    <w:uiPriority w:val="99"/>
    <w:rsid w:val="00B4527A"/>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rsid w:val="00B4527A"/>
    <w:rPr>
      <w:rFonts w:ascii="Arial Narrow" w:eastAsia="Batang" w:hAnsi="Arial Narrow" w:cs="Times New Roman"/>
      <w:i/>
      <w:snapToGrid w:val="0"/>
      <w:sz w:val="18"/>
    </w:rPr>
  </w:style>
  <w:style w:type="paragraph" w:customStyle="1" w:styleId="Default">
    <w:name w:val="Default"/>
    <w:uiPriority w:val="99"/>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uiPriority w:val="99"/>
    <w:semiHidden/>
    <w:rsid w:val="00B4527A"/>
    <w:rPr>
      <w:sz w:val="20"/>
    </w:rPr>
  </w:style>
  <w:style w:type="character" w:customStyle="1" w:styleId="FootnoteTextChar">
    <w:name w:val="Footnote Text Char"/>
    <w:basedOn w:val="DefaultParagraphFont"/>
    <w:link w:val="FootnoteText"/>
    <w:uiPriority w:val="99"/>
    <w:rsid w:val="00B4527A"/>
    <w:rPr>
      <w:rFonts w:eastAsia="Batang" w:cs="Times New Roman"/>
    </w:rPr>
  </w:style>
  <w:style w:type="paragraph" w:customStyle="1" w:styleId="HEAD2">
    <w:name w:val="HEAD2"/>
    <w:basedOn w:val="Normal"/>
    <w:uiPriority w:val="99"/>
    <w:rsid w:val="001B4CA9"/>
    <w:pPr>
      <w:spacing w:before="240" w:line="480" w:lineRule="auto"/>
      <w:jc w:val="center"/>
    </w:pPr>
    <w:rPr>
      <w:rFonts w:ascii="Times New Roman Bold" w:eastAsia="Times New Roman" w:hAnsi="Times New Roman Bold"/>
      <w:b/>
      <w:bCs/>
      <w:smallCaps/>
      <w:sz w:val="32"/>
      <w:szCs w:val="32"/>
    </w:rPr>
  </w:style>
  <w:style w:type="paragraph" w:customStyle="1" w:styleId="H1">
    <w:name w:val="H1"/>
    <w:basedOn w:val="Heading2"/>
    <w:uiPriority w:val="99"/>
    <w:rsid w:val="00B4527A"/>
    <w:pPr>
      <w:spacing w:before="240" w:after="60"/>
    </w:pPr>
    <w:rPr>
      <w:b w:val="0"/>
      <w:sz w:val="40"/>
    </w:rPr>
  </w:style>
  <w:style w:type="paragraph" w:customStyle="1" w:styleId="Table">
    <w:name w:val="Table"/>
    <w:basedOn w:val="Normal"/>
    <w:uiPriority w:val="99"/>
    <w:rsid w:val="00B4527A"/>
    <w:pPr>
      <w:spacing w:before="120" w:after="240"/>
      <w:jc w:val="center"/>
    </w:pPr>
    <w:rPr>
      <w:rFonts w:ascii="Helvetica" w:hAnsi="Helvetica"/>
      <w:b/>
      <w:sz w:val="28"/>
      <w:szCs w:val="28"/>
    </w:rPr>
  </w:style>
  <w:style w:type="paragraph" w:styleId="TOC1">
    <w:name w:val="toc 1"/>
    <w:basedOn w:val="Normal"/>
    <w:next w:val="Normal"/>
    <w:uiPriority w:val="99"/>
    <w:semiHidden/>
    <w:rsid w:val="00D03C99"/>
    <w:pPr>
      <w:tabs>
        <w:tab w:val="right" w:leader="dot" w:pos="9350"/>
      </w:tabs>
      <w:spacing w:before="200"/>
    </w:pPr>
    <w:rPr>
      <w:b/>
      <w:bCs/>
      <w:caps/>
      <w:noProof/>
      <w:sz w:val="22"/>
    </w:rPr>
  </w:style>
  <w:style w:type="paragraph" w:styleId="TOC2">
    <w:name w:val="toc 2"/>
    <w:basedOn w:val="Normal"/>
    <w:next w:val="Normal"/>
    <w:uiPriority w:val="99"/>
    <w:semiHidden/>
    <w:rsid w:val="00D03C99"/>
    <w:pPr>
      <w:tabs>
        <w:tab w:val="right" w:leader="dot" w:pos="9350"/>
      </w:tabs>
      <w:spacing w:before="80"/>
      <w:ind w:left="360"/>
    </w:pPr>
    <w:rPr>
      <w:smallCaps/>
      <w:noProof/>
      <w:sz w:val="21"/>
    </w:rPr>
  </w:style>
  <w:style w:type="paragraph" w:styleId="TOC3">
    <w:name w:val="toc 3"/>
    <w:basedOn w:val="Normal"/>
    <w:next w:val="Normal"/>
    <w:uiPriority w:val="99"/>
    <w:semiHidden/>
    <w:rsid w:val="00D03C99"/>
    <w:pPr>
      <w:spacing w:before="40"/>
      <w:ind w:left="720"/>
    </w:pPr>
    <w:rPr>
      <w:i/>
      <w:iCs/>
      <w:sz w:val="20"/>
    </w:rPr>
  </w:style>
  <w:style w:type="paragraph" w:styleId="TOC4">
    <w:name w:val="toc 4"/>
    <w:basedOn w:val="Normal"/>
    <w:next w:val="Normal"/>
    <w:uiPriority w:val="99"/>
    <w:semiHidden/>
    <w:rsid w:val="00921314"/>
    <w:pPr>
      <w:ind w:left="720"/>
    </w:pPr>
    <w:rPr>
      <w:rFonts w:ascii="Calibri" w:hAnsi="Calibri"/>
      <w:sz w:val="18"/>
      <w:szCs w:val="18"/>
    </w:rPr>
  </w:style>
  <w:style w:type="paragraph" w:styleId="TOC5">
    <w:name w:val="toc 5"/>
    <w:basedOn w:val="Normal"/>
    <w:next w:val="Normal"/>
    <w:uiPriority w:val="99"/>
    <w:semiHidden/>
    <w:rsid w:val="00B4527A"/>
    <w:pPr>
      <w:ind w:left="960"/>
    </w:pPr>
    <w:rPr>
      <w:rFonts w:ascii="Calibri" w:hAnsi="Calibri"/>
      <w:sz w:val="18"/>
      <w:szCs w:val="18"/>
    </w:rPr>
  </w:style>
  <w:style w:type="paragraph" w:styleId="TOC6">
    <w:name w:val="toc 6"/>
    <w:basedOn w:val="Normal"/>
    <w:next w:val="Normal"/>
    <w:uiPriority w:val="99"/>
    <w:semiHidden/>
    <w:rsid w:val="00B4527A"/>
    <w:pPr>
      <w:ind w:left="1200"/>
    </w:pPr>
    <w:rPr>
      <w:rFonts w:ascii="Calibri" w:hAnsi="Calibri"/>
      <w:sz w:val="18"/>
      <w:szCs w:val="18"/>
    </w:rPr>
  </w:style>
  <w:style w:type="paragraph" w:styleId="TOC7">
    <w:name w:val="toc 7"/>
    <w:basedOn w:val="Normal"/>
    <w:next w:val="Normal"/>
    <w:uiPriority w:val="99"/>
    <w:semiHidden/>
    <w:rsid w:val="00B4527A"/>
    <w:pPr>
      <w:ind w:left="1440"/>
    </w:pPr>
    <w:rPr>
      <w:rFonts w:ascii="Calibri" w:hAnsi="Calibri"/>
      <w:sz w:val="18"/>
      <w:szCs w:val="18"/>
    </w:rPr>
  </w:style>
  <w:style w:type="paragraph" w:styleId="TOC8">
    <w:name w:val="toc 8"/>
    <w:basedOn w:val="Normal"/>
    <w:next w:val="Normal"/>
    <w:uiPriority w:val="99"/>
    <w:semiHidden/>
    <w:rsid w:val="00B4527A"/>
    <w:pPr>
      <w:ind w:left="1680"/>
    </w:pPr>
    <w:rPr>
      <w:rFonts w:ascii="Calibri" w:hAnsi="Calibri"/>
      <w:sz w:val="18"/>
      <w:szCs w:val="18"/>
    </w:rPr>
  </w:style>
  <w:style w:type="paragraph" w:styleId="TOC9">
    <w:name w:val="toc 9"/>
    <w:basedOn w:val="Normal"/>
    <w:next w:val="Normal"/>
    <w:uiPriority w:val="99"/>
    <w:semiHidden/>
    <w:rsid w:val="00B4527A"/>
    <w:pPr>
      <w:ind w:left="1920"/>
    </w:pPr>
    <w:rPr>
      <w:rFonts w:ascii="Calibri" w:hAnsi="Calibri"/>
      <w:sz w:val="18"/>
      <w:szCs w:val="18"/>
    </w:rPr>
  </w:style>
  <w:style w:type="paragraph" w:customStyle="1" w:styleId="Subhead">
    <w:name w:val="Subhead"/>
    <w:uiPriority w:val="99"/>
    <w:rsid w:val="00B4527A"/>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B4527A"/>
    <w:pPr>
      <w:jc w:val="right"/>
    </w:pPr>
    <w:rPr>
      <w:bCs/>
      <w:sz w:val="24"/>
      <w:szCs w:val="28"/>
    </w:rPr>
  </w:style>
  <w:style w:type="paragraph" w:customStyle="1" w:styleId="Bullet1">
    <w:name w:val="Bullet 1"/>
    <w:basedOn w:val="Normal"/>
    <w:uiPriority w:val="99"/>
    <w:rsid w:val="00B4527A"/>
    <w:pPr>
      <w:tabs>
        <w:tab w:val="num" w:pos="1800"/>
      </w:tabs>
      <w:ind w:left="1800" w:hanging="360"/>
    </w:pPr>
    <w:rPr>
      <w:szCs w:val="24"/>
    </w:rPr>
  </w:style>
  <w:style w:type="paragraph" w:customStyle="1" w:styleId="qre1">
    <w:name w:val="q're 1"/>
    <w:basedOn w:val="Normal"/>
    <w:uiPriority w:val="99"/>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uiPriority w:val="99"/>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uiPriority w:val="99"/>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uiPriority w:val="99"/>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uiPriority w:val="99"/>
    <w:semiHidden/>
    <w:rsid w:val="00204DE0"/>
    <w:pPr>
      <w:ind w:left="360" w:hanging="360"/>
      <w:contextualSpacing/>
    </w:pPr>
  </w:style>
  <w:style w:type="character" w:customStyle="1" w:styleId="tx1">
    <w:name w:val="tx1"/>
    <w:basedOn w:val="DefaultParagraphFont"/>
    <w:uiPriority w:val="99"/>
    <w:rsid w:val="002F7FA4"/>
    <w:rPr>
      <w:rFonts w:cs="Times New Roman"/>
      <w:b/>
      <w:bCs/>
    </w:rPr>
  </w:style>
  <w:style w:type="character" w:customStyle="1" w:styleId="m1">
    <w:name w:val="m1"/>
    <w:basedOn w:val="DefaultParagraphFont"/>
    <w:uiPriority w:val="99"/>
    <w:rsid w:val="002F7FA4"/>
    <w:rPr>
      <w:rFonts w:cs="Times New Roman"/>
      <w:color w:val="0000FF"/>
    </w:rPr>
  </w:style>
  <w:style w:type="character" w:customStyle="1" w:styleId="t1">
    <w:name w:val="t1"/>
    <w:basedOn w:val="DefaultParagraphFont"/>
    <w:uiPriority w:val="99"/>
    <w:rsid w:val="002F7FA4"/>
    <w:rPr>
      <w:rFonts w:cs="Times New Roman"/>
      <w:color w:val="990000"/>
    </w:rPr>
  </w:style>
  <w:style w:type="character" w:customStyle="1" w:styleId="b1">
    <w:name w:val="b1"/>
    <w:basedOn w:val="DefaultParagraphFont"/>
    <w:uiPriority w:val="99"/>
    <w:rsid w:val="002F7FA4"/>
    <w:rPr>
      <w:rFonts w:ascii="Courier New" w:hAnsi="Courier New" w:cs="Courier New"/>
      <w:b/>
      <w:bCs/>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uiPriority w:val="99"/>
    <w:rsid w:val="00F361EB"/>
    <w:pPr>
      <w:tabs>
        <w:tab w:val="left" w:pos="432"/>
      </w:tabs>
      <w:spacing w:after="240"/>
      <w:ind w:firstLine="432"/>
      <w:jc w:val="both"/>
    </w:pPr>
    <w:rPr>
      <w:rFonts w:eastAsia="Times New Roman"/>
      <w:szCs w:val="24"/>
    </w:rPr>
  </w:style>
  <w:style w:type="paragraph" w:customStyle="1" w:styleId="CSBodyDoubleSpaced">
    <w:name w:val="CS Body Double Spaced"/>
    <w:basedOn w:val="Normal"/>
    <w:uiPriority w:val="99"/>
    <w:rsid w:val="00F93493"/>
    <w:pPr>
      <w:spacing w:after="200" w:line="480" w:lineRule="auto"/>
      <w:jc w:val="both"/>
    </w:pPr>
    <w:rPr>
      <w:rFonts w:ascii="Calibri" w:eastAsia="Times New Roman" w:hAnsi="Calibri"/>
      <w:sz w:val="22"/>
      <w:szCs w:val="22"/>
    </w:rPr>
  </w:style>
  <w:style w:type="character" w:styleId="Emphasis">
    <w:name w:val="Emphasis"/>
    <w:basedOn w:val="DefaultParagraphFont"/>
    <w:uiPriority w:val="99"/>
    <w:qFormat/>
    <w:rsid w:val="00BE1671"/>
    <w:rPr>
      <w:rFonts w:cs="Times New Roman"/>
      <w:i/>
      <w:iCs/>
    </w:rPr>
  </w:style>
  <w:style w:type="paragraph" w:styleId="Title">
    <w:name w:val="Title"/>
    <w:basedOn w:val="Normal"/>
    <w:next w:val="Normal"/>
    <w:link w:val="TitleChar"/>
    <w:uiPriority w:val="99"/>
    <w:qFormat/>
    <w:rsid w:val="00BE1671"/>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E1671"/>
    <w:rPr>
      <w:rFonts w:ascii="Cambria" w:hAnsi="Cambria" w:cs="Times New Roman"/>
      <w:b/>
      <w:bCs/>
      <w:kern w:val="28"/>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FollowedHyperlink" w:unhideWhenUsed="1"/>
    <w:lsdException w:name="Strong" w:semiHidden="0" w:uiPriority="22"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uiPriority w:val="99"/>
    <w:qFormat/>
    <w:rsid w:val="00B4527A"/>
    <w:pPr>
      <w:keepNext/>
      <w:outlineLvl w:val="0"/>
    </w:pPr>
    <w:rPr>
      <w:rFonts w:ascii="Helvetica-Narrow" w:hAnsi="Helvetica-Narrow"/>
      <w:b/>
      <w:smallCaps/>
      <w:sz w:val="32"/>
    </w:rPr>
  </w:style>
  <w:style w:type="paragraph" w:styleId="Heading2">
    <w:name w:val="heading 2"/>
    <w:basedOn w:val="Normal"/>
    <w:next w:val="Normal"/>
    <w:link w:val="Heading2Char"/>
    <w:uiPriority w:val="99"/>
    <w:qFormat/>
    <w:rsid w:val="00746922"/>
    <w:pPr>
      <w:keepNext/>
      <w:outlineLvl w:val="1"/>
    </w:pPr>
    <w:rPr>
      <w:b/>
    </w:rPr>
  </w:style>
  <w:style w:type="paragraph" w:styleId="Heading3">
    <w:name w:val="heading 3"/>
    <w:basedOn w:val="Normal"/>
    <w:next w:val="Normal"/>
    <w:link w:val="Heading3Char"/>
    <w:uiPriority w:val="99"/>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4527A"/>
    <w:rPr>
      <w:rFonts w:ascii="Helvetica-Narrow" w:eastAsia="Batang" w:hAnsi="Helvetica-Narrow" w:cs="Times New Roman"/>
      <w:b/>
      <w:smallCaps/>
      <w:sz w:val="32"/>
    </w:rPr>
  </w:style>
  <w:style w:type="character" w:customStyle="1" w:styleId="Heading2Char">
    <w:name w:val="Heading 2 Char"/>
    <w:basedOn w:val="DefaultParagraphFont"/>
    <w:link w:val="Heading2"/>
    <w:uiPriority w:val="99"/>
    <w:semiHidden/>
    <w:rsid w:val="00127544"/>
    <w:rPr>
      <w:rFonts w:ascii="Calibri" w:hAnsi="Calibri" w:cs="Times New Roman"/>
      <w:b/>
      <w:bCs/>
      <w:i/>
      <w:iCs/>
      <w:sz w:val="28"/>
    </w:rPr>
  </w:style>
  <w:style w:type="character" w:customStyle="1" w:styleId="Heading3Char">
    <w:name w:val="Heading 3 Char"/>
    <w:basedOn w:val="DefaultParagraphFont"/>
    <w:link w:val="Heading3"/>
    <w:uiPriority w:val="99"/>
    <w:semiHidden/>
    <w:rsid w:val="0023640F"/>
    <w:rPr>
      <w:rFonts w:ascii="Cambria" w:hAnsi="Cambria" w:cs="Times New Roman"/>
      <w:b/>
      <w:bCs/>
      <w:sz w:val="26"/>
    </w:rPr>
  </w:style>
  <w:style w:type="character" w:customStyle="1" w:styleId="Heading4Char">
    <w:name w:val="Heading 4 Char"/>
    <w:basedOn w:val="DefaultParagraphFont"/>
    <w:link w:val="Heading4"/>
    <w:uiPriority w:val="99"/>
    <w:rsid w:val="00B4527A"/>
    <w:rPr>
      <w:rFonts w:ascii="Arial" w:eastAsia="Batang" w:hAnsi="Arial" w:cs="Times New Roman"/>
      <w:i/>
      <w:sz w:val="24"/>
    </w:rPr>
  </w:style>
  <w:style w:type="paragraph" w:styleId="BodyTextIndent">
    <w:name w:val="Body Text Indent"/>
    <w:basedOn w:val="Normal"/>
    <w:link w:val="BodyTextIndentChar"/>
    <w:uiPriority w:val="99"/>
    <w:rsid w:val="00746922"/>
    <w:pPr>
      <w:numPr>
        <w:ilvl w:val="12"/>
      </w:numPr>
      <w:tabs>
        <w:tab w:val="left" w:pos="720"/>
        <w:tab w:val="left" w:pos="1440"/>
      </w:tabs>
      <w:ind w:firstLine="720"/>
    </w:pPr>
  </w:style>
  <w:style w:type="character" w:customStyle="1" w:styleId="BodyTextIndentChar">
    <w:name w:val="Body Text Indent Char"/>
    <w:basedOn w:val="DefaultParagraphFont"/>
    <w:link w:val="BodyTextIndent"/>
    <w:uiPriority w:val="99"/>
    <w:semiHidden/>
    <w:rsid w:val="00127544"/>
    <w:rPr>
      <w:rFonts w:eastAsia="Batang" w:cs="Times New Roman"/>
      <w:sz w:val="24"/>
    </w:rPr>
  </w:style>
  <w:style w:type="paragraph" w:styleId="Header">
    <w:name w:val="header"/>
    <w:basedOn w:val="Normal"/>
    <w:link w:val="HeaderChar"/>
    <w:uiPriority w:val="99"/>
    <w:rsid w:val="00746922"/>
    <w:pPr>
      <w:tabs>
        <w:tab w:val="center" w:pos="4320"/>
        <w:tab w:val="right" w:pos="8640"/>
      </w:tabs>
    </w:pPr>
  </w:style>
  <w:style w:type="character" w:customStyle="1" w:styleId="HeaderChar">
    <w:name w:val="Header Char"/>
    <w:basedOn w:val="DefaultParagraphFont"/>
    <w:link w:val="Header"/>
    <w:uiPriority w:val="99"/>
    <w:semiHidden/>
    <w:rsid w:val="00127544"/>
    <w:rPr>
      <w:rFonts w:eastAsia="Batang" w:cs="Times New Roman"/>
      <w:sz w:val="24"/>
    </w:rPr>
  </w:style>
  <w:style w:type="paragraph" w:styleId="Footer">
    <w:name w:val="footer"/>
    <w:basedOn w:val="Normal"/>
    <w:link w:val="FooterChar"/>
    <w:uiPriority w:val="99"/>
    <w:semiHidden/>
    <w:rsid w:val="00746922"/>
    <w:pPr>
      <w:tabs>
        <w:tab w:val="center" w:pos="4320"/>
        <w:tab w:val="right" w:pos="8640"/>
      </w:tabs>
    </w:pPr>
  </w:style>
  <w:style w:type="character" w:customStyle="1" w:styleId="FooterChar">
    <w:name w:val="Footer Char"/>
    <w:basedOn w:val="DefaultParagraphFont"/>
    <w:link w:val="Footer"/>
    <w:uiPriority w:val="99"/>
    <w:rsid w:val="00127544"/>
    <w:rPr>
      <w:rFonts w:eastAsia="Batang" w:cs="Times New Roman"/>
      <w:sz w:val="24"/>
    </w:rPr>
  </w:style>
  <w:style w:type="character" w:styleId="PageNumber">
    <w:name w:val="page number"/>
    <w:basedOn w:val="DefaultParagraphFont"/>
    <w:uiPriority w:val="99"/>
    <w:rsid w:val="00746922"/>
    <w:rPr>
      <w:rFonts w:cs="Times New Roman"/>
    </w:rPr>
  </w:style>
  <w:style w:type="paragraph" w:customStyle="1" w:styleId="HEAD1">
    <w:name w:val="HEAD1"/>
    <w:uiPriority w:val="99"/>
    <w:rsid w:val="00743BB1"/>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link w:val="BodyTextIndent3Char"/>
    <w:uiPriority w:val="99"/>
    <w:rsid w:val="007469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27544"/>
    <w:rPr>
      <w:rFonts w:eastAsia="Batang" w:cs="Times New Roman"/>
      <w:sz w:val="16"/>
    </w:rPr>
  </w:style>
  <w:style w:type="paragraph" w:customStyle="1" w:styleId="HEAD3">
    <w:name w:val="HEAD3"/>
    <w:uiPriority w:val="99"/>
    <w:rsid w:val="00D03C99"/>
    <w:pPr>
      <w:tabs>
        <w:tab w:val="left" w:pos="0"/>
      </w:tabs>
      <w:spacing w:before="200" w:after="360"/>
    </w:pPr>
    <w:rPr>
      <w:rFonts w:ascii="Times New Roman Bold" w:hAnsi="Times New Roman Bold"/>
      <w:b/>
      <w:sz w:val="26"/>
      <w:szCs w:val="28"/>
    </w:rPr>
  </w:style>
  <w:style w:type="paragraph" w:customStyle="1" w:styleId="Text">
    <w:name w:val="Text"/>
    <w:uiPriority w:val="99"/>
    <w:rsid w:val="00746922"/>
    <w:pPr>
      <w:keepNext/>
      <w:tabs>
        <w:tab w:val="left" w:pos="720"/>
      </w:tabs>
      <w:spacing w:line="360" w:lineRule="auto"/>
      <w:ind w:firstLine="720"/>
    </w:pPr>
    <w:rPr>
      <w:rFonts w:eastAsia="Batang"/>
      <w:sz w:val="23"/>
    </w:rPr>
  </w:style>
  <w:style w:type="paragraph" w:customStyle="1" w:styleId="Exhibit">
    <w:name w:val="Exhibit"/>
    <w:basedOn w:val="Normal"/>
    <w:uiPriority w:val="99"/>
    <w:rsid w:val="00E075E8"/>
    <w:pPr>
      <w:spacing w:before="240" w:after="120"/>
      <w:jc w:val="center"/>
    </w:pPr>
    <w:rPr>
      <w:rFonts w:ascii="Helvetica" w:hAnsi="Helvetica"/>
      <w:b/>
      <w:bCs/>
      <w:noProof/>
      <w:sz w:val="28"/>
    </w:rPr>
  </w:style>
  <w:style w:type="paragraph" w:customStyle="1" w:styleId="TEXT0">
    <w:name w:val="TEXT"/>
    <w:basedOn w:val="BodyText"/>
    <w:uiPriority w:val="99"/>
    <w:rsid w:val="00746922"/>
    <w:pPr>
      <w:spacing w:after="0" w:line="480" w:lineRule="auto"/>
      <w:ind w:firstLine="720"/>
    </w:pPr>
  </w:style>
  <w:style w:type="paragraph" w:styleId="BodyText">
    <w:name w:val="Body Text"/>
    <w:basedOn w:val="Normal"/>
    <w:link w:val="BodyTextChar"/>
    <w:uiPriority w:val="99"/>
    <w:rsid w:val="00746922"/>
    <w:pPr>
      <w:spacing w:after="120"/>
    </w:pPr>
  </w:style>
  <w:style w:type="character" w:customStyle="1" w:styleId="BodyTextChar">
    <w:name w:val="Body Text Char"/>
    <w:basedOn w:val="DefaultParagraphFont"/>
    <w:link w:val="BodyText"/>
    <w:uiPriority w:val="99"/>
    <w:semiHidden/>
    <w:rsid w:val="00127544"/>
    <w:rPr>
      <w:rFonts w:eastAsia="Batang" w:cs="Times New Roman"/>
      <w:sz w:val="24"/>
    </w:rPr>
  </w:style>
  <w:style w:type="table" w:styleId="TableGrid">
    <w:name w:val="Table Grid"/>
    <w:basedOn w:val="TableNormal"/>
    <w:uiPriority w:val="99"/>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uiPriority w:val="99"/>
    <w:rsid w:val="00EE273B"/>
    <w:pPr>
      <w:spacing w:before="120" w:after="120" w:line="480" w:lineRule="auto"/>
      <w:jc w:val="center"/>
    </w:pPr>
    <w:rPr>
      <w:rFonts w:ascii="Times New Roman Bold" w:eastAsia="Times New Roman" w:hAnsi="Times New Roman Bold"/>
      <w:b/>
      <w:smallCaps/>
      <w:sz w:val="34"/>
      <w:szCs w:val="32"/>
    </w:rPr>
  </w:style>
  <w:style w:type="paragraph" w:customStyle="1" w:styleId="Head4">
    <w:name w:val="Head4"/>
    <w:basedOn w:val="Heading2"/>
    <w:uiPriority w:val="99"/>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uiPriority w:val="99"/>
    <w:semiHidden/>
    <w:rsid w:val="00FE0855"/>
    <w:rPr>
      <w:rFonts w:cs="Times New Roman"/>
      <w:vertAlign w:val="superscript"/>
    </w:rPr>
  </w:style>
  <w:style w:type="paragraph" w:customStyle="1" w:styleId="Sub1">
    <w:name w:val="Sub 1"/>
    <w:basedOn w:val="Normal"/>
    <w:next w:val="Text"/>
    <w:uiPriority w:val="99"/>
    <w:rsid w:val="001141E4"/>
    <w:pPr>
      <w:spacing w:line="360" w:lineRule="auto"/>
      <w:ind w:left="480"/>
    </w:pPr>
    <w:rPr>
      <w:rFonts w:eastAsia="Times New Roman"/>
      <w:szCs w:val="24"/>
    </w:rPr>
  </w:style>
  <w:style w:type="paragraph" w:styleId="BalloonText">
    <w:name w:val="Balloon Text"/>
    <w:basedOn w:val="Normal"/>
    <w:link w:val="BalloonTextChar"/>
    <w:uiPriority w:val="99"/>
    <w:semiHidden/>
    <w:rsid w:val="008262C8"/>
    <w:rPr>
      <w:rFonts w:ascii="Tahoma" w:hAnsi="Tahoma" w:cs="Tahoma"/>
      <w:sz w:val="16"/>
      <w:szCs w:val="16"/>
    </w:rPr>
  </w:style>
  <w:style w:type="character" w:customStyle="1" w:styleId="BalloonTextChar">
    <w:name w:val="Balloon Text Char"/>
    <w:basedOn w:val="DefaultParagraphFont"/>
    <w:link w:val="BalloonText"/>
    <w:uiPriority w:val="99"/>
    <w:rsid w:val="008262C8"/>
    <w:rPr>
      <w:rFonts w:ascii="Tahoma" w:eastAsia="Batang" w:hAnsi="Tahoma" w:cs="Tahoma"/>
      <w:sz w:val="16"/>
    </w:rPr>
  </w:style>
  <w:style w:type="character" w:styleId="CommentReference">
    <w:name w:val="annotation reference"/>
    <w:basedOn w:val="DefaultParagraphFont"/>
    <w:uiPriority w:val="99"/>
    <w:semiHidden/>
    <w:rsid w:val="008262C8"/>
    <w:rPr>
      <w:rFonts w:cs="Times New Roman"/>
      <w:sz w:val="16"/>
    </w:rPr>
  </w:style>
  <w:style w:type="paragraph" w:styleId="CommentText">
    <w:name w:val="annotation text"/>
    <w:basedOn w:val="Normal"/>
    <w:link w:val="CommentTextChar"/>
    <w:uiPriority w:val="99"/>
    <w:semiHidden/>
    <w:rsid w:val="008262C8"/>
    <w:rPr>
      <w:sz w:val="20"/>
    </w:rPr>
  </w:style>
  <w:style w:type="character" w:customStyle="1" w:styleId="CommentTextChar">
    <w:name w:val="Comment Text Char"/>
    <w:basedOn w:val="DefaultParagraphFont"/>
    <w:link w:val="CommentText"/>
    <w:uiPriority w:val="99"/>
    <w:rsid w:val="008262C8"/>
    <w:rPr>
      <w:rFonts w:ascii="Arial Narrow" w:eastAsia="Batang" w:hAnsi="Arial Narrow" w:cs="Times New Roman"/>
    </w:rPr>
  </w:style>
  <w:style w:type="paragraph" w:styleId="CommentSubject">
    <w:name w:val="annotation subject"/>
    <w:basedOn w:val="CommentText"/>
    <w:next w:val="CommentText"/>
    <w:link w:val="CommentSubjectChar"/>
    <w:uiPriority w:val="99"/>
    <w:semiHidden/>
    <w:rsid w:val="008262C8"/>
    <w:rPr>
      <w:b/>
      <w:bCs/>
    </w:rPr>
  </w:style>
  <w:style w:type="character" w:customStyle="1" w:styleId="CommentSubjectChar">
    <w:name w:val="Comment Subject Char"/>
    <w:basedOn w:val="CommentTextChar"/>
    <w:link w:val="CommentSubject"/>
    <w:uiPriority w:val="99"/>
    <w:rsid w:val="008262C8"/>
    <w:rPr>
      <w:rFonts w:ascii="Arial Narrow" w:eastAsia="Batang" w:hAnsi="Arial Narrow" w:cs="Times New Roman"/>
      <w:b/>
      <w:bCs/>
    </w:rPr>
  </w:style>
  <w:style w:type="paragraph" w:customStyle="1" w:styleId="CovAIRName">
    <w:name w:val="Cov—AIR Name"/>
    <w:uiPriority w:val="99"/>
    <w:rsid w:val="00E2086D"/>
    <w:pPr>
      <w:jc w:val="right"/>
    </w:pPr>
    <w:rPr>
      <w:smallCaps/>
      <w:color w:val="008080"/>
      <w:sz w:val="60"/>
    </w:rPr>
  </w:style>
  <w:style w:type="paragraph" w:customStyle="1" w:styleId="CovTrademarkNotice">
    <w:name w:val="Cov—Trademark Notice"/>
    <w:uiPriority w:val="99"/>
    <w:rsid w:val="00E2086D"/>
    <w:pPr>
      <w:spacing w:after="280"/>
      <w:ind w:left="1714"/>
      <w:jc w:val="both"/>
    </w:pPr>
    <w:rPr>
      <w:i/>
      <w:sz w:val="18"/>
      <w:szCs w:val="18"/>
    </w:rPr>
  </w:style>
  <w:style w:type="paragraph" w:customStyle="1" w:styleId="CovAIRAddressFooter">
    <w:name w:val="Cov—AIR Address Footer"/>
    <w:uiPriority w:val="99"/>
    <w:rsid w:val="00E2086D"/>
    <w:pPr>
      <w:ind w:left="1440"/>
      <w:jc w:val="center"/>
    </w:pPr>
    <w:rPr>
      <w:smallCaps/>
      <w:color w:val="008080"/>
      <w:sz w:val="28"/>
      <w:szCs w:val="24"/>
    </w:rPr>
  </w:style>
  <w:style w:type="paragraph" w:customStyle="1" w:styleId="CovAddresses">
    <w:name w:val="Cov—Addresses"/>
    <w:uiPriority w:val="99"/>
    <w:rsid w:val="00E2086D"/>
    <w:pPr>
      <w:spacing w:after="280"/>
      <w:jc w:val="right"/>
    </w:pPr>
    <w:rPr>
      <w:sz w:val="24"/>
      <w:szCs w:val="24"/>
    </w:rPr>
  </w:style>
  <w:style w:type="paragraph" w:customStyle="1" w:styleId="CovAddressesLast">
    <w:name w:val="Cov—Addresses Last"/>
    <w:uiPriority w:val="99"/>
    <w:rsid w:val="00E2086D"/>
    <w:pPr>
      <w:spacing w:after="560"/>
      <w:jc w:val="right"/>
    </w:pPr>
    <w:rPr>
      <w:sz w:val="24"/>
      <w:szCs w:val="24"/>
    </w:rPr>
  </w:style>
  <w:style w:type="paragraph" w:customStyle="1" w:styleId="CovMainHeading">
    <w:name w:val="Cov—Main Heading"/>
    <w:uiPriority w:val="99"/>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uiPriority w:val="99"/>
    <w:rsid w:val="00E2086D"/>
    <w:pPr>
      <w:spacing w:after="240"/>
      <w:jc w:val="right"/>
    </w:pPr>
    <w:rPr>
      <w:rFonts w:ascii="Times New Roman Bold" w:hAnsi="Times New Roman Bold"/>
      <w:b/>
      <w:bCs/>
      <w:smallCaps/>
      <w:sz w:val="28"/>
      <w:szCs w:val="28"/>
    </w:rPr>
  </w:style>
  <w:style w:type="paragraph" w:customStyle="1" w:styleId="CovDate">
    <w:name w:val="Cov—Date"/>
    <w:uiPriority w:val="99"/>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uiPriority w:val="99"/>
    <w:rsid w:val="0023640F"/>
    <w:pPr>
      <w:spacing w:after="120" w:line="480" w:lineRule="auto"/>
    </w:pPr>
  </w:style>
  <w:style w:type="character" w:customStyle="1" w:styleId="BodyText2Char">
    <w:name w:val="Body Text 2 Char"/>
    <w:basedOn w:val="DefaultParagraphFont"/>
    <w:link w:val="BodyText2"/>
    <w:uiPriority w:val="99"/>
    <w:rsid w:val="0023640F"/>
    <w:rPr>
      <w:rFonts w:ascii="Arial Narrow" w:eastAsia="Batang" w:hAnsi="Arial Narrow" w:cs="Times New Roman"/>
      <w:sz w:val="22"/>
    </w:rPr>
  </w:style>
  <w:style w:type="paragraph" w:styleId="BodyText3">
    <w:name w:val="Body Text 3"/>
    <w:basedOn w:val="Normal"/>
    <w:link w:val="BodyText3Char"/>
    <w:uiPriority w:val="99"/>
    <w:rsid w:val="0023640F"/>
    <w:pPr>
      <w:spacing w:after="120"/>
    </w:pPr>
    <w:rPr>
      <w:sz w:val="16"/>
      <w:szCs w:val="16"/>
    </w:rPr>
  </w:style>
  <w:style w:type="character" w:customStyle="1" w:styleId="BodyText3Char">
    <w:name w:val="Body Text 3 Char"/>
    <w:basedOn w:val="DefaultParagraphFont"/>
    <w:link w:val="BodyText3"/>
    <w:uiPriority w:val="99"/>
    <w:rsid w:val="0023640F"/>
    <w:rPr>
      <w:rFonts w:ascii="Arial Narrow" w:eastAsia="Batang" w:hAnsi="Arial Narrow" w:cs="Times New Roman"/>
      <w:sz w:val="16"/>
    </w:rPr>
  </w:style>
  <w:style w:type="character" w:styleId="Hyperlink">
    <w:name w:val="Hyperlink"/>
    <w:basedOn w:val="DefaultParagraphFont"/>
    <w:uiPriority w:val="99"/>
    <w:rsid w:val="0023640F"/>
    <w:rPr>
      <w:rFonts w:cs="Times New Roman"/>
      <w:color w:val="0000FF"/>
      <w:u w:val="single"/>
    </w:rPr>
  </w:style>
  <w:style w:type="paragraph" w:styleId="BodyTextIndent2">
    <w:name w:val="Body Text Indent 2"/>
    <w:basedOn w:val="Normal"/>
    <w:link w:val="BodyTextIndent2Char"/>
    <w:uiPriority w:val="99"/>
    <w:rsid w:val="00B4527A"/>
    <w:pPr>
      <w:ind w:left="360"/>
    </w:pPr>
    <w:rPr>
      <w:rFonts w:ascii="Arial Narrow" w:hAnsi="Arial Narrow"/>
      <w:i/>
      <w:sz w:val="18"/>
    </w:rPr>
  </w:style>
  <w:style w:type="character" w:customStyle="1" w:styleId="BodyTextIndent2Char">
    <w:name w:val="Body Text Indent 2 Char"/>
    <w:basedOn w:val="DefaultParagraphFont"/>
    <w:link w:val="BodyTextIndent2"/>
    <w:uiPriority w:val="99"/>
    <w:rsid w:val="00B4527A"/>
    <w:rPr>
      <w:rFonts w:ascii="Arial Narrow" w:eastAsia="Batang" w:hAnsi="Arial Narrow" w:cs="Times New Roman"/>
      <w:i/>
      <w:snapToGrid w:val="0"/>
      <w:sz w:val="18"/>
    </w:rPr>
  </w:style>
  <w:style w:type="paragraph" w:customStyle="1" w:styleId="Default">
    <w:name w:val="Default"/>
    <w:uiPriority w:val="99"/>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uiPriority w:val="99"/>
    <w:semiHidden/>
    <w:rsid w:val="00B4527A"/>
    <w:rPr>
      <w:sz w:val="20"/>
    </w:rPr>
  </w:style>
  <w:style w:type="character" w:customStyle="1" w:styleId="FootnoteTextChar">
    <w:name w:val="Footnote Text Char"/>
    <w:basedOn w:val="DefaultParagraphFont"/>
    <w:link w:val="FootnoteText"/>
    <w:uiPriority w:val="99"/>
    <w:rsid w:val="00B4527A"/>
    <w:rPr>
      <w:rFonts w:eastAsia="Batang" w:cs="Times New Roman"/>
    </w:rPr>
  </w:style>
  <w:style w:type="paragraph" w:customStyle="1" w:styleId="HEAD2">
    <w:name w:val="HEAD2"/>
    <w:basedOn w:val="Normal"/>
    <w:uiPriority w:val="99"/>
    <w:rsid w:val="001B4CA9"/>
    <w:pPr>
      <w:spacing w:before="240" w:line="480" w:lineRule="auto"/>
      <w:jc w:val="center"/>
    </w:pPr>
    <w:rPr>
      <w:rFonts w:ascii="Times New Roman Bold" w:eastAsia="Times New Roman" w:hAnsi="Times New Roman Bold"/>
      <w:b/>
      <w:bCs/>
      <w:smallCaps/>
      <w:sz w:val="32"/>
      <w:szCs w:val="32"/>
    </w:rPr>
  </w:style>
  <w:style w:type="paragraph" w:customStyle="1" w:styleId="H1">
    <w:name w:val="H1"/>
    <w:basedOn w:val="Heading2"/>
    <w:uiPriority w:val="99"/>
    <w:rsid w:val="00B4527A"/>
    <w:pPr>
      <w:spacing w:before="240" w:after="60"/>
    </w:pPr>
    <w:rPr>
      <w:b w:val="0"/>
      <w:sz w:val="40"/>
    </w:rPr>
  </w:style>
  <w:style w:type="paragraph" w:customStyle="1" w:styleId="Table">
    <w:name w:val="Table"/>
    <w:basedOn w:val="Normal"/>
    <w:uiPriority w:val="99"/>
    <w:rsid w:val="00B4527A"/>
    <w:pPr>
      <w:spacing w:before="120" w:after="240"/>
      <w:jc w:val="center"/>
    </w:pPr>
    <w:rPr>
      <w:rFonts w:ascii="Helvetica" w:hAnsi="Helvetica"/>
      <w:b/>
      <w:sz w:val="28"/>
      <w:szCs w:val="28"/>
    </w:rPr>
  </w:style>
  <w:style w:type="paragraph" w:styleId="TOC1">
    <w:name w:val="toc 1"/>
    <w:basedOn w:val="Normal"/>
    <w:next w:val="Normal"/>
    <w:uiPriority w:val="99"/>
    <w:semiHidden/>
    <w:rsid w:val="00D03C99"/>
    <w:pPr>
      <w:tabs>
        <w:tab w:val="right" w:leader="dot" w:pos="9350"/>
      </w:tabs>
      <w:spacing w:before="200"/>
    </w:pPr>
    <w:rPr>
      <w:b/>
      <w:bCs/>
      <w:caps/>
      <w:noProof/>
      <w:sz w:val="22"/>
    </w:rPr>
  </w:style>
  <w:style w:type="paragraph" w:styleId="TOC2">
    <w:name w:val="toc 2"/>
    <w:basedOn w:val="Normal"/>
    <w:next w:val="Normal"/>
    <w:uiPriority w:val="99"/>
    <w:semiHidden/>
    <w:rsid w:val="00D03C99"/>
    <w:pPr>
      <w:tabs>
        <w:tab w:val="right" w:leader="dot" w:pos="9350"/>
      </w:tabs>
      <w:spacing w:before="80"/>
      <w:ind w:left="360"/>
    </w:pPr>
    <w:rPr>
      <w:smallCaps/>
      <w:noProof/>
      <w:sz w:val="21"/>
    </w:rPr>
  </w:style>
  <w:style w:type="paragraph" w:styleId="TOC3">
    <w:name w:val="toc 3"/>
    <w:basedOn w:val="Normal"/>
    <w:next w:val="Normal"/>
    <w:uiPriority w:val="99"/>
    <w:semiHidden/>
    <w:rsid w:val="00D03C99"/>
    <w:pPr>
      <w:spacing w:before="40"/>
      <w:ind w:left="720"/>
    </w:pPr>
    <w:rPr>
      <w:i/>
      <w:iCs/>
      <w:sz w:val="20"/>
    </w:rPr>
  </w:style>
  <w:style w:type="paragraph" w:styleId="TOC4">
    <w:name w:val="toc 4"/>
    <w:basedOn w:val="Normal"/>
    <w:next w:val="Normal"/>
    <w:uiPriority w:val="99"/>
    <w:semiHidden/>
    <w:rsid w:val="00921314"/>
    <w:pPr>
      <w:ind w:left="720"/>
    </w:pPr>
    <w:rPr>
      <w:rFonts w:ascii="Calibri" w:hAnsi="Calibri"/>
      <w:sz w:val="18"/>
      <w:szCs w:val="18"/>
    </w:rPr>
  </w:style>
  <w:style w:type="paragraph" w:styleId="TOC5">
    <w:name w:val="toc 5"/>
    <w:basedOn w:val="Normal"/>
    <w:next w:val="Normal"/>
    <w:uiPriority w:val="99"/>
    <w:semiHidden/>
    <w:rsid w:val="00B4527A"/>
    <w:pPr>
      <w:ind w:left="960"/>
    </w:pPr>
    <w:rPr>
      <w:rFonts w:ascii="Calibri" w:hAnsi="Calibri"/>
      <w:sz w:val="18"/>
      <w:szCs w:val="18"/>
    </w:rPr>
  </w:style>
  <w:style w:type="paragraph" w:styleId="TOC6">
    <w:name w:val="toc 6"/>
    <w:basedOn w:val="Normal"/>
    <w:next w:val="Normal"/>
    <w:uiPriority w:val="99"/>
    <w:semiHidden/>
    <w:rsid w:val="00B4527A"/>
    <w:pPr>
      <w:ind w:left="1200"/>
    </w:pPr>
    <w:rPr>
      <w:rFonts w:ascii="Calibri" w:hAnsi="Calibri"/>
      <w:sz w:val="18"/>
      <w:szCs w:val="18"/>
    </w:rPr>
  </w:style>
  <w:style w:type="paragraph" w:styleId="TOC7">
    <w:name w:val="toc 7"/>
    <w:basedOn w:val="Normal"/>
    <w:next w:val="Normal"/>
    <w:uiPriority w:val="99"/>
    <w:semiHidden/>
    <w:rsid w:val="00B4527A"/>
    <w:pPr>
      <w:ind w:left="1440"/>
    </w:pPr>
    <w:rPr>
      <w:rFonts w:ascii="Calibri" w:hAnsi="Calibri"/>
      <w:sz w:val="18"/>
      <w:szCs w:val="18"/>
    </w:rPr>
  </w:style>
  <w:style w:type="paragraph" w:styleId="TOC8">
    <w:name w:val="toc 8"/>
    <w:basedOn w:val="Normal"/>
    <w:next w:val="Normal"/>
    <w:uiPriority w:val="99"/>
    <w:semiHidden/>
    <w:rsid w:val="00B4527A"/>
    <w:pPr>
      <w:ind w:left="1680"/>
    </w:pPr>
    <w:rPr>
      <w:rFonts w:ascii="Calibri" w:hAnsi="Calibri"/>
      <w:sz w:val="18"/>
      <w:szCs w:val="18"/>
    </w:rPr>
  </w:style>
  <w:style w:type="paragraph" w:styleId="TOC9">
    <w:name w:val="toc 9"/>
    <w:basedOn w:val="Normal"/>
    <w:next w:val="Normal"/>
    <w:uiPriority w:val="99"/>
    <w:semiHidden/>
    <w:rsid w:val="00B4527A"/>
    <w:pPr>
      <w:ind w:left="1920"/>
    </w:pPr>
    <w:rPr>
      <w:rFonts w:ascii="Calibri" w:hAnsi="Calibri"/>
      <w:sz w:val="18"/>
      <w:szCs w:val="18"/>
    </w:rPr>
  </w:style>
  <w:style w:type="paragraph" w:customStyle="1" w:styleId="Subhead">
    <w:name w:val="Subhead"/>
    <w:uiPriority w:val="99"/>
    <w:rsid w:val="00B4527A"/>
    <w:pPr>
      <w:spacing w:after="240" w:line="228" w:lineRule="auto"/>
      <w:jc w:val="right"/>
    </w:pPr>
    <w:rPr>
      <w:rFonts w:ascii="Times New Roman Bold" w:hAnsi="Times New Roman Bold"/>
      <w:b/>
      <w:smallCaps/>
      <w:sz w:val="28"/>
      <w:szCs w:val="28"/>
    </w:rPr>
  </w:style>
  <w:style w:type="paragraph" w:customStyle="1" w:styleId="TextRight">
    <w:name w:val="Text Right"/>
    <w:uiPriority w:val="99"/>
    <w:rsid w:val="00B4527A"/>
    <w:pPr>
      <w:jc w:val="right"/>
    </w:pPr>
    <w:rPr>
      <w:bCs/>
      <w:sz w:val="24"/>
      <w:szCs w:val="28"/>
    </w:rPr>
  </w:style>
  <w:style w:type="paragraph" w:customStyle="1" w:styleId="Bullet1">
    <w:name w:val="Bullet 1"/>
    <w:basedOn w:val="Normal"/>
    <w:uiPriority w:val="99"/>
    <w:rsid w:val="00B4527A"/>
    <w:pPr>
      <w:tabs>
        <w:tab w:val="num" w:pos="1800"/>
      </w:tabs>
      <w:ind w:left="1800" w:hanging="360"/>
    </w:pPr>
    <w:rPr>
      <w:szCs w:val="24"/>
    </w:rPr>
  </w:style>
  <w:style w:type="paragraph" w:customStyle="1" w:styleId="qre1">
    <w:name w:val="q're 1"/>
    <w:basedOn w:val="Normal"/>
    <w:uiPriority w:val="99"/>
    <w:rsid w:val="00B4527A"/>
    <w:pPr>
      <w:ind w:left="450" w:hanging="450"/>
    </w:pPr>
    <w:rPr>
      <w:rFonts w:ascii="Times" w:hAnsi="Times"/>
    </w:rPr>
  </w:style>
  <w:style w:type="paragraph" w:styleId="ListParagraph">
    <w:name w:val="List Paragraph"/>
    <w:basedOn w:val="Normal"/>
    <w:uiPriority w:val="99"/>
    <w:qFormat/>
    <w:rsid w:val="005E2000"/>
    <w:pPr>
      <w:ind w:left="720"/>
      <w:contextualSpacing/>
    </w:pPr>
  </w:style>
  <w:style w:type="paragraph" w:customStyle="1" w:styleId="H-1">
    <w:name w:val="H-1"/>
    <w:basedOn w:val="Normal"/>
    <w:uiPriority w:val="99"/>
    <w:rsid w:val="00090B76"/>
    <w:pPr>
      <w:spacing w:before="360" w:after="320"/>
      <w:jc w:val="center"/>
    </w:pPr>
    <w:rPr>
      <w:rFonts w:ascii="Times New Roman Bold" w:eastAsia="Times New Roman" w:hAnsi="Times New Roman Bold"/>
      <w:b/>
      <w:sz w:val="32"/>
      <w:szCs w:val="24"/>
    </w:rPr>
  </w:style>
  <w:style w:type="paragraph" w:customStyle="1" w:styleId="H-2">
    <w:name w:val="H-2"/>
    <w:basedOn w:val="Normal"/>
    <w:uiPriority w:val="99"/>
    <w:rsid w:val="00090B76"/>
    <w:pPr>
      <w:spacing w:before="280" w:after="240"/>
    </w:pPr>
    <w:rPr>
      <w:rFonts w:ascii="Times New Roman Bold" w:eastAsia="Times New Roman" w:hAnsi="Times New Roman Bold"/>
      <w:sz w:val="26"/>
      <w:szCs w:val="24"/>
    </w:rPr>
  </w:style>
  <w:style w:type="paragraph" w:customStyle="1" w:styleId="Appendix">
    <w:name w:val="Appendix"/>
    <w:basedOn w:val="HEAD1"/>
    <w:uiPriority w:val="99"/>
    <w:rsid w:val="00D763CB"/>
    <w:pPr>
      <w:spacing w:before="2640" w:after="0" w:line="240" w:lineRule="auto"/>
    </w:pPr>
    <w:rPr>
      <w:caps w:val="0"/>
      <w:smallCaps/>
      <w:sz w:val="64"/>
    </w:rPr>
  </w:style>
  <w:style w:type="paragraph" w:styleId="List3">
    <w:name w:val="List 3"/>
    <w:basedOn w:val="List"/>
    <w:uiPriority w:val="99"/>
    <w:rsid w:val="00204DE0"/>
    <w:pPr>
      <w:spacing w:after="240" w:line="240" w:lineRule="atLeast"/>
      <w:ind w:left="1080"/>
      <w:contextualSpacing w:val="0"/>
      <w:jc w:val="both"/>
    </w:pPr>
    <w:rPr>
      <w:rFonts w:eastAsia="Times New Roman"/>
      <w:kern w:val="16"/>
    </w:rPr>
  </w:style>
  <w:style w:type="paragraph" w:styleId="List">
    <w:name w:val="List"/>
    <w:basedOn w:val="Normal"/>
    <w:uiPriority w:val="99"/>
    <w:semiHidden/>
    <w:rsid w:val="00204DE0"/>
    <w:pPr>
      <w:ind w:left="360" w:hanging="360"/>
      <w:contextualSpacing/>
    </w:pPr>
  </w:style>
  <w:style w:type="character" w:customStyle="1" w:styleId="tx1">
    <w:name w:val="tx1"/>
    <w:basedOn w:val="DefaultParagraphFont"/>
    <w:uiPriority w:val="99"/>
    <w:rsid w:val="002F7FA4"/>
    <w:rPr>
      <w:rFonts w:cs="Times New Roman"/>
      <w:b/>
      <w:bCs/>
    </w:rPr>
  </w:style>
  <w:style w:type="character" w:customStyle="1" w:styleId="m1">
    <w:name w:val="m1"/>
    <w:basedOn w:val="DefaultParagraphFont"/>
    <w:uiPriority w:val="99"/>
    <w:rsid w:val="002F7FA4"/>
    <w:rPr>
      <w:rFonts w:cs="Times New Roman"/>
      <w:color w:val="0000FF"/>
    </w:rPr>
  </w:style>
  <w:style w:type="character" w:customStyle="1" w:styleId="t1">
    <w:name w:val="t1"/>
    <w:basedOn w:val="DefaultParagraphFont"/>
    <w:uiPriority w:val="99"/>
    <w:rsid w:val="002F7FA4"/>
    <w:rPr>
      <w:rFonts w:cs="Times New Roman"/>
      <w:color w:val="990000"/>
    </w:rPr>
  </w:style>
  <w:style w:type="character" w:customStyle="1" w:styleId="b1">
    <w:name w:val="b1"/>
    <w:basedOn w:val="DefaultParagraphFont"/>
    <w:uiPriority w:val="99"/>
    <w:rsid w:val="002F7FA4"/>
    <w:rPr>
      <w:rFonts w:ascii="Courier New" w:hAnsi="Courier New" w:cs="Courier New"/>
      <w:b/>
      <w:bCs/>
      <w:color w:val="FF0000"/>
      <w:u w:val="none"/>
      <w:effect w:val="none"/>
    </w:rPr>
  </w:style>
  <w:style w:type="paragraph" w:styleId="Revision">
    <w:name w:val="Revision"/>
    <w:hidden/>
    <w:uiPriority w:val="99"/>
    <w:semiHidden/>
    <w:rsid w:val="00F875BE"/>
    <w:rPr>
      <w:rFonts w:eastAsia="Batang"/>
      <w:sz w:val="24"/>
    </w:rPr>
  </w:style>
  <w:style w:type="paragraph" w:customStyle="1" w:styleId="NormalSS12">
    <w:name w:val="NormalSS 12"/>
    <w:basedOn w:val="Normal"/>
    <w:uiPriority w:val="99"/>
    <w:rsid w:val="00F361EB"/>
    <w:pPr>
      <w:tabs>
        <w:tab w:val="left" w:pos="432"/>
      </w:tabs>
      <w:spacing w:after="240"/>
      <w:ind w:firstLine="432"/>
      <w:jc w:val="both"/>
    </w:pPr>
    <w:rPr>
      <w:rFonts w:eastAsia="Times New Roman"/>
      <w:szCs w:val="24"/>
    </w:rPr>
  </w:style>
  <w:style w:type="paragraph" w:customStyle="1" w:styleId="CSBodyDoubleSpaced">
    <w:name w:val="CS Body Double Spaced"/>
    <w:basedOn w:val="Normal"/>
    <w:uiPriority w:val="99"/>
    <w:rsid w:val="00F93493"/>
    <w:pPr>
      <w:spacing w:after="200" w:line="480" w:lineRule="auto"/>
      <w:jc w:val="both"/>
    </w:pPr>
    <w:rPr>
      <w:rFonts w:ascii="Calibri" w:eastAsia="Times New Roman" w:hAnsi="Calibri"/>
      <w:sz w:val="22"/>
      <w:szCs w:val="22"/>
    </w:rPr>
  </w:style>
  <w:style w:type="character" w:styleId="Emphasis">
    <w:name w:val="Emphasis"/>
    <w:basedOn w:val="DefaultParagraphFont"/>
    <w:uiPriority w:val="99"/>
    <w:qFormat/>
    <w:rsid w:val="00BE1671"/>
    <w:rPr>
      <w:rFonts w:cs="Times New Roman"/>
      <w:i/>
      <w:iCs/>
    </w:rPr>
  </w:style>
  <w:style w:type="paragraph" w:styleId="Title">
    <w:name w:val="Title"/>
    <w:basedOn w:val="Normal"/>
    <w:next w:val="Normal"/>
    <w:link w:val="TitleChar"/>
    <w:uiPriority w:val="99"/>
    <w:qFormat/>
    <w:rsid w:val="00BE1671"/>
    <w:pPr>
      <w:spacing w:before="240" w:after="60" w:line="276"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rsid w:val="00BE1671"/>
    <w:rPr>
      <w:rFonts w:ascii="Cambria" w:hAnsi="Cambria" w:cs="Times New Roman"/>
      <w:b/>
      <w:bCs/>
      <w:kern w:val="28"/>
      <w:sz w:val="32"/>
    </w:r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3306</Words>
  <Characters>18849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22111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creator>American Institutes for Research</dc:creator>
  <cp:lastModifiedBy>katrina.ingalls</cp:lastModifiedBy>
  <cp:revision>2</cp:revision>
  <cp:lastPrinted>2012-02-09T15:47:00Z</cp:lastPrinted>
  <dcterms:created xsi:type="dcterms:W3CDTF">2012-02-09T15:47:00Z</dcterms:created>
  <dcterms:modified xsi:type="dcterms:W3CDTF">2012-02-09T15:47:00Z</dcterms:modified>
</cp:coreProperties>
</file>