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0A" w:rsidRPr="00EC48CC" w:rsidRDefault="00FD110A" w:rsidP="00FD110A">
      <w:pPr>
        <w:pStyle w:val="Heading1"/>
        <w:rPr>
          <w:rFonts w:ascii="Garamond" w:hAnsi="Garamond"/>
          <w:sz w:val="24"/>
          <w:szCs w:val="24"/>
        </w:rPr>
      </w:pPr>
      <w:bookmarkStart w:id="0" w:name="_Toc296354103"/>
      <w:r w:rsidRPr="00EC48CC">
        <w:rPr>
          <w:rFonts w:ascii="Garamond" w:hAnsi="Garamond"/>
          <w:sz w:val="24"/>
          <w:szCs w:val="24"/>
        </w:rPr>
        <w:t>B.     STATISTICAL METHODS</w:t>
      </w:r>
      <w:bookmarkEnd w:id="0"/>
    </w:p>
    <w:p w:rsidR="00FD110A" w:rsidRPr="00EC48CC" w:rsidRDefault="00FD110A" w:rsidP="00FD110A">
      <w:pPr>
        <w:spacing w:after="0" w:line="240" w:lineRule="auto"/>
        <w:rPr>
          <w:rFonts w:ascii="Garamond" w:hAnsi="Garamond"/>
          <w:sz w:val="24"/>
          <w:szCs w:val="24"/>
        </w:rPr>
      </w:pPr>
    </w:p>
    <w:p w:rsidR="00FD110A" w:rsidRPr="00EC48CC" w:rsidRDefault="00FD110A" w:rsidP="00FD110A">
      <w:pPr>
        <w:pStyle w:val="Heading2"/>
        <w:spacing w:after="0" w:line="240" w:lineRule="auto"/>
        <w:rPr>
          <w:rFonts w:ascii="Garamond" w:hAnsi="Garamond"/>
          <w:sz w:val="24"/>
          <w:szCs w:val="24"/>
        </w:rPr>
      </w:pPr>
      <w:bookmarkStart w:id="1" w:name="_Toc296354104"/>
      <w:r w:rsidRPr="00EC48CC">
        <w:rPr>
          <w:rFonts w:ascii="Garamond" w:hAnsi="Garamond"/>
          <w:sz w:val="24"/>
          <w:szCs w:val="24"/>
        </w:rPr>
        <w:t>1.     Respondent Universe and Sampling Methods</w:t>
      </w:r>
      <w:bookmarkEnd w:id="1"/>
      <w:r w:rsidRPr="00EC48CC">
        <w:rPr>
          <w:rFonts w:ascii="Garamond" w:hAnsi="Garamond"/>
          <w:sz w:val="24"/>
          <w:szCs w:val="24"/>
        </w:rPr>
        <w:br/>
      </w:r>
    </w:p>
    <w:p w:rsidR="00FD110A" w:rsidRPr="005F067F" w:rsidRDefault="00FD110A" w:rsidP="00FD110A">
      <w:pPr>
        <w:spacing w:after="0" w:line="240" w:lineRule="auto"/>
        <w:rPr>
          <w:rFonts w:ascii="Garamond" w:hAnsi="Garamond"/>
          <w:sz w:val="24"/>
          <w:szCs w:val="24"/>
        </w:rPr>
      </w:pPr>
      <w:r w:rsidRPr="006901FD">
        <w:rPr>
          <w:rFonts w:ascii="Garamond" w:hAnsi="Garamond"/>
          <w:sz w:val="24"/>
          <w:szCs w:val="24"/>
        </w:rPr>
        <w:t>The target population</w:t>
      </w:r>
      <w:r>
        <w:rPr>
          <w:rFonts w:ascii="Garamond" w:hAnsi="Garamond"/>
          <w:sz w:val="24"/>
          <w:szCs w:val="24"/>
        </w:rPr>
        <w:t>s</w:t>
      </w:r>
      <w:r w:rsidRPr="006901FD">
        <w:rPr>
          <w:rFonts w:ascii="Garamond" w:hAnsi="Garamond"/>
          <w:sz w:val="24"/>
          <w:szCs w:val="24"/>
        </w:rPr>
        <w:t xml:space="preserve"> for t</w:t>
      </w:r>
      <w:r>
        <w:rPr>
          <w:rFonts w:ascii="Garamond" w:hAnsi="Garamond"/>
          <w:sz w:val="24"/>
          <w:szCs w:val="24"/>
        </w:rPr>
        <w:t xml:space="preserve">he project are the patients who are eligible to participate in the evidenced based practice/interventions based on their race/ethnicity and health condition.  The patients will be recruited by the local hubs.  </w:t>
      </w:r>
    </w:p>
    <w:p w:rsidR="00FD110A" w:rsidRPr="005F067F" w:rsidRDefault="00FD110A" w:rsidP="00FD110A">
      <w:pPr>
        <w:spacing w:after="0" w:line="240" w:lineRule="auto"/>
        <w:rPr>
          <w:rFonts w:ascii="Garamond" w:hAnsi="Garamond"/>
          <w:sz w:val="24"/>
          <w:szCs w:val="24"/>
          <w:highlight w:val="yellow"/>
        </w:rPr>
      </w:pPr>
    </w:p>
    <w:p w:rsidR="00FD110A" w:rsidRDefault="00FD110A" w:rsidP="00FD110A">
      <w:pPr>
        <w:spacing w:after="0" w:line="240" w:lineRule="auto"/>
        <w:rPr>
          <w:rFonts w:ascii="Garamond" w:hAnsi="Garamond"/>
          <w:sz w:val="24"/>
          <w:szCs w:val="24"/>
        </w:rPr>
      </w:pPr>
      <w:r w:rsidRPr="005F067F">
        <w:rPr>
          <w:rFonts w:ascii="Garamond" w:hAnsi="Garamond"/>
          <w:sz w:val="24"/>
          <w:szCs w:val="24"/>
        </w:rPr>
        <w:t>For Chicago, the sample size for the HELP intervention is:  25 African Americans and 25 Hispanics/Latinos from the Lawndale Christian Health Center (LCHC).  A screening tool will be used to determine program eligibility of p</w:t>
      </w:r>
      <w:r w:rsidRPr="005F067F">
        <w:rPr>
          <w:rFonts w:ascii="Garamond" w:hAnsi="Garamond" w:cs="Times New Roman"/>
          <w:sz w:val="24"/>
          <w:szCs w:val="24"/>
        </w:rPr>
        <w:t xml:space="preserve">atients who receive services at the participating clinic and have diabetes or hypertension.  The target health conditions are:  hypertension, diabetes, and obesity.  </w:t>
      </w:r>
      <w:r w:rsidRPr="005F067F">
        <w:rPr>
          <w:rFonts w:ascii="Garamond" w:hAnsi="Garamond"/>
          <w:sz w:val="24"/>
          <w:szCs w:val="24"/>
        </w:rPr>
        <w:t>The selection criteria, for inclusion are: African Americans or Latinos; overweight or obese (BMI &gt; 25) and Type 2 diabetes (Hb1A1c &gt; 7.5) or hypertension; 18 to 65 years of age; non pregnant; ability to perform self care; not travelling during the intervention period; and male or female.  The criteria for exclusion are: psychiatric diagnoses, alcohol or substance abuse, seizures, myocardial infarction or stroke within past 6 months, terminal illness, pregnancy, and cognitive impairment.  Patients will be randomly selected from a list of eligible patients from the clinic’s database based on having uncontrolled diabetes (Hb1A1c &gt; 7.5); and they will be offered participation in the health education classes.</w:t>
      </w:r>
      <w:r w:rsidRPr="00C36F6B">
        <w:rPr>
          <w:rFonts w:ascii="Garamond" w:hAnsi="Garamond"/>
          <w:sz w:val="24"/>
          <w:szCs w:val="24"/>
        </w:rPr>
        <w:t xml:space="preserve">  </w:t>
      </w:r>
    </w:p>
    <w:p w:rsidR="00FD110A" w:rsidRDefault="00FD110A" w:rsidP="00FD110A">
      <w:pPr>
        <w:spacing w:after="0" w:line="240" w:lineRule="auto"/>
        <w:rPr>
          <w:rFonts w:ascii="Garamond" w:hAnsi="Garamond" w:cs="Times New Roman"/>
          <w:sz w:val="24"/>
          <w:szCs w:val="24"/>
        </w:rPr>
      </w:pPr>
    </w:p>
    <w:p w:rsidR="00FD110A" w:rsidRPr="00A37CB0" w:rsidRDefault="00FD110A" w:rsidP="00FD110A">
      <w:pPr>
        <w:spacing w:after="0" w:line="240" w:lineRule="auto"/>
        <w:rPr>
          <w:rFonts w:ascii="Garamond" w:hAnsi="Garamond" w:cs="Times New Roman"/>
          <w:sz w:val="24"/>
          <w:szCs w:val="24"/>
        </w:rPr>
      </w:pPr>
      <w:r>
        <w:rPr>
          <w:rFonts w:ascii="Garamond" w:hAnsi="Garamond" w:cs="Times New Roman"/>
          <w:sz w:val="24"/>
          <w:szCs w:val="24"/>
        </w:rPr>
        <w:t>See Exhibit 2 for the preliminary numbers of patients expected to participate in Chicago.  Given the size of the intervention class, the number of patients per class will be limited to 15</w:t>
      </w:r>
      <w:r w:rsidRPr="00A37CB0">
        <w:rPr>
          <w:rFonts w:ascii="Garamond" w:hAnsi="Garamond" w:cs="Times New Roman"/>
          <w:sz w:val="24"/>
          <w:szCs w:val="24"/>
        </w:rPr>
        <w:t xml:space="preserve">; the total numbers for each racial/ethnic group will be minimal.  </w:t>
      </w:r>
    </w:p>
    <w:p w:rsidR="00FD110A" w:rsidRDefault="00FD110A" w:rsidP="00FD110A">
      <w:pPr>
        <w:spacing w:after="0" w:line="240" w:lineRule="auto"/>
        <w:rPr>
          <w:rFonts w:ascii="Garamond" w:hAnsi="Garamond"/>
          <w:b/>
          <w:sz w:val="24"/>
          <w:szCs w:val="24"/>
        </w:rPr>
      </w:pPr>
    </w:p>
    <w:p w:rsidR="00FD110A" w:rsidRDefault="00FD110A" w:rsidP="00FD110A">
      <w:pPr>
        <w:spacing w:after="0" w:line="240" w:lineRule="auto"/>
        <w:rPr>
          <w:rFonts w:ascii="Garamond" w:hAnsi="Garamond"/>
          <w:sz w:val="24"/>
          <w:szCs w:val="24"/>
        </w:rPr>
      </w:pPr>
    </w:p>
    <w:p w:rsidR="00FD110A" w:rsidRPr="005E205A" w:rsidRDefault="00FD110A" w:rsidP="00FD110A">
      <w:pPr>
        <w:spacing w:after="0" w:line="240" w:lineRule="auto"/>
        <w:rPr>
          <w:rFonts w:ascii="Garamond" w:hAnsi="Garamond"/>
          <w:sz w:val="24"/>
          <w:szCs w:val="24"/>
        </w:rPr>
      </w:pPr>
      <w:proofErr w:type="gramStart"/>
      <w:r>
        <w:rPr>
          <w:rFonts w:ascii="Garamond" w:hAnsi="Garamond"/>
          <w:b/>
          <w:sz w:val="24"/>
          <w:szCs w:val="24"/>
        </w:rPr>
        <w:t>Exhibit 2</w:t>
      </w:r>
      <w:r w:rsidRPr="005E205A">
        <w:rPr>
          <w:rFonts w:ascii="Garamond" w:hAnsi="Garamond"/>
          <w:b/>
          <w:sz w:val="24"/>
          <w:szCs w:val="24"/>
        </w:rPr>
        <w:t>.</w:t>
      </w:r>
      <w:proofErr w:type="gramEnd"/>
      <w:r w:rsidRPr="005E205A">
        <w:rPr>
          <w:rFonts w:ascii="Garamond" w:hAnsi="Garamond"/>
          <w:b/>
          <w:sz w:val="24"/>
          <w:szCs w:val="24"/>
        </w:rPr>
        <w:t xml:space="preserve">  Chicago Hub Preliminary Stats for Targeted Residents of Lawndale Christian Health Center (LCHC)</w:t>
      </w:r>
      <w:r w:rsidRPr="005E205A">
        <w:rPr>
          <w:rFonts w:ascii="Garamond" w:hAnsi="Garamond"/>
          <w:sz w:val="24"/>
          <w:szCs w:val="24"/>
        </w:rPr>
        <w:t xml:space="preserve"> </w:t>
      </w:r>
      <w:r w:rsidRPr="005E205A">
        <w:rPr>
          <w:rFonts w:ascii="Garamond" w:hAnsi="Garamond"/>
          <w:b/>
          <w:sz w:val="24"/>
          <w:szCs w:val="24"/>
        </w:rPr>
        <w:t>Facilities</w:t>
      </w:r>
    </w:p>
    <w:p w:rsidR="00FD110A" w:rsidRDefault="00FD110A" w:rsidP="00FD110A">
      <w:pPr>
        <w:spacing w:after="0" w:line="240" w:lineRule="auto"/>
        <w:jc w:val="center"/>
        <w:rPr>
          <w:rFonts w:ascii="Garamond" w:hAnsi="Garamond"/>
          <w:sz w:val="24"/>
          <w:szCs w:val="24"/>
        </w:rPr>
      </w:pPr>
    </w:p>
    <w:p w:rsidR="00FD110A" w:rsidRPr="005E205A" w:rsidRDefault="00FD110A" w:rsidP="00FD110A">
      <w:pPr>
        <w:spacing w:after="0" w:line="240" w:lineRule="auto"/>
        <w:jc w:val="center"/>
        <w:rPr>
          <w:rFonts w:ascii="Garamond" w:hAnsi="Garamond"/>
          <w:sz w:val="24"/>
          <w:szCs w:val="24"/>
        </w:rPr>
      </w:pPr>
    </w:p>
    <w:tbl>
      <w:tblPr>
        <w:tblW w:w="3440" w:type="pct"/>
        <w:tblBorders>
          <w:top w:val="single" w:sz="8" w:space="0" w:color="4F81BD"/>
          <w:left w:val="single" w:sz="8" w:space="0" w:color="4F81BD"/>
          <w:bottom w:val="single" w:sz="8" w:space="0" w:color="4F81BD"/>
          <w:right w:val="single" w:sz="8" w:space="0" w:color="4F81BD"/>
        </w:tblBorders>
        <w:tblLook w:val="04A0"/>
      </w:tblPr>
      <w:tblGrid>
        <w:gridCol w:w="1874"/>
        <w:gridCol w:w="1609"/>
        <w:gridCol w:w="1119"/>
        <w:gridCol w:w="1986"/>
      </w:tblGrid>
      <w:tr w:rsidR="00FD110A" w:rsidRPr="005E205A" w:rsidTr="00CD210B">
        <w:tc>
          <w:tcPr>
            <w:tcW w:w="1422" w:type="pct"/>
            <w:tcBorders>
              <w:top w:val="nil"/>
              <w:left w:val="nil"/>
              <w:bottom w:val="single" w:sz="24" w:space="0" w:color="4F81BD"/>
              <w:right w:val="nil"/>
            </w:tcBorders>
            <w:shd w:val="clear" w:color="auto" w:fill="FFFFFF"/>
            <w:noWrap/>
          </w:tcPr>
          <w:p w:rsidR="00FD110A" w:rsidRPr="005E205A" w:rsidRDefault="00FD110A" w:rsidP="00CD210B">
            <w:pPr>
              <w:spacing w:after="0" w:line="240" w:lineRule="auto"/>
              <w:rPr>
                <w:rFonts w:ascii="Garamond" w:eastAsia="Times New Roman" w:hAnsi="Garamond"/>
                <w:b/>
                <w:sz w:val="24"/>
                <w:szCs w:val="24"/>
                <w:lang w:bidi="en-US"/>
              </w:rPr>
            </w:pPr>
            <w:r w:rsidRPr="005E205A">
              <w:rPr>
                <w:rFonts w:ascii="Garamond" w:eastAsia="Times New Roman" w:hAnsi="Garamond"/>
                <w:b/>
                <w:sz w:val="24"/>
                <w:szCs w:val="24"/>
                <w:lang w:bidi="en-US"/>
              </w:rPr>
              <w:t>LCHC</w:t>
            </w:r>
          </w:p>
        </w:tc>
        <w:tc>
          <w:tcPr>
            <w:tcW w:w="1221" w:type="pct"/>
            <w:tcBorders>
              <w:top w:val="nil"/>
              <w:left w:val="nil"/>
              <w:bottom w:val="single" w:sz="24" w:space="0" w:color="4F81BD"/>
              <w:right w:val="nil"/>
            </w:tcBorders>
            <w:shd w:val="clear" w:color="auto" w:fill="FFFFFF"/>
          </w:tcPr>
          <w:p w:rsidR="00FD110A" w:rsidRPr="005E205A" w:rsidRDefault="00FD110A" w:rsidP="00CD210B">
            <w:pPr>
              <w:spacing w:after="0" w:line="240" w:lineRule="auto"/>
              <w:jc w:val="center"/>
              <w:rPr>
                <w:rFonts w:ascii="Garamond" w:eastAsia="Times New Roman" w:hAnsi="Garamond"/>
                <w:b/>
                <w:sz w:val="24"/>
                <w:szCs w:val="24"/>
                <w:lang w:bidi="en-US"/>
              </w:rPr>
            </w:pPr>
            <w:r w:rsidRPr="005E205A">
              <w:rPr>
                <w:rFonts w:ascii="Garamond" w:eastAsia="Times New Roman" w:hAnsi="Garamond"/>
                <w:b/>
                <w:sz w:val="24"/>
                <w:szCs w:val="24"/>
                <w:lang w:bidi="en-US"/>
              </w:rPr>
              <w:t>Hypertension</w:t>
            </w:r>
          </w:p>
        </w:tc>
        <w:tc>
          <w:tcPr>
            <w:tcW w:w="849" w:type="pct"/>
            <w:tcBorders>
              <w:top w:val="nil"/>
              <w:left w:val="nil"/>
              <w:bottom w:val="single" w:sz="24" w:space="0" w:color="4F81BD"/>
              <w:right w:val="nil"/>
            </w:tcBorders>
            <w:shd w:val="clear" w:color="auto" w:fill="FFFFFF"/>
          </w:tcPr>
          <w:p w:rsidR="00FD110A" w:rsidRPr="005E205A" w:rsidRDefault="00FD110A" w:rsidP="00CD210B">
            <w:pPr>
              <w:spacing w:after="0" w:line="240" w:lineRule="auto"/>
              <w:jc w:val="center"/>
              <w:rPr>
                <w:rFonts w:ascii="Garamond" w:eastAsia="Times New Roman" w:hAnsi="Garamond"/>
                <w:b/>
                <w:sz w:val="24"/>
                <w:szCs w:val="24"/>
                <w:lang w:bidi="en-US"/>
              </w:rPr>
            </w:pPr>
            <w:r w:rsidRPr="005E205A">
              <w:rPr>
                <w:rFonts w:ascii="Garamond" w:eastAsia="Times New Roman" w:hAnsi="Garamond"/>
                <w:b/>
                <w:sz w:val="24"/>
                <w:szCs w:val="24"/>
                <w:lang w:bidi="en-US"/>
              </w:rPr>
              <w:t>Diabetes</w:t>
            </w:r>
          </w:p>
        </w:tc>
        <w:tc>
          <w:tcPr>
            <w:tcW w:w="1507" w:type="pct"/>
            <w:tcBorders>
              <w:top w:val="nil"/>
              <w:left w:val="nil"/>
              <w:bottom w:val="single" w:sz="24" w:space="0" w:color="4F81BD"/>
              <w:right w:val="nil"/>
            </w:tcBorders>
            <w:shd w:val="clear" w:color="auto" w:fill="FFFFFF"/>
          </w:tcPr>
          <w:p w:rsidR="00FD110A" w:rsidRPr="005E205A" w:rsidRDefault="00FD110A" w:rsidP="00CD210B">
            <w:pPr>
              <w:spacing w:after="0" w:line="240" w:lineRule="auto"/>
              <w:rPr>
                <w:rFonts w:ascii="Garamond" w:eastAsia="Times New Roman" w:hAnsi="Garamond"/>
                <w:b/>
                <w:sz w:val="24"/>
                <w:szCs w:val="24"/>
                <w:lang w:bidi="en-US"/>
              </w:rPr>
            </w:pPr>
            <w:r>
              <w:rPr>
                <w:rFonts w:ascii="Garamond" w:eastAsia="Times New Roman" w:hAnsi="Garamond"/>
                <w:b/>
                <w:sz w:val="24"/>
                <w:szCs w:val="24"/>
                <w:lang w:bidi="en-US"/>
              </w:rPr>
              <w:t>Obesity   Total</w:t>
            </w:r>
          </w:p>
        </w:tc>
      </w:tr>
      <w:tr w:rsidR="00FD110A" w:rsidRPr="002F2CA6" w:rsidTr="00CD210B">
        <w:tc>
          <w:tcPr>
            <w:tcW w:w="1422" w:type="pct"/>
            <w:tcBorders>
              <w:top w:val="nil"/>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African American</w:t>
            </w:r>
          </w:p>
        </w:tc>
        <w:tc>
          <w:tcPr>
            <w:tcW w:w="1221"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8</w:t>
            </w:r>
          </w:p>
        </w:tc>
        <w:tc>
          <w:tcPr>
            <w:tcW w:w="849"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10</w:t>
            </w:r>
          </w:p>
        </w:tc>
        <w:tc>
          <w:tcPr>
            <w:tcW w:w="1507" w:type="pct"/>
            <w:tcBorders>
              <w:top w:val="nil"/>
              <w:left w:val="nil"/>
              <w:bottom w:val="nil"/>
            </w:tcBorders>
            <w:shd w:val="clear" w:color="auto" w:fill="D3DFEE"/>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7           </w:t>
            </w:r>
            <w:r w:rsidRPr="00CC1260">
              <w:rPr>
                <w:rFonts w:ascii="Garamond" w:eastAsia="Times New Roman" w:hAnsi="Garamond"/>
                <w:b/>
                <w:sz w:val="24"/>
                <w:szCs w:val="24"/>
                <w:lang w:bidi="en-US"/>
              </w:rPr>
              <w:t>25</w:t>
            </w:r>
          </w:p>
        </w:tc>
      </w:tr>
      <w:tr w:rsidR="00FD110A" w:rsidRPr="002F2CA6" w:rsidTr="00CD210B">
        <w:tc>
          <w:tcPr>
            <w:tcW w:w="1422" w:type="pct"/>
            <w:tcBorders>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Hispanic</w:t>
            </w:r>
          </w:p>
        </w:tc>
        <w:tc>
          <w:tcPr>
            <w:tcW w:w="1221" w:type="pct"/>
            <w:tcBorders>
              <w:bottom w:val="nil"/>
            </w:tcBorders>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8</w:t>
            </w:r>
          </w:p>
        </w:tc>
        <w:tc>
          <w:tcPr>
            <w:tcW w:w="849" w:type="pct"/>
            <w:tcBorders>
              <w:bottom w:val="nil"/>
            </w:tcBorders>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10</w:t>
            </w:r>
          </w:p>
        </w:tc>
        <w:tc>
          <w:tcPr>
            <w:tcW w:w="1507" w:type="pct"/>
            <w:tcBorders>
              <w:bottom w:val="nil"/>
            </w:tcBorders>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7           </w:t>
            </w:r>
            <w:r w:rsidRPr="00CC1260">
              <w:rPr>
                <w:rFonts w:ascii="Garamond" w:eastAsia="Times New Roman" w:hAnsi="Garamond"/>
                <w:b/>
                <w:sz w:val="24"/>
                <w:szCs w:val="24"/>
                <w:lang w:bidi="en-US"/>
              </w:rPr>
              <w:t>25</w:t>
            </w:r>
          </w:p>
        </w:tc>
      </w:tr>
      <w:tr w:rsidR="00FD110A" w:rsidRPr="002F2CA6" w:rsidTr="00CD210B">
        <w:tc>
          <w:tcPr>
            <w:tcW w:w="1422" w:type="pct"/>
            <w:tcBorders>
              <w:top w:val="nil"/>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Total</w:t>
            </w:r>
          </w:p>
        </w:tc>
        <w:tc>
          <w:tcPr>
            <w:tcW w:w="1221" w:type="pct"/>
            <w:tcBorders>
              <w:top w:val="nil"/>
              <w:left w:val="nil"/>
              <w:bottom w:val="single" w:sz="4" w:space="0" w:color="auto"/>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16</w:t>
            </w:r>
          </w:p>
        </w:tc>
        <w:tc>
          <w:tcPr>
            <w:tcW w:w="849" w:type="pct"/>
            <w:tcBorders>
              <w:top w:val="nil"/>
              <w:left w:val="nil"/>
              <w:bottom w:val="single" w:sz="4" w:space="0" w:color="auto"/>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20</w:t>
            </w:r>
          </w:p>
        </w:tc>
        <w:tc>
          <w:tcPr>
            <w:tcW w:w="1507" w:type="pct"/>
            <w:tcBorders>
              <w:top w:val="nil"/>
              <w:left w:val="nil"/>
              <w:bottom w:val="single" w:sz="4" w:space="0" w:color="auto"/>
            </w:tcBorders>
            <w:shd w:val="clear" w:color="auto" w:fill="D3DFEE"/>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14           </w:t>
            </w:r>
            <w:r w:rsidRPr="00CC1260">
              <w:rPr>
                <w:rFonts w:ascii="Garamond" w:eastAsia="Times New Roman" w:hAnsi="Garamond"/>
                <w:b/>
                <w:sz w:val="24"/>
                <w:szCs w:val="24"/>
                <w:lang w:bidi="en-US"/>
              </w:rPr>
              <w:t>50</w:t>
            </w:r>
          </w:p>
        </w:tc>
      </w:tr>
    </w:tbl>
    <w:p w:rsidR="00FD110A" w:rsidRDefault="00FD110A" w:rsidP="00FD110A">
      <w:pPr>
        <w:spacing w:after="0" w:line="240" w:lineRule="auto"/>
        <w:rPr>
          <w:rFonts w:ascii="Garamond" w:hAnsi="Garamond"/>
          <w:b/>
          <w:sz w:val="24"/>
          <w:szCs w:val="24"/>
        </w:rPr>
      </w:pPr>
    </w:p>
    <w:p w:rsidR="00FD110A" w:rsidRDefault="00FD110A" w:rsidP="00FD110A">
      <w:pPr>
        <w:spacing w:after="0" w:line="240" w:lineRule="auto"/>
        <w:rPr>
          <w:rFonts w:ascii="Garamond" w:hAnsi="Garamond"/>
          <w:b/>
          <w:sz w:val="24"/>
          <w:szCs w:val="24"/>
        </w:rPr>
      </w:pPr>
    </w:p>
    <w:p w:rsidR="00FD110A"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r>
        <w:rPr>
          <w:rFonts w:ascii="Garamond" w:hAnsi="Garamond"/>
          <w:sz w:val="24"/>
          <w:szCs w:val="24"/>
        </w:rPr>
        <w:t>For Houston, t</w:t>
      </w:r>
      <w:r w:rsidRPr="001A05BD">
        <w:rPr>
          <w:rFonts w:ascii="Garamond" w:hAnsi="Garamond"/>
          <w:sz w:val="24"/>
          <w:szCs w:val="24"/>
        </w:rPr>
        <w:t xml:space="preserve">he racial/ethnic target populations of the </w:t>
      </w:r>
      <w:r>
        <w:rPr>
          <w:rFonts w:ascii="Garamond" w:hAnsi="Garamond" w:cs="Times New Roman"/>
          <w:sz w:val="24"/>
          <w:szCs w:val="24"/>
        </w:rPr>
        <w:t>four senior residential facilities</w:t>
      </w:r>
      <w:r>
        <w:rPr>
          <w:rFonts w:ascii="Garamond" w:hAnsi="Garamond"/>
          <w:sz w:val="24"/>
          <w:szCs w:val="24"/>
        </w:rPr>
        <w:t xml:space="preserve"> where patients will be recruited </w:t>
      </w:r>
      <w:r w:rsidRPr="001A05BD">
        <w:rPr>
          <w:rFonts w:ascii="Garamond" w:hAnsi="Garamond"/>
          <w:sz w:val="24"/>
          <w:szCs w:val="24"/>
        </w:rPr>
        <w:t xml:space="preserve">are as follows:  African Americans </w:t>
      </w:r>
      <w:r>
        <w:rPr>
          <w:rFonts w:ascii="Garamond" w:hAnsi="Garamond"/>
          <w:sz w:val="24"/>
          <w:szCs w:val="24"/>
        </w:rPr>
        <w:t>(</w:t>
      </w:r>
      <w:r w:rsidRPr="001A05BD">
        <w:rPr>
          <w:rFonts w:ascii="Garamond" w:hAnsi="Garamond"/>
          <w:sz w:val="24"/>
          <w:szCs w:val="24"/>
        </w:rPr>
        <w:t>n=351</w:t>
      </w:r>
      <w:r>
        <w:rPr>
          <w:rFonts w:ascii="Garamond" w:hAnsi="Garamond"/>
          <w:sz w:val="24"/>
          <w:szCs w:val="24"/>
        </w:rPr>
        <w:t>)</w:t>
      </w:r>
      <w:r w:rsidRPr="001A05BD">
        <w:rPr>
          <w:rFonts w:ascii="Garamond" w:hAnsi="Garamond"/>
          <w:sz w:val="24"/>
          <w:szCs w:val="24"/>
        </w:rPr>
        <w:t xml:space="preserve">, Asian Americans </w:t>
      </w:r>
      <w:r>
        <w:rPr>
          <w:rFonts w:ascii="Garamond" w:hAnsi="Garamond"/>
          <w:sz w:val="24"/>
          <w:szCs w:val="24"/>
        </w:rPr>
        <w:t>(</w:t>
      </w:r>
      <w:r w:rsidRPr="001A05BD">
        <w:rPr>
          <w:rFonts w:ascii="Garamond" w:hAnsi="Garamond"/>
          <w:sz w:val="24"/>
          <w:szCs w:val="24"/>
        </w:rPr>
        <w:t>n=173</w:t>
      </w:r>
      <w:r>
        <w:rPr>
          <w:rFonts w:ascii="Garamond" w:hAnsi="Garamond"/>
          <w:sz w:val="24"/>
          <w:szCs w:val="24"/>
        </w:rPr>
        <w:t>)</w:t>
      </w:r>
      <w:r w:rsidRPr="001A05BD">
        <w:rPr>
          <w:rFonts w:ascii="Garamond" w:hAnsi="Garamond"/>
          <w:sz w:val="24"/>
          <w:szCs w:val="24"/>
        </w:rPr>
        <w:t xml:space="preserve">, Hispanics/Latinos </w:t>
      </w:r>
      <w:r>
        <w:rPr>
          <w:rFonts w:ascii="Garamond" w:hAnsi="Garamond"/>
          <w:sz w:val="24"/>
          <w:szCs w:val="24"/>
        </w:rPr>
        <w:t>(</w:t>
      </w:r>
      <w:r w:rsidRPr="001A05BD">
        <w:rPr>
          <w:rFonts w:ascii="Garamond" w:hAnsi="Garamond"/>
          <w:sz w:val="24"/>
          <w:szCs w:val="24"/>
        </w:rPr>
        <w:t>n=149</w:t>
      </w:r>
      <w:r>
        <w:rPr>
          <w:rFonts w:ascii="Garamond" w:hAnsi="Garamond"/>
          <w:sz w:val="24"/>
          <w:szCs w:val="24"/>
        </w:rPr>
        <w:t>)</w:t>
      </w:r>
      <w:r w:rsidRPr="001A05BD">
        <w:rPr>
          <w:rFonts w:ascii="Garamond" w:hAnsi="Garamond"/>
          <w:sz w:val="24"/>
          <w:szCs w:val="24"/>
        </w:rPr>
        <w:t xml:space="preserve">.  The health conditions included are diabetes and hypertension; and the focus is on patients who are 55 years and older and take at least 1 medication.  The selection criteria, for inclusion are as follows:  </w:t>
      </w:r>
      <w:r w:rsidRPr="00076675">
        <w:rPr>
          <w:rFonts w:ascii="Garamond" w:hAnsi="Garamond"/>
          <w:sz w:val="24"/>
          <w:szCs w:val="24"/>
        </w:rPr>
        <w:t>Diabetes:  Age 55 years &amp; older, member of target ethnic groups, resident of 1 of the participating facility, taking at least 1 medication for diabetes at time of recruitment, access to a telephone at home; and Hypertension</w:t>
      </w:r>
      <w:r w:rsidRPr="001A05BD">
        <w:rPr>
          <w:rFonts w:ascii="Garamond" w:hAnsi="Garamond"/>
          <w:sz w:val="24"/>
          <w:szCs w:val="24"/>
        </w:rPr>
        <w:t xml:space="preserve">:  Age 55 years &amp; older, member of target ethnic groups, resident of 1 of the participating facility, taking at least 1 medication for </w:t>
      </w:r>
      <w:r w:rsidRPr="001A05BD">
        <w:rPr>
          <w:rFonts w:ascii="Garamond" w:hAnsi="Garamond"/>
          <w:sz w:val="24"/>
          <w:szCs w:val="24"/>
        </w:rPr>
        <w:lastRenderedPageBreak/>
        <w:t>hypertension at time of recruitment, access to a telephone at home.</w:t>
      </w:r>
      <w:r w:rsidRPr="001A05BD">
        <w:rPr>
          <w:rFonts w:ascii="Garamond" w:hAnsi="Garamond"/>
          <w:sz w:val="24"/>
          <w:szCs w:val="24"/>
        </w:rPr>
        <w:br/>
      </w:r>
    </w:p>
    <w:p w:rsidR="00FD110A" w:rsidRPr="00F346F8" w:rsidRDefault="00FD110A" w:rsidP="00FD110A">
      <w:pPr>
        <w:spacing w:after="0" w:line="240" w:lineRule="auto"/>
        <w:rPr>
          <w:rFonts w:ascii="Garamond" w:hAnsi="Garamond" w:cs="Times New Roman"/>
          <w:sz w:val="24"/>
          <w:szCs w:val="24"/>
        </w:rPr>
      </w:pPr>
      <w:r>
        <w:rPr>
          <w:rFonts w:ascii="Garamond" w:hAnsi="Garamond" w:cs="Times New Roman"/>
          <w:sz w:val="24"/>
          <w:szCs w:val="24"/>
        </w:rPr>
        <w:t xml:space="preserve">The target populations for the four facilities are presented in Exhibit 3.  Sample numbers of patients who may participate from two of the four sites are provided in Exhibit 4.  </w:t>
      </w:r>
      <w:r w:rsidRPr="001A7E1B">
        <w:rPr>
          <w:rFonts w:ascii="Garamond" w:hAnsi="Garamond" w:cs="Times New Roman"/>
          <w:sz w:val="24"/>
          <w:szCs w:val="24"/>
        </w:rPr>
        <w:t xml:space="preserve">Given the </w:t>
      </w:r>
      <w:r>
        <w:rPr>
          <w:rFonts w:ascii="Garamond" w:hAnsi="Garamond" w:cs="Times New Roman"/>
          <w:sz w:val="24"/>
          <w:szCs w:val="24"/>
        </w:rPr>
        <w:t xml:space="preserve">relatively small </w:t>
      </w:r>
      <w:r w:rsidRPr="001A7E1B">
        <w:rPr>
          <w:rFonts w:ascii="Garamond" w:hAnsi="Garamond" w:cs="Times New Roman"/>
          <w:sz w:val="24"/>
          <w:szCs w:val="24"/>
        </w:rPr>
        <w:t>number of residents in the four facilities who may meet the stud</w:t>
      </w:r>
      <w:r>
        <w:rPr>
          <w:rFonts w:ascii="Garamond" w:hAnsi="Garamond" w:cs="Times New Roman"/>
          <w:sz w:val="24"/>
          <w:szCs w:val="24"/>
        </w:rPr>
        <w:t>y criteria for racial/ethnic</w:t>
      </w:r>
      <w:r w:rsidRPr="001A7E1B">
        <w:rPr>
          <w:rFonts w:ascii="Garamond" w:hAnsi="Garamond" w:cs="Times New Roman"/>
          <w:sz w:val="24"/>
          <w:szCs w:val="24"/>
        </w:rPr>
        <w:t xml:space="preserve"> group and health condition, </w:t>
      </w:r>
      <w:r>
        <w:rPr>
          <w:rFonts w:ascii="Garamond" w:hAnsi="Garamond" w:cs="Times New Roman"/>
          <w:sz w:val="24"/>
          <w:szCs w:val="24"/>
        </w:rPr>
        <w:t>the Houston staff may not sample the residents, but include the entire population of eligible residents</w:t>
      </w:r>
      <w:r w:rsidRPr="001A7E1B">
        <w:rPr>
          <w:rFonts w:ascii="Garamond" w:hAnsi="Garamond" w:cs="Times New Roman"/>
          <w:sz w:val="24"/>
          <w:szCs w:val="24"/>
        </w:rPr>
        <w:t xml:space="preserve">.  </w:t>
      </w:r>
      <w:r>
        <w:rPr>
          <w:rFonts w:ascii="Garamond" w:hAnsi="Garamond" w:cs="Times New Roman"/>
          <w:sz w:val="24"/>
          <w:szCs w:val="24"/>
        </w:rPr>
        <w:t>Program capacity for this intervention is 200 patients, approximately 50 per residential facility.</w:t>
      </w:r>
      <w:r w:rsidRPr="001A7E1B">
        <w:rPr>
          <w:rFonts w:ascii="Garamond" w:hAnsi="Garamond" w:cs="Times New Roman"/>
          <w:sz w:val="24"/>
          <w:szCs w:val="24"/>
        </w:rPr>
        <w:t xml:space="preserve"> </w:t>
      </w:r>
    </w:p>
    <w:p w:rsidR="00FD110A"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p>
    <w:p w:rsidR="00FD110A" w:rsidRPr="00E1278C" w:rsidRDefault="00FD110A" w:rsidP="00FD110A">
      <w:pPr>
        <w:jc w:val="center"/>
        <w:rPr>
          <w:rFonts w:ascii="Garamond" w:hAnsi="Garamond" w:cs="Times New Roman"/>
          <w:b/>
          <w:sz w:val="24"/>
          <w:szCs w:val="24"/>
        </w:rPr>
      </w:pPr>
      <w:proofErr w:type="gramStart"/>
      <w:r>
        <w:rPr>
          <w:rFonts w:ascii="Garamond" w:hAnsi="Garamond" w:cs="Times New Roman"/>
          <w:b/>
          <w:sz w:val="24"/>
          <w:szCs w:val="24"/>
        </w:rPr>
        <w:t>Exhibit 3.</w:t>
      </w:r>
      <w:proofErr w:type="gramEnd"/>
      <w:r>
        <w:rPr>
          <w:rFonts w:ascii="Garamond" w:hAnsi="Garamond" w:cs="Times New Roman"/>
          <w:b/>
          <w:sz w:val="24"/>
          <w:szCs w:val="24"/>
        </w:rPr>
        <w:t xml:space="preserve">  </w:t>
      </w:r>
      <w:r w:rsidRPr="00E1278C">
        <w:rPr>
          <w:rFonts w:ascii="Garamond" w:hAnsi="Garamond" w:cs="Times New Roman"/>
          <w:b/>
          <w:sz w:val="24"/>
          <w:szCs w:val="24"/>
        </w:rPr>
        <w:t>Target Demographic Population H</w:t>
      </w:r>
      <w:r>
        <w:rPr>
          <w:rFonts w:ascii="Garamond" w:hAnsi="Garamond" w:cs="Times New Roman"/>
          <w:b/>
          <w:sz w:val="24"/>
          <w:szCs w:val="24"/>
        </w:rPr>
        <w:t>ouston Housing Authority (H</w:t>
      </w:r>
      <w:r w:rsidRPr="00E1278C">
        <w:rPr>
          <w:rFonts w:ascii="Garamond" w:hAnsi="Garamond" w:cs="Times New Roman"/>
          <w:b/>
          <w:sz w:val="24"/>
          <w:szCs w:val="24"/>
        </w:rPr>
        <w:t>HA</w:t>
      </w:r>
      <w:r>
        <w:rPr>
          <w:rFonts w:ascii="Garamond" w:hAnsi="Garamond" w:cs="Times New Roman"/>
          <w:b/>
          <w:sz w:val="24"/>
          <w:szCs w:val="24"/>
        </w:rPr>
        <w:t>)</w:t>
      </w:r>
      <w:r w:rsidRPr="00E1278C">
        <w:rPr>
          <w:rFonts w:ascii="Garamond" w:hAnsi="Garamond" w:cs="Times New Roman"/>
          <w:b/>
          <w:sz w:val="24"/>
          <w:szCs w:val="24"/>
        </w:rPr>
        <w:t xml:space="preserve"> Sites</w:t>
      </w:r>
    </w:p>
    <w:tbl>
      <w:tblPr>
        <w:tblStyle w:val="TableGrid"/>
        <w:tblW w:w="0" w:type="auto"/>
        <w:tblInd w:w="468" w:type="dxa"/>
        <w:tblLook w:val="04A0"/>
      </w:tblPr>
      <w:tblGrid>
        <w:gridCol w:w="2285"/>
        <w:gridCol w:w="1487"/>
        <w:gridCol w:w="1279"/>
        <w:gridCol w:w="1289"/>
        <w:gridCol w:w="1657"/>
        <w:gridCol w:w="1111"/>
      </w:tblGrid>
      <w:tr w:rsidR="00FD110A" w:rsidRPr="00E1278C" w:rsidTr="00CD210B">
        <w:tc>
          <w:tcPr>
            <w:tcW w:w="2340" w:type="dxa"/>
          </w:tcPr>
          <w:p w:rsidR="00FD110A" w:rsidRPr="00E1278C" w:rsidRDefault="00FD110A" w:rsidP="00CD210B">
            <w:pPr>
              <w:jc w:val="right"/>
              <w:rPr>
                <w:rFonts w:ascii="Garamond" w:hAnsi="Garamond"/>
                <w:b/>
                <w:sz w:val="24"/>
                <w:szCs w:val="24"/>
              </w:rPr>
            </w:pPr>
            <w:r w:rsidRPr="00E1278C">
              <w:rPr>
                <w:rFonts w:ascii="Garamond" w:hAnsi="Garamond"/>
                <w:b/>
                <w:sz w:val="24"/>
                <w:szCs w:val="24"/>
              </w:rPr>
              <w:t>Target Population</w:t>
            </w:r>
          </w:p>
        </w:tc>
        <w:tc>
          <w:tcPr>
            <w:tcW w:w="153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Telephone</w:t>
            </w:r>
          </w:p>
        </w:tc>
        <w:tc>
          <w:tcPr>
            <w:tcW w:w="1350" w:type="dxa"/>
          </w:tcPr>
          <w:p w:rsidR="00FD110A" w:rsidRPr="00E1278C" w:rsidRDefault="00FD110A" w:rsidP="00CD210B">
            <w:pPr>
              <w:jc w:val="center"/>
              <w:rPr>
                <w:rFonts w:ascii="Garamond" w:hAnsi="Garamond"/>
                <w:b/>
                <w:sz w:val="24"/>
                <w:szCs w:val="24"/>
              </w:rPr>
            </w:pPr>
            <w:proofErr w:type="spellStart"/>
            <w:r w:rsidRPr="00E1278C">
              <w:rPr>
                <w:rFonts w:ascii="Garamond" w:hAnsi="Garamond"/>
                <w:b/>
                <w:sz w:val="24"/>
                <w:szCs w:val="24"/>
              </w:rPr>
              <w:t>Lyerly</w:t>
            </w:r>
            <w:proofErr w:type="spellEnd"/>
          </w:p>
        </w:tc>
        <w:tc>
          <w:tcPr>
            <w:tcW w:w="1333" w:type="dxa"/>
          </w:tcPr>
          <w:p w:rsidR="00FD110A" w:rsidRPr="00E1278C" w:rsidRDefault="00FD110A" w:rsidP="00CD210B">
            <w:pPr>
              <w:jc w:val="center"/>
              <w:rPr>
                <w:rFonts w:ascii="Garamond" w:hAnsi="Garamond"/>
                <w:b/>
                <w:sz w:val="24"/>
                <w:szCs w:val="24"/>
              </w:rPr>
            </w:pPr>
            <w:proofErr w:type="spellStart"/>
            <w:r w:rsidRPr="00E1278C">
              <w:rPr>
                <w:rFonts w:ascii="Garamond" w:hAnsi="Garamond"/>
                <w:b/>
                <w:sz w:val="24"/>
                <w:szCs w:val="24"/>
              </w:rPr>
              <w:t>Bellerive</w:t>
            </w:r>
            <w:proofErr w:type="spellEnd"/>
          </w:p>
        </w:tc>
        <w:tc>
          <w:tcPr>
            <w:tcW w:w="180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Historic Oaks of APV</w:t>
            </w:r>
          </w:p>
        </w:tc>
        <w:tc>
          <w:tcPr>
            <w:tcW w:w="117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Totals</w:t>
            </w:r>
          </w:p>
        </w:tc>
      </w:tr>
      <w:tr w:rsidR="00FD110A" w:rsidRPr="00E1278C" w:rsidTr="00CD210B">
        <w:tc>
          <w:tcPr>
            <w:tcW w:w="2340" w:type="dxa"/>
          </w:tcPr>
          <w:p w:rsidR="00FD110A" w:rsidRPr="00E1278C" w:rsidRDefault="00FD110A" w:rsidP="00CD210B">
            <w:pPr>
              <w:jc w:val="right"/>
              <w:rPr>
                <w:rFonts w:ascii="Garamond" w:hAnsi="Garamond"/>
                <w:b/>
                <w:sz w:val="24"/>
                <w:szCs w:val="24"/>
              </w:rPr>
            </w:pPr>
            <w:r w:rsidRPr="00E1278C">
              <w:rPr>
                <w:rFonts w:ascii="Garamond" w:hAnsi="Garamond"/>
                <w:b/>
                <w:sz w:val="24"/>
                <w:szCs w:val="24"/>
              </w:rPr>
              <w:t>African-Americans</w:t>
            </w:r>
          </w:p>
        </w:tc>
        <w:tc>
          <w:tcPr>
            <w:tcW w:w="153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73.5%</w:t>
            </w:r>
          </w:p>
          <w:p w:rsidR="00FD110A" w:rsidRPr="00E1278C" w:rsidRDefault="00FD110A" w:rsidP="00CD210B">
            <w:pPr>
              <w:jc w:val="center"/>
              <w:rPr>
                <w:rFonts w:ascii="Garamond" w:hAnsi="Garamond"/>
                <w:b/>
                <w:sz w:val="24"/>
                <w:szCs w:val="24"/>
              </w:rPr>
            </w:pPr>
            <w:r w:rsidRPr="00E1278C">
              <w:rPr>
                <w:rFonts w:ascii="Garamond" w:hAnsi="Garamond"/>
                <w:b/>
                <w:sz w:val="24"/>
                <w:szCs w:val="24"/>
              </w:rPr>
              <w:t>(n=136)</w:t>
            </w:r>
          </w:p>
        </w:tc>
        <w:tc>
          <w:tcPr>
            <w:tcW w:w="135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65.5%</w:t>
            </w:r>
          </w:p>
          <w:p w:rsidR="00FD110A" w:rsidRPr="00E1278C" w:rsidRDefault="00FD110A" w:rsidP="00CD210B">
            <w:pPr>
              <w:jc w:val="center"/>
              <w:rPr>
                <w:rFonts w:ascii="Garamond" w:hAnsi="Garamond"/>
                <w:b/>
                <w:sz w:val="24"/>
                <w:szCs w:val="24"/>
              </w:rPr>
            </w:pPr>
            <w:r w:rsidRPr="00E1278C">
              <w:rPr>
                <w:rFonts w:ascii="Garamond" w:hAnsi="Garamond"/>
                <w:b/>
                <w:sz w:val="24"/>
                <w:szCs w:val="24"/>
              </w:rPr>
              <w:t>(n=114)</w:t>
            </w:r>
          </w:p>
        </w:tc>
        <w:tc>
          <w:tcPr>
            <w:tcW w:w="1333"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25.5%</w:t>
            </w:r>
          </w:p>
          <w:p w:rsidR="00FD110A" w:rsidRPr="00E1278C" w:rsidRDefault="00FD110A" w:rsidP="00CD210B">
            <w:pPr>
              <w:jc w:val="center"/>
              <w:rPr>
                <w:rFonts w:ascii="Garamond" w:hAnsi="Garamond"/>
                <w:b/>
                <w:sz w:val="24"/>
                <w:szCs w:val="24"/>
              </w:rPr>
            </w:pPr>
            <w:r w:rsidRPr="00E1278C">
              <w:rPr>
                <w:rFonts w:ascii="Garamond" w:hAnsi="Garamond"/>
                <w:b/>
                <w:sz w:val="24"/>
                <w:szCs w:val="24"/>
              </w:rPr>
              <w:t>(n=39)</w:t>
            </w:r>
          </w:p>
        </w:tc>
        <w:tc>
          <w:tcPr>
            <w:tcW w:w="180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38.5%</w:t>
            </w:r>
          </w:p>
          <w:p w:rsidR="00FD110A" w:rsidRPr="00E1278C" w:rsidRDefault="00FD110A" w:rsidP="00CD210B">
            <w:pPr>
              <w:jc w:val="center"/>
              <w:rPr>
                <w:rFonts w:ascii="Garamond" w:hAnsi="Garamond"/>
                <w:b/>
                <w:sz w:val="24"/>
                <w:szCs w:val="24"/>
              </w:rPr>
            </w:pPr>
            <w:r w:rsidRPr="00E1278C">
              <w:rPr>
                <w:rFonts w:ascii="Garamond" w:hAnsi="Garamond"/>
                <w:b/>
                <w:sz w:val="24"/>
                <w:szCs w:val="24"/>
              </w:rPr>
              <w:t>(n=62)</w:t>
            </w:r>
          </w:p>
        </w:tc>
        <w:tc>
          <w:tcPr>
            <w:tcW w:w="1170" w:type="dxa"/>
          </w:tcPr>
          <w:p w:rsidR="00FD110A" w:rsidRPr="00E1278C" w:rsidRDefault="00FD110A" w:rsidP="00CD210B">
            <w:pPr>
              <w:jc w:val="center"/>
              <w:rPr>
                <w:rFonts w:ascii="Garamond" w:hAnsi="Garamond"/>
                <w:b/>
                <w:sz w:val="24"/>
                <w:szCs w:val="24"/>
              </w:rPr>
            </w:pPr>
            <w:r>
              <w:rPr>
                <w:rFonts w:ascii="Garamond" w:hAnsi="Garamond"/>
                <w:b/>
                <w:sz w:val="24"/>
                <w:szCs w:val="24"/>
              </w:rPr>
              <w:t>351</w:t>
            </w:r>
          </w:p>
        </w:tc>
      </w:tr>
      <w:tr w:rsidR="00FD110A" w:rsidRPr="00E1278C" w:rsidTr="00CD210B">
        <w:tc>
          <w:tcPr>
            <w:tcW w:w="2340" w:type="dxa"/>
          </w:tcPr>
          <w:p w:rsidR="00FD110A" w:rsidRPr="00E1278C" w:rsidRDefault="00FD110A" w:rsidP="00CD210B">
            <w:pPr>
              <w:jc w:val="right"/>
              <w:rPr>
                <w:rFonts w:ascii="Garamond" w:hAnsi="Garamond"/>
                <w:b/>
                <w:sz w:val="24"/>
                <w:szCs w:val="24"/>
              </w:rPr>
            </w:pPr>
            <w:r w:rsidRPr="00E1278C">
              <w:rPr>
                <w:rFonts w:ascii="Garamond" w:hAnsi="Garamond"/>
                <w:b/>
                <w:sz w:val="24"/>
                <w:szCs w:val="24"/>
              </w:rPr>
              <w:t>Asian Americans</w:t>
            </w:r>
          </w:p>
        </w:tc>
        <w:tc>
          <w:tcPr>
            <w:tcW w:w="153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5.9%</w:t>
            </w:r>
          </w:p>
          <w:p w:rsidR="00FD110A" w:rsidRPr="00E1278C" w:rsidRDefault="00FD110A" w:rsidP="00CD210B">
            <w:pPr>
              <w:jc w:val="center"/>
              <w:rPr>
                <w:rFonts w:ascii="Garamond" w:hAnsi="Garamond"/>
                <w:b/>
                <w:sz w:val="24"/>
                <w:szCs w:val="24"/>
              </w:rPr>
            </w:pPr>
            <w:r w:rsidRPr="00E1278C">
              <w:rPr>
                <w:rFonts w:ascii="Garamond" w:hAnsi="Garamond"/>
                <w:b/>
                <w:sz w:val="24"/>
                <w:szCs w:val="24"/>
              </w:rPr>
              <w:t>(n=11)</w:t>
            </w:r>
          </w:p>
        </w:tc>
        <w:tc>
          <w:tcPr>
            <w:tcW w:w="135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6.9%</w:t>
            </w:r>
          </w:p>
          <w:p w:rsidR="00FD110A" w:rsidRPr="00E1278C" w:rsidRDefault="00FD110A" w:rsidP="00CD210B">
            <w:pPr>
              <w:jc w:val="center"/>
              <w:rPr>
                <w:rFonts w:ascii="Garamond" w:hAnsi="Garamond"/>
                <w:b/>
                <w:sz w:val="24"/>
                <w:szCs w:val="24"/>
              </w:rPr>
            </w:pPr>
            <w:r w:rsidRPr="00E1278C">
              <w:rPr>
                <w:rFonts w:ascii="Garamond" w:hAnsi="Garamond"/>
                <w:b/>
                <w:sz w:val="24"/>
                <w:szCs w:val="24"/>
              </w:rPr>
              <w:t>(n=12)</w:t>
            </w:r>
          </w:p>
        </w:tc>
        <w:tc>
          <w:tcPr>
            <w:tcW w:w="1333"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47.7%</w:t>
            </w:r>
          </w:p>
          <w:p w:rsidR="00FD110A" w:rsidRPr="00E1278C" w:rsidRDefault="00FD110A" w:rsidP="00CD210B">
            <w:pPr>
              <w:jc w:val="center"/>
              <w:rPr>
                <w:rFonts w:ascii="Garamond" w:hAnsi="Garamond"/>
                <w:b/>
                <w:sz w:val="24"/>
                <w:szCs w:val="24"/>
              </w:rPr>
            </w:pPr>
            <w:r w:rsidRPr="00E1278C">
              <w:rPr>
                <w:rFonts w:ascii="Garamond" w:hAnsi="Garamond"/>
                <w:b/>
                <w:sz w:val="24"/>
                <w:szCs w:val="24"/>
              </w:rPr>
              <w:t>(n=73)</w:t>
            </w:r>
          </w:p>
        </w:tc>
        <w:tc>
          <w:tcPr>
            <w:tcW w:w="180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47.8%</w:t>
            </w:r>
          </w:p>
          <w:p w:rsidR="00FD110A" w:rsidRPr="00E1278C" w:rsidRDefault="00FD110A" w:rsidP="00CD210B">
            <w:pPr>
              <w:jc w:val="center"/>
              <w:rPr>
                <w:rFonts w:ascii="Garamond" w:hAnsi="Garamond"/>
                <w:b/>
                <w:sz w:val="24"/>
                <w:szCs w:val="24"/>
              </w:rPr>
            </w:pPr>
            <w:r w:rsidRPr="00E1278C">
              <w:rPr>
                <w:rFonts w:ascii="Garamond" w:hAnsi="Garamond"/>
                <w:b/>
                <w:sz w:val="24"/>
                <w:szCs w:val="24"/>
              </w:rPr>
              <w:t>(n=77)</w:t>
            </w:r>
          </w:p>
        </w:tc>
        <w:tc>
          <w:tcPr>
            <w:tcW w:w="117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17</w:t>
            </w:r>
            <w:r>
              <w:rPr>
                <w:rFonts w:ascii="Garamond" w:hAnsi="Garamond"/>
                <w:b/>
                <w:sz w:val="24"/>
                <w:szCs w:val="24"/>
              </w:rPr>
              <w:t>3</w:t>
            </w:r>
          </w:p>
        </w:tc>
      </w:tr>
      <w:tr w:rsidR="00FD110A" w:rsidRPr="00E1278C" w:rsidTr="00CD210B">
        <w:tc>
          <w:tcPr>
            <w:tcW w:w="2340" w:type="dxa"/>
          </w:tcPr>
          <w:p w:rsidR="00FD110A" w:rsidRPr="00E1278C" w:rsidRDefault="00FD110A" w:rsidP="00CD210B">
            <w:pPr>
              <w:jc w:val="right"/>
              <w:rPr>
                <w:rFonts w:ascii="Garamond" w:hAnsi="Garamond"/>
                <w:b/>
                <w:sz w:val="24"/>
                <w:szCs w:val="24"/>
              </w:rPr>
            </w:pPr>
            <w:r w:rsidRPr="00E1278C">
              <w:rPr>
                <w:rFonts w:ascii="Garamond" w:hAnsi="Garamond"/>
                <w:b/>
                <w:sz w:val="24"/>
                <w:szCs w:val="24"/>
              </w:rPr>
              <w:t>Hispanic/Latinos</w:t>
            </w:r>
          </w:p>
        </w:tc>
        <w:tc>
          <w:tcPr>
            <w:tcW w:w="153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20.5%</w:t>
            </w:r>
          </w:p>
          <w:p w:rsidR="00FD110A" w:rsidRPr="00E1278C" w:rsidRDefault="00FD110A" w:rsidP="00CD210B">
            <w:pPr>
              <w:jc w:val="center"/>
              <w:rPr>
                <w:rFonts w:ascii="Garamond" w:hAnsi="Garamond"/>
                <w:b/>
                <w:sz w:val="24"/>
                <w:szCs w:val="24"/>
              </w:rPr>
            </w:pPr>
            <w:r w:rsidRPr="00E1278C">
              <w:rPr>
                <w:rFonts w:ascii="Garamond" w:hAnsi="Garamond"/>
                <w:b/>
                <w:sz w:val="24"/>
                <w:szCs w:val="24"/>
              </w:rPr>
              <w:t>(n=38)</w:t>
            </w:r>
          </w:p>
        </w:tc>
        <w:tc>
          <w:tcPr>
            <w:tcW w:w="135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27.6%</w:t>
            </w:r>
          </w:p>
          <w:p w:rsidR="00FD110A" w:rsidRPr="00E1278C" w:rsidRDefault="00FD110A" w:rsidP="00CD210B">
            <w:pPr>
              <w:jc w:val="center"/>
              <w:rPr>
                <w:rFonts w:ascii="Garamond" w:hAnsi="Garamond"/>
                <w:b/>
                <w:sz w:val="24"/>
                <w:szCs w:val="24"/>
              </w:rPr>
            </w:pPr>
            <w:r w:rsidRPr="00E1278C">
              <w:rPr>
                <w:rFonts w:ascii="Garamond" w:hAnsi="Garamond"/>
                <w:b/>
                <w:sz w:val="24"/>
                <w:szCs w:val="24"/>
              </w:rPr>
              <w:t>(n=48)</w:t>
            </w:r>
          </w:p>
        </w:tc>
        <w:tc>
          <w:tcPr>
            <w:tcW w:w="1333"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26.8%</w:t>
            </w:r>
          </w:p>
          <w:p w:rsidR="00FD110A" w:rsidRPr="00E1278C" w:rsidRDefault="00FD110A" w:rsidP="00CD210B">
            <w:pPr>
              <w:jc w:val="center"/>
              <w:rPr>
                <w:rFonts w:ascii="Garamond" w:hAnsi="Garamond"/>
                <w:b/>
                <w:sz w:val="24"/>
                <w:szCs w:val="24"/>
              </w:rPr>
            </w:pPr>
            <w:r w:rsidRPr="00E1278C">
              <w:rPr>
                <w:rFonts w:ascii="Garamond" w:hAnsi="Garamond"/>
                <w:b/>
                <w:sz w:val="24"/>
                <w:szCs w:val="24"/>
              </w:rPr>
              <w:t>(n=41)</w:t>
            </w:r>
          </w:p>
        </w:tc>
        <w:tc>
          <w:tcPr>
            <w:tcW w:w="180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13.7%</w:t>
            </w:r>
          </w:p>
          <w:p w:rsidR="00FD110A" w:rsidRPr="00E1278C" w:rsidRDefault="00FD110A" w:rsidP="00CD210B">
            <w:pPr>
              <w:jc w:val="center"/>
              <w:rPr>
                <w:rFonts w:ascii="Garamond" w:hAnsi="Garamond"/>
                <w:b/>
                <w:sz w:val="24"/>
                <w:szCs w:val="24"/>
              </w:rPr>
            </w:pPr>
            <w:r w:rsidRPr="00E1278C">
              <w:rPr>
                <w:rFonts w:ascii="Garamond" w:hAnsi="Garamond"/>
                <w:b/>
                <w:sz w:val="24"/>
                <w:szCs w:val="24"/>
              </w:rPr>
              <w:t>(n=22)</w:t>
            </w:r>
          </w:p>
        </w:tc>
        <w:tc>
          <w:tcPr>
            <w:tcW w:w="117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1</w:t>
            </w:r>
            <w:r>
              <w:rPr>
                <w:rFonts w:ascii="Garamond" w:hAnsi="Garamond"/>
                <w:b/>
                <w:sz w:val="24"/>
                <w:szCs w:val="24"/>
              </w:rPr>
              <w:t>49</w:t>
            </w:r>
          </w:p>
        </w:tc>
      </w:tr>
      <w:tr w:rsidR="00FD110A" w:rsidRPr="00E1278C" w:rsidTr="00CD210B">
        <w:tc>
          <w:tcPr>
            <w:tcW w:w="2340" w:type="dxa"/>
          </w:tcPr>
          <w:p w:rsidR="00FD110A" w:rsidRPr="00E1278C" w:rsidRDefault="00FD110A" w:rsidP="00CD210B">
            <w:pPr>
              <w:jc w:val="right"/>
              <w:rPr>
                <w:rFonts w:ascii="Garamond" w:hAnsi="Garamond"/>
                <w:b/>
                <w:sz w:val="24"/>
                <w:szCs w:val="24"/>
              </w:rPr>
            </w:pPr>
            <w:r w:rsidRPr="00E1278C">
              <w:rPr>
                <w:rFonts w:ascii="Garamond" w:hAnsi="Garamond"/>
                <w:b/>
                <w:sz w:val="24"/>
                <w:szCs w:val="24"/>
              </w:rPr>
              <w:t>Total</w:t>
            </w:r>
          </w:p>
        </w:tc>
        <w:tc>
          <w:tcPr>
            <w:tcW w:w="153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185</w:t>
            </w:r>
          </w:p>
        </w:tc>
        <w:tc>
          <w:tcPr>
            <w:tcW w:w="135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174</w:t>
            </w:r>
          </w:p>
        </w:tc>
        <w:tc>
          <w:tcPr>
            <w:tcW w:w="1333"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153</w:t>
            </w:r>
          </w:p>
        </w:tc>
        <w:tc>
          <w:tcPr>
            <w:tcW w:w="1800" w:type="dxa"/>
          </w:tcPr>
          <w:p w:rsidR="00FD110A" w:rsidRPr="00E1278C" w:rsidRDefault="00FD110A" w:rsidP="00CD210B">
            <w:pPr>
              <w:jc w:val="center"/>
              <w:rPr>
                <w:rFonts w:ascii="Garamond" w:hAnsi="Garamond"/>
                <w:b/>
                <w:sz w:val="24"/>
                <w:szCs w:val="24"/>
              </w:rPr>
            </w:pPr>
            <w:r w:rsidRPr="00E1278C">
              <w:rPr>
                <w:rFonts w:ascii="Garamond" w:hAnsi="Garamond"/>
                <w:b/>
                <w:sz w:val="24"/>
                <w:szCs w:val="24"/>
              </w:rPr>
              <w:t>161</w:t>
            </w:r>
          </w:p>
        </w:tc>
        <w:tc>
          <w:tcPr>
            <w:tcW w:w="1170" w:type="dxa"/>
          </w:tcPr>
          <w:p w:rsidR="00FD110A" w:rsidRPr="00E1278C" w:rsidRDefault="00FD110A" w:rsidP="00CD210B">
            <w:pPr>
              <w:jc w:val="center"/>
              <w:rPr>
                <w:rFonts w:ascii="Garamond" w:hAnsi="Garamond"/>
                <w:b/>
                <w:sz w:val="24"/>
                <w:szCs w:val="24"/>
              </w:rPr>
            </w:pPr>
            <w:r>
              <w:rPr>
                <w:rFonts w:ascii="Garamond" w:hAnsi="Garamond"/>
                <w:b/>
                <w:sz w:val="24"/>
                <w:szCs w:val="24"/>
              </w:rPr>
              <w:t>6</w:t>
            </w:r>
            <w:r w:rsidRPr="00E1278C">
              <w:rPr>
                <w:rFonts w:ascii="Garamond" w:hAnsi="Garamond"/>
                <w:b/>
                <w:sz w:val="24"/>
                <w:szCs w:val="24"/>
              </w:rPr>
              <w:t>73</w:t>
            </w:r>
          </w:p>
        </w:tc>
      </w:tr>
    </w:tbl>
    <w:p w:rsidR="00FD110A" w:rsidRDefault="00FD110A" w:rsidP="00FD110A">
      <w:pPr>
        <w:spacing w:after="0" w:line="240" w:lineRule="auto"/>
        <w:rPr>
          <w:rFonts w:ascii="Garamond" w:hAnsi="Garamond" w:cs="Times New Roman"/>
          <w:b/>
          <w:sz w:val="24"/>
          <w:szCs w:val="24"/>
        </w:rPr>
      </w:pPr>
    </w:p>
    <w:p w:rsidR="00FD110A" w:rsidRDefault="00FD110A" w:rsidP="00FD110A">
      <w:pPr>
        <w:spacing w:after="0" w:line="240" w:lineRule="auto"/>
        <w:rPr>
          <w:rFonts w:ascii="Garamond" w:hAnsi="Garamond"/>
          <w:b/>
          <w:sz w:val="24"/>
          <w:szCs w:val="24"/>
        </w:rPr>
      </w:pPr>
    </w:p>
    <w:p w:rsidR="00FD110A" w:rsidRPr="002F2CA6" w:rsidRDefault="00FD110A" w:rsidP="00FD110A">
      <w:pPr>
        <w:spacing w:after="0" w:line="240" w:lineRule="auto"/>
        <w:rPr>
          <w:rFonts w:ascii="Garamond" w:hAnsi="Garamond"/>
          <w:sz w:val="24"/>
          <w:szCs w:val="24"/>
        </w:rPr>
      </w:pPr>
      <w:proofErr w:type="gramStart"/>
      <w:r>
        <w:rPr>
          <w:rFonts w:ascii="Garamond" w:hAnsi="Garamond"/>
          <w:b/>
          <w:sz w:val="24"/>
          <w:szCs w:val="24"/>
        </w:rPr>
        <w:t>Exhibit 4.</w:t>
      </w:r>
      <w:proofErr w:type="gramEnd"/>
      <w:r>
        <w:rPr>
          <w:rFonts w:ascii="Garamond" w:hAnsi="Garamond"/>
          <w:b/>
          <w:sz w:val="24"/>
          <w:szCs w:val="24"/>
        </w:rPr>
        <w:t xml:space="preserve">  </w:t>
      </w:r>
      <w:r w:rsidRPr="002F2CA6">
        <w:rPr>
          <w:rFonts w:ascii="Garamond" w:hAnsi="Garamond"/>
          <w:b/>
          <w:sz w:val="24"/>
          <w:szCs w:val="24"/>
        </w:rPr>
        <w:t>Houston Hub Preliminary Stats for Targeted Residents of Houston Housing Authority Facilities</w:t>
      </w:r>
    </w:p>
    <w:p w:rsidR="00FD110A" w:rsidRPr="002F2CA6" w:rsidRDefault="00FD110A" w:rsidP="00FD110A">
      <w:pPr>
        <w:spacing w:after="0" w:line="240" w:lineRule="auto"/>
        <w:jc w:val="center"/>
        <w:rPr>
          <w:rFonts w:ascii="Garamond" w:hAnsi="Garamond"/>
          <w:sz w:val="24"/>
          <w:szCs w:val="24"/>
        </w:rPr>
      </w:pPr>
    </w:p>
    <w:tbl>
      <w:tblPr>
        <w:tblW w:w="4239" w:type="pct"/>
        <w:tblBorders>
          <w:top w:val="single" w:sz="8" w:space="0" w:color="4F81BD"/>
          <w:left w:val="single" w:sz="8" w:space="0" w:color="4F81BD"/>
          <w:bottom w:val="single" w:sz="8" w:space="0" w:color="4F81BD"/>
          <w:right w:val="single" w:sz="8" w:space="0" w:color="4F81BD"/>
        </w:tblBorders>
        <w:tblLook w:val="04A0"/>
      </w:tblPr>
      <w:tblGrid>
        <w:gridCol w:w="1874"/>
        <w:gridCol w:w="1609"/>
        <w:gridCol w:w="1119"/>
        <w:gridCol w:w="3517"/>
      </w:tblGrid>
      <w:tr w:rsidR="00FD110A" w:rsidRPr="002F2CA6" w:rsidTr="00CD210B">
        <w:tc>
          <w:tcPr>
            <w:tcW w:w="1154" w:type="pct"/>
            <w:tcBorders>
              <w:top w:val="nil"/>
              <w:left w:val="nil"/>
              <w:bottom w:val="single" w:sz="24" w:space="0" w:color="4F81BD"/>
              <w:right w:val="nil"/>
            </w:tcBorders>
            <w:shd w:val="clear" w:color="auto" w:fill="FFFFFF"/>
            <w:noWrap/>
          </w:tcPr>
          <w:p w:rsidR="00FD110A" w:rsidRDefault="00FD110A" w:rsidP="00CD210B">
            <w:pPr>
              <w:spacing w:after="0" w:line="240" w:lineRule="auto"/>
              <w:rPr>
                <w:rFonts w:ascii="Garamond" w:eastAsia="Times New Roman" w:hAnsi="Garamond"/>
                <w:b/>
                <w:sz w:val="24"/>
                <w:szCs w:val="24"/>
                <w:lang w:bidi="en-US"/>
              </w:rPr>
            </w:pPr>
            <w:proofErr w:type="spellStart"/>
            <w:r w:rsidRPr="002F2CA6">
              <w:rPr>
                <w:rFonts w:ascii="Garamond" w:eastAsia="Times New Roman" w:hAnsi="Garamond"/>
                <w:b/>
                <w:sz w:val="24"/>
                <w:szCs w:val="24"/>
                <w:lang w:bidi="en-US"/>
              </w:rPr>
              <w:t>Lyerly</w:t>
            </w:r>
            <w:proofErr w:type="spellEnd"/>
            <w:r w:rsidRPr="002F2CA6">
              <w:rPr>
                <w:rFonts w:ascii="Garamond" w:eastAsia="Times New Roman" w:hAnsi="Garamond"/>
                <w:b/>
                <w:sz w:val="24"/>
                <w:szCs w:val="24"/>
                <w:lang w:bidi="en-US"/>
              </w:rPr>
              <w:t xml:space="preserve"> Housing</w:t>
            </w:r>
          </w:p>
          <w:p w:rsidR="00FD110A" w:rsidRDefault="00FD110A" w:rsidP="00CD210B">
            <w:pPr>
              <w:spacing w:after="0" w:line="240" w:lineRule="auto"/>
              <w:rPr>
                <w:rFonts w:ascii="Garamond" w:eastAsia="Times New Roman" w:hAnsi="Garamond"/>
                <w:b/>
                <w:sz w:val="24"/>
                <w:szCs w:val="24"/>
                <w:lang w:bidi="en-US"/>
              </w:rPr>
            </w:pPr>
          </w:p>
          <w:p w:rsidR="00FD110A" w:rsidRDefault="00FD110A" w:rsidP="00CD210B">
            <w:pPr>
              <w:spacing w:after="0" w:line="240" w:lineRule="auto"/>
              <w:rPr>
                <w:rFonts w:ascii="Garamond" w:eastAsia="Times New Roman" w:hAnsi="Garamond"/>
                <w:b/>
                <w:sz w:val="24"/>
                <w:szCs w:val="24"/>
                <w:lang w:bidi="en-US"/>
              </w:rPr>
            </w:pPr>
          </w:p>
          <w:p w:rsidR="00FD110A" w:rsidRPr="002F2CA6" w:rsidRDefault="00FD110A" w:rsidP="00CD210B">
            <w:pPr>
              <w:spacing w:after="0" w:line="240" w:lineRule="auto"/>
              <w:rPr>
                <w:rFonts w:ascii="Garamond" w:eastAsia="Times New Roman" w:hAnsi="Garamond"/>
                <w:b/>
                <w:sz w:val="24"/>
                <w:szCs w:val="24"/>
                <w:lang w:bidi="en-US"/>
              </w:rPr>
            </w:pPr>
          </w:p>
        </w:tc>
        <w:tc>
          <w:tcPr>
            <w:tcW w:w="991" w:type="pct"/>
            <w:tcBorders>
              <w:top w:val="nil"/>
              <w:left w:val="nil"/>
              <w:bottom w:val="single" w:sz="24" w:space="0" w:color="4F81BD"/>
              <w:right w:val="nil"/>
            </w:tcBorders>
            <w:shd w:val="clear" w:color="auto" w:fill="FFFFFF"/>
          </w:tcPr>
          <w:p w:rsidR="00FD110A" w:rsidRDefault="00FD110A" w:rsidP="00CD210B">
            <w:pPr>
              <w:spacing w:after="0" w:line="240" w:lineRule="auto"/>
              <w:rPr>
                <w:rFonts w:ascii="Garamond" w:eastAsia="Times New Roman" w:hAnsi="Garamond"/>
                <w:b/>
                <w:sz w:val="24"/>
                <w:szCs w:val="24"/>
                <w:lang w:bidi="en-US"/>
              </w:rPr>
            </w:pPr>
          </w:p>
          <w:p w:rsidR="00FD110A" w:rsidRPr="002F2CA6" w:rsidRDefault="00FD110A" w:rsidP="00CD210B">
            <w:pPr>
              <w:spacing w:after="0" w:line="240" w:lineRule="auto"/>
              <w:jc w:val="center"/>
              <w:rPr>
                <w:rFonts w:ascii="Garamond" w:eastAsia="Times New Roman" w:hAnsi="Garamond"/>
                <w:b/>
                <w:sz w:val="24"/>
                <w:szCs w:val="24"/>
                <w:lang w:bidi="en-US"/>
              </w:rPr>
            </w:pPr>
            <w:r w:rsidRPr="002F2CA6">
              <w:rPr>
                <w:rFonts w:ascii="Garamond" w:eastAsia="Times New Roman" w:hAnsi="Garamond"/>
                <w:b/>
                <w:sz w:val="24"/>
                <w:szCs w:val="24"/>
                <w:lang w:bidi="en-US"/>
              </w:rPr>
              <w:t>Hypertension</w:t>
            </w:r>
          </w:p>
        </w:tc>
        <w:tc>
          <w:tcPr>
            <w:tcW w:w="689" w:type="pct"/>
            <w:tcBorders>
              <w:top w:val="nil"/>
              <w:left w:val="nil"/>
              <w:bottom w:val="single" w:sz="24" w:space="0" w:color="4F81BD"/>
              <w:right w:val="nil"/>
            </w:tcBorders>
            <w:shd w:val="clear" w:color="auto" w:fill="FFFFFF"/>
          </w:tcPr>
          <w:p w:rsidR="00FD110A" w:rsidRDefault="00FD110A" w:rsidP="00CD210B">
            <w:pPr>
              <w:spacing w:after="0" w:line="240" w:lineRule="auto"/>
              <w:jc w:val="center"/>
              <w:rPr>
                <w:rFonts w:ascii="Garamond" w:eastAsia="Times New Roman" w:hAnsi="Garamond"/>
                <w:b/>
                <w:sz w:val="24"/>
                <w:szCs w:val="24"/>
                <w:lang w:bidi="en-US"/>
              </w:rPr>
            </w:pPr>
          </w:p>
          <w:p w:rsidR="00FD110A" w:rsidRPr="002F2CA6" w:rsidRDefault="00FD110A" w:rsidP="00CD210B">
            <w:pPr>
              <w:spacing w:after="0" w:line="240" w:lineRule="auto"/>
              <w:jc w:val="center"/>
              <w:rPr>
                <w:rFonts w:ascii="Garamond" w:eastAsia="Times New Roman" w:hAnsi="Garamond"/>
                <w:b/>
                <w:sz w:val="24"/>
                <w:szCs w:val="24"/>
                <w:lang w:bidi="en-US"/>
              </w:rPr>
            </w:pPr>
            <w:r w:rsidRPr="002F2CA6">
              <w:rPr>
                <w:rFonts w:ascii="Garamond" w:eastAsia="Times New Roman" w:hAnsi="Garamond"/>
                <w:b/>
                <w:sz w:val="24"/>
                <w:szCs w:val="24"/>
                <w:lang w:bidi="en-US"/>
              </w:rPr>
              <w:t>Diabetes</w:t>
            </w:r>
          </w:p>
        </w:tc>
        <w:tc>
          <w:tcPr>
            <w:tcW w:w="2166" w:type="pct"/>
            <w:tcBorders>
              <w:top w:val="nil"/>
              <w:left w:val="nil"/>
              <w:bottom w:val="single" w:sz="24" w:space="0" w:color="4F81BD"/>
              <w:right w:val="nil"/>
            </w:tcBorders>
            <w:shd w:val="clear" w:color="auto" w:fill="FFFFFF"/>
          </w:tcPr>
          <w:p w:rsidR="00FD110A" w:rsidRDefault="00FD110A" w:rsidP="00CD210B">
            <w:pPr>
              <w:spacing w:after="0" w:line="240" w:lineRule="auto"/>
              <w:jc w:val="center"/>
              <w:rPr>
                <w:rFonts w:ascii="Garamond" w:eastAsia="Times New Roman" w:hAnsi="Garamond"/>
                <w:b/>
                <w:sz w:val="24"/>
                <w:szCs w:val="24"/>
                <w:lang w:bidi="en-US"/>
              </w:rPr>
            </w:pPr>
          </w:p>
          <w:p w:rsidR="00FD110A" w:rsidRPr="002F2CA6" w:rsidRDefault="00FD110A" w:rsidP="00CD210B">
            <w:pPr>
              <w:spacing w:after="0" w:line="240" w:lineRule="auto"/>
              <w:rPr>
                <w:rFonts w:ascii="Garamond" w:eastAsia="Times New Roman" w:hAnsi="Garamond"/>
                <w:b/>
                <w:sz w:val="24"/>
                <w:szCs w:val="24"/>
                <w:lang w:bidi="en-US"/>
              </w:rPr>
            </w:pPr>
            <w:r w:rsidRPr="002F2CA6">
              <w:rPr>
                <w:rFonts w:ascii="Garamond" w:eastAsia="Times New Roman" w:hAnsi="Garamond"/>
                <w:b/>
                <w:sz w:val="24"/>
                <w:szCs w:val="24"/>
                <w:lang w:bidi="en-US"/>
              </w:rPr>
              <w:t>*HTN and DM</w:t>
            </w:r>
            <w:r>
              <w:rPr>
                <w:rFonts w:ascii="Garamond" w:eastAsia="Times New Roman" w:hAnsi="Garamond"/>
                <w:b/>
                <w:sz w:val="24"/>
                <w:szCs w:val="24"/>
                <w:lang w:bidi="en-US"/>
              </w:rPr>
              <w:t xml:space="preserve">    Total</w:t>
            </w:r>
          </w:p>
          <w:p w:rsidR="00FD110A" w:rsidRDefault="00FD110A" w:rsidP="00CD210B">
            <w:pPr>
              <w:spacing w:after="0" w:line="240" w:lineRule="auto"/>
              <w:rPr>
                <w:rFonts w:ascii="Garamond" w:eastAsia="Times New Roman" w:hAnsi="Garamond"/>
                <w:b/>
                <w:sz w:val="24"/>
                <w:szCs w:val="24"/>
                <w:lang w:bidi="en-US"/>
              </w:rPr>
            </w:pPr>
            <w:r w:rsidRPr="002F2CA6">
              <w:rPr>
                <w:rFonts w:ascii="Garamond" w:eastAsia="Times New Roman" w:hAnsi="Garamond"/>
                <w:b/>
                <w:sz w:val="24"/>
                <w:szCs w:val="24"/>
                <w:lang w:bidi="en-US"/>
              </w:rPr>
              <w:t xml:space="preserve">(inclusive of </w:t>
            </w:r>
          </w:p>
          <w:p w:rsidR="00FD110A" w:rsidRPr="002F2CA6" w:rsidRDefault="00FD110A" w:rsidP="00CD210B">
            <w:pPr>
              <w:spacing w:after="0" w:line="240" w:lineRule="auto"/>
              <w:rPr>
                <w:rFonts w:ascii="Garamond" w:eastAsia="Times New Roman" w:hAnsi="Garamond"/>
                <w:b/>
                <w:sz w:val="24"/>
                <w:szCs w:val="24"/>
                <w:lang w:bidi="en-US"/>
              </w:rPr>
            </w:pPr>
            <w:r w:rsidRPr="002F2CA6">
              <w:rPr>
                <w:rFonts w:ascii="Garamond" w:eastAsia="Times New Roman" w:hAnsi="Garamond"/>
                <w:b/>
                <w:sz w:val="24"/>
                <w:szCs w:val="24"/>
                <w:lang w:bidi="en-US"/>
              </w:rPr>
              <w:t>columns 1 &amp; 2)</w:t>
            </w:r>
          </w:p>
        </w:tc>
      </w:tr>
      <w:tr w:rsidR="00FD110A" w:rsidRPr="002F2CA6" w:rsidTr="00CD210B">
        <w:tc>
          <w:tcPr>
            <w:tcW w:w="1154" w:type="pct"/>
            <w:tcBorders>
              <w:top w:val="nil"/>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African American</w:t>
            </w:r>
          </w:p>
        </w:tc>
        <w:tc>
          <w:tcPr>
            <w:tcW w:w="991"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23</w:t>
            </w:r>
          </w:p>
        </w:tc>
        <w:tc>
          <w:tcPr>
            <w:tcW w:w="689"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13</w:t>
            </w:r>
          </w:p>
        </w:tc>
        <w:tc>
          <w:tcPr>
            <w:tcW w:w="2166" w:type="pct"/>
            <w:tcBorders>
              <w:top w:val="nil"/>
              <w:left w:val="nil"/>
              <w:bottom w:val="nil"/>
            </w:tcBorders>
            <w:shd w:val="clear" w:color="auto" w:fill="D3DFEE"/>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10</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46</w:t>
            </w:r>
          </w:p>
        </w:tc>
      </w:tr>
      <w:tr w:rsidR="00FD110A" w:rsidRPr="002F2CA6" w:rsidTr="00CD210B">
        <w:tc>
          <w:tcPr>
            <w:tcW w:w="1154" w:type="pct"/>
            <w:tcBorders>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Asian American</w:t>
            </w:r>
          </w:p>
        </w:tc>
        <w:tc>
          <w:tcPr>
            <w:tcW w:w="991"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2</w:t>
            </w:r>
          </w:p>
        </w:tc>
        <w:tc>
          <w:tcPr>
            <w:tcW w:w="689"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1</w:t>
            </w:r>
          </w:p>
        </w:tc>
        <w:tc>
          <w:tcPr>
            <w:tcW w:w="2166" w:type="pct"/>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1</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 xml:space="preserve">   4</w:t>
            </w:r>
          </w:p>
        </w:tc>
      </w:tr>
      <w:tr w:rsidR="00FD110A" w:rsidRPr="002F2CA6" w:rsidTr="00CD210B">
        <w:tc>
          <w:tcPr>
            <w:tcW w:w="1154" w:type="pct"/>
            <w:tcBorders>
              <w:top w:val="nil"/>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Hispanic</w:t>
            </w:r>
          </w:p>
        </w:tc>
        <w:tc>
          <w:tcPr>
            <w:tcW w:w="991"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11</w:t>
            </w:r>
          </w:p>
        </w:tc>
        <w:tc>
          <w:tcPr>
            <w:tcW w:w="689"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13</w:t>
            </w:r>
          </w:p>
        </w:tc>
        <w:tc>
          <w:tcPr>
            <w:tcW w:w="2166" w:type="pct"/>
            <w:tcBorders>
              <w:top w:val="nil"/>
              <w:left w:val="nil"/>
              <w:bottom w:val="nil"/>
            </w:tcBorders>
            <w:shd w:val="clear" w:color="auto" w:fill="D3DFEE"/>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8</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32</w:t>
            </w:r>
          </w:p>
        </w:tc>
      </w:tr>
      <w:tr w:rsidR="00FD110A" w:rsidRPr="002F2CA6" w:rsidTr="00CD210B">
        <w:tc>
          <w:tcPr>
            <w:tcW w:w="1154" w:type="pct"/>
            <w:tcBorders>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Total</w:t>
            </w:r>
          </w:p>
        </w:tc>
        <w:tc>
          <w:tcPr>
            <w:tcW w:w="991"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36</w:t>
            </w:r>
          </w:p>
        </w:tc>
        <w:tc>
          <w:tcPr>
            <w:tcW w:w="689"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27</w:t>
            </w:r>
          </w:p>
        </w:tc>
        <w:tc>
          <w:tcPr>
            <w:tcW w:w="2166" w:type="pct"/>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19</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82</w:t>
            </w:r>
          </w:p>
        </w:tc>
      </w:tr>
    </w:tbl>
    <w:p w:rsidR="00FD110A" w:rsidRPr="002F2CA6"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r>
        <w:rPr>
          <w:rFonts w:ascii="Garamond" w:hAnsi="Garamond"/>
          <w:sz w:val="24"/>
          <w:szCs w:val="24"/>
        </w:rPr>
        <w:t>*HTN=hypertension, DM= diabetes mellitus</w:t>
      </w:r>
    </w:p>
    <w:p w:rsidR="00FD110A" w:rsidRDefault="00FD110A" w:rsidP="00FD110A">
      <w:pPr>
        <w:spacing w:after="0" w:line="240" w:lineRule="auto"/>
        <w:rPr>
          <w:rFonts w:ascii="Garamond" w:hAnsi="Garamond"/>
          <w:sz w:val="24"/>
          <w:szCs w:val="24"/>
        </w:rPr>
      </w:pPr>
    </w:p>
    <w:p w:rsidR="00FD110A" w:rsidRPr="002F2CA6" w:rsidRDefault="00FD110A" w:rsidP="00FD110A">
      <w:pPr>
        <w:spacing w:after="0" w:line="240" w:lineRule="auto"/>
        <w:rPr>
          <w:rFonts w:ascii="Garamond" w:hAnsi="Garamond"/>
          <w:sz w:val="24"/>
          <w:szCs w:val="24"/>
        </w:rPr>
      </w:pPr>
    </w:p>
    <w:tbl>
      <w:tblPr>
        <w:tblW w:w="4051" w:type="pct"/>
        <w:tblBorders>
          <w:top w:val="single" w:sz="8" w:space="0" w:color="4F81BD"/>
          <w:left w:val="single" w:sz="8" w:space="0" w:color="4F81BD"/>
          <w:bottom w:val="single" w:sz="8" w:space="0" w:color="4F81BD"/>
          <w:right w:val="single" w:sz="8" w:space="0" w:color="4F81BD"/>
        </w:tblBorders>
        <w:tblLook w:val="04A0"/>
      </w:tblPr>
      <w:tblGrid>
        <w:gridCol w:w="2057"/>
        <w:gridCol w:w="1609"/>
        <w:gridCol w:w="1119"/>
        <w:gridCol w:w="2973"/>
      </w:tblGrid>
      <w:tr w:rsidR="00FD110A" w:rsidRPr="002F2CA6" w:rsidTr="00CD210B">
        <w:tc>
          <w:tcPr>
            <w:tcW w:w="1326" w:type="pct"/>
            <w:tcBorders>
              <w:top w:val="nil"/>
              <w:left w:val="nil"/>
              <w:bottom w:val="single" w:sz="24" w:space="0" w:color="4F81BD"/>
              <w:right w:val="nil"/>
            </w:tcBorders>
            <w:shd w:val="clear" w:color="auto" w:fill="FFFFFF"/>
            <w:noWrap/>
          </w:tcPr>
          <w:p w:rsidR="00FD110A" w:rsidRPr="002F2CA6" w:rsidRDefault="00FD110A" w:rsidP="00CD210B">
            <w:pPr>
              <w:spacing w:after="0" w:line="240" w:lineRule="auto"/>
              <w:rPr>
                <w:rFonts w:ascii="Garamond" w:eastAsia="Times New Roman" w:hAnsi="Garamond"/>
                <w:b/>
                <w:sz w:val="24"/>
                <w:szCs w:val="24"/>
                <w:lang w:bidi="en-US"/>
              </w:rPr>
            </w:pPr>
            <w:proofErr w:type="spellStart"/>
            <w:r w:rsidRPr="002F2CA6">
              <w:rPr>
                <w:rFonts w:ascii="Garamond" w:eastAsia="Times New Roman" w:hAnsi="Garamond"/>
                <w:b/>
                <w:sz w:val="24"/>
                <w:szCs w:val="24"/>
                <w:lang w:bidi="en-US"/>
              </w:rPr>
              <w:t>Bellerive</w:t>
            </w:r>
            <w:proofErr w:type="spellEnd"/>
            <w:r w:rsidRPr="002F2CA6">
              <w:rPr>
                <w:rFonts w:ascii="Garamond" w:eastAsia="Times New Roman" w:hAnsi="Garamond"/>
                <w:b/>
                <w:sz w:val="24"/>
                <w:szCs w:val="24"/>
                <w:lang w:bidi="en-US"/>
              </w:rPr>
              <w:t xml:space="preserve"> Housing</w:t>
            </w:r>
          </w:p>
        </w:tc>
        <w:tc>
          <w:tcPr>
            <w:tcW w:w="1037" w:type="pct"/>
            <w:tcBorders>
              <w:top w:val="nil"/>
              <w:left w:val="nil"/>
              <w:bottom w:val="single" w:sz="24" w:space="0" w:color="4F81BD"/>
              <w:right w:val="nil"/>
            </w:tcBorders>
            <w:shd w:val="clear" w:color="auto" w:fill="FFFFFF"/>
          </w:tcPr>
          <w:p w:rsidR="00FD110A" w:rsidRPr="002F2CA6" w:rsidRDefault="00FD110A" w:rsidP="00CD210B">
            <w:pPr>
              <w:spacing w:after="0" w:line="240" w:lineRule="auto"/>
              <w:jc w:val="center"/>
              <w:rPr>
                <w:rFonts w:ascii="Garamond" w:eastAsia="Times New Roman" w:hAnsi="Garamond"/>
                <w:b/>
                <w:sz w:val="24"/>
                <w:szCs w:val="24"/>
                <w:lang w:bidi="en-US"/>
              </w:rPr>
            </w:pPr>
            <w:r w:rsidRPr="002F2CA6">
              <w:rPr>
                <w:rFonts w:ascii="Garamond" w:eastAsia="Times New Roman" w:hAnsi="Garamond"/>
                <w:b/>
                <w:sz w:val="24"/>
                <w:szCs w:val="24"/>
                <w:lang w:bidi="en-US"/>
              </w:rPr>
              <w:t>Hypertension</w:t>
            </w:r>
          </w:p>
        </w:tc>
        <w:tc>
          <w:tcPr>
            <w:tcW w:w="721" w:type="pct"/>
            <w:tcBorders>
              <w:top w:val="nil"/>
              <w:left w:val="nil"/>
              <w:bottom w:val="single" w:sz="24" w:space="0" w:color="4F81BD"/>
              <w:right w:val="nil"/>
            </w:tcBorders>
            <w:shd w:val="clear" w:color="auto" w:fill="FFFFFF"/>
          </w:tcPr>
          <w:p w:rsidR="00FD110A" w:rsidRPr="002F2CA6" w:rsidRDefault="00FD110A" w:rsidP="00CD210B">
            <w:pPr>
              <w:spacing w:after="0" w:line="240" w:lineRule="auto"/>
              <w:jc w:val="center"/>
              <w:rPr>
                <w:rFonts w:ascii="Garamond" w:eastAsia="Times New Roman" w:hAnsi="Garamond"/>
                <w:b/>
                <w:sz w:val="24"/>
                <w:szCs w:val="24"/>
                <w:lang w:bidi="en-US"/>
              </w:rPr>
            </w:pPr>
            <w:r w:rsidRPr="002F2CA6">
              <w:rPr>
                <w:rFonts w:ascii="Garamond" w:eastAsia="Times New Roman" w:hAnsi="Garamond"/>
                <w:b/>
                <w:sz w:val="24"/>
                <w:szCs w:val="24"/>
                <w:lang w:bidi="en-US"/>
              </w:rPr>
              <w:t>Diabetes</w:t>
            </w:r>
          </w:p>
        </w:tc>
        <w:tc>
          <w:tcPr>
            <w:tcW w:w="1916" w:type="pct"/>
            <w:tcBorders>
              <w:top w:val="nil"/>
              <w:left w:val="nil"/>
              <w:bottom w:val="single" w:sz="24" w:space="0" w:color="4F81BD"/>
              <w:right w:val="nil"/>
            </w:tcBorders>
            <w:shd w:val="clear" w:color="auto" w:fill="FFFFFF"/>
          </w:tcPr>
          <w:p w:rsidR="00FD110A" w:rsidRPr="002F2CA6" w:rsidRDefault="00FD110A" w:rsidP="00CD210B">
            <w:pPr>
              <w:spacing w:after="0" w:line="240" w:lineRule="auto"/>
              <w:jc w:val="center"/>
              <w:rPr>
                <w:rFonts w:ascii="Garamond" w:eastAsia="Times New Roman" w:hAnsi="Garamond"/>
                <w:b/>
                <w:sz w:val="24"/>
                <w:szCs w:val="24"/>
                <w:lang w:bidi="en-US"/>
              </w:rPr>
            </w:pPr>
            <w:r w:rsidRPr="002F2CA6">
              <w:rPr>
                <w:rFonts w:ascii="Garamond" w:eastAsia="Times New Roman" w:hAnsi="Garamond"/>
                <w:b/>
                <w:sz w:val="24"/>
                <w:szCs w:val="24"/>
                <w:lang w:bidi="en-US"/>
              </w:rPr>
              <w:t>HTN and DM</w:t>
            </w:r>
            <w:r>
              <w:rPr>
                <w:rFonts w:ascii="Garamond" w:eastAsia="Times New Roman" w:hAnsi="Garamond"/>
                <w:b/>
                <w:sz w:val="24"/>
                <w:szCs w:val="24"/>
                <w:lang w:bidi="en-US"/>
              </w:rPr>
              <w:t xml:space="preserve">      Total</w:t>
            </w:r>
          </w:p>
          <w:p w:rsidR="00FD110A" w:rsidRDefault="00FD110A" w:rsidP="00CD210B">
            <w:pPr>
              <w:spacing w:after="0" w:line="240" w:lineRule="auto"/>
              <w:rPr>
                <w:rFonts w:ascii="Garamond" w:eastAsia="Times New Roman" w:hAnsi="Garamond"/>
                <w:b/>
                <w:sz w:val="24"/>
                <w:szCs w:val="24"/>
                <w:lang w:bidi="en-US"/>
              </w:rPr>
            </w:pPr>
            <w:r>
              <w:rPr>
                <w:rFonts w:ascii="Garamond" w:eastAsia="Times New Roman" w:hAnsi="Garamond"/>
                <w:b/>
                <w:sz w:val="24"/>
                <w:szCs w:val="24"/>
                <w:lang w:bidi="en-US"/>
              </w:rPr>
              <w:t xml:space="preserve">   </w:t>
            </w:r>
            <w:r w:rsidRPr="002F2CA6">
              <w:rPr>
                <w:rFonts w:ascii="Garamond" w:eastAsia="Times New Roman" w:hAnsi="Garamond"/>
                <w:b/>
                <w:sz w:val="24"/>
                <w:szCs w:val="24"/>
                <w:lang w:bidi="en-US"/>
              </w:rPr>
              <w:t xml:space="preserve">(inclusive of </w:t>
            </w:r>
          </w:p>
          <w:p w:rsidR="00FD110A" w:rsidRPr="002F2CA6" w:rsidRDefault="00FD110A" w:rsidP="00CD210B">
            <w:pPr>
              <w:spacing w:after="0" w:line="240" w:lineRule="auto"/>
              <w:rPr>
                <w:rFonts w:ascii="Garamond" w:eastAsia="Times New Roman" w:hAnsi="Garamond"/>
                <w:b/>
                <w:sz w:val="24"/>
                <w:szCs w:val="24"/>
                <w:lang w:bidi="en-US"/>
              </w:rPr>
            </w:pPr>
            <w:r>
              <w:rPr>
                <w:rFonts w:ascii="Garamond" w:eastAsia="Times New Roman" w:hAnsi="Garamond"/>
                <w:b/>
                <w:sz w:val="24"/>
                <w:szCs w:val="24"/>
                <w:lang w:bidi="en-US"/>
              </w:rPr>
              <w:t xml:space="preserve">    </w:t>
            </w:r>
            <w:r w:rsidRPr="002F2CA6">
              <w:rPr>
                <w:rFonts w:ascii="Garamond" w:eastAsia="Times New Roman" w:hAnsi="Garamond"/>
                <w:b/>
                <w:sz w:val="24"/>
                <w:szCs w:val="24"/>
                <w:lang w:bidi="en-US"/>
              </w:rPr>
              <w:t>columns 1 &amp; 2)</w:t>
            </w:r>
          </w:p>
        </w:tc>
      </w:tr>
      <w:tr w:rsidR="00FD110A" w:rsidRPr="002F2CA6" w:rsidTr="00CD210B">
        <w:tc>
          <w:tcPr>
            <w:tcW w:w="1326" w:type="pct"/>
            <w:tcBorders>
              <w:top w:val="nil"/>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African American</w:t>
            </w:r>
          </w:p>
        </w:tc>
        <w:tc>
          <w:tcPr>
            <w:tcW w:w="1037"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9</w:t>
            </w:r>
          </w:p>
        </w:tc>
        <w:tc>
          <w:tcPr>
            <w:tcW w:w="721"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11</w:t>
            </w:r>
          </w:p>
        </w:tc>
        <w:tc>
          <w:tcPr>
            <w:tcW w:w="1916" w:type="pct"/>
            <w:tcBorders>
              <w:top w:val="nil"/>
              <w:left w:val="nil"/>
              <w:bottom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8</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28</w:t>
            </w:r>
          </w:p>
        </w:tc>
      </w:tr>
      <w:tr w:rsidR="00FD110A" w:rsidRPr="002F2CA6" w:rsidTr="00CD210B">
        <w:tc>
          <w:tcPr>
            <w:tcW w:w="1326" w:type="pct"/>
            <w:tcBorders>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Asian American</w:t>
            </w:r>
          </w:p>
        </w:tc>
        <w:tc>
          <w:tcPr>
            <w:tcW w:w="1037"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6</w:t>
            </w:r>
          </w:p>
        </w:tc>
        <w:tc>
          <w:tcPr>
            <w:tcW w:w="721"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4</w:t>
            </w:r>
          </w:p>
        </w:tc>
        <w:tc>
          <w:tcPr>
            <w:tcW w:w="1916" w:type="pct"/>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4</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14</w:t>
            </w:r>
          </w:p>
        </w:tc>
      </w:tr>
      <w:tr w:rsidR="00FD110A" w:rsidRPr="002F2CA6" w:rsidTr="00CD210B">
        <w:tc>
          <w:tcPr>
            <w:tcW w:w="1326" w:type="pct"/>
            <w:tcBorders>
              <w:top w:val="nil"/>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Hispanic</w:t>
            </w:r>
          </w:p>
        </w:tc>
        <w:tc>
          <w:tcPr>
            <w:tcW w:w="1037"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12</w:t>
            </w:r>
          </w:p>
        </w:tc>
        <w:tc>
          <w:tcPr>
            <w:tcW w:w="721" w:type="pct"/>
            <w:tcBorders>
              <w:top w:val="nil"/>
              <w:left w:val="nil"/>
              <w:bottom w:val="nil"/>
              <w:right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11</w:t>
            </w:r>
          </w:p>
        </w:tc>
        <w:tc>
          <w:tcPr>
            <w:tcW w:w="1916" w:type="pct"/>
            <w:tcBorders>
              <w:top w:val="nil"/>
              <w:left w:val="nil"/>
              <w:bottom w:val="nil"/>
            </w:tcBorders>
            <w:shd w:val="clear" w:color="auto" w:fill="D3DFEE"/>
          </w:tcPr>
          <w:p w:rsidR="00FD110A" w:rsidRPr="002F2CA6" w:rsidRDefault="00FD110A" w:rsidP="00CD210B">
            <w:pPr>
              <w:spacing w:after="0" w:line="240" w:lineRule="auto"/>
              <w:jc w:val="center"/>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5</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28</w:t>
            </w:r>
          </w:p>
        </w:tc>
      </w:tr>
      <w:tr w:rsidR="00FD110A" w:rsidRPr="002F2CA6" w:rsidTr="00CD210B">
        <w:tc>
          <w:tcPr>
            <w:tcW w:w="1326" w:type="pct"/>
            <w:tcBorders>
              <w:left w:val="nil"/>
              <w:bottom w:val="nil"/>
              <w:right w:val="single" w:sz="8" w:space="0" w:color="4F81BD"/>
            </w:tcBorders>
            <w:shd w:val="clear" w:color="auto" w:fill="FFFFFF"/>
            <w:noWrap/>
          </w:tcPr>
          <w:p w:rsidR="00FD110A" w:rsidRPr="002F2CA6" w:rsidRDefault="00FD110A" w:rsidP="00CD210B">
            <w:pPr>
              <w:spacing w:after="0" w:line="240" w:lineRule="auto"/>
              <w:rPr>
                <w:rFonts w:ascii="Garamond" w:eastAsia="Times New Roman" w:hAnsi="Garamond"/>
                <w:sz w:val="24"/>
                <w:szCs w:val="24"/>
                <w:lang w:bidi="en-US"/>
              </w:rPr>
            </w:pPr>
            <w:r w:rsidRPr="002F2CA6">
              <w:rPr>
                <w:rFonts w:ascii="Garamond" w:eastAsia="Times New Roman" w:hAnsi="Garamond"/>
                <w:sz w:val="24"/>
                <w:szCs w:val="24"/>
                <w:lang w:bidi="en-US"/>
              </w:rPr>
              <w:t>Total</w:t>
            </w:r>
          </w:p>
        </w:tc>
        <w:tc>
          <w:tcPr>
            <w:tcW w:w="1037"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27</w:t>
            </w:r>
          </w:p>
        </w:tc>
        <w:tc>
          <w:tcPr>
            <w:tcW w:w="721" w:type="pct"/>
          </w:tcPr>
          <w:p w:rsidR="00FD110A" w:rsidRPr="002F2CA6" w:rsidRDefault="00FD110A" w:rsidP="00CD210B">
            <w:pPr>
              <w:spacing w:after="0" w:line="240" w:lineRule="auto"/>
              <w:jc w:val="center"/>
              <w:rPr>
                <w:rFonts w:ascii="Garamond" w:eastAsia="Times New Roman" w:hAnsi="Garamond"/>
                <w:sz w:val="24"/>
                <w:szCs w:val="24"/>
                <w:lang w:bidi="en-US"/>
              </w:rPr>
            </w:pPr>
            <w:r w:rsidRPr="002F2CA6">
              <w:rPr>
                <w:rFonts w:ascii="Garamond" w:eastAsia="Times New Roman" w:hAnsi="Garamond"/>
                <w:sz w:val="24"/>
                <w:szCs w:val="24"/>
                <w:lang w:bidi="en-US"/>
              </w:rPr>
              <w:t>26</w:t>
            </w:r>
          </w:p>
        </w:tc>
        <w:tc>
          <w:tcPr>
            <w:tcW w:w="1916" w:type="pct"/>
          </w:tcPr>
          <w:p w:rsidR="00FD110A" w:rsidRPr="002F2CA6" w:rsidRDefault="00FD110A" w:rsidP="00CD210B">
            <w:pPr>
              <w:spacing w:after="0" w:line="240" w:lineRule="auto"/>
              <w:rPr>
                <w:rFonts w:ascii="Garamond" w:eastAsia="Times New Roman" w:hAnsi="Garamond"/>
                <w:sz w:val="24"/>
                <w:szCs w:val="24"/>
                <w:lang w:bidi="en-US"/>
              </w:rPr>
            </w:pPr>
            <w:r>
              <w:rPr>
                <w:rFonts w:ascii="Garamond" w:eastAsia="Times New Roman" w:hAnsi="Garamond"/>
                <w:sz w:val="24"/>
                <w:szCs w:val="24"/>
                <w:lang w:bidi="en-US"/>
              </w:rPr>
              <w:t xml:space="preserve">            </w:t>
            </w:r>
            <w:r w:rsidRPr="002F2CA6">
              <w:rPr>
                <w:rFonts w:ascii="Garamond" w:eastAsia="Times New Roman" w:hAnsi="Garamond"/>
                <w:sz w:val="24"/>
                <w:szCs w:val="24"/>
                <w:lang w:bidi="en-US"/>
              </w:rPr>
              <w:t>17</w:t>
            </w:r>
            <w:r>
              <w:rPr>
                <w:rFonts w:ascii="Garamond" w:eastAsia="Times New Roman" w:hAnsi="Garamond"/>
                <w:sz w:val="24"/>
                <w:szCs w:val="24"/>
                <w:lang w:bidi="en-US"/>
              </w:rPr>
              <w:t xml:space="preserve">                     </w:t>
            </w:r>
            <w:r w:rsidRPr="00CC1260">
              <w:rPr>
                <w:rFonts w:ascii="Garamond" w:eastAsia="Times New Roman" w:hAnsi="Garamond"/>
                <w:b/>
                <w:sz w:val="24"/>
                <w:szCs w:val="24"/>
                <w:lang w:bidi="en-US"/>
              </w:rPr>
              <w:t>70</w:t>
            </w:r>
          </w:p>
        </w:tc>
      </w:tr>
    </w:tbl>
    <w:p w:rsidR="00FD110A"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r>
        <w:rPr>
          <w:rFonts w:ascii="Garamond" w:hAnsi="Garamond"/>
          <w:sz w:val="24"/>
          <w:szCs w:val="24"/>
        </w:rPr>
        <w:t>*HTN=hypertension, DM= diabetes mellitus</w:t>
      </w:r>
    </w:p>
    <w:p w:rsidR="00FD110A" w:rsidRPr="00471C48"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p>
    <w:p w:rsidR="00FD110A" w:rsidRPr="00EC48CC" w:rsidRDefault="00FD110A" w:rsidP="00FD110A">
      <w:pPr>
        <w:pStyle w:val="Heading2"/>
        <w:rPr>
          <w:rFonts w:ascii="Garamond" w:hAnsi="Garamond"/>
          <w:sz w:val="24"/>
          <w:szCs w:val="24"/>
        </w:rPr>
      </w:pPr>
      <w:bookmarkStart w:id="2" w:name="_Toc296354105"/>
      <w:r w:rsidRPr="00EC48CC">
        <w:rPr>
          <w:rFonts w:ascii="Garamond" w:hAnsi="Garamond"/>
          <w:sz w:val="24"/>
          <w:szCs w:val="24"/>
        </w:rPr>
        <w:t>2.     Information Collection Procedures</w:t>
      </w:r>
      <w:bookmarkEnd w:id="2"/>
    </w:p>
    <w:p w:rsidR="00FD110A" w:rsidRDefault="00FD110A" w:rsidP="00FD110A">
      <w:pPr>
        <w:spacing w:after="0" w:line="240" w:lineRule="auto"/>
        <w:rPr>
          <w:rFonts w:ascii="Garamond" w:hAnsi="Garamond"/>
          <w:sz w:val="24"/>
          <w:szCs w:val="24"/>
        </w:rPr>
      </w:pPr>
      <w:r w:rsidRPr="00A37CB0">
        <w:rPr>
          <w:rFonts w:ascii="Garamond" w:hAnsi="Garamond"/>
          <w:sz w:val="24"/>
          <w:szCs w:val="24"/>
        </w:rPr>
        <w:t xml:space="preserve">Information collection procedures will vary by local hub site.  This project will not interfere with ongoing program operations.  </w:t>
      </w:r>
    </w:p>
    <w:p w:rsidR="00FD110A"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r>
        <w:rPr>
          <w:rFonts w:ascii="Garamond" w:hAnsi="Garamond"/>
          <w:sz w:val="24"/>
          <w:szCs w:val="24"/>
        </w:rPr>
        <w:t xml:space="preserve">In Chicago, clinic staff will administer the paper and pencil screening tool to patients; clinic staff will </w:t>
      </w:r>
      <w:proofErr w:type="spellStart"/>
      <w:r>
        <w:rPr>
          <w:rFonts w:ascii="Garamond" w:hAnsi="Garamond"/>
          <w:sz w:val="24"/>
          <w:szCs w:val="24"/>
        </w:rPr>
        <w:t>followup</w:t>
      </w:r>
      <w:proofErr w:type="spellEnd"/>
      <w:r>
        <w:rPr>
          <w:rFonts w:ascii="Garamond" w:hAnsi="Garamond"/>
          <w:sz w:val="24"/>
          <w:szCs w:val="24"/>
        </w:rPr>
        <w:t xml:space="preserve"> and further discuss the program with the patients and obtain additional eligibility requirements.  Once a patient is deemed eligible and agrees to participate in the program, clinic staff will ensure that they have the patient’s electronic health record.  </w:t>
      </w:r>
      <w:r w:rsidRPr="00EE1E8D">
        <w:rPr>
          <w:rFonts w:ascii="Garamond" w:hAnsi="Garamond"/>
          <w:sz w:val="24"/>
          <w:szCs w:val="24"/>
        </w:rPr>
        <w:t>CHWs</w:t>
      </w:r>
      <w:r>
        <w:rPr>
          <w:rFonts w:ascii="Garamond" w:hAnsi="Garamond"/>
          <w:sz w:val="24"/>
          <w:szCs w:val="24"/>
        </w:rPr>
        <w:t xml:space="preserve"> and</w:t>
      </w:r>
      <w:r w:rsidRPr="00EE1E8D">
        <w:rPr>
          <w:rFonts w:ascii="Garamond" w:hAnsi="Garamond"/>
          <w:sz w:val="24"/>
          <w:szCs w:val="24"/>
        </w:rPr>
        <w:t xml:space="preserve"> clinic staff will </w:t>
      </w:r>
      <w:r>
        <w:rPr>
          <w:rFonts w:ascii="Garamond" w:hAnsi="Garamond"/>
          <w:sz w:val="24"/>
          <w:szCs w:val="24"/>
        </w:rPr>
        <w:t>first have the patients sign a consent form.  Baseline information will be</w:t>
      </w:r>
      <w:r w:rsidRPr="00A37CB0">
        <w:rPr>
          <w:rFonts w:ascii="Garamond" w:hAnsi="Garamond"/>
          <w:sz w:val="24"/>
          <w:szCs w:val="24"/>
        </w:rPr>
        <w:t xml:space="preserve"> obta</w:t>
      </w:r>
      <w:r>
        <w:rPr>
          <w:rFonts w:ascii="Garamond" w:hAnsi="Garamond"/>
          <w:sz w:val="24"/>
          <w:szCs w:val="24"/>
        </w:rPr>
        <w:t>ined by Community Health Workers/</w:t>
      </w:r>
      <w:r w:rsidRPr="00A37CB0">
        <w:rPr>
          <w:rFonts w:ascii="Garamond" w:hAnsi="Garamond"/>
          <w:sz w:val="24"/>
          <w:szCs w:val="24"/>
        </w:rPr>
        <w:t>program staff</w:t>
      </w:r>
      <w:r>
        <w:rPr>
          <w:rFonts w:ascii="Garamond" w:hAnsi="Garamond"/>
          <w:sz w:val="24"/>
          <w:szCs w:val="24"/>
        </w:rPr>
        <w:t xml:space="preserve"> when patients attend the sessions</w:t>
      </w:r>
      <w:r w:rsidRPr="00A37CB0">
        <w:rPr>
          <w:rFonts w:ascii="Garamond" w:hAnsi="Garamond"/>
          <w:b/>
          <w:sz w:val="24"/>
          <w:szCs w:val="24"/>
        </w:rPr>
        <w:t xml:space="preserve">. </w:t>
      </w:r>
      <w:r w:rsidRPr="00A37CB0">
        <w:rPr>
          <w:rFonts w:ascii="Garamond" w:hAnsi="Garamond"/>
          <w:sz w:val="24"/>
          <w:szCs w:val="24"/>
        </w:rPr>
        <w:t xml:space="preserve"> In instances where clients are no longer </w:t>
      </w:r>
      <w:r>
        <w:rPr>
          <w:rFonts w:ascii="Garamond" w:hAnsi="Garamond"/>
          <w:sz w:val="24"/>
          <w:szCs w:val="24"/>
        </w:rPr>
        <w:t xml:space="preserve">participating in or have dropped out of </w:t>
      </w:r>
      <w:r w:rsidRPr="00A37CB0">
        <w:rPr>
          <w:rFonts w:ascii="Garamond" w:hAnsi="Garamond"/>
          <w:sz w:val="24"/>
          <w:szCs w:val="24"/>
        </w:rPr>
        <w:t xml:space="preserve">the intervention, staff from the program will locate the </w:t>
      </w:r>
      <w:r>
        <w:rPr>
          <w:rFonts w:ascii="Garamond" w:hAnsi="Garamond"/>
          <w:sz w:val="24"/>
          <w:szCs w:val="24"/>
        </w:rPr>
        <w:t>patients</w:t>
      </w:r>
      <w:r w:rsidRPr="00A37CB0">
        <w:rPr>
          <w:rFonts w:ascii="Garamond" w:hAnsi="Garamond"/>
          <w:sz w:val="24"/>
          <w:szCs w:val="24"/>
        </w:rPr>
        <w:t xml:space="preserve"> and conduct</w:t>
      </w:r>
      <w:r>
        <w:rPr>
          <w:rFonts w:ascii="Garamond" w:hAnsi="Garamond"/>
          <w:sz w:val="24"/>
          <w:szCs w:val="24"/>
        </w:rPr>
        <w:t xml:space="preserve"> the post-intervention</w:t>
      </w:r>
      <w:r w:rsidRPr="00A37CB0">
        <w:rPr>
          <w:rFonts w:ascii="Garamond" w:hAnsi="Garamond"/>
          <w:sz w:val="24"/>
          <w:szCs w:val="24"/>
        </w:rPr>
        <w:t xml:space="preserve"> interviews.  These interviews are </w:t>
      </w:r>
      <w:r>
        <w:rPr>
          <w:rFonts w:ascii="Garamond" w:hAnsi="Garamond"/>
          <w:sz w:val="24"/>
          <w:szCs w:val="24"/>
        </w:rPr>
        <w:t xml:space="preserve">intended </w:t>
      </w:r>
      <w:r w:rsidRPr="00A37CB0">
        <w:rPr>
          <w:rFonts w:ascii="Garamond" w:hAnsi="Garamond"/>
          <w:sz w:val="24"/>
          <w:szCs w:val="24"/>
        </w:rPr>
        <w:t>to be conducted face-to-face</w:t>
      </w:r>
      <w:r>
        <w:rPr>
          <w:rFonts w:ascii="Garamond" w:hAnsi="Garamond"/>
          <w:sz w:val="24"/>
          <w:szCs w:val="24"/>
        </w:rPr>
        <w:t xml:space="preserve">, as needed they </w:t>
      </w:r>
      <w:r w:rsidRPr="00A37CB0">
        <w:rPr>
          <w:rFonts w:ascii="Garamond" w:hAnsi="Garamond"/>
          <w:sz w:val="24"/>
          <w:szCs w:val="24"/>
        </w:rPr>
        <w:t>can be conducted over the phone.</w:t>
      </w:r>
      <w:r>
        <w:rPr>
          <w:rFonts w:ascii="Garamond" w:hAnsi="Garamond"/>
          <w:sz w:val="24"/>
          <w:szCs w:val="24"/>
        </w:rPr>
        <w:t xml:space="preserve">  </w:t>
      </w:r>
      <w:r w:rsidRPr="00EE1E8D">
        <w:rPr>
          <w:rFonts w:ascii="Garamond" w:hAnsi="Garamond"/>
          <w:sz w:val="24"/>
          <w:szCs w:val="24"/>
        </w:rPr>
        <w:t>The forms will be available in Spanish and English</w:t>
      </w:r>
      <w:r>
        <w:rPr>
          <w:rFonts w:ascii="Garamond" w:hAnsi="Garamond"/>
          <w:sz w:val="24"/>
          <w:szCs w:val="24"/>
        </w:rPr>
        <w:t>,</w:t>
      </w:r>
      <w:r w:rsidRPr="00EE1E8D">
        <w:rPr>
          <w:rFonts w:ascii="Garamond" w:hAnsi="Garamond"/>
          <w:sz w:val="24"/>
          <w:szCs w:val="24"/>
        </w:rPr>
        <w:t xml:space="preserve"> and those who have literacy problems will be offered assistance in completing the form.  Unique participant identification numbers, case numbers, will be used to facilitate matching baseline and post-intervention data, but no identifying </w:t>
      </w:r>
      <w:r>
        <w:rPr>
          <w:rFonts w:ascii="Garamond" w:hAnsi="Garamond"/>
          <w:sz w:val="24"/>
          <w:szCs w:val="24"/>
        </w:rPr>
        <w:t>information will be provided to</w:t>
      </w:r>
      <w:r w:rsidRPr="00EE1E8D">
        <w:rPr>
          <w:rFonts w:ascii="Garamond" w:hAnsi="Garamond"/>
          <w:sz w:val="24"/>
          <w:szCs w:val="24"/>
        </w:rPr>
        <w:t xml:space="preserve"> staff. </w:t>
      </w:r>
      <w:r>
        <w:rPr>
          <w:rFonts w:ascii="Garamond" w:hAnsi="Garamond"/>
          <w:sz w:val="24"/>
          <w:szCs w:val="24"/>
        </w:rPr>
        <w:t xml:space="preserve"> </w:t>
      </w:r>
      <w:r w:rsidRPr="00E23179">
        <w:rPr>
          <w:rFonts w:ascii="Garamond" w:hAnsi="Garamond"/>
          <w:sz w:val="24"/>
          <w:szCs w:val="24"/>
        </w:rPr>
        <w:t xml:space="preserve">The data for those </w:t>
      </w:r>
      <w:r>
        <w:rPr>
          <w:rFonts w:ascii="Garamond" w:hAnsi="Garamond"/>
          <w:sz w:val="24"/>
          <w:szCs w:val="24"/>
        </w:rPr>
        <w:t>patients</w:t>
      </w:r>
      <w:r w:rsidRPr="00E23179">
        <w:rPr>
          <w:rFonts w:ascii="Garamond" w:hAnsi="Garamond"/>
          <w:sz w:val="24"/>
          <w:szCs w:val="24"/>
        </w:rPr>
        <w:t xml:space="preserve"> with baseline</w:t>
      </w:r>
      <w:r>
        <w:rPr>
          <w:rFonts w:ascii="Garamond" w:hAnsi="Garamond"/>
          <w:sz w:val="24"/>
          <w:szCs w:val="24"/>
        </w:rPr>
        <w:t xml:space="preserve"> </w:t>
      </w:r>
      <w:r w:rsidRPr="00E23179">
        <w:rPr>
          <w:rFonts w:ascii="Garamond" w:hAnsi="Garamond"/>
          <w:sz w:val="24"/>
          <w:szCs w:val="24"/>
        </w:rPr>
        <w:t xml:space="preserve">and </w:t>
      </w:r>
      <w:r>
        <w:rPr>
          <w:rFonts w:ascii="Garamond" w:hAnsi="Garamond"/>
          <w:sz w:val="24"/>
          <w:szCs w:val="24"/>
        </w:rPr>
        <w:t>post-intervention</w:t>
      </w:r>
      <w:r w:rsidRPr="00E23179">
        <w:rPr>
          <w:rFonts w:ascii="Garamond" w:hAnsi="Garamond"/>
          <w:sz w:val="24"/>
          <w:szCs w:val="24"/>
        </w:rPr>
        <w:t xml:space="preserve"> data </w:t>
      </w:r>
      <w:r>
        <w:rPr>
          <w:rFonts w:ascii="Garamond" w:hAnsi="Garamond"/>
          <w:sz w:val="24"/>
          <w:szCs w:val="24"/>
        </w:rPr>
        <w:t>will be</w:t>
      </w:r>
      <w:r w:rsidRPr="00E23179">
        <w:rPr>
          <w:rFonts w:ascii="Garamond" w:hAnsi="Garamond"/>
          <w:sz w:val="24"/>
          <w:szCs w:val="24"/>
        </w:rPr>
        <w:t xml:space="preserve"> matched using a unique encrypted identifier.</w:t>
      </w:r>
      <w:r>
        <w:rPr>
          <w:rFonts w:ascii="Garamond" w:hAnsi="Garamond"/>
          <w:sz w:val="24"/>
          <w:szCs w:val="24"/>
        </w:rPr>
        <w:t xml:space="preserve">  </w:t>
      </w:r>
      <w:r w:rsidRPr="008A1695">
        <w:rPr>
          <w:rFonts w:ascii="Garamond" w:hAnsi="Garamond"/>
          <w:sz w:val="24"/>
          <w:szCs w:val="24"/>
        </w:rPr>
        <w:t>Completed questionnaires will be kept in a locked file</w:t>
      </w:r>
      <w:r>
        <w:rPr>
          <w:rFonts w:ascii="Garamond" w:hAnsi="Garamond"/>
          <w:sz w:val="24"/>
          <w:szCs w:val="24"/>
        </w:rPr>
        <w:t xml:space="preserve">.  </w:t>
      </w:r>
      <w:r w:rsidRPr="008A1695">
        <w:rPr>
          <w:rFonts w:ascii="Garamond" w:hAnsi="Garamond"/>
          <w:sz w:val="24"/>
          <w:szCs w:val="24"/>
        </w:rPr>
        <w:t xml:space="preserve"> </w:t>
      </w:r>
      <w:r w:rsidRPr="00E23179">
        <w:rPr>
          <w:rFonts w:ascii="Garamond" w:hAnsi="Garamond"/>
          <w:sz w:val="24"/>
          <w:szCs w:val="24"/>
        </w:rPr>
        <w:t xml:space="preserve">  </w:t>
      </w:r>
    </w:p>
    <w:p w:rsidR="00FD110A" w:rsidRDefault="00FD110A" w:rsidP="00FD110A">
      <w:pPr>
        <w:spacing w:after="0" w:line="240" w:lineRule="auto"/>
        <w:rPr>
          <w:rFonts w:ascii="Garamond" w:hAnsi="Garamond"/>
          <w:sz w:val="24"/>
          <w:szCs w:val="24"/>
        </w:rPr>
      </w:pPr>
    </w:p>
    <w:p w:rsidR="00FD110A" w:rsidRDefault="00FD110A" w:rsidP="00FD110A">
      <w:pPr>
        <w:tabs>
          <w:tab w:val="left" w:pos="720"/>
        </w:tabs>
        <w:spacing w:after="0" w:line="240" w:lineRule="auto"/>
        <w:rPr>
          <w:rFonts w:ascii="Garamond" w:hAnsi="Garamond"/>
          <w:sz w:val="24"/>
          <w:szCs w:val="24"/>
        </w:rPr>
      </w:pPr>
      <w:r>
        <w:rPr>
          <w:rFonts w:ascii="Garamond" w:hAnsi="Garamond"/>
          <w:sz w:val="24"/>
          <w:szCs w:val="24"/>
        </w:rPr>
        <w:t>In Houston, once patients have been recruited, program</w:t>
      </w:r>
      <w:r w:rsidRPr="001A05BD">
        <w:rPr>
          <w:rFonts w:ascii="Garamond" w:hAnsi="Garamond"/>
          <w:sz w:val="24"/>
          <w:szCs w:val="24"/>
        </w:rPr>
        <w:t xml:space="preserve"> staff will first have the patients sign a consent form to acknowledge their participation in the program and consent to complete program questionnaires, as well as consent to have their clinical data (blood pressure readings, measure diabetic HbA1C levels, and weigh patients) measured.</w:t>
      </w:r>
      <w:r>
        <w:rPr>
          <w:rFonts w:ascii="Garamond" w:hAnsi="Garamond"/>
          <w:sz w:val="24"/>
          <w:szCs w:val="24"/>
        </w:rPr>
        <w:t xml:space="preserve"> </w:t>
      </w:r>
      <w:r w:rsidRPr="008A1695">
        <w:rPr>
          <w:rFonts w:ascii="Garamond" w:hAnsi="Garamond"/>
          <w:sz w:val="24"/>
          <w:szCs w:val="24"/>
        </w:rPr>
        <w:t xml:space="preserve">The paper and pencil data collection forms will be administered </w:t>
      </w:r>
      <w:r>
        <w:rPr>
          <w:rFonts w:ascii="Garamond" w:hAnsi="Garamond"/>
          <w:sz w:val="24"/>
          <w:szCs w:val="24"/>
        </w:rPr>
        <w:t xml:space="preserve">and completed </w:t>
      </w:r>
      <w:r w:rsidRPr="008A1695">
        <w:rPr>
          <w:rFonts w:ascii="Garamond" w:hAnsi="Garamond"/>
          <w:sz w:val="24"/>
          <w:szCs w:val="24"/>
        </w:rPr>
        <w:t>by the pharmacists</w:t>
      </w:r>
      <w:r>
        <w:rPr>
          <w:rFonts w:ascii="Garamond" w:hAnsi="Garamond"/>
          <w:sz w:val="24"/>
          <w:szCs w:val="24"/>
        </w:rPr>
        <w:t xml:space="preserve"> and Houston Hub staff</w:t>
      </w:r>
      <w:r w:rsidRPr="008A1695">
        <w:rPr>
          <w:rFonts w:ascii="Garamond" w:hAnsi="Garamond"/>
          <w:sz w:val="24"/>
          <w:szCs w:val="24"/>
        </w:rPr>
        <w:t xml:space="preserve">. The forms will be available in English, Spanish, </w:t>
      </w:r>
      <w:r>
        <w:rPr>
          <w:rFonts w:ascii="Garamond" w:hAnsi="Garamond"/>
          <w:sz w:val="24"/>
          <w:szCs w:val="24"/>
        </w:rPr>
        <w:t xml:space="preserve">Chinese, </w:t>
      </w:r>
      <w:r w:rsidRPr="008A1695">
        <w:rPr>
          <w:rFonts w:ascii="Garamond" w:hAnsi="Garamond"/>
          <w:sz w:val="24"/>
          <w:szCs w:val="24"/>
        </w:rPr>
        <w:t xml:space="preserve">and Vietnamese.  </w:t>
      </w:r>
      <w:r>
        <w:rPr>
          <w:rFonts w:ascii="Garamond" w:hAnsi="Garamond"/>
          <w:sz w:val="24"/>
          <w:szCs w:val="24"/>
        </w:rPr>
        <w:t xml:space="preserve">Pharmacists and staff will administer the forms in the preferred language of the patient.  </w:t>
      </w:r>
      <w:r w:rsidRPr="008A1695">
        <w:rPr>
          <w:rFonts w:ascii="Garamond" w:hAnsi="Garamond"/>
          <w:sz w:val="24"/>
          <w:szCs w:val="24"/>
        </w:rPr>
        <w:t>Unique patient identification numbers will be used to facilitate matching baseline and post-intervention data, but no identifying information will be provided to project staff.  Paper forms will be given to project staff for data entry and analysis.  Completed questionnaires will be kept in a locked file and the computer database will be password enabled so that only project staff can access the information.</w:t>
      </w:r>
      <w:r>
        <w:rPr>
          <w:rFonts w:ascii="Garamond" w:hAnsi="Garamond"/>
          <w:sz w:val="24"/>
          <w:szCs w:val="24"/>
        </w:rPr>
        <w:t xml:space="preserve"> </w:t>
      </w:r>
    </w:p>
    <w:p w:rsidR="00FD110A" w:rsidRDefault="00FD110A" w:rsidP="00FD110A">
      <w:pPr>
        <w:spacing w:after="0" w:line="240" w:lineRule="auto"/>
        <w:rPr>
          <w:rFonts w:ascii="Garamond" w:hAnsi="Garamond"/>
          <w:sz w:val="24"/>
          <w:szCs w:val="24"/>
        </w:rPr>
      </w:pPr>
    </w:p>
    <w:p w:rsidR="00FD110A" w:rsidRPr="00E23179" w:rsidRDefault="00FD110A" w:rsidP="00FD110A">
      <w:pPr>
        <w:spacing w:after="0" w:line="240" w:lineRule="auto"/>
        <w:rPr>
          <w:rFonts w:ascii="Garamond" w:hAnsi="Garamond"/>
          <w:sz w:val="24"/>
          <w:szCs w:val="24"/>
        </w:rPr>
      </w:pPr>
    </w:p>
    <w:p w:rsidR="00FD110A" w:rsidRPr="00EC48CC" w:rsidRDefault="00FD110A" w:rsidP="00FD110A">
      <w:pPr>
        <w:pStyle w:val="Heading2"/>
        <w:rPr>
          <w:rFonts w:ascii="Garamond" w:hAnsi="Garamond"/>
          <w:sz w:val="24"/>
          <w:szCs w:val="24"/>
        </w:rPr>
      </w:pPr>
      <w:bookmarkStart w:id="3" w:name="_Toc296354106"/>
      <w:r w:rsidRPr="00EC48CC">
        <w:rPr>
          <w:rFonts w:ascii="Garamond" w:hAnsi="Garamond"/>
          <w:sz w:val="24"/>
          <w:szCs w:val="24"/>
        </w:rPr>
        <w:t>3.     Methods to Maximize Response Rates</w:t>
      </w:r>
      <w:bookmarkEnd w:id="3"/>
    </w:p>
    <w:p w:rsidR="00FD110A" w:rsidRDefault="00FD110A" w:rsidP="00FD110A">
      <w:pPr>
        <w:spacing w:after="0" w:line="240" w:lineRule="auto"/>
        <w:rPr>
          <w:rFonts w:ascii="Garamond" w:hAnsi="Garamond"/>
          <w:sz w:val="24"/>
          <w:szCs w:val="24"/>
        </w:rPr>
      </w:pPr>
      <w:r>
        <w:rPr>
          <w:rFonts w:ascii="Garamond" w:hAnsi="Garamond"/>
          <w:sz w:val="24"/>
          <w:szCs w:val="24"/>
        </w:rPr>
        <w:t xml:space="preserve">A number of methods will be used to maximize the response rates, they include:  </w:t>
      </w:r>
    </w:p>
    <w:p w:rsidR="00FD110A" w:rsidRDefault="00FD110A" w:rsidP="00FD110A">
      <w:pPr>
        <w:spacing w:after="0" w:line="240" w:lineRule="auto"/>
        <w:rPr>
          <w:rFonts w:ascii="Garamond" w:hAnsi="Garamond"/>
          <w:sz w:val="24"/>
          <w:szCs w:val="24"/>
        </w:rPr>
      </w:pPr>
    </w:p>
    <w:p w:rsidR="00FD110A" w:rsidRPr="00713632" w:rsidRDefault="00FD110A" w:rsidP="00FD110A">
      <w:pPr>
        <w:pStyle w:val="ListParagraph"/>
        <w:numPr>
          <w:ilvl w:val="0"/>
          <w:numId w:val="1"/>
        </w:numPr>
        <w:spacing w:after="0" w:line="240" w:lineRule="auto"/>
        <w:rPr>
          <w:rFonts w:ascii="Garamond" w:hAnsi="Garamond"/>
          <w:sz w:val="24"/>
          <w:szCs w:val="24"/>
        </w:rPr>
      </w:pPr>
      <w:r w:rsidRPr="00140675">
        <w:rPr>
          <w:rFonts w:ascii="Garamond" w:hAnsi="Garamond"/>
          <w:b/>
          <w:sz w:val="24"/>
          <w:szCs w:val="24"/>
        </w:rPr>
        <w:t>Incentives</w:t>
      </w:r>
      <w:r>
        <w:rPr>
          <w:rFonts w:ascii="Garamond" w:hAnsi="Garamond"/>
          <w:sz w:val="24"/>
          <w:szCs w:val="24"/>
        </w:rPr>
        <w:t>—Houston will provid</w:t>
      </w:r>
      <w:r w:rsidRPr="00140675">
        <w:rPr>
          <w:rFonts w:ascii="Garamond" w:hAnsi="Garamond"/>
          <w:sz w:val="24"/>
          <w:szCs w:val="24"/>
        </w:rPr>
        <w:t>e incentives</w:t>
      </w:r>
      <w:r>
        <w:rPr>
          <w:rFonts w:ascii="Garamond" w:hAnsi="Garamond"/>
          <w:sz w:val="24"/>
          <w:szCs w:val="24"/>
        </w:rPr>
        <w:t xml:space="preserve"> to patients to increase the likelihood of the participants completing the post-intervention surveys;</w:t>
      </w:r>
      <w:r>
        <w:rPr>
          <w:rFonts w:ascii="Garamond" w:hAnsi="Garamond"/>
          <w:sz w:val="24"/>
          <w:szCs w:val="24"/>
        </w:rPr>
        <w:br/>
      </w:r>
    </w:p>
    <w:p w:rsidR="00FD110A" w:rsidRDefault="00FD110A" w:rsidP="00FD110A">
      <w:pPr>
        <w:pStyle w:val="ListParagraph"/>
        <w:numPr>
          <w:ilvl w:val="0"/>
          <w:numId w:val="1"/>
        </w:numPr>
        <w:spacing w:after="0" w:line="240" w:lineRule="auto"/>
        <w:rPr>
          <w:rFonts w:ascii="Garamond" w:hAnsi="Garamond"/>
          <w:sz w:val="24"/>
          <w:szCs w:val="24"/>
        </w:rPr>
      </w:pPr>
      <w:r w:rsidRPr="00E31689">
        <w:rPr>
          <w:rFonts w:ascii="Garamond" w:hAnsi="Garamond"/>
          <w:b/>
          <w:sz w:val="24"/>
          <w:szCs w:val="24"/>
        </w:rPr>
        <w:t>Well trained staff</w:t>
      </w:r>
      <w:r w:rsidRPr="00F02392">
        <w:rPr>
          <w:rFonts w:ascii="Garamond" w:hAnsi="Garamond"/>
          <w:sz w:val="24"/>
          <w:szCs w:val="24"/>
        </w:rPr>
        <w:t xml:space="preserve">— </w:t>
      </w:r>
      <w:proofErr w:type="gramStart"/>
      <w:r>
        <w:rPr>
          <w:rFonts w:ascii="Garamond" w:hAnsi="Garamond"/>
          <w:sz w:val="24"/>
          <w:szCs w:val="24"/>
        </w:rPr>
        <w:t>All</w:t>
      </w:r>
      <w:proofErr w:type="gramEnd"/>
      <w:r>
        <w:rPr>
          <w:rFonts w:ascii="Garamond" w:hAnsi="Garamond"/>
          <w:sz w:val="24"/>
          <w:szCs w:val="24"/>
        </w:rPr>
        <w:t xml:space="preserve"> staff delivering the interventions will be well trained before any interactions with the participants.  They will be trained on the curriculum as well as their interactions with participants.  For example, the Houston pharmacists will be trained in </w:t>
      </w:r>
      <w:r>
        <w:rPr>
          <w:rFonts w:ascii="Garamond" w:hAnsi="Garamond"/>
          <w:sz w:val="24"/>
          <w:szCs w:val="24"/>
        </w:rPr>
        <w:lastRenderedPageBreak/>
        <w:t>motivational interviewing to reinforce their educational approach with the participants.  S</w:t>
      </w:r>
      <w:r w:rsidRPr="00F02392">
        <w:rPr>
          <w:rFonts w:ascii="Garamond" w:hAnsi="Garamond"/>
          <w:sz w:val="24"/>
          <w:szCs w:val="24"/>
        </w:rPr>
        <w:t xml:space="preserve">taff will be well prepared to deliver the curriculum and keep the interest of the </w:t>
      </w:r>
      <w:r>
        <w:rPr>
          <w:rFonts w:ascii="Garamond" w:hAnsi="Garamond"/>
          <w:sz w:val="24"/>
          <w:szCs w:val="24"/>
        </w:rPr>
        <w:t>patients</w:t>
      </w:r>
      <w:r w:rsidRPr="00F02392">
        <w:rPr>
          <w:rFonts w:ascii="Garamond" w:hAnsi="Garamond"/>
          <w:sz w:val="24"/>
          <w:szCs w:val="24"/>
        </w:rPr>
        <w:t xml:space="preserve"> high</w:t>
      </w:r>
      <w:r>
        <w:rPr>
          <w:rFonts w:ascii="Garamond" w:hAnsi="Garamond"/>
          <w:sz w:val="24"/>
          <w:szCs w:val="24"/>
        </w:rPr>
        <w:t xml:space="preserve">, which will lead to a high retention rate; and </w:t>
      </w:r>
      <w:r>
        <w:rPr>
          <w:rFonts w:ascii="Garamond" w:hAnsi="Garamond"/>
          <w:sz w:val="24"/>
          <w:szCs w:val="24"/>
        </w:rPr>
        <w:br/>
      </w:r>
    </w:p>
    <w:p w:rsidR="00FD110A" w:rsidRPr="003F4B36" w:rsidRDefault="00FD110A" w:rsidP="00FD110A">
      <w:pPr>
        <w:pStyle w:val="ListParagraph"/>
        <w:numPr>
          <w:ilvl w:val="0"/>
          <w:numId w:val="1"/>
        </w:numPr>
        <w:spacing w:after="0" w:line="240" w:lineRule="auto"/>
        <w:rPr>
          <w:rFonts w:ascii="Garamond" w:hAnsi="Garamond"/>
          <w:sz w:val="24"/>
          <w:szCs w:val="24"/>
        </w:rPr>
      </w:pPr>
      <w:r w:rsidRPr="00E31689">
        <w:rPr>
          <w:rFonts w:ascii="Garamond" w:hAnsi="Garamond"/>
          <w:b/>
          <w:sz w:val="24"/>
          <w:szCs w:val="24"/>
        </w:rPr>
        <w:t>Good contact information</w:t>
      </w:r>
      <w:r w:rsidRPr="00F02392">
        <w:rPr>
          <w:rFonts w:ascii="Garamond" w:hAnsi="Garamond"/>
          <w:sz w:val="24"/>
          <w:szCs w:val="24"/>
        </w:rPr>
        <w:t>—</w:t>
      </w:r>
      <w:r>
        <w:rPr>
          <w:rFonts w:ascii="Garamond" w:hAnsi="Garamond"/>
          <w:sz w:val="24"/>
          <w:szCs w:val="24"/>
        </w:rPr>
        <w:t xml:space="preserve">Staff will be trained to obtain good contact/locator information for each participant, in the event that the person leaves the intervention, the staff can still be in touch to obtain the post-intervention information.  </w:t>
      </w:r>
    </w:p>
    <w:p w:rsidR="00FD110A"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p>
    <w:p w:rsidR="00FD110A" w:rsidRPr="007770A6" w:rsidRDefault="00FD110A" w:rsidP="00FD110A">
      <w:pPr>
        <w:pStyle w:val="Heading2"/>
        <w:rPr>
          <w:rFonts w:ascii="Garamond" w:hAnsi="Garamond"/>
          <w:sz w:val="24"/>
          <w:szCs w:val="24"/>
        </w:rPr>
      </w:pPr>
      <w:bookmarkStart w:id="4" w:name="_Toc296354107"/>
      <w:r w:rsidRPr="007770A6">
        <w:rPr>
          <w:rFonts w:ascii="Garamond" w:hAnsi="Garamond"/>
          <w:sz w:val="24"/>
          <w:szCs w:val="24"/>
        </w:rPr>
        <w:t>4.     Tests of Procedures</w:t>
      </w:r>
      <w:bookmarkEnd w:id="4"/>
    </w:p>
    <w:p w:rsidR="00FD110A" w:rsidRDefault="00FD110A" w:rsidP="00FD110A">
      <w:pPr>
        <w:spacing w:after="0" w:line="240" w:lineRule="auto"/>
        <w:rPr>
          <w:rFonts w:ascii="Garamond" w:hAnsi="Garamond"/>
          <w:sz w:val="24"/>
          <w:szCs w:val="24"/>
        </w:rPr>
      </w:pPr>
      <w:r>
        <w:rPr>
          <w:rFonts w:ascii="Garamond" w:hAnsi="Garamond"/>
          <w:sz w:val="24"/>
          <w:szCs w:val="24"/>
        </w:rPr>
        <w:t xml:space="preserve">The data collection tools will be pilot tested prior to full scale use in the program.  A small number of patients, three to five, will be given both the baseline and post-intervention tools to complete.  These patients will have similar characteristics as the patients who will enroll in the interventions.  They will meet the eligibility criteria for race and ethnicity, health condition, and either </w:t>
      </w:r>
      <w:proofErr w:type="gramStart"/>
      <w:r>
        <w:rPr>
          <w:rFonts w:ascii="Garamond" w:hAnsi="Garamond"/>
          <w:sz w:val="24"/>
          <w:szCs w:val="24"/>
        </w:rPr>
        <w:t>live</w:t>
      </w:r>
      <w:proofErr w:type="gramEnd"/>
      <w:r>
        <w:rPr>
          <w:rFonts w:ascii="Garamond" w:hAnsi="Garamond"/>
          <w:sz w:val="24"/>
          <w:szCs w:val="24"/>
        </w:rPr>
        <w:t xml:space="preserve"> in one of the residential buildings in Houston or are served by one of the health care clinics in Chicago.  Feedback from this activity will be used to revise the questionnaires if needed.  </w:t>
      </w:r>
    </w:p>
    <w:p w:rsidR="00FD110A" w:rsidRDefault="00FD110A" w:rsidP="00FD110A">
      <w:pPr>
        <w:spacing w:after="0" w:line="240" w:lineRule="auto"/>
        <w:rPr>
          <w:rFonts w:ascii="Garamond" w:hAnsi="Garamond"/>
          <w:sz w:val="24"/>
          <w:szCs w:val="24"/>
        </w:rPr>
      </w:pPr>
    </w:p>
    <w:p w:rsidR="00FD110A" w:rsidRPr="00E23179" w:rsidRDefault="00FD110A" w:rsidP="00FD110A">
      <w:pPr>
        <w:spacing w:after="0" w:line="240" w:lineRule="auto"/>
        <w:rPr>
          <w:rFonts w:ascii="Garamond" w:hAnsi="Garamond"/>
          <w:sz w:val="24"/>
          <w:szCs w:val="24"/>
        </w:rPr>
      </w:pPr>
    </w:p>
    <w:p w:rsidR="00FD110A" w:rsidRPr="007770A6" w:rsidRDefault="00FD110A" w:rsidP="00FD110A">
      <w:pPr>
        <w:pStyle w:val="Heading2"/>
        <w:rPr>
          <w:rFonts w:ascii="Garamond" w:hAnsi="Garamond"/>
          <w:sz w:val="24"/>
          <w:szCs w:val="24"/>
        </w:rPr>
      </w:pPr>
      <w:r w:rsidRPr="007770A6">
        <w:rPr>
          <w:rFonts w:ascii="Garamond" w:hAnsi="Garamond"/>
          <w:sz w:val="24"/>
          <w:szCs w:val="24"/>
        </w:rPr>
        <w:t xml:space="preserve"> </w:t>
      </w:r>
      <w:bookmarkStart w:id="5" w:name="_Toc296354108"/>
      <w:r w:rsidRPr="007770A6">
        <w:rPr>
          <w:rFonts w:ascii="Garamond" w:hAnsi="Garamond"/>
          <w:sz w:val="24"/>
          <w:szCs w:val="24"/>
        </w:rPr>
        <w:t>5.   Statistical Consultants</w:t>
      </w:r>
      <w:bookmarkEnd w:id="5"/>
    </w:p>
    <w:p w:rsidR="00FD110A" w:rsidRDefault="00FD110A" w:rsidP="00FD110A">
      <w:pPr>
        <w:spacing w:after="0" w:line="240" w:lineRule="auto"/>
        <w:rPr>
          <w:rFonts w:ascii="Garamond" w:hAnsi="Garamond"/>
          <w:sz w:val="24"/>
          <w:szCs w:val="24"/>
        </w:rPr>
      </w:pPr>
      <w:r w:rsidRPr="001D355E">
        <w:rPr>
          <w:rFonts w:ascii="Garamond" w:hAnsi="Garamond"/>
          <w:sz w:val="24"/>
          <w:szCs w:val="24"/>
        </w:rPr>
        <w:t xml:space="preserve">Responsible individuals for OMH are:  </w:t>
      </w:r>
    </w:p>
    <w:p w:rsidR="00FD110A" w:rsidRPr="001D355E" w:rsidRDefault="00FD110A" w:rsidP="00FD110A">
      <w:pPr>
        <w:spacing w:after="0" w:line="240" w:lineRule="auto"/>
        <w:rPr>
          <w:rFonts w:ascii="Garamond" w:hAnsi="Garamond"/>
          <w:sz w:val="24"/>
          <w:szCs w:val="24"/>
        </w:rPr>
      </w:pPr>
    </w:p>
    <w:p w:rsidR="00FD110A" w:rsidRPr="001D355E" w:rsidRDefault="00FD110A" w:rsidP="00FD110A">
      <w:pPr>
        <w:spacing w:after="0" w:line="240" w:lineRule="auto"/>
        <w:jc w:val="center"/>
        <w:rPr>
          <w:rFonts w:ascii="Garamond" w:hAnsi="Garamond"/>
          <w:sz w:val="24"/>
          <w:szCs w:val="24"/>
        </w:rPr>
      </w:pPr>
      <w:r w:rsidRPr="001D355E">
        <w:rPr>
          <w:rFonts w:ascii="Garamond" w:hAnsi="Garamond"/>
          <w:sz w:val="24"/>
          <w:szCs w:val="24"/>
        </w:rPr>
        <w:t>Jamila R. Rashid, PhD, MPH</w:t>
      </w:r>
    </w:p>
    <w:p w:rsidR="00FD110A" w:rsidRPr="001D355E" w:rsidRDefault="00FD110A" w:rsidP="00FD110A">
      <w:pPr>
        <w:spacing w:after="0" w:line="240" w:lineRule="auto"/>
        <w:jc w:val="center"/>
        <w:rPr>
          <w:rFonts w:ascii="Garamond" w:hAnsi="Garamond"/>
          <w:sz w:val="24"/>
          <w:szCs w:val="24"/>
        </w:rPr>
      </w:pPr>
      <w:r w:rsidRPr="001D355E">
        <w:rPr>
          <w:rFonts w:ascii="Garamond" w:hAnsi="Garamond"/>
          <w:sz w:val="24"/>
          <w:szCs w:val="24"/>
        </w:rPr>
        <w:t>Associate Director for Research and Policy</w:t>
      </w:r>
    </w:p>
    <w:p w:rsidR="00FD110A" w:rsidRPr="001D355E" w:rsidRDefault="00FD110A" w:rsidP="00FD110A">
      <w:pPr>
        <w:spacing w:after="0" w:line="240" w:lineRule="auto"/>
        <w:jc w:val="center"/>
        <w:rPr>
          <w:rFonts w:ascii="Garamond" w:hAnsi="Garamond"/>
          <w:sz w:val="24"/>
          <w:szCs w:val="24"/>
        </w:rPr>
      </w:pPr>
      <w:r w:rsidRPr="001D355E">
        <w:rPr>
          <w:rFonts w:ascii="Garamond" w:hAnsi="Garamond"/>
          <w:sz w:val="24"/>
          <w:szCs w:val="24"/>
        </w:rPr>
        <w:t>OMH, OPHS, OS, HHS</w:t>
      </w:r>
    </w:p>
    <w:p w:rsidR="00FD110A" w:rsidRPr="001D355E" w:rsidRDefault="00FD110A" w:rsidP="00FD110A">
      <w:pPr>
        <w:spacing w:after="0" w:line="240" w:lineRule="auto"/>
        <w:jc w:val="center"/>
        <w:rPr>
          <w:rFonts w:ascii="Garamond" w:hAnsi="Garamond"/>
          <w:sz w:val="24"/>
          <w:szCs w:val="24"/>
        </w:rPr>
      </w:pPr>
      <w:r w:rsidRPr="001D355E">
        <w:rPr>
          <w:rFonts w:ascii="Garamond" w:hAnsi="Garamond"/>
          <w:sz w:val="24"/>
          <w:szCs w:val="24"/>
        </w:rPr>
        <w:t>240-453-6154</w:t>
      </w:r>
    </w:p>
    <w:p w:rsidR="00FD110A" w:rsidRPr="001D355E" w:rsidRDefault="00FD110A" w:rsidP="00FD110A">
      <w:pPr>
        <w:spacing w:after="0" w:line="240" w:lineRule="auto"/>
        <w:jc w:val="center"/>
        <w:rPr>
          <w:rFonts w:ascii="Garamond" w:hAnsi="Garamond"/>
          <w:sz w:val="24"/>
          <w:szCs w:val="24"/>
        </w:rPr>
      </w:pPr>
      <w:hyperlink r:id="rId5" w:tooltip="mailto:Jamila.rashid@hhs.gov" w:history="1">
        <w:r w:rsidRPr="001D355E">
          <w:rPr>
            <w:rStyle w:val="Hyperlink"/>
            <w:rFonts w:ascii="Garamond" w:hAnsi="Garamond"/>
            <w:sz w:val="24"/>
            <w:szCs w:val="24"/>
          </w:rPr>
          <w:t>Jamila.rashid@hhs.gov</w:t>
        </w:r>
      </w:hyperlink>
      <w:r w:rsidRPr="001D355E">
        <w:rPr>
          <w:rFonts w:ascii="Garamond" w:hAnsi="Garamond"/>
          <w:sz w:val="24"/>
          <w:szCs w:val="24"/>
        </w:rPr>
        <w:t>.</w:t>
      </w:r>
    </w:p>
    <w:p w:rsidR="00FD110A" w:rsidRPr="001D355E"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p>
    <w:p w:rsidR="00FD110A" w:rsidRPr="001D355E" w:rsidRDefault="00FD110A" w:rsidP="00FD110A">
      <w:pPr>
        <w:spacing w:after="0" w:line="240" w:lineRule="auto"/>
        <w:rPr>
          <w:rFonts w:ascii="Garamond" w:hAnsi="Garamond"/>
          <w:sz w:val="24"/>
          <w:szCs w:val="24"/>
        </w:rPr>
      </w:pPr>
      <w:r>
        <w:rPr>
          <w:rFonts w:ascii="Garamond" w:hAnsi="Garamond"/>
          <w:sz w:val="24"/>
          <w:szCs w:val="24"/>
        </w:rPr>
        <w:t xml:space="preserve">The Chicago and Houston staff designed the data collection with input from the </w:t>
      </w:r>
      <w:proofErr w:type="spellStart"/>
      <w:r>
        <w:rPr>
          <w:rFonts w:ascii="Garamond" w:hAnsi="Garamond"/>
          <w:sz w:val="24"/>
          <w:szCs w:val="24"/>
        </w:rPr>
        <w:t>Westat</w:t>
      </w:r>
      <w:proofErr w:type="spellEnd"/>
      <w:r>
        <w:rPr>
          <w:rFonts w:ascii="Garamond" w:hAnsi="Garamond"/>
          <w:sz w:val="24"/>
          <w:szCs w:val="24"/>
        </w:rPr>
        <w:t xml:space="preserve"> staff.  They will be responsible for data collection.  Data analysis will be conducted by the </w:t>
      </w:r>
      <w:proofErr w:type="spellStart"/>
      <w:r>
        <w:rPr>
          <w:rFonts w:ascii="Garamond" w:hAnsi="Garamond"/>
          <w:sz w:val="24"/>
          <w:szCs w:val="24"/>
        </w:rPr>
        <w:t>Westat</w:t>
      </w:r>
      <w:proofErr w:type="spellEnd"/>
      <w:r>
        <w:rPr>
          <w:rFonts w:ascii="Garamond" w:hAnsi="Garamond"/>
          <w:sz w:val="24"/>
          <w:szCs w:val="24"/>
        </w:rPr>
        <w:t xml:space="preserve"> staff.  </w:t>
      </w:r>
      <w:r w:rsidRPr="001D355E">
        <w:rPr>
          <w:rFonts w:ascii="Garamond" w:hAnsi="Garamond"/>
          <w:sz w:val="24"/>
          <w:szCs w:val="24"/>
        </w:rPr>
        <w:t xml:space="preserve">The individual responsible for statistical consultation of this data collection is: </w:t>
      </w:r>
      <w:r>
        <w:rPr>
          <w:rFonts w:ascii="Garamond" w:hAnsi="Garamond"/>
          <w:sz w:val="24"/>
          <w:szCs w:val="24"/>
        </w:rPr>
        <w:t xml:space="preserve">Joseph </w:t>
      </w:r>
      <w:proofErr w:type="spellStart"/>
      <w:r>
        <w:rPr>
          <w:rFonts w:ascii="Garamond" w:hAnsi="Garamond"/>
          <w:sz w:val="24"/>
          <w:szCs w:val="24"/>
        </w:rPr>
        <w:t>Sonnefeld</w:t>
      </w:r>
      <w:proofErr w:type="spellEnd"/>
      <w:r w:rsidRPr="001D355E">
        <w:rPr>
          <w:rFonts w:ascii="Garamond" w:hAnsi="Garamond"/>
          <w:sz w:val="24"/>
          <w:szCs w:val="24"/>
        </w:rPr>
        <w:t xml:space="preserve">, </w:t>
      </w:r>
      <w:proofErr w:type="spellStart"/>
      <w:r w:rsidRPr="001D355E">
        <w:rPr>
          <w:rFonts w:ascii="Garamond" w:hAnsi="Garamond"/>
          <w:sz w:val="24"/>
          <w:szCs w:val="24"/>
        </w:rPr>
        <w:t>Westat</w:t>
      </w:r>
      <w:proofErr w:type="spellEnd"/>
      <w:r w:rsidRPr="001D355E">
        <w:rPr>
          <w:rFonts w:ascii="Garamond" w:hAnsi="Garamond"/>
          <w:sz w:val="24"/>
          <w:szCs w:val="24"/>
        </w:rPr>
        <w:t xml:space="preserve"> at 301-251-1500.</w:t>
      </w:r>
    </w:p>
    <w:p w:rsidR="00FD110A" w:rsidRPr="00945C9B" w:rsidRDefault="00FD110A" w:rsidP="00FD110A">
      <w:pPr>
        <w:spacing w:after="0" w:line="240" w:lineRule="auto"/>
        <w:rPr>
          <w:rFonts w:ascii="Garamond" w:hAnsi="Garamond"/>
        </w:rPr>
      </w:pPr>
    </w:p>
    <w:p w:rsidR="00FD110A" w:rsidRPr="00945C9B" w:rsidRDefault="00FD110A" w:rsidP="00FD110A">
      <w:pPr>
        <w:spacing w:after="0" w:line="240" w:lineRule="auto"/>
        <w:rPr>
          <w:rFonts w:ascii="Garamond" w:hAnsi="Garamond"/>
        </w:rPr>
      </w:pPr>
      <w:r w:rsidRPr="00945C9B">
        <w:rPr>
          <w:rFonts w:ascii="Garamond" w:hAnsi="Garamond"/>
        </w:rPr>
        <w:br w:type="page"/>
      </w:r>
    </w:p>
    <w:p w:rsidR="00FD110A" w:rsidRPr="00387A31" w:rsidRDefault="00FD110A" w:rsidP="00FD110A">
      <w:pPr>
        <w:spacing w:after="0" w:line="240" w:lineRule="auto"/>
        <w:jc w:val="center"/>
        <w:rPr>
          <w:rFonts w:ascii="Garamond" w:hAnsi="Garamond"/>
          <w:sz w:val="24"/>
          <w:szCs w:val="24"/>
        </w:rPr>
      </w:pPr>
      <w:r w:rsidRPr="00387A31">
        <w:rPr>
          <w:rFonts w:ascii="Garamond" w:hAnsi="Garamond"/>
          <w:b/>
          <w:sz w:val="24"/>
          <w:szCs w:val="24"/>
        </w:rPr>
        <w:lastRenderedPageBreak/>
        <w:t>ATTACHMENTS</w:t>
      </w:r>
    </w:p>
    <w:p w:rsidR="00FD110A" w:rsidRPr="00267CBC" w:rsidRDefault="00FD110A" w:rsidP="00FD110A">
      <w:pPr>
        <w:spacing w:after="0" w:line="240" w:lineRule="auto"/>
        <w:rPr>
          <w:rFonts w:ascii="Garamond" w:hAnsi="Garamond"/>
          <w:sz w:val="24"/>
          <w:szCs w:val="24"/>
        </w:rPr>
      </w:pPr>
    </w:p>
    <w:p w:rsidR="00FD110A" w:rsidRPr="00267CBC" w:rsidRDefault="00FD110A" w:rsidP="00FD110A">
      <w:pPr>
        <w:spacing w:after="0" w:line="240" w:lineRule="auto"/>
        <w:rPr>
          <w:rFonts w:ascii="Garamond" w:hAnsi="Garamond"/>
          <w:sz w:val="24"/>
          <w:szCs w:val="24"/>
        </w:rPr>
      </w:pPr>
    </w:p>
    <w:p w:rsidR="00FD110A" w:rsidRDefault="00FD110A" w:rsidP="00FD110A">
      <w:pPr>
        <w:spacing w:after="0" w:line="240" w:lineRule="auto"/>
        <w:rPr>
          <w:rFonts w:ascii="Garamond" w:hAnsi="Garamond"/>
          <w:sz w:val="24"/>
          <w:szCs w:val="24"/>
        </w:rPr>
      </w:pPr>
      <w:r w:rsidRPr="00267CBC">
        <w:rPr>
          <w:rFonts w:ascii="Garamond" w:hAnsi="Garamond"/>
          <w:sz w:val="24"/>
          <w:szCs w:val="24"/>
        </w:rPr>
        <w:t>Attachment 1:</w:t>
      </w:r>
      <w:r w:rsidRPr="00267CBC">
        <w:rPr>
          <w:rFonts w:ascii="Garamond" w:hAnsi="Garamond"/>
          <w:sz w:val="24"/>
          <w:szCs w:val="24"/>
        </w:rPr>
        <w:tab/>
      </w:r>
      <w:r>
        <w:rPr>
          <w:rFonts w:ascii="Garamond" w:hAnsi="Garamond"/>
          <w:sz w:val="24"/>
          <w:szCs w:val="24"/>
        </w:rPr>
        <w:t xml:space="preserve"> Evaluation and Data Source Table</w:t>
      </w:r>
    </w:p>
    <w:p w:rsidR="00FD110A" w:rsidRDefault="00FD110A" w:rsidP="00FD110A">
      <w:pPr>
        <w:spacing w:after="0" w:line="240" w:lineRule="auto"/>
        <w:rPr>
          <w:rFonts w:ascii="Garamond" w:hAnsi="Garamond"/>
          <w:sz w:val="24"/>
          <w:szCs w:val="24"/>
        </w:rPr>
      </w:pPr>
    </w:p>
    <w:p w:rsidR="00FD110A" w:rsidRPr="00267CBC" w:rsidRDefault="00FD110A" w:rsidP="00FD110A">
      <w:pPr>
        <w:spacing w:after="0" w:line="240" w:lineRule="auto"/>
        <w:rPr>
          <w:rFonts w:ascii="Garamond" w:hAnsi="Garamond"/>
          <w:sz w:val="24"/>
          <w:szCs w:val="24"/>
        </w:rPr>
      </w:pPr>
      <w:r>
        <w:rPr>
          <w:rFonts w:ascii="Garamond" w:hAnsi="Garamond"/>
          <w:sz w:val="24"/>
          <w:szCs w:val="24"/>
        </w:rPr>
        <w:t>Attachment 2</w:t>
      </w:r>
      <w:r w:rsidRPr="00267CBC">
        <w:rPr>
          <w:rFonts w:ascii="Garamond" w:hAnsi="Garamond"/>
          <w:sz w:val="24"/>
          <w:szCs w:val="24"/>
        </w:rPr>
        <w:t>:</w:t>
      </w:r>
      <w:r w:rsidRPr="00267CBC">
        <w:rPr>
          <w:rFonts w:ascii="Garamond" w:hAnsi="Garamond"/>
          <w:sz w:val="24"/>
          <w:szCs w:val="24"/>
        </w:rPr>
        <w:tab/>
      </w:r>
      <w:r>
        <w:rPr>
          <w:rFonts w:ascii="Garamond" w:hAnsi="Garamond"/>
          <w:sz w:val="24"/>
          <w:szCs w:val="24"/>
        </w:rPr>
        <w:t xml:space="preserve">  Patient Participant Surveys – Chicago</w:t>
      </w:r>
    </w:p>
    <w:p w:rsidR="00FD110A" w:rsidRDefault="00FD110A" w:rsidP="00FD110A">
      <w:pPr>
        <w:spacing w:after="0" w:line="240" w:lineRule="auto"/>
        <w:rPr>
          <w:rFonts w:ascii="Garamond" w:hAnsi="Garamond"/>
          <w:sz w:val="24"/>
          <w:szCs w:val="24"/>
        </w:rPr>
      </w:pPr>
    </w:p>
    <w:p w:rsidR="00FD110A" w:rsidRPr="00267CBC" w:rsidRDefault="00FD110A" w:rsidP="00FD110A">
      <w:pPr>
        <w:spacing w:after="0" w:line="240" w:lineRule="auto"/>
        <w:rPr>
          <w:rFonts w:ascii="Garamond" w:hAnsi="Garamond"/>
          <w:sz w:val="24"/>
          <w:szCs w:val="24"/>
        </w:rPr>
      </w:pPr>
      <w:r>
        <w:rPr>
          <w:rFonts w:ascii="Garamond" w:hAnsi="Garamond"/>
          <w:sz w:val="24"/>
          <w:szCs w:val="24"/>
        </w:rPr>
        <w:t>Attachment 3</w:t>
      </w:r>
      <w:r w:rsidRPr="00267CBC">
        <w:rPr>
          <w:rFonts w:ascii="Garamond" w:hAnsi="Garamond"/>
          <w:sz w:val="24"/>
          <w:szCs w:val="24"/>
        </w:rPr>
        <w:t>:</w:t>
      </w:r>
      <w:r w:rsidRPr="00267CBC">
        <w:rPr>
          <w:rFonts w:ascii="Garamond" w:hAnsi="Garamond"/>
          <w:sz w:val="24"/>
          <w:szCs w:val="24"/>
        </w:rPr>
        <w:tab/>
        <w:t xml:space="preserve">  P</w:t>
      </w:r>
      <w:r>
        <w:rPr>
          <w:rFonts w:ascii="Garamond" w:hAnsi="Garamond"/>
          <w:sz w:val="24"/>
          <w:szCs w:val="24"/>
        </w:rPr>
        <w:t>atient P</w:t>
      </w:r>
      <w:r w:rsidRPr="00267CBC">
        <w:rPr>
          <w:rFonts w:ascii="Garamond" w:hAnsi="Garamond"/>
          <w:sz w:val="24"/>
          <w:szCs w:val="24"/>
        </w:rPr>
        <w:t xml:space="preserve">articipant Surveys – Houston </w:t>
      </w:r>
    </w:p>
    <w:p w:rsidR="00FD110A" w:rsidRPr="00267CBC" w:rsidRDefault="00FD110A" w:rsidP="00FD110A">
      <w:pPr>
        <w:spacing w:after="0" w:line="240" w:lineRule="auto"/>
        <w:rPr>
          <w:rFonts w:ascii="Garamond" w:hAnsi="Garamond"/>
          <w:sz w:val="24"/>
          <w:szCs w:val="24"/>
        </w:rPr>
      </w:pPr>
    </w:p>
    <w:p w:rsidR="00FD110A" w:rsidRPr="00267CBC" w:rsidRDefault="00FD110A" w:rsidP="00FD110A">
      <w:pPr>
        <w:spacing w:after="0" w:line="240" w:lineRule="auto"/>
        <w:rPr>
          <w:rFonts w:ascii="Garamond" w:hAnsi="Garamond"/>
          <w:sz w:val="24"/>
          <w:szCs w:val="24"/>
        </w:rPr>
      </w:pPr>
    </w:p>
    <w:p w:rsidR="00FD110A" w:rsidRDefault="00FD110A" w:rsidP="00FD110A">
      <w:pPr>
        <w:rPr>
          <w:rFonts w:ascii="Garamond" w:hAnsi="Garamond"/>
          <w:sz w:val="24"/>
          <w:szCs w:val="24"/>
        </w:rPr>
      </w:pPr>
    </w:p>
    <w:p w:rsidR="003D0909" w:rsidRDefault="003D0909"/>
    <w:sectPr w:rsidR="003D0909" w:rsidSect="00B8401F">
      <w:footerReference w:type="first" r:id="rId6"/>
      <w:pgSz w:w="12240" w:h="15840"/>
      <w:pgMar w:top="1440" w:right="1440" w:bottom="1440" w:left="1440" w:header="720" w:footer="720" w:gutter="0"/>
      <w:pgNumType w:start="2"/>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68119"/>
      <w:docPartObj>
        <w:docPartGallery w:val="Page Numbers (Bottom of Page)"/>
        <w:docPartUnique/>
      </w:docPartObj>
    </w:sdtPr>
    <w:sdtEndPr/>
    <w:sdtContent>
      <w:p w:rsidR="00A92954" w:rsidRDefault="00FD11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92954" w:rsidRDefault="00FD110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A0650"/>
    <w:multiLevelType w:val="hybridMultilevel"/>
    <w:tmpl w:val="CE9A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FD110A"/>
    <w:rsid w:val="000F61A8"/>
    <w:rsid w:val="00100197"/>
    <w:rsid w:val="002104E8"/>
    <w:rsid w:val="0029679F"/>
    <w:rsid w:val="002A30E3"/>
    <w:rsid w:val="003D0909"/>
    <w:rsid w:val="00544A57"/>
    <w:rsid w:val="007E6BCD"/>
    <w:rsid w:val="00944EB6"/>
    <w:rsid w:val="00997E8D"/>
    <w:rsid w:val="00AB14AC"/>
    <w:rsid w:val="00B97CEF"/>
    <w:rsid w:val="00F768E3"/>
    <w:rsid w:val="00FD1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0A"/>
  </w:style>
  <w:style w:type="paragraph" w:styleId="Heading1">
    <w:name w:val="heading 1"/>
    <w:basedOn w:val="Normal"/>
    <w:next w:val="Normal"/>
    <w:link w:val="Heading1Char"/>
    <w:uiPriority w:val="9"/>
    <w:qFormat/>
    <w:rsid w:val="00FD11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Heading1"/>
    <w:next w:val="Normal"/>
    <w:link w:val="Heading2Char"/>
    <w:qFormat/>
    <w:rsid w:val="00FD110A"/>
    <w:pPr>
      <w:keepLines w:val="0"/>
      <w:tabs>
        <w:tab w:val="left" w:pos="1152"/>
      </w:tabs>
      <w:spacing w:before="0" w:after="360" w:line="360" w:lineRule="atLeast"/>
      <w:ind w:left="1152" w:hanging="1152"/>
      <w:outlineLvl w:val="1"/>
    </w:pPr>
    <w:rPr>
      <w:rFonts w:ascii="Franklin Gothic Medium" w:eastAsiaTheme="minorHAnsi" w:hAnsi="Franklin Gothic Medium" w:cstheme="minorBidi"/>
      <w:bCs w:val="0"/>
      <w:color w:val="32416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Sec. Head Char"/>
    <w:basedOn w:val="DefaultParagraphFont"/>
    <w:link w:val="Heading2"/>
    <w:rsid w:val="00FD110A"/>
    <w:rPr>
      <w:rFonts w:ascii="Franklin Gothic Medium" w:hAnsi="Franklin Gothic Medium"/>
      <w:b/>
      <w:color w:val="324162"/>
      <w:sz w:val="28"/>
    </w:rPr>
  </w:style>
  <w:style w:type="paragraph" w:styleId="ListParagraph">
    <w:name w:val="List Paragraph"/>
    <w:basedOn w:val="Normal"/>
    <w:uiPriority w:val="34"/>
    <w:qFormat/>
    <w:rsid w:val="00FD110A"/>
    <w:pPr>
      <w:ind w:left="720"/>
      <w:contextualSpacing/>
    </w:pPr>
  </w:style>
  <w:style w:type="paragraph" w:styleId="Footer">
    <w:name w:val="footer"/>
    <w:basedOn w:val="Normal"/>
    <w:link w:val="FooterChar"/>
    <w:uiPriority w:val="99"/>
    <w:unhideWhenUsed/>
    <w:rsid w:val="00FD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0A"/>
  </w:style>
  <w:style w:type="table" w:styleId="TableGrid">
    <w:name w:val="Table Grid"/>
    <w:basedOn w:val="TableNormal"/>
    <w:uiPriority w:val="59"/>
    <w:rsid w:val="00FD110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11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Jamila.rashid@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8157</Characters>
  <Application>Microsoft Office Word</Application>
  <DocSecurity>0</DocSecurity>
  <Lines>67</Lines>
  <Paragraphs>19</Paragraphs>
  <ScaleCrop>false</ScaleCrop>
  <Company>DHHS</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2012-01-20T15:34:00Z</dcterms:created>
  <dcterms:modified xsi:type="dcterms:W3CDTF">2012-01-20T15:35:00Z</dcterms:modified>
</cp:coreProperties>
</file>