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B49E1" w:rsidRDefault="00C00570" w:rsidP="00C00570">
      <w:pPr>
        <w:pStyle w:val="Heading1"/>
        <w:numPr>
          <w:ilvl w:val="0"/>
          <w:numId w:val="0"/>
        </w:numPr>
        <w:spacing w:after="0"/>
      </w:pPr>
      <w:bookmarkStart w:id="0" w:name="Contract"/>
      <w:bookmarkStart w:id="1" w:name="MPRReference"/>
      <w:bookmarkStart w:id="2" w:name="StartingPoint"/>
      <w:bookmarkStart w:id="3" w:name="DateMark"/>
      <w:r>
        <w:t>SUP</w:t>
      </w:r>
      <w:r w:rsidR="005B49E1" w:rsidRPr="005B4041">
        <w:t xml:space="preserve">porting Statement </w:t>
      </w:r>
      <w:r w:rsidR="00880FB9">
        <w:t xml:space="preserve">PArt A </w:t>
      </w:r>
      <w:r w:rsidR="005B49E1" w:rsidRPr="005B4041">
        <w:t>For</w:t>
      </w:r>
      <w:r w:rsidR="005B49E1" w:rsidRPr="005B4041">
        <w:br/>
        <w:t>YOUTH TRANSITION PROCESS DEMONSTRATION EVALUATION</w:t>
      </w:r>
      <w:r w:rsidR="005B49E1" w:rsidRPr="005B4041">
        <w:br/>
        <w:t>OMB CONTROL No</w:t>
      </w:r>
      <w:proofErr w:type="gramStart"/>
      <w:r w:rsidR="005B49E1" w:rsidRPr="005B4041">
        <w:t xml:space="preserve">. </w:t>
      </w:r>
      <w:proofErr w:type="gramEnd"/>
      <w:r w:rsidR="005B49E1" w:rsidRPr="005B4041">
        <w:t>0960-0687</w:t>
      </w:r>
    </w:p>
    <w:p w:rsidR="00091BB4" w:rsidRPr="00091BB4" w:rsidRDefault="00091BB4" w:rsidP="00091BB4"/>
    <w:p w:rsidR="005B49E1" w:rsidRPr="005B4041" w:rsidRDefault="005B49E1" w:rsidP="00091BB4">
      <w:pPr>
        <w:pStyle w:val="NormalSS"/>
        <w:ind w:firstLine="0"/>
        <w:jc w:val="left"/>
      </w:pPr>
      <w:r w:rsidRPr="005B4041">
        <w:t xml:space="preserve">The Social Security Administration (SSA) is requesting </w:t>
      </w:r>
      <w:r w:rsidR="005F3549">
        <w:t>re-</w:t>
      </w:r>
      <w:r w:rsidRPr="005B4041">
        <w:t>clearance for the collection of data needed to implement and evaluate the Youth Transition Demonstration (YTD) projects</w:t>
      </w:r>
      <w:r w:rsidR="000B620A" w:rsidRPr="005B4041">
        <w:t xml:space="preserve">.  YTD projects </w:t>
      </w:r>
      <w:r w:rsidRPr="005B4041">
        <w:t>help young people with disabilities make the transition from school to work.  By waiving certain disability program rules</w:t>
      </w:r>
      <w:r w:rsidR="006F7FDA">
        <w:t xml:space="preserve"> (SSA YTD Waivers)</w:t>
      </w:r>
      <w:r w:rsidRPr="005B4041">
        <w:t xml:space="preserve"> and offering services </w:t>
      </w:r>
      <w:r w:rsidR="000B620A" w:rsidRPr="005B4041">
        <w:t>to either youth who are</w:t>
      </w:r>
      <w:r w:rsidRPr="005B4041">
        <w:t xml:space="preserve"> receiving disability benefits or at risk of receiving them, </w:t>
      </w:r>
      <w:r w:rsidR="000B620A" w:rsidRPr="005B4041">
        <w:t>these projects</w:t>
      </w:r>
      <w:r w:rsidR="005F3549">
        <w:t xml:space="preserve"> encourage youth to work and</w:t>
      </w:r>
      <w:r w:rsidRPr="005B4041">
        <w:t xml:space="preserve"> continue their education</w:t>
      </w:r>
      <w:r w:rsidR="000B620A" w:rsidRPr="005B4041">
        <w:t xml:space="preserve">.  </w:t>
      </w:r>
      <w:r w:rsidRPr="005B4041">
        <w:t>A</w:t>
      </w:r>
      <w:r w:rsidR="005F3549">
        <w:t>t the start of this project</w:t>
      </w:r>
      <w:r w:rsidR="008F046D">
        <w:t xml:space="preserve"> in 2007</w:t>
      </w:r>
      <w:r w:rsidR="005F3549">
        <w:t>, SSA established a</w:t>
      </w:r>
      <w:r w:rsidRPr="005B4041">
        <w:t xml:space="preserve"> random assignment eval</w:t>
      </w:r>
      <w:r w:rsidR="005F3549">
        <w:t xml:space="preserve">uation of YTD projects </w:t>
      </w:r>
      <w:r w:rsidRPr="005B4041">
        <w:t xml:space="preserve">in </w:t>
      </w:r>
      <w:r w:rsidR="005F3549" w:rsidRPr="005B4041">
        <w:t>six</w:t>
      </w:r>
      <w:r w:rsidRPr="005B4041">
        <w:t xml:space="preserve"> sites across the country</w:t>
      </w:r>
      <w:r w:rsidR="000B620A" w:rsidRPr="005B4041">
        <w:t xml:space="preserve">.  </w:t>
      </w:r>
      <w:r w:rsidR="005F3549">
        <w:t xml:space="preserve">The evaluation </w:t>
      </w:r>
      <w:r w:rsidRPr="005B4041">
        <w:t>produce</w:t>
      </w:r>
      <w:r w:rsidR="005F3549">
        <w:t>s</w:t>
      </w:r>
      <w:r w:rsidRPr="005B4041">
        <w:t xml:space="preserve"> empirical evidence on the impacts of the waivers and project services </w:t>
      </w:r>
      <w:r w:rsidR="000B620A" w:rsidRPr="005B4041">
        <w:t>on not only</w:t>
      </w:r>
      <w:r w:rsidRPr="005B4041">
        <w:t xml:space="preserve"> educational attainment, employment, earnings, and receipt of benefits by youth with disabilities but also on the Social Security Trust Fund and federal income tax revenues.</w:t>
      </w:r>
    </w:p>
    <w:p w:rsidR="005B49E1" w:rsidRPr="005B4041" w:rsidRDefault="005B49E1" w:rsidP="00091BB4">
      <w:pPr>
        <w:spacing w:line="240" w:lineRule="auto"/>
        <w:jc w:val="left"/>
      </w:pPr>
    </w:p>
    <w:p w:rsidR="005B49E1" w:rsidRDefault="005B49E1" w:rsidP="00091BB4">
      <w:pPr>
        <w:spacing w:line="240" w:lineRule="auto"/>
        <w:ind w:firstLine="0"/>
        <w:jc w:val="left"/>
      </w:pPr>
      <w:r w:rsidRPr="005B4041">
        <w:t>Given the importance of estimating YTD impacts as accurately as possible, the evaluation uses rigorous analytic methods based on the random assignment of youth to a treatment or control group</w:t>
      </w:r>
      <w:r w:rsidR="000B620A" w:rsidRPr="005B4041">
        <w:t xml:space="preserve">.  </w:t>
      </w:r>
      <w:r w:rsidRPr="005B4041">
        <w:t>S</w:t>
      </w:r>
      <w:r w:rsidR="005F3549">
        <w:t>SA concluded s</w:t>
      </w:r>
      <w:r w:rsidRPr="005B4041">
        <w:t xml:space="preserve">everal data collection efforts </w:t>
      </w:r>
      <w:r w:rsidR="005F3549">
        <w:t>for this program,</w:t>
      </w:r>
      <w:r w:rsidR="00F04493">
        <w:t xml:space="preserve"> </w:t>
      </w:r>
      <w:r w:rsidR="005F3549">
        <w:t>including:  (1) </w:t>
      </w:r>
      <w:r w:rsidRPr="005B4041">
        <w:t>baseline interviews and informed consent with youth and their parents or guardians prior to random assignment; (2) follow-up interviews at 12 months after random assignment</w:t>
      </w:r>
      <w:r w:rsidR="005F3549">
        <w:t xml:space="preserve"> with youth </w:t>
      </w:r>
      <w:r w:rsidR="00E85BA8">
        <w:t>or their parents or guardians</w:t>
      </w:r>
      <w:r w:rsidR="005F3549">
        <w:t>; (3) interviews and</w:t>
      </w:r>
      <w:r w:rsidRPr="005B4041">
        <w:t xml:space="preserve"> roundtable discussions with local program administrators, program supervisors, and service delivery staff; (4) focus groups of youth, their parents, and service providers; and (5) in-de</w:t>
      </w:r>
      <w:r w:rsidR="005F3549">
        <w:t>pth interviews with youth and</w:t>
      </w:r>
      <w:r w:rsidRPr="005B4041">
        <w:t xml:space="preserve"> their parents or guardians within three months of completing the 12 month follow-up interview.  </w:t>
      </w:r>
      <w:r w:rsidR="005F3549">
        <w:t xml:space="preserve"> At this </w:t>
      </w:r>
      <w:r w:rsidR="00C00570">
        <w:t>time,</w:t>
      </w:r>
      <w:r w:rsidR="005F3549">
        <w:t xml:space="preserve"> SSA is conducting 36-month follow-up interviews with youth or their parents or guardians, which will help </w:t>
      </w:r>
      <w:proofErr w:type="gramStart"/>
      <w:r w:rsidR="005F3549">
        <w:t>us</w:t>
      </w:r>
      <w:proofErr w:type="gramEnd"/>
      <w:r w:rsidR="005F3549">
        <w:t xml:space="preserve"> complete our study.</w:t>
      </w:r>
      <w:r w:rsidR="00C00570">
        <w:t xml:space="preserve">  We plan to close this information collection request upon completion of this study</w:t>
      </w:r>
      <w:r w:rsidR="008F046D">
        <w:t xml:space="preserve"> in FY 2014</w:t>
      </w:r>
      <w:r w:rsidR="00C00570">
        <w:t>.</w:t>
      </w:r>
    </w:p>
    <w:p w:rsidR="005F3549" w:rsidRPr="005B4041" w:rsidRDefault="005F3549" w:rsidP="00091BB4">
      <w:pPr>
        <w:spacing w:line="240" w:lineRule="auto"/>
        <w:jc w:val="left"/>
      </w:pPr>
    </w:p>
    <w:p w:rsidR="005B49E1" w:rsidRPr="005B4041" w:rsidRDefault="005B49E1" w:rsidP="00091BB4">
      <w:pPr>
        <w:pStyle w:val="Heading2"/>
        <w:numPr>
          <w:ilvl w:val="0"/>
          <w:numId w:val="0"/>
        </w:numPr>
        <w:jc w:val="left"/>
        <w:rPr>
          <w:caps w:val="0"/>
        </w:rPr>
      </w:pPr>
      <w:r w:rsidRPr="005B4041">
        <w:rPr>
          <w:caps w:val="0"/>
        </w:rPr>
        <w:t>A.</w:t>
      </w:r>
      <w:r w:rsidRPr="005B4041">
        <w:rPr>
          <w:caps w:val="0"/>
        </w:rPr>
        <w:tab/>
        <w:t>JUSTIFICATION</w:t>
      </w:r>
    </w:p>
    <w:p w:rsidR="005B49E1" w:rsidRPr="005B4041" w:rsidRDefault="005B49E1" w:rsidP="00091BB4">
      <w:pPr>
        <w:pStyle w:val="Heading3"/>
        <w:tabs>
          <w:tab w:val="clear" w:pos="432"/>
          <w:tab w:val="left" w:pos="720"/>
        </w:tabs>
        <w:ind w:left="720" w:hanging="288"/>
        <w:jc w:val="left"/>
      </w:pPr>
      <w:r w:rsidRPr="005B4041">
        <w:t>1.</w:t>
      </w:r>
      <w:r w:rsidRPr="005B4041">
        <w:tab/>
        <w:t>Circumstances that Make the Data Collection Necessary: Legal or Administrative Requirements</w:t>
      </w:r>
    </w:p>
    <w:p w:rsidR="005B49E1" w:rsidRPr="005B4041" w:rsidRDefault="005B49E1" w:rsidP="00091BB4">
      <w:pPr>
        <w:pStyle w:val="Heading4"/>
        <w:ind w:firstLine="0"/>
        <w:jc w:val="left"/>
      </w:pPr>
      <w:r w:rsidRPr="005B4041">
        <w:t>a.</w:t>
      </w:r>
      <w:r w:rsidRPr="005B4041">
        <w:tab/>
        <w:t>Circumstances</w:t>
      </w:r>
    </w:p>
    <w:p w:rsidR="005B49E1" w:rsidRPr="005B4041" w:rsidRDefault="009A629E" w:rsidP="00091BB4">
      <w:pPr>
        <w:pStyle w:val="ParagraphSSLAST"/>
        <w:ind w:left="720" w:firstLine="0"/>
        <w:jc w:val="left"/>
      </w:pPr>
      <w:r>
        <w:t xml:space="preserve">SSA </w:t>
      </w:r>
      <w:r w:rsidR="005B49E1" w:rsidRPr="005B4041">
        <w:t>sponsor</w:t>
      </w:r>
      <w:r>
        <w:t>s</w:t>
      </w:r>
      <w:r w:rsidR="005B49E1" w:rsidRPr="005B4041">
        <w:t xml:space="preserve"> the YTD projects, and the related evaluation of those projects, to examine the effectiveness of providing services to youth with disabilities during their transition to adulthood</w:t>
      </w:r>
      <w:r w:rsidR="000B620A" w:rsidRPr="005B4041">
        <w:t xml:space="preserve">.  </w:t>
      </w:r>
      <w:r w:rsidR="006F7FDA">
        <w:t>In addition to the multitude</w:t>
      </w:r>
      <w:r w:rsidR="005B49E1" w:rsidRPr="005B4041">
        <w:t xml:space="preserve"> of issues facing all transition-age youth, those with disabilities have special issues related to health, social isolation, multiple service needs, and lack of access to supports</w:t>
      </w:r>
      <w:r w:rsidR="000B620A" w:rsidRPr="005B4041">
        <w:t xml:space="preserve">.  </w:t>
      </w:r>
      <w:r w:rsidR="005B49E1" w:rsidRPr="005B4041">
        <w:t>This set of challenges complicates their planning for future education and work and often leads to poor educational and employment outcomes</w:t>
      </w:r>
      <w:r w:rsidR="000B620A" w:rsidRPr="005B4041">
        <w:t>,</w:t>
      </w:r>
      <w:r w:rsidR="005B49E1" w:rsidRPr="005B4041">
        <w:t xml:space="preserve"> and high risk of dependence</w:t>
      </w:r>
      <w:r w:rsidR="000B620A" w:rsidRPr="005B4041">
        <w:t xml:space="preserve">.  </w:t>
      </w:r>
      <w:r w:rsidR="005B49E1" w:rsidRPr="005B4041">
        <w:t>SSA is investing considerable resources in developing and evaluating strategies to maximize the economic self-sufficiency of youth with disabilities, focusing on youth at the ages of 14 to 25 years, as they transition from school to work</w:t>
      </w:r>
      <w:r w:rsidR="000B620A" w:rsidRPr="005B4041">
        <w:t xml:space="preserve">.  </w:t>
      </w:r>
      <w:r w:rsidR="005B49E1" w:rsidRPr="005B4041">
        <w:t>Hallmark features of the YTD evaluation include carefully designed and targeted demonstration projects that are policy-relevant and can operate at a scale required by the evaluation and a rigorous random assignment evaluation design.</w:t>
      </w:r>
    </w:p>
    <w:p w:rsidR="005B49E1" w:rsidRPr="005B4041" w:rsidRDefault="005B49E1" w:rsidP="00091BB4">
      <w:pPr>
        <w:pStyle w:val="Heading4"/>
        <w:tabs>
          <w:tab w:val="left" w:pos="720"/>
        </w:tabs>
        <w:ind w:firstLine="0"/>
        <w:jc w:val="left"/>
      </w:pPr>
      <w:r w:rsidRPr="005B4041">
        <w:lastRenderedPageBreak/>
        <w:t>b.</w:t>
      </w:r>
      <w:r w:rsidRPr="005B4041">
        <w:tab/>
        <w:t>Legal or Administrative Requirements</w:t>
      </w:r>
    </w:p>
    <w:p w:rsidR="005B49E1" w:rsidRPr="005B4041" w:rsidRDefault="000B620A" w:rsidP="00091BB4">
      <w:pPr>
        <w:pStyle w:val="NormalSS"/>
        <w:ind w:left="720" w:firstLine="0"/>
        <w:jc w:val="left"/>
      </w:pPr>
      <w:r w:rsidRPr="005B4041">
        <w:t>Since 1980, Congress has</w:t>
      </w:r>
      <w:r w:rsidR="00D6595F">
        <w:t xml:space="preserve"> required </w:t>
      </w:r>
      <w:r w:rsidR="005B49E1" w:rsidRPr="005B4041">
        <w:t>SSA to conduct demonstration projects to test the effectiveness of possible program changes that could encourage individuals to work and decrease their dependence on disability benefits</w:t>
      </w:r>
      <w:r w:rsidRPr="005B4041">
        <w:t xml:space="preserve">.  </w:t>
      </w:r>
      <w:r w:rsidR="005B49E1" w:rsidRPr="005B4041">
        <w:t>In fostering work</w:t>
      </w:r>
      <w:r w:rsidR="008F046D">
        <w:t xml:space="preserve"> efforts</w:t>
      </w:r>
      <w:r w:rsidR="005B49E1" w:rsidRPr="005B4041">
        <w:t xml:space="preserve">, </w:t>
      </w:r>
      <w:r w:rsidRPr="005B4041">
        <w:t xml:space="preserve">we intend </w:t>
      </w:r>
      <w:r w:rsidR="005B49E1" w:rsidRPr="005B4041">
        <w:t>these demonstrations and the progra</w:t>
      </w:r>
      <w:r w:rsidRPr="005B4041">
        <w:t>m changes they test</w:t>
      </w:r>
      <w:r w:rsidR="005B49E1" w:rsidRPr="005B4041">
        <w:t xml:space="preserve"> to produce savings in the trust funds or improve program administration.</w:t>
      </w:r>
    </w:p>
    <w:p w:rsidR="005B49E1" w:rsidRPr="005B4041" w:rsidRDefault="005B49E1" w:rsidP="00091BB4">
      <w:pPr>
        <w:spacing w:line="240" w:lineRule="auto"/>
        <w:jc w:val="left"/>
      </w:pPr>
    </w:p>
    <w:p w:rsidR="005B49E1" w:rsidRPr="005B4041" w:rsidRDefault="005B49E1" w:rsidP="00091BB4">
      <w:pPr>
        <w:spacing w:line="240" w:lineRule="auto"/>
        <w:ind w:left="720" w:firstLine="0"/>
        <w:jc w:val="left"/>
      </w:pPr>
      <w:r w:rsidRPr="005B4041">
        <w:t>To achieve these objectives, SSA’s demonstration authority contains several key features that provide SSA with a potentially valuable tool for assessing the effectiveness of policy alternatives</w:t>
      </w:r>
      <w:r w:rsidR="00DF3190">
        <w:t xml:space="preserve">.  </w:t>
      </w:r>
      <w:r w:rsidRPr="005B4041">
        <w:t>One of these features is SSA’s authority to waive certain disability insurance and Medicare program rules</w:t>
      </w:r>
      <w:r w:rsidR="000B620A" w:rsidRPr="005B4041">
        <w:t xml:space="preserve">.  </w:t>
      </w:r>
      <w:r w:rsidRPr="005B4041">
        <w:t xml:space="preserve">For example, when conducting demonstrations, SSA </w:t>
      </w:r>
      <w:r w:rsidR="00DF3190">
        <w:t>may</w:t>
      </w:r>
      <w:r w:rsidRPr="005B4041">
        <w:t xml:space="preserve"> exempt certain beneficiaries from requirements that workers with disabilities earn below a certain amount to remain eligible for benefits</w:t>
      </w:r>
      <w:r w:rsidR="000B620A" w:rsidRPr="005B4041">
        <w:t xml:space="preserve">.  </w:t>
      </w:r>
      <w:r w:rsidRPr="005B4041">
        <w:t>Another key aspect of SSA’s demonstration authority is the requirement that demonstration projects be of sufficient scope and conducted on a wide enough scale to ensure a thorough evaluation and results that are applicable to the program as a whole.</w:t>
      </w:r>
    </w:p>
    <w:p w:rsidR="005B49E1" w:rsidRPr="005B4041" w:rsidRDefault="005B49E1" w:rsidP="00091BB4">
      <w:pPr>
        <w:spacing w:line="240" w:lineRule="auto"/>
        <w:jc w:val="left"/>
      </w:pPr>
    </w:p>
    <w:p w:rsidR="005B49E1" w:rsidRPr="005B4041" w:rsidRDefault="005B49E1" w:rsidP="00091BB4">
      <w:pPr>
        <w:spacing w:line="240" w:lineRule="auto"/>
        <w:ind w:left="720" w:firstLine="0"/>
        <w:jc w:val="left"/>
      </w:pPr>
      <w:r w:rsidRPr="005B4041">
        <w:t xml:space="preserve">In addition, the legislation authorizes SSA to use trust fund monies to pay for the demonstrations and requires SSA to periodically report to Congress on its demonstration activities, providing, when appropriate, recommendations for legislative or administrative changes. </w:t>
      </w:r>
    </w:p>
    <w:p w:rsidR="005B49E1" w:rsidRPr="005B4041" w:rsidRDefault="005B49E1" w:rsidP="00091BB4">
      <w:pPr>
        <w:spacing w:line="240" w:lineRule="auto"/>
        <w:jc w:val="left"/>
      </w:pPr>
    </w:p>
    <w:p w:rsidR="005B49E1" w:rsidRPr="005B4041" w:rsidRDefault="005B49E1" w:rsidP="00091BB4">
      <w:pPr>
        <w:pStyle w:val="ParagraphSSLAST"/>
        <w:spacing w:after="100" w:afterAutospacing="1"/>
        <w:ind w:left="720" w:firstLine="0"/>
        <w:jc w:val="left"/>
      </w:pPr>
      <w:r w:rsidRPr="005B4041">
        <w:t xml:space="preserve">Sections </w:t>
      </w:r>
      <w:r w:rsidRPr="00D6595F">
        <w:rPr>
          <w:i/>
        </w:rPr>
        <w:t>234</w:t>
      </w:r>
      <w:r w:rsidRPr="005B4041">
        <w:t xml:space="preserve"> and </w:t>
      </w:r>
      <w:r w:rsidRPr="00D6595F">
        <w:rPr>
          <w:i/>
        </w:rPr>
        <w:t>1110</w:t>
      </w:r>
      <w:r w:rsidRPr="005B4041">
        <w:t xml:space="preserve"> of the </w:t>
      </w:r>
      <w:r w:rsidRPr="00D6595F">
        <w:rPr>
          <w:i/>
        </w:rPr>
        <w:t>Social Security Act (</w:t>
      </w:r>
      <w:r w:rsidR="00D6595F" w:rsidRPr="00D6595F">
        <w:rPr>
          <w:i/>
        </w:rPr>
        <w:t>Act)</w:t>
      </w:r>
      <w:r w:rsidR="00D6595F">
        <w:t xml:space="preserve">, </w:t>
      </w:r>
      <w:r w:rsidR="00D6595F" w:rsidRPr="00D6595F">
        <w:rPr>
          <w:i/>
        </w:rPr>
        <w:t>Appendix A</w:t>
      </w:r>
      <w:r w:rsidRPr="005B4041">
        <w:t xml:space="preserve"> direct the Commissioner of SSA to carry out experiments and demonstration projects to determine the relative advantages and disadvantages of the following: </w:t>
      </w:r>
    </w:p>
    <w:p w:rsidR="005B49E1" w:rsidRPr="005B4041" w:rsidRDefault="005B49E1" w:rsidP="00091BB4">
      <w:pPr>
        <w:pStyle w:val="Bullet"/>
        <w:numPr>
          <w:ilvl w:val="0"/>
          <w:numId w:val="4"/>
        </w:numPr>
        <w:tabs>
          <w:tab w:val="clear" w:pos="360"/>
          <w:tab w:val="clear" w:pos="792"/>
          <w:tab w:val="left" w:pos="1260"/>
        </w:tabs>
        <w:spacing w:after="120"/>
        <w:ind w:left="1260" w:hanging="342"/>
        <w:jc w:val="left"/>
      </w:pPr>
      <w:r w:rsidRPr="005B4041">
        <w:t>Various alternative methods of treating the work activity of individuals receiving benefits, including such methods as a reduction in benefits based on earnings designed to encourage these beneficiaries to return to work</w:t>
      </w:r>
    </w:p>
    <w:p w:rsidR="005B49E1" w:rsidRPr="005B4041" w:rsidRDefault="005B49E1" w:rsidP="00091BB4">
      <w:pPr>
        <w:pStyle w:val="Bullet"/>
        <w:numPr>
          <w:ilvl w:val="0"/>
          <w:numId w:val="4"/>
        </w:numPr>
        <w:tabs>
          <w:tab w:val="clear" w:pos="360"/>
          <w:tab w:val="clear" w:pos="792"/>
          <w:tab w:val="left" w:pos="1260"/>
        </w:tabs>
        <w:spacing w:after="120"/>
        <w:ind w:left="1260"/>
        <w:jc w:val="left"/>
      </w:pPr>
      <w:r w:rsidRPr="005B4041">
        <w:t>Altering other limitations and conditions, such as lengthening the trial work period or altering the 24 month waiting period for Medicare</w:t>
      </w:r>
    </w:p>
    <w:p w:rsidR="005B49E1" w:rsidRPr="005B4041" w:rsidRDefault="005B49E1" w:rsidP="00091BB4">
      <w:pPr>
        <w:pStyle w:val="BulletLAST"/>
        <w:numPr>
          <w:ilvl w:val="0"/>
          <w:numId w:val="4"/>
        </w:numPr>
        <w:tabs>
          <w:tab w:val="clear" w:pos="360"/>
          <w:tab w:val="left" w:pos="792"/>
          <w:tab w:val="left" w:pos="1260"/>
        </w:tabs>
        <w:spacing w:after="100" w:afterAutospacing="1"/>
        <w:ind w:firstLine="108"/>
        <w:jc w:val="left"/>
      </w:pPr>
      <w:r w:rsidRPr="005B4041">
        <w:t>Implementing a sliding scale benefit offset</w:t>
      </w:r>
    </w:p>
    <w:p w:rsidR="005B49E1" w:rsidRPr="005B4041" w:rsidRDefault="005B49E1" w:rsidP="00091BB4">
      <w:pPr>
        <w:pStyle w:val="NormalSS"/>
        <w:tabs>
          <w:tab w:val="clear" w:pos="432"/>
          <w:tab w:val="left" w:pos="720"/>
        </w:tabs>
        <w:spacing w:after="100" w:afterAutospacing="1"/>
        <w:ind w:left="720" w:firstLine="0"/>
        <w:jc w:val="left"/>
      </w:pPr>
      <w:r w:rsidRPr="005B4041">
        <w:t xml:space="preserve">The </w:t>
      </w:r>
      <w:r w:rsidRPr="00D6595F">
        <w:rPr>
          <w:i/>
        </w:rPr>
        <w:t>Act</w:t>
      </w:r>
      <w:r w:rsidRPr="005B4041">
        <w:t xml:space="preserve"> requires that</w:t>
      </w:r>
      <w:r w:rsidR="000B620A" w:rsidRPr="005B4041">
        <w:t xml:space="preserve"> we design</w:t>
      </w:r>
      <w:r w:rsidRPr="005B4041">
        <w:t xml:space="preserve"> these demonstration projects to show that savings will accrue to the trust funds, or will otherwise promote or facilitate the administration of the program</w:t>
      </w:r>
      <w:r w:rsidR="000B620A" w:rsidRPr="005B4041">
        <w:t xml:space="preserve">.  </w:t>
      </w:r>
      <w:r w:rsidRPr="005B4041">
        <w:t xml:space="preserve">Section </w:t>
      </w:r>
      <w:r w:rsidRPr="00D6595F">
        <w:rPr>
          <w:i/>
        </w:rPr>
        <w:t>234</w:t>
      </w:r>
      <w:r w:rsidRPr="005B4041">
        <w:t xml:space="preserve"> also provides that </w:t>
      </w:r>
      <w:r w:rsidR="000B620A" w:rsidRPr="005B4041">
        <w:t xml:space="preserve">we conduct </w:t>
      </w:r>
      <w:r w:rsidR="00D6595F">
        <w:t xml:space="preserve">these projects </w:t>
      </w:r>
      <w:r w:rsidRPr="005B4041">
        <w:t>in a manner that will allow SSA to evaluate the appropriateness of implementing such a program on a national scale.</w:t>
      </w:r>
    </w:p>
    <w:p w:rsidR="00AB1EF0" w:rsidRDefault="005B49E1" w:rsidP="00091BB4">
      <w:pPr>
        <w:spacing w:line="240" w:lineRule="auto"/>
        <w:ind w:left="720" w:firstLine="0"/>
        <w:jc w:val="left"/>
      </w:pPr>
      <w:r w:rsidRPr="005B4041">
        <w:t>To overcome the barriers to employment for beneficiaries, YTD provides individualized work-based experiences, youth empowerment, family supports, system linkages, social and health services, and benefits counseling</w:t>
      </w:r>
      <w:r w:rsidR="000B620A" w:rsidRPr="005B4041">
        <w:t>.  We randomly assign</w:t>
      </w:r>
      <w:r w:rsidR="00D6595F">
        <w:t>ed</w:t>
      </w:r>
      <w:r w:rsidR="000B620A" w:rsidRPr="005B4041">
        <w:t xml:space="preserve"> e</w:t>
      </w:r>
      <w:r w:rsidRPr="005B4041">
        <w:t>nrollees in the demonstration to either the treatment or the control group</w:t>
      </w:r>
      <w:r w:rsidR="000B620A" w:rsidRPr="005B4041">
        <w:t xml:space="preserve">.  </w:t>
      </w:r>
      <w:r w:rsidRPr="005B4041">
        <w:t xml:space="preserve">Enrollees in the control group have access to the traditional services </w:t>
      </w:r>
      <w:r w:rsidR="006F7FDA">
        <w:t xml:space="preserve">available in the community </w:t>
      </w:r>
      <w:r w:rsidRPr="005B4041">
        <w:t xml:space="preserve">and existing work incentives available, while enrollees in the treatment group receive the demonstration’s </w:t>
      </w:r>
      <w:r w:rsidRPr="005B4041">
        <w:lastRenderedPageBreak/>
        <w:t>enhanced services as well as waivers of certain disability insurance rules to strengthen work incentives</w:t>
      </w:r>
      <w:r w:rsidR="00D6595F">
        <w:t xml:space="preserve">.  </w:t>
      </w:r>
      <w:r w:rsidRPr="005B4041">
        <w:t>The evaluation will assess the impact of these services and waivers on educational attainment, employment, earnings, and reduced use of disability benefits</w:t>
      </w:r>
      <w:r w:rsidR="000B620A" w:rsidRPr="005B4041">
        <w:t xml:space="preserve">.  </w:t>
      </w:r>
      <w:r w:rsidRPr="005B4041">
        <w:t>The demonstration and planned evaluation meet SSA’s legislative and congressional mandates.</w:t>
      </w:r>
    </w:p>
    <w:p w:rsidR="00AB1EF0" w:rsidRDefault="00AB1EF0" w:rsidP="00091BB4">
      <w:pPr>
        <w:spacing w:line="240" w:lineRule="auto"/>
        <w:jc w:val="left"/>
      </w:pPr>
    </w:p>
    <w:p w:rsidR="005B49E1" w:rsidRPr="005B4041" w:rsidRDefault="005B49E1" w:rsidP="00091BB4">
      <w:pPr>
        <w:pStyle w:val="Heading3"/>
        <w:tabs>
          <w:tab w:val="left" w:pos="720"/>
        </w:tabs>
        <w:ind w:firstLine="0"/>
        <w:jc w:val="left"/>
      </w:pPr>
      <w:r w:rsidRPr="005B4041">
        <w:t>2.</w:t>
      </w:r>
      <w:r w:rsidRPr="005B4041">
        <w:tab/>
      </w:r>
      <w:r w:rsidR="00E85BA8">
        <w:t>Description of Collection</w:t>
      </w:r>
    </w:p>
    <w:p w:rsidR="005B49E1" w:rsidRPr="005B4041" w:rsidRDefault="004646E3" w:rsidP="00091BB4">
      <w:pPr>
        <w:spacing w:line="240" w:lineRule="auto"/>
        <w:ind w:left="720" w:firstLine="0"/>
        <w:jc w:val="left"/>
      </w:pPr>
      <w:r>
        <w:t xml:space="preserve">The purpose of this collection is evaluation of the Youth Transition Demonstration. </w:t>
      </w:r>
      <w:r w:rsidR="00CA1172">
        <w:t xml:space="preserve"> </w:t>
      </w:r>
      <w:proofErr w:type="spellStart"/>
      <w:r w:rsidR="00CA1172">
        <w:t>Mathematica</w:t>
      </w:r>
      <w:proofErr w:type="spellEnd"/>
      <w:r w:rsidR="00CA1172">
        <w:t xml:space="preserve"> Policy Research and MDRC, private contractors SSA</w:t>
      </w:r>
      <w:r w:rsidR="008F046D">
        <w:t xml:space="preserve"> </w:t>
      </w:r>
      <w:proofErr w:type="spellStart"/>
      <w:r w:rsidR="008F046D">
        <w:t>employes</w:t>
      </w:r>
      <w:proofErr w:type="spellEnd"/>
      <w:r w:rsidR="00CA1172">
        <w:t>, collect t</w:t>
      </w:r>
      <w:r>
        <w:t>he</w:t>
      </w:r>
      <w:r w:rsidR="00CA1172">
        <w:t xml:space="preserve"> data.  </w:t>
      </w:r>
      <w:r w:rsidR="005B49E1" w:rsidRPr="005B4041">
        <w:t xml:space="preserve">Information </w:t>
      </w:r>
      <w:r w:rsidR="00071B82" w:rsidRPr="005B4041">
        <w:t>MPR</w:t>
      </w:r>
      <w:r w:rsidR="00CA1172">
        <w:t xml:space="preserve"> </w:t>
      </w:r>
      <w:r w:rsidR="005B49E1" w:rsidRPr="005B4041">
        <w:t>collect</w:t>
      </w:r>
      <w:r w:rsidR="00CA1172">
        <w:t>s</w:t>
      </w:r>
      <w:r w:rsidR="005B49E1" w:rsidRPr="005B4041">
        <w:t xml:space="preserve"> will answer three key questions central to assessing the effectiveness of YTD projects:</w:t>
      </w:r>
    </w:p>
    <w:p w:rsidR="005B49E1" w:rsidRPr="005B4041" w:rsidRDefault="005B49E1" w:rsidP="00091BB4">
      <w:pPr>
        <w:spacing w:line="240" w:lineRule="auto"/>
        <w:jc w:val="left"/>
      </w:pPr>
    </w:p>
    <w:p w:rsidR="004410F7" w:rsidRPr="004410F7" w:rsidRDefault="005B49E1" w:rsidP="00091BB4">
      <w:pPr>
        <w:pStyle w:val="Bullet"/>
        <w:numPr>
          <w:ilvl w:val="0"/>
          <w:numId w:val="2"/>
        </w:numPr>
        <w:tabs>
          <w:tab w:val="clear" w:pos="360"/>
          <w:tab w:val="clear" w:pos="1152"/>
          <w:tab w:val="left" w:pos="1260"/>
        </w:tabs>
        <w:spacing w:after="0"/>
        <w:ind w:left="1267"/>
        <w:jc w:val="left"/>
      </w:pPr>
      <w:r w:rsidRPr="005B4041">
        <w:rPr>
          <w:b/>
          <w:i/>
        </w:rPr>
        <w:t>How Are the YTD Projects Implemented and Operated</w:t>
      </w:r>
      <w:r w:rsidR="000B620A" w:rsidRPr="005B4041">
        <w:rPr>
          <w:b/>
          <w:i/>
        </w:rPr>
        <w:t xml:space="preserve">?  </w:t>
      </w:r>
    </w:p>
    <w:p w:rsidR="005B49E1" w:rsidRDefault="005B49E1" w:rsidP="00091BB4">
      <w:pPr>
        <w:pStyle w:val="Bullet"/>
        <w:numPr>
          <w:ilvl w:val="0"/>
          <w:numId w:val="0"/>
        </w:numPr>
        <w:tabs>
          <w:tab w:val="clear" w:pos="360"/>
          <w:tab w:val="left" w:pos="1260"/>
        </w:tabs>
        <w:spacing w:after="0"/>
        <w:ind w:left="1267"/>
        <w:jc w:val="left"/>
      </w:pPr>
      <w:r w:rsidRPr="005B4041">
        <w:t xml:space="preserve">What are the important issues and challenges in designing, implementing, and operating YTD projects, and what lessons can </w:t>
      </w:r>
      <w:r w:rsidR="000B620A" w:rsidRPr="005B4041">
        <w:t>we draw</w:t>
      </w:r>
      <w:r w:rsidRPr="005B4041">
        <w:t xml:space="preserve"> from the experience</w:t>
      </w:r>
      <w:r w:rsidR="000B620A" w:rsidRPr="005B4041">
        <w:t xml:space="preserve">?  </w:t>
      </w:r>
      <w:r w:rsidRPr="005B4041">
        <w:t xml:space="preserve">What approaches </w:t>
      </w:r>
      <w:r w:rsidR="000B620A" w:rsidRPr="005B4041">
        <w:t>do we take to provide</w:t>
      </w:r>
      <w:r w:rsidRPr="005B4041">
        <w:t xml:space="preserve"> services to promote self-sufficiency among youth with disabilities</w:t>
      </w:r>
      <w:r w:rsidR="000B620A" w:rsidRPr="005B4041">
        <w:t xml:space="preserve">?  </w:t>
      </w:r>
      <w:r w:rsidRPr="005B4041">
        <w:t>What are the characteristics of the interventions and the context of their provision</w:t>
      </w:r>
      <w:r w:rsidR="000B620A" w:rsidRPr="005B4041">
        <w:t xml:space="preserve">?  </w:t>
      </w:r>
      <w:r w:rsidRPr="005B4041">
        <w:t>Who participates in the YTD projects, for how long, and what services do they get</w:t>
      </w:r>
      <w:r w:rsidR="000B620A" w:rsidRPr="005B4041">
        <w:t xml:space="preserve">?  </w:t>
      </w:r>
      <w:r w:rsidRPr="005B4041">
        <w:t>Who provides these services</w:t>
      </w:r>
      <w:r w:rsidR="000B620A" w:rsidRPr="005B4041">
        <w:t xml:space="preserve">?  </w:t>
      </w:r>
      <w:r w:rsidRPr="005B4041">
        <w:t>How do those services differ from those received by members of the control group</w:t>
      </w:r>
      <w:r w:rsidR="000B620A" w:rsidRPr="005B4041">
        <w:t xml:space="preserve">?  </w:t>
      </w:r>
      <w:r w:rsidRPr="005B4041">
        <w:t>To what extent do the youth use the SSA waivers</w:t>
      </w:r>
      <w:r w:rsidR="000B620A" w:rsidRPr="005B4041">
        <w:t xml:space="preserve">?  </w:t>
      </w:r>
      <w:r w:rsidRPr="005B4041">
        <w:t>How does participation in YTD differ for population subgroups?</w:t>
      </w:r>
    </w:p>
    <w:p w:rsidR="004410F7" w:rsidRPr="005B4041" w:rsidRDefault="004410F7" w:rsidP="00091BB4">
      <w:pPr>
        <w:pStyle w:val="Bullet"/>
        <w:numPr>
          <w:ilvl w:val="0"/>
          <w:numId w:val="0"/>
        </w:numPr>
        <w:tabs>
          <w:tab w:val="clear" w:pos="360"/>
          <w:tab w:val="left" w:pos="1260"/>
        </w:tabs>
        <w:spacing w:after="0"/>
        <w:ind w:left="1267"/>
        <w:jc w:val="left"/>
      </w:pPr>
    </w:p>
    <w:p w:rsidR="004410F7" w:rsidRDefault="005B49E1" w:rsidP="00091BB4">
      <w:pPr>
        <w:pStyle w:val="Bullet"/>
        <w:numPr>
          <w:ilvl w:val="0"/>
          <w:numId w:val="2"/>
        </w:numPr>
        <w:tabs>
          <w:tab w:val="clear" w:pos="360"/>
          <w:tab w:val="clear" w:pos="1152"/>
          <w:tab w:val="left" w:pos="1260"/>
        </w:tabs>
        <w:spacing w:after="0"/>
        <w:ind w:left="1267"/>
        <w:jc w:val="left"/>
      </w:pPr>
      <w:r w:rsidRPr="005B4041">
        <w:rPr>
          <w:b/>
          <w:i/>
        </w:rPr>
        <w:t>What Are the Short Term and Longer Term Impacts of the Projects</w:t>
      </w:r>
      <w:r w:rsidR="000B620A" w:rsidRPr="005B4041">
        <w:rPr>
          <w:b/>
          <w:i/>
        </w:rPr>
        <w:t xml:space="preserve">?  </w:t>
      </w:r>
    </w:p>
    <w:p w:rsidR="005B49E1" w:rsidRDefault="005B49E1" w:rsidP="00091BB4">
      <w:pPr>
        <w:pStyle w:val="Bullet"/>
        <w:numPr>
          <w:ilvl w:val="0"/>
          <w:numId w:val="0"/>
        </w:numPr>
        <w:tabs>
          <w:tab w:val="clear" w:pos="360"/>
          <w:tab w:val="left" w:pos="1260"/>
        </w:tabs>
        <w:spacing w:after="0"/>
        <w:ind w:left="1267"/>
        <w:jc w:val="left"/>
      </w:pPr>
      <w:r w:rsidRPr="004410F7">
        <w:rPr>
          <w:bCs/>
          <w:iCs/>
        </w:rPr>
        <w:t>How effective are the projects in increasing employment and earnings and reducing dependence on disability benefits</w:t>
      </w:r>
      <w:r w:rsidR="000B620A" w:rsidRPr="004410F7">
        <w:rPr>
          <w:bCs/>
          <w:iCs/>
        </w:rPr>
        <w:t xml:space="preserve">?  </w:t>
      </w:r>
      <w:r w:rsidRPr="005B4041">
        <w:t>Do the projects affect educational attainment or other intermediate outcomes, such as work attitudes or work experience</w:t>
      </w:r>
      <w:r w:rsidR="000B620A" w:rsidRPr="005B4041">
        <w:t xml:space="preserve">?  </w:t>
      </w:r>
      <w:r w:rsidRPr="005B4041">
        <w:t xml:space="preserve">Do they improve social-psychological </w:t>
      </w:r>
      <w:r w:rsidR="008F046D" w:rsidRPr="005B4041">
        <w:t>well-being</w:t>
      </w:r>
      <w:r w:rsidR="000B620A" w:rsidRPr="005B4041">
        <w:t xml:space="preserve">?  </w:t>
      </w:r>
      <w:r w:rsidRPr="005B4041">
        <w:t>Do they increase the likelihood that disabled youth will be able to live independently as adults</w:t>
      </w:r>
      <w:r w:rsidR="000B620A" w:rsidRPr="005B4041">
        <w:t xml:space="preserve">?  </w:t>
      </w:r>
      <w:r w:rsidRPr="005B4041">
        <w:t>Do these impacts differ across subgroups of the population of youth with disabilities?</w:t>
      </w:r>
    </w:p>
    <w:p w:rsidR="004410F7" w:rsidRPr="005B4041" w:rsidRDefault="004410F7" w:rsidP="00091BB4">
      <w:pPr>
        <w:pStyle w:val="Bullet"/>
        <w:numPr>
          <w:ilvl w:val="0"/>
          <w:numId w:val="0"/>
        </w:numPr>
        <w:tabs>
          <w:tab w:val="clear" w:pos="360"/>
          <w:tab w:val="left" w:pos="1260"/>
        </w:tabs>
        <w:spacing w:after="0"/>
        <w:ind w:left="1267"/>
        <w:jc w:val="left"/>
      </w:pPr>
    </w:p>
    <w:p w:rsidR="004410F7" w:rsidRPr="004410F7" w:rsidRDefault="005B49E1" w:rsidP="00091BB4">
      <w:pPr>
        <w:pStyle w:val="Bullet"/>
        <w:numPr>
          <w:ilvl w:val="0"/>
          <w:numId w:val="2"/>
        </w:numPr>
        <w:tabs>
          <w:tab w:val="clear" w:pos="360"/>
          <w:tab w:val="clear" w:pos="1152"/>
          <w:tab w:val="left" w:pos="1260"/>
        </w:tabs>
        <w:spacing w:after="0"/>
        <w:ind w:left="1267"/>
        <w:jc w:val="left"/>
      </w:pPr>
      <w:r w:rsidRPr="005B4041">
        <w:rPr>
          <w:b/>
          <w:i/>
        </w:rPr>
        <w:t>What Are the Costs of Operating the Projects, and Do the Benefits Outweigh the Costs</w:t>
      </w:r>
      <w:r w:rsidR="000B620A" w:rsidRPr="005B4041">
        <w:rPr>
          <w:b/>
          <w:i/>
        </w:rPr>
        <w:t xml:space="preserve">?  </w:t>
      </w:r>
    </w:p>
    <w:p w:rsidR="005B49E1" w:rsidRDefault="005B49E1" w:rsidP="00091BB4">
      <w:pPr>
        <w:pStyle w:val="Bullet"/>
        <w:numPr>
          <w:ilvl w:val="0"/>
          <w:numId w:val="0"/>
        </w:numPr>
        <w:tabs>
          <w:tab w:val="clear" w:pos="360"/>
          <w:tab w:val="left" w:pos="1260"/>
        </w:tabs>
        <w:spacing w:after="0"/>
        <w:ind w:left="1267"/>
        <w:jc w:val="left"/>
      </w:pPr>
      <w:r w:rsidRPr="005B4041">
        <w:t>What are the projects’ operating costs</w:t>
      </w:r>
      <w:r w:rsidR="000B620A" w:rsidRPr="005B4041">
        <w:t xml:space="preserve">?  </w:t>
      </w:r>
      <w:r w:rsidRPr="005B4041">
        <w:t xml:space="preserve">What other costs are incurred </w:t>
      </w:r>
      <w:r w:rsidR="000B620A" w:rsidRPr="005B4041">
        <w:t>because</w:t>
      </w:r>
      <w:r w:rsidRPr="005B4041">
        <w:t xml:space="preserve"> of the YTD projects</w:t>
      </w:r>
      <w:r w:rsidR="000B620A" w:rsidRPr="005B4041">
        <w:t xml:space="preserve">?  </w:t>
      </w:r>
      <w:r w:rsidRPr="005B4041">
        <w:t>To what extent do the projects lead to net changes in disability benefit receipt</w:t>
      </w:r>
      <w:r w:rsidR="000B620A" w:rsidRPr="005B4041">
        <w:t xml:space="preserve">?  </w:t>
      </w:r>
      <w:r w:rsidRPr="005B4041">
        <w:t>Are there any induced entry effects</w:t>
      </w:r>
      <w:r w:rsidR="000B620A" w:rsidRPr="005B4041">
        <w:t xml:space="preserve">?  </w:t>
      </w:r>
      <w:r w:rsidRPr="005B4041">
        <w:t>How do the projects affect income and payroll tax receipts, benefit outlays, and the status of the Social Security Trust Funds</w:t>
      </w:r>
      <w:r w:rsidR="000B620A" w:rsidRPr="005B4041">
        <w:t xml:space="preserve">?  </w:t>
      </w:r>
      <w:r w:rsidRPr="005B4041">
        <w:t>From the perspectives of key stakeholders, do the benefits of the projects exceed their costs?</w:t>
      </w:r>
    </w:p>
    <w:p w:rsidR="004410F7" w:rsidRPr="005B4041" w:rsidRDefault="004410F7" w:rsidP="00091BB4">
      <w:pPr>
        <w:pStyle w:val="Bullet"/>
        <w:numPr>
          <w:ilvl w:val="0"/>
          <w:numId w:val="0"/>
        </w:numPr>
        <w:tabs>
          <w:tab w:val="clear" w:pos="360"/>
          <w:tab w:val="left" w:pos="1260"/>
        </w:tabs>
        <w:spacing w:after="0"/>
        <w:ind w:left="1267"/>
        <w:jc w:val="left"/>
      </w:pPr>
    </w:p>
    <w:p w:rsidR="005B49E1" w:rsidRDefault="005B49E1" w:rsidP="00091BB4">
      <w:pPr>
        <w:tabs>
          <w:tab w:val="clear" w:pos="432"/>
          <w:tab w:val="left" w:pos="720"/>
        </w:tabs>
        <w:spacing w:line="240" w:lineRule="auto"/>
        <w:ind w:left="720" w:firstLine="0"/>
        <w:jc w:val="left"/>
      </w:pPr>
      <w:r w:rsidRPr="005B4041">
        <w:t>To address these three sets of questions, the evaluation includes process, impact, and benefit-cost analyses</w:t>
      </w:r>
      <w:r w:rsidR="000B620A" w:rsidRPr="005B4041">
        <w:t xml:space="preserve">.  </w:t>
      </w:r>
      <w:r w:rsidRPr="005B4041">
        <w:t>This supporting statement requests clearance only for the 36-month follow-up data collection, which</w:t>
      </w:r>
      <w:r w:rsidR="000B620A" w:rsidRPr="005B4041">
        <w:t xml:space="preserve"> we will need</w:t>
      </w:r>
      <w:r w:rsidRPr="005B4041">
        <w:t xml:space="preserve"> </w:t>
      </w:r>
      <w:r w:rsidR="006700D2">
        <w:t>to complete</w:t>
      </w:r>
      <w:r w:rsidRPr="005B4041">
        <w:t xml:space="preserve"> the impact and benefit-cost analyses.</w:t>
      </w:r>
      <w:r w:rsidR="006700D2">
        <w:t xml:space="preserve">  We will use the data we collected through the other, concluded, evaluation tools to complete the process analysis.</w:t>
      </w:r>
    </w:p>
    <w:p w:rsidR="00E85BA8" w:rsidRPr="005B4041" w:rsidRDefault="00E85BA8" w:rsidP="00091BB4">
      <w:pPr>
        <w:spacing w:line="240" w:lineRule="auto"/>
        <w:jc w:val="left"/>
      </w:pPr>
    </w:p>
    <w:p w:rsidR="005B49E1" w:rsidRPr="005B4041" w:rsidRDefault="005B49E1" w:rsidP="00091BB4">
      <w:pPr>
        <w:spacing w:line="240" w:lineRule="auto"/>
        <w:ind w:left="720" w:firstLine="0"/>
        <w:jc w:val="left"/>
      </w:pPr>
      <w:r w:rsidRPr="005B4041">
        <w:rPr>
          <w:b/>
          <w:bCs/>
        </w:rPr>
        <w:t>Process Analysis</w:t>
      </w:r>
      <w:r w:rsidR="000B620A" w:rsidRPr="005B4041">
        <w:rPr>
          <w:b/>
          <w:bCs/>
        </w:rPr>
        <w:t>.</w:t>
      </w:r>
      <w:r w:rsidR="000B620A" w:rsidRPr="005B4041">
        <w:t xml:space="preserve">  </w:t>
      </w:r>
      <w:r w:rsidRPr="005B4041">
        <w:t>The</w:t>
      </w:r>
      <w:r w:rsidR="00CD2350">
        <w:t xml:space="preserve"> process analysis </w:t>
      </w:r>
      <w:r w:rsidRPr="005B4041">
        <w:t>document</w:t>
      </w:r>
      <w:r w:rsidR="00CD2350">
        <w:t>s</w:t>
      </w:r>
      <w:r w:rsidRPr="005B4041">
        <w:t xml:space="preserve"> </w:t>
      </w:r>
      <w:r w:rsidR="000B620A" w:rsidRPr="005B4041">
        <w:t>the delivery of</w:t>
      </w:r>
      <w:r w:rsidRPr="005B4041">
        <w:t xml:space="preserve"> the inte</w:t>
      </w:r>
      <w:r w:rsidR="000B620A" w:rsidRPr="005B4041">
        <w:t>rvention services</w:t>
      </w:r>
      <w:r w:rsidRPr="005B4041">
        <w:t>, including information provided to participating youth on SSA waivers and the extent</w:t>
      </w:r>
      <w:r w:rsidR="000B620A" w:rsidRPr="005B4041">
        <w:t xml:space="preserve"> of utilization of those waivers.  </w:t>
      </w:r>
      <w:r w:rsidR="00CD2350">
        <w:t>It identifies</w:t>
      </w:r>
      <w:r w:rsidRPr="005B4041">
        <w:t xml:space="preserve"> implementation successes, issues, and challeng</w:t>
      </w:r>
      <w:r w:rsidR="00CD2350">
        <w:t xml:space="preserve">es and </w:t>
      </w:r>
      <w:r w:rsidRPr="005B4041">
        <w:t>examine</w:t>
      </w:r>
      <w:r w:rsidR="00CD2350">
        <w:t>s</w:t>
      </w:r>
      <w:r w:rsidRPr="005B4041">
        <w:t xml:space="preserve"> program costs</w:t>
      </w:r>
      <w:r w:rsidR="000B620A" w:rsidRPr="005B4041">
        <w:t xml:space="preserve">.  </w:t>
      </w:r>
      <w:r w:rsidR="00CD2350">
        <w:t>It also</w:t>
      </w:r>
      <w:r w:rsidRPr="005B4041">
        <w:t xml:space="preserve"> provide</w:t>
      </w:r>
      <w:r w:rsidR="00CD2350">
        <w:t>s</w:t>
      </w:r>
      <w:r w:rsidRPr="005B4041">
        <w:t xml:space="preserve"> details on the nature of each YTD intervention</w:t>
      </w:r>
      <w:r w:rsidR="000B620A" w:rsidRPr="005B4041">
        <w:t xml:space="preserve">, and </w:t>
      </w:r>
      <w:r w:rsidRPr="005B4041">
        <w:t>the</w:t>
      </w:r>
      <w:r w:rsidR="000B620A" w:rsidRPr="005B4041">
        <w:t xml:space="preserve"> ways in which the</w:t>
      </w:r>
      <w:r w:rsidR="00CD2350">
        <w:t xml:space="preserve"> projects </w:t>
      </w:r>
      <w:r w:rsidRPr="005B4041">
        <w:t>achieved the observed results</w:t>
      </w:r>
      <w:r w:rsidRPr="005B4041">
        <w:rPr>
          <w:b/>
          <w:bCs/>
        </w:rPr>
        <w:t xml:space="preserve">.  </w:t>
      </w:r>
      <w:r w:rsidR="00CD2350">
        <w:t xml:space="preserve">Data for this analysis </w:t>
      </w:r>
      <w:r w:rsidRPr="005B4041">
        <w:t>come</w:t>
      </w:r>
      <w:r w:rsidR="00CD2350">
        <w:t>s</w:t>
      </w:r>
      <w:r w:rsidRPr="005B4041">
        <w:t xml:space="preserve"> primarily from </w:t>
      </w:r>
      <w:r w:rsidRPr="005B4041">
        <w:rPr>
          <w:bCs/>
        </w:rPr>
        <w:t>site visits</w:t>
      </w:r>
      <w:r w:rsidRPr="005B4041">
        <w:t>, project records and documents, and the projects’ management information systems</w:t>
      </w:r>
      <w:r w:rsidR="000B620A" w:rsidRPr="005B4041">
        <w:t xml:space="preserve">.  </w:t>
      </w:r>
      <w:r w:rsidR="00CD2350">
        <w:t xml:space="preserve">Site visits </w:t>
      </w:r>
      <w:r w:rsidRPr="005B4041">
        <w:t>include</w:t>
      </w:r>
      <w:r w:rsidR="00CD2350">
        <w:t>d</w:t>
      </w:r>
      <w:r w:rsidRPr="005B4041">
        <w:t xml:space="preserve"> </w:t>
      </w:r>
      <w:r w:rsidRPr="005B4041">
        <w:rPr>
          <w:bCs/>
        </w:rPr>
        <w:t>discussions with staff of the YTD projects and partner organizations</w:t>
      </w:r>
      <w:r w:rsidRPr="005B4041">
        <w:t xml:space="preserve">, SSA field office staff, </w:t>
      </w:r>
      <w:r w:rsidRPr="005B4041">
        <w:rPr>
          <w:bCs/>
        </w:rPr>
        <w:t>and other youth service providers</w:t>
      </w:r>
      <w:r w:rsidRPr="005B4041">
        <w:t xml:space="preserve">; </w:t>
      </w:r>
      <w:r w:rsidRPr="005B4041">
        <w:rPr>
          <w:bCs/>
        </w:rPr>
        <w:t>focus group discussions with participating youth and their families</w:t>
      </w:r>
      <w:r w:rsidRPr="005B4041">
        <w:t xml:space="preserve">; case reviews; and program observations.  </w:t>
      </w:r>
      <w:r w:rsidR="000B620A" w:rsidRPr="005B4041">
        <w:rPr>
          <w:bCs/>
        </w:rPr>
        <w:t>We use b</w:t>
      </w:r>
      <w:r w:rsidRPr="005B4041">
        <w:rPr>
          <w:bCs/>
        </w:rPr>
        <w:t>aseline survey data</w:t>
      </w:r>
      <w:r w:rsidRPr="005B4041">
        <w:t xml:space="preserve"> to describe the youth enrolled in the study</w:t>
      </w:r>
      <w:r w:rsidR="000B620A" w:rsidRPr="005B4041">
        <w:t>.  We use MIS data</w:t>
      </w:r>
      <w:r w:rsidRPr="005B4041">
        <w:t xml:space="preserve"> to describe and analyze service receipt and utilization among treatment group members</w:t>
      </w:r>
      <w:r w:rsidR="000B620A" w:rsidRPr="005B4041">
        <w:t>.  We use d</w:t>
      </w:r>
      <w:r w:rsidRPr="005B4041">
        <w:t xml:space="preserve">ata from the </w:t>
      </w:r>
      <w:r w:rsidRPr="005B4041">
        <w:rPr>
          <w:bCs/>
        </w:rPr>
        <w:t>first follow-up survey</w:t>
      </w:r>
      <w:r w:rsidRPr="005B4041">
        <w:t xml:space="preserve"> to examine participant experiences and satisfaction with YTD services.  </w:t>
      </w:r>
    </w:p>
    <w:p w:rsidR="005B49E1" w:rsidRPr="005B4041" w:rsidRDefault="005B49E1" w:rsidP="00091BB4">
      <w:pPr>
        <w:spacing w:line="240" w:lineRule="auto"/>
        <w:jc w:val="left"/>
      </w:pPr>
    </w:p>
    <w:p w:rsidR="005B49E1" w:rsidRPr="005B4041" w:rsidRDefault="005B49E1" w:rsidP="00091BB4">
      <w:pPr>
        <w:spacing w:line="240" w:lineRule="auto"/>
        <w:ind w:left="720" w:firstLine="0"/>
        <w:jc w:val="left"/>
      </w:pPr>
      <w:r w:rsidRPr="005B4041">
        <w:rPr>
          <w:b/>
          <w:bCs/>
        </w:rPr>
        <w:t>Impact Analysis</w:t>
      </w:r>
      <w:r w:rsidR="000B620A" w:rsidRPr="005B4041">
        <w:rPr>
          <w:b/>
          <w:bCs/>
        </w:rPr>
        <w:t>.</w:t>
      </w:r>
      <w:r w:rsidR="000B620A" w:rsidRPr="005B4041">
        <w:t xml:space="preserve">  </w:t>
      </w:r>
      <w:r w:rsidR="00CD2350">
        <w:t>We are using a</w:t>
      </w:r>
      <w:r w:rsidRPr="005B4041">
        <w:t xml:space="preserve"> rigorous random assignment design to determine the differences these YTD projects make in educational attainment, employment, earnings, and reduced use of disability benefits</w:t>
      </w:r>
      <w:r w:rsidR="00CD2350">
        <w:t>,</w:t>
      </w:r>
      <w:r w:rsidRPr="005B4041">
        <w:t xml:space="preserve"> as well as such outcomes as living arrangements, quality of life, and other measures of </w:t>
      </w:r>
      <w:r w:rsidR="008F046D" w:rsidRPr="005B4041">
        <w:t>well-being</w:t>
      </w:r>
      <w:r w:rsidRPr="005B4041">
        <w:t xml:space="preserve"> among the transition-age youth enrolled in the study.  Under this design, </w:t>
      </w:r>
      <w:r w:rsidR="00CD2350">
        <w:t xml:space="preserve">we </w:t>
      </w:r>
      <w:r w:rsidR="000B620A" w:rsidRPr="005B4041">
        <w:t>randomly assign</w:t>
      </w:r>
      <w:r w:rsidR="00CD2350">
        <w:t>ed</w:t>
      </w:r>
      <w:r w:rsidR="000B620A" w:rsidRPr="005B4041">
        <w:t xml:space="preserve"> </w:t>
      </w:r>
      <w:r w:rsidRPr="005B4041">
        <w:t>youth eligible for YTD services to a treatment group (offered YTD waivers and services)</w:t>
      </w:r>
      <w:r w:rsidR="000B620A" w:rsidRPr="005B4041">
        <w:t>,</w:t>
      </w:r>
      <w:r w:rsidRPr="005B4041">
        <w:t xml:space="preserve"> or to a control group (not offered YTD</w:t>
      </w:r>
      <w:r w:rsidR="00CD2350">
        <w:t xml:space="preserve"> waivers or services but using</w:t>
      </w:r>
      <w:r w:rsidRPr="005B4041">
        <w:t xml:space="preserve"> existing SSA work incentives and services available in the community).  Outcomes for the two groups will be compared using data collected in </w:t>
      </w:r>
      <w:r w:rsidRPr="005B4041">
        <w:rPr>
          <w:bCs/>
        </w:rPr>
        <w:t>follow-up interviews, conducted 12</w:t>
      </w:r>
      <w:r w:rsidRPr="005B4041">
        <w:t xml:space="preserve"> and 36 </w:t>
      </w:r>
      <w:r w:rsidRPr="005B4041">
        <w:rPr>
          <w:bCs/>
        </w:rPr>
        <w:t>months</w:t>
      </w:r>
      <w:r w:rsidRPr="005B4041">
        <w:t xml:space="preserve"> after youth enter the demonstrations, as well as data obtained from SSA program files, administrative files of state and local agencies, and possibly SSA summary earnings records (SER)</w:t>
      </w:r>
      <w:r w:rsidR="000B620A" w:rsidRPr="005B4041">
        <w:t>.  Based on</w:t>
      </w:r>
      <w:r w:rsidRPr="005B4041">
        <w:t xml:space="preserve"> these comparisons, we will assess the net effects of the YTD intervention approaches for the youth enrolled in the study and the differential effectiveness of YTD services for members of certain subgroups</w:t>
      </w:r>
      <w:r w:rsidR="000B620A" w:rsidRPr="005B4041">
        <w:t xml:space="preserve">.  </w:t>
      </w:r>
      <w:r w:rsidRPr="005B4041">
        <w:t>We will use administrative data to address impacts on SSA disability benefits receipt and the use of SSA waivers, earnings, and other public assistance</w:t>
      </w:r>
      <w:r w:rsidR="000B620A" w:rsidRPr="005B4041">
        <w:t xml:space="preserve">.  </w:t>
      </w:r>
      <w:r w:rsidRPr="005B4041">
        <w:t xml:space="preserve">We will use the more comprehensive data from the follow-up surveys to examine employment and other outcomes such as education, income, health, and measures of life quality and </w:t>
      </w:r>
      <w:r w:rsidR="000B620A" w:rsidRPr="005B4041">
        <w:t>well-being</w:t>
      </w:r>
      <w:r w:rsidRPr="005B4041">
        <w:t>.</w:t>
      </w:r>
    </w:p>
    <w:p w:rsidR="005B49E1" w:rsidRPr="005B4041" w:rsidRDefault="005B49E1" w:rsidP="00091BB4">
      <w:pPr>
        <w:spacing w:line="240" w:lineRule="auto"/>
        <w:jc w:val="left"/>
      </w:pPr>
    </w:p>
    <w:p w:rsidR="005B49E1" w:rsidRPr="005B4041" w:rsidRDefault="005B49E1" w:rsidP="00091BB4">
      <w:pPr>
        <w:spacing w:line="240" w:lineRule="auto"/>
        <w:ind w:left="720" w:firstLine="0"/>
        <w:jc w:val="left"/>
      </w:pPr>
      <w:r w:rsidRPr="005B4041">
        <w:rPr>
          <w:b/>
          <w:bCs/>
        </w:rPr>
        <w:t>Benefit-Cost Analysis</w:t>
      </w:r>
      <w:r w:rsidR="000B620A" w:rsidRPr="005B4041">
        <w:rPr>
          <w:b/>
          <w:bCs/>
        </w:rPr>
        <w:t>.</w:t>
      </w:r>
      <w:r w:rsidR="000B620A" w:rsidRPr="005B4041">
        <w:t xml:space="preserve">  </w:t>
      </w:r>
      <w:r w:rsidRPr="005B4041">
        <w:t>A key element of the YTD evaluation is to measure the costs necessary to operate the YTD projects</w:t>
      </w:r>
      <w:r w:rsidR="000B620A" w:rsidRPr="005B4041">
        <w:t xml:space="preserve">.  </w:t>
      </w:r>
      <w:r w:rsidRPr="005B4041">
        <w:t>For policy action, cost information is essential, because legislators and administrators will not be able to proceed with a program or policy unless they have a good idea of the program costs</w:t>
      </w:r>
      <w:r w:rsidR="000B620A" w:rsidRPr="005B4041">
        <w:t xml:space="preserve">.  </w:t>
      </w:r>
      <w:r w:rsidRPr="005B4041">
        <w:t>The evaluation will conduct a comprehensive benefit-cost analysis of the YTD projects</w:t>
      </w:r>
      <w:r w:rsidR="000B620A" w:rsidRPr="005B4041">
        <w:t xml:space="preserve">.  </w:t>
      </w:r>
      <w:r w:rsidRPr="005B4041">
        <w:t>We will start with a comprehensive cost analysis of each project; the goal is to construct an estimate of overall project costs as well as estimates of average unit costs, such as the cost per participant and cost per program component</w:t>
      </w:r>
      <w:r w:rsidR="000B620A" w:rsidRPr="005B4041">
        <w:t xml:space="preserve">.  </w:t>
      </w:r>
      <w:r w:rsidRPr="005B4041">
        <w:t xml:space="preserve">Drawing on data reports from project records and on information from </w:t>
      </w:r>
      <w:r w:rsidRPr="005B4041">
        <w:rPr>
          <w:bCs/>
        </w:rPr>
        <w:t xml:space="preserve">program staff </w:t>
      </w:r>
      <w:r w:rsidR="000B620A" w:rsidRPr="005B4041">
        <w:rPr>
          <w:bCs/>
        </w:rPr>
        <w:t>interviews</w:t>
      </w:r>
      <w:r w:rsidR="000B620A" w:rsidRPr="005B4041">
        <w:t>;</w:t>
      </w:r>
      <w:r w:rsidRPr="005B4041">
        <w:t xml:space="preserve"> we will build up an estimate of the cost of each project</w:t>
      </w:r>
      <w:r w:rsidR="000B620A" w:rsidRPr="005B4041">
        <w:t xml:space="preserve">.  </w:t>
      </w:r>
      <w:r w:rsidR="00C93F73">
        <w:t>I</w:t>
      </w:r>
      <w:r w:rsidRPr="005B4041">
        <w:t xml:space="preserve">nformation from in-depth interviews with youth or their guardians about service utilization will provide information needed for the service cost analysis.  In addition to its usefulness as an adjunct to the process study’s description of </w:t>
      </w:r>
      <w:r w:rsidRPr="005B4041">
        <w:lastRenderedPageBreak/>
        <w:t>program operations, the cost analysis will provide important input for the benefit-cost analysis</w:t>
      </w:r>
      <w:r w:rsidR="000B620A" w:rsidRPr="005B4041">
        <w:t xml:space="preserve">.  </w:t>
      </w:r>
      <w:r w:rsidRPr="005B4041">
        <w:t>For purposes of this analysis, key costs include operating and administrative costs</w:t>
      </w:r>
      <w:r w:rsidR="000B620A" w:rsidRPr="005B4041">
        <w:t xml:space="preserve">.  </w:t>
      </w:r>
      <w:r w:rsidRPr="005B4041">
        <w:t>Benefits include, but are not limited to, net increased earnings and tax payments, net reduced disability benefits, and net reductions in the receipt of public assistance</w:t>
      </w:r>
      <w:r w:rsidR="000B620A" w:rsidRPr="005B4041">
        <w:t xml:space="preserve">.  </w:t>
      </w:r>
      <w:r w:rsidRPr="005B4041">
        <w:t xml:space="preserve">The benefit-cost analysis also will examine net changes in services used </w:t>
      </w:r>
      <w:r w:rsidR="000B620A" w:rsidRPr="005B4041">
        <w:t>because</w:t>
      </w:r>
      <w:r w:rsidRPr="005B4041">
        <w:t xml:space="preserve"> of the YTD projects</w:t>
      </w:r>
      <w:r w:rsidR="000B620A" w:rsidRPr="005B4041">
        <w:t xml:space="preserve">.  </w:t>
      </w:r>
      <w:r w:rsidRPr="005B4041">
        <w:t>The benefit-cost analysis will examine the extent to which the projects lead to net increases or reductions in SSI benefit receipt (and, hence, the cost or savings to SSA).  The analysis will examine the costs and benefits of the projects from the perspectives of a variety of stakeholders—including SSA, other government agencies, the YTD participants, and society as a whole—and will be produced in a format consistent with the requirements of SSA’s actuaries.</w:t>
      </w:r>
    </w:p>
    <w:p w:rsidR="005B49E1" w:rsidRPr="005B4041" w:rsidRDefault="005B49E1" w:rsidP="00091BB4">
      <w:pPr>
        <w:spacing w:line="240" w:lineRule="auto"/>
        <w:jc w:val="left"/>
      </w:pPr>
    </w:p>
    <w:p w:rsidR="005B49E1" w:rsidRPr="005B4041" w:rsidRDefault="005B49E1" w:rsidP="00091BB4">
      <w:pPr>
        <w:spacing w:line="240" w:lineRule="auto"/>
        <w:ind w:left="720" w:firstLine="0"/>
        <w:jc w:val="left"/>
      </w:pPr>
      <w:r w:rsidRPr="005B4041">
        <w:t xml:space="preserve">Under this design, </w:t>
      </w:r>
      <w:r w:rsidR="000B620A" w:rsidRPr="005B4041">
        <w:t xml:space="preserve">we randomly assigned </w:t>
      </w:r>
      <w:r w:rsidRPr="005B4041">
        <w:t xml:space="preserve">youth eligible for YTD services to a treatment group (offered YTD waivers and services) or to a control group (not offered YTD waivers or services but </w:t>
      </w:r>
      <w:r w:rsidR="00C93F73">
        <w:t>using</w:t>
      </w:r>
      <w:r w:rsidRPr="005B4041">
        <w:t xml:space="preserve"> existing SSA work incentives and services available in the community)</w:t>
      </w:r>
      <w:r w:rsidR="000B620A" w:rsidRPr="005B4041">
        <w:t xml:space="preserve">.  </w:t>
      </w:r>
      <w:r w:rsidRPr="005B4041">
        <w:t xml:space="preserve">Outcomes for the two groups will be compared using data collected in </w:t>
      </w:r>
      <w:r w:rsidRPr="005B4041">
        <w:rPr>
          <w:bCs/>
        </w:rPr>
        <w:t>follow-up interviews, conducted 12</w:t>
      </w:r>
      <w:r w:rsidRPr="005B4041">
        <w:t xml:space="preserve"> and 36 </w:t>
      </w:r>
      <w:r w:rsidRPr="005B4041">
        <w:rPr>
          <w:bCs/>
        </w:rPr>
        <w:t>months</w:t>
      </w:r>
      <w:r w:rsidRPr="005B4041">
        <w:t xml:space="preserve"> after youth enter the demonstrations, as well as data obtained from SSA program files, administrative files of state and local agencies,</w:t>
      </w:r>
      <w:r w:rsidR="006F7FDA">
        <w:t xml:space="preserve"> and</w:t>
      </w:r>
      <w:r w:rsidRPr="005B4041">
        <w:t xml:space="preserve"> SSA summary earnings records (SER)</w:t>
      </w:r>
      <w:r w:rsidR="000B620A" w:rsidRPr="005B4041">
        <w:t xml:space="preserve">.  </w:t>
      </w:r>
      <w:r w:rsidR="004646E3">
        <w:t xml:space="preserve">Participation in YTD and the interviews is voluntary for respondents. </w:t>
      </w:r>
      <w:r w:rsidR="00C93F73">
        <w:t xml:space="preserve"> </w:t>
      </w:r>
      <w:r w:rsidR="000B620A" w:rsidRPr="005B4041">
        <w:t>Based on</w:t>
      </w:r>
      <w:r w:rsidRPr="005B4041">
        <w:t xml:space="preserve"> these comparisons, we will assess the net effects of the YTD intervention approaches for the youth enrolled in the study and the differential effectiveness of YTD services for members of certain subgroups</w:t>
      </w:r>
      <w:r w:rsidR="000B620A" w:rsidRPr="005B4041">
        <w:t xml:space="preserve">.  </w:t>
      </w:r>
      <w:r w:rsidRPr="005B4041">
        <w:t>We will use administrative data to address impacts on SSA disability benefits receipt and the use of SSA waivers, earnings, and other public assistance</w:t>
      </w:r>
      <w:r w:rsidR="000B620A" w:rsidRPr="005B4041">
        <w:t xml:space="preserve">.  </w:t>
      </w:r>
      <w:r w:rsidRPr="005B4041">
        <w:t xml:space="preserve">We will use the more comprehensive data from the follow-up surveys to examine employment and other outcomes such as education, income, health, and measures of life quality and </w:t>
      </w:r>
      <w:r w:rsidR="000B620A" w:rsidRPr="005B4041">
        <w:t>well-being</w:t>
      </w:r>
      <w:r w:rsidRPr="005B4041">
        <w:t>.</w:t>
      </w:r>
    </w:p>
    <w:p w:rsidR="005B49E1" w:rsidRPr="005B4041" w:rsidRDefault="005B49E1" w:rsidP="00091BB4">
      <w:pPr>
        <w:spacing w:line="240" w:lineRule="auto"/>
        <w:jc w:val="left"/>
      </w:pPr>
    </w:p>
    <w:p w:rsidR="005B49E1" w:rsidRPr="005B4041" w:rsidRDefault="005B49E1" w:rsidP="00091BB4">
      <w:pPr>
        <w:spacing w:line="240" w:lineRule="auto"/>
        <w:ind w:left="720" w:firstLine="0"/>
        <w:jc w:val="left"/>
      </w:pPr>
      <w:r w:rsidRPr="005B4041">
        <w:t>If effective, the most immediate impacts</w:t>
      </w:r>
      <w:r w:rsidR="000B620A" w:rsidRPr="005B4041">
        <w:t xml:space="preserve"> of the interventions should reflect</w:t>
      </w:r>
      <w:r w:rsidRPr="005B4041">
        <w:t xml:space="preserve"> in increased employment-focused services and work-related experiences f</w:t>
      </w:r>
      <w:r w:rsidR="000B620A" w:rsidRPr="005B4041">
        <w:t xml:space="preserve">or those in the treatment group.  We also expect </w:t>
      </w:r>
      <w:r w:rsidRPr="005B4041">
        <w:t xml:space="preserve">more paid employment, greater income resulting from increased employment and more generous work incentives offered by the waivers, </w:t>
      </w:r>
      <w:r w:rsidR="000B620A" w:rsidRPr="005B4041">
        <w:t>attitudes that are more positive</w:t>
      </w:r>
      <w:r w:rsidRPr="005B4041">
        <w:t xml:space="preserve"> and expectations about the future, and continued progress in education for projects that emphasize education.  </w:t>
      </w:r>
    </w:p>
    <w:p w:rsidR="005B49E1" w:rsidRPr="005B4041" w:rsidRDefault="005B49E1" w:rsidP="00091BB4">
      <w:pPr>
        <w:spacing w:line="240" w:lineRule="auto"/>
        <w:jc w:val="left"/>
      </w:pPr>
    </w:p>
    <w:p w:rsidR="005B49E1" w:rsidRPr="005B4041" w:rsidRDefault="005B49E1" w:rsidP="00091BB4">
      <w:pPr>
        <w:spacing w:line="240" w:lineRule="auto"/>
        <w:ind w:left="720" w:firstLine="0"/>
        <w:jc w:val="left"/>
      </w:pPr>
      <w:r w:rsidRPr="005B4041">
        <w:t>In the intermediate and longer terms, we expect treatment group youth in the projects to increase their employment and earnings, have greater income, reduce risky behaviors, and have greater self-determination and self-efficacy and move toward independent living</w:t>
      </w:r>
      <w:r w:rsidR="000B620A" w:rsidRPr="005B4041">
        <w:t xml:space="preserve">.  </w:t>
      </w:r>
      <w:r w:rsidRPr="005B4041">
        <w:t xml:space="preserve">Furthermore, we expect that, in the considerably longer term, particularly after the waivers are no longer in effect, the projects will reduce youths’ dependence on disability programs.  </w:t>
      </w:r>
    </w:p>
    <w:p w:rsidR="005B49E1" w:rsidRPr="005B4041" w:rsidRDefault="005B49E1" w:rsidP="00091BB4">
      <w:pPr>
        <w:spacing w:line="240" w:lineRule="auto"/>
        <w:jc w:val="left"/>
      </w:pPr>
    </w:p>
    <w:p w:rsidR="005B49E1" w:rsidRPr="005B4041" w:rsidRDefault="005B49E1" w:rsidP="00091BB4">
      <w:pPr>
        <w:spacing w:line="240" w:lineRule="auto"/>
        <w:ind w:left="720" w:firstLine="0"/>
        <w:jc w:val="left"/>
      </w:pPr>
      <w:r w:rsidRPr="005B4041">
        <w:t>We have grouped the key domains for which we will examine YTD impacts in the longer run into five areas, as summarized in Table A.1</w:t>
      </w:r>
      <w:r w:rsidR="00975C01">
        <w:t xml:space="preserve">. </w:t>
      </w:r>
    </w:p>
    <w:p w:rsidR="005B49E1" w:rsidRPr="005B4041" w:rsidRDefault="005B49E1" w:rsidP="00091BB4">
      <w:pPr>
        <w:spacing w:line="240" w:lineRule="auto"/>
        <w:jc w:val="left"/>
      </w:pPr>
    </w:p>
    <w:p w:rsidR="005B49E1" w:rsidRDefault="005B49E1" w:rsidP="00091BB4">
      <w:pPr>
        <w:spacing w:line="240" w:lineRule="auto"/>
        <w:ind w:left="720" w:firstLine="0"/>
        <w:jc w:val="left"/>
      </w:pPr>
      <w:r w:rsidRPr="005B4041">
        <w:t xml:space="preserve">Data from the </w:t>
      </w:r>
      <w:r w:rsidR="000B620A" w:rsidRPr="005B4041">
        <w:t>36-month</w:t>
      </w:r>
      <w:r w:rsidRPr="005B4041">
        <w:t xml:space="preserve"> follow-up survey will supplement administrative files </w:t>
      </w:r>
      <w:r w:rsidR="000B620A" w:rsidRPr="005B4041">
        <w:t>that SSA maintains,</w:t>
      </w:r>
      <w:r w:rsidRPr="005B4041">
        <w:t xml:space="preserve"> and will provide data on outcomes</w:t>
      </w:r>
      <w:r w:rsidR="000B620A" w:rsidRPr="005B4041">
        <w:t xml:space="preserve"> not available from administrative sources</w:t>
      </w:r>
      <w:r w:rsidRPr="005B4041">
        <w:t xml:space="preserve"> suc</w:t>
      </w:r>
      <w:r w:rsidR="000B620A" w:rsidRPr="005B4041">
        <w:t>h as attitudes and expectations</w:t>
      </w:r>
      <w:r w:rsidRPr="005B4041">
        <w:t xml:space="preserve">. </w:t>
      </w:r>
    </w:p>
    <w:p w:rsidR="00FB0A25" w:rsidRPr="005B4041" w:rsidRDefault="00FB0A25" w:rsidP="00FB0A25">
      <w:pPr>
        <w:spacing w:line="240" w:lineRule="auto"/>
        <w:ind w:left="720" w:firstLine="0"/>
      </w:pPr>
    </w:p>
    <w:p w:rsidR="005B49E1" w:rsidRPr="005B4041" w:rsidRDefault="00FB0A25" w:rsidP="00FB0A25">
      <w:pPr>
        <w:pStyle w:val="MarkforTable"/>
        <w:spacing w:line="240" w:lineRule="auto"/>
        <w:ind w:left="450"/>
      </w:pPr>
      <w:r>
        <w:t>T</w:t>
      </w:r>
      <w:r w:rsidR="005B49E1" w:rsidRPr="005B4041">
        <w:t>able A.1</w:t>
      </w:r>
      <w:r w:rsidR="005B49E1" w:rsidRPr="005B4041">
        <w:br/>
      </w:r>
      <w:r w:rsidR="005B49E1" w:rsidRPr="005B4041">
        <w:br/>
        <w:t xml:space="preserve">Outcomes for Which </w:t>
      </w:r>
      <w:r w:rsidR="008F046D">
        <w:t xml:space="preserve">WE Anticipate </w:t>
      </w:r>
      <w:r w:rsidR="005B49E1" w:rsidRPr="005B4041">
        <w:t>Impacts in the Longer Term</w:t>
      </w:r>
    </w:p>
    <w:p w:rsidR="005B49E1" w:rsidRPr="005B4041" w:rsidRDefault="005B49E1">
      <w:pPr>
        <w:spacing w:line="240" w:lineRule="auto"/>
        <w:rPr>
          <w:sz w:val="20"/>
          <w:szCs w:val="20"/>
        </w:rPr>
      </w:pPr>
    </w:p>
    <w:tbl>
      <w:tblPr>
        <w:tblW w:w="0" w:type="auto"/>
        <w:jc w:val="center"/>
        <w:tblInd w:w="717" w:type="dxa"/>
        <w:tblLayout w:type="fixed"/>
        <w:tblCellMar>
          <w:left w:w="72" w:type="dxa"/>
          <w:right w:w="72" w:type="dxa"/>
        </w:tblCellMar>
        <w:tblLook w:val="0000" w:firstRow="0" w:lastRow="0" w:firstColumn="0" w:lastColumn="0" w:noHBand="0" w:noVBand="0"/>
      </w:tblPr>
      <w:tblGrid>
        <w:gridCol w:w="1963"/>
        <w:gridCol w:w="6376"/>
      </w:tblGrid>
      <w:tr w:rsidR="005B49E1" w:rsidRPr="005B4041" w:rsidTr="00FB0A25">
        <w:trPr>
          <w:cantSplit/>
          <w:jc w:val="center"/>
        </w:trPr>
        <w:tc>
          <w:tcPr>
            <w:tcW w:w="1963" w:type="dxa"/>
            <w:tcBorders>
              <w:top w:val="single" w:sz="4" w:space="0" w:color="000000"/>
            </w:tcBorders>
            <w:vAlign w:val="bottom"/>
          </w:tcPr>
          <w:p w:rsidR="005B49E1" w:rsidRPr="005B4041" w:rsidRDefault="005B49E1">
            <w:pPr>
              <w:tabs>
                <w:tab w:val="clear" w:pos="432"/>
              </w:tabs>
              <w:snapToGrid w:val="0"/>
              <w:spacing w:before="80" w:after="40" w:line="240" w:lineRule="auto"/>
              <w:ind w:firstLine="0"/>
              <w:jc w:val="left"/>
              <w:rPr>
                <w:sz w:val="20"/>
              </w:rPr>
            </w:pPr>
            <w:r w:rsidRPr="005B4041">
              <w:rPr>
                <w:sz w:val="20"/>
              </w:rPr>
              <w:t>Outcome Measure</w:t>
            </w:r>
          </w:p>
        </w:tc>
        <w:tc>
          <w:tcPr>
            <w:tcW w:w="6376" w:type="dxa"/>
            <w:tcBorders>
              <w:top w:val="single" w:sz="4" w:space="0" w:color="000000"/>
            </w:tcBorders>
            <w:vAlign w:val="bottom"/>
          </w:tcPr>
          <w:p w:rsidR="005B49E1" w:rsidRPr="005B4041" w:rsidRDefault="005B49E1">
            <w:pPr>
              <w:pStyle w:val="Gtablecolumnhead"/>
              <w:tabs>
                <w:tab w:val="clear" w:pos="432"/>
              </w:tabs>
              <w:snapToGrid w:val="0"/>
              <w:spacing w:before="80" w:after="40"/>
              <w:rPr>
                <w:rFonts w:ascii="Times New Roman" w:hAnsi="Times New Roman"/>
              </w:rPr>
            </w:pPr>
            <w:r w:rsidRPr="005B4041">
              <w:rPr>
                <w:rFonts w:ascii="Times New Roman" w:hAnsi="Times New Roman"/>
              </w:rPr>
              <w:t>Description of Measure</w:t>
            </w:r>
          </w:p>
        </w:tc>
      </w:tr>
      <w:tr w:rsidR="005B49E1" w:rsidRPr="005B4041" w:rsidTr="00FB0A25">
        <w:trPr>
          <w:cantSplit/>
          <w:jc w:val="center"/>
        </w:trPr>
        <w:tc>
          <w:tcPr>
            <w:tcW w:w="8339" w:type="dxa"/>
            <w:gridSpan w:val="2"/>
            <w:shd w:val="clear" w:color="auto" w:fill="D9D9D9"/>
            <w:vAlign w:val="bottom"/>
          </w:tcPr>
          <w:p w:rsidR="005B49E1" w:rsidRPr="005B4041" w:rsidRDefault="005B49E1">
            <w:pPr>
              <w:tabs>
                <w:tab w:val="clear" w:pos="432"/>
              </w:tabs>
              <w:snapToGrid w:val="0"/>
              <w:spacing w:before="80" w:after="40" w:line="240" w:lineRule="auto"/>
              <w:ind w:firstLine="0"/>
              <w:jc w:val="center"/>
              <w:rPr>
                <w:b/>
                <w:bCs/>
                <w:sz w:val="20"/>
              </w:rPr>
            </w:pPr>
            <w:r w:rsidRPr="005B4041">
              <w:rPr>
                <w:b/>
                <w:bCs/>
                <w:sz w:val="20"/>
              </w:rPr>
              <w:t>Employment and Earnings</w:t>
            </w:r>
          </w:p>
        </w:tc>
      </w:tr>
      <w:tr w:rsidR="005B49E1" w:rsidRPr="005B4041" w:rsidTr="00FB0A25">
        <w:trPr>
          <w:cantSplit/>
          <w:jc w:val="center"/>
        </w:trPr>
        <w:tc>
          <w:tcPr>
            <w:tcW w:w="1963" w:type="dxa"/>
            <w:vAlign w:val="bottom"/>
          </w:tcPr>
          <w:p w:rsidR="005B49E1" w:rsidRPr="005B4041" w:rsidRDefault="005B49E1">
            <w:pPr>
              <w:pStyle w:val="Gtablecolumnfirst"/>
              <w:tabs>
                <w:tab w:val="clear" w:pos="432"/>
              </w:tabs>
              <w:snapToGrid w:val="0"/>
              <w:spacing w:before="80" w:after="40"/>
              <w:rPr>
                <w:rFonts w:ascii="Times New Roman" w:hAnsi="Times New Roman"/>
              </w:rPr>
            </w:pPr>
            <w:r w:rsidRPr="005B4041">
              <w:rPr>
                <w:rFonts w:ascii="Times New Roman" w:hAnsi="Times New Roman"/>
              </w:rPr>
              <w:t>Primary outcomes</w:t>
            </w:r>
          </w:p>
        </w:tc>
        <w:tc>
          <w:tcPr>
            <w:tcW w:w="6376" w:type="dxa"/>
            <w:vAlign w:val="bottom"/>
          </w:tcPr>
          <w:p w:rsidR="005B49E1" w:rsidRPr="005B4041" w:rsidRDefault="005B49E1">
            <w:pPr>
              <w:pStyle w:val="Gtablecolumnfirst"/>
              <w:tabs>
                <w:tab w:val="clear" w:pos="432"/>
              </w:tabs>
              <w:snapToGrid w:val="0"/>
              <w:spacing w:before="80" w:after="40"/>
              <w:rPr>
                <w:rFonts w:ascii="Times New Roman" w:hAnsi="Times New Roman"/>
              </w:rPr>
            </w:pPr>
            <w:r w:rsidRPr="005B4041">
              <w:rPr>
                <w:rFonts w:ascii="Times New Roman" w:hAnsi="Times New Roman"/>
              </w:rPr>
              <w:t>Fraction of time employed in past year, earnings in past year</w:t>
            </w:r>
          </w:p>
        </w:tc>
      </w:tr>
      <w:tr w:rsidR="005B49E1" w:rsidRPr="005B4041" w:rsidTr="00FB0A25">
        <w:trPr>
          <w:cantSplit/>
          <w:jc w:val="center"/>
        </w:trPr>
        <w:tc>
          <w:tcPr>
            <w:tcW w:w="1963" w:type="dxa"/>
          </w:tcPr>
          <w:p w:rsidR="005B49E1" w:rsidRPr="005B4041" w:rsidRDefault="005B49E1">
            <w:pPr>
              <w:pStyle w:val="Gtablecolumnfirst"/>
              <w:tabs>
                <w:tab w:val="clear" w:pos="432"/>
              </w:tabs>
              <w:snapToGrid w:val="0"/>
              <w:spacing w:before="80" w:after="40"/>
              <w:rPr>
                <w:rFonts w:ascii="Times New Roman" w:hAnsi="Times New Roman"/>
              </w:rPr>
            </w:pPr>
            <w:r w:rsidRPr="005B4041">
              <w:rPr>
                <w:rFonts w:ascii="Times New Roman" w:hAnsi="Times New Roman"/>
              </w:rPr>
              <w:t>Supplementary outcomes</w:t>
            </w:r>
          </w:p>
        </w:tc>
        <w:tc>
          <w:tcPr>
            <w:tcW w:w="6376" w:type="dxa"/>
            <w:vAlign w:val="bottom"/>
          </w:tcPr>
          <w:p w:rsidR="005B49E1" w:rsidRPr="005B4041" w:rsidRDefault="005B49E1">
            <w:pPr>
              <w:pStyle w:val="Gtablecolumnfirst"/>
              <w:tabs>
                <w:tab w:val="clear" w:pos="432"/>
              </w:tabs>
              <w:snapToGrid w:val="0"/>
              <w:spacing w:before="80" w:after="40"/>
              <w:rPr>
                <w:rFonts w:ascii="Times New Roman" w:hAnsi="Times New Roman"/>
              </w:rPr>
            </w:pPr>
            <w:r w:rsidRPr="005B4041">
              <w:rPr>
                <w:rFonts w:ascii="Times New Roman" w:hAnsi="Times New Roman"/>
              </w:rPr>
              <w:t>Ever employed during follow-up period, earnings patterns, hours worked, full-/part-time work, number of jobs held, wage rates, benefits, accommodations, impacts from administrative data (over the three-year period following random assignment)</w:t>
            </w:r>
          </w:p>
        </w:tc>
      </w:tr>
      <w:tr w:rsidR="005B49E1" w:rsidRPr="005B4041" w:rsidTr="00FB0A25">
        <w:trPr>
          <w:cantSplit/>
          <w:jc w:val="center"/>
        </w:trPr>
        <w:tc>
          <w:tcPr>
            <w:tcW w:w="8339" w:type="dxa"/>
            <w:gridSpan w:val="2"/>
            <w:shd w:val="clear" w:color="auto" w:fill="D9D9D9"/>
            <w:vAlign w:val="bottom"/>
          </w:tcPr>
          <w:p w:rsidR="005B49E1" w:rsidRPr="005B4041" w:rsidRDefault="005B49E1">
            <w:pPr>
              <w:tabs>
                <w:tab w:val="clear" w:pos="432"/>
              </w:tabs>
              <w:snapToGrid w:val="0"/>
              <w:spacing w:before="80" w:after="40" w:line="240" w:lineRule="auto"/>
              <w:ind w:firstLine="0"/>
              <w:jc w:val="center"/>
              <w:rPr>
                <w:b/>
                <w:bCs/>
                <w:sz w:val="20"/>
              </w:rPr>
            </w:pPr>
            <w:r w:rsidRPr="005B4041">
              <w:rPr>
                <w:b/>
                <w:bCs/>
                <w:sz w:val="20"/>
              </w:rPr>
              <w:t>Youth Income</w:t>
            </w:r>
          </w:p>
        </w:tc>
      </w:tr>
      <w:tr w:rsidR="005B49E1" w:rsidRPr="005B4041" w:rsidTr="00FB0A25">
        <w:trPr>
          <w:cantSplit/>
          <w:jc w:val="center"/>
        </w:trPr>
        <w:tc>
          <w:tcPr>
            <w:tcW w:w="1963" w:type="dxa"/>
          </w:tcPr>
          <w:p w:rsidR="005B49E1" w:rsidRPr="005B4041" w:rsidRDefault="005B49E1">
            <w:pPr>
              <w:pStyle w:val="Gtablecolumnfirst"/>
              <w:tabs>
                <w:tab w:val="clear" w:pos="432"/>
              </w:tabs>
              <w:snapToGrid w:val="0"/>
              <w:spacing w:before="80" w:after="40"/>
              <w:rPr>
                <w:rFonts w:ascii="Times New Roman" w:hAnsi="Times New Roman"/>
              </w:rPr>
            </w:pPr>
            <w:r w:rsidRPr="005B4041">
              <w:rPr>
                <w:rFonts w:ascii="Times New Roman" w:hAnsi="Times New Roman"/>
              </w:rPr>
              <w:t>Primary outcomes</w:t>
            </w:r>
          </w:p>
        </w:tc>
        <w:tc>
          <w:tcPr>
            <w:tcW w:w="6376" w:type="dxa"/>
          </w:tcPr>
          <w:p w:rsidR="005B49E1" w:rsidRPr="005B4041" w:rsidRDefault="005B49E1">
            <w:pPr>
              <w:pStyle w:val="Gtablecolumnfirst"/>
              <w:tabs>
                <w:tab w:val="clear" w:pos="432"/>
              </w:tabs>
              <w:snapToGrid w:val="0"/>
              <w:spacing w:before="80" w:after="40"/>
              <w:rPr>
                <w:rFonts w:ascii="Times New Roman" w:hAnsi="Times New Roman"/>
              </w:rPr>
            </w:pPr>
            <w:r w:rsidRPr="005B4041">
              <w:rPr>
                <w:rFonts w:ascii="Times New Roman" w:hAnsi="Times New Roman"/>
              </w:rPr>
              <w:t xml:space="preserve">Total income from earnings and benefits during prior 12 months or entire follow-up period </w:t>
            </w:r>
          </w:p>
        </w:tc>
      </w:tr>
      <w:tr w:rsidR="005B49E1" w:rsidRPr="005B4041" w:rsidTr="00FB0A25">
        <w:trPr>
          <w:cantSplit/>
          <w:jc w:val="center"/>
        </w:trPr>
        <w:tc>
          <w:tcPr>
            <w:tcW w:w="1963" w:type="dxa"/>
          </w:tcPr>
          <w:p w:rsidR="005B49E1" w:rsidRPr="005B4041" w:rsidRDefault="005B49E1">
            <w:pPr>
              <w:pStyle w:val="Gtablecolumnfirst"/>
              <w:tabs>
                <w:tab w:val="clear" w:pos="432"/>
              </w:tabs>
              <w:snapToGrid w:val="0"/>
              <w:spacing w:before="80" w:after="40"/>
              <w:rPr>
                <w:rFonts w:ascii="Times New Roman" w:hAnsi="Times New Roman"/>
              </w:rPr>
            </w:pPr>
            <w:r w:rsidRPr="005B4041">
              <w:rPr>
                <w:rFonts w:ascii="Times New Roman" w:hAnsi="Times New Roman"/>
              </w:rPr>
              <w:t>Supplementary outcomes</w:t>
            </w:r>
          </w:p>
        </w:tc>
        <w:tc>
          <w:tcPr>
            <w:tcW w:w="6376" w:type="dxa"/>
          </w:tcPr>
          <w:p w:rsidR="005B49E1" w:rsidRPr="005B4041" w:rsidRDefault="005B49E1">
            <w:pPr>
              <w:pStyle w:val="Gtablecolumnfirst"/>
              <w:tabs>
                <w:tab w:val="clear" w:pos="432"/>
              </w:tabs>
              <w:snapToGrid w:val="0"/>
              <w:spacing w:before="80" w:after="40"/>
              <w:rPr>
                <w:rFonts w:ascii="Times New Roman" w:hAnsi="Times New Roman"/>
              </w:rPr>
            </w:pPr>
            <w:r w:rsidRPr="005B4041">
              <w:rPr>
                <w:rFonts w:ascii="Times New Roman" w:hAnsi="Times New Roman"/>
              </w:rPr>
              <w:t>Type and amount of earnings and benefits received, amount of SSA benefits, use of SSA work incentives and Individual Development Accounts (IDAs)</w:t>
            </w:r>
          </w:p>
        </w:tc>
      </w:tr>
      <w:tr w:rsidR="005B49E1" w:rsidRPr="005B4041" w:rsidTr="00FB0A25">
        <w:trPr>
          <w:cantSplit/>
          <w:jc w:val="center"/>
        </w:trPr>
        <w:tc>
          <w:tcPr>
            <w:tcW w:w="8339" w:type="dxa"/>
            <w:gridSpan w:val="2"/>
            <w:shd w:val="clear" w:color="auto" w:fill="D9D9D9"/>
            <w:vAlign w:val="bottom"/>
          </w:tcPr>
          <w:p w:rsidR="005B49E1" w:rsidRPr="005B4041" w:rsidRDefault="005B49E1">
            <w:pPr>
              <w:tabs>
                <w:tab w:val="clear" w:pos="432"/>
              </w:tabs>
              <w:snapToGrid w:val="0"/>
              <w:spacing w:before="80" w:after="40" w:line="240" w:lineRule="auto"/>
              <w:ind w:firstLine="0"/>
              <w:jc w:val="center"/>
              <w:rPr>
                <w:b/>
                <w:bCs/>
                <w:sz w:val="20"/>
              </w:rPr>
            </w:pPr>
            <w:r w:rsidRPr="005B4041">
              <w:rPr>
                <w:b/>
                <w:bCs/>
                <w:sz w:val="20"/>
              </w:rPr>
              <w:t>Engagement in Gainful Activity</w:t>
            </w:r>
          </w:p>
        </w:tc>
      </w:tr>
      <w:tr w:rsidR="005B49E1" w:rsidRPr="005B4041" w:rsidTr="00FB0A25">
        <w:trPr>
          <w:cantSplit/>
          <w:jc w:val="center"/>
        </w:trPr>
        <w:tc>
          <w:tcPr>
            <w:tcW w:w="1963" w:type="dxa"/>
          </w:tcPr>
          <w:p w:rsidR="005B49E1" w:rsidRPr="005B4041" w:rsidRDefault="005B49E1">
            <w:pPr>
              <w:pStyle w:val="Gtablecolumnfirst"/>
              <w:tabs>
                <w:tab w:val="clear" w:pos="432"/>
              </w:tabs>
              <w:snapToGrid w:val="0"/>
              <w:spacing w:before="80" w:after="40"/>
              <w:rPr>
                <w:rFonts w:ascii="Times New Roman" w:hAnsi="Times New Roman"/>
              </w:rPr>
            </w:pPr>
            <w:r w:rsidRPr="005B4041">
              <w:rPr>
                <w:rFonts w:ascii="Times New Roman" w:hAnsi="Times New Roman"/>
              </w:rPr>
              <w:t>Primary outcomes</w:t>
            </w:r>
          </w:p>
        </w:tc>
        <w:tc>
          <w:tcPr>
            <w:tcW w:w="6376" w:type="dxa"/>
          </w:tcPr>
          <w:p w:rsidR="005B49E1" w:rsidRPr="005B4041" w:rsidRDefault="005B49E1">
            <w:pPr>
              <w:pStyle w:val="Gtablecolumnfirst"/>
              <w:tabs>
                <w:tab w:val="clear" w:pos="432"/>
              </w:tabs>
              <w:snapToGrid w:val="0"/>
              <w:spacing w:before="80" w:after="40"/>
              <w:rPr>
                <w:rFonts w:ascii="Times New Roman" w:hAnsi="Times New Roman"/>
              </w:rPr>
            </w:pPr>
            <w:r w:rsidRPr="005B4041">
              <w:rPr>
                <w:rFonts w:ascii="Times New Roman" w:hAnsi="Times New Roman"/>
              </w:rPr>
              <w:t>Fraction of youth either employed or participating in an education or training program</w:t>
            </w:r>
          </w:p>
        </w:tc>
      </w:tr>
      <w:tr w:rsidR="005B49E1" w:rsidRPr="005B4041" w:rsidTr="00FB0A25">
        <w:trPr>
          <w:cantSplit/>
          <w:jc w:val="center"/>
        </w:trPr>
        <w:tc>
          <w:tcPr>
            <w:tcW w:w="1963" w:type="dxa"/>
          </w:tcPr>
          <w:p w:rsidR="005B49E1" w:rsidRPr="005B4041" w:rsidRDefault="005B49E1">
            <w:pPr>
              <w:pStyle w:val="Gtablecolumnfirst"/>
              <w:tabs>
                <w:tab w:val="clear" w:pos="432"/>
              </w:tabs>
              <w:snapToGrid w:val="0"/>
              <w:spacing w:before="80" w:after="40"/>
              <w:rPr>
                <w:rFonts w:ascii="Times New Roman" w:hAnsi="Times New Roman"/>
              </w:rPr>
            </w:pPr>
            <w:r w:rsidRPr="005B4041">
              <w:rPr>
                <w:rFonts w:ascii="Times New Roman" w:hAnsi="Times New Roman"/>
              </w:rPr>
              <w:t>Supplementary outcomes</w:t>
            </w:r>
          </w:p>
        </w:tc>
        <w:tc>
          <w:tcPr>
            <w:tcW w:w="6376" w:type="dxa"/>
          </w:tcPr>
          <w:p w:rsidR="005B49E1" w:rsidRPr="005B4041" w:rsidRDefault="005B49E1">
            <w:pPr>
              <w:pStyle w:val="Gtablecolumnfirst"/>
              <w:tabs>
                <w:tab w:val="clear" w:pos="432"/>
              </w:tabs>
              <w:snapToGrid w:val="0"/>
              <w:spacing w:before="80" w:after="40"/>
              <w:rPr>
                <w:rFonts w:ascii="Times New Roman" w:hAnsi="Times New Roman"/>
              </w:rPr>
            </w:pPr>
            <w:r w:rsidRPr="005B4041">
              <w:rPr>
                <w:rFonts w:ascii="Times New Roman" w:hAnsi="Times New Roman"/>
              </w:rPr>
              <w:t>Time spent engaged in gainful activities, educational attainment</w:t>
            </w:r>
          </w:p>
        </w:tc>
      </w:tr>
      <w:tr w:rsidR="005B49E1" w:rsidRPr="005B4041" w:rsidTr="00FB0A25">
        <w:trPr>
          <w:cantSplit/>
          <w:jc w:val="center"/>
        </w:trPr>
        <w:tc>
          <w:tcPr>
            <w:tcW w:w="8339" w:type="dxa"/>
            <w:gridSpan w:val="2"/>
            <w:shd w:val="clear" w:color="auto" w:fill="D9D9D9"/>
            <w:vAlign w:val="bottom"/>
          </w:tcPr>
          <w:p w:rsidR="005B49E1" w:rsidRPr="005B4041" w:rsidRDefault="005B49E1">
            <w:pPr>
              <w:tabs>
                <w:tab w:val="clear" w:pos="432"/>
              </w:tabs>
              <w:snapToGrid w:val="0"/>
              <w:spacing w:before="80" w:after="40" w:line="240" w:lineRule="auto"/>
              <w:ind w:firstLine="0"/>
              <w:jc w:val="center"/>
              <w:rPr>
                <w:b/>
                <w:bCs/>
                <w:sz w:val="20"/>
              </w:rPr>
            </w:pPr>
            <w:r w:rsidRPr="005B4041">
              <w:rPr>
                <w:b/>
                <w:bCs/>
                <w:sz w:val="20"/>
              </w:rPr>
              <w:t>Reduction in Criminal Justice System Contact</w:t>
            </w:r>
          </w:p>
        </w:tc>
      </w:tr>
      <w:tr w:rsidR="005B49E1" w:rsidRPr="005B4041" w:rsidTr="00FB0A25">
        <w:trPr>
          <w:cantSplit/>
          <w:jc w:val="center"/>
        </w:trPr>
        <w:tc>
          <w:tcPr>
            <w:tcW w:w="1963" w:type="dxa"/>
          </w:tcPr>
          <w:p w:rsidR="005B49E1" w:rsidRPr="005B4041" w:rsidRDefault="005B49E1">
            <w:pPr>
              <w:pStyle w:val="Gtablecolumnfirst"/>
              <w:tabs>
                <w:tab w:val="clear" w:pos="432"/>
              </w:tabs>
              <w:snapToGrid w:val="0"/>
              <w:spacing w:before="80" w:after="40"/>
              <w:rPr>
                <w:rFonts w:ascii="Times New Roman" w:hAnsi="Times New Roman"/>
              </w:rPr>
            </w:pPr>
            <w:r w:rsidRPr="005B4041">
              <w:rPr>
                <w:rFonts w:ascii="Times New Roman" w:hAnsi="Times New Roman"/>
              </w:rPr>
              <w:t>Primary outcomes</w:t>
            </w:r>
          </w:p>
        </w:tc>
        <w:tc>
          <w:tcPr>
            <w:tcW w:w="6376" w:type="dxa"/>
            <w:vAlign w:val="bottom"/>
          </w:tcPr>
          <w:p w:rsidR="005B49E1" w:rsidRPr="005B4041" w:rsidRDefault="005B49E1">
            <w:pPr>
              <w:pStyle w:val="Gtablecolumnfirst"/>
              <w:tabs>
                <w:tab w:val="clear" w:pos="432"/>
              </w:tabs>
              <w:snapToGrid w:val="0"/>
              <w:spacing w:before="80" w:after="40"/>
              <w:rPr>
                <w:rFonts w:ascii="Times New Roman" w:hAnsi="Times New Roman"/>
              </w:rPr>
            </w:pPr>
            <w:r w:rsidRPr="005B4041">
              <w:rPr>
                <w:rFonts w:ascii="Times New Roman" w:hAnsi="Times New Roman"/>
              </w:rPr>
              <w:t xml:space="preserve">Contact with criminal justice system (arrests, incarcerations, other involvement with the criminal/juvenile system) </w:t>
            </w:r>
          </w:p>
        </w:tc>
      </w:tr>
      <w:tr w:rsidR="005B49E1" w:rsidRPr="005B4041" w:rsidTr="00FB0A25">
        <w:trPr>
          <w:cantSplit/>
          <w:jc w:val="center"/>
        </w:trPr>
        <w:tc>
          <w:tcPr>
            <w:tcW w:w="1963" w:type="dxa"/>
          </w:tcPr>
          <w:p w:rsidR="005B49E1" w:rsidRPr="005B4041" w:rsidRDefault="005B49E1">
            <w:pPr>
              <w:pStyle w:val="Gtablecolumnfirst"/>
              <w:tabs>
                <w:tab w:val="clear" w:pos="432"/>
              </w:tabs>
              <w:snapToGrid w:val="0"/>
              <w:spacing w:before="80" w:after="40"/>
              <w:rPr>
                <w:rFonts w:ascii="Times New Roman" w:hAnsi="Times New Roman"/>
              </w:rPr>
            </w:pPr>
            <w:r w:rsidRPr="005B4041">
              <w:rPr>
                <w:rFonts w:ascii="Times New Roman" w:hAnsi="Times New Roman"/>
              </w:rPr>
              <w:t>Supplementary outcomes</w:t>
            </w:r>
          </w:p>
        </w:tc>
        <w:tc>
          <w:tcPr>
            <w:tcW w:w="6376" w:type="dxa"/>
            <w:vAlign w:val="bottom"/>
          </w:tcPr>
          <w:p w:rsidR="005B49E1" w:rsidRPr="005B4041" w:rsidRDefault="005B49E1">
            <w:pPr>
              <w:pStyle w:val="Gtablecolumnfirst"/>
              <w:tabs>
                <w:tab w:val="clear" w:pos="432"/>
              </w:tabs>
              <w:snapToGrid w:val="0"/>
              <w:spacing w:before="80" w:after="40"/>
              <w:rPr>
                <w:rFonts w:ascii="Times New Roman" w:hAnsi="Times New Roman"/>
              </w:rPr>
            </w:pPr>
            <w:r w:rsidRPr="005B4041">
              <w:rPr>
                <w:rFonts w:ascii="Times New Roman" w:hAnsi="Times New Roman"/>
              </w:rPr>
              <w:t>Types of criminal activity, drug and alcohol treatment</w:t>
            </w:r>
          </w:p>
        </w:tc>
      </w:tr>
      <w:tr w:rsidR="005B49E1" w:rsidRPr="005B4041" w:rsidTr="00FB0A25">
        <w:trPr>
          <w:cantSplit/>
          <w:jc w:val="center"/>
        </w:trPr>
        <w:tc>
          <w:tcPr>
            <w:tcW w:w="8339" w:type="dxa"/>
            <w:gridSpan w:val="2"/>
            <w:shd w:val="clear" w:color="auto" w:fill="D9D9D9"/>
            <w:vAlign w:val="bottom"/>
          </w:tcPr>
          <w:p w:rsidR="005B49E1" w:rsidRPr="005B4041" w:rsidRDefault="005B49E1">
            <w:pPr>
              <w:tabs>
                <w:tab w:val="clear" w:pos="432"/>
              </w:tabs>
              <w:snapToGrid w:val="0"/>
              <w:spacing w:before="80" w:after="40" w:line="240" w:lineRule="auto"/>
              <w:ind w:firstLine="0"/>
              <w:jc w:val="center"/>
              <w:rPr>
                <w:b/>
                <w:bCs/>
                <w:sz w:val="20"/>
              </w:rPr>
            </w:pPr>
            <w:r w:rsidRPr="005B4041">
              <w:rPr>
                <w:b/>
                <w:bCs/>
                <w:sz w:val="20"/>
              </w:rPr>
              <w:t xml:space="preserve">Self-Determination and Self-Efficacy </w:t>
            </w:r>
          </w:p>
        </w:tc>
      </w:tr>
      <w:tr w:rsidR="005B49E1" w:rsidRPr="005B4041" w:rsidTr="00FB0A25">
        <w:trPr>
          <w:cantSplit/>
          <w:jc w:val="center"/>
        </w:trPr>
        <w:tc>
          <w:tcPr>
            <w:tcW w:w="1963" w:type="dxa"/>
          </w:tcPr>
          <w:p w:rsidR="005B49E1" w:rsidRPr="005B4041" w:rsidRDefault="005B49E1">
            <w:pPr>
              <w:pStyle w:val="Gtablecolumnfirst"/>
              <w:tabs>
                <w:tab w:val="clear" w:pos="432"/>
              </w:tabs>
              <w:snapToGrid w:val="0"/>
              <w:spacing w:before="80" w:after="40"/>
              <w:rPr>
                <w:rFonts w:ascii="Times New Roman" w:hAnsi="Times New Roman"/>
              </w:rPr>
            </w:pPr>
            <w:r w:rsidRPr="005B4041">
              <w:rPr>
                <w:rFonts w:ascii="Times New Roman" w:hAnsi="Times New Roman"/>
              </w:rPr>
              <w:t>Primary outcomes</w:t>
            </w:r>
          </w:p>
        </w:tc>
        <w:tc>
          <w:tcPr>
            <w:tcW w:w="6376" w:type="dxa"/>
            <w:vAlign w:val="bottom"/>
          </w:tcPr>
          <w:p w:rsidR="005B49E1" w:rsidRPr="005B4041" w:rsidRDefault="005B49E1">
            <w:pPr>
              <w:pStyle w:val="Gtablecolumnfirst"/>
              <w:tabs>
                <w:tab w:val="clear" w:pos="432"/>
              </w:tabs>
              <w:snapToGrid w:val="0"/>
              <w:spacing w:before="80" w:after="40"/>
              <w:rPr>
                <w:rFonts w:ascii="Times New Roman" w:hAnsi="Times New Roman"/>
              </w:rPr>
            </w:pPr>
            <w:r w:rsidRPr="005B4041">
              <w:rPr>
                <w:rFonts w:ascii="Times New Roman" w:hAnsi="Times New Roman"/>
              </w:rPr>
              <w:t>Self-determination and self-efficacy scale, independence (such as traveling, having a bank account, living arrangements)</w:t>
            </w:r>
          </w:p>
        </w:tc>
      </w:tr>
      <w:tr w:rsidR="005B49E1" w:rsidRPr="005B4041" w:rsidTr="00FB0A25">
        <w:trPr>
          <w:cantSplit/>
          <w:jc w:val="center"/>
        </w:trPr>
        <w:tc>
          <w:tcPr>
            <w:tcW w:w="1963" w:type="dxa"/>
          </w:tcPr>
          <w:p w:rsidR="005B49E1" w:rsidRPr="005B4041" w:rsidRDefault="005B49E1">
            <w:pPr>
              <w:pStyle w:val="Gtablecolumnfirst"/>
              <w:tabs>
                <w:tab w:val="clear" w:pos="432"/>
              </w:tabs>
              <w:snapToGrid w:val="0"/>
              <w:spacing w:before="80" w:after="40"/>
              <w:rPr>
                <w:rFonts w:ascii="Times New Roman" w:hAnsi="Times New Roman"/>
              </w:rPr>
            </w:pPr>
            <w:r w:rsidRPr="005B4041">
              <w:rPr>
                <w:rFonts w:ascii="Times New Roman" w:hAnsi="Times New Roman"/>
              </w:rPr>
              <w:t>Supplementary outcomes</w:t>
            </w:r>
          </w:p>
        </w:tc>
        <w:tc>
          <w:tcPr>
            <w:tcW w:w="6376" w:type="dxa"/>
            <w:vAlign w:val="bottom"/>
          </w:tcPr>
          <w:p w:rsidR="005B49E1" w:rsidRPr="005B4041" w:rsidRDefault="005B49E1">
            <w:pPr>
              <w:pStyle w:val="Gtablecolumnfirst"/>
              <w:tabs>
                <w:tab w:val="clear" w:pos="432"/>
              </w:tabs>
              <w:snapToGrid w:val="0"/>
              <w:spacing w:before="80" w:after="40"/>
              <w:rPr>
                <w:rFonts w:ascii="Times New Roman" w:hAnsi="Times New Roman"/>
              </w:rPr>
            </w:pPr>
            <w:r w:rsidRPr="005B4041">
              <w:rPr>
                <w:rFonts w:ascii="Times New Roman" w:hAnsi="Times New Roman"/>
              </w:rPr>
              <w:t>Items comprising the scales, other measures of independence, attitudes and expectations, self-esteem, social interactions</w:t>
            </w:r>
          </w:p>
        </w:tc>
      </w:tr>
      <w:tr w:rsidR="005B49E1" w:rsidRPr="005B4041" w:rsidTr="00FB0A25">
        <w:trPr>
          <w:cantSplit/>
          <w:jc w:val="center"/>
        </w:trPr>
        <w:tc>
          <w:tcPr>
            <w:tcW w:w="8339" w:type="dxa"/>
            <w:gridSpan w:val="2"/>
            <w:shd w:val="clear" w:color="auto" w:fill="D9D9D9"/>
            <w:vAlign w:val="bottom"/>
          </w:tcPr>
          <w:p w:rsidR="005B49E1" w:rsidRPr="005B4041" w:rsidRDefault="005B49E1">
            <w:pPr>
              <w:tabs>
                <w:tab w:val="clear" w:pos="432"/>
              </w:tabs>
              <w:snapToGrid w:val="0"/>
              <w:spacing w:before="80" w:after="40" w:line="240" w:lineRule="auto"/>
              <w:ind w:firstLine="0"/>
              <w:jc w:val="center"/>
              <w:rPr>
                <w:b/>
                <w:bCs/>
                <w:sz w:val="20"/>
              </w:rPr>
            </w:pPr>
            <w:r w:rsidRPr="005B4041">
              <w:rPr>
                <w:b/>
                <w:bCs/>
                <w:sz w:val="20"/>
              </w:rPr>
              <w:t>Other Exploratory Analyses</w:t>
            </w:r>
          </w:p>
        </w:tc>
      </w:tr>
      <w:tr w:rsidR="005B49E1" w:rsidRPr="005B4041" w:rsidTr="00FB0A25">
        <w:trPr>
          <w:cantSplit/>
          <w:jc w:val="center"/>
        </w:trPr>
        <w:tc>
          <w:tcPr>
            <w:tcW w:w="1963" w:type="dxa"/>
          </w:tcPr>
          <w:p w:rsidR="005B49E1" w:rsidRPr="005B4041" w:rsidRDefault="005B49E1">
            <w:pPr>
              <w:pStyle w:val="Gtablecolumnfirst"/>
              <w:tabs>
                <w:tab w:val="clear" w:pos="432"/>
              </w:tabs>
              <w:snapToGrid w:val="0"/>
              <w:spacing w:before="80" w:after="40"/>
              <w:rPr>
                <w:rFonts w:ascii="Times New Roman" w:hAnsi="Times New Roman"/>
              </w:rPr>
            </w:pPr>
            <w:r w:rsidRPr="005B4041">
              <w:rPr>
                <w:rFonts w:ascii="Times New Roman" w:hAnsi="Times New Roman"/>
              </w:rPr>
              <w:t>Medicaid utilization</w:t>
            </w:r>
          </w:p>
        </w:tc>
        <w:tc>
          <w:tcPr>
            <w:tcW w:w="6376" w:type="dxa"/>
            <w:vAlign w:val="bottom"/>
          </w:tcPr>
          <w:p w:rsidR="005B49E1" w:rsidRPr="005B4041" w:rsidRDefault="005B49E1">
            <w:pPr>
              <w:pStyle w:val="Gtablecolumnfirst"/>
              <w:tabs>
                <w:tab w:val="clear" w:pos="432"/>
              </w:tabs>
              <w:snapToGrid w:val="0"/>
              <w:spacing w:before="80" w:after="40"/>
              <w:rPr>
                <w:rFonts w:ascii="Times New Roman" w:hAnsi="Times New Roman"/>
              </w:rPr>
            </w:pPr>
            <w:r w:rsidRPr="005B4041">
              <w:rPr>
                <w:rFonts w:ascii="Times New Roman" w:hAnsi="Times New Roman"/>
              </w:rPr>
              <w:t xml:space="preserve">Number and total amount of Medicaid paid claims during a calendar year </w:t>
            </w:r>
          </w:p>
        </w:tc>
      </w:tr>
      <w:tr w:rsidR="005B49E1" w:rsidRPr="005B4041" w:rsidTr="00FB0A25">
        <w:trPr>
          <w:cantSplit/>
          <w:jc w:val="center"/>
        </w:trPr>
        <w:tc>
          <w:tcPr>
            <w:tcW w:w="1963" w:type="dxa"/>
          </w:tcPr>
          <w:p w:rsidR="005B49E1" w:rsidRPr="005B4041" w:rsidRDefault="005B49E1">
            <w:pPr>
              <w:pStyle w:val="Gtablecolumnfirst"/>
              <w:tabs>
                <w:tab w:val="clear" w:pos="432"/>
              </w:tabs>
              <w:snapToGrid w:val="0"/>
              <w:spacing w:before="80" w:after="40"/>
              <w:rPr>
                <w:rFonts w:ascii="Times New Roman" w:hAnsi="Times New Roman"/>
              </w:rPr>
            </w:pPr>
            <w:r w:rsidRPr="005B4041">
              <w:rPr>
                <w:rFonts w:ascii="Times New Roman" w:hAnsi="Times New Roman"/>
              </w:rPr>
              <w:t>Health status</w:t>
            </w:r>
          </w:p>
        </w:tc>
        <w:tc>
          <w:tcPr>
            <w:tcW w:w="6376" w:type="dxa"/>
            <w:vAlign w:val="bottom"/>
          </w:tcPr>
          <w:p w:rsidR="005B49E1" w:rsidRPr="005B4041" w:rsidRDefault="005B49E1">
            <w:pPr>
              <w:pStyle w:val="Gtablecolumnfirst"/>
              <w:tabs>
                <w:tab w:val="clear" w:pos="432"/>
              </w:tabs>
              <w:snapToGrid w:val="0"/>
              <w:spacing w:before="80" w:after="40"/>
              <w:rPr>
                <w:rFonts w:ascii="Times New Roman" w:hAnsi="Times New Roman"/>
              </w:rPr>
            </w:pPr>
            <w:r w:rsidRPr="005B4041">
              <w:rPr>
                <w:rFonts w:ascii="Times New Roman" w:hAnsi="Times New Roman"/>
              </w:rPr>
              <w:t>SF-12 health scale; self-reported health status:  excellent, very good, good, fair, poor; self-perceptions of health conditions and disabilities</w:t>
            </w:r>
          </w:p>
        </w:tc>
      </w:tr>
      <w:tr w:rsidR="005B49E1" w:rsidRPr="005B4041" w:rsidTr="00FB0A25">
        <w:trPr>
          <w:cantSplit/>
          <w:jc w:val="center"/>
        </w:trPr>
        <w:tc>
          <w:tcPr>
            <w:tcW w:w="1963" w:type="dxa"/>
            <w:tcBorders>
              <w:bottom w:val="single" w:sz="4" w:space="0" w:color="000000"/>
            </w:tcBorders>
          </w:tcPr>
          <w:p w:rsidR="005B49E1" w:rsidRPr="005B4041" w:rsidRDefault="005B49E1">
            <w:pPr>
              <w:pStyle w:val="Gtablecolumnfirst"/>
              <w:tabs>
                <w:tab w:val="clear" w:pos="432"/>
              </w:tabs>
              <w:snapToGrid w:val="0"/>
              <w:spacing w:before="80" w:after="40"/>
              <w:rPr>
                <w:rFonts w:ascii="Times New Roman" w:hAnsi="Times New Roman"/>
              </w:rPr>
            </w:pPr>
            <w:r w:rsidRPr="005B4041">
              <w:rPr>
                <w:rFonts w:ascii="Times New Roman" w:hAnsi="Times New Roman"/>
              </w:rPr>
              <w:t>Quality of life</w:t>
            </w:r>
          </w:p>
        </w:tc>
        <w:tc>
          <w:tcPr>
            <w:tcW w:w="6376" w:type="dxa"/>
            <w:tcBorders>
              <w:bottom w:val="single" w:sz="4" w:space="0" w:color="000000"/>
            </w:tcBorders>
            <w:vAlign w:val="bottom"/>
          </w:tcPr>
          <w:p w:rsidR="005B49E1" w:rsidRPr="005B4041" w:rsidRDefault="005B49E1">
            <w:pPr>
              <w:pStyle w:val="Gtablecolumnfirst"/>
              <w:tabs>
                <w:tab w:val="clear" w:pos="432"/>
              </w:tabs>
              <w:snapToGrid w:val="0"/>
              <w:spacing w:before="80" w:after="40"/>
              <w:rPr>
                <w:rFonts w:ascii="Times New Roman" w:hAnsi="Times New Roman"/>
              </w:rPr>
            </w:pPr>
            <w:r w:rsidRPr="005B4041">
              <w:rPr>
                <w:rFonts w:ascii="Times New Roman" w:hAnsi="Times New Roman"/>
              </w:rPr>
              <w:t>Selected components of the Instrumental Activities of Daily Living (IADL) that are relevant to youth; limitations in mental, emotional, and social functioning</w:t>
            </w:r>
          </w:p>
        </w:tc>
      </w:tr>
    </w:tbl>
    <w:p w:rsidR="005B49E1" w:rsidRPr="005B4041" w:rsidRDefault="005B49E1">
      <w:pPr>
        <w:pStyle w:val="Gnormal"/>
        <w:rPr>
          <w:rFonts w:ascii="Times New Roman" w:hAnsi="Times New Roman"/>
        </w:rPr>
      </w:pPr>
    </w:p>
    <w:p w:rsidR="005B49E1" w:rsidRPr="005B4041" w:rsidRDefault="005B49E1" w:rsidP="00091BB4">
      <w:pPr>
        <w:pStyle w:val="Heading3"/>
        <w:tabs>
          <w:tab w:val="left" w:pos="720"/>
        </w:tabs>
        <w:ind w:firstLine="0"/>
        <w:jc w:val="left"/>
      </w:pPr>
      <w:r w:rsidRPr="005B4041">
        <w:t>3.</w:t>
      </w:r>
      <w:r w:rsidRPr="005B4041">
        <w:tab/>
        <w:t>Use of Improved Information Technology</w:t>
      </w:r>
    </w:p>
    <w:p w:rsidR="005B49E1" w:rsidRPr="005B4041" w:rsidRDefault="005B49E1" w:rsidP="00091BB4">
      <w:pPr>
        <w:spacing w:line="240" w:lineRule="auto"/>
        <w:ind w:left="720" w:firstLine="0"/>
        <w:jc w:val="left"/>
      </w:pPr>
      <w:r w:rsidRPr="005B4041">
        <w:t xml:space="preserve">For the YTD evaluation, MPR and its </w:t>
      </w:r>
      <w:r w:rsidR="001C30A9">
        <w:t xml:space="preserve">partner, Social Solutions, </w:t>
      </w:r>
      <w:r w:rsidRPr="005B4041">
        <w:t xml:space="preserve">implemented a management information system (MIS), the Efforts-to-Outcomes (ETO) database, to </w:t>
      </w:r>
      <w:r w:rsidRPr="005B4041">
        <w:lastRenderedPageBreak/>
        <w:t>facilitate the real-time exchange of data between MPR’s survey division and the YTD projects</w:t>
      </w:r>
      <w:r w:rsidR="000B620A" w:rsidRPr="005B4041">
        <w:t xml:space="preserve">.  </w:t>
      </w:r>
      <w:r w:rsidRPr="005B4041">
        <w:t>The ETO database draws information from several data sources including SSA administrative data, respondent survey data, claims and utilization data, and data entered by YTD project staff</w:t>
      </w:r>
      <w:r w:rsidR="000B620A" w:rsidRPr="005B4041">
        <w:t>.  We designed the ETO database</w:t>
      </w:r>
      <w:r w:rsidR="009624D0">
        <w:t xml:space="preserve"> to make </w:t>
      </w:r>
      <w:r w:rsidRPr="005B4041">
        <w:t>data from all sources linkable so that it fully supports drawing extracts and generating reports and summaries to facilitate administering, monitoring, and evaluating the study.</w:t>
      </w:r>
    </w:p>
    <w:p w:rsidR="005B49E1" w:rsidRPr="005B4041" w:rsidRDefault="005B49E1" w:rsidP="00091BB4">
      <w:pPr>
        <w:spacing w:line="240" w:lineRule="auto"/>
        <w:jc w:val="left"/>
      </w:pPr>
    </w:p>
    <w:p w:rsidR="005B49E1" w:rsidRPr="005B4041" w:rsidRDefault="005E3AD8" w:rsidP="00091BB4">
      <w:pPr>
        <w:spacing w:line="240" w:lineRule="auto"/>
        <w:ind w:left="720" w:firstLine="0"/>
        <w:jc w:val="left"/>
      </w:pPr>
      <w:r>
        <w:t>We use computer-assisted interviewing to collect data for the b</w:t>
      </w:r>
      <w:r w:rsidR="00091BB4">
        <w:t xml:space="preserve">aseline and follow-up surveys.  </w:t>
      </w:r>
      <w:r>
        <w:t>We administer</w:t>
      </w:r>
      <w:r w:rsidR="009624D0">
        <w:t>ed</w:t>
      </w:r>
      <w:r>
        <w:t xml:space="preserve"> the baseline and </w:t>
      </w:r>
      <w:r w:rsidR="009624D0">
        <w:t xml:space="preserve">12-month </w:t>
      </w:r>
      <w:r>
        <w:t>follow-up surveys as both computer-assisted telephone (CATI) and face-to-face interviews</w:t>
      </w:r>
      <w:r w:rsidR="009624D0">
        <w:t>.  These</w:t>
      </w:r>
      <w:r>
        <w:t xml:space="preserve"> applications incorporate</w:t>
      </w:r>
      <w:r w:rsidR="009624D0">
        <w:t>d</w:t>
      </w:r>
      <w:r>
        <w:t xml:space="preserve"> standard checkpoints to assess each respondent’s level of fatigue and to provide the respondent with an opportunity to take a break, if necessary</w:t>
      </w:r>
      <w:r w:rsidRPr="00042B0D">
        <w:t>.</w:t>
      </w:r>
      <w:r>
        <w:t xml:space="preserve">  </w:t>
      </w:r>
      <w:r w:rsidRPr="00042B0D">
        <w:t>Both the baseline and 12-month follow-up interviews use</w:t>
      </w:r>
      <w:r w:rsidR="009624D0">
        <w:t>d</w:t>
      </w:r>
      <w:r w:rsidRPr="00042B0D">
        <w:t xml:space="preserve"> Computer Assisted Telephone Interviewing (CATI) software.  </w:t>
      </w:r>
      <w:r w:rsidR="000B620A" w:rsidRPr="005B4041">
        <w:t>We will use c</w:t>
      </w:r>
      <w:r w:rsidR="005B49E1" w:rsidRPr="005B4041">
        <w:t>omputer-ass</w:t>
      </w:r>
      <w:r w:rsidR="000B620A" w:rsidRPr="005B4041">
        <w:t xml:space="preserve">isted interviewing </w:t>
      </w:r>
      <w:r w:rsidR="005B49E1" w:rsidRPr="005B4041">
        <w:t>to collect data for the 36-month follow-up survey</w:t>
      </w:r>
      <w:r w:rsidR="009624D0">
        <w:t xml:space="preserve"> as well, and we programmed the</w:t>
      </w:r>
      <w:r w:rsidR="000B620A" w:rsidRPr="005B4041">
        <w:t xml:space="preserve"> questionnaire</w:t>
      </w:r>
      <w:r w:rsidR="005B49E1" w:rsidRPr="005B4041">
        <w:t xml:space="preserve"> into the software application</w:t>
      </w:r>
      <w:r w:rsidR="000B620A" w:rsidRPr="005B4041">
        <w:t xml:space="preserve">.  </w:t>
      </w:r>
      <w:r w:rsidR="005B49E1" w:rsidRPr="005B4041">
        <w:t>The software is able to customize the flow of the questionnaire based on the answers provided, as well as information already known about the sample member such as their gender, treatment or control status, or state of residence</w:t>
      </w:r>
      <w:r w:rsidR="000B620A" w:rsidRPr="005B4041">
        <w:t xml:space="preserve">.  </w:t>
      </w:r>
      <w:r w:rsidR="005B49E1" w:rsidRPr="005B4041">
        <w:t>Interviewers read questions that appear on their computer screen and enter the respondents’ answers</w:t>
      </w:r>
      <w:r w:rsidR="000B620A" w:rsidRPr="005B4041">
        <w:t xml:space="preserve">.  </w:t>
      </w:r>
      <w:r w:rsidR="005B49E1" w:rsidRPr="005B4041">
        <w:t>In this sense</w:t>
      </w:r>
      <w:r w:rsidR="009624D0">
        <w:t xml:space="preserve">, it is similar to SSA’s MCS and </w:t>
      </w:r>
      <w:r w:rsidR="005B49E1" w:rsidRPr="005B4041">
        <w:t>MSSICS systems.</w:t>
      </w:r>
    </w:p>
    <w:p w:rsidR="005B49E1" w:rsidRPr="005B4041" w:rsidRDefault="005B49E1" w:rsidP="00091BB4">
      <w:pPr>
        <w:spacing w:line="240" w:lineRule="auto"/>
        <w:jc w:val="left"/>
      </w:pPr>
    </w:p>
    <w:p w:rsidR="005B49E1" w:rsidRPr="005B4041" w:rsidRDefault="005B49E1" w:rsidP="00091BB4">
      <w:pPr>
        <w:pStyle w:val="ParagraphSSLAST"/>
        <w:spacing w:after="100" w:afterAutospacing="1"/>
        <w:ind w:left="720" w:firstLine="0"/>
        <w:jc w:val="left"/>
      </w:pPr>
      <w:r w:rsidRPr="005B4041">
        <w:t xml:space="preserve">Telephones equipped with amplifiers </w:t>
      </w:r>
      <w:r w:rsidR="009624D0">
        <w:t>are</w:t>
      </w:r>
      <w:r w:rsidRPr="005B4041">
        <w:t xml:space="preserve"> available for use as needed to accommodate sample members who are hearing impaired</w:t>
      </w:r>
      <w:r w:rsidR="000B620A" w:rsidRPr="005B4041">
        <w:t xml:space="preserve">.  </w:t>
      </w:r>
      <w:r w:rsidRPr="005B4041">
        <w:t xml:space="preserve">In addition, </w:t>
      </w:r>
      <w:r w:rsidR="009624D0">
        <w:t xml:space="preserve">we </w:t>
      </w:r>
      <w:r w:rsidR="000B620A" w:rsidRPr="005B4041">
        <w:t xml:space="preserve">use TTY and Relay technologies </w:t>
      </w:r>
      <w:r w:rsidRPr="005B4041">
        <w:t>to facilitate participation in the telephone survey</w:t>
      </w:r>
      <w:r w:rsidR="000B620A" w:rsidRPr="005B4041">
        <w:t xml:space="preserve">.  </w:t>
      </w:r>
      <w:r w:rsidRPr="005B4041">
        <w:t>A TTY is a special device that lets people who are deaf, hard of hearing, or speech-impaired use the telephone to communicate by allowing them to type messages back and forth to one another instead of talking and listening</w:t>
      </w:r>
      <w:r w:rsidR="000B620A" w:rsidRPr="005B4041">
        <w:t xml:space="preserve">.  </w:t>
      </w:r>
      <w:r w:rsidRPr="005B4041">
        <w:t>A TTY is required at both ends of the conversation in order to communicate</w:t>
      </w:r>
      <w:r w:rsidR="000B620A" w:rsidRPr="005B4041">
        <w:t xml:space="preserve">.  </w:t>
      </w:r>
      <w:r w:rsidRPr="005B4041">
        <w:t>MPR’s telephone operations center is equipped with TTY technology</w:t>
      </w:r>
      <w:r w:rsidR="009624D0">
        <w:t xml:space="preserve">.  We </w:t>
      </w:r>
      <w:r w:rsidR="000B620A" w:rsidRPr="005B4041">
        <w:t>use t</w:t>
      </w:r>
      <w:r w:rsidRPr="005B4041">
        <w:t xml:space="preserve">he Telecommunications Relay Service (TRS) for sample members who are deaf, hard of </w:t>
      </w:r>
      <w:r w:rsidR="009624D0" w:rsidRPr="005B4041">
        <w:t>hearing</w:t>
      </w:r>
      <w:r w:rsidR="009624D0">
        <w:t>,</w:t>
      </w:r>
      <w:r w:rsidRPr="005B4041">
        <w:t xml:space="preserve"> or speech-impaired</w:t>
      </w:r>
      <w:r w:rsidR="009624D0">
        <w:t>,</w:t>
      </w:r>
      <w:r w:rsidRPr="005B4041">
        <w:t xml:space="preserve"> but who do not have a TTY</w:t>
      </w:r>
      <w:r w:rsidR="000B620A" w:rsidRPr="005B4041">
        <w:t xml:space="preserve">.  </w:t>
      </w:r>
      <w:r w:rsidRPr="005B4041">
        <w:t>With TRS, a special operator types whatever the interviewe</w:t>
      </w:r>
      <w:r w:rsidR="009624D0">
        <w:t xml:space="preserve">r says so </w:t>
      </w:r>
      <w:r w:rsidR="000B620A" w:rsidRPr="005B4041">
        <w:t>the pe</w:t>
      </w:r>
      <w:r w:rsidR="009624D0">
        <w:t>ople</w:t>
      </w:r>
      <w:r w:rsidR="000B620A" w:rsidRPr="005B4041">
        <w:t xml:space="preserve"> </w:t>
      </w:r>
      <w:r w:rsidRPr="005B4041">
        <w:t xml:space="preserve">called can read the interviewer’s words on </w:t>
      </w:r>
      <w:r w:rsidR="009624D0">
        <w:t>their</w:t>
      </w:r>
      <w:r w:rsidRPr="005B4041">
        <w:t xml:space="preserve"> telephone display</w:t>
      </w:r>
      <w:r w:rsidR="000B620A" w:rsidRPr="005B4041">
        <w:t xml:space="preserve">.  </w:t>
      </w:r>
      <w:r w:rsidR="009624D0">
        <w:t xml:space="preserve">The caller then </w:t>
      </w:r>
      <w:r w:rsidRPr="005B4041">
        <w:t>type</w:t>
      </w:r>
      <w:r w:rsidR="009624D0">
        <w:t>s</w:t>
      </w:r>
      <w:r w:rsidRPr="005B4041">
        <w:t xml:space="preserve"> back a response, which the TRS operator will read aloud for the interviewer to hear over the phone</w:t>
      </w:r>
      <w:r w:rsidR="000B620A" w:rsidRPr="005B4041">
        <w:t xml:space="preserve">.  </w:t>
      </w:r>
      <w:r w:rsidRPr="005B4041">
        <w:t>Both methods, TTY and TRS, increase survey administration times but enable us to conduct interviews with sample members who, without the help of these technologies, would not be able to participate</w:t>
      </w:r>
      <w:r w:rsidR="000B620A" w:rsidRPr="005B4041">
        <w:t xml:space="preserve">.  </w:t>
      </w:r>
      <w:r w:rsidRPr="005B4041">
        <w:t>Forms are not available electroni</w:t>
      </w:r>
      <w:r w:rsidR="00FD3A11">
        <w:t>cally because they are not self-administered</w:t>
      </w:r>
      <w:r w:rsidRPr="005B4041">
        <w:t>.</w:t>
      </w:r>
    </w:p>
    <w:p w:rsidR="005B49E1" w:rsidRPr="005B4041" w:rsidRDefault="005B49E1" w:rsidP="00091BB4">
      <w:pPr>
        <w:pStyle w:val="Heading3"/>
        <w:tabs>
          <w:tab w:val="left" w:pos="720"/>
        </w:tabs>
        <w:ind w:firstLine="0"/>
        <w:jc w:val="left"/>
      </w:pPr>
      <w:r w:rsidRPr="005B4041">
        <w:t>4.</w:t>
      </w:r>
      <w:r w:rsidRPr="005B4041">
        <w:tab/>
        <w:t>Efforts to Identify Duplication</w:t>
      </w:r>
    </w:p>
    <w:p w:rsidR="005B49E1" w:rsidRPr="005B4041" w:rsidRDefault="00362292" w:rsidP="00091BB4">
      <w:pPr>
        <w:pStyle w:val="ParagraphSSLAST"/>
        <w:ind w:left="720" w:firstLine="0"/>
        <w:jc w:val="left"/>
      </w:pPr>
      <w:r>
        <w:t xml:space="preserve">The surveys </w:t>
      </w:r>
      <w:r w:rsidR="005B49E1" w:rsidRPr="005B4041">
        <w:t>only ask respondents about information that is not available in SSA’s administrative records</w:t>
      </w:r>
      <w:r w:rsidR="000B620A" w:rsidRPr="005B4041">
        <w:t xml:space="preserve">.  </w:t>
      </w:r>
      <w:r>
        <w:t xml:space="preserve">We </w:t>
      </w:r>
      <w:r w:rsidR="005B49E1" w:rsidRPr="005B4041">
        <w:t>reviewed administrative records in detail to limit repetition</w:t>
      </w:r>
      <w:r w:rsidR="000B620A" w:rsidRPr="005B4041">
        <w:t xml:space="preserve">.  </w:t>
      </w:r>
      <w:r w:rsidR="005B49E1" w:rsidRPr="005B4041">
        <w:t>Some information about</w:t>
      </w:r>
      <w:r w:rsidR="000B620A" w:rsidRPr="005B4041">
        <w:t xml:space="preserve"> treatment group members that we collect</w:t>
      </w:r>
      <w:r w:rsidR="005B49E1" w:rsidRPr="005B4041">
        <w:t xml:space="preserve"> through the surveys may be redundant with data that could also be available from the ETO database</w:t>
      </w:r>
      <w:r w:rsidR="000B620A" w:rsidRPr="005B4041">
        <w:t xml:space="preserve">.  </w:t>
      </w:r>
      <w:r w:rsidR="005B49E1" w:rsidRPr="005B4041">
        <w:t>However, this duplication is necessary to collect comparable data from sample members in the control group.</w:t>
      </w:r>
    </w:p>
    <w:p w:rsidR="005B49E1" w:rsidRPr="005B4041" w:rsidRDefault="005B49E1" w:rsidP="00091BB4">
      <w:pPr>
        <w:pStyle w:val="Heading3"/>
        <w:tabs>
          <w:tab w:val="left" w:pos="720"/>
          <w:tab w:val="left" w:pos="810"/>
        </w:tabs>
        <w:ind w:firstLine="0"/>
        <w:jc w:val="left"/>
      </w:pPr>
      <w:r w:rsidRPr="005B4041">
        <w:lastRenderedPageBreak/>
        <w:t>5.</w:t>
      </w:r>
      <w:r w:rsidRPr="005B4041">
        <w:tab/>
        <w:t>Involvement of Small Entities</w:t>
      </w:r>
    </w:p>
    <w:p w:rsidR="005B49E1" w:rsidRPr="005B4041" w:rsidRDefault="005B49E1" w:rsidP="00091BB4">
      <w:pPr>
        <w:pStyle w:val="ParagraphSSLAST"/>
        <w:ind w:firstLine="720"/>
        <w:jc w:val="left"/>
      </w:pPr>
      <w:r w:rsidRPr="005B4041">
        <w:t xml:space="preserve">The </w:t>
      </w:r>
      <w:r w:rsidR="002A6E63">
        <w:t>Youth Transition Process Demonstration Evaluation</w:t>
      </w:r>
      <w:r w:rsidRPr="005B4041">
        <w:t xml:space="preserve"> does not involve small entities.</w:t>
      </w:r>
    </w:p>
    <w:p w:rsidR="005B49E1" w:rsidRPr="005B4041" w:rsidRDefault="005B49E1" w:rsidP="00091BB4">
      <w:pPr>
        <w:pStyle w:val="Heading3"/>
        <w:tabs>
          <w:tab w:val="left" w:pos="720"/>
        </w:tabs>
        <w:ind w:firstLine="0"/>
        <w:jc w:val="left"/>
      </w:pPr>
      <w:r w:rsidRPr="005B4041">
        <w:t>6.</w:t>
      </w:r>
      <w:r w:rsidRPr="005B4041">
        <w:tab/>
        <w:t>Consequences if Information Is Not Collected or Collected Less Frequently</w:t>
      </w:r>
    </w:p>
    <w:p w:rsidR="00B25834" w:rsidRDefault="00B25834" w:rsidP="00091BB4">
      <w:pPr>
        <w:pStyle w:val="NormalSS"/>
        <w:ind w:left="720" w:firstLine="0"/>
        <w:jc w:val="left"/>
      </w:pPr>
      <w:r>
        <w:t xml:space="preserve">The baseline survey </w:t>
      </w:r>
      <w:r w:rsidR="005738C6">
        <w:t>was</w:t>
      </w:r>
      <w:r>
        <w:t xml:space="preserve"> a one-time collection and </w:t>
      </w:r>
      <w:r w:rsidR="005738C6">
        <w:t>was</w:t>
      </w:r>
      <w:r>
        <w:t xml:space="preserve"> necessary to c</w:t>
      </w:r>
      <w:r w:rsidR="001B07A3">
        <w:t>onduct a credible evaluation.  We need</w:t>
      </w:r>
      <w:r w:rsidR="005738C6">
        <w:t>ed</w:t>
      </w:r>
      <w:r w:rsidR="001B07A3">
        <w:t xml:space="preserve"> the baseline survey </w:t>
      </w:r>
      <w:r>
        <w:t>to identify and select sample members int</w:t>
      </w:r>
      <w:r w:rsidR="005738C6">
        <w:t xml:space="preserve">o the study groups, assure </w:t>
      </w:r>
      <w:r>
        <w:t xml:space="preserve">the treatment and control groups </w:t>
      </w:r>
      <w:r w:rsidR="005738C6">
        <w:t>were</w:t>
      </w:r>
      <w:r>
        <w:t xml:space="preserve"> comparable, and obtain important covariates for subsequent analyses.  The data collected during the baseline interview </w:t>
      </w:r>
      <w:r w:rsidR="005738C6">
        <w:t>were</w:t>
      </w:r>
      <w:r>
        <w:t xml:space="preserve"> not available from other sources.</w:t>
      </w:r>
    </w:p>
    <w:p w:rsidR="00B25834" w:rsidRDefault="00B25834" w:rsidP="00091BB4">
      <w:pPr>
        <w:pStyle w:val="NormalSS"/>
        <w:jc w:val="left"/>
      </w:pPr>
    </w:p>
    <w:p w:rsidR="005B49E1" w:rsidRPr="005B4041" w:rsidRDefault="005738C6" w:rsidP="00091BB4">
      <w:pPr>
        <w:pStyle w:val="ParagraphSSLAST"/>
        <w:spacing w:after="100" w:afterAutospacing="1"/>
        <w:ind w:left="720" w:firstLine="0"/>
        <w:jc w:val="left"/>
      </w:pPr>
      <w:r>
        <w:t>We conducted t</w:t>
      </w:r>
      <w:r w:rsidR="005B49E1" w:rsidRPr="005B4041">
        <w:t>he first follow-up survey 12 months after random assignment</w:t>
      </w:r>
      <w:r>
        <w:t>,</w:t>
      </w:r>
      <w:r w:rsidR="005B49E1" w:rsidRPr="005B4041">
        <w:t xml:space="preserve"> </w:t>
      </w:r>
      <w:r>
        <w:t xml:space="preserve">during which we </w:t>
      </w:r>
      <w:r w:rsidR="005B49E1" w:rsidRPr="005B4041">
        <w:t xml:space="preserve">collected information on </w:t>
      </w:r>
      <w:r w:rsidRPr="005B4041">
        <w:t>short-term</w:t>
      </w:r>
      <w:r w:rsidR="005B49E1" w:rsidRPr="005B4041">
        <w:t xml:space="preserve"> outcomes regarding education, earnings, employment, living arrangements, health, and quality of life</w:t>
      </w:r>
      <w:r w:rsidR="000B620A" w:rsidRPr="005B4041">
        <w:t>.  We planned t</w:t>
      </w:r>
      <w:r w:rsidR="005B49E1" w:rsidRPr="005B4041">
        <w:t xml:space="preserve">he second follow-up </w:t>
      </w:r>
      <w:r w:rsidR="000B620A" w:rsidRPr="005B4041">
        <w:t>survey</w:t>
      </w:r>
      <w:r w:rsidR="005B49E1" w:rsidRPr="005B4041">
        <w:t xml:space="preserve"> for 36- months after random assignment</w:t>
      </w:r>
      <w:r w:rsidR="000B620A" w:rsidRPr="005B4041">
        <w:t xml:space="preserve">.  </w:t>
      </w:r>
      <w:r>
        <w:t xml:space="preserve">It </w:t>
      </w:r>
      <w:r w:rsidR="005B49E1" w:rsidRPr="005B4041">
        <w:t>collect</w:t>
      </w:r>
      <w:r>
        <w:t>s</w:t>
      </w:r>
      <w:r w:rsidR="005B49E1" w:rsidRPr="005B4041">
        <w:t xml:space="preserve"> information about </w:t>
      </w:r>
      <w:r w:rsidR="000B620A" w:rsidRPr="005B4041">
        <w:t>longer-term</w:t>
      </w:r>
      <w:r w:rsidR="005B49E1" w:rsidRPr="005B4041">
        <w:t xml:space="preserve"> outcomes in the same domains as the </w:t>
      </w:r>
      <w:r w:rsidR="000B620A" w:rsidRPr="005B4041">
        <w:t>12-month</w:t>
      </w:r>
      <w:r w:rsidR="005B49E1" w:rsidRPr="005B4041">
        <w:t xml:space="preserve"> follow-up survey</w:t>
      </w:r>
      <w:r w:rsidR="000B620A" w:rsidRPr="005B4041">
        <w:t xml:space="preserve">.  </w:t>
      </w:r>
      <w:r w:rsidR="005B49E1" w:rsidRPr="005B4041">
        <w:t xml:space="preserve">The questions focus on the past 12 or 24 months so as not to overlap with the </w:t>
      </w:r>
      <w:r w:rsidR="000B620A" w:rsidRPr="005B4041">
        <w:t>12-month</w:t>
      </w:r>
      <w:r w:rsidR="005B49E1" w:rsidRPr="005B4041">
        <w:t xml:space="preserve"> survey recall period</w:t>
      </w:r>
      <w:r w:rsidR="000B620A" w:rsidRPr="005B4041">
        <w:t xml:space="preserve">.  </w:t>
      </w:r>
      <w:r>
        <w:t xml:space="preserve">The follow-up survey </w:t>
      </w:r>
      <w:r w:rsidR="005B49E1" w:rsidRPr="005B4041">
        <w:t>collect</w:t>
      </w:r>
      <w:r>
        <w:t>s</w:t>
      </w:r>
      <w:r w:rsidR="005B49E1" w:rsidRPr="005B4041">
        <w:t xml:space="preserve"> a richer set of information than </w:t>
      </w:r>
      <w:r>
        <w:t>we can gather</w:t>
      </w:r>
      <w:r w:rsidR="005B49E1" w:rsidRPr="005B4041">
        <w:t xml:space="preserve"> from administrative records</w:t>
      </w:r>
      <w:r w:rsidR="000B620A" w:rsidRPr="005B4041">
        <w:t xml:space="preserve">.  </w:t>
      </w:r>
      <w:r w:rsidR="005B49E1" w:rsidRPr="005B4041">
        <w:t>For example, administrative records might have data on earnings from jobs but would not have detail</w:t>
      </w:r>
      <w:r>
        <w:t>s</w:t>
      </w:r>
      <w:r w:rsidR="005B49E1" w:rsidRPr="005B4041">
        <w:t xml:space="preserve"> about the jobs such as rates of pay, hours worked, or if the job was competitive or supported employment</w:t>
      </w:r>
      <w:r w:rsidR="000B620A" w:rsidRPr="005B4041">
        <w:t>.  We cannot conduct t</w:t>
      </w:r>
      <w:r w:rsidR="005B49E1" w:rsidRPr="005B4041">
        <w:t>he impact analysis without the 36-month follow-up survey.</w:t>
      </w:r>
    </w:p>
    <w:p w:rsidR="005B49E1" w:rsidRPr="005B4041" w:rsidRDefault="005B49E1" w:rsidP="00091BB4">
      <w:pPr>
        <w:pStyle w:val="Heading3"/>
        <w:spacing w:after="100" w:afterAutospacing="1"/>
        <w:ind w:firstLine="0"/>
        <w:jc w:val="left"/>
      </w:pPr>
      <w:r w:rsidRPr="005738C6">
        <w:t>7.</w:t>
      </w:r>
      <w:r w:rsidRPr="005B4041">
        <w:tab/>
        <w:t>Special Circumstances</w:t>
      </w:r>
    </w:p>
    <w:p w:rsidR="005B49E1" w:rsidRPr="005B4041" w:rsidRDefault="005B49E1" w:rsidP="00091BB4">
      <w:pPr>
        <w:pStyle w:val="ParagraphSSLAST"/>
        <w:spacing w:after="100" w:afterAutospacing="1"/>
        <w:ind w:left="720" w:firstLine="0"/>
        <w:jc w:val="left"/>
      </w:pPr>
      <w:r w:rsidRPr="005B4041">
        <w:t>There are no special circumstances related to the collection of information required to carry out the evaluation of YTD.</w:t>
      </w:r>
    </w:p>
    <w:p w:rsidR="005B49E1" w:rsidRPr="005B4041" w:rsidRDefault="005B49E1" w:rsidP="00091BB4">
      <w:pPr>
        <w:pStyle w:val="Heading3"/>
        <w:tabs>
          <w:tab w:val="left" w:pos="720"/>
        </w:tabs>
        <w:ind w:firstLine="0"/>
        <w:jc w:val="left"/>
      </w:pPr>
      <w:r w:rsidRPr="005B4041">
        <w:t>8.</w:t>
      </w:r>
      <w:r w:rsidRPr="005B4041">
        <w:tab/>
        <w:t>Adherence t</w:t>
      </w:r>
      <w:r w:rsidR="005738C6">
        <w:t xml:space="preserve">o Guidelines in </w:t>
      </w:r>
      <w:r w:rsidR="005738C6" w:rsidRPr="005738C6">
        <w:rPr>
          <w:i/>
        </w:rPr>
        <w:t>5 CFR 1320.5(d)</w:t>
      </w:r>
      <w:r w:rsidRPr="005738C6">
        <w:rPr>
          <w:i/>
        </w:rPr>
        <w:t>(2)</w:t>
      </w:r>
      <w:r w:rsidRPr="005B4041">
        <w:t xml:space="preserve"> and Consultation outside the Agency</w:t>
      </w:r>
    </w:p>
    <w:p w:rsidR="005B49E1" w:rsidRPr="005B4041" w:rsidRDefault="005B49E1" w:rsidP="00091BB4">
      <w:pPr>
        <w:pStyle w:val="Heading4"/>
        <w:tabs>
          <w:tab w:val="left" w:pos="720"/>
        </w:tabs>
        <w:ind w:firstLine="0"/>
        <w:jc w:val="left"/>
      </w:pPr>
      <w:r w:rsidRPr="005B4041">
        <w:t>a.</w:t>
      </w:r>
      <w:r w:rsidRPr="005B4041">
        <w:tab/>
        <w:t>Federal Register Notice</w:t>
      </w:r>
    </w:p>
    <w:p w:rsidR="005B49E1" w:rsidRPr="005B4041" w:rsidRDefault="008401F3" w:rsidP="00091BB4">
      <w:pPr>
        <w:spacing w:line="240" w:lineRule="auto"/>
        <w:ind w:left="720" w:firstLine="0"/>
        <w:jc w:val="left"/>
      </w:pPr>
      <w:r w:rsidRPr="00F7014B">
        <w:t xml:space="preserve">The 60-day advance Federal Register Notice published on </w:t>
      </w:r>
      <w:r w:rsidR="006F7FDA">
        <w:t>February 14, 2012, at 77 FR 8322</w:t>
      </w:r>
      <w:r w:rsidRPr="00F7014B">
        <w:t xml:space="preserve">, and we received no public comments.  SSA published the second Notice on </w:t>
      </w:r>
      <w:r w:rsidR="00C308DC">
        <w:t>June 14, 2012</w:t>
      </w:r>
      <w:r w:rsidRPr="00F7014B">
        <w:t xml:space="preserve">, at 77 FR </w:t>
      </w:r>
      <w:r w:rsidR="00C308DC">
        <w:t>35739</w:t>
      </w:r>
      <w:bookmarkStart w:id="4" w:name="_GoBack"/>
      <w:bookmarkEnd w:id="4"/>
      <w:r w:rsidRPr="00F7014B">
        <w:t>.  If we receive comments in response to the 30-day Notice, we will forward them to OMB.  We did not consult with the publ</w:t>
      </w:r>
      <w:r>
        <w:t>ic in the revision of this form</w:t>
      </w:r>
      <w:r w:rsidR="005B49E1" w:rsidRPr="005B4041">
        <w:t>.</w:t>
      </w:r>
    </w:p>
    <w:p w:rsidR="005B49E1" w:rsidRPr="005B4041" w:rsidRDefault="005B49E1" w:rsidP="00091BB4">
      <w:pPr>
        <w:spacing w:line="240" w:lineRule="auto"/>
        <w:jc w:val="left"/>
      </w:pPr>
    </w:p>
    <w:p w:rsidR="005B49E1" w:rsidRPr="005B4041" w:rsidRDefault="005B49E1" w:rsidP="00091BB4">
      <w:pPr>
        <w:pStyle w:val="Heading4"/>
        <w:tabs>
          <w:tab w:val="left" w:pos="720"/>
        </w:tabs>
        <w:ind w:firstLine="0"/>
        <w:jc w:val="left"/>
      </w:pPr>
      <w:r w:rsidRPr="005B4041">
        <w:t>b.</w:t>
      </w:r>
      <w:r w:rsidRPr="005B4041">
        <w:tab/>
        <w:t>Consultation with Outside Agencies</w:t>
      </w:r>
    </w:p>
    <w:p w:rsidR="005B49E1" w:rsidRPr="005B4041" w:rsidRDefault="000B620A" w:rsidP="00091BB4">
      <w:pPr>
        <w:pStyle w:val="NormalSS"/>
        <w:ind w:left="720" w:firstLine="0"/>
        <w:jc w:val="left"/>
      </w:pPr>
      <w:r w:rsidRPr="005B4041">
        <w:t>We need a</w:t>
      </w:r>
      <w:r w:rsidR="005B49E1" w:rsidRPr="005B4041">
        <w:t>n interdisciplinary project team of economists, disability policy researchers, survey researchers, and in</w:t>
      </w:r>
      <w:r w:rsidRPr="005B4041">
        <w:t xml:space="preserve">formation systems professionals </w:t>
      </w:r>
      <w:r w:rsidR="005B49E1" w:rsidRPr="005B4041">
        <w:t>to carry out the design and implementation of the evaluation</w:t>
      </w:r>
      <w:r w:rsidRPr="005B4041">
        <w:t xml:space="preserve">.  </w:t>
      </w:r>
      <w:r w:rsidR="005B49E1" w:rsidRPr="005B4041">
        <w:t>MPR is the prime contractor with overall responsibility for implementing and evaluating the demonstration</w:t>
      </w:r>
      <w:r w:rsidRPr="005B4041">
        <w:t xml:space="preserve">.  </w:t>
      </w:r>
      <w:r w:rsidR="005B49E1" w:rsidRPr="005B4041">
        <w:t>However, staff members from three other organizations are integral members of the study team</w:t>
      </w:r>
      <w:r w:rsidRPr="005B4041">
        <w:t xml:space="preserve">.  </w:t>
      </w:r>
      <w:r w:rsidR="005B49E1" w:rsidRPr="005B4041">
        <w:t>The participating organizations include the following:</w:t>
      </w:r>
    </w:p>
    <w:p w:rsidR="005B49E1" w:rsidRPr="005B4041" w:rsidRDefault="005B49E1" w:rsidP="00091BB4">
      <w:pPr>
        <w:pStyle w:val="NormalSS"/>
        <w:jc w:val="left"/>
      </w:pPr>
    </w:p>
    <w:p w:rsidR="005B49E1" w:rsidRPr="005B4041" w:rsidRDefault="005B49E1" w:rsidP="00091BB4">
      <w:pPr>
        <w:pStyle w:val="Header"/>
        <w:jc w:val="left"/>
      </w:pPr>
    </w:p>
    <w:p w:rsidR="005B49E1" w:rsidRPr="005B4041" w:rsidRDefault="005B49E1" w:rsidP="00091BB4">
      <w:pPr>
        <w:jc w:val="left"/>
        <w:sectPr w:rsidR="005B49E1" w:rsidRPr="005B4041">
          <w:footerReference w:type="default" r:id="rId8"/>
          <w:pgSz w:w="12240" w:h="15840"/>
          <w:pgMar w:top="1440" w:right="1440" w:bottom="632" w:left="1440" w:header="720" w:footer="576" w:gutter="0"/>
          <w:cols w:space="720"/>
          <w:docGrid w:linePitch="240"/>
        </w:sectPr>
      </w:pPr>
    </w:p>
    <w:p w:rsidR="005B49E1" w:rsidRPr="005B4041" w:rsidRDefault="005B49E1" w:rsidP="00091BB4">
      <w:pPr>
        <w:spacing w:line="240" w:lineRule="auto"/>
        <w:ind w:left="720" w:firstLine="0"/>
        <w:jc w:val="left"/>
      </w:pPr>
      <w:proofErr w:type="spellStart"/>
      <w:r w:rsidRPr="005B4041">
        <w:lastRenderedPageBreak/>
        <w:t>Mathematica</w:t>
      </w:r>
      <w:proofErr w:type="spellEnd"/>
      <w:r w:rsidRPr="005B4041">
        <w:t xml:space="preserve"> Policy Research, Inc.</w:t>
      </w:r>
    </w:p>
    <w:p w:rsidR="005B49E1" w:rsidRPr="005B4041" w:rsidRDefault="005B49E1" w:rsidP="00091BB4">
      <w:pPr>
        <w:spacing w:line="240" w:lineRule="auto"/>
        <w:ind w:left="720" w:firstLine="0"/>
        <w:jc w:val="left"/>
      </w:pPr>
      <w:r w:rsidRPr="005B4041">
        <w:t>600 Maryland Ave., SW</w:t>
      </w:r>
    </w:p>
    <w:p w:rsidR="005B49E1" w:rsidRPr="005B4041" w:rsidRDefault="005B49E1" w:rsidP="00091BB4">
      <w:pPr>
        <w:spacing w:line="240" w:lineRule="auto"/>
        <w:ind w:left="720" w:firstLine="0"/>
        <w:jc w:val="left"/>
      </w:pPr>
      <w:smartTag w:uri="urn:schemas-microsoft-com:office:smarttags" w:element="address">
        <w:smartTag w:uri="urn:schemas-microsoft-com:office:smarttags" w:element="Street">
          <w:r w:rsidRPr="005B4041">
            <w:t>Suite</w:t>
          </w:r>
        </w:smartTag>
        <w:r w:rsidRPr="005B4041">
          <w:t xml:space="preserve"> 550</w:t>
        </w:r>
      </w:smartTag>
    </w:p>
    <w:p w:rsidR="005B49E1" w:rsidRPr="005B4041" w:rsidRDefault="005B49E1" w:rsidP="00091BB4">
      <w:pPr>
        <w:spacing w:line="240" w:lineRule="auto"/>
        <w:ind w:left="720" w:firstLine="0"/>
        <w:jc w:val="left"/>
      </w:pPr>
      <w:smartTag w:uri="urn:schemas-microsoft-com:office:smarttags" w:element="place">
        <w:smartTag w:uri="urn:schemas-microsoft-com:office:smarttags" w:element="City">
          <w:r w:rsidRPr="005B4041">
            <w:t>Washington</w:t>
          </w:r>
        </w:smartTag>
        <w:r w:rsidRPr="005B4041">
          <w:t xml:space="preserve">, </w:t>
        </w:r>
        <w:smartTag w:uri="urn:schemas-microsoft-com:office:smarttags" w:element="State">
          <w:r w:rsidRPr="005B4041">
            <w:t>DC</w:t>
          </w:r>
        </w:smartTag>
        <w:r w:rsidRPr="005B4041">
          <w:t xml:space="preserve"> </w:t>
        </w:r>
        <w:smartTag w:uri="urn:schemas-microsoft-com:office:smarttags" w:element="PostalCode">
          <w:r w:rsidRPr="005B4041">
            <w:t>20024-2512</w:t>
          </w:r>
        </w:smartTag>
      </w:smartTag>
    </w:p>
    <w:p w:rsidR="005B49E1" w:rsidRPr="005B4041" w:rsidRDefault="005B49E1" w:rsidP="00091BB4">
      <w:pPr>
        <w:spacing w:line="240" w:lineRule="auto"/>
        <w:ind w:left="720" w:firstLine="0"/>
        <w:jc w:val="left"/>
      </w:pPr>
      <w:r w:rsidRPr="005B4041">
        <w:t>(202) 484-4698</w:t>
      </w:r>
    </w:p>
    <w:p w:rsidR="005B49E1" w:rsidRPr="005B4041" w:rsidRDefault="005B49E1" w:rsidP="00091BB4">
      <w:pPr>
        <w:spacing w:line="240" w:lineRule="auto"/>
        <w:ind w:left="720" w:firstLine="0"/>
        <w:jc w:val="left"/>
      </w:pPr>
      <w:r w:rsidRPr="005B4041">
        <w:t>600 Alexander Park</w:t>
      </w:r>
    </w:p>
    <w:p w:rsidR="005B49E1" w:rsidRPr="005B4041" w:rsidRDefault="005B49E1" w:rsidP="00091BB4">
      <w:pPr>
        <w:spacing w:line="240" w:lineRule="auto"/>
        <w:ind w:left="720" w:firstLine="0"/>
        <w:jc w:val="left"/>
      </w:pPr>
      <w:smartTag w:uri="urn:schemas-microsoft-com:office:smarttags" w:element="place">
        <w:smartTag w:uri="urn:schemas-microsoft-com:office:smarttags" w:element="City">
          <w:r w:rsidRPr="005B4041">
            <w:t>Princeton</w:t>
          </w:r>
        </w:smartTag>
        <w:r w:rsidRPr="005B4041">
          <w:t xml:space="preserve">, </w:t>
        </w:r>
        <w:smartTag w:uri="urn:schemas-microsoft-com:office:smarttags" w:element="State">
          <w:r w:rsidRPr="005B4041">
            <w:t>NJ</w:t>
          </w:r>
        </w:smartTag>
        <w:r w:rsidRPr="005B4041">
          <w:t xml:space="preserve"> </w:t>
        </w:r>
        <w:smartTag w:uri="urn:schemas-microsoft-com:office:smarttags" w:element="PostalCode">
          <w:r w:rsidRPr="005B4041">
            <w:t>08540</w:t>
          </w:r>
        </w:smartTag>
      </w:smartTag>
    </w:p>
    <w:p w:rsidR="005B49E1" w:rsidRPr="005B4041" w:rsidRDefault="005B49E1" w:rsidP="00091BB4">
      <w:pPr>
        <w:spacing w:line="240" w:lineRule="auto"/>
        <w:ind w:left="720" w:firstLine="0"/>
        <w:jc w:val="left"/>
      </w:pPr>
      <w:r w:rsidRPr="005B4041">
        <w:t>(609) 799-3535</w:t>
      </w:r>
    </w:p>
    <w:p w:rsidR="005B49E1" w:rsidRPr="005B4041" w:rsidRDefault="005B49E1" w:rsidP="00091BB4">
      <w:pPr>
        <w:spacing w:line="240" w:lineRule="auto"/>
        <w:ind w:firstLine="0"/>
        <w:jc w:val="left"/>
      </w:pPr>
    </w:p>
    <w:p w:rsidR="005B49E1" w:rsidRPr="005B4041" w:rsidRDefault="005B49E1" w:rsidP="00091BB4">
      <w:pPr>
        <w:spacing w:line="240" w:lineRule="auto"/>
        <w:ind w:left="720" w:firstLine="0"/>
        <w:jc w:val="left"/>
      </w:pPr>
      <w:r w:rsidRPr="005B4041">
        <w:t>MDRC</w:t>
      </w:r>
    </w:p>
    <w:p w:rsidR="005B49E1" w:rsidRPr="005B4041" w:rsidRDefault="005B49E1" w:rsidP="00091BB4">
      <w:pPr>
        <w:spacing w:line="240" w:lineRule="auto"/>
        <w:ind w:left="720" w:firstLine="0"/>
        <w:jc w:val="left"/>
      </w:pPr>
      <w:r w:rsidRPr="005B4041">
        <w:t>19th Floor</w:t>
      </w:r>
    </w:p>
    <w:p w:rsidR="005B49E1" w:rsidRPr="005B4041" w:rsidRDefault="005B49E1" w:rsidP="00091BB4">
      <w:pPr>
        <w:spacing w:line="240" w:lineRule="auto"/>
        <w:ind w:left="720" w:firstLine="0"/>
        <w:jc w:val="left"/>
      </w:pPr>
      <w:r w:rsidRPr="005B4041">
        <w:t>16 East 34 Street</w:t>
      </w:r>
    </w:p>
    <w:p w:rsidR="005B49E1" w:rsidRPr="005B4041" w:rsidRDefault="005B49E1" w:rsidP="00091BB4">
      <w:pPr>
        <w:spacing w:line="240" w:lineRule="auto"/>
        <w:ind w:left="720" w:firstLine="0"/>
        <w:jc w:val="left"/>
      </w:pPr>
      <w:smartTag w:uri="urn:schemas-microsoft-com:office:smarttags" w:element="place">
        <w:smartTag w:uri="urn:schemas-microsoft-com:office:smarttags" w:element="City">
          <w:r w:rsidRPr="005B4041">
            <w:t>New York</w:t>
          </w:r>
        </w:smartTag>
        <w:r w:rsidRPr="005B4041">
          <w:t xml:space="preserve">, </w:t>
        </w:r>
        <w:smartTag w:uri="urn:schemas-microsoft-com:office:smarttags" w:element="State">
          <w:r w:rsidRPr="005B4041">
            <w:t>NY</w:t>
          </w:r>
        </w:smartTag>
        <w:r w:rsidRPr="005B4041">
          <w:t xml:space="preserve"> </w:t>
        </w:r>
        <w:smartTag w:uri="urn:schemas-microsoft-com:office:smarttags" w:element="PostalCode">
          <w:r w:rsidRPr="005B4041">
            <w:t>10016-4326</w:t>
          </w:r>
        </w:smartTag>
      </w:smartTag>
    </w:p>
    <w:p w:rsidR="005B49E1" w:rsidRPr="005B4041" w:rsidRDefault="005B49E1" w:rsidP="00091BB4">
      <w:pPr>
        <w:spacing w:line="240" w:lineRule="auto"/>
        <w:ind w:left="720" w:firstLine="0"/>
        <w:jc w:val="left"/>
      </w:pPr>
      <w:r w:rsidRPr="005B4041">
        <w:t>(212) 532-3200</w:t>
      </w:r>
    </w:p>
    <w:p w:rsidR="005B49E1" w:rsidRPr="005B4041" w:rsidRDefault="005B49E1" w:rsidP="00091BB4">
      <w:pPr>
        <w:spacing w:line="240" w:lineRule="auto"/>
        <w:ind w:firstLine="0"/>
        <w:jc w:val="left"/>
        <w:rPr>
          <w:lang w:val="fr-FR"/>
        </w:rPr>
      </w:pPr>
      <w:r w:rsidRPr="005B4041">
        <w:rPr>
          <w:lang w:val="fr-FR"/>
        </w:rPr>
        <w:lastRenderedPageBreak/>
        <w:t>Social Solutions, Inc.</w:t>
      </w:r>
    </w:p>
    <w:p w:rsidR="005B49E1" w:rsidRPr="005B4041" w:rsidRDefault="005B49E1" w:rsidP="00091BB4">
      <w:pPr>
        <w:spacing w:line="240" w:lineRule="auto"/>
        <w:ind w:firstLine="0"/>
        <w:jc w:val="left"/>
      </w:pPr>
      <w:smartTag w:uri="urn:schemas-microsoft-com:office:smarttags" w:element="Street">
        <w:smartTag w:uri="urn:schemas-microsoft-com:office:smarttags" w:element="address">
          <w:r w:rsidRPr="005B4041">
            <w:t>2400 Boston St</w:t>
          </w:r>
        </w:smartTag>
      </w:smartTag>
      <w:r w:rsidRPr="005B4041">
        <w:t>.</w:t>
      </w:r>
    </w:p>
    <w:p w:rsidR="005B49E1" w:rsidRPr="005B4041" w:rsidRDefault="005B49E1" w:rsidP="00091BB4">
      <w:pPr>
        <w:spacing w:line="240" w:lineRule="auto"/>
        <w:ind w:firstLine="0"/>
        <w:jc w:val="left"/>
      </w:pPr>
      <w:smartTag w:uri="urn:schemas-microsoft-com:office:smarttags" w:element="address">
        <w:smartTag w:uri="urn:schemas-microsoft-com:office:smarttags" w:element="Street">
          <w:r w:rsidRPr="005B4041">
            <w:t>Suite</w:t>
          </w:r>
        </w:smartTag>
        <w:r w:rsidRPr="005B4041">
          <w:t xml:space="preserve"> 360</w:t>
        </w:r>
      </w:smartTag>
    </w:p>
    <w:p w:rsidR="005B49E1" w:rsidRPr="005B4041" w:rsidRDefault="005B49E1" w:rsidP="00091BB4">
      <w:pPr>
        <w:spacing w:line="240" w:lineRule="auto"/>
        <w:ind w:firstLine="0"/>
        <w:jc w:val="left"/>
      </w:pPr>
      <w:smartTag w:uri="urn:schemas-microsoft-com:office:smarttags" w:element="place">
        <w:smartTag w:uri="urn:schemas-microsoft-com:office:smarttags" w:element="City">
          <w:r w:rsidRPr="005B4041">
            <w:t>Baltimore</w:t>
          </w:r>
        </w:smartTag>
        <w:r w:rsidRPr="005B4041">
          <w:t xml:space="preserve">, </w:t>
        </w:r>
        <w:smartTag w:uri="urn:schemas-microsoft-com:office:smarttags" w:element="State">
          <w:r w:rsidRPr="005B4041">
            <w:t>MD</w:t>
          </w:r>
        </w:smartTag>
        <w:r w:rsidRPr="005B4041">
          <w:t xml:space="preserve"> </w:t>
        </w:r>
        <w:smartTag w:uri="urn:schemas-microsoft-com:office:smarttags" w:element="PostalCode">
          <w:r w:rsidRPr="005B4041">
            <w:t>21224</w:t>
          </w:r>
        </w:smartTag>
      </w:smartTag>
    </w:p>
    <w:p w:rsidR="005B49E1" w:rsidRPr="005B4041" w:rsidRDefault="005B49E1" w:rsidP="00091BB4">
      <w:pPr>
        <w:spacing w:line="240" w:lineRule="auto"/>
        <w:ind w:firstLine="0"/>
        <w:jc w:val="left"/>
      </w:pPr>
      <w:r w:rsidRPr="005B4041">
        <w:t>(410) 732-3560</w:t>
      </w:r>
    </w:p>
    <w:p w:rsidR="005B49E1" w:rsidRPr="005B4041" w:rsidRDefault="005B49E1" w:rsidP="00091BB4">
      <w:pPr>
        <w:spacing w:line="240" w:lineRule="auto"/>
        <w:ind w:firstLine="0"/>
        <w:jc w:val="left"/>
      </w:pPr>
    </w:p>
    <w:p w:rsidR="005B49E1" w:rsidRPr="005B4041" w:rsidRDefault="005B49E1" w:rsidP="00091BB4">
      <w:pPr>
        <w:spacing w:line="240" w:lineRule="auto"/>
        <w:ind w:firstLine="0"/>
        <w:jc w:val="left"/>
      </w:pPr>
      <w:proofErr w:type="spellStart"/>
      <w:r w:rsidRPr="005B4041">
        <w:t>TransCen</w:t>
      </w:r>
      <w:proofErr w:type="spellEnd"/>
      <w:r w:rsidRPr="005B4041">
        <w:t>, Inc.</w:t>
      </w:r>
    </w:p>
    <w:p w:rsidR="005B49E1" w:rsidRPr="005B4041" w:rsidRDefault="005B49E1" w:rsidP="00091BB4">
      <w:pPr>
        <w:spacing w:line="240" w:lineRule="auto"/>
        <w:ind w:firstLine="0"/>
        <w:jc w:val="left"/>
      </w:pPr>
      <w:smartTag w:uri="urn:schemas-microsoft-com:office:smarttags" w:element="Street">
        <w:smartTag w:uri="urn:schemas-microsoft-com:office:smarttags" w:element="address">
          <w:r w:rsidRPr="005B4041">
            <w:t>451 Hungerford Drive</w:t>
          </w:r>
        </w:smartTag>
      </w:smartTag>
    </w:p>
    <w:p w:rsidR="005B49E1" w:rsidRPr="005B4041" w:rsidRDefault="005B49E1" w:rsidP="00091BB4">
      <w:pPr>
        <w:spacing w:line="240" w:lineRule="auto"/>
        <w:ind w:firstLine="0"/>
        <w:jc w:val="left"/>
        <w:rPr>
          <w:lang w:val="fr-FR"/>
        </w:rPr>
      </w:pPr>
      <w:r w:rsidRPr="005B4041">
        <w:rPr>
          <w:lang w:val="fr-FR"/>
        </w:rPr>
        <w:t>Suite 700</w:t>
      </w:r>
    </w:p>
    <w:p w:rsidR="005B49E1" w:rsidRPr="005B4041" w:rsidRDefault="005B49E1" w:rsidP="00091BB4">
      <w:pPr>
        <w:spacing w:line="240" w:lineRule="auto"/>
        <w:ind w:firstLine="0"/>
        <w:jc w:val="left"/>
        <w:rPr>
          <w:lang w:val="fr-FR"/>
        </w:rPr>
      </w:pPr>
      <w:r w:rsidRPr="005B4041">
        <w:rPr>
          <w:lang w:val="fr-FR"/>
        </w:rPr>
        <w:t>Rockville, MD 20850</w:t>
      </w:r>
    </w:p>
    <w:p w:rsidR="005B49E1" w:rsidRPr="005B4041" w:rsidRDefault="005B49E1" w:rsidP="00091BB4">
      <w:pPr>
        <w:spacing w:line="240" w:lineRule="auto"/>
        <w:ind w:firstLine="0"/>
        <w:jc w:val="left"/>
      </w:pPr>
      <w:r w:rsidRPr="005B4041">
        <w:t>(301) 424-2002</w:t>
      </w:r>
    </w:p>
    <w:p w:rsidR="005B49E1" w:rsidRPr="005B4041" w:rsidRDefault="005B49E1" w:rsidP="00091BB4">
      <w:pPr>
        <w:pStyle w:val="Header"/>
        <w:jc w:val="left"/>
      </w:pPr>
    </w:p>
    <w:p w:rsidR="005B49E1" w:rsidRPr="005B4041" w:rsidRDefault="005B49E1" w:rsidP="00091BB4">
      <w:pPr>
        <w:pStyle w:val="Header"/>
        <w:jc w:val="left"/>
      </w:pPr>
    </w:p>
    <w:p w:rsidR="005B49E1" w:rsidRPr="005B4041" w:rsidRDefault="005B49E1" w:rsidP="00091BB4">
      <w:pPr>
        <w:ind w:firstLine="0"/>
        <w:jc w:val="left"/>
        <w:sectPr w:rsidR="005B49E1" w:rsidRPr="005B4041">
          <w:type w:val="continuous"/>
          <w:pgSz w:w="12240" w:h="15840"/>
          <w:pgMar w:top="1440" w:right="1440" w:bottom="632" w:left="1440" w:header="720" w:footer="576" w:gutter="0"/>
          <w:cols w:num="2" w:space="720"/>
          <w:docGrid w:linePitch="240"/>
        </w:sectPr>
      </w:pPr>
    </w:p>
    <w:p w:rsidR="005B49E1" w:rsidRPr="005B4041" w:rsidRDefault="000B620A" w:rsidP="00091BB4">
      <w:pPr>
        <w:pStyle w:val="NormalSS"/>
        <w:pageBreakBefore/>
        <w:ind w:left="720" w:firstLine="0"/>
        <w:jc w:val="left"/>
        <w:sectPr w:rsidR="005B49E1" w:rsidRPr="005B4041">
          <w:type w:val="continuous"/>
          <w:pgSz w:w="12240" w:h="15840"/>
          <w:pgMar w:top="1440" w:right="1440" w:bottom="632" w:left="1440" w:header="720" w:footer="576" w:gutter="0"/>
          <w:cols w:space="720"/>
          <w:docGrid w:linePitch="240"/>
        </w:sectPr>
      </w:pPr>
      <w:r w:rsidRPr="005B4041">
        <w:lastRenderedPageBreak/>
        <w:t>We have listed k</w:t>
      </w:r>
      <w:r w:rsidR="005B49E1" w:rsidRPr="005B4041">
        <w:t xml:space="preserve">ey </w:t>
      </w:r>
      <w:r w:rsidRPr="005B4041">
        <w:t>staff from these organizations, their roles, and contact information below</w:t>
      </w:r>
      <w:r w:rsidR="005B49E1" w:rsidRPr="005B4041">
        <w:t>:</w:t>
      </w:r>
    </w:p>
    <w:p w:rsidR="005B49E1" w:rsidRPr="005B4041" w:rsidRDefault="005B49E1" w:rsidP="00091BB4">
      <w:pPr>
        <w:pStyle w:val="NormalSS"/>
        <w:jc w:val="left"/>
      </w:pPr>
    </w:p>
    <w:p w:rsidR="005B49E1" w:rsidRPr="005B4041" w:rsidRDefault="005B49E1" w:rsidP="00091BB4">
      <w:pPr>
        <w:pStyle w:val="NormalSS"/>
        <w:ind w:left="720" w:firstLine="0"/>
        <w:jc w:val="left"/>
      </w:pPr>
      <w:r w:rsidRPr="005B4041">
        <w:t xml:space="preserve">Tom </w:t>
      </w:r>
      <w:proofErr w:type="spellStart"/>
      <w:r w:rsidRPr="005B4041">
        <w:t>Fraker</w:t>
      </w:r>
      <w:proofErr w:type="spellEnd"/>
    </w:p>
    <w:p w:rsidR="005B49E1" w:rsidRPr="005B4041" w:rsidRDefault="005B49E1" w:rsidP="00091BB4">
      <w:pPr>
        <w:pStyle w:val="NormalSS"/>
        <w:ind w:left="720" w:firstLine="0"/>
        <w:jc w:val="left"/>
      </w:pPr>
      <w:r w:rsidRPr="005B4041">
        <w:t>MPR-DC</w:t>
      </w:r>
    </w:p>
    <w:p w:rsidR="005B49E1" w:rsidRPr="005B4041" w:rsidRDefault="005B49E1" w:rsidP="00091BB4">
      <w:pPr>
        <w:pStyle w:val="NormalSS"/>
        <w:ind w:left="720" w:firstLine="0"/>
        <w:jc w:val="left"/>
      </w:pPr>
      <w:r w:rsidRPr="005B4041">
        <w:t>Project Director</w:t>
      </w:r>
    </w:p>
    <w:p w:rsidR="005B49E1" w:rsidRPr="005B4041" w:rsidRDefault="005B49E1" w:rsidP="00091BB4">
      <w:pPr>
        <w:pStyle w:val="NormalSS"/>
        <w:ind w:left="720" w:firstLine="0"/>
        <w:jc w:val="left"/>
      </w:pPr>
      <w:r w:rsidRPr="005B4041">
        <w:t>tfraker@mathematica-mpr.com</w:t>
      </w:r>
    </w:p>
    <w:p w:rsidR="005B49E1" w:rsidRPr="005B4041" w:rsidRDefault="005B49E1" w:rsidP="00091BB4">
      <w:pPr>
        <w:pStyle w:val="NormalSS"/>
        <w:ind w:left="720" w:firstLine="0"/>
        <w:jc w:val="left"/>
      </w:pPr>
      <w:r w:rsidRPr="005B4041">
        <w:t>(202) 484-4698</w:t>
      </w:r>
    </w:p>
    <w:p w:rsidR="005B49E1" w:rsidRPr="005B4041" w:rsidRDefault="005B49E1" w:rsidP="00091BB4">
      <w:pPr>
        <w:pStyle w:val="NormalSS"/>
        <w:ind w:left="720" w:firstLine="0"/>
        <w:jc w:val="left"/>
      </w:pPr>
    </w:p>
    <w:p w:rsidR="005B49E1" w:rsidRPr="005B4041" w:rsidRDefault="005B49E1" w:rsidP="00091BB4">
      <w:pPr>
        <w:pStyle w:val="NormalSS"/>
        <w:ind w:left="720" w:firstLine="0"/>
        <w:jc w:val="left"/>
      </w:pPr>
      <w:r w:rsidRPr="005B4041">
        <w:t>David Butler</w:t>
      </w:r>
    </w:p>
    <w:p w:rsidR="005B49E1" w:rsidRPr="005B4041" w:rsidRDefault="005B49E1" w:rsidP="00091BB4">
      <w:pPr>
        <w:pStyle w:val="NormalSS"/>
        <w:ind w:left="720" w:firstLine="0"/>
        <w:jc w:val="left"/>
      </w:pPr>
      <w:r w:rsidRPr="005B4041">
        <w:t>MDRC-NY</w:t>
      </w:r>
    </w:p>
    <w:p w:rsidR="005B49E1" w:rsidRPr="005B4041" w:rsidRDefault="005B49E1" w:rsidP="00091BB4">
      <w:pPr>
        <w:pStyle w:val="NormalSS"/>
        <w:ind w:left="720" w:firstLine="0"/>
        <w:jc w:val="left"/>
      </w:pPr>
      <w:r w:rsidRPr="005B4041">
        <w:t>Leader of task force on program development</w:t>
      </w:r>
    </w:p>
    <w:p w:rsidR="005B49E1" w:rsidRPr="005B4041" w:rsidRDefault="005B49E1" w:rsidP="00091BB4">
      <w:pPr>
        <w:pStyle w:val="NormalSS"/>
        <w:ind w:left="720" w:firstLine="0"/>
        <w:jc w:val="left"/>
      </w:pPr>
      <w:r w:rsidRPr="005B4041">
        <w:t>david.butler@mdrc.org</w:t>
      </w:r>
    </w:p>
    <w:p w:rsidR="005B49E1" w:rsidRPr="005B4041" w:rsidRDefault="005B49E1" w:rsidP="00091BB4">
      <w:pPr>
        <w:pStyle w:val="NormalSS"/>
        <w:ind w:left="720" w:firstLine="0"/>
        <w:jc w:val="left"/>
      </w:pPr>
      <w:r w:rsidRPr="005B4041">
        <w:t>(212) 340-8621</w:t>
      </w:r>
    </w:p>
    <w:p w:rsidR="005B49E1" w:rsidRPr="005B4041" w:rsidRDefault="005B49E1" w:rsidP="00091BB4">
      <w:pPr>
        <w:pStyle w:val="NormalSS"/>
        <w:ind w:left="720" w:firstLine="0"/>
        <w:jc w:val="left"/>
      </w:pPr>
    </w:p>
    <w:p w:rsidR="005B49E1" w:rsidRPr="005B4041" w:rsidRDefault="005B49E1" w:rsidP="00091BB4">
      <w:pPr>
        <w:pStyle w:val="NormalSS"/>
        <w:ind w:left="720" w:firstLine="0"/>
        <w:jc w:val="left"/>
      </w:pPr>
      <w:r w:rsidRPr="005B4041">
        <w:t xml:space="preserve">Karen </w:t>
      </w:r>
      <w:proofErr w:type="spellStart"/>
      <w:r w:rsidRPr="005B4041">
        <w:t>CyBulski</w:t>
      </w:r>
      <w:proofErr w:type="spellEnd"/>
    </w:p>
    <w:p w:rsidR="005B49E1" w:rsidRPr="005B4041" w:rsidRDefault="005B49E1" w:rsidP="00091BB4">
      <w:pPr>
        <w:pStyle w:val="NormalSS"/>
        <w:ind w:left="720" w:firstLine="0"/>
        <w:jc w:val="left"/>
      </w:pPr>
      <w:r w:rsidRPr="005B4041">
        <w:t>MPR-NJ</w:t>
      </w:r>
    </w:p>
    <w:p w:rsidR="005B49E1" w:rsidRPr="005B4041" w:rsidRDefault="005B49E1" w:rsidP="00091BB4">
      <w:pPr>
        <w:pStyle w:val="NormalSS"/>
        <w:ind w:left="720" w:firstLine="0"/>
        <w:jc w:val="left"/>
      </w:pPr>
      <w:r w:rsidRPr="005B4041">
        <w:t>Survey Director</w:t>
      </w:r>
    </w:p>
    <w:p w:rsidR="005B49E1" w:rsidRPr="005B4041" w:rsidRDefault="005B49E1" w:rsidP="00091BB4">
      <w:pPr>
        <w:pStyle w:val="NormalSS"/>
        <w:ind w:left="720" w:firstLine="0"/>
        <w:jc w:val="left"/>
      </w:pPr>
      <w:r w:rsidRPr="005B4041">
        <w:t>kcybulski@mathematica-mpr.com</w:t>
      </w:r>
    </w:p>
    <w:p w:rsidR="005B49E1" w:rsidRPr="005B4041" w:rsidRDefault="005B49E1" w:rsidP="00091BB4">
      <w:pPr>
        <w:pStyle w:val="NormalSS"/>
        <w:ind w:left="720" w:firstLine="0"/>
        <w:jc w:val="left"/>
        <w:rPr>
          <w:lang w:val="fr-FR"/>
        </w:rPr>
      </w:pPr>
      <w:r w:rsidRPr="005B4041">
        <w:rPr>
          <w:lang w:val="fr-FR"/>
        </w:rPr>
        <w:t>(609) 936-2797</w:t>
      </w:r>
    </w:p>
    <w:p w:rsidR="005B49E1" w:rsidRPr="005B4041" w:rsidRDefault="005B49E1" w:rsidP="00091BB4">
      <w:pPr>
        <w:pStyle w:val="NormalSS"/>
        <w:ind w:left="720" w:firstLine="0"/>
        <w:jc w:val="left"/>
        <w:rPr>
          <w:lang w:val="fr-FR"/>
        </w:rPr>
      </w:pPr>
    </w:p>
    <w:p w:rsidR="005B49E1" w:rsidRPr="005B4041" w:rsidRDefault="005B49E1" w:rsidP="00091BB4">
      <w:pPr>
        <w:pStyle w:val="NormalSS"/>
        <w:ind w:left="720" w:firstLine="0"/>
        <w:jc w:val="left"/>
        <w:rPr>
          <w:lang w:val="fr-FR"/>
        </w:rPr>
      </w:pPr>
      <w:r w:rsidRPr="005B4041">
        <w:rPr>
          <w:lang w:val="fr-FR"/>
        </w:rPr>
        <w:t xml:space="preserve">Anu </w:t>
      </w:r>
      <w:proofErr w:type="spellStart"/>
      <w:r w:rsidRPr="005B4041">
        <w:rPr>
          <w:lang w:val="fr-FR"/>
        </w:rPr>
        <w:t>Rangarajan</w:t>
      </w:r>
      <w:proofErr w:type="spellEnd"/>
    </w:p>
    <w:p w:rsidR="005B49E1" w:rsidRPr="005B4041" w:rsidRDefault="005B49E1" w:rsidP="00091BB4">
      <w:pPr>
        <w:pStyle w:val="NormalSS"/>
        <w:ind w:left="720" w:firstLine="0"/>
        <w:jc w:val="left"/>
        <w:rPr>
          <w:lang w:val="fr-FR"/>
        </w:rPr>
      </w:pPr>
      <w:r w:rsidRPr="005B4041">
        <w:rPr>
          <w:lang w:val="fr-FR"/>
        </w:rPr>
        <w:t>MPR-NJ</w:t>
      </w:r>
    </w:p>
    <w:p w:rsidR="005B49E1" w:rsidRPr="005B4041" w:rsidRDefault="005B49E1" w:rsidP="00091BB4">
      <w:pPr>
        <w:pStyle w:val="NormalSS"/>
        <w:ind w:left="720" w:firstLine="0"/>
        <w:jc w:val="left"/>
      </w:pPr>
      <w:r w:rsidRPr="005B4041">
        <w:t>Leader of task force on evaluation</w:t>
      </w:r>
    </w:p>
    <w:p w:rsidR="005B49E1" w:rsidRPr="005B4041" w:rsidRDefault="005B49E1" w:rsidP="00091BB4">
      <w:pPr>
        <w:pStyle w:val="NormalSS"/>
        <w:ind w:left="720" w:firstLine="0"/>
        <w:jc w:val="left"/>
      </w:pPr>
      <w:r w:rsidRPr="005B4041">
        <w:t>arangarajan@mathematica-mpr.com</w:t>
      </w:r>
    </w:p>
    <w:p w:rsidR="005B49E1" w:rsidRPr="005B4041" w:rsidRDefault="005B49E1" w:rsidP="00091BB4">
      <w:pPr>
        <w:pStyle w:val="NormalSS"/>
        <w:ind w:left="720" w:firstLine="0"/>
        <w:jc w:val="left"/>
      </w:pPr>
      <w:r w:rsidRPr="005B4041">
        <w:t>(609) 936-2765</w:t>
      </w:r>
    </w:p>
    <w:p w:rsidR="005B49E1" w:rsidRPr="005B4041" w:rsidRDefault="005B49E1" w:rsidP="00091BB4">
      <w:pPr>
        <w:pStyle w:val="NormalSS"/>
        <w:ind w:left="720" w:firstLine="0"/>
        <w:jc w:val="left"/>
      </w:pPr>
    </w:p>
    <w:p w:rsidR="005B49E1" w:rsidRPr="005B4041" w:rsidRDefault="005B49E1" w:rsidP="00091BB4">
      <w:pPr>
        <w:pStyle w:val="NormalSS"/>
        <w:ind w:left="720" w:firstLine="0"/>
        <w:jc w:val="left"/>
      </w:pPr>
      <w:r w:rsidRPr="005B4041">
        <w:t>John Martinez</w:t>
      </w:r>
    </w:p>
    <w:p w:rsidR="005B49E1" w:rsidRPr="005B4041" w:rsidRDefault="005B49E1" w:rsidP="00091BB4">
      <w:pPr>
        <w:pStyle w:val="NormalSS"/>
        <w:ind w:left="720" w:firstLine="0"/>
        <w:jc w:val="left"/>
      </w:pPr>
      <w:r w:rsidRPr="005B4041">
        <w:t>MDRC-NY</w:t>
      </w:r>
    </w:p>
    <w:p w:rsidR="005B49E1" w:rsidRPr="005B4041" w:rsidRDefault="005B49E1" w:rsidP="00091BB4">
      <w:pPr>
        <w:pStyle w:val="NormalSS"/>
        <w:ind w:left="720" w:firstLine="0"/>
        <w:jc w:val="left"/>
      </w:pPr>
      <w:r w:rsidRPr="005B4041">
        <w:t>Leader of task force on pilot sites</w:t>
      </w:r>
    </w:p>
    <w:p w:rsidR="005B49E1" w:rsidRPr="005B4041" w:rsidRDefault="005B49E1" w:rsidP="00091BB4">
      <w:pPr>
        <w:pStyle w:val="NormalSS"/>
        <w:ind w:left="720" w:firstLine="0"/>
        <w:jc w:val="left"/>
      </w:pPr>
      <w:r w:rsidRPr="005B4041">
        <w:t>john.martinez@mdrc.org</w:t>
      </w:r>
    </w:p>
    <w:p w:rsidR="005B49E1" w:rsidRPr="005B4041" w:rsidRDefault="005B49E1" w:rsidP="00091BB4">
      <w:pPr>
        <w:pStyle w:val="NormalSS"/>
        <w:ind w:left="720" w:firstLine="0"/>
        <w:jc w:val="left"/>
        <w:rPr>
          <w:lang w:val="fr-FR"/>
        </w:rPr>
      </w:pPr>
      <w:r w:rsidRPr="005B4041">
        <w:rPr>
          <w:lang w:val="fr-FR"/>
        </w:rPr>
        <w:t>(212) 340-8690</w:t>
      </w:r>
    </w:p>
    <w:p w:rsidR="005B49E1" w:rsidRPr="005B4041" w:rsidRDefault="005B49E1" w:rsidP="00091BB4">
      <w:pPr>
        <w:pStyle w:val="NormalSS"/>
        <w:ind w:left="720" w:firstLine="0"/>
        <w:jc w:val="left"/>
        <w:rPr>
          <w:lang w:val="fr-FR"/>
        </w:rPr>
      </w:pPr>
    </w:p>
    <w:p w:rsidR="005B49E1" w:rsidRPr="005B4041" w:rsidRDefault="005B49E1" w:rsidP="00091BB4">
      <w:pPr>
        <w:pStyle w:val="NormalSS"/>
        <w:ind w:left="720" w:firstLine="0"/>
        <w:jc w:val="left"/>
        <w:rPr>
          <w:lang w:val="fr-FR"/>
        </w:rPr>
      </w:pPr>
    </w:p>
    <w:p w:rsidR="005B49E1" w:rsidRPr="005B4041" w:rsidRDefault="005B49E1" w:rsidP="00091BB4">
      <w:pPr>
        <w:ind w:left="720"/>
        <w:jc w:val="left"/>
      </w:pPr>
      <w:r w:rsidRPr="005B4041">
        <w:br w:type="column"/>
      </w:r>
    </w:p>
    <w:p w:rsidR="005B49E1" w:rsidRPr="005B4041" w:rsidRDefault="005B49E1" w:rsidP="00091BB4">
      <w:pPr>
        <w:pStyle w:val="NormalSS"/>
        <w:ind w:left="720" w:firstLine="0"/>
        <w:jc w:val="left"/>
        <w:rPr>
          <w:lang w:val="fr-FR"/>
        </w:rPr>
      </w:pPr>
      <w:r w:rsidRPr="005B4041">
        <w:rPr>
          <w:lang w:val="fr-FR"/>
        </w:rPr>
        <w:t xml:space="preserve">Anne </w:t>
      </w:r>
      <w:proofErr w:type="spellStart"/>
      <w:r w:rsidRPr="005B4041">
        <w:rPr>
          <w:lang w:val="fr-FR"/>
        </w:rPr>
        <w:t>Ciemnecki</w:t>
      </w:r>
      <w:proofErr w:type="spellEnd"/>
    </w:p>
    <w:p w:rsidR="005B49E1" w:rsidRPr="005B4041" w:rsidRDefault="005B49E1" w:rsidP="00091BB4">
      <w:pPr>
        <w:pStyle w:val="NormalSS"/>
        <w:ind w:left="720" w:firstLine="0"/>
        <w:jc w:val="left"/>
        <w:rPr>
          <w:lang w:val="fr-FR"/>
        </w:rPr>
      </w:pPr>
      <w:r w:rsidRPr="005B4041">
        <w:rPr>
          <w:lang w:val="fr-FR"/>
        </w:rPr>
        <w:t>MPR-NJ</w:t>
      </w:r>
    </w:p>
    <w:p w:rsidR="005B49E1" w:rsidRPr="005B4041" w:rsidRDefault="005B49E1" w:rsidP="00091BB4">
      <w:pPr>
        <w:pStyle w:val="NormalSS"/>
        <w:ind w:left="720" w:firstLine="0"/>
        <w:jc w:val="left"/>
      </w:pPr>
      <w:r w:rsidRPr="005B4041">
        <w:t>Senior Methodologist</w:t>
      </w:r>
    </w:p>
    <w:p w:rsidR="005B49E1" w:rsidRPr="005B4041" w:rsidRDefault="005B49E1" w:rsidP="00091BB4">
      <w:pPr>
        <w:pStyle w:val="NormalSS"/>
        <w:ind w:left="720" w:firstLine="0"/>
        <w:jc w:val="left"/>
      </w:pPr>
      <w:r w:rsidRPr="005B4041">
        <w:t>aciemnecki@mathematica-mpr.com</w:t>
      </w:r>
    </w:p>
    <w:p w:rsidR="005B49E1" w:rsidRPr="005B4041" w:rsidRDefault="005B49E1" w:rsidP="00091BB4">
      <w:pPr>
        <w:pStyle w:val="NormalSS"/>
        <w:ind w:left="720" w:firstLine="0"/>
        <w:jc w:val="left"/>
      </w:pPr>
      <w:r w:rsidRPr="005B4041">
        <w:t>(609) 275-2323</w:t>
      </w:r>
    </w:p>
    <w:p w:rsidR="005B49E1" w:rsidRPr="005B4041" w:rsidRDefault="005B49E1" w:rsidP="00091BB4">
      <w:pPr>
        <w:pStyle w:val="NormalSS"/>
        <w:ind w:left="720" w:firstLine="0"/>
        <w:jc w:val="left"/>
      </w:pPr>
    </w:p>
    <w:p w:rsidR="005B49E1" w:rsidRPr="005B4041" w:rsidRDefault="005B49E1" w:rsidP="00091BB4">
      <w:pPr>
        <w:pStyle w:val="NormalSS"/>
        <w:ind w:left="720" w:firstLine="0"/>
        <w:jc w:val="left"/>
      </w:pPr>
      <w:r w:rsidRPr="005B4041">
        <w:t xml:space="preserve">Richard </w:t>
      </w:r>
      <w:proofErr w:type="spellStart"/>
      <w:r w:rsidRPr="005B4041">
        <w:t>Luecking</w:t>
      </w:r>
      <w:proofErr w:type="spellEnd"/>
    </w:p>
    <w:p w:rsidR="005B49E1" w:rsidRPr="005B4041" w:rsidRDefault="005B49E1" w:rsidP="00091BB4">
      <w:pPr>
        <w:pStyle w:val="NormalSS"/>
        <w:ind w:left="720" w:firstLine="0"/>
        <w:jc w:val="left"/>
      </w:pPr>
      <w:proofErr w:type="spellStart"/>
      <w:r w:rsidRPr="005B4041">
        <w:t>TransCen</w:t>
      </w:r>
      <w:proofErr w:type="spellEnd"/>
    </w:p>
    <w:p w:rsidR="005B49E1" w:rsidRPr="005B4041" w:rsidRDefault="005B49E1" w:rsidP="00091BB4">
      <w:pPr>
        <w:pStyle w:val="NormalSS"/>
        <w:ind w:left="720" w:firstLine="0"/>
        <w:jc w:val="left"/>
      </w:pPr>
      <w:r w:rsidRPr="005B4041">
        <w:t>President, Programmatic TA</w:t>
      </w:r>
    </w:p>
    <w:p w:rsidR="005B49E1" w:rsidRPr="005B4041" w:rsidRDefault="005B49E1" w:rsidP="00091BB4">
      <w:pPr>
        <w:pStyle w:val="NormalSS"/>
        <w:ind w:left="720" w:firstLine="0"/>
        <w:jc w:val="left"/>
      </w:pPr>
      <w:r w:rsidRPr="005B4041">
        <w:t>rluecking@transcen.org</w:t>
      </w:r>
    </w:p>
    <w:p w:rsidR="005B49E1" w:rsidRPr="005B4041" w:rsidRDefault="005B49E1" w:rsidP="00091BB4">
      <w:pPr>
        <w:pStyle w:val="NormalSS"/>
        <w:ind w:left="720" w:firstLine="0"/>
        <w:jc w:val="left"/>
      </w:pPr>
      <w:r w:rsidRPr="005B4041">
        <w:t>(301) 424-2002 x230</w:t>
      </w:r>
    </w:p>
    <w:p w:rsidR="005B49E1" w:rsidRPr="005B4041" w:rsidRDefault="005B49E1" w:rsidP="00091BB4">
      <w:pPr>
        <w:pStyle w:val="NormalSS"/>
        <w:ind w:left="720" w:firstLine="0"/>
        <w:jc w:val="left"/>
      </w:pPr>
    </w:p>
    <w:p w:rsidR="005B49E1" w:rsidRPr="005B4041" w:rsidRDefault="005B49E1" w:rsidP="00091BB4">
      <w:pPr>
        <w:pStyle w:val="NormalSS"/>
        <w:ind w:left="720" w:firstLine="0"/>
        <w:jc w:val="left"/>
      </w:pPr>
      <w:r w:rsidRPr="005B4041">
        <w:t>Matt Schubert</w:t>
      </w:r>
    </w:p>
    <w:p w:rsidR="005B49E1" w:rsidRPr="005B4041" w:rsidRDefault="005B49E1" w:rsidP="00091BB4">
      <w:pPr>
        <w:pStyle w:val="NormalSS"/>
        <w:ind w:left="720" w:firstLine="0"/>
        <w:jc w:val="left"/>
      </w:pPr>
      <w:r w:rsidRPr="005B4041">
        <w:t>Social Solutions</w:t>
      </w:r>
    </w:p>
    <w:p w:rsidR="005B49E1" w:rsidRPr="005B4041" w:rsidRDefault="005B49E1" w:rsidP="00091BB4">
      <w:pPr>
        <w:pStyle w:val="NormalSS"/>
        <w:ind w:left="720" w:firstLine="0"/>
        <w:jc w:val="left"/>
      </w:pPr>
      <w:r w:rsidRPr="005B4041">
        <w:t>CEO, ETO</w:t>
      </w:r>
    </w:p>
    <w:p w:rsidR="005B49E1" w:rsidRPr="005B4041" w:rsidRDefault="005B49E1" w:rsidP="00091BB4">
      <w:pPr>
        <w:pStyle w:val="NormalSS"/>
        <w:ind w:left="720" w:firstLine="0"/>
        <w:jc w:val="left"/>
      </w:pPr>
      <w:r w:rsidRPr="005B4041">
        <w:t>matt@socialsolutionsonline.com</w:t>
      </w:r>
    </w:p>
    <w:p w:rsidR="005B49E1" w:rsidRPr="005B4041" w:rsidRDefault="005B49E1" w:rsidP="00091BB4">
      <w:pPr>
        <w:pStyle w:val="NormalSS"/>
        <w:ind w:left="720" w:firstLine="0"/>
        <w:jc w:val="left"/>
      </w:pPr>
      <w:r w:rsidRPr="005B4041">
        <w:t>(410) 732-3560</w:t>
      </w:r>
    </w:p>
    <w:p w:rsidR="005B49E1" w:rsidRPr="005B4041" w:rsidRDefault="005B49E1" w:rsidP="00091BB4">
      <w:pPr>
        <w:pStyle w:val="NormalSS"/>
        <w:ind w:left="720" w:firstLine="0"/>
        <w:jc w:val="left"/>
      </w:pPr>
    </w:p>
    <w:p w:rsidR="005B49E1" w:rsidRPr="005B4041" w:rsidRDefault="005B49E1" w:rsidP="00091BB4">
      <w:pPr>
        <w:pStyle w:val="NormalSS"/>
        <w:ind w:left="720" w:firstLine="0"/>
        <w:jc w:val="left"/>
      </w:pPr>
      <w:r w:rsidRPr="005B4041">
        <w:t>Kelli Crane</w:t>
      </w:r>
    </w:p>
    <w:p w:rsidR="005B49E1" w:rsidRPr="005B4041" w:rsidRDefault="005B49E1" w:rsidP="00091BB4">
      <w:pPr>
        <w:pStyle w:val="NormalSS"/>
        <w:ind w:left="720" w:firstLine="0"/>
        <w:jc w:val="left"/>
      </w:pPr>
      <w:proofErr w:type="spellStart"/>
      <w:r w:rsidRPr="005B4041">
        <w:t>TransCen</w:t>
      </w:r>
      <w:proofErr w:type="spellEnd"/>
    </w:p>
    <w:p w:rsidR="005B49E1" w:rsidRPr="005B4041" w:rsidRDefault="005B49E1" w:rsidP="00091BB4">
      <w:pPr>
        <w:pStyle w:val="NormalSS"/>
        <w:ind w:left="720" w:firstLine="0"/>
        <w:jc w:val="left"/>
      </w:pPr>
      <w:r w:rsidRPr="005B4041">
        <w:t>Director, programmatic TA</w:t>
      </w:r>
    </w:p>
    <w:p w:rsidR="005B49E1" w:rsidRPr="005B4041" w:rsidRDefault="005B49E1" w:rsidP="00091BB4">
      <w:pPr>
        <w:pStyle w:val="NormalSS"/>
        <w:ind w:left="720" w:firstLine="0"/>
        <w:jc w:val="left"/>
      </w:pPr>
      <w:r w:rsidRPr="005B4041">
        <w:t>kcrane@transcen.org</w:t>
      </w:r>
    </w:p>
    <w:p w:rsidR="005B49E1" w:rsidRPr="005B4041" w:rsidRDefault="005B49E1" w:rsidP="00091BB4">
      <w:pPr>
        <w:pStyle w:val="NormalSS"/>
        <w:ind w:left="720" w:firstLine="0"/>
        <w:jc w:val="left"/>
      </w:pPr>
      <w:r w:rsidRPr="005B4041">
        <w:t>(240) 418-2684</w:t>
      </w:r>
    </w:p>
    <w:p w:rsidR="005B49E1" w:rsidRPr="005B4041" w:rsidRDefault="005B49E1" w:rsidP="00091BB4">
      <w:pPr>
        <w:pStyle w:val="NormalSS"/>
        <w:ind w:left="720" w:firstLine="0"/>
        <w:jc w:val="left"/>
      </w:pPr>
    </w:p>
    <w:p w:rsidR="005B49E1" w:rsidRPr="005B4041" w:rsidRDefault="005B49E1" w:rsidP="00091BB4">
      <w:pPr>
        <w:jc w:val="left"/>
      </w:pPr>
    </w:p>
    <w:p w:rsidR="005B49E1" w:rsidRPr="005B4041" w:rsidRDefault="005B49E1" w:rsidP="00091BB4">
      <w:pPr>
        <w:ind w:firstLine="0"/>
        <w:jc w:val="left"/>
        <w:sectPr w:rsidR="005B49E1" w:rsidRPr="005B4041">
          <w:type w:val="continuous"/>
          <w:pgSz w:w="12240" w:h="15840"/>
          <w:pgMar w:top="1440" w:right="1440" w:bottom="632" w:left="1440" w:header="720" w:footer="576" w:gutter="0"/>
          <w:cols w:space="720"/>
          <w:docGrid w:linePitch="240"/>
        </w:sectPr>
      </w:pPr>
    </w:p>
    <w:p w:rsidR="005B49E1" w:rsidRPr="005B4041" w:rsidRDefault="005B49E1" w:rsidP="00091BB4">
      <w:pPr>
        <w:pStyle w:val="NormalSS"/>
        <w:ind w:left="720" w:firstLine="0"/>
        <w:jc w:val="left"/>
      </w:pPr>
      <w:r w:rsidRPr="005B4041">
        <w:lastRenderedPageBreak/>
        <w:t xml:space="preserve">In addition, SSA has convened a technical working group with these members: </w:t>
      </w:r>
    </w:p>
    <w:p w:rsidR="005B49E1" w:rsidRPr="005B4041" w:rsidRDefault="005B49E1" w:rsidP="00091BB4">
      <w:pPr>
        <w:pStyle w:val="NormalSS"/>
        <w:jc w:val="left"/>
        <w:rPr>
          <w:b/>
          <w:bCs/>
        </w:rPr>
      </w:pPr>
    </w:p>
    <w:p w:rsidR="005B49E1" w:rsidRPr="005B4041" w:rsidRDefault="005B49E1" w:rsidP="00091BB4">
      <w:pPr>
        <w:jc w:val="left"/>
        <w:sectPr w:rsidR="005B49E1" w:rsidRPr="005B4041">
          <w:footerReference w:type="default" r:id="rId9"/>
          <w:pgSz w:w="12240" w:h="15840"/>
          <w:pgMar w:top="1440" w:right="1440" w:bottom="632" w:left="1440" w:header="720" w:footer="576" w:gutter="0"/>
          <w:cols w:space="720"/>
          <w:docGrid w:linePitch="240"/>
        </w:sectPr>
      </w:pPr>
    </w:p>
    <w:p w:rsidR="005B49E1" w:rsidRPr="005B4041" w:rsidRDefault="005B49E1" w:rsidP="00091BB4">
      <w:pPr>
        <w:pStyle w:val="NormalSS"/>
        <w:ind w:left="720" w:firstLine="0"/>
        <w:jc w:val="left"/>
      </w:pPr>
      <w:r w:rsidRPr="005B4041">
        <w:lastRenderedPageBreak/>
        <w:t xml:space="preserve">Harold </w:t>
      </w:r>
      <w:proofErr w:type="spellStart"/>
      <w:r w:rsidRPr="005B4041">
        <w:t>Beebout</w:t>
      </w:r>
      <w:proofErr w:type="spellEnd"/>
    </w:p>
    <w:p w:rsidR="005B49E1" w:rsidRPr="005B4041" w:rsidRDefault="005B49E1" w:rsidP="00091BB4">
      <w:pPr>
        <w:pStyle w:val="NormalSS"/>
        <w:ind w:left="720" w:firstLine="0"/>
        <w:jc w:val="left"/>
      </w:pPr>
      <w:r w:rsidRPr="005B4041">
        <w:t>Independent Consultant</w:t>
      </w:r>
    </w:p>
    <w:p w:rsidR="005B49E1" w:rsidRPr="005B4041" w:rsidRDefault="008872FB" w:rsidP="00091BB4">
      <w:pPr>
        <w:pStyle w:val="NormalSS"/>
        <w:ind w:left="720" w:firstLine="0"/>
        <w:jc w:val="left"/>
      </w:pPr>
      <w:hyperlink r:id="rId10" w:history="1">
        <w:r w:rsidR="005B49E1" w:rsidRPr="005B4041">
          <w:rPr>
            <w:rStyle w:val="Hyperlink"/>
          </w:rPr>
          <w:t>beebout@erols.com</w:t>
        </w:r>
      </w:hyperlink>
    </w:p>
    <w:p w:rsidR="005B49E1" w:rsidRPr="005B4041" w:rsidRDefault="005B49E1" w:rsidP="00091BB4">
      <w:pPr>
        <w:pStyle w:val="NormalSS"/>
        <w:ind w:left="720" w:firstLine="0"/>
        <w:jc w:val="left"/>
      </w:pPr>
      <w:r w:rsidRPr="005B4041">
        <w:t>(540) 987-3320</w:t>
      </w:r>
    </w:p>
    <w:p w:rsidR="005B49E1" w:rsidRPr="005B4041" w:rsidRDefault="005B49E1" w:rsidP="00091BB4">
      <w:pPr>
        <w:pStyle w:val="NormalSS"/>
        <w:ind w:left="720" w:firstLine="0"/>
        <w:jc w:val="left"/>
      </w:pPr>
    </w:p>
    <w:p w:rsidR="005B49E1" w:rsidRPr="005B4041" w:rsidRDefault="005B49E1" w:rsidP="00091BB4">
      <w:pPr>
        <w:pStyle w:val="NormalSS"/>
        <w:tabs>
          <w:tab w:val="clear" w:pos="432"/>
          <w:tab w:val="left" w:pos="810"/>
        </w:tabs>
        <w:ind w:left="720" w:firstLine="0"/>
        <w:jc w:val="left"/>
      </w:pPr>
      <w:r w:rsidRPr="005B4041">
        <w:t>Michael Callahan</w:t>
      </w:r>
    </w:p>
    <w:p w:rsidR="005B49E1" w:rsidRPr="005B4041" w:rsidRDefault="005B49E1" w:rsidP="00091BB4">
      <w:pPr>
        <w:pStyle w:val="NormalSS"/>
        <w:tabs>
          <w:tab w:val="clear" w:pos="432"/>
          <w:tab w:val="left" w:pos="110"/>
        </w:tabs>
        <w:ind w:left="720" w:firstLine="0"/>
        <w:jc w:val="left"/>
      </w:pPr>
      <w:r w:rsidRPr="005B4041">
        <w:t>Marc Gold &amp; Associates/Employment for All</w:t>
      </w:r>
    </w:p>
    <w:p w:rsidR="005B49E1" w:rsidRPr="005B4041" w:rsidRDefault="008872FB" w:rsidP="00091BB4">
      <w:pPr>
        <w:pStyle w:val="NormalSS"/>
        <w:ind w:left="720" w:firstLine="55"/>
        <w:jc w:val="left"/>
      </w:pPr>
      <w:hyperlink r:id="rId11" w:history="1">
        <w:r w:rsidR="005B49E1" w:rsidRPr="005B4041">
          <w:rPr>
            <w:rStyle w:val="Hyperlink"/>
          </w:rPr>
          <w:t>micallahan@aol.com</w:t>
        </w:r>
      </w:hyperlink>
    </w:p>
    <w:p w:rsidR="005B49E1" w:rsidRPr="005B4041" w:rsidRDefault="005B49E1" w:rsidP="00091BB4">
      <w:pPr>
        <w:pStyle w:val="NormalSS"/>
        <w:ind w:left="720" w:firstLine="55"/>
        <w:jc w:val="left"/>
      </w:pPr>
      <w:r w:rsidRPr="005B4041">
        <w:t>(228) 497-6999</w:t>
      </w:r>
    </w:p>
    <w:p w:rsidR="005B49E1" w:rsidRPr="005B4041" w:rsidRDefault="005B49E1" w:rsidP="00091BB4">
      <w:pPr>
        <w:pStyle w:val="NormalSS"/>
        <w:ind w:left="720" w:firstLine="55"/>
        <w:jc w:val="left"/>
      </w:pPr>
      <w:r w:rsidRPr="005B4041">
        <w:t>(228) 497-6966</w:t>
      </w:r>
    </w:p>
    <w:p w:rsidR="005B49E1" w:rsidRPr="005B4041" w:rsidRDefault="005B49E1" w:rsidP="00091BB4">
      <w:pPr>
        <w:pStyle w:val="NormalSS"/>
        <w:ind w:left="720" w:firstLine="0"/>
        <w:jc w:val="left"/>
      </w:pPr>
    </w:p>
    <w:p w:rsidR="005B49E1" w:rsidRPr="005B4041" w:rsidRDefault="005B49E1" w:rsidP="00091BB4">
      <w:pPr>
        <w:pStyle w:val="NormalSS"/>
        <w:ind w:left="720" w:firstLine="0"/>
        <w:jc w:val="left"/>
      </w:pPr>
      <w:proofErr w:type="spellStart"/>
      <w:r w:rsidRPr="005B4041">
        <w:t>Nancye</w:t>
      </w:r>
      <w:proofErr w:type="spellEnd"/>
      <w:r w:rsidRPr="005B4041">
        <w:t xml:space="preserve"> Campbell</w:t>
      </w:r>
    </w:p>
    <w:p w:rsidR="005B49E1" w:rsidRPr="005B4041" w:rsidRDefault="005B49E1" w:rsidP="00091BB4">
      <w:pPr>
        <w:pStyle w:val="NormalSS"/>
        <w:ind w:left="720" w:firstLine="0"/>
        <w:jc w:val="left"/>
      </w:pPr>
      <w:r w:rsidRPr="005B4041">
        <w:t>DHHS/ACF</w:t>
      </w:r>
    </w:p>
    <w:p w:rsidR="005B49E1" w:rsidRPr="005B4041" w:rsidRDefault="008872FB" w:rsidP="00091BB4">
      <w:pPr>
        <w:pStyle w:val="NormalSS"/>
        <w:ind w:left="720" w:firstLine="0"/>
        <w:jc w:val="left"/>
      </w:pPr>
      <w:hyperlink r:id="rId12" w:history="1">
        <w:r w:rsidR="005B49E1" w:rsidRPr="005B4041">
          <w:rPr>
            <w:rStyle w:val="Hyperlink"/>
          </w:rPr>
          <w:t>ncampbell@acf.hhs.gov</w:t>
        </w:r>
      </w:hyperlink>
    </w:p>
    <w:p w:rsidR="005B49E1" w:rsidRPr="005B4041" w:rsidRDefault="005B49E1" w:rsidP="00091BB4">
      <w:pPr>
        <w:pStyle w:val="NormalSS"/>
        <w:ind w:left="720" w:firstLine="0"/>
        <w:jc w:val="left"/>
      </w:pPr>
      <w:r w:rsidRPr="005B4041">
        <w:t>(202) 401-5760</w:t>
      </w:r>
    </w:p>
    <w:p w:rsidR="005B49E1" w:rsidRPr="005B4041" w:rsidRDefault="005B49E1" w:rsidP="00091BB4">
      <w:pPr>
        <w:pStyle w:val="NormalSS"/>
        <w:ind w:left="720" w:firstLine="0"/>
        <w:jc w:val="left"/>
      </w:pPr>
    </w:p>
    <w:p w:rsidR="005B49E1" w:rsidRPr="005B4041" w:rsidRDefault="005B49E1" w:rsidP="00091BB4">
      <w:pPr>
        <w:pStyle w:val="NormalSS"/>
        <w:ind w:left="720" w:firstLine="0"/>
        <w:jc w:val="left"/>
      </w:pPr>
      <w:r w:rsidRPr="005B4041">
        <w:t>Elizabeth McGuire</w:t>
      </w:r>
    </w:p>
    <w:p w:rsidR="005B49E1" w:rsidRPr="005B4041" w:rsidRDefault="005B49E1" w:rsidP="00091BB4">
      <w:pPr>
        <w:pStyle w:val="NormalSS"/>
        <w:ind w:left="720" w:firstLine="0"/>
        <w:jc w:val="left"/>
      </w:pPr>
      <w:r w:rsidRPr="005B4041">
        <w:t>DHHS/HRSA</w:t>
      </w:r>
    </w:p>
    <w:p w:rsidR="005B49E1" w:rsidRPr="005B4041" w:rsidRDefault="005B49E1" w:rsidP="00091BB4">
      <w:pPr>
        <w:pStyle w:val="NormalSS"/>
        <w:ind w:left="720" w:firstLine="0"/>
        <w:jc w:val="left"/>
      </w:pPr>
      <w:r w:rsidRPr="005B4041">
        <w:t>emcguire@hrsa.gov</w:t>
      </w:r>
    </w:p>
    <w:p w:rsidR="005B49E1" w:rsidRPr="005B4041" w:rsidRDefault="005B49E1" w:rsidP="00091BB4">
      <w:pPr>
        <w:pStyle w:val="NormalSS"/>
        <w:ind w:left="720" w:firstLine="0"/>
        <w:jc w:val="left"/>
      </w:pPr>
      <w:r w:rsidRPr="005B4041">
        <w:t>(301) 443-9290</w:t>
      </w:r>
    </w:p>
    <w:p w:rsidR="005B49E1" w:rsidRPr="005B4041" w:rsidRDefault="005B49E1" w:rsidP="00091BB4">
      <w:pPr>
        <w:pStyle w:val="NormalSS"/>
        <w:ind w:left="720" w:firstLine="0"/>
        <w:jc w:val="left"/>
      </w:pPr>
    </w:p>
    <w:p w:rsidR="005B49E1" w:rsidRPr="005B4041" w:rsidRDefault="005B49E1" w:rsidP="00091BB4">
      <w:pPr>
        <w:pStyle w:val="NormalSS"/>
        <w:ind w:left="720" w:firstLine="0"/>
        <w:jc w:val="left"/>
      </w:pPr>
      <w:r w:rsidRPr="005B4041">
        <w:t xml:space="preserve">Alexandra </w:t>
      </w:r>
      <w:proofErr w:type="spellStart"/>
      <w:r w:rsidRPr="005B4041">
        <w:t>Kielty</w:t>
      </w:r>
      <w:proofErr w:type="spellEnd"/>
    </w:p>
    <w:p w:rsidR="005B49E1" w:rsidRPr="005B4041" w:rsidRDefault="005B49E1" w:rsidP="00091BB4">
      <w:pPr>
        <w:pStyle w:val="NormalSS"/>
        <w:ind w:left="720" w:firstLine="0"/>
        <w:jc w:val="left"/>
      </w:pPr>
      <w:r w:rsidRPr="005B4041">
        <w:t>USDOL/ETA</w:t>
      </w:r>
    </w:p>
    <w:p w:rsidR="005B49E1" w:rsidRPr="005B4041" w:rsidRDefault="008872FB" w:rsidP="00091BB4">
      <w:pPr>
        <w:pStyle w:val="NormalSS"/>
        <w:ind w:left="720" w:firstLine="0"/>
        <w:jc w:val="left"/>
      </w:pPr>
      <w:hyperlink r:id="rId13" w:history="1">
        <w:r w:rsidR="005B49E1" w:rsidRPr="005B4041">
          <w:rPr>
            <w:rStyle w:val="Hyperlink"/>
          </w:rPr>
          <w:t>kielty.alexandra@dol.gov</w:t>
        </w:r>
      </w:hyperlink>
    </w:p>
    <w:p w:rsidR="005B49E1" w:rsidRPr="005B4041" w:rsidRDefault="005B49E1" w:rsidP="00091BB4">
      <w:pPr>
        <w:pStyle w:val="NormalSS"/>
        <w:ind w:left="720" w:firstLine="0"/>
        <w:jc w:val="left"/>
      </w:pPr>
      <w:r w:rsidRPr="005B4041">
        <w:t>(202) 693-3730</w:t>
      </w:r>
    </w:p>
    <w:p w:rsidR="005B49E1" w:rsidRPr="005B4041" w:rsidRDefault="005B49E1" w:rsidP="00091BB4">
      <w:pPr>
        <w:pStyle w:val="NormalSS"/>
        <w:ind w:left="720" w:firstLine="0"/>
        <w:jc w:val="left"/>
      </w:pPr>
      <w:r w:rsidRPr="005B4041">
        <w:t>(202) 693-3818</w:t>
      </w:r>
    </w:p>
    <w:p w:rsidR="005B49E1" w:rsidRPr="005B4041" w:rsidRDefault="005B49E1" w:rsidP="00091BB4">
      <w:pPr>
        <w:pStyle w:val="NormalSS"/>
        <w:ind w:firstLine="55"/>
        <w:jc w:val="left"/>
      </w:pPr>
    </w:p>
    <w:p w:rsidR="005B49E1" w:rsidRPr="005B4041" w:rsidRDefault="005B49E1" w:rsidP="00091BB4">
      <w:pPr>
        <w:jc w:val="left"/>
      </w:pPr>
      <w:r w:rsidRPr="005B4041">
        <w:br w:type="column"/>
      </w:r>
    </w:p>
    <w:p w:rsidR="005B49E1" w:rsidRPr="005B4041" w:rsidRDefault="005B49E1" w:rsidP="00091BB4">
      <w:pPr>
        <w:pStyle w:val="NormalSS"/>
        <w:ind w:firstLine="55"/>
        <w:jc w:val="left"/>
      </w:pPr>
      <w:r w:rsidRPr="005B4041">
        <w:t xml:space="preserve">K. Charlie </w:t>
      </w:r>
      <w:proofErr w:type="spellStart"/>
      <w:r w:rsidRPr="005B4041">
        <w:t>Lakin</w:t>
      </w:r>
      <w:proofErr w:type="spellEnd"/>
    </w:p>
    <w:p w:rsidR="005B49E1" w:rsidRPr="005B4041" w:rsidRDefault="005B49E1" w:rsidP="00091BB4">
      <w:pPr>
        <w:pStyle w:val="NormalSS"/>
        <w:ind w:firstLine="55"/>
        <w:jc w:val="left"/>
      </w:pPr>
      <w:smartTag w:uri="urn:schemas-microsoft-com:office:smarttags" w:element="place">
        <w:smartTag w:uri="urn:schemas-microsoft-com:office:smarttags" w:element="PlaceType">
          <w:r w:rsidRPr="005B4041">
            <w:t>University</w:t>
          </w:r>
        </w:smartTag>
        <w:r w:rsidRPr="005B4041">
          <w:t xml:space="preserve"> of </w:t>
        </w:r>
        <w:smartTag w:uri="urn:schemas-microsoft-com:office:smarttags" w:element="PlaceName">
          <w:r w:rsidRPr="005B4041">
            <w:t>Minnesota</w:t>
          </w:r>
        </w:smartTag>
      </w:smartTag>
    </w:p>
    <w:p w:rsidR="005B49E1" w:rsidRPr="005B4041" w:rsidRDefault="008872FB" w:rsidP="00091BB4">
      <w:pPr>
        <w:pStyle w:val="NormalSS"/>
        <w:ind w:firstLine="55"/>
        <w:jc w:val="left"/>
      </w:pPr>
      <w:hyperlink r:id="rId14" w:history="1">
        <w:r w:rsidR="005B49E1" w:rsidRPr="005B4041">
          <w:rPr>
            <w:rStyle w:val="Hyperlink"/>
          </w:rPr>
          <w:t>lakin001@umn.edu</w:t>
        </w:r>
      </w:hyperlink>
    </w:p>
    <w:p w:rsidR="005B49E1" w:rsidRPr="005B4041" w:rsidRDefault="005B49E1" w:rsidP="00091BB4">
      <w:pPr>
        <w:pStyle w:val="NormalSS"/>
        <w:ind w:firstLine="55"/>
        <w:jc w:val="left"/>
      </w:pPr>
      <w:r w:rsidRPr="005B4041">
        <w:t>(612) 624-5005</w:t>
      </w:r>
    </w:p>
    <w:p w:rsidR="005B49E1" w:rsidRPr="005B4041" w:rsidRDefault="005B49E1" w:rsidP="00091BB4">
      <w:pPr>
        <w:pStyle w:val="NormalSS"/>
        <w:ind w:firstLine="55"/>
        <w:jc w:val="left"/>
      </w:pPr>
      <w:r w:rsidRPr="005B4041">
        <w:t>(612) 625-6619</w:t>
      </w:r>
    </w:p>
    <w:p w:rsidR="005B49E1" w:rsidRPr="005B4041" w:rsidRDefault="005B49E1" w:rsidP="00091BB4">
      <w:pPr>
        <w:pStyle w:val="NormalSS"/>
        <w:jc w:val="left"/>
      </w:pPr>
    </w:p>
    <w:p w:rsidR="005B49E1" w:rsidRPr="005B4041" w:rsidRDefault="005B49E1" w:rsidP="00091BB4">
      <w:pPr>
        <w:pStyle w:val="NormalSS"/>
        <w:ind w:firstLine="55"/>
        <w:jc w:val="left"/>
      </w:pPr>
      <w:r w:rsidRPr="005B4041">
        <w:t>Rebecca Maynard</w:t>
      </w:r>
    </w:p>
    <w:p w:rsidR="005B49E1" w:rsidRPr="005B4041" w:rsidRDefault="005B49E1" w:rsidP="00091BB4">
      <w:pPr>
        <w:pStyle w:val="NormalSS"/>
        <w:ind w:firstLine="55"/>
        <w:jc w:val="left"/>
      </w:pPr>
      <w:smartTag w:uri="urn:schemas-microsoft-com:office:smarttags" w:element="place">
        <w:smartTag w:uri="urn:schemas-microsoft-com:office:smarttags" w:element="PlaceType">
          <w:r w:rsidRPr="005B4041">
            <w:t>University</w:t>
          </w:r>
        </w:smartTag>
        <w:r w:rsidRPr="005B4041">
          <w:t xml:space="preserve"> of </w:t>
        </w:r>
        <w:smartTag w:uri="urn:schemas-microsoft-com:office:smarttags" w:element="PlaceName">
          <w:r w:rsidRPr="005B4041">
            <w:t>Pennsylvania</w:t>
          </w:r>
        </w:smartTag>
      </w:smartTag>
    </w:p>
    <w:p w:rsidR="005B49E1" w:rsidRPr="005B4041" w:rsidRDefault="008872FB" w:rsidP="00091BB4">
      <w:pPr>
        <w:pStyle w:val="NormalSS"/>
        <w:ind w:firstLine="55"/>
        <w:jc w:val="left"/>
      </w:pPr>
      <w:hyperlink r:id="rId15" w:history="1">
        <w:r w:rsidR="005B49E1" w:rsidRPr="005B4041">
          <w:rPr>
            <w:rStyle w:val="Hyperlink"/>
          </w:rPr>
          <w:t>rmaynard@gse.upenn.edu</w:t>
        </w:r>
      </w:hyperlink>
    </w:p>
    <w:p w:rsidR="005B49E1" w:rsidRPr="005B4041" w:rsidRDefault="005B49E1" w:rsidP="00091BB4">
      <w:pPr>
        <w:pStyle w:val="NormalSS"/>
        <w:ind w:firstLine="55"/>
        <w:jc w:val="left"/>
      </w:pPr>
      <w:r w:rsidRPr="005B4041">
        <w:t>(215) 898-3558</w:t>
      </w:r>
    </w:p>
    <w:p w:rsidR="005B49E1" w:rsidRPr="005B4041" w:rsidRDefault="005B49E1" w:rsidP="00091BB4">
      <w:pPr>
        <w:pStyle w:val="NormalSS"/>
        <w:jc w:val="left"/>
      </w:pPr>
    </w:p>
    <w:p w:rsidR="005B49E1" w:rsidRPr="005B4041" w:rsidRDefault="005B49E1" w:rsidP="00091BB4">
      <w:pPr>
        <w:pStyle w:val="NormalSS"/>
        <w:ind w:firstLine="55"/>
        <w:jc w:val="left"/>
      </w:pPr>
      <w:r w:rsidRPr="005B4041">
        <w:t xml:space="preserve">Howard </w:t>
      </w:r>
      <w:proofErr w:type="spellStart"/>
      <w:r w:rsidRPr="005B4041">
        <w:t>Rolston</w:t>
      </w:r>
      <w:proofErr w:type="spellEnd"/>
    </w:p>
    <w:p w:rsidR="005B49E1" w:rsidRPr="005B4041" w:rsidRDefault="005B49E1" w:rsidP="00091BB4">
      <w:pPr>
        <w:pStyle w:val="NormalSS"/>
        <w:ind w:firstLine="55"/>
        <w:jc w:val="left"/>
      </w:pPr>
      <w:proofErr w:type="spellStart"/>
      <w:r w:rsidRPr="005B4041">
        <w:t>Abt</w:t>
      </w:r>
      <w:proofErr w:type="spellEnd"/>
      <w:r w:rsidRPr="005B4041">
        <w:t xml:space="preserve"> Associates</w:t>
      </w:r>
    </w:p>
    <w:p w:rsidR="005B49E1" w:rsidRPr="005B4041" w:rsidRDefault="008872FB" w:rsidP="00091BB4">
      <w:pPr>
        <w:pStyle w:val="NormalSS"/>
        <w:ind w:firstLine="55"/>
        <w:jc w:val="left"/>
      </w:pPr>
      <w:hyperlink r:id="rId16" w:history="1">
        <w:r w:rsidR="005B49E1" w:rsidRPr="005B4041">
          <w:rPr>
            <w:rStyle w:val="Hyperlink"/>
          </w:rPr>
          <w:t>howard.rolston@verizon.net</w:t>
        </w:r>
      </w:hyperlink>
    </w:p>
    <w:p w:rsidR="005B49E1" w:rsidRPr="005B4041" w:rsidRDefault="005B49E1" w:rsidP="00091BB4">
      <w:pPr>
        <w:pStyle w:val="NormalSS"/>
        <w:ind w:firstLine="55"/>
        <w:jc w:val="left"/>
      </w:pPr>
      <w:r w:rsidRPr="005B4041">
        <w:t>703-532-4195</w:t>
      </w:r>
    </w:p>
    <w:p w:rsidR="005B49E1" w:rsidRPr="005B4041" w:rsidRDefault="005B49E1" w:rsidP="00091BB4">
      <w:pPr>
        <w:pStyle w:val="NormalSS"/>
        <w:ind w:firstLine="55"/>
        <w:jc w:val="left"/>
      </w:pPr>
    </w:p>
    <w:p w:rsidR="005B49E1" w:rsidRPr="005B4041" w:rsidRDefault="005B49E1" w:rsidP="00091BB4">
      <w:pPr>
        <w:pStyle w:val="NormalSS"/>
        <w:ind w:firstLine="55"/>
        <w:jc w:val="left"/>
      </w:pPr>
      <w:r w:rsidRPr="005B4041">
        <w:t xml:space="preserve">Betsy </w:t>
      </w:r>
      <w:proofErr w:type="spellStart"/>
      <w:r w:rsidRPr="005B4041">
        <w:t>Valnes</w:t>
      </w:r>
      <w:proofErr w:type="spellEnd"/>
    </w:p>
    <w:p w:rsidR="005B49E1" w:rsidRPr="005B4041" w:rsidRDefault="005B49E1" w:rsidP="00091BB4">
      <w:pPr>
        <w:pStyle w:val="NormalSS"/>
        <w:ind w:firstLine="55"/>
        <w:jc w:val="left"/>
      </w:pPr>
      <w:smartTag w:uri="urn:schemas-microsoft-com:office:smarttags" w:element="place">
        <w:r w:rsidRPr="005B4041">
          <w:t>Black Hills</w:t>
        </w:r>
      </w:smartTag>
      <w:r w:rsidRPr="005B4041">
        <w:t xml:space="preserve"> Special Services</w:t>
      </w:r>
    </w:p>
    <w:p w:rsidR="005B49E1" w:rsidRPr="005B4041" w:rsidRDefault="008872FB" w:rsidP="00091BB4">
      <w:pPr>
        <w:pStyle w:val="NormalSS"/>
        <w:ind w:firstLine="55"/>
        <w:jc w:val="left"/>
      </w:pPr>
      <w:hyperlink r:id="rId17" w:history="1">
        <w:r w:rsidR="005B49E1" w:rsidRPr="005B4041">
          <w:rPr>
            <w:rStyle w:val="Hyperlink"/>
          </w:rPr>
          <w:t>bvalnes@tie.net</w:t>
        </w:r>
      </w:hyperlink>
    </w:p>
    <w:p w:rsidR="005B49E1" w:rsidRPr="005B4041" w:rsidRDefault="005B49E1" w:rsidP="00091BB4">
      <w:pPr>
        <w:pStyle w:val="NormalSS"/>
        <w:ind w:firstLine="55"/>
        <w:jc w:val="left"/>
      </w:pPr>
      <w:r w:rsidRPr="005B4041">
        <w:t>(605) 224-5336</w:t>
      </w:r>
    </w:p>
    <w:p w:rsidR="005B49E1" w:rsidRPr="005B4041" w:rsidRDefault="005B49E1" w:rsidP="00091BB4">
      <w:pPr>
        <w:pStyle w:val="NormalSS"/>
        <w:jc w:val="left"/>
      </w:pPr>
    </w:p>
    <w:p w:rsidR="005B49E1" w:rsidRPr="005B4041" w:rsidRDefault="005B49E1" w:rsidP="00091BB4">
      <w:pPr>
        <w:pStyle w:val="NormalSS"/>
        <w:ind w:firstLine="55"/>
        <w:jc w:val="left"/>
      </w:pPr>
      <w:r w:rsidRPr="005B4041">
        <w:t>Mary Wagner</w:t>
      </w:r>
    </w:p>
    <w:p w:rsidR="005B49E1" w:rsidRPr="005B4041" w:rsidRDefault="005B49E1" w:rsidP="00091BB4">
      <w:pPr>
        <w:pStyle w:val="NormalSS"/>
        <w:ind w:firstLine="55"/>
        <w:jc w:val="left"/>
      </w:pPr>
      <w:r w:rsidRPr="005B4041">
        <w:t>SRI International</w:t>
      </w:r>
    </w:p>
    <w:p w:rsidR="005B49E1" w:rsidRPr="005B4041" w:rsidRDefault="008872FB" w:rsidP="00091BB4">
      <w:pPr>
        <w:pStyle w:val="NormalSS"/>
        <w:ind w:firstLine="55"/>
        <w:jc w:val="left"/>
      </w:pPr>
      <w:hyperlink r:id="rId18" w:history="1">
        <w:r w:rsidR="005B49E1" w:rsidRPr="005B4041">
          <w:rPr>
            <w:rStyle w:val="Hyperlink"/>
          </w:rPr>
          <w:t>mary.wagner@sri.com</w:t>
        </w:r>
      </w:hyperlink>
    </w:p>
    <w:p w:rsidR="005B49E1" w:rsidRPr="005B4041" w:rsidRDefault="005B49E1" w:rsidP="00091BB4">
      <w:pPr>
        <w:pStyle w:val="NormalSS"/>
        <w:ind w:firstLine="55"/>
        <w:jc w:val="left"/>
      </w:pPr>
      <w:r w:rsidRPr="005B4041">
        <w:t>(650) 859-2867</w:t>
      </w:r>
    </w:p>
    <w:p w:rsidR="005B49E1" w:rsidRPr="005B4041" w:rsidRDefault="005B49E1" w:rsidP="00091BB4">
      <w:pPr>
        <w:pStyle w:val="NormalSS"/>
        <w:ind w:firstLine="55"/>
        <w:jc w:val="left"/>
      </w:pPr>
    </w:p>
    <w:p w:rsidR="005B49E1" w:rsidRPr="005B4041" w:rsidRDefault="005B49E1" w:rsidP="00091BB4">
      <w:pPr>
        <w:pStyle w:val="NormalSS"/>
        <w:ind w:firstLine="55"/>
        <w:jc w:val="left"/>
      </w:pPr>
    </w:p>
    <w:p w:rsidR="005B49E1" w:rsidRPr="005B4041" w:rsidRDefault="005B49E1" w:rsidP="00091BB4">
      <w:pPr>
        <w:jc w:val="left"/>
        <w:sectPr w:rsidR="005B49E1" w:rsidRPr="005B4041">
          <w:type w:val="continuous"/>
          <w:pgSz w:w="12240" w:h="15840"/>
          <w:pgMar w:top="1440" w:right="1440" w:bottom="632" w:left="1440" w:header="720" w:footer="576" w:gutter="0"/>
          <w:cols w:num="2" w:space="720"/>
          <w:docGrid w:linePitch="240"/>
        </w:sectPr>
      </w:pPr>
    </w:p>
    <w:p w:rsidR="005B49E1" w:rsidRPr="005B4041" w:rsidRDefault="005B49E1" w:rsidP="00091BB4">
      <w:pPr>
        <w:pStyle w:val="NormalSS"/>
        <w:ind w:firstLine="55"/>
        <w:jc w:val="left"/>
        <w:sectPr w:rsidR="005B49E1" w:rsidRPr="005B4041">
          <w:type w:val="continuous"/>
          <w:pgSz w:w="12240" w:h="15840"/>
          <w:pgMar w:top="1440" w:right="1440" w:bottom="632" w:left="1440" w:header="720" w:footer="576" w:gutter="0"/>
          <w:cols w:space="720"/>
          <w:docGrid w:linePitch="240"/>
        </w:sectPr>
      </w:pPr>
    </w:p>
    <w:p w:rsidR="005B49E1" w:rsidRPr="005B4041" w:rsidRDefault="005B49E1" w:rsidP="00091BB4">
      <w:pPr>
        <w:pStyle w:val="Heading4"/>
        <w:tabs>
          <w:tab w:val="left" w:pos="720"/>
          <w:tab w:val="left" w:pos="810"/>
        </w:tabs>
        <w:ind w:firstLine="0"/>
        <w:jc w:val="left"/>
      </w:pPr>
      <w:r w:rsidRPr="005B4041">
        <w:lastRenderedPageBreak/>
        <w:t>c.</w:t>
      </w:r>
      <w:r w:rsidRPr="005B4041">
        <w:tab/>
        <w:t>Consultation with Beneficiaries</w:t>
      </w:r>
    </w:p>
    <w:p w:rsidR="005B49E1" w:rsidRPr="005B4041" w:rsidRDefault="005B49E1" w:rsidP="00091BB4">
      <w:pPr>
        <w:pStyle w:val="ParagraphSSLAST"/>
        <w:ind w:firstLine="720"/>
        <w:jc w:val="left"/>
        <w:sectPr w:rsidR="005B49E1" w:rsidRPr="005B4041">
          <w:type w:val="continuous"/>
          <w:pgSz w:w="12240" w:h="15840"/>
          <w:pgMar w:top="1440" w:right="1440" w:bottom="632" w:left="1440" w:header="720" w:footer="576" w:gutter="0"/>
          <w:cols w:space="720"/>
          <w:docGrid w:linePitch="240"/>
        </w:sectPr>
      </w:pPr>
      <w:r w:rsidRPr="005B4041">
        <w:t>Benef</w:t>
      </w:r>
      <w:r w:rsidR="00573F84">
        <w:t xml:space="preserve">iciaries and their parents </w:t>
      </w:r>
      <w:r w:rsidRPr="005B4041">
        <w:t xml:space="preserve">participated in the </w:t>
      </w:r>
      <w:r w:rsidR="00DA7782">
        <w:t>pretest of the follow-up survey.</w:t>
      </w:r>
    </w:p>
    <w:p w:rsidR="005B49E1" w:rsidRPr="005B4041" w:rsidRDefault="005B49E1" w:rsidP="00573F84">
      <w:pPr>
        <w:ind w:firstLine="0"/>
        <w:jc w:val="left"/>
        <w:sectPr w:rsidR="005B49E1" w:rsidRPr="005B4041">
          <w:type w:val="continuous"/>
          <w:pgSz w:w="12240" w:h="15840"/>
          <w:pgMar w:top="1440" w:right="1440" w:bottom="632" w:left="1440" w:header="720" w:footer="576" w:gutter="0"/>
          <w:cols w:space="720"/>
          <w:docGrid w:linePitch="240"/>
        </w:sectPr>
      </w:pPr>
    </w:p>
    <w:p w:rsidR="005B49E1" w:rsidRPr="005B4041" w:rsidRDefault="005B49E1" w:rsidP="00091BB4">
      <w:pPr>
        <w:pStyle w:val="Heading3"/>
        <w:tabs>
          <w:tab w:val="left" w:pos="720"/>
        </w:tabs>
        <w:ind w:firstLine="0"/>
        <w:jc w:val="left"/>
      </w:pPr>
      <w:r w:rsidRPr="005B4041">
        <w:lastRenderedPageBreak/>
        <w:t>9.</w:t>
      </w:r>
      <w:r w:rsidRPr="005B4041">
        <w:tab/>
        <w:t>Remuneration of Respondents</w:t>
      </w:r>
    </w:p>
    <w:p w:rsidR="002A3EDC" w:rsidRDefault="00573F84" w:rsidP="00091BB4">
      <w:pPr>
        <w:pStyle w:val="Dash"/>
        <w:spacing w:after="240"/>
        <w:ind w:left="720" w:right="0"/>
        <w:jc w:val="left"/>
      </w:pPr>
      <w:r>
        <w:t>For the</w:t>
      </w:r>
      <w:r w:rsidR="002A3EDC">
        <w:t xml:space="preserve"> baseline, we offer</w:t>
      </w:r>
      <w:r>
        <w:t>ed</w:t>
      </w:r>
      <w:r w:rsidR="002A3EDC">
        <w:t xml:space="preserve"> beneficiaries a $10 gift for returning a completed consent form</w:t>
      </w:r>
      <w:r>
        <w:t xml:space="preserve"> which varied</w:t>
      </w:r>
      <w:r w:rsidR="002A3EDC">
        <w:t xml:space="preserve"> by location.  In New York City</w:t>
      </w:r>
      <w:r>
        <w:t>, for example, we offered a</w:t>
      </w:r>
      <w:r w:rsidR="002A3EDC">
        <w:t xml:space="preserve"> $10 </w:t>
      </w:r>
      <w:proofErr w:type="spellStart"/>
      <w:r w:rsidR="002A3EDC">
        <w:t>MetroCard</w:t>
      </w:r>
      <w:proofErr w:type="spellEnd"/>
      <w:r w:rsidR="002A3EDC">
        <w:t xml:space="preserve">.  In other places, </w:t>
      </w:r>
      <w:r>
        <w:t>we offered a</w:t>
      </w:r>
      <w:r w:rsidR="002A3EDC">
        <w:t xml:space="preserve"> $10 </w:t>
      </w:r>
      <w:r>
        <w:t>Target or Wal-Mart gift card.  We offered a</w:t>
      </w:r>
      <w:r w:rsidR="002A3EDC">
        <w:t xml:space="preserve">nother $10 gift </w:t>
      </w:r>
      <w:r>
        <w:t xml:space="preserve">to </w:t>
      </w:r>
      <w:r w:rsidR="002A3EDC">
        <w:t xml:space="preserve">beneficiaries completing the </w:t>
      </w:r>
      <w:r>
        <w:t>12-month</w:t>
      </w:r>
      <w:r w:rsidR="002A3EDC">
        <w:t xml:space="preserve"> follow-up interview and </w:t>
      </w:r>
      <w:r>
        <w:t xml:space="preserve">we will offer the same </w:t>
      </w:r>
      <w:r w:rsidR="002A3EDC">
        <w:t xml:space="preserve">for the </w:t>
      </w:r>
      <w:r>
        <w:t>36-month follow-up interview.  Through our experience, we know this</w:t>
      </w:r>
      <w:r w:rsidR="002A3EDC">
        <w:t xml:space="preserve"> incentive will increase interview response rates and reduce sample attrition between </w:t>
      </w:r>
      <w:r>
        <w:t>the 12-month and 36-</w:t>
      </w:r>
      <w:r w:rsidR="002A3EDC">
        <w:t>month interviews.</w:t>
      </w:r>
    </w:p>
    <w:p w:rsidR="005B49E1" w:rsidRPr="005B4041" w:rsidRDefault="002A3EDC" w:rsidP="00573F84">
      <w:pPr>
        <w:pStyle w:val="ParagraphSSLAST"/>
        <w:ind w:left="720" w:firstLine="0"/>
        <w:jc w:val="left"/>
      </w:pPr>
      <w:r>
        <w:t>We offer</w:t>
      </w:r>
      <w:r w:rsidR="00573F84">
        <w:t>ed</w:t>
      </w:r>
      <w:r>
        <w:t xml:space="preserve"> all focus group participants $40 to cover their time, transportation, or other costs of participating.</w:t>
      </w:r>
      <w:r w:rsidR="00573F84">
        <w:t xml:space="preserve">  We did not offer program staff</w:t>
      </w:r>
      <w:r>
        <w:t xml:space="preserve"> remuneration for completing interviews because th</w:t>
      </w:r>
      <w:r w:rsidR="00573F84">
        <w:t xml:space="preserve">ey </w:t>
      </w:r>
      <w:r>
        <w:t>do this as part of their job responsibilities.</w:t>
      </w:r>
    </w:p>
    <w:p w:rsidR="005B49E1" w:rsidRPr="005B4041" w:rsidRDefault="005B49E1" w:rsidP="00573F84">
      <w:pPr>
        <w:pStyle w:val="Heading3"/>
        <w:tabs>
          <w:tab w:val="clear" w:pos="432"/>
          <w:tab w:val="left" w:pos="450"/>
          <w:tab w:val="left" w:pos="720"/>
        </w:tabs>
        <w:ind w:left="270" w:firstLine="0"/>
        <w:jc w:val="left"/>
      </w:pPr>
      <w:r w:rsidRPr="005B4041">
        <w:t>10.</w:t>
      </w:r>
      <w:r w:rsidRPr="005B4041">
        <w:tab/>
        <w:t>Assurance of Confidentiality</w:t>
      </w:r>
    </w:p>
    <w:p w:rsidR="005B49E1" w:rsidRPr="005B4041" w:rsidRDefault="005B49E1" w:rsidP="00573F84">
      <w:pPr>
        <w:pStyle w:val="NormalSS"/>
        <w:ind w:left="720" w:firstLine="0"/>
        <w:jc w:val="left"/>
      </w:pPr>
      <w:r w:rsidRPr="005B4041">
        <w:t xml:space="preserve">The information provided for this project is protected and held confidential in accordance with </w:t>
      </w:r>
      <w:r w:rsidRPr="00573F84">
        <w:rPr>
          <w:i/>
        </w:rPr>
        <w:t>42 U.S.C. 1306, 20 CFR 401</w:t>
      </w:r>
      <w:r w:rsidRPr="005B4041">
        <w:t xml:space="preserve"> and </w:t>
      </w:r>
      <w:r w:rsidRPr="00573F84">
        <w:rPr>
          <w:i/>
        </w:rPr>
        <w:t>402, 5 U.S.C. 552</w:t>
      </w:r>
      <w:r w:rsidRPr="005B4041">
        <w:t xml:space="preserve"> (Freedom of Information Act), </w:t>
      </w:r>
      <w:r w:rsidRPr="00573F84">
        <w:rPr>
          <w:i/>
        </w:rPr>
        <w:t>5 U.S.C. 552a</w:t>
      </w:r>
      <w:r w:rsidRPr="005B4041">
        <w:t xml:space="preserve"> (Privacy Act of 1974), and OMB Circular No. A-130</w:t>
      </w:r>
      <w:r w:rsidR="000B620A" w:rsidRPr="005B4041">
        <w:t>.  We will treat data</w:t>
      </w:r>
      <w:r w:rsidRPr="005B4041">
        <w:t xml:space="preserve"> in a confidential manner unless otherwise compelled by law.</w:t>
      </w:r>
    </w:p>
    <w:p w:rsidR="005B49E1" w:rsidRPr="005B4041" w:rsidRDefault="005B49E1" w:rsidP="00091BB4">
      <w:pPr>
        <w:spacing w:line="240" w:lineRule="auto"/>
        <w:jc w:val="left"/>
      </w:pPr>
    </w:p>
    <w:p w:rsidR="005B49E1" w:rsidRPr="005B4041" w:rsidRDefault="005B49E1" w:rsidP="00573F84">
      <w:pPr>
        <w:spacing w:line="240" w:lineRule="auto"/>
        <w:ind w:left="720" w:firstLine="0"/>
        <w:jc w:val="left"/>
      </w:pPr>
      <w:r w:rsidRPr="005B4041">
        <w:t>The study team takes seriously the ethical and legal obligations associated with the collection of confidential data</w:t>
      </w:r>
      <w:r w:rsidR="000B620A" w:rsidRPr="005B4041">
        <w:t>.  We e</w:t>
      </w:r>
      <w:r w:rsidRPr="005B4041">
        <w:t>nsur</w:t>
      </w:r>
      <w:r w:rsidR="000B620A" w:rsidRPr="005B4041">
        <w:t>e</w:t>
      </w:r>
      <w:r w:rsidRPr="005B4041">
        <w:t xml:space="preserve"> the secure handling of confidential data </w:t>
      </w:r>
      <w:r w:rsidR="000B620A" w:rsidRPr="005B4041">
        <w:t xml:space="preserve">via several mechanisms.  These include </w:t>
      </w:r>
      <w:r w:rsidRPr="005B4041">
        <w:t>obtaining suitability determinations for designated staff, training staff to recognize and handle sensitive data, protecting computer systems from access by staff without favorable suitability determinations, limiting access to secure data on a “need to know” basis and only for staff with favorable suitability determinations, and creating data extract files from which identifying information has been removed.</w:t>
      </w:r>
    </w:p>
    <w:p w:rsidR="005B49E1" w:rsidRPr="005B4041" w:rsidRDefault="005B49E1" w:rsidP="00091BB4">
      <w:pPr>
        <w:spacing w:line="240" w:lineRule="auto"/>
        <w:jc w:val="left"/>
      </w:pPr>
    </w:p>
    <w:p w:rsidR="005B49E1" w:rsidRPr="005B4041" w:rsidRDefault="00573F84" w:rsidP="00573F84">
      <w:pPr>
        <w:spacing w:line="240" w:lineRule="auto"/>
        <w:ind w:left="720" w:firstLine="0"/>
        <w:jc w:val="left"/>
      </w:pPr>
      <w:r>
        <w:t xml:space="preserve">We </w:t>
      </w:r>
      <w:r w:rsidR="005B49E1" w:rsidRPr="005B4041">
        <w:t>take several steps to assure sample members that</w:t>
      </w:r>
      <w:r w:rsidR="000B620A" w:rsidRPr="005B4041">
        <w:t xml:space="preserve"> we will treat the information they provide</w:t>
      </w:r>
      <w:r>
        <w:t>d</w:t>
      </w:r>
      <w:r w:rsidR="000B620A" w:rsidRPr="005B4041">
        <w:t xml:space="preserve"> </w:t>
      </w:r>
      <w:r>
        <w:t>confidentially and use it</w:t>
      </w:r>
      <w:r w:rsidR="005B49E1" w:rsidRPr="005B4041">
        <w:t xml:space="preserve"> for research purposes only</w:t>
      </w:r>
      <w:r>
        <w:t xml:space="preserve">.  We </w:t>
      </w:r>
      <w:r w:rsidR="000B620A" w:rsidRPr="005B4041">
        <w:t>make clear t</w:t>
      </w:r>
      <w:r w:rsidR="005B49E1" w:rsidRPr="005B4041">
        <w:t xml:space="preserve">he assurances and limits of confidentiality and </w:t>
      </w:r>
      <w:r>
        <w:t xml:space="preserve">make sure </w:t>
      </w:r>
      <w:r w:rsidR="005B49E1" w:rsidRPr="005B4041">
        <w:t>the Paperwork Reduction and Privacy Act statemen</w:t>
      </w:r>
      <w:r w:rsidR="000B620A" w:rsidRPr="005B4041">
        <w:t xml:space="preserve">ts appear on </w:t>
      </w:r>
      <w:r w:rsidR="005B49E1" w:rsidRPr="005B4041">
        <w:t xml:space="preserve">all materials sent </w:t>
      </w:r>
      <w:r>
        <w:t xml:space="preserve">to participants.  We also </w:t>
      </w:r>
      <w:r w:rsidR="005B49E1" w:rsidRPr="005B4041">
        <w:t xml:space="preserve">restated </w:t>
      </w:r>
      <w:r>
        <w:t xml:space="preserve">these assurances </w:t>
      </w:r>
      <w:r w:rsidR="005B49E1" w:rsidRPr="005B4041">
        <w:t xml:space="preserve">at the beginning of each interview session. </w:t>
      </w:r>
    </w:p>
    <w:p w:rsidR="005B49E1" w:rsidRPr="005B4041" w:rsidRDefault="005B49E1" w:rsidP="00091BB4">
      <w:pPr>
        <w:spacing w:line="240" w:lineRule="auto"/>
        <w:jc w:val="left"/>
      </w:pPr>
    </w:p>
    <w:p w:rsidR="005B49E1" w:rsidRPr="005B4041" w:rsidRDefault="005B49E1" w:rsidP="00573F84">
      <w:pPr>
        <w:pStyle w:val="ParagraphSSLAST"/>
        <w:ind w:left="720" w:firstLine="0"/>
        <w:jc w:val="left"/>
      </w:pPr>
      <w:r w:rsidRPr="005B4041">
        <w:t xml:space="preserve">Subcontractors, consultants, and vendors </w:t>
      </w:r>
      <w:r w:rsidR="00573F84">
        <w:t>are</w:t>
      </w:r>
      <w:r w:rsidRPr="005B4041">
        <w:t xml:space="preserve"> required to establish confidential information safeguards that meet prime contract security requirements</w:t>
      </w:r>
      <w:r w:rsidR="000B620A" w:rsidRPr="005B4041">
        <w:t xml:space="preserve">.  </w:t>
      </w:r>
      <w:r w:rsidRPr="005B4041">
        <w:t>The proje</w:t>
      </w:r>
      <w:r w:rsidR="00573F84">
        <w:t xml:space="preserve">ct director or task leader </w:t>
      </w:r>
      <w:r w:rsidRPr="005B4041">
        <w:t>take</w:t>
      </w:r>
      <w:r w:rsidR="00573F84">
        <w:t>s</w:t>
      </w:r>
      <w:r w:rsidRPr="005B4041">
        <w:t xml:space="preserve"> action to ensure that any confidential information provided to or generated by a subcontractor, consultant, or vendor is properly disposed of at the completion of the agreement between the parties. </w:t>
      </w:r>
    </w:p>
    <w:p w:rsidR="005B49E1" w:rsidRPr="005B4041" w:rsidRDefault="005B49E1" w:rsidP="00573F84">
      <w:pPr>
        <w:pStyle w:val="Heading3"/>
        <w:tabs>
          <w:tab w:val="clear" w:pos="432"/>
          <w:tab w:val="left" w:pos="720"/>
        </w:tabs>
        <w:ind w:left="270" w:firstLine="0"/>
        <w:jc w:val="left"/>
      </w:pPr>
      <w:r w:rsidRPr="005B4041">
        <w:t>11.</w:t>
      </w:r>
      <w:r w:rsidRPr="005B4041">
        <w:tab/>
        <w:t>Questions of a Sensitive Nature</w:t>
      </w:r>
    </w:p>
    <w:p w:rsidR="005B49E1" w:rsidRPr="005B4041" w:rsidRDefault="005B49E1" w:rsidP="00573F84">
      <w:pPr>
        <w:spacing w:line="240" w:lineRule="auto"/>
        <w:ind w:left="720" w:firstLine="0"/>
        <w:jc w:val="left"/>
      </w:pPr>
      <w:r w:rsidRPr="005B4041">
        <w:t>The purpose of the study is to test the effects of waivers of SSA program rules and an innovative array of enhanced employment and educational services for youth with disabilities</w:t>
      </w:r>
      <w:r w:rsidR="000B620A" w:rsidRPr="005B4041">
        <w:t xml:space="preserve">.  </w:t>
      </w:r>
      <w:r w:rsidRPr="005B4041">
        <w:t xml:space="preserve">Therefore, obtaining information about potentially sensitive topics, such as </w:t>
      </w:r>
      <w:r w:rsidRPr="005B4041">
        <w:lastRenderedPageBreak/>
        <w:t>the health status and the disabling condition of sample members, is central to the intervention</w:t>
      </w:r>
      <w:r w:rsidR="000B620A" w:rsidRPr="005B4041">
        <w:t xml:space="preserve">.  </w:t>
      </w:r>
      <w:r w:rsidR="00573F84">
        <w:t>The surveys do</w:t>
      </w:r>
      <w:r w:rsidRPr="005B4041">
        <w:t xml:space="preserve"> not collect data that </w:t>
      </w:r>
      <w:r w:rsidR="000B620A" w:rsidRPr="005B4041">
        <w:t>we can obtain</w:t>
      </w:r>
      <w:r w:rsidRPr="005B4041">
        <w:t xml:space="preserve"> directly from other sources (for example, </w:t>
      </w:r>
      <w:r w:rsidR="000B620A" w:rsidRPr="005B4041">
        <w:t xml:space="preserve">we can obtain </w:t>
      </w:r>
      <w:r w:rsidRPr="005B4041">
        <w:t>information about receipt of disability benefits directly from SSA administrative records).</w:t>
      </w:r>
    </w:p>
    <w:p w:rsidR="005B49E1" w:rsidRPr="005B4041" w:rsidRDefault="005B49E1" w:rsidP="00091BB4">
      <w:pPr>
        <w:spacing w:line="240" w:lineRule="auto"/>
        <w:jc w:val="left"/>
      </w:pPr>
    </w:p>
    <w:p w:rsidR="005B49E1" w:rsidRPr="005B4041" w:rsidRDefault="00514FE8" w:rsidP="00573F84">
      <w:pPr>
        <w:pStyle w:val="NormalSS"/>
        <w:ind w:left="720" w:firstLine="0"/>
        <w:jc w:val="left"/>
      </w:pPr>
      <w:r>
        <w:t xml:space="preserve">The survey </w:t>
      </w:r>
      <w:r w:rsidR="005B49E1" w:rsidRPr="005B4041">
        <w:t>include</w:t>
      </w:r>
      <w:r>
        <w:t>s</w:t>
      </w:r>
      <w:r w:rsidR="005B49E1" w:rsidRPr="005B4041">
        <w:t xml:space="preserve"> questions about the following topics that </w:t>
      </w:r>
      <w:r w:rsidR="000B620A" w:rsidRPr="005B4041">
        <w:t>one may consider</w:t>
      </w:r>
      <w:r w:rsidR="005B49E1" w:rsidRPr="005B4041">
        <w:t xml:space="preserve"> potentially sensitive: </w:t>
      </w:r>
    </w:p>
    <w:p w:rsidR="005B49E1" w:rsidRPr="005B4041" w:rsidRDefault="005B49E1" w:rsidP="00091BB4">
      <w:pPr>
        <w:pStyle w:val="NormalSS"/>
        <w:jc w:val="left"/>
      </w:pPr>
    </w:p>
    <w:p w:rsidR="005B49E1" w:rsidRPr="005B4041" w:rsidRDefault="005B49E1" w:rsidP="00514FE8">
      <w:pPr>
        <w:pStyle w:val="Bullet"/>
        <w:tabs>
          <w:tab w:val="clear" w:pos="360"/>
          <w:tab w:val="clear" w:pos="792"/>
          <w:tab w:val="left" w:pos="900"/>
        </w:tabs>
        <w:ind w:left="1260" w:hanging="360"/>
        <w:jc w:val="left"/>
      </w:pPr>
      <w:r w:rsidRPr="005B4041">
        <w:t>Health status, including disability information and severity of disabling condition</w:t>
      </w:r>
    </w:p>
    <w:p w:rsidR="005B49E1" w:rsidRPr="005B4041" w:rsidRDefault="005B49E1" w:rsidP="00514FE8">
      <w:pPr>
        <w:pStyle w:val="Bullet"/>
        <w:tabs>
          <w:tab w:val="clear" w:pos="360"/>
          <w:tab w:val="left" w:pos="792"/>
        </w:tabs>
        <w:ind w:left="1260" w:hanging="360"/>
        <w:jc w:val="left"/>
      </w:pPr>
      <w:r w:rsidRPr="005B4041">
        <w:t>Assistance needed with Instrumental Activities of Daily Living (IADLs)</w:t>
      </w:r>
    </w:p>
    <w:p w:rsidR="005B49E1" w:rsidRPr="005B4041" w:rsidRDefault="005B49E1" w:rsidP="00514FE8">
      <w:pPr>
        <w:pStyle w:val="Bullet"/>
        <w:tabs>
          <w:tab w:val="clear" w:pos="360"/>
          <w:tab w:val="left" w:pos="792"/>
        </w:tabs>
        <w:ind w:left="1260" w:hanging="360"/>
        <w:jc w:val="left"/>
      </w:pPr>
      <w:r w:rsidRPr="005B4041">
        <w:t>Mental health status</w:t>
      </w:r>
    </w:p>
    <w:p w:rsidR="005B49E1" w:rsidRPr="005B4041" w:rsidRDefault="005B49E1" w:rsidP="00514FE8">
      <w:pPr>
        <w:pStyle w:val="Bullet"/>
        <w:tabs>
          <w:tab w:val="clear" w:pos="360"/>
          <w:tab w:val="left" w:pos="792"/>
        </w:tabs>
        <w:ind w:left="1260" w:hanging="360"/>
        <w:jc w:val="left"/>
      </w:pPr>
      <w:r w:rsidRPr="005B4041">
        <w:t xml:space="preserve">Participation in drug and alcohol treatment </w:t>
      </w:r>
      <w:r w:rsidR="000B620A" w:rsidRPr="005B4041">
        <w:t>programs</w:t>
      </w:r>
    </w:p>
    <w:p w:rsidR="005B49E1" w:rsidRPr="005B4041" w:rsidRDefault="005B49E1" w:rsidP="00514FE8">
      <w:pPr>
        <w:pStyle w:val="BulletLAST"/>
        <w:tabs>
          <w:tab w:val="clear" w:pos="360"/>
          <w:tab w:val="left" w:pos="792"/>
        </w:tabs>
        <w:ind w:left="1260" w:hanging="360"/>
        <w:jc w:val="left"/>
      </w:pPr>
      <w:r w:rsidRPr="005B4041">
        <w:t>Involvement with the criminal justice system</w:t>
      </w:r>
    </w:p>
    <w:p w:rsidR="005B49E1" w:rsidRPr="005B4041" w:rsidRDefault="005B49E1" w:rsidP="00514FE8">
      <w:pPr>
        <w:pStyle w:val="ParagraphSSLAST"/>
        <w:tabs>
          <w:tab w:val="left" w:pos="810"/>
        </w:tabs>
        <w:ind w:left="720" w:firstLine="0"/>
        <w:jc w:val="left"/>
      </w:pPr>
      <w:r w:rsidRPr="005B4041">
        <w:t>Many of the questions were adapted without modification from other national surveys of similar populations, such as the National Longitudinal Transition Survey (NLTS), the National Beneficiary Survey (NBS), and the Evaluation of Job Corps (JC)</w:t>
      </w:r>
      <w:r w:rsidR="000B620A" w:rsidRPr="005B4041">
        <w:t xml:space="preserve">.  </w:t>
      </w:r>
      <w:r w:rsidRPr="005B4041">
        <w:t>The instrument also contains items from the Short Form 12 (SF-12).</w:t>
      </w:r>
    </w:p>
    <w:p w:rsidR="005B49E1" w:rsidRPr="005B4041" w:rsidRDefault="005B49E1" w:rsidP="00514FE8">
      <w:pPr>
        <w:pStyle w:val="Heading3"/>
        <w:tabs>
          <w:tab w:val="clear" w:pos="432"/>
          <w:tab w:val="left" w:pos="270"/>
          <w:tab w:val="left" w:pos="720"/>
        </w:tabs>
        <w:ind w:left="270" w:firstLine="0"/>
        <w:jc w:val="left"/>
      </w:pPr>
      <w:r w:rsidRPr="005B4041">
        <w:t>12.</w:t>
      </w:r>
      <w:r w:rsidRPr="005B4041">
        <w:tab/>
        <w:t>Estimates of Annualized Hour Burden</w:t>
      </w:r>
    </w:p>
    <w:p w:rsidR="005B49E1" w:rsidRDefault="005B49E1" w:rsidP="00514FE8">
      <w:pPr>
        <w:pStyle w:val="ParagraphSSLAST"/>
        <w:ind w:left="720" w:firstLine="0"/>
        <w:jc w:val="left"/>
      </w:pPr>
      <w:r w:rsidRPr="005B4041">
        <w:rPr>
          <w:bCs/>
          <w:iCs/>
          <w:color w:val="000000"/>
        </w:rPr>
        <w:t>Table A.2</w:t>
      </w:r>
      <w:r w:rsidRPr="005B4041">
        <w:rPr>
          <w:b/>
          <w:i/>
          <w:color w:val="000000"/>
        </w:rPr>
        <w:t xml:space="preserve"> </w:t>
      </w:r>
      <w:r w:rsidRPr="005B4041">
        <w:rPr>
          <w:color w:val="000000"/>
        </w:rPr>
        <w:t>shows the annualized number of expected participants in the data collection, the number of interviews, hours per response, and the total associated response burden</w:t>
      </w:r>
      <w:r w:rsidR="00F876CC">
        <w:rPr>
          <w:color w:val="000000"/>
        </w:rPr>
        <w:t xml:space="preserve"> for the 36-month follow-up questionnaire</w:t>
      </w:r>
      <w:r w:rsidR="008874CE">
        <w:rPr>
          <w:color w:val="000000"/>
        </w:rPr>
        <w:t xml:space="preserve"> in 2012</w:t>
      </w:r>
      <w:r w:rsidR="000B620A" w:rsidRPr="005B4041">
        <w:rPr>
          <w:color w:val="000000"/>
        </w:rPr>
        <w:t xml:space="preserve">.  </w:t>
      </w:r>
      <w:r w:rsidR="000832B1">
        <w:rPr>
          <w:color w:val="000000"/>
        </w:rPr>
        <w:t>We determined the b</w:t>
      </w:r>
      <w:r w:rsidRPr="005B4041">
        <w:rPr>
          <w:color w:val="000000"/>
        </w:rPr>
        <w:t>urden though experience administering similar items on the 12-month follow-up interview and in pretest-based estimates of the 36-month follow-up questionnaire</w:t>
      </w:r>
      <w:r w:rsidR="000B620A" w:rsidRPr="005B4041">
        <w:rPr>
          <w:color w:val="000000"/>
        </w:rPr>
        <w:t xml:space="preserve">.  </w:t>
      </w:r>
      <w:r w:rsidRPr="005B4041">
        <w:t>All eligible youth who consented to participate in the YTD demonstration are el</w:t>
      </w:r>
      <w:r w:rsidR="000832B1">
        <w:t>igible to participate in the 36</w:t>
      </w:r>
      <w:r w:rsidR="000832B1">
        <w:noBreakHyphen/>
      </w:r>
      <w:r w:rsidRPr="005B4041">
        <w:t>month follow-up survey.</w:t>
      </w:r>
      <w:r w:rsidR="000832B1">
        <w:t xml:space="preserve">  </w:t>
      </w:r>
      <w:r w:rsidR="000832B1" w:rsidRPr="005B4041">
        <w:t>We</w:t>
      </w:r>
      <w:r w:rsidR="000832B1">
        <w:t xml:space="preserve"> will administer 949 36-month follow-up surveys in 2012.  We</w:t>
      </w:r>
      <w:r w:rsidR="000832B1" w:rsidRPr="005B4041">
        <w:t xml:space="preserve"> estimate 50 minutes (0.83 hour) per completed interview</w:t>
      </w:r>
      <w:r w:rsidR="000832B1">
        <w:t>, for 788 total burden hours.</w:t>
      </w:r>
    </w:p>
    <w:p w:rsidR="00514FE8" w:rsidRPr="005B4041" w:rsidRDefault="00514FE8" w:rsidP="00514FE8">
      <w:pPr>
        <w:pStyle w:val="MarkforTable"/>
        <w:spacing w:line="240" w:lineRule="auto"/>
      </w:pPr>
      <w:r w:rsidRPr="005B4041">
        <w:t>TABLE A.2</w:t>
      </w:r>
      <w:r w:rsidRPr="005B4041">
        <w:br/>
      </w:r>
      <w:r w:rsidRPr="005B4041">
        <w:br/>
        <w:t>ANNUALIZED BURDEN</w:t>
      </w:r>
    </w:p>
    <w:p w:rsidR="00514FE8" w:rsidRPr="005B4041" w:rsidRDefault="00514FE8" w:rsidP="00514FE8">
      <w:pPr>
        <w:spacing w:line="240" w:lineRule="auto"/>
        <w:ind w:firstLine="0"/>
        <w:jc w:val="center"/>
        <w:rPr>
          <w:sz w:val="20"/>
        </w:rPr>
      </w:pPr>
    </w:p>
    <w:tbl>
      <w:tblPr>
        <w:tblW w:w="8949" w:type="dxa"/>
        <w:tblInd w:w="828" w:type="dxa"/>
        <w:tblBorders>
          <w:bottom w:val="single" w:sz="4" w:space="0" w:color="auto"/>
        </w:tblBorders>
        <w:tblLayout w:type="fixed"/>
        <w:tblLook w:val="0000" w:firstRow="0" w:lastRow="0" w:firstColumn="0" w:lastColumn="0" w:noHBand="0" w:noVBand="0"/>
      </w:tblPr>
      <w:tblGrid>
        <w:gridCol w:w="1080"/>
        <w:gridCol w:w="2418"/>
        <w:gridCol w:w="1239"/>
        <w:gridCol w:w="1162"/>
        <w:gridCol w:w="1099"/>
        <w:gridCol w:w="1951"/>
      </w:tblGrid>
      <w:tr w:rsidR="00514FE8" w:rsidRPr="005B4041" w:rsidTr="00514FE8">
        <w:trPr>
          <w:trHeight w:val="510"/>
          <w:tblHeader/>
        </w:trPr>
        <w:tc>
          <w:tcPr>
            <w:tcW w:w="1080" w:type="dxa"/>
            <w:tcBorders>
              <w:bottom w:val="single" w:sz="4" w:space="0" w:color="auto"/>
            </w:tcBorders>
          </w:tcPr>
          <w:p w:rsidR="00514FE8" w:rsidRPr="005B4041" w:rsidRDefault="00514FE8" w:rsidP="008F046D">
            <w:pPr>
              <w:snapToGrid w:val="0"/>
              <w:spacing w:before="120" w:after="60" w:line="240" w:lineRule="auto"/>
              <w:ind w:firstLine="0"/>
              <w:jc w:val="left"/>
              <w:rPr>
                <w:sz w:val="20"/>
              </w:rPr>
            </w:pPr>
            <w:r w:rsidRPr="005B4041">
              <w:rPr>
                <w:sz w:val="20"/>
              </w:rPr>
              <w:t xml:space="preserve">Data Collection </w:t>
            </w:r>
            <w:r w:rsidRPr="005B4041">
              <w:rPr>
                <w:sz w:val="20"/>
              </w:rPr>
              <w:br/>
              <w:t>Year</w:t>
            </w:r>
          </w:p>
        </w:tc>
        <w:tc>
          <w:tcPr>
            <w:tcW w:w="2418" w:type="dxa"/>
            <w:tcBorders>
              <w:bottom w:val="single" w:sz="4" w:space="0" w:color="auto"/>
            </w:tcBorders>
          </w:tcPr>
          <w:p w:rsidR="00514FE8" w:rsidRPr="005B4041" w:rsidRDefault="00514FE8" w:rsidP="008F046D">
            <w:pPr>
              <w:snapToGrid w:val="0"/>
              <w:spacing w:before="120" w:after="60" w:line="240" w:lineRule="auto"/>
              <w:ind w:firstLine="0"/>
              <w:jc w:val="center"/>
              <w:rPr>
                <w:sz w:val="20"/>
              </w:rPr>
            </w:pPr>
            <w:r w:rsidRPr="005B4041">
              <w:rPr>
                <w:sz w:val="20"/>
              </w:rPr>
              <w:t>Collection</w:t>
            </w:r>
          </w:p>
        </w:tc>
        <w:tc>
          <w:tcPr>
            <w:tcW w:w="1239" w:type="dxa"/>
            <w:tcBorders>
              <w:bottom w:val="single" w:sz="4" w:space="0" w:color="auto"/>
            </w:tcBorders>
          </w:tcPr>
          <w:p w:rsidR="00514FE8" w:rsidRPr="005B4041" w:rsidRDefault="00514FE8" w:rsidP="008F046D">
            <w:pPr>
              <w:snapToGrid w:val="0"/>
              <w:spacing w:before="120" w:after="60" w:line="240" w:lineRule="auto"/>
              <w:ind w:firstLine="0"/>
              <w:jc w:val="center"/>
              <w:rPr>
                <w:sz w:val="20"/>
              </w:rPr>
            </w:pPr>
            <w:r w:rsidRPr="005B4041">
              <w:rPr>
                <w:sz w:val="20"/>
              </w:rPr>
              <w:t>Number of Respondents</w:t>
            </w:r>
          </w:p>
        </w:tc>
        <w:tc>
          <w:tcPr>
            <w:tcW w:w="1162" w:type="dxa"/>
            <w:tcBorders>
              <w:bottom w:val="single" w:sz="4" w:space="0" w:color="auto"/>
            </w:tcBorders>
          </w:tcPr>
          <w:p w:rsidR="00514FE8" w:rsidRPr="005B4041" w:rsidRDefault="00514FE8" w:rsidP="008F046D">
            <w:pPr>
              <w:snapToGrid w:val="0"/>
              <w:spacing w:before="120" w:after="60" w:line="240" w:lineRule="auto"/>
              <w:ind w:firstLine="0"/>
              <w:jc w:val="center"/>
              <w:rPr>
                <w:sz w:val="20"/>
              </w:rPr>
            </w:pPr>
            <w:r w:rsidRPr="005B4041">
              <w:rPr>
                <w:sz w:val="20"/>
              </w:rPr>
              <w:t>Responses Per Respondent</w:t>
            </w:r>
          </w:p>
        </w:tc>
        <w:tc>
          <w:tcPr>
            <w:tcW w:w="1099" w:type="dxa"/>
            <w:tcBorders>
              <w:bottom w:val="single" w:sz="4" w:space="0" w:color="auto"/>
            </w:tcBorders>
          </w:tcPr>
          <w:p w:rsidR="00514FE8" w:rsidRPr="005B4041" w:rsidRDefault="00514FE8" w:rsidP="008F046D">
            <w:pPr>
              <w:snapToGrid w:val="0"/>
              <w:spacing w:before="120" w:after="60" w:line="240" w:lineRule="auto"/>
              <w:ind w:firstLine="0"/>
              <w:jc w:val="center"/>
              <w:rPr>
                <w:sz w:val="20"/>
              </w:rPr>
            </w:pPr>
            <w:r w:rsidRPr="005B4041">
              <w:rPr>
                <w:sz w:val="20"/>
              </w:rPr>
              <w:t xml:space="preserve">Average Burden </w:t>
            </w:r>
            <w:r w:rsidRPr="005B4041">
              <w:rPr>
                <w:sz w:val="20"/>
              </w:rPr>
              <w:br/>
              <w:t>Per Response (Hours)</w:t>
            </w:r>
          </w:p>
        </w:tc>
        <w:tc>
          <w:tcPr>
            <w:tcW w:w="1951" w:type="dxa"/>
            <w:tcBorders>
              <w:bottom w:val="single" w:sz="4" w:space="0" w:color="auto"/>
            </w:tcBorders>
          </w:tcPr>
          <w:p w:rsidR="00514FE8" w:rsidRPr="005B4041" w:rsidRDefault="00514FE8" w:rsidP="008F046D">
            <w:pPr>
              <w:snapToGrid w:val="0"/>
              <w:spacing w:before="120" w:after="60" w:line="240" w:lineRule="auto"/>
              <w:ind w:firstLine="0"/>
              <w:jc w:val="center"/>
              <w:rPr>
                <w:sz w:val="20"/>
              </w:rPr>
            </w:pPr>
            <w:r w:rsidRPr="005B4041">
              <w:rPr>
                <w:sz w:val="20"/>
              </w:rPr>
              <w:t>Total Response Burden</w:t>
            </w:r>
            <w:r w:rsidRPr="005B4041">
              <w:rPr>
                <w:sz w:val="20"/>
              </w:rPr>
              <w:br/>
              <w:t>(Hours)</w:t>
            </w:r>
          </w:p>
        </w:tc>
      </w:tr>
      <w:tr w:rsidR="00514FE8" w:rsidRPr="005B4041" w:rsidTr="00514FE8">
        <w:trPr>
          <w:trHeight w:val="315"/>
        </w:trPr>
        <w:tc>
          <w:tcPr>
            <w:tcW w:w="1080" w:type="dxa"/>
            <w:tcBorders>
              <w:top w:val="single" w:sz="4" w:space="0" w:color="auto"/>
              <w:bottom w:val="single" w:sz="4" w:space="0" w:color="auto"/>
            </w:tcBorders>
            <w:vAlign w:val="bottom"/>
          </w:tcPr>
          <w:p w:rsidR="00514FE8" w:rsidRPr="005B4041" w:rsidRDefault="00514FE8" w:rsidP="008F046D">
            <w:pPr>
              <w:snapToGrid w:val="0"/>
              <w:spacing w:line="240" w:lineRule="auto"/>
              <w:ind w:firstLine="0"/>
              <w:jc w:val="left"/>
              <w:rPr>
                <w:sz w:val="20"/>
              </w:rPr>
            </w:pPr>
            <w:r w:rsidRPr="005B4041">
              <w:rPr>
                <w:sz w:val="20"/>
              </w:rPr>
              <w:t>2012</w:t>
            </w:r>
          </w:p>
        </w:tc>
        <w:tc>
          <w:tcPr>
            <w:tcW w:w="2418" w:type="dxa"/>
            <w:tcBorders>
              <w:top w:val="single" w:sz="4" w:space="0" w:color="auto"/>
              <w:bottom w:val="single" w:sz="4" w:space="0" w:color="auto"/>
            </w:tcBorders>
            <w:vAlign w:val="bottom"/>
          </w:tcPr>
          <w:p w:rsidR="00514FE8" w:rsidRPr="005B4041" w:rsidRDefault="00514FE8" w:rsidP="008F046D">
            <w:pPr>
              <w:snapToGrid w:val="0"/>
              <w:spacing w:line="240" w:lineRule="auto"/>
              <w:ind w:firstLine="0"/>
              <w:jc w:val="left"/>
              <w:rPr>
                <w:sz w:val="20"/>
              </w:rPr>
            </w:pPr>
            <w:r w:rsidRPr="005B4041">
              <w:rPr>
                <w:sz w:val="20"/>
              </w:rPr>
              <w:t>36 month follow-up</w:t>
            </w:r>
          </w:p>
        </w:tc>
        <w:tc>
          <w:tcPr>
            <w:tcW w:w="1239" w:type="dxa"/>
            <w:tcBorders>
              <w:top w:val="single" w:sz="4" w:space="0" w:color="auto"/>
              <w:bottom w:val="single" w:sz="4" w:space="0" w:color="auto"/>
            </w:tcBorders>
            <w:vAlign w:val="bottom"/>
          </w:tcPr>
          <w:p w:rsidR="00514FE8" w:rsidRPr="005B4041" w:rsidRDefault="00514FE8" w:rsidP="008F046D">
            <w:pPr>
              <w:tabs>
                <w:tab w:val="clear" w:pos="432"/>
                <w:tab w:val="decimal" w:pos="1018"/>
              </w:tabs>
              <w:snapToGrid w:val="0"/>
              <w:spacing w:line="240" w:lineRule="auto"/>
              <w:ind w:firstLine="0"/>
              <w:jc w:val="left"/>
              <w:rPr>
                <w:sz w:val="20"/>
              </w:rPr>
            </w:pPr>
            <w:r w:rsidRPr="005B4041">
              <w:rPr>
                <w:sz w:val="20"/>
              </w:rPr>
              <w:t>949</w:t>
            </w:r>
          </w:p>
        </w:tc>
        <w:tc>
          <w:tcPr>
            <w:tcW w:w="1162" w:type="dxa"/>
            <w:tcBorders>
              <w:top w:val="single" w:sz="4" w:space="0" w:color="auto"/>
              <w:bottom w:val="single" w:sz="4" w:space="0" w:color="auto"/>
            </w:tcBorders>
            <w:vAlign w:val="bottom"/>
          </w:tcPr>
          <w:p w:rsidR="00514FE8" w:rsidRPr="005B4041" w:rsidRDefault="00514FE8" w:rsidP="008F046D">
            <w:pPr>
              <w:tabs>
                <w:tab w:val="clear" w:pos="432"/>
                <w:tab w:val="decimal" w:pos="502"/>
              </w:tabs>
              <w:snapToGrid w:val="0"/>
              <w:spacing w:line="240" w:lineRule="auto"/>
              <w:ind w:firstLine="0"/>
              <w:jc w:val="left"/>
              <w:rPr>
                <w:rFonts w:eastAsia="Arial Unicode MS"/>
                <w:sz w:val="20"/>
              </w:rPr>
            </w:pPr>
            <w:r w:rsidRPr="005B4041">
              <w:rPr>
                <w:rFonts w:eastAsia="Arial Unicode MS"/>
                <w:sz w:val="20"/>
              </w:rPr>
              <w:t>1</w:t>
            </w:r>
          </w:p>
        </w:tc>
        <w:tc>
          <w:tcPr>
            <w:tcW w:w="1099" w:type="dxa"/>
            <w:tcBorders>
              <w:top w:val="single" w:sz="4" w:space="0" w:color="auto"/>
              <w:bottom w:val="single" w:sz="4" w:space="0" w:color="auto"/>
            </w:tcBorders>
            <w:vAlign w:val="bottom"/>
          </w:tcPr>
          <w:p w:rsidR="00514FE8" w:rsidRPr="005B4041" w:rsidRDefault="00514FE8" w:rsidP="008F046D">
            <w:pPr>
              <w:tabs>
                <w:tab w:val="clear" w:pos="432"/>
                <w:tab w:val="decimal" w:pos="531"/>
              </w:tabs>
              <w:snapToGrid w:val="0"/>
              <w:spacing w:line="240" w:lineRule="auto"/>
              <w:ind w:firstLine="0"/>
              <w:jc w:val="left"/>
              <w:rPr>
                <w:sz w:val="20"/>
              </w:rPr>
            </w:pPr>
            <w:r w:rsidRPr="005B4041">
              <w:rPr>
                <w:sz w:val="20"/>
              </w:rPr>
              <w:t>0.83</w:t>
            </w:r>
          </w:p>
        </w:tc>
        <w:tc>
          <w:tcPr>
            <w:tcW w:w="1951" w:type="dxa"/>
            <w:tcBorders>
              <w:top w:val="single" w:sz="4" w:space="0" w:color="auto"/>
              <w:bottom w:val="single" w:sz="4" w:space="0" w:color="auto"/>
            </w:tcBorders>
            <w:vAlign w:val="bottom"/>
          </w:tcPr>
          <w:p w:rsidR="00514FE8" w:rsidRPr="005B4041" w:rsidRDefault="00514FE8" w:rsidP="008F046D">
            <w:pPr>
              <w:tabs>
                <w:tab w:val="clear" w:pos="432"/>
                <w:tab w:val="decimal" w:pos="923"/>
              </w:tabs>
              <w:snapToGrid w:val="0"/>
              <w:spacing w:line="240" w:lineRule="auto"/>
              <w:ind w:firstLine="0"/>
              <w:jc w:val="left"/>
              <w:rPr>
                <w:sz w:val="20"/>
              </w:rPr>
            </w:pPr>
            <w:r w:rsidRPr="005B4041">
              <w:rPr>
                <w:sz w:val="20"/>
              </w:rPr>
              <w:t>788</w:t>
            </w:r>
          </w:p>
        </w:tc>
      </w:tr>
    </w:tbl>
    <w:p w:rsidR="00F876CC" w:rsidRDefault="00F876CC" w:rsidP="00D35C72">
      <w:pPr>
        <w:spacing w:line="240" w:lineRule="auto"/>
        <w:ind w:firstLine="0"/>
        <w:rPr>
          <w:sz w:val="20"/>
        </w:rPr>
      </w:pPr>
    </w:p>
    <w:p w:rsidR="00F876CC" w:rsidRDefault="00F876CC" w:rsidP="00F876CC">
      <w:pPr>
        <w:spacing w:line="240" w:lineRule="auto"/>
        <w:ind w:left="720" w:firstLine="0"/>
        <w:rPr>
          <w:sz w:val="20"/>
        </w:rPr>
      </w:pPr>
      <w:r w:rsidRPr="005B4041">
        <w:rPr>
          <w:bCs/>
          <w:iCs/>
          <w:color w:val="000000"/>
        </w:rPr>
        <w:lastRenderedPageBreak/>
        <w:t>Table A.</w:t>
      </w:r>
      <w:r>
        <w:rPr>
          <w:bCs/>
          <w:iCs/>
          <w:color w:val="000000"/>
        </w:rPr>
        <w:t>3</w:t>
      </w:r>
      <w:r w:rsidRPr="005B4041">
        <w:rPr>
          <w:b/>
          <w:i/>
          <w:color w:val="000000"/>
        </w:rPr>
        <w:t xml:space="preserve"> </w:t>
      </w:r>
      <w:r w:rsidRPr="005B4041">
        <w:rPr>
          <w:color w:val="000000"/>
        </w:rPr>
        <w:t>shows</w:t>
      </w:r>
      <w:r>
        <w:rPr>
          <w:color w:val="000000"/>
        </w:rPr>
        <w:t xml:space="preserve"> the total burden for the entire Youth Transition Process Demonstration Evaluation Collection from 2007 through 2013.</w:t>
      </w:r>
      <w:r w:rsidR="000B6F73">
        <w:rPr>
          <w:color w:val="000000"/>
        </w:rPr>
        <w:t xml:space="preserve">  As mentioned in #1 above, we intend to finish the data collection elements in 2013, and we will spend 2014 evaluating the data.  While the chart below shows burden for all the data collection instruments we used during the course of this seven-year study, in 2012 we will only collect information using the 36-month study (table A.2 above).</w:t>
      </w:r>
      <w:r w:rsidR="008874CE">
        <w:rPr>
          <w:color w:val="000000"/>
        </w:rPr>
        <w:t xml:space="preserve">  </w:t>
      </w:r>
      <w:r w:rsidR="008874CE">
        <w:t>We</w:t>
      </w:r>
      <w:r w:rsidR="008874CE" w:rsidRPr="005B4041">
        <w:t xml:space="preserve"> expect to obtain responses from 3,962</w:t>
      </w:r>
      <w:r w:rsidR="008874CE">
        <w:t xml:space="preserve"> total</w:t>
      </w:r>
      <w:r w:rsidR="008874CE" w:rsidRPr="005B4041">
        <w:t xml:space="preserve"> respondents for the 36-month follow-up interview</w:t>
      </w:r>
      <w:r w:rsidR="000832B1">
        <w:t xml:space="preserve"> from 2007 – 2013.</w:t>
      </w:r>
      <w:r w:rsidR="008874CE" w:rsidRPr="005B4041">
        <w:t xml:space="preserve">  Respondents will incur no monetary costs for completing the interview</w:t>
      </w:r>
    </w:p>
    <w:p w:rsidR="00F876CC" w:rsidRDefault="00F876CC" w:rsidP="00D35C72">
      <w:pPr>
        <w:spacing w:line="240" w:lineRule="auto"/>
        <w:ind w:firstLine="0"/>
        <w:rPr>
          <w:sz w:val="20"/>
        </w:rPr>
      </w:pPr>
    </w:p>
    <w:p w:rsidR="00F876CC" w:rsidRDefault="00F876CC" w:rsidP="00F876CC">
      <w:pPr>
        <w:spacing w:line="240" w:lineRule="auto"/>
        <w:ind w:firstLine="0"/>
        <w:jc w:val="center"/>
        <w:rPr>
          <w:sz w:val="20"/>
        </w:rPr>
      </w:pPr>
      <w:r>
        <w:t>TABLE A.3</w:t>
      </w:r>
    </w:p>
    <w:p w:rsidR="00F876CC" w:rsidRDefault="000B6F73" w:rsidP="00F876CC">
      <w:pPr>
        <w:spacing w:line="240" w:lineRule="auto"/>
        <w:ind w:firstLine="0"/>
        <w:jc w:val="center"/>
        <w:rPr>
          <w:sz w:val="20"/>
        </w:rPr>
      </w:pPr>
      <w:r>
        <w:t>COMBINED</w:t>
      </w:r>
      <w:r w:rsidR="00F876CC">
        <w:t xml:space="preserve"> BURDEN</w:t>
      </w:r>
      <w:r>
        <w:t xml:space="preserve"> DATA</w:t>
      </w:r>
      <w:r w:rsidR="00F876CC">
        <w:t xml:space="preserve"> FOR YEARS 2007 - 2013</w:t>
      </w:r>
    </w:p>
    <w:tbl>
      <w:tblPr>
        <w:tblW w:w="8949" w:type="dxa"/>
        <w:tblInd w:w="828" w:type="dxa"/>
        <w:tblBorders>
          <w:bottom w:val="single" w:sz="4" w:space="0" w:color="auto"/>
        </w:tblBorders>
        <w:tblLayout w:type="fixed"/>
        <w:tblLook w:val="0000" w:firstRow="0" w:lastRow="0" w:firstColumn="0" w:lastColumn="0" w:noHBand="0" w:noVBand="0"/>
      </w:tblPr>
      <w:tblGrid>
        <w:gridCol w:w="1080"/>
        <w:gridCol w:w="2418"/>
        <w:gridCol w:w="1239"/>
        <w:gridCol w:w="1162"/>
        <w:gridCol w:w="1099"/>
        <w:gridCol w:w="1951"/>
      </w:tblGrid>
      <w:tr w:rsidR="00F876CC" w:rsidRPr="005B4041" w:rsidTr="00F876CC">
        <w:trPr>
          <w:trHeight w:val="315"/>
        </w:trPr>
        <w:tc>
          <w:tcPr>
            <w:tcW w:w="1080" w:type="dxa"/>
            <w:tcBorders>
              <w:top w:val="single" w:sz="4" w:space="0" w:color="auto"/>
            </w:tcBorders>
            <w:vAlign w:val="bottom"/>
          </w:tcPr>
          <w:p w:rsidR="00F876CC" w:rsidRPr="000B6F73" w:rsidRDefault="00F876CC" w:rsidP="00F876CC">
            <w:pPr>
              <w:snapToGrid w:val="0"/>
              <w:spacing w:line="240" w:lineRule="auto"/>
              <w:ind w:firstLine="0"/>
              <w:jc w:val="left"/>
              <w:rPr>
                <w:bCs/>
                <w:sz w:val="20"/>
              </w:rPr>
            </w:pPr>
          </w:p>
        </w:tc>
        <w:tc>
          <w:tcPr>
            <w:tcW w:w="2418" w:type="dxa"/>
            <w:tcBorders>
              <w:top w:val="single" w:sz="4" w:space="0" w:color="auto"/>
            </w:tcBorders>
            <w:vAlign w:val="bottom"/>
          </w:tcPr>
          <w:p w:rsidR="00F876CC" w:rsidRPr="000B6F73" w:rsidRDefault="00F876CC" w:rsidP="00F876CC">
            <w:pPr>
              <w:snapToGrid w:val="0"/>
              <w:spacing w:line="240" w:lineRule="auto"/>
              <w:ind w:firstLine="0"/>
              <w:jc w:val="left"/>
              <w:rPr>
                <w:bCs/>
                <w:sz w:val="20"/>
              </w:rPr>
            </w:pPr>
            <w:r w:rsidRPr="000B6F73">
              <w:rPr>
                <w:bCs/>
                <w:sz w:val="20"/>
              </w:rPr>
              <w:t>Collection</w:t>
            </w:r>
          </w:p>
        </w:tc>
        <w:tc>
          <w:tcPr>
            <w:tcW w:w="1239" w:type="dxa"/>
            <w:tcBorders>
              <w:top w:val="single" w:sz="4" w:space="0" w:color="auto"/>
            </w:tcBorders>
            <w:vAlign w:val="bottom"/>
          </w:tcPr>
          <w:p w:rsidR="00F876CC" w:rsidRPr="000B6F73" w:rsidRDefault="00F876CC" w:rsidP="00F876CC">
            <w:pPr>
              <w:tabs>
                <w:tab w:val="clear" w:pos="432"/>
                <w:tab w:val="decimal" w:pos="1018"/>
              </w:tabs>
              <w:snapToGrid w:val="0"/>
              <w:spacing w:line="240" w:lineRule="auto"/>
              <w:ind w:firstLine="0"/>
              <w:jc w:val="left"/>
              <w:rPr>
                <w:bCs/>
                <w:sz w:val="20"/>
              </w:rPr>
            </w:pPr>
            <w:r w:rsidRPr="000B6F73">
              <w:rPr>
                <w:bCs/>
                <w:sz w:val="20"/>
              </w:rPr>
              <w:t>Number of Respondents</w:t>
            </w:r>
          </w:p>
        </w:tc>
        <w:tc>
          <w:tcPr>
            <w:tcW w:w="1162" w:type="dxa"/>
            <w:tcBorders>
              <w:top w:val="single" w:sz="4" w:space="0" w:color="auto"/>
            </w:tcBorders>
            <w:vAlign w:val="bottom"/>
          </w:tcPr>
          <w:p w:rsidR="00F876CC" w:rsidRPr="000B6F73" w:rsidRDefault="00F876CC" w:rsidP="00F876CC">
            <w:pPr>
              <w:tabs>
                <w:tab w:val="clear" w:pos="432"/>
                <w:tab w:val="decimal" w:pos="502"/>
              </w:tabs>
              <w:snapToGrid w:val="0"/>
              <w:spacing w:line="240" w:lineRule="auto"/>
              <w:ind w:firstLine="0"/>
              <w:jc w:val="left"/>
              <w:rPr>
                <w:rFonts w:eastAsia="Arial Unicode MS"/>
                <w:bCs/>
                <w:sz w:val="20"/>
              </w:rPr>
            </w:pPr>
            <w:r w:rsidRPr="000B6F73">
              <w:rPr>
                <w:rFonts w:eastAsia="Arial Unicode MS"/>
                <w:bCs/>
                <w:sz w:val="20"/>
              </w:rPr>
              <w:t>Responses Per Respondent</w:t>
            </w:r>
          </w:p>
        </w:tc>
        <w:tc>
          <w:tcPr>
            <w:tcW w:w="1099" w:type="dxa"/>
            <w:tcBorders>
              <w:top w:val="single" w:sz="4" w:space="0" w:color="auto"/>
            </w:tcBorders>
            <w:vAlign w:val="bottom"/>
          </w:tcPr>
          <w:p w:rsidR="00F876CC" w:rsidRPr="000B6F73" w:rsidRDefault="00F876CC" w:rsidP="00F876CC">
            <w:pPr>
              <w:tabs>
                <w:tab w:val="clear" w:pos="432"/>
                <w:tab w:val="decimal" w:pos="531"/>
              </w:tabs>
              <w:snapToGrid w:val="0"/>
              <w:spacing w:line="240" w:lineRule="auto"/>
              <w:ind w:firstLine="0"/>
              <w:jc w:val="left"/>
              <w:rPr>
                <w:bCs/>
                <w:sz w:val="20"/>
              </w:rPr>
            </w:pPr>
            <w:r w:rsidRPr="000B6F73">
              <w:rPr>
                <w:bCs/>
                <w:sz w:val="20"/>
              </w:rPr>
              <w:t xml:space="preserve">Average Burden </w:t>
            </w:r>
            <w:r w:rsidRPr="000B6F73">
              <w:rPr>
                <w:bCs/>
                <w:sz w:val="20"/>
              </w:rPr>
              <w:br/>
              <w:t>Per Response (Hours)</w:t>
            </w:r>
          </w:p>
        </w:tc>
        <w:tc>
          <w:tcPr>
            <w:tcW w:w="1951" w:type="dxa"/>
            <w:tcBorders>
              <w:top w:val="single" w:sz="4" w:space="0" w:color="auto"/>
            </w:tcBorders>
            <w:vAlign w:val="bottom"/>
          </w:tcPr>
          <w:p w:rsidR="00F876CC" w:rsidRPr="000B6F73" w:rsidRDefault="00F876CC" w:rsidP="00F876CC">
            <w:pPr>
              <w:tabs>
                <w:tab w:val="clear" w:pos="432"/>
                <w:tab w:val="decimal" w:pos="923"/>
              </w:tabs>
              <w:snapToGrid w:val="0"/>
              <w:spacing w:line="240" w:lineRule="auto"/>
              <w:ind w:firstLine="0"/>
              <w:jc w:val="left"/>
              <w:rPr>
                <w:bCs/>
                <w:sz w:val="20"/>
              </w:rPr>
            </w:pPr>
            <w:r w:rsidRPr="000B6F73">
              <w:rPr>
                <w:bCs/>
                <w:sz w:val="20"/>
              </w:rPr>
              <w:t>Total Response Burden</w:t>
            </w:r>
            <w:r w:rsidRPr="000B6F73">
              <w:rPr>
                <w:bCs/>
                <w:sz w:val="20"/>
              </w:rPr>
              <w:br/>
              <w:t>(Hours)</w:t>
            </w:r>
          </w:p>
        </w:tc>
      </w:tr>
      <w:tr w:rsidR="00F876CC" w:rsidRPr="005B4041" w:rsidTr="00F876CC">
        <w:trPr>
          <w:trHeight w:val="315"/>
        </w:trPr>
        <w:tc>
          <w:tcPr>
            <w:tcW w:w="1080" w:type="dxa"/>
            <w:tcBorders>
              <w:top w:val="single" w:sz="4" w:space="0" w:color="auto"/>
            </w:tcBorders>
            <w:vAlign w:val="bottom"/>
          </w:tcPr>
          <w:p w:rsidR="00F876CC" w:rsidRPr="005B4041" w:rsidRDefault="00F876CC" w:rsidP="00F876CC">
            <w:pPr>
              <w:snapToGrid w:val="0"/>
              <w:spacing w:line="240" w:lineRule="auto"/>
              <w:ind w:firstLine="0"/>
              <w:jc w:val="left"/>
              <w:rPr>
                <w:b/>
                <w:bCs/>
                <w:sz w:val="20"/>
              </w:rPr>
            </w:pPr>
          </w:p>
          <w:p w:rsidR="00F876CC" w:rsidRPr="005B4041" w:rsidRDefault="00F876CC" w:rsidP="00F876CC">
            <w:pPr>
              <w:spacing w:line="240" w:lineRule="auto"/>
              <w:ind w:firstLine="0"/>
              <w:jc w:val="left"/>
              <w:rPr>
                <w:b/>
                <w:bCs/>
                <w:sz w:val="20"/>
              </w:rPr>
            </w:pPr>
            <w:r w:rsidRPr="005B4041">
              <w:rPr>
                <w:b/>
                <w:bCs/>
                <w:sz w:val="20"/>
              </w:rPr>
              <w:t>Grand Total</w:t>
            </w:r>
          </w:p>
        </w:tc>
        <w:tc>
          <w:tcPr>
            <w:tcW w:w="2418" w:type="dxa"/>
            <w:tcBorders>
              <w:top w:val="single" w:sz="4" w:space="0" w:color="auto"/>
            </w:tcBorders>
            <w:vAlign w:val="bottom"/>
          </w:tcPr>
          <w:p w:rsidR="00F876CC" w:rsidRPr="005B4041" w:rsidRDefault="00F876CC" w:rsidP="00F876CC">
            <w:pPr>
              <w:snapToGrid w:val="0"/>
              <w:spacing w:line="240" w:lineRule="auto"/>
              <w:ind w:firstLine="0"/>
              <w:jc w:val="left"/>
              <w:rPr>
                <w:b/>
                <w:bCs/>
                <w:sz w:val="20"/>
              </w:rPr>
            </w:pPr>
            <w:r w:rsidRPr="005B4041">
              <w:rPr>
                <w:b/>
                <w:bCs/>
                <w:sz w:val="20"/>
              </w:rPr>
              <w:t>Baseline</w:t>
            </w:r>
          </w:p>
        </w:tc>
        <w:tc>
          <w:tcPr>
            <w:tcW w:w="1239" w:type="dxa"/>
            <w:tcBorders>
              <w:top w:val="single" w:sz="4" w:space="0" w:color="auto"/>
            </w:tcBorders>
            <w:vAlign w:val="bottom"/>
          </w:tcPr>
          <w:p w:rsidR="00F876CC" w:rsidRPr="005B4041" w:rsidRDefault="00F876CC" w:rsidP="00F876CC">
            <w:pPr>
              <w:tabs>
                <w:tab w:val="clear" w:pos="432"/>
                <w:tab w:val="decimal" w:pos="1018"/>
              </w:tabs>
              <w:snapToGrid w:val="0"/>
              <w:spacing w:line="240" w:lineRule="auto"/>
              <w:ind w:firstLine="0"/>
              <w:jc w:val="left"/>
              <w:rPr>
                <w:b/>
                <w:bCs/>
                <w:sz w:val="20"/>
              </w:rPr>
            </w:pPr>
            <w:r w:rsidRPr="005B4041">
              <w:rPr>
                <w:b/>
                <w:bCs/>
                <w:sz w:val="20"/>
              </w:rPr>
              <w:t>5,651</w:t>
            </w:r>
          </w:p>
        </w:tc>
        <w:tc>
          <w:tcPr>
            <w:tcW w:w="1162" w:type="dxa"/>
            <w:tcBorders>
              <w:top w:val="single" w:sz="4" w:space="0" w:color="auto"/>
            </w:tcBorders>
            <w:vAlign w:val="bottom"/>
          </w:tcPr>
          <w:p w:rsidR="00F876CC" w:rsidRPr="005B4041" w:rsidRDefault="00F876CC" w:rsidP="00F876CC">
            <w:pPr>
              <w:tabs>
                <w:tab w:val="clear" w:pos="432"/>
                <w:tab w:val="decimal" w:pos="502"/>
              </w:tabs>
              <w:snapToGrid w:val="0"/>
              <w:spacing w:line="240" w:lineRule="auto"/>
              <w:ind w:firstLine="0"/>
              <w:jc w:val="left"/>
              <w:rPr>
                <w:rFonts w:eastAsia="Arial Unicode MS"/>
                <w:b/>
                <w:bCs/>
                <w:sz w:val="20"/>
              </w:rPr>
            </w:pPr>
            <w:r w:rsidRPr="005B4041">
              <w:rPr>
                <w:rFonts w:eastAsia="Arial Unicode MS"/>
                <w:b/>
                <w:bCs/>
                <w:sz w:val="20"/>
              </w:rPr>
              <w:t>1</w:t>
            </w:r>
          </w:p>
        </w:tc>
        <w:tc>
          <w:tcPr>
            <w:tcW w:w="1099" w:type="dxa"/>
            <w:tcBorders>
              <w:top w:val="single" w:sz="4" w:space="0" w:color="auto"/>
            </w:tcBorders>
            <w:vAlign w:val="bottom"/>
          </w:tcPr>
          <w:p w:rsidR="00F876CC" w:rsidRPr="005B4041" w:rsidRDefault="00F876CC" w:rsidP="00F876CC">
            <w:pPr>
              <w:tabs>
                <w:tab w:val="clear" w:pos="432"/>
                <w:tab w:val="decimal" w:pos="531"/>
              </w:tabs>
              <w:snapToGrid w:val="0"/>
              <w:spacing w:line="240" w:lineRule="auto"/>
              <w:ind w:firstLine="0"/>
              <w:jc w:val="left"/>
              <w:rPr>
                <w:b/>
                <w:bCs/>
                <w:sz w:val="20"/>
              </w:rPr>
            </w:pPr>
            <w:r w:rsidRPr="005B4041">
              <w:rPr>
                <w:b/>
                <w:bCs/>
                <w:sz w:val="20"/>
              </w:rPr>
              <w:t>0.55</w:t>
            </w:r>
          </w:p>
        </w:tc>
        <w:tc>
          <w:tcPr>
            <w:tcW w:w="1951" w:type="dxa"/>
            <w:tcBorders>
              <w:top w:val="single" w:sz="4" w:space="0" w:color="auto"/>
            </w:tcBorders>
            <w:vAlign w:val="bottom"/>
          </w:tcPr>
          <w:p w:rsidR="00F876CC" w:rsidRPr="005B4041" w:rsidRDefault="00F876CC" w:rsidP="00F876CC">
            <w:pPr>
              <w:tabs>
                <w:tab w:val="clear" w:pos="432"/>
                <w:tab w:val="decimal" w:pos="923"/>
              </w:tabs>
              <w:snapToGrid w:val="0"/>
              <w:spacing w:line="240" w:lineRule="auto"/>
              <w:ind w:firstLine="0"/>
              <w:jc w:val="left"/>
              <w:rPr>
                <w:b/>
                <w:bCs/>
                <w:sz w:val="20"/>
              </w:rPr>
            </w:pPr>
            <w:r w:rsidRPr="005B4041">
              <w:rPr>
                <w:b/>
                <w:bCs/>
                <w:sz w:val="20"/>
              </w:rPr>
              <w:t>3,108</w:t>
            </w:r>
          </w:p>
        </w:tc>
      </w:tr>
      <w:tr w:rsidR="00F876CC" w:rsidRPr="005B4041" w:rsidTr="00F876CC">
        <w:trPr>
          <w:trHeight w:val="315"/>
        </w:trPr>
        <w:tc>
          <w:tcPr>
            <w:tcW w:w="1080" w:type="dxa"/>
            <w:vAlign w:val="bottom"/>
          </w:tcPr>
          <w:p w:rsidR="00F876CC" w:rsidRPr="005B4041" w:rsidRDefault="00F876CC" w:rsidP="00F876CC">
            <w:pPr>
              <w:snapToGrid w:val="0"/>
              <w:spacing w:line="240" w:lineRule="auto"/>
              <w:ind w:firstLine="0"/>
              <w:jc w:val="left"/>
              <w:rPr>
                <w:rFonts w:eastAsia="Arial Unicode MS"/>
                <w:b/>
                <w:bCs/>
                <w:sz w:val="20"/>
              </w:rPr>
            </w:pPr>
          </w:p>
        </w:tc>
        <w:tc>
          <w:tcPr>
            <w:tcW w:w="2418" w:type="dxa"/>
            <w:vAlign w:val="bottom"/>
          </w:tcPr>
          <w:p w:rsidR="00F876CC" w:rsidRPr="005B4041" w:rsidRDefault="00F876CC" w:rsidP="00F876CC">
            <w:pPr>
              <w:snapToGrid w:val="0"/>
              <w:spacing w:line="240" w:lineRule="auto"/>
              <w:ind w:firstLine="0"/>
              <w:jc w:val="left"/>
              <w:rPr>
                <w:b/>
                <w:sz w:val="20"/>
              </w:rPr>
            </w:pPr>
            <w:r w:rsidRPr="005B4041">
              <w:rPr>
                <w:b/>
                <w:sz w:val="20"/>
              </w:rPr>
              <w:t>Informed Consent</w:t>
            </w:r>
          </w:p>
        </w:tc>
        <w:tc>
          <w:tcPr>
            <w:tcW w:w="1239" w:type="dxa"/>
            <w:vAlign w:val="bottom"/>
          </w:tcPr>
          <w:p w:rsidR="00F876CC" w:rsidRPr="005B4041" w:rsidRDefault="00F876CC" w:rsidP="00F876CC">
            <w:pPr>
              <w:tabs>
                <w:tab w:val="clear" w:pos="432"/>
                <w:tab w:val="decimal" w:pos="1018"/>
              </w:tabs>
              <w:snapToGrid w:val="0"/>
              <w:spacing w:line="240" w:lineRule="auto"/>
              <w:ind w:firstLine="0"/>
              <w:jc w:val="left"/>
              <w:rPr>
                <w:b/>
                <w:bCs/>
                <w:sz w:val="20"/>
              </w:rPr>
            </w:pPr>
            <w:r w:rsidRPr="005B4041">
              <w:rPr>
                <w:b/>
                <w:bCs/>
                <w:sz w:val="20"/>
              </w:rPr>
              <w:t>5,651</w:t>
            </w:r>
          </w:p>
        </w:tc>
        <w:tc>
          <w:tcPr>
            <w:tcW w:w="1162" w:type="dxa"/>
            <w:vAlign w:val="bottom"/>
          </w:tcPr>
          <w:p w:rsidR="00F876CC" w:rsidRPr="005B4041" w:rsidRDefault="00F876CC" w:rsidP="00F876CC">
            <w:pPr>
              <w:tabs>
                <w:tab w:val="clear" w:pos="432"/>
                <w:tab w:val="decimal" w:pos="502"/>
              </w:tabs>
              <w:snapToGrid w:val="0"/>
              <w:spacing w:line="240" w:lineRule="auto"/>
              <w:ind w:firstLine="0"/>
              <w:jc w:val="left"/>
              <w:rPr>
                <w:rFonts w:eastAsia="Arial Unicode MS"/>
                <w:b/>
                <w:sz w:val="20"/>
              </w:rPr>
            </w:pPr>
            <w:r w:rsidRPr="005B4041">
              <w:rPr>
                <w:rFonts w:eastAsia="Arial Unicode MS"/>
                <w:b/>
                <w:sz w:val="20"/>
              </w:rPr>
              <w:t>1</w:t>
            </w:r>
          </w:p>
        </w:tc>
        <w:tc>
          <w:tcPr>
            <w:tcW w:w="1099" w:type="dxa"/>
            <w:vAlign w:val="bottom"/>
          </w:tcPr>
          <w:p w:rsidR="00F876CC" w:rsidRPr="005B4041" w:rsidRDefault="00F876CC" w:rsidP="00F876CC">
            <w:pPr>
              <w:tabs>
                <w:tab w:val="clear" w:pos="432"/>
                <w:tab w:val="decimal" w:pos="531"/>
              </w:tabs>
              <w:snapToGrid w:val="0"/>
              <w:spacing w:line="240" w:lineRule="auto"/>
              <w:ind w:firstLine="0"/>
              <w:jc w:val="left"/>
              <w:rPr>
                <w:b/>
                <w:sz w:val="20"/>
              </w:rPr>
            </w:pPr>
            <w:r w:rsidRPr="005B4041">
              <w:rPr>
                <w:b/>
                <w:sz w:val="20"/>
              </w:rPr>
              <w:t>.083</w:t>
            </w:r>
          </w:p>
        </w:tc>
        <w:tc>
          <w:tcPr>
            <w:tcW w:w="1951" w:type="dxa"/>
            <w:vAlign w:val="bottom"/>
          </w:tcPr>
          <w:p w:rsidR="00F876CC" w:rsidRPr="005B4041" w:rsidRDefault="00F876CC" w:rsidP="00F876CC">
            <w:pPr>
              <w:tabs>
                <w:tab w:val="clear" w:pos="432"/>
                <w:tab w:val="decimal" w:pos="923"/>
              </w:tabs>
              <w:snapToGrid w:val="0"/>
              <w:spacing w:line="240" w:lineRule="auto"/>
              <w:ind w:firstLine="0"/>
              <w:jc w:val="left"/>
              <w:rPr>
                <w:b/>
                <w:bCs/>
                <w:sz w:val="20"/>
              </w:rPr>
            </w:pPr>
            <w:r w:rsidRPr="005B4041">
              <w:rPr>
                <w:b/>
                <w:bCs/>
                <w:sz w:val="20"/>
              </w:rPr>
              <w:t>469</w:t>
            </w:r>
          </w:p>
        </w:tc>
      </w:tr>
      <w:tr w:rsidR="00F876CC" w:rsidRPr="005B4041" w:rsidTr="00F876CC">
        <w:trPr>
          <w:trHeight w:val="315"/>
        </w:trPr>
        <w:tc>
          <w:tcPr>
            <w:tcW w:w="1080" w:type="dxa"/>
            <w:vAlign w:val="bottom"/>
          </w:tcPr>
          <w:p w:rsidR="00F876CC" w:rsidRPr="005B4041" w:rsidRDefault="00F876CC" w:rsidP="00F876CC">
            <w:pPr>
              <w:snapToGrid w:val="0"/>
              <w:spacing w:line="240" w:lineRule="auto"/>
              <w:ind w:firstLine="0"/>
              <w:jc w:val="left"/>
              <w:rPr>
                <w:rFonts w:eastAsia="Arial Unicode MS"/>
                <w:b/>
                <w:bCs/>
                <w:sz w:val="20"/>
              </w:rPr>
            </w:pPr>
          </w:p>
        </w:tc>
        <w:tc>
          <w:tcPr>
            <w:tcW w:w="2418" w:type="dxa"/>
            <w:vAlign w:val="bottom"/>
          </w:tcPr>
          <w:p w:rsidR="00F876CC" w:rsidRPr="005B4041" w:rsidRDefault="00F876CC" w:rsidP="00F876CC">
            <w:pPr>
              <w:snapToGrid w:val="0"/>
              <w:spacing w:line="240" w:lineRule="auto"/>
              <w:ind w:firstLine="0"/>
              <w:jc w:val="left"/>
              <w:rPr>
                <w:b/>
                <w:bCs/>
                <w:sz w:val="20"/>
              </w:rPr>
            </w:pPr>
            <w:r w:rsidRPr="005B4041">
              <w:rPr>
                <w:b/>
                <w:bCs/>
                <w:sz w:val="20"/>
              </w:rPr>
              <w:t>12 month follow-up</w:t>
            </w:r>
          </w:p>
        </w:tc>
        <w:tc>
          <w:tcPr>
            <w:tcW w:w="1239" w:type="dxa"/>
            <w:vAlign w:val="bottom"/>
          </w:tcPr>
          <w:p w:rsidR="00F876CC" w:rsidRPr="005B4041" w:rsidRDefault="00F876CC" w:rsidP="00F876CC">
            <w:pPr>
              <w:tabs>
                <w:tab w:val="clear" w:pos="432"/>
                <w:tab w:val="decimal" w:pos="1018"/>
              </w:tabs>
              <w:snapToGrid w:val="0"/>
              <w:spacing w:line="240" w:lineRule="auto"/>
              <w:ind w:firstLine="0"/>
              <w:jc w:val="left"/>
              <w:rPr>
                <w:b/>
                <w:bCs/>
                <w:sz w:val="20"/>
              </w:rPr>
            </w:pPr>
            <w:r w:rsidRPr="005B4041">
              <w:rPr>
                <w:b/>
                <w:bCs/>
                <w:sz w:val="20"/>
              </w:rPr>
              <w:t>4,752</w:t>
            </w:r>
          </w:p>
        </w:tc>
        <w:tc>
          <w:tcPr>
            <w:tcW w:w="1162" w:type="dxa"/>
            <w:vAlign w:val="bottom"/>
          </w:tcPr>
          <w:p w:rsidR="00F876CC" w:rsidRPr="005B4041" w:rsidRDefault="00F876CC" w:rsidP="00F876CC">
            <w:pPr>
              <w:tabs>
                <w:tab w:val="clear" w:pos="432"/>
                <w:tab w:val="decimal" w:pos="502"/>
              </w:tabs>
              <w:snapToGrid w:val="0"/>
              <w:spacing w:line="240" w:lineRule="auto"/>
              <w:ind w:firstLine="0"/>
              <w:jc w:val="left"/>
              <w:rPr>
                <w:rFonts w:eastAsia="Arial Unicode MS"/>
                <w:b/>
                <w:bCs/>
                <w:sz w:val="20"/>
              </w:rPr>
            </w:pPr>
            <w:r w:rsidRPr="005B4041">
              <w:rPr>
                <w:rFonts w:eastAsia="Arial Unicode MS"/>
                <w:b/>
                <w:bCs/>
                <w:sz w:val="20"/>
              </w:rPr>
              <w:t>1</w:t>
            </w:r>
          </w:p>
        </w:tc>
        <w:tc>
          <w:tcPr>
            <w:tcW w:w="1099" w:type="dxa"/>
            <w:vAlign w:val="bottom"/>
          </w:tcPr>
          <w:p w:rsidR="00F876CC" w:rsidRPr="005B4041" w:rsidRDefault="00F876CC" w:rsidP="00F876CC">
            <w:pPr>
              <w:tabs>
                <w:tab w:val="clear" w:pos="432"/>
                <w:tab w:val="decimal" w:pos="531"/>
              </w:tabs>
              <w:snapToGrid w:val="0"/>
              <w:spacing w:line="240" w:lineRule="auto"/>
              <w:ind w:firstLine="0"/>
              <w:jc w:val="left"/>
              <w:rPr>
                <w:b/>
                <w:bCs/>
                <w:sz w:val="20"/>
              </w:rPr>
            </w:pPr>
            <w:r w:rsidRPr="005B4041">
              <w:rPr>
                <w:b/>
                <w:bCs/>
                <w:sz w:val="20"/>
              </w:rPr>
              <w:t>0.83</w:t>
            </w:r>
          </w:p>
        </w:tc>
        <w:tc>
          <w:tcPr>
            <w:tcW w:w="1951" w:type="dxa"/>
            <w:vAlign w:val="bottom"/>
          </w:tcPr>
          <w:p w:rsidR="00F876CC" w:rsidRPr="005B4041" w:rsidRDefault="00F876CC" w:rsidP="00F876CC">
            <w:pPr>
              <w:tabs>
                <w:tab w:val="clear" w:pos="432"/>
                <w:tab w:val="decimal" w:pos="923"/>
              </w:tabs>
              <w:snapToGrid w:val="0"/>
              <w:spacing w:line="240" w:lineRule="auto"/>
              <w:ind w:firstLine="0"/>
              <w:jc w:val="left"/>
              <w:rPr>
                <w:b/>
                <w:bCs/>
                <w:sz w:val="20"/>
              </w:rPr>
            </w:pPr>
            <w:r w:rsidRPr="005B4041">
              <w:rPr>
                <w:b/>
                <w:bCs/>
                <w:sz w:val="20"/>
              </w:rPr>
              <w:t>3,944</w:t>
            </w:r>
          </w:p>
        </w:tc>
      </w:tr>
      <w:tr w:rsidR="00F876CC" w:rsidRPr="005B4041" w:rsidTr="00F876CC">
        <w:trPr>
          <w:trHeight w:val="315"/>
        </w:trPr>
        <w:tc>
          <w:tcPr>
            <w:tcW w:w="1080" w:type="dxa"/>
            <w:vAlign w:val="bottom"/>
          </w:tcPr>
          <w:p w:rsidR="00F876CC" w:rsidRPr="005B4041" w:rsidRDefault="00F876CC" w:rsidP="00F876CC">
            <w:pPr>
              <w:snapToGrid w:val="0"/>
              <w:spacing w:line="240" w:lineRule="auto"/>
              <w:ind w:firstLine="0"/>
              <w:jc w:val="left"/>
              <w:rPr>
                <w:rFonts w:eastAsia="Arial Unicode MS"/>
                <w:b/>
                <w:bCs/>
                <w:sz w:val="20"/>
              </w:rPr>
            </w:pPr>
          </w:p>
        </w:tc>
        <w:tc>
          <w:tcPr>
            <w:tcW w:w="2418" w:type="dxa"/>
            <w:vAlign w:val="bottom"/>
          </w:tcPr>
          <w:p w:rsidR="00F876CC" w:rsidRPr="005B4041" w:rsidRDefault="00F876CC" w:rsidP="00F876CC">
            <w:pPr>
              <w:snapToGrid w:val="0"/>
              <w:spacing w:line="240" w:lineRule="auto"/>
              <w:ind w:firstLine="0"/>
              <w:jc w:val="left"/>
              <w:rPr>
                <w:b/>
                <w:bCs/>
                <w:sz w:val="20"/>
              </w:rPr>
            </w:pPr>
            <w:r w:rsidRPr="005B4041">
              <w:rPr>
                <w:b/>
                <w:bCs/>
                <w:sz w:val="20"/>
              </w:rPr>
              <w:t>In-depth interviews</w:t>
            </w:r>
          </w:p>
        </w:tc>
        <w:tc>
          <w:tcPr>
            <w:tcW w:w="1239" w:type="dxa"/>
            <w:vAlign w:val="bottom"/>
          </w:tcPr>
          <w:p w:rsidR="00F876CC" w:rsidRPr="005B4041" w:rsidRDefault="00F876CC" w:rsidP="00F876CC">
            <w:pPr>
              <w:tabs>
                <w:tab w:val="clear" w:pos="432"/>
                <w:tab w:val="decimal" w:pos="1018"/>
              </w:tabs>
              <w:snapToGrid w:val="0"/>
              <w:spacing w:line="240" w:lineRule="auto"/>
              <w:ind w:firstLine="0"/>
              <w:jc w:val="left"/>
              <w:rPr>
                <w:b/>
                <w:bCs/>
                <w:sz w:val="20"/>
              </w:rPr>
            </w:pPr>
            <w:r w:rsidRPr="005B4041">
              <w:rPr>
                <w:b/>
                <w:bCs/>
                <w:sz w:val="20"/>
              </w:rPr>
              <w:t>240</w:t>
            </w:r>
          </w:p>
        </w:tc>
        <w:tc>
          <w:tcPr>
            <w:tcW w:w="1162" w:type="dxa"/>
            <w:vAlign w:val="bottom"/>
          </w:tcPr>
          <w:p w:rsidR="00F876CC" w:rsidRPr="005B4041" w:rsidRDefault="00F876CC" w:rsidP="00F876CC">
            <w:pPr>
              <w:tabs>
                <w:tab w:val="clear" w:pos="432"/>
                <w:tab w:val="decimal" w:pos="502"/>
              </w:tabs>
              <w:snapToGrid w:val="0"/>
              <w:spacing w:line="240" w:lineRule="auto"/>
              <w:ind w:firstLine="0"/>
              <w:jc w:val="left"/>
              <w:rPr>
                <w:rFonts w:eastAsia="Arial Unicode MS"/>
                <w:b/>
                <w:bCs/>
                <w:sz w:val="20"/>
              </w:rPr>
            </w:pPr>
            <w:r w:rsidRPr="005B4041">
              <w:rPr>
                <w:rFonts w:eastAsia="Arial Unicode MS"/>
                <w:b/>
                <w:bCs/>
                <w:sz w:val="20"/>
              </w:rPr>
              <w:t>1</w:t>
            </w:r>
          </w:p>
        </w:tc>
        <w:tc>
          <w:tcPr>
            <w:tcW w:w="1099" w:type="dxa"/>
            <w:vAlign w:val="bottom"/>
          </w:tcPr>
          <w:p w:rsidR="00F876CC" w:rsidRPr="005B4041" w:rsidRDefault="00F876CC" w:rsidP="00F876CC">
            <w:pPr>
              <w:tabs>
                <w:tab w:val="clear" w:pos="432"/>
                <w:tab w:val="decimal" w:pos="531"/>
              </w:tabs>
              <w:snapToGrid w:val="0"/>
              <w:spacing w:line="240" w:lineRule="auto"/>
              <w:ind w:firstLine="0"/>
              <w:jc w:val="left"/>
              <w:rPr>
                <w:b/>
                <w:bCs/>
                <w:sz w:val="20"/>
              </w:rPr>
            </w:pPr>
            <w:r w:rsidRPr="005B4041">
              <w:rPr>
                <w:b/>
                <w:bCs/>
                <w:sz w:val="20"/>
              </w:rPr>
              <w:t>.42</w:t>
            </w:r>
          </w:p>
        </w:tc>
        <w:tc>
          <w:tcPr>
            <w:tcW w:w="1951" w:type="dxa"/>
            <w:vAlign w:val="bottom"/>
          </w:tcPr>
          <w:p w:rsidR="00F876CC" w:rsidRPr="005B4041" w:rsidRDefault="00F876CC" w:rsidP="00F876CC">
            <w:pPr>
              <w:tabs>
                <w:tab w:val="clear" w:pos="432"/>
                <w:tab w:val="decimal" w:pos="923"/>
              </w:tabs>
              <w:snapToGrid w:val="0"/>
              <w:spacing w:line="240" w:lineRule="auto"/>
              <w:ind w:firstLine="0"/>
              <w:jc w:val="left"/>
              <w:rPr>
                <w:b/>
                <w:bCs/>
                <w:sz w:val="20"/>
              </w:rPr>
            </w:pPr>
            <w:r w:rsidRPr="005B4041">
              <w:rPr>
                <w:b/>
                <w:bCs/>
                <w:sz w:val="20"/>
              </w:rPr>
              <w:t>101</w:t>
            </w:r>
          </w:p>
        </w:tc>
      </w:tr>
      <w:tr w:rsidR="00F876CC" w:rsidRPr="005B4041" w:rsidTr="00F876CC">
        <w:trPr>
          <w:trHeight w:val="315"/>
        </w:trPr>
        <w:tc>
          <w:tcPr>
            <w:tcW w:w="1080" w:type="dxa"/>
            <w:vAlign w:val="bottom"/>
          </w:tcPr>
          <w:p w:rsidR="00F876CC" w:rsidRPr="005B4041" w:rsidRDefault="00F876CC" w:rsidP="00F876CC">
            <w:pPr>
              <w:snapToGrid w:val="0"/>
              <w:spacing w:line="240" w:lineRule="auto"/>
              <w:ind w:firstLine="0"/>
              <w:jc w:val="left"/>
              <w:rPr>
                <w:rFonts w:eastAsia="Arial Unicode MS"/>
                <w:b/>
                <w:bCs/>
                <w:sz w:val="20"/>
              </w:rPr>
            </w:pPr>
          </w:p>
        </w:tc>
        <w:tc>
          <w:tcPr>
            <w:tcW w:w="2418" w:type="dxa"/>
            <w:vAlign w:val="bottom"/>
          </w:tcPr>
          <w:p w:rsidR="00F876CC" w:rsidRPr="005B4041" w:rsidRDefault="00F876CC" w:rsidP="00F876CC">
            <w:pPr>
              <w:snapToGrid w:val="0"/>
              <w:spacing w:line="240" w:lineRule="auto"/>
              <w:ind w:firstLine="0"/>
              <w:jc w:val="left"/>
              <w:rPr>
                <w:b/>
                <w:bCs/>
                <w:sz w:val="20"/>
              </w:rPr>
            </w:pPr>
            <w:r w:rsidRPr="005B4041">
              <w:rPr>
                <w:b/>
                <w:bCs/>
                <w:sz w:val="20"/>
              </w:rPr>
              <w:t>Focus group</w:t>
            </w:r>
          </w:p>
        </w:tc>
        <w:tc>
          <w:tcPr>
            <w:tcW w:w="1239" w:type="dxa"/>
            <w:vAlign w:val="bottom"/>
          </w:tcPr>
          <w:p w:rsidR="00F876CC" w:rsidRPr="005B4041" w:rsidRDefault="00F876CC" w:rsidP="00F876CC">
            <w:pPr>
              <w:tabs>
                <w:tab w:val="clear" w:pos="432"/>
                <w:tab w:val="decimal" w:pos="1018"/>
              </w:tabs>
              <w:snapToGrid w:val="0"/>
              <w:spacing w:line="240" w:lineRule="auto"/>
              <w:ind w:firstLine="0"/>
              <w:jc w:val="left"/>
              <w:rPr>
                <w:b/>
                <w:bCs/>
                <w:sz w:val="20"/>
              </w:rPr>
            </w:pPr>
            <w:r w:rsidRPr="005B4041">
              <w:rPr>
                <w:b/>
                <w:bCs/>
                <w:sz w:val="20"/>
              </w:rPr>
              <w:t>440</w:t>
            </w:r>
          </w:p>
        </w:tc>
        <w:tc>
          <w:tcPr>
            <w:tcW w:w="1162" w:type="dxa"/>
            <w:vAlign w:val="bottom"/>
          </w:tcPr>
          <w:p w:rsidR="00F876CC" w:rsidRPr="005B4041" w:rsidRDefault="00F876CC" w:rsidP="00F876CC">
            <w:pPr>
              <w:tabs>
                <w:tab w:val="clear" w:pos="432"/>
                <w:tab w:val="decimal" w:pos="502"/>
              </w:tabs>
              <w:snapToGrid w:val="0"/>
              <w:spacing w:line="240" w:lineRule="auto"/>
              <w:ind w:firstLine="0"/>
              <w:jc w:val="left"/>
              <w:rPr>
                <w:rFonts w:eastAsia="Arial Unicode MS"/>
                <w:b/>
                <w:bCs/>
                <w:sz w:val="20"/>
              </w:rPr>
            </w:pPr>
            <w:r w:rsidRPr="005B4041">
              <w:rPr>
                <w:rFonts w:eastAsia="Arial Unicode MS"/>
                <w:b/>
                <w:bCs/>
                <w:sz w:val="20"/>
              </w:rPr>
              <w:t>1</w:t>
            </w:r>
          </w:p>
        </w:tc>
        <w:tc>
          <w:tcPr>
            <w:tcW w:w="1099" w:type="dxa"/>
            <w:vAlign w:val="bottom"/>
          </w:tcPr>
          <w:p w:rsidR="00F876CC" w:rsidRPr="005B4041" w:rsidRDefault="00F876CC" w:rsidP="00F876CC">
            <w:pPr>
              <w:tabs>
                <w:tab w:val="clear" w:pos="432"/>
                <w:tab w:val="decimal" w:pos="531"/>
              </w:tabs>
              <w:snapToGrid w:val="0"/>
              <w:spacing w:line="240" w:lineRule="auto"/>
              <w:ind w:firstLine="0"/>
              <w:jc w:val="left"/>
              <w:rPr>
                <w:b/>
                <w:bCs/>
                <w:sz w:val="20"/>
              </w:rPr>
            </w:pPr>
            <w:r w:rsidRPr="005B4041">
              <w:rPr>
                <w:b/>
                <w:bCs/>
                <w:sz w:val="20"/>
              </w:rPr>
              <w:t>1.5</w:t>
            </w:r>
          </w:p>
        </w:tc>
        <w:tc>
          <w:tcPr>
            <w:tcW w:w="1951" w:type="dxa"/>
            <w:vAlign w:val="bottom"/>
          </w:tcPr>
          <w:p w:rsidR="00F876CC" w:rsidRPr="005B4041" w:rsidRDefault="00F876CC" w:rsidP="00F876CC">
            <w:pPr>
              <w:tabs>
                <w:tab w:val="clear" w:pos="432"/>
                <w:tab w:val="decimal" w:pos="923"/>
              </w:tabs>
              <w:snapToGrid w:val="0"/>
              <w:spacing w:line="240" w:lineRule="auto"/>
              <w:ind w:firstLine="0"/>
              <w:jc w:val="left"/>
              <w:rPr>
                <w:b/>
                <w:bCs/>
                <w:sz w:val="20"/>
              </w:rPr>
            </w:pPr>
            <w:r w:rsidRPr="005B4041">
              <w:rPr>
                <w:b/>
                <w:bCs/>
                <w:sz w:val="20"/>
              </w:rPr>
              <w:t>660</w:t>
            </w:r>
          </w:p>
        </w:tc>
      </w:tr>
      <w:tr w:rsidR="00F876CC" w:rsidRPr="005B4041" w:rsidTr="00F876CC">
        <w:trPr>
          <w:trHeight w:val="315"/>
        </w:trPr>
        <w:tc>
          <w:tcPr>
            <w:tcW w:w="1080" w:type="dxa"/>
            <w:tcBorders>
              <w:bottom w:val="nil"/>
            </w:tcBorders>
            <w:vAlign w:val="bottom"/>
          </w:tcPr>
          <w:p w:rsidR="00F876CC" w:rsidRPr="005B4041" w:rsidRDefault="00F876CC" w:rsidP="00F876CC">
            <w:pPr>
              <w:snapToGrid w:val="0"/>
              <w:spacing w:line="240" w:lineRule="auto"/>
              <w:ind w:firstLine="0"/>
              <w:jc w:val="left"/>
              <w:rPr>
                <w:rFonts w:eastAsia="Arial Unicode MS"/>
                <w:sz w:val="20"/>
              </w:rPr>
            </w:pPr>
          </w:p>
        </w:tc>
        <w:tc>
          <w:tcPr>
            <w:tcW w:w="2418" w:type="dxa"/>
            <w:tcBorders>
              <w:bottom w:val="nil"/>
            </w:tcBorders>
            <w:vAlign w:val="bottom"/>
          </w:tcPr>
          <w:p w:rsidR="00F876CC" w:rsidRPr="005B4041" w:rsidRDefault="00F876CC" w:rsidP="00F876CC">
            <w:pPr>
              <w:snapToGrid w:val="0"/>
              <w:spacing w:line="240" w:lineRule="auto"/>
              <w:ind w:firstLine="0"/>
              <w:jc w:val="left"/>
              <w:rPr>
                <w:b/>
                <w:bCs/>
                <w:sz w:val="20"/>
              </w:rPr>
            </w:pPr>
            <w:r w:rsidRPr="005B4041">
              <w:rPr>
                <w:b/>
                <w:bCs/>
                <w:sz w:val="20"/>
              </w:rPr>
              <w:t>Program staff/service provider</w:t>
            </w:r>
          </w:p>
        </w:tc>
        <w:tc>
          <w:tcPr>
            <w:tcW w:w="1239" w:type="dxa"/>
            <w:tcBorders>
              <w:bottom w:val="nil"/>
            </w:tcBorders>
            <w:vAlign w:val="bottom"/>
          </w:tcPr>
          <w:p w:rsidR="00F876CC" w:rsidRPr="005B4041" w:rsidRDefault="00F876CC" w:rsidP="00F876CC">
            <w:pPr>
              <w:tabs>
                <w:tab w:val="clear" w:pos="432"/>
                <w:tab w:val="decimal" w:pos="1018"/>
              </w:tabs>
              <w:snapToGrid w:val="0"/>
              <w:spacing w:line="240" w:lineRule="auto"/>
              <w:ind w:firstLine="0"/>
              <w:jc w:val="left"/>
              <w:rPr>
                <w:b/>
                <w:bCs/>
                <w:sz w:val="20"/>
              </w:rPr>
            </w:pPr>
            <w:r w:rsidRPr="005B4041">
              <w:rPr>
                <w:b/>
                <w:bCs/>
                <w:sz w:val="20"/>
              </w:rPr>
              <w:t>192</w:t>
            </w:r>
          </w:p>
        </w:tc>
        <w:tc>
          <w:tcPr>
            <w:tcW w:w="1162" w:type="dxa"/>
            <w:tcBorders>
              <w:bottom w:val="nil"/>
            </w:tcBorders>
            <w:vAlign w:val="bottom"/>
          </w:tcPr>
          <w:p w:rsidR="00F876CC" w:rsidRPr="005B4041" w:rsidRDefault="00F876CC" w:rsidP="00F876CC">
            <w:pPr>
              <w:tabs>
                <w:tab w:val="clear" w:pos="432"/>
                <w:tab w:val="decimal" w:pos="502"/>
              </w:tabs>
              <w:snapToGrid w:val="0"/>
              <w:spacing w:line="240" w:lineRule="auto"/>
              <w:ind w:firstLine="0"/>
              <w:jc w:val="left"/>
              <w:rPr>
                <w:rFonts w:eastAsia="Arial Unicode MS"/>
                <w:b/>
                <w:bCs/>
                <w:sz w:val="20"/>
              </w:rPr>
            </w:pPr>
            <w:r w:rsidRPr="005B4041">
              <w:rPr>
                <w:rFonts w:eastAsia="Arial Unicode MS"/>
                <w:b/>
                <w:bCs/>
                <w:sz w:val="20"/>
              </w:rPr>
              <w:t>1</w:t>
            </w:r>
          </w:p>
        </w:tc>
        <w:tc>
          <w:tcPr>
            <w:tcW w:w="1099" w:type="dxa"/>
            <w:tcBorders>
              <w:bottom w:val="nil"/>
            </w:tcBorders>
            <w:vAlign w:val="bottom"/>
          </w:tcPr>
          <w:p w:rsidR="00F876CC" w:rsidRPr="005B4041" w:rsidRDefault="00F876CC" w:rsidP="00F876CC">
            <w:pPr>
              <w:tabs>
                <w:tab w:val="clear" w:pos="432"/>
                <w:tab w:val="decimal" w:pos="531"/>
              </w:tabs>
              <w:snapToGrid w:val="0"/>
              <w:spacing w:line="240" w:lineRule="auto"/>
              <w:ind w:firstLine="0"/>
              <w:jc w:val="left"/>
              <w:rPr>
                <w:b/>
                <w:bCs/>
                <w:sz w:val="20"/>
              </w:rPr>
            </w:pPr>
            <w:r w:rsidRPr="005B4041">
              <w:rPr>
                <w:b/>
                <w:bCs/>
                <w:sz w:val="20"/>
              </w:rPr>
              <w:t>1</w:t>
            </w:r>
          </w:p>
        </w:tc>
        <w:tc>
          <w:tcPr>
            <w:tcW w:w="1951" w:type="dxa"/>
            <w:tcBorders>
              <w:bottom w:val="nil"/>
            </w:tcBorders>
            <w:vAlign w:val="bottom"/>
          </w:tcPr>
          <w:p w:rsidR="00F876CC" w:rsidRPr="005B4041" w:rsidRDefault="00F876CC" w:rsidP="00F876CC">
            <w:pPr>
              <w:tabs>
                <w:tab w:val="clear" w:pos="432"/>
                <w:tab w:val="decimal" w:pos="923"/>
              </w:tabs>
              <w:snapToGrid w:val="0"/>
              <w:spacing w:line="240" w:lineRule="auto"/>
              <w:ind w:firstLine="0"/>
              <w:jc w:val="left"/>
              <w:rPr>
                <w:b/>
                <w:bCs/>
                <w:sz w:val="20"/>
              </w:rPr>
            </w:pPr>
            <w:r w:rsidRPr="005B4041">
              <w:rPr>
                <w:b/>
                <w:bCs/>
                <w:sz w:val="20"/>
              </w:rPr>
              <w:t>192</w:t>
            </w:r>
          </w:p>
        </w:tc>
      </w:tr>
      <w:tr w:rsidR="00F876CC" w:rsidRPr="005B4041" w:rsidTr="00F876CC">
        <w:trPr>
          <w:trHeight w:val="315"/>
        </w:trPr>
        <w:tc>
          <w:tcPr>
            <w:tcW w:w="1080" w:type="dxa"/>
            <w:tcBorders>
              <w:bottom w:val="single" w:sz="4" w:space="0" w:color="auto"/>
            </w:tcBorders>
            <w:vAlign w:val="bottom"/>
          </w:tcPr>
          <w:p w:rsidR="00F876CC" w:rsidRPr="005B4041" w:rsidRDefault="00F876CC" w:rsidP="00F876CC">
            <w:pPr>
              <w:snapToGrid w:val="0"/>
              <w:spacing w:line="240" w:lineRule="auto"/>
              <w:ind w:firstLine="0"/>
              <w:jc w:val="left"/>
              <w:rPr>
                <w:rFonts w:eastAsia="Arial Unicode MS"/>
                <w:sz w:val="20"/>
              </w:rPr>
            </w:pPr>
          </w:p>
        </w:tc>
        <w:tc>
          <w:tcPr>
            <w:tcW w:w="2418" w:type="dxa"/>
            <w:tcBorders>
              <w:bottom w:val="single" w:sz="4" w:space="0" w:color="auto"/>
            </w:tcBorders>
            <w:vAlign w:val="bottom"/>
          </w:tcPr>
          <w:p w:rsidR="00F876CC" w:rsidRPr="005B4041" w:rsidRDefault="00F876CC" w:rsidP="00192B1F">
            <w:pPr>
              <w:snapToGrid w:val="0"/>
              <w:spacing w:line="240" w:lineRule="auto"/>
              <w:ind w:firstLine="0"/>
              <w:jc w:val="left"/>
              <w:rPr>
                <w:rFonts w:eastAsia="Arial Unicode MS"/>
                <w:sz w:val="20"/>
                <w:vertAlign w:val="superscript"/>
              </w:rPr>
            </w:pPr>
            <w:r w:rsidRPr="005B4041">
              <w:rPr>
                <w:b/>
                <w:bCs/>
                <w:sz w:val="20"/>
              </w:rPr>
              <w:t>36 month follow-up</w:t>
            </w:r>
          </w:p>
        </w:tc>
        <w:tc>
          <w:tcPr>
            <w:tcW w:w="1239" w:type="dxa"/>
            <w:tcBorders>
              <w:bottom w:val="single" w:sz="4" w:space="0" w:color="auto"/>
            </w:tcBorders>
            <w:vAlign w:val="bottom"/>
          </w:tcPr>
          <w:p w:rsidR="00F876CC" w:rsidRPr="005B4041" w:rsidRDefault="00F876CC" w:rsidP="00F876CC">
            <w:pPr>
              <w:tabs>
                <w:tab w:val="clear" w:pos="432"/>
                <w:tab w:val="decimal" w:pos="1018"/>
              </w:tabs>
              <w:snapToGrid w:val="0"/>
              <w:spacing w:line="240" w:lineRule="auto"/>
              <w:ind w:firstLine="0"/>
              <w:jc w:val="left"/>
              <w:rPr>
                <w:b/>
                <w:bCs/>
                <w:sz w:val="20"/>
              </w:rPr>
            </w:pPr>
            <w:r w:rsidRPr="005B4041">
              <w:rPr>
                <w:b/>
                <w:bCs/>
                <w:sz w:val="20"/>
              </w:rPr>
              <w:t>3,962</w:t>
            </w:r>
          </w:p>
        </w:tc>
        <w:tc>
          <w:tcPr>
            <w:tcW w:w="1162" w:type="dxa"/>
            <w:tcBorders>
              <w:bottom w:val="single" w:sz="4" w:space="0" w:color="auto"/>
            </w:tcBorders>
            <w:vAlign w:val="bottom"/>
          </w:tcPr>
          <w:p w:rsidR="00F876CC" w:rsidRPr="005B4041" w:rsidRDefault="00F876CC" w:rsidP="00F876CC">
            <w:pPr>
              <w:tabs>
                <w:tab w:val="clear" w:pos="432"/>
                <w:tab w:val="decimal" w:pos="502"/>
              </w:tabs>
              <w:snapToGrid w:val="0"/>
              <w:spacing w:line="240" w:lineRule="auto"/>
              <w:ind w:firstLine="0"/>
              <w:jc w:val="left"/>
              <w:rPr>
                <w:rFonts w:eastAsia="Arial Unicode MS"/>
                <w:b/>
                <w:bCs/>
                <w:sz w:val="20"/>
              </w:rPr>
            </w:pPr>
            <w:r w:rsidRPr="005B4041">
              <w:rPr>
                <w:rFonts w:eastAsia="Arial Unicode MS"/>
                <w:b/>
                <w:bCs/>
                <w:sz w:val="20"/>
              </w:rPr>
              <w:t>1</w:t>
            </w:r>
          </w:p>
        </w:tc>
        <w:tc>
          <w:tcPr>
            <w:tcW w:w="1099" w:type="dxa"/>
            <w:tcBorders>
              <w:bottom w:val="single" w:sz="4" w:space="0" w:color="auto"/>
            </w:tcBorders>
            <w:vAlign w:val="bottom"/>
          </w:tcPr>
          <w:p w:rsidR="00F876CC" w:rsidRPr="005B4041" w:rsidRDefault="00F876CC" w:rsidP="00F876CC">
            <w:pPr>
              <w:tabs>
                <w:tab w:val="clear" w:pos="432"/>
                <w:tab w:val="decimal" w:pos="531"/>
              </w:tabs>
              <w:snapToGrid w:val="0"/>
              <w:spacing w:line="240" w:lineRule="auto"/>
              <w:ind w:firstLine="0"/>
              <w:jc w:val="left"/>
              <w:rPr>
                <w:b/>
                <w:bCs/>
                <w:sz w:val="20"/>
              </w:rPr>
            </w:pPr>
            <w:r w:rsidRPr="005B4041">
              <w:rPr>
                <w:b/>
                <w:bCs/>
                <w:sz w:val="20"/>
              </w:rPr>
              <w:t>0.83</w:t>
            </w:r>
          </w:p>
        </w:tc>
        <w:tc>
          <w:tcPr>
            <w:tcW w:w="1951" w:type="dxa"/>
            <w:tcBorders>
              <w:bottom w:val="single" w:sz="4" w:space="0" w:color="auto"/>
            </w:tcBorders>
            <w:vAlign w:val="bottom"/>
          </w:tcPr>
          <w:p w:rsidR="00F876CC" w:rsidRPr="005B4041" w:rsidRDefault="00F876CC" w:rsidP="00F876CC">
            <w:pPr>
              <w:tabs>
                <w:tab w:val="clear" w:pos="432"/>
                <w:tab w:val="decimal" w:pos="923"/>
              </w:tabs>
              <w:snapToGrid w:val="0"/>
              <w:spacing w:line="240" w:lineRule="auto"/>
              <w:ind w:firstLine="0"/>
              <w:jc w:val="left"/>
              <w:rPr>
                <w:b/>
                <w:bCs/>
                <w:sz w:val="20"/>
              </w:rPr>
            </w:pPr>
            <w:r w:rsidRPr="005B4041">
              <w:rPr>
                <w:b/>
                <w:bCs/>
                <w:sz w:val="20"/>
              </w:rPr>
              <w:t>3,288</w:t>
            </w:r>
          </w:p>
        </w:tc>
      </w:tr>
      <w:tr w:rsidR="00F876CC" w:rsidRPr="005B4041" w:rsidTr="00F876CC">
        <w:trPr>
          <w:trHeight w:val="315"/>
        </w:trPr>
        <w:tc>
          <w:tcPr>
            <w:tcW w:w="1080" w:type="dxa"/>
            <w:tcBorders>
              <w:top w:val="single" w:sz="4" w:space="0" w:color="auto"/>
            </w:tcBorders>
            <w:vAlign w:val="bottom"/>
          </w:tcPr>
          <w:p w:rsidR="00F876CC" w:rsidRPr="005B4041" w:rsidRDefault="00F876CC" w:rsidP="00F876CC">
            <w:pPr>
              <w:snapToGrid w:val="0"/>
              <w:spacing w:before="120" w:line="240" w:lineRule="auto"/>
              <w:ind w:firstLine="0"/>
              <w:jc w:val="left"/>
              <w:rPr>
                <w:b/>
                <w:bCs/>
                <w:sz w:val="20"/>
              </w:rPr>
            </w:pPr>
            <w:r w:rsidRPr="005B4041">
              <w:rPr>
                <w:b/>
                <w:bCs/>
                <w:sz w:val="20"/>
              </w:rPr>
              <w:t>Grand Total</w:t>
            </w:r>
          </w:p>
        </w:tc>
        <w:tc>
          <w:tcPr>
            <w:tcW w:w="2418" w:type="dxa"/>
            <w:tcBorders>
              <w:top w:val="single" w:sz="4" w:space="0" w:color="auto"/>
            </w:tcBorders>
            <w:vAlign w:val="bottom"/>
          </w:tcPr>
          <w:p w:rsidR="00F876CC" w:rsidRPr="005B4041" w:rsidRDefault="00F876CC" w:rsidP="00F876CC">
            <w:pPr>
              <w:snapToGrid w:val="0"/>
              <w:spacing w:before="120" w:line="240" w:lineRule="auto"/>
              <w:ind w:firstLine="0"/>
              <w:jc w:val="left"/>
              <w:rPr>
                <w:rFonts w:eastAsia="Arial Unicode MS"/>
                <w:b/>
                <w:bCs/>
                <w:sz w:val="20"/>
              </w:rPr>
            </w:pPr>
          </w:p>
        </w:tc>
        <w:tc>
          <w:tcPr>
            <w:tcW w:w="1239" w:type="dxa"/>
            <w:tcBorders>
              <w:top w:val="single" w:sz="4" w:space="0" w:color="auto"/>
            </w:tcBorders>
            <w:vAlign w:val="bottom"/>
          </w:tcPr>
          <w:p w:rsidR="00F876CC" w:rsidRPr="005B4041" w:rsidRDefault="00F876CC" w:rsidP="00F876CC">
            <w:pPr>
              <w:tabs>
                <w:tab w:val="clear" w:pos="432"/>
                <w:tab w:val="decimal" w:pos="1018"/>
              </w:tabs>
              <w:snapToGrid w:val="0"/>
              <w:spacing w:before="120" w:line="240" w:lineRule="auto"/>
              <w:ind w:firstLine="0"/>
              <w:jc w:val="left"/>
              <w:rPr>
                <w:b/>
                <w:bCs/>
                <w:sz w:val="20"/>
              </w:rPr>
            </w:pPr>
          </w:p>
        </w:tc>
        <w:tc>
          <w:tcPr>
            <w:tcW w:w="1162" w:type="dxa"/>
            <w:tcBorders>
              <w:top w:val="single" w:sz="4" w:space="0" w:color="auto"/>
            </w:tcBorders>
            <w:vAlign w:val="bottom"/>
          </w:tcPr>
          <w:p w:rsidR="00F876CC" w:rsidRPr="005B4041" w:rsidRDefault="00F876CC" w:rsidP="00F876CC">
            <w:pPr>
              <w:tabs>
                <w:tab w:val="clear" w:pos="432"/>
                <w:tab w:val="decimal" w:pos="502"/>
              </w:tabs>
              <w:snapToGrid w:val="0"/>
              <w:spacing w:before="120" w:line="240" w:lineRule="auto"/>
              <w:ind w:firstLine="0"/>
              <w:jc w:val="left"/>
              <w:rPr>
                <w:rFonts w:eastAsia="Arial Unicode MS"/>
                <w:sz w:val="20"/>
              </w:rPr>
            </w:pPr>
          </w:p>
        </w:tc>
        <w:tc>
          <w:tcPr>
            <w:tcW w:w="1099" w:type="dxa"/>
            <w:tcBorders>
              <w:top w:val="single" w:sz="4" w:space="0" w:color="auto"/>
            </w:tcBorders>
            <w:vAlign w:val="bottom"/>
          </w:tcPr>
          <w:p w:rsidR="00F876CC" w:rsidRPr="005B4041" w:rsidRDefault="00F876CC" w:rsidP="00F876CC">
            <w:pPr>
              <w:tabs>
                <w:tab w:val="clear" w:pos="432"/>
                <w:tab w:val="decimal" w:pos="531"/>
              </w:tabs>
              <w:snapToGrid w:val="0"/>
              <w:spacing w:before="120" w:line="240" w:lineRule="auto"/>
              <w:ind w:firstLine="0"/>
              <w:jc w:val="left"/>
              <w:rPr>
                <w:rFonts w:eastAsia="Arial Unicode MS"/>
                <w:b/>
                <w:bCs/>
                <w:sz w:val="20"/>
              </w:rPr>
            </w:pPr>
          </w:p>
        </w:tc>
        <w:tc>
          <w:tcPr>
            <w:tcW w:w="1951" w:type="dxa"/>
            <w:tcBorders>
              <w:top w:val="single" w:sz="4" w:space="0" w:color="auto"/>
            </w:tcBorders>
            <w:vAlign w:val="bottom"/>
          </w:tcPr>
          <w:p w:rsidR="00F876CC" w:rsidRPr="005B4041" w:rsidRDefault="00F876CC" w:rsidP="00F876CC">
            <w:pPr>
              <w:tabs>
                <w:tab w:val="clear" w:pos="432"/>
                <w:tab w:val="decimal" w:pos="923"/>
              </w:tabs>
              <w:snapToGrid w:val="0"/>
              <w:spacing w:before="120" w:line="240" w:lineRule="auto"/>
              <w:ind w:firstLine="0"/>
              <w:jc w:val="left"/>
              <w:rPr>
                <w:rFonts w:eastAsia="Arial Unicode MS"/>
                <w:b/>
                <w:bCs/>
                <w:sz w:val="20"/>
              </w:rPr>
            </w:pPr>
            <w:r w:rsidRPr="005B4041">
              <w:rPr>
                <w:rFonts w:eastAsia="Arial Unicode MS"/>
                <w:b/>
                <w:bCs/>
                <w:sz w:val="20"/>
              </w:rPr>
              <w:t>11,762</w:t>
            </w:r>
          </w:p>
        </w:tc>
      </w:tr>
    </w:tbl>
    <w:p w:rsidR="00514FE8" w:rsidRPr="00514FE8" w:rsidRDefault="00514FE8" w:rsidP="000B6F73">
      <w:pPr>
        <w:ind w:firstLine="0"/>
      </w:pPr>
    </w:p>
    <w:p w:rsidR="005B49E1" w:rsidRPr="005B4041" w:rsidRDefault="005B49E1" w:rsidP="00514FE8">
      <w:pPr>
        <w:pStyle w:val="Heading3"/>
        <w:tabs>
          <w:tab w:val="clear" w:pos="432"/>
          <w:tab w:val="left" w:pos="270"/>
          <w:tab w:val="left" w:pos="720"/>
        </w:tabs>
        <w:ind w:left="270" w:firstLine="0"/>
        <w:jc w:val="left"/>
      </w:pPr>
      <w:r w:rsidRPr="005B4041">
        <w:t>13.</w:t>
      </w:r>
      <w:r w:rsidRPr="005B4041">
        <w:tab/>
        <w:t>Estimates of Annualized Capital Burden</w:t>
      </w:r>
    </w:p>
    <w:p w:rsidR="005B49E1" w:rsidRPr="005B4041" w:rsidRDefault="005B49E1" w:rsidP="00514FE8">
      <w:pPr>
        <w:pStyle w:val="ParagraphSSLAST"/>
        <w:ind w:left="720" w:firstLine="0"/>
        <w:jc w:val="left"/>
      </w:pPr>
      <w:r w:rsidRPr="005B4041">
        <w:t>There are no direct costs to respondents other than their time to participate in the study, as described above</w:t>
      </w:r>
      <w:r w:rsidR="000B620A" w:rsidRPr="005B4041">
        <w:t xml:space="preserve">.  We </w:t>
      </w:r>
      <w:r w:rsidR="00762AD9">
        <w:t>do</w:t>
      </w:r>
      <w:r w:rsidR="000B620A" w:rsidRPr="005B4041">
        <w:t xml:space="preserve"> not ask b</w:t>
      </w:r>
      <w:r w:rsidRPr="005B4041">
        <w:t>eneficiaries to maintain any new records</w:t>
      </w:r>
      <w:r w:rsidR="000B620A" w:rsidRPr="005B4041">
        <w:t xml:space="preserve">.  </w:t>
      </w:r>
      <w:r w:rsidRPr="005B4041">
        <w:t>T</w:t>
      </w:r>
      <w:r w:rsidR="00762AD9">
        <w:t xml:space="preserve">he evaluation contractor </w:t>
      </w:r>
      <w:r w:rsidRPr="005B4041">
        <w:t>collect</w:t>
      </w:r>
      <w:r w:rsidR="00762AD9">
        <w:t>s</w:t>
      </w:r>
      <w:r w:rsidRPr="005B4041">
        <w:t xml:space="preserve"> and maintain</w:t>
      </w:r>
      <w:r w:rsidR="00762AD9">
        <w:t>s</w:t>
      </w:r>
      <w:r w:rsidRPr="005B4041">
        <w:t xml:space="preserve"> all survey data</w:t>
      </w:r>
      <w:r w:rsidR="000B620A" w:rsidRPr="005B4041">
        <w:t xml:space="preserve">.  </w:t>
      </w:r>
      <w:r w:rsidRPr="005B4041">
        <w:t xml:space="preserve">Costs for data collection, storage, processing, and other functions related to these data </w:t>
      </w:r>
      <w:r w:rsidR="000B620A" w:rsidRPr="005B4041">
        <w:t>are</w:t>
      </w:r>
      <w:r w:rsidRPr="005B4041">
        <w:t xml:space="preserve"> borne solely by the contractor</w:t>
      </w:r>
      <w:r w:rsidR="000B620A" w:rsidRPr="005B4041">
        <w:t>.  We summarize t</w:t>
      </w:r>
      <w:r w:rsidRPr="005B4041">
        <w:t xml:space="preserve">hese costs </w:t>
      </w:r>
      <w:r w:rsidR="00762AD9">
        <w:t xml:space="preserve">in #14 </w:t>
      </w:r>
      <w:r w:rsidR="000B620A" w:rsidRPr="005B4041">
        <w:t>below and consider</w:t>
      </w:r>
      <w:r w:rsidRPr="005B4041">
        <w:t xml:space="preserve"> costs to the federal government, paid through SSA contracts.</w:t>
      </w:r>
    </w:p>
    <w:p w:rsidR="005B49E1" w:rsidRPr="005B4041" w:rsidRDefault="005B49E1" w:rsidP="00514FE8">
      <w:pPr>
        <w:pStyle w:val="Heading3"/>
        <w:tabs>
          <w:tab w:val="clear" w:pos="432"/>
          <w:tab w:val="left" w:pos="270"/>
          <w:tab w:val="left" w:pos="720"/>
        </w:tabs>
        <w:ind w:left="270" w:firstLine="0"/>
        <w:jc w:val="left"/>
      </w:pPr>
      <w:r w:rsidRPr="005B4041">
        <w:t>14.</w:t>
      </w:r>
      <w:r w:rsidRPr="005B4041">
        <w:tab/>
        <w:t>Estimates of Annualized Cost to the Government</w:t>
      </w:r>
    </w:p>
    <w:p w:rsidR="00514FE8" w:rsidRDefault="005B49E1" w:rsidP="00076C1B">
      <w:pPr>
        <w:pStyle w:val="NormalSS"/>
        <w:ind w:left="720" w:firstLine="0"/>
        <w:jc w:val="left"/>
      </w:pPr>
      <w:r w:rsidRPr="005B4041">
        <w:t>T</w:t>
      </w:r>
      <w:r w:rsidR="00076C1B">
        <w:t>able A.4</w:t>
      </w:r>
      <w:r w:rsidR="00762AD9">
        <w:t xml:space="preserve"> </w:t>
      </w:r>
      <w:r w:rsidR="000B620A" w:rsidRPr="005B4041">
        <w:t>shows t</w:t>
      </w:r>
      <w:r w:rsidRPr="005B4041">
        <w:t xml:space="preserve">he </w:t>
      </w:r>
      <w:r w:rsidR="00076C1B">
        <w:t xml:space="preserve">annualized </w:t>
      </w:r>
      <w:r w:rsidRPr="005B4041">
        <w:t>costs by year</w:t>
      </w:r>
      <w:r w:rsidR="00076C1B">
        <w:t xml:space="preserve"> for the next three years (2012 – 2014)</w:t>
      </w:r>
      <w:r w:rsidR="000B620A" w:rsidRPr="005B4041">
        <w:t xml:space="preserve">.  </w:t>
      </w:r>
      <w:r w:rsidR="00076C1B">
        <w:t xml:space="preserve">We </w:t>
      </w:r>
      <w:proofErr w:type="gramStart"/>
      <w:r w:rsidR="00076C1B">
        <w:t>budgeted</w:t>
      </w:r>
      <w:proofErr w:type="gramEnd"/>
      <w:r w:rsidR="00076C1B">
        <w:t xml:space="preserve"> l</w:t>
      </w:r>
      <w:r w:rsidR="00762AD9">
        <w:t xml:space="preserve">abor costs </w:t>
      </w:r>
      <w:r w:rsidRPr="005B4041">
        <w:t>by estimating the number of hours of required staff at the various wage levels, multiplying by the applicable wage rates, and multiplying the resulting subtotals by factors to cover fringe benefits and burden expense</w:t>
      </w:r>
      <w:r w:rsidR="000B620A" w:rsidRPr="005B4041">
        <w:t xml:space="preserve">.  </w:t>
      </w:r>
      <w:r w:rsidRPr="005B4041">
        <w:t>The basis for estimating other direct costs var</w:t>
      </w:r>
      <w:r w:rsidR="000B620A" w:rsidRPr="005B4041">
        <w:t xml:space="preserve">ies with the type of cost </w:t>
      </w:r>
      <w:r w:rsidRPr="005B4041">
        <w:t>estimated</w:t>
      </w:r>
      <w:r w:rsidR="000B620A" w:rsidRPr="005B4041">
        <w:t xml:space="preserve">.  </w:t>
      </w:r>
      <w:r w:rsidRPr="005B4041">
        <w:t xml:space="preserve">For example, </w:t>
      </w:r>
      <w:r w:rsidR="000B620A" w:rsidRPr="005B4041">
        <w:t xml:space="preserve">we based </w:t>
      </w:r>
      <w:r w:rsidRPr="005B4041">
        <w:t xml:space="preserve">the estimates of survey telephone expense and computer expense for CATI on the estimated hours of interviewer time, while </w:t>
      </w:r>
      <w:r w:rsidR="000B620A" w:rsidRPr="005B4041">
        <w:t xml:space="preserve">we based </w:t>
      </w:r>
      <w:r w:rsidRPr="005B4041">
        <w:t xml:space="preserve">reproduction expense on the number of pages </w:t>
      </w:r>
      <w:r w:rsidRPr="005B4041">
        <w:lastRenderedPageBreak/>
        <w:t>of material reproduced.</w:t>
      </w:r>
      <w:r w:rsidR="00076C1B">
        <w:t xml:space="preserve">  </w:t>
      </w:r>
      <w:r w:rsidRPr="005B4041">
        <w:t xml:space="preserve">Finally, </w:t>
      </w:r>
      <w:r w:rsidR="000B620A" w:rsidRPr="005B4041">
        <w:t xml:space="preserve">we summed and multiplied by a factor to cover general and administrative expenses, and to obtain </w:t>
      </w:r>
      <w:r w:rsidRPr="005B4041">
        <w:t>the total of labor c</w:t>
      </w:r>
      <w:r w:rsidR="000B620A" w:rsidRPr="005B4041">
        <w:t xml:space="preserve">osts, other direct </w:t>
      </w:r>
      <w:proofErr w:type="gramStart"/>
      <w:r w:rsidR="000B620A" w:rsidRPr="005B4041">
        <w:t>costs</w:t>
      </w:r>
      <w:proofErr w:type="gramEnd"/>
      <w:r w:rsidR="000B620A" w:rsidRPr="005B4041">
        <w:t xml:space="preserve"> </w:t>
      </w:r>
      <w:r w:rsidRPr="005B4041">
        <w:t>and the</w:t>
      </w:r>
      <w:r w:rsidR="000B620A" w:rsidRPr="005B4041">
        <w:t xml:space="preserve"> added fee</w:t>
      </w:r>
      <w:r w:rsidRPr="005B4041">
        <w:t>.</w:t>
      </w:r>
    </w:p>
    <w:p w:rsidR="00076C1B" w:rsidRDefault="00076C1B" w:rsidP="00076C1B">
      <w:pPr>
        <w:pStyle w:val="NormalSS"/>
        <w:ind w:left="720" w:firstLine="0"/>
        <w:jc w:val="left"/>
      </w:pPr>
    </w:p>
    <w:p w:rsidR="00076C1B" w:rsidRDefault="00076C1B" w:rsidP="00076C1B">
      <w:pPr>
        <w:pStyle w:val="NormalSS"/>
        <w:ind w:left="720" w:firstLine="0"/>
        <w:jc w:val="left"/>
      </w:pPr>
      <w:r w:rsidRPr="005B4041">
        <w:t>T</w:t>
      </w:r>
      <w:r>
        <w:t>able A.5 shows t</w:t>
      </w:r>
      <w:r w:rsidRPr="005B4041">
        <w:t>he total cost to SSA of</w:t>
      </w:r>
      <w:r>
        <w:t xml:space="preserve"> </w:t>
      </w:r>
      <w:r w:rsidRPr="005B4041">
        <w:t>$46,829,767</w:t>
      </w:r>
      <w:r>
        <w:t xml:space="preserve"> for conducting the YTD evaluation from 2007 through our evaluation in 2014</w:t>
      </w:r>
      <w:r w:rsidRPr="005B4041">
        <w:t xml:space="preserve">.  </w:t>
      </w:r>
    </w:p>
    <w:p w:rsidR="00076C1B" w:rsidRDefault="00076C1B" w:rsidP="00076C1B">
      <w:pPr>
        <w:pStyle w:val="NormalSS"/>
        <w:ind w:left="720" w:firstLine="0"/>
        <w:jc w:val="left"/>
      </w:pPr>
    </w:p>
    <w:p w:rsidR="00514FE8" w:rsidRDefault="000B6F73" w:rsidP="00514FE8">
      <w:pPr>
        <w:pStyle w:val="ParagraphSSLAST"/>
        <w:ind w:firstLine="0"/>
        <w:jc w:val="center"/>
      </w:pPr>
      <w:r>
        <w:t>TABLE A.4</w:t>
      </w:r>
      <w:r w:rsidR="00514FE8">
        <w:br/>
      </w:r>
      <w:r w:rsidR="00514FE8" w:rsidRPr="005B4041">
        <w:t>ANNUAL COSTS TO THE FEDERAL GOVERNMENT</w:t>
      </w:r>
    </w:p>
    <w:tbl>
      <w:tblPr>
        <w:tblW w:w="0" w:type="auto"/>
        <w:jc w:val="center"/>
        <w:tblLayout w:type="fixed"/>
        <w:tblLook w:val="0000" w:firstRow="0" w:lastRow="0" w:firstColumn="0" w:lastColumn="0" w:noHBand="0" w:noVBand="0"/>
      </w:tblPr>
      <w:tblGrid>
        <w:gridCol w:w="4222"/>
        <w:gridCol w:w="4615"/>
      </w:tblGrid>
      <w:tr w:rsidR="000B6F73" w:rsidRPr="005B4041" w:rsidTr="000B6F73">
        <w:trPr>
          <w:cantSplit/>
          <w:jc w:val="center"/>
        </w:trPr>
        <w:tc>
          <w:tcPr>
            <w:tcW w:w="4222" w:type="dxa"/>
            <w:tcBorders>
              <w:top w:val="single" w:sz="4" w:space="0" w:color="000000"/>
              <w:bottom w:val="single" w:sz="4" w:space="0" w:color="000000"/>
            </w:tcBorders>
            <w:vAlign w:val="bottom"/>
          </w:tcPr>
          <w:p w:rsidR="000B6F73" w:rsidRPr="005B4041" w:rsidRDefault="000B6F73" w:rsidP="000B6F73">
            <w:pPr>
              <w:pStyle w:val="NormalSS"/>
              <w:snapToGrid w:val="0"/>
              <w:spacing w:before="120" w:after="60"/>
              <w:jc w:val="center"/>
            </w:pPr>
            <w:r w:rsidRPr="005B4041">
              <w:t>Year</w:t>
            </w:r>
          </w:p>
        </w:tc>
        <w:tc>
          <w:tcPr>
            <w:tcW w:w="4615" w:type="dxa"/>
            <w:tcBorders>
              <w:top w:val="single" w:sz="4" w:space="0" w:color="000000"/>
              <w:bottom w:val="single" w:sz="4" w:space="0" w:color="000000"/>
            </w:tcBorders>
          </w:tcPr>
          <w:p w:rsidR="000B6F73" w:rsidRPr="005B4041" w:rsidRDefault="000B6F73" w:rsidP="000B6F73">
            <w:pPr>
              <w:pStyle w:val="NormalSS"/>
              <w:snapToGrid w:val="0"/>
              <w:spacing w:before="120" w:after="60"/>
              <w:ind w:firstLine="0"/>
            </w:pPr>
            <w:r w:rsidRPr="005B4041">
              <w:t>Cost</w:t>
            </w:r>
          </w:p>
        </w:tc>
      </w:tr>
      <w:tr w:rsidR="000B6F73" w:rsidRPr="005B4041" w:rsidTr="00273966">
        <w:trPr>
          <w:cantSplit/>
          <w:jc w:val="center"/>
        </w:trPr>
        <w:tc>
          <w:tcPr>
            <w:tcW w:w="4222" w:type="dxa"/>
            <w:tcBorders>
              <w:top w:val="single" w:sz="4" w:space="0" w:color="000000"/>
              <w:bottom w:val="single" w:sz="4" w:space="0" w:color="000000"/>
            </w:tcBorders>
            <w:vAlign w:val="bottom"/>
          </w:tcPr>
          <w:p w:rsidR="000B6F73" w:rsidRPr="005B4041" w:rsidRDefault="000B6F73" w:rsidP="000B6F73">
            <w:pPr>
              <w:pStyle w:val="NormalSS"/>
              <w:spacing w:before="120"/>
              <w:jc w:val="center"/>
            </w:pPr>
            <w:r w:rsidRPr="005B4041">
              <w:t>2012</w:t>
            </w:r>
          </w:p>
          <w:p w:rsidR="000B6F73" w:rsidRPr="005B4041" w:rsidRDefault="000B6F73" w:rsidP="000B6F73">
            <w:pPr>
              <w:pStyle w:val="NormalSS"/>
              <w:spacing w:before="120"/>
              <w:jc w:val="center"/>
            </w:pPr>
            <w:r w:rsidRPr="005B4041">
              <w:t>2013</w:t>
            </w:r>
          </w:p>
          <w:p w:rsidR="000B6F73" w:rsidRPr="005B4041" w:rsidRDefault="000B6F73" w:rsidP="000B6F73">
            <w:pPr>
              <w:pStyle w:val="NormalSS"/>
              <w:snapToGrid w:val="0"/>
              <w:spacing w:before="120" w:after="60"/>
              <w:jc w:val="center"/>
            </w:pPr>
            <w:r w:rsidRPr="005B4041">
              <w:t>2014</w:t>
            </w:r>
          </w:p>
        </w:tc>
        <w:tc>
          <w:tcPr>
            <w:tcW w:w="4615" w:type="dxa"/>
            <w:tcBorders>
              <w:top w:val="single" w:sz="4" w:space="0" w:color="000000"/>
              <w:bottom w:val="single" w:sz="4" w:space="0" w:color="000000"/>
            </w:tcBorders>
          </w:tcPr>
          <w:p w:rsidR="000B6F73" w:rsidRDefault="000B6F73" w:rsidP="00273966">
            <w:pPr>
              <w:pStyle w:val="NormalSS"/>
              <w:snapToGrid w:val="0"/>
              <w:spacing w:before="120" w:after="60"/>
              <w:ind w:firstLine="0"/>
            </w:pPr>
            <w:r>
              <w:t>$1,620,474</w:t>
            </w:r>
          </w:p>
          <w:p w:rsidR="00076C1B" w:rsidRDefault="00076C1B" w:rsidP="00273966">
            <w:pPr>
              <w:pStyle w:val="NormalSS"/>
              <w:snapToGrid w:val="0"/>
              <w:spacing w:before="120" w:after="60"/>
              <w:ind w:firstLine="0"/>
            </w:pPr>
            <w:r>
              <w:t>$1,312,455</w:t>
            </w:r>
          </w:p>
          <w:p w:rsidR="00076C1B" w:rsidRPr="005B4041" w:rsidRDefault="00076C1B" w:rsidP="00273966">
            <w:pPr>
              <w:pStyle w:val="NormalSS"/>
              <w:snapToGrid w:val="0"/>
              <w:spacing w:before="120" w:after="60"/>
              <w:ind w:firstLine="0"/>
            </w:pPr>
            <w:r>
              <w:t>$1,472,168</w:t>
            </w:r>
          </w:p>
        </w:tc>
      </w:tr>
      <w:tr w:rsidR="00076C1B" w:rsidRPr="005B4041" w:rsidTr="00273966">
        <w:trPr>
          <w:cantSplit/>
          <w:jc w:val="center"/>
        </w:trPr>
        <w:tc>
          <w:tcPr>
            <w:tcW w:w="4222" w:type="dxa"/>
            <w:tcBorders>
              <w:top w:val="single" w:sz="4" w:space="0" w:color="000000"/>
              <w:bottom w:val="single" w:sz="4" w:space="0" w:color="000000"/>
            </w:tcBorders>
            <w:vAlign w:val="bottom"/>
          </w:tcPr>
          <w:p w:rsidR="00076C1B" w:rsidRPr="005B4041" w:rsidRDefault="00076C1B" w:rsidP="000B6F73">
            <w:pPr>
              <w:pStyle w:val="NormalSS"/>
              <w:spacing w:before="120"/>
              <w:jc w:val="center"/>
            </w:pPr>
            <w:r w:rsidRPr="005B4041">
              <w:rPr>
                <w:b/>
              </w:rPr>
              <w:t>Total</w:t>
            </w:r>
          </w:p>
        </w:tc>
        <w:tc>
          <w:tcPr>
            <w:tcW w:w="4615" w:type="dxa"/>
            <w:tcBorders>
              <w:top w:val="single" w:sz="4" w:space="0" w:color="000000"/>
              <w:bottom w:val="single" w:sz="4" w:space="0" w:color="000000"/>
            </w:tcBorders>
          </w:tcPr>
          <w:p w:rsidR="00076C1B" w:rsidRPr="00076C1B" w:rsidRDefault="00076C1B" w:rsidP="00273966">
            <w:pPr>
              <w:pStyle w:val="NormalSS"/>
              <w:snapToGrid w:val="0"/>
              <w:spacing w:before="120" w:after="60"/>
              <w:ind w:firstLine="0"/>
              <w:rPr>
                <w:b/>
              </w:rPr>
            </w:pPr>
            <w:r w:rsidRPr="00076C1B">
              <w:rPr>
                <w:b/>
              </w:rPr>
              <w:t>$4,405,097</w:t>
            </w:r>
          </w:p>
        </w:tc>
      </w:tr>
    </w:tbl>
    <w:p w:rsidR="005B49E1" w:rsidRDefault="005B49E1" w:rsidP="00514FE8">
      <w:pPr>
        <w:spacing w:line="240" w:lineRule="auto"/>
        <w:ind w:firstLine="0"/>
      </w:pPr>
    </w:p>
    <w:p w:rsidR="00076C1B" w:rsidRDefault="00076C1B" w:rsidP="00514FE8">
      <w:pPr>
        <w:spacing w:line="240" w:lineRule="auto"/>
        <w:ind w:firstLine="0"/>
      </w:pPr>
    </w:p>
    <w:p w:rsidR="00076C1B" w:rsidRDefault="00076C1B" w:rsidP="00076C1B">
      <w:pPr>
        <w:spacing w:line="240" w:lineRule="auto"/>
        <w:ind w:firstLine="0"/>
        <w:jc w:val="center"/>
      </w:pPr>
      <w:r>
        <w:t>TABLE A.5</w:t>
      </w:r>
      <w:r>
        <w:br/>
        <w:t xml:space="preserve">COMBINED </w:t>
      </w:r>
      <w:r w:rsidRPr="005B4041">
        <w:t>ANNUAL COSTS TO THE FEDERAL GOVERNMENT</w:t>
      </w:r>
      <w:r>
        <w:t xml:space="preserve"> 2007-2014</w:t>
      </w:r>
    </w:p>
    <w:tbl>
      <w:tblPr>
        <w:tblW w:w="0" w:type="auto"/>
        <w:jc w:val="center"/>
        <w:tblLayout w:type="fixed"/>
        <w:tblLook w:val="0000" w:firstRow="0" w:lastRow="0" w:firstColumn="0" w:lastColumn="0" w:noHBand="0" w:noVBand="0"/>
      </w:tblPr>
      <w:tblGrid>
        <w:gridCol w:w="4222"/>
        <w:gridCol w:w="4615"/>
      </w:tblGrid>
      <w:tr w:rsidR="00076C1B" w:rsidRPr="00076C1B" w:rsidTr="00273966">
        <w:trPr>
          <w:cantSplit/>
          <w:jc w:val="center"/>
        </w:trPr>
        <w:tc>
          <w:tcPr>
            <w:tcW w:w="4222" w:type="dxa"/>
            <w:tcBorders>
              <w:top w:val="single" w:sz="4" w:space="0" w:color="000000"/>
              <w:bottom w:val="single" w:sz="4" w:space="0" w:color="000000"/>
            </w:tcBorders>
            <w:vAlign w:val="bottom"/>
          </w:tcPr>
          <w:p w:rsidR="00076C1B" w:rsidRPr="005B4041" w:rsidRDefault="00076C1B" w:rsidP="00076C1B">
            <w:pPr>
              <w:pStyle w:val="NormalSS"/>
              <w:spacing w:before="120"/>
              <w:jc w:val="center"/>
              <w:rPr>
                <w:b/>
              </w:rPr>
            </w:pPr>
            <w:r>
              <w:rPr>
                <w:b/>
              </w:rPr>
              <w:t>Grand Total</w:t>
            </w:r>
          </w:p>
        </w:tc>
        <w:tc>
          <w:tcPr>
            <w:tcW w:w="4615" w:type="dxa"/>
            <w:tcBorders>
              <w:top w:val="single" w:sz="4" w:space="0" w:color="000000"/>
              <w:bottom w:val="single" w:sz="4" w:space="0" w:color="000000"/>
            </w:tcBorders>
          </w:tcPr>
          <w:p w:rsidR="00076C1B" w:rsidRPr="00076C1B" w:rsidRDefault="00076C1B" w:rsidP="00273966">
            <w:pPr>
              <w:pStyle w:val="NormalSS"/>
              <w:snapToGrid w:val="0"/>
              <w:spacing w:before="120" w:after="60"/>
              <w:ind w:firstLine="0"/>
              <w:rPr>
                <w:b/>
              </w:rPr>
            </w:pPr>
            <w:r>
              <w:rPr>
                <w:b/>
              </w:rPr>
              <w:t>$46,829,767</w:t>
            </w:r>
          </w:p>
        </w:tc>
      </w:tr>
    </w:tbl>
    <w:p w:rsidR="00076C1B" w:rsidRPr="005B4041" w:rsidRDefault="00076C1B" w:rsidP="00514FE8">
      <w:pPr>
        <w:spacing w:line="240" w:lineRule="auto"/>
        <w:ind w:firstLine="0"/>
      </w:pPr>
    </w:p>
    <w:p w:rsidR="005B49E1" w:rsidRPr="005B4041" w:rsidRDefault="005B49E1">
      <w:pPr>
        <w:spacing w:line="240" w:lineRule="auto"/>
      </w:pPr>
    </w:p>
    <w:p w:rsidR="005B49E1" w:rsidRPr="005B4041" w:rsidRDefault="005B49E1" w:rsidP="00762AD9">
      <w:pPr>
        <w:pStyle w:val="Heading3"/>
        <w:tabs>
          <w:tab w:val="clear" w:pos="432"/>
          <w:tab w:val="left" w:pos="90"/>
          <w:tab w:val="left" w:pos="720"/>
        </w:tabs>
        <w:ind w:left="270" w:firstLine="0"/>
        <w:jc w:val="left"/>
        <w:rPr>
          <w:bCs/>
        </w:rPr>
      </w:pPr>
      <w:r w:rsidRPr="005B4041">
        <w:rPr>
          <w:bCs/>
        </w:rPr>
        <w:t>15.</w:t>
      </w:r>
      <w:r w:rsidRPr="005B4041">
        <w:rPr>
          <w:bCs/>
        </w:rPr>
        <w:tab/>
        <w:t>Explanation for Program Changes or Adjustments</w:t>
      </w:r>
    </w:p>
    <w:p w:rsidR="00415599" w:rsidRPr="00415599" w:rsidRDefault="003B110F" w:rsidP="00762AD9">
      <w:pPr>
        <w:pStyle w:val="ParagraphSSLAST"/>
        <w:ind w:left="720" w:firstLine="0"/>
        <w:jc w:val="left"/>
      </w:pPr>
      <w:r>
        <w:t>The burden changes to this collection stem from the fact that we are no longer collecting information for surveys other than the 36-month Follow-Up.</w:t>
      </w:r>
    </w:p>
    <w:p w:rsidR="005B49E1" w:rsidRPr="005B4041" w:rsidRDefault="005B49E1" w:rsidP="00762AD9">
      <w:pPr>
        <w:pStyle w:val="Heading3"/>
        <w:tabs>
          <w:tab w:val="clear" w:pos="432"/>
          <w:tab w:val="left" w:pos="270"/>
          <w:tab w:val="left" w:pos="720"/>
        </w:tabs>
        <w:ind w:left="270" w:firstLine="0"/>
        <w:jc w:val="left"/>
      </w:pPr>
      <w:r w:rsidRPr="005B4041">
        <w:t>16.</w:t>
      </w:r>
      <w:r w:rsidRPr="005B4041">
        <w:tab/>
        <w:t xml:space="preserve">Plans for </w:t>
      </w:r>
      <w:r w:rsidRPr="005B4041">
        <w:rPr>
          <w:bCs/>
        </w:rPr>
        <w:t>Tabulation</w:t>
      </w:r>
      <w:r w:rsidRPr="005B4041">
        <w:t xml:space="preserve"> and Publication</w:t>
      </w:r>
      <w:r w:rsidR="00314163">
        <w:t>,</w:t>
      </w:r>
      <w:r w:rsidRPr="005B4041">
        <w:t xml:space="preserve"> and Project Time Schedule</w:t>
      </w:r>
    </w:p>
    <w:p w:rsidR="005B49E1" w:rsidRPr="005B4041" w:rsidRDefault="005B49E1" w:rsidP="00762AD9">
      <w:pPr>
        <w:pStyle w:val="NormalSS"/>
        <w:ind w:left="720" w:firstLine="0"/>
        <w:jc w:val="left"/>
      </w:pPr>
      <w:r w:rsidRPr="005B4041">
        <w:t>Baseline data collect</w:t>
      </w:r>
      <w:r w:rsidR="00314163">
        <w:t xml:space="preserve">ion began in July 2006 and </w:t>
      </w:r>
      <w:r w:rsidRPr="005B4041">
        <w:t>continue</w:t>
      </w:r>
      <w:r w:rsidR="00314163">
        <w:t>d</w:t>
      </w:r>
      <w:r w:rsidRPr="005B4041">
        <w:t xml:space="preserve"> through 2010</w:t>
      </w:r>
      <w:r w:rsidR="000B620A" w:rsidRPr="005B4041">
        <w:t xml:space="preserve">.  </w:t>
      </w:r>
      <w:r w:rsidRPr="005B4041">
        <w:t xml:space="preserve">The </w:t>
      </w:r>
      <w:r w:rsidR="000B620A" w:rsidRPr="005B4041">
        <w:t>12-month</w:t>
      </w:r>
      <w:r w:rsidRPr="005B4041">
        <w:t xml:space="preserve"> follow-up data collection began i</w:t>
      </w:r>
      <w:r w:rsidR="00314163">
        <w:t xml:space="preserve">n November 2007 and </w:t>
      </w:r>
      <w:r w:rsidRPr="005B4041">
        <w:t>continue</w:t>
      </w:r>
      <w:r w:rsidR="00314163">
        <w:t>d</w:t>
      </w:r>
      <w:r w:rsidRPr="005B4041">
        <w:t xml:space="preserve"> through 2011</w:t>
      </w:r>
      <w:r w:rsidR="000B620A" w:rsidRPr="005B4041">
        <w:t xml:space="preserve">.  </w:t>
      </w:r>
      <w:r w:rsidRPr="005B4041">
        <w:t xml:space="preserve">Likewise, the </w:t>
      </w:r>
      <w:r w:rsidR="000B620A" w:rsidRPr="005B4041">
        <w:t>36-month</w:t>
      </w:r>
      <w:r w:rsidRPr="005B4041">
        <w:t xml:space="preserve"> data collection, for which we</w:t>
      </w:r>
      <w:r w:rsidR="00314163">
        <w:t xml:space="preserve"> are requesting clearance, bega</w:t>
      </w:r>
      <w:r w:rsidRPr="005B4041">
        <w:t xml:space="preserve">n in August 2009 and </w:t>
      </w:r>
      <w:r w:rsidR="00314163">
        <w:t>will continue through 2013</w:t>
      </w:r>
      <w:r w:rsidRPr="005B4041">
        <w:t>.</w:t>
      </w:r>
    </w:p>
    <w:p w:rsidR="005B49E1" w:rsidRPr="005B4041" w:rsidRDefault="005B49E1" w:rsidP="00091BB4">
      <w:pPr>
        <w:spacing w:line="240" w:lineRule="auto"/>
        <w:jc w:val="left"/>
      </w:pPr>
    </w:p>
    <w:p w:rsidR="005B49E1" w:rsidRPr="005B4041" w:rsidRDefault="000B620A" w:rsidP="003B110F">
      <w:pPr>
        <w:pStyle w:val="NormalSS"/>
        <w:ind w:left="720" w:firstLine="0"/>
        <w:jc w:val="left"/>
      </w:pPr>
      <w:r w:rsidRPr="005B4041">
        <w:t>We planned a</w:t>
      </w:r>
      <w:r w:rsidR="005B49E1" w:rsidRPr="005B4041">
        <w:t xml:space="preserve"> series of reports throughout the life of the demonstration</w:t>
      </w:r>
      <w:r w:rsidRPr="005B4041">
        <w:t>.  We produce</w:t>
      </w:r>
      <w:r w:rsidR="00314163">
        <w:t xml:space="preserve">d </w:t>
      </w:r>
      <w:r w:rsidRPr="005B4041">
        <w:t>p</w:t>
      </w:r>
      <w:r w:rsidR="005B49E1" w:rsidRPr="005B4041">
        <w:t>roject-specific early assessment reports 8 months after the demonstrations enroll</w:t>
      </w:r>
      <w:r w:rsidR="00314163">
        <w:t>ed</w:t>
      </w:r>
      <w:r w:rsidR="005B49E1" w:rsidRPr="005B4041">
        <w:t xml:space="preserve"> their first youth, beginning in the spring of 2007</w:t>
      </w:r>
      <w:r w:rsidRPr="005B4041">
        <w:t>.  We randomly assigned p</w:t>
      </w:r>
      <w:r w:rsidR="005B49E1" w:rsidRPr="005B4041">
        <w:t>rocess and implementation</w:t>
      </w:r>
      <w:r w:rsidRPr="005B4041">
        <w:t>,</w:t>
      </w:r>
      <w:r w:rsidR="005B49E1" w:rsidRPr="005B4041">
        <w:t xml:space="preserve"> and </w:t>
      </w:r>
      <w:r w:rsidR="00314163">
        <w:t xml:space="preserve">created early impact reports </w:t>
      </w:r>
      <w:r w:rsidR="005B49E1" w:rsidRPr="005B4041">
        <w:t>18 months after the last youth at a project site, beginning in September 2009</w:t>
      </w:r>
      <w:r w:rsidRPr="005B4041">
        <w:t>.  We will produce t</w:t>
      </w:r>
      <w:r w:rsidR="005B49E1" w:rsidRPr="005B4041">
        <w:t>he final report and public use data files by October 2014</w:t>
      </w:r>
      <w:r w:rsidRPr="005B4041">
        <w:t>.  We may produce u</w:t>
      </w:r>
      <w:r w:rsidR="005B49E1" w:rsidRPr="005B4041">
        <w:t>p to three reports on special topics over the life of the demonstration by October 2014.</w:t>
      </w:r>
    </w:p>
    <w:p w:rsidR="005B49E1" w:rsidRPr="005B4041" w:rsidRDefault="005B49E1" w:rsidP="00091BB4">
      <w:pPr>
        <w:pStyle w:val="NormalSS"/>
        <w:jc w:val="left"/>
      </w:pPr>
    </w:p>
    <w:p w:rsidR="005B49E1" w:rsidRPr="005B4041" w:rsidRDefault="005B49E1" w:rsidP="003B110F">
      <w:pPr>
        <w:spacing w:line="240" w:lineRule="auto"/>
        <w:ind w:left="720" w:firstLine="0"/>
        <w:jc w:val="left"/>
      </w:pPr>
      <w:r w:rsidRPr="005B4041">
        <w:lastRenderedPageBreak/>
        <w:t xml:space="preserve">The process </w:t>
      </w:r>
      <w:r w:rsidR="00314163">
        <w:t xml:space="preserve">and implementation reports </w:t>
      </w:r>
      <w:r w:rsidRPr="005B4041">
        <w:t xml:space="preserve">document and describe how </w:t>
      </w:r>
      <w:r w:rsidR="000B620A" w:rsidRPr="005B4041">
        <w:t xml:space="preserve">we planned and implemented </w:t>
      </w:r>
      <w:r w:rsidRPr="005B4041">
        <w:t>the demonstration, explain program processes, document beneficiary experiences with the demonstration and describe outcomes or results</w:t>
      </w:r>
      <w:r w:rsidR="000B620A" w:rsidRPr="005B4041">
        <w:t xml:space="preserve">.  </w:t>
      </w:r>
      <w:r w:rsidR="00314163">
        <w:t xml:space="preserve">We </w:t>
      </w:r>
      <w:r w:rsidR="00314163" w:rsidRPr="005B4041">
        <w:t xml:space="preserve">addressed </w:t>
      </w:r>
      <w:r w:rsidR="00314163">
        <w:t>t</w:t>
      </w:r>
      <w:r w:rsidRPr="005B4041">
        <w:t xml:space="preserve">he following distinct components </w:t>
      </w:r>
      <w:r w:rsidR="00314163">
        <w:t>of program implementation</w:t>
      </w:r>
      <w:r w:rsidR="000B620A" w:rsidRPr="005B4041">
        <w:t xml:space="preserve">:  </w:t>
      </w:r>
      <w:r w:rsidRPr="005B4041">
        <w:t xml:space="preserve">(a) outreach, recruitment, and participation; (b) the intervention, including whether each component was implemented as planned, differences in implementation across subgroups, existing service systems, and the use of services; (c) organizational arrangements, communication, and coordination; (d) coordination </w:t>
      </w:r>
      <w:r w:rsidR="00314163">
        <w:t>with SSA field offices; and (e) </w:t>
      </w:r>
      <w:r w:rsidRPr="005B4041">
        <w:t>experiences and satisfaction of beneficiaries and other stakeholders</w:t>
      </w:r>
      <w:r w:rsidR="000B620A" w:rsidRPr="005B4041">
        <w:t xml:space="preserve">.  </w:t>
      </w:r>
      <w:r w:rsidR="00314163">
        <w:t>We</w:t>
      </w:r>
      <w:r w:rsidRPr="005B4041">
        <w:t xml:space="preserve"> explicitly document implementation issues </w:t>
      </w:r>
      <w:r w:rsidR="000B620A" w:rsidRPr="005B4041">
        <w:t xml:space="preserve">we </w:t>
      </w:r>
      <w:r w:rsidRPr="005B4041">
        <w:t xml:space="preserve">encountered </w:t>
      </w:r>
      <w:r w:rsidR="000B620A" w:rsidRPr="005B4041">
        <w:t>as well as</w:t>
      </w:r>
      <w:r w:rsidRPr="005B4041">
        <w:t xml:space="preserve"> how </w:t>
      </w:r>
      <w:r w:rsidR="000B620A" w:rsidRPr="005B4041">
        <w:t xml:space="preserve">we addressed them.  </w:t>
      </w:r>
      <w:r w:rsidR="00314163">
        <w:t xml:space="preserve">We </w:t>
      </w:r>
      <w:r w:rsidRPr="005B4041">
        <w:t>also document how major features of the program change over the course of the evaluation, the reasons for the changes, and the implications for program outcomes measured in the evaluation.</w:t>
      </w:r>
    </w:p>
    <w:p w:rsidR="005B49E1" w:rsidRPr="005B4041" w:rsidRDefault="005B49E1" w:rsidP="00091BB4">
      <w:pPr>
        <w:spacing w:line="240" w:lineRule="auto"/>
        <w:jc w:val="left"/>
      </w:pPr>
    </w:p>
    <w:p w:rsidR="005B49E1" w:rsidRPr="005B4041" w:rsidRDefault="005B49E1" w:rsidP="003B110F">
      <w:pPr>
        <w:spacing w:line="240" w:lineRule="auto"/>
        <w:ind w:left="720" w:firstLine="0"/>
        <w:jc w:val="left"/>
      </w:pPr>
      <w:r w:rsidRPr="005B4041">
        <w:t>The i</w:t>
      </w:r>
      <w:r w:rsidR="00314163">
        <w:t>mpact reports</w:t>
      </w:r>
      <w:r w:rsidRPr="005B4041">
        <w:t xml:space="preserve"> investigate the demonstration’s effects on a wide array of education, earnings, and self-determination outcomes; the amount of benefits the beneficiary receives from SSA; and the beneficiary’s quality of life, both overall and for meanin</w:t>
      </w:r>
      <w:r w:rsidR="00314163">
        <w:t>gful subgroups.  Our</w:t>
      </w:r>
      <w:r w:rsidRPr="005B4041">
        <w:t xml:space="preserve"> methodological approach combines a random assignment design with regression adjustment to improve the precision of our estimates</w:t>
      </w:r>
      <w:r w:rsidR="000B620A" w:rsidRPr="005B4041">
        <w:t xml:space="preserve">.  </w:t>
      </w:r>
      <w:r w:rsidRPr="005B4041">
        <w:t xml:space="preserve">Because </w:t>
      </w:r>
      <w:r w:rsidR="000B620A" w:rsidRPr="005B4041">
        <w:t>we randomly assign</w:t>
      </w:r>
      <w:r w:rsidR="00314163">
        <w:t>ed</w:t>
      </w:r>
      <w:r w:rsidR="000B620A" w:rsidRPr="005B4041">
        <w:t xml:space="preserve"> </w:t>
      </w:r>
      <w:r w:rsidRPr="005B4041">
        <w:t>individuals to the control group and to the treatment group, the imp</w:t>
      </w:r>
      <w:r w:rsidR="00314163">
        <w:t xml:space="preserve">act analysis </w:t>
      </w:r>
      <w:r w:rsidRPr="005B4041">
        <w:t>focus</w:t>
      </w:r>
      <w:r w:rsidR="00314163">
        <w:t>es</w:t>
      </w:r>
      <w:r w:rsidRPr="005B4041">
        <w:t xml:space="preserve"> on differences in the outcomes of beneficiaries between these two groups using a regression framework to control for other explanatory variables</w:t>
      </w:r>
      <w:r w:rsidR="00314163">
        <w:t xml:space="preserve">.  We </w:t>
      </w:r>
      <w:r w:rsidR="000B620A" w:rsidRPr="005B4041">
        <w:t>use r</w:t>
      </w:r>
      <w:r w:rsidRPr="005B4041">
        <w:t>egression-adjusted comparison of randomly assigned treatment group to control group for the full sample to address the impact of the intervention on beneficiaries’ education, labor market, and other outcomes</w:t>
      </w:r>
      <w:r w:rsidR="00314163">
        <w:t xml:space="preserve">.  We </w:t>
      </w:r>
      <w:r w:rsidR="000B620A" w:rsidRPr="005B4041">
        <w:t xml:space="preserve">use </w:t>
      </w:r>
      <w:r w:rsidR="00314163">
        <w:t xml:space="preserve">a </w:t>
      </w:r>
      <w:r w:rsidR="000B620A" w:rsidRPr="005B4041">
        <w:t>r</w:t>
      </w:r>
      <w:r w:rsidRPr="005B4041">
        <w:t xml:space="preserve">egression-adjusted comparison of randomly assigned treatment group to control group for subgroups defined by pre-randomization values of age, race, gender, and type of disability. </w:t>
      </w:r>
    </w:p>
    <w:p w:rsidR="005B49E1" w:rsidRPr="005B4041" w:rsidRDefault="005B49E1" w:rsidP="00091BB4">
      <w:pPr>
        <w:spacing w:line="240" w:lineRule="auto"/>
        <w:jc w:val="left"/>
      </w:pPr>
    </w:p>
    <w:p w:rsidR="005B49E1" w:rsidRPr="005B4041" w:rsidRDefault="005B49E1" w:rsidP="003B110F">
      <w:pPr>
        <w:spacing w:line="240" w:lineRule="auto"/>
        <w:ind w:left="720" w:firstLine="0"/>
        <w:jc w:val="left"/>
        <w:rPr>
          <w:rFonts w:eastAsia="MS Mincho"/>
        </w:rPr>
      </w:pPr>
      <w:r w:rsidRPr="005B4041">
        <w:t xml:space="preserve">The exact statistical technique </w:t>
      </w:r>
      <w:r w:rsidR="00314163">
        <w:t>we use</w:t>
      </w:r>
      <w:r w:rsidRPr="005B4041">
        <w:t xml:space="preserve"> to estimate </w:t>
      </w:r>
      <w:r w:rsidR="00314163">
        <w:t>regression-adjusted impacts</w:t>
      </w:r>
      <w:r w:rsidRPr="005B4041">
        <w:t xml:space="preserve"> depend</w:t>
      </w:r>
      <w:r w:rsidR="00314163">
        <w:t>s</w:t>
      </w:r>
      <w:r w:rsidRPr="005B4041">
        <w:t xml:space="preserve"> on the nature of </w:t>
      </w:r>
      <w:r w:rsidRPr="005B4041">
        <w:rPr>
          <w:bCs/>
        </w:rPr>
        <w:t xml:space="preserve">the dependent variable and the type of issues </w:t>
      </w:r>
      <w:r w:rsidR="00314163">
        <w:rPr>
          <w:bCs/>
        </w:rPr>
        <w:t xml:space="preserve">we </w:t>
      </w:r>
      <w:r w:rsidRPr="005B4041">
        <w:rPr>
          <w:bCs/>
        </w:rPr>
        <w:t>addressed</w:t>
      </w:r>
      <w:r w:rsidR="000B620A" w:rsidRPr="005B4041">
        <w:rPr>
          <w:bCs/>
        </w:rPr>
        <w:t xml:space="preserve">.  </w:t>
      </w:r>
      <w:r w:rsidRPr="005B4041">
        <w:rPr>
          <w:bCs/>
        </w:rPr>
        <w:t xml:space="preserve">For example, if the dependent variable is continuous, then </w:t>
      </w:r>
      <w:r w:rsidRPr="005B4041">
        <w:t>ordinary least squares regression produces estimates of impacts that are unbiased</w:t>
      </w:r>
      <w:r w:rsidR="000B620A" w:rsidRPr="005B4041">
        <w:t xml:space="preserve">.  </w:t>
      </w:r>
      <w:r w:rsidRPr="005B4041">
        <w:t xml:space="preserve">For binary outcome variables </w:t>
      </w:r>
      <w:r w:rsidRPr="005B4041">
        <w:rPr>
          <w:bCs/>
        </w:rPr>
        <w:t>(such as whether or not the beneficiary is employed), l</w:t>
      </w:r>
      <w:r w:rsidRPr="005B4041">
        <w:t>ogistic regression models generate estimates that are consistent and efficient if the parametric assumptions underlying those models are correct</w:t>
      </w:r>
      <w:r w:rsidR="000B620A" w:rsidRPr="005B4041">
        <w:t>.</w:t>
      </w:r>
      <w:r w:rsidR="000B620A" w:rsidRPr="005B4041">
        <w:rPr>
          <w:bCs/>
        </w:rPr>
        <w:t xml:space="preserve">  </w:t>
      </w:r>
      <w:r w:rsidRPr="005B4041">
        <w:rPr>
          <w:rFonts w:eastAsia="MS Mincho"/>
        </w:rPr>
        <w:t xml:space="preserve">If the dependent variable is a count variable then </w:t>
      </w:r>
      <w:r w:rsidR="00314163">
        <w:rPr>
          <w:rFonts w:eastAsia="MS Mincho"/>
        </w:rPr>
        <w:t>we</w:t>
      </w:r>
      <w:r w:rsidR="000B620A" w:rsidRPr="005B4041">
        <w:rPr>
          <w:rFonts w:eastAsia="MS Mincho"/>
        </w:rPr>
        <w:t xml:space="preserve"> use an ordered </w:t>
      </w:r>
      <w:proofErr w:type="spellStart"/>
      <w:r w:rsidR="000B620A" w:rsidRPr="005B4041">
        <w:rPr>
          <w:rFonts w:eastAsia="MS Mincho"/>
        </w:rPr>
        <w:t>logit</w:t>
      </w:r>
      <w:proofErr w:type="spellEnd"/>
      <w:r w:rsidR="000B620A" w:rsidRPr="005B4041">
        <w:rPr>
          <w:rFonts w:eastAsia="MS Mincho"/>
        </w:rPr>
        <w:t xml:space="preserve"> model.  </w:t>
      </w:r>
      <w:r w:rsidRPr="005B4041">
        <w:rPr>
          <w:rFonts w:eastAsia="MS Mincho"/>
        </w:rPr>
        <w:t>If the depend</w:t>
      </w:r>
      <w:r w:rsidR="00314163">
        <w:rPr>
          <w:rFonts w:eastAsia="MS Mincho"/>
        </w:rPr>
        <w:t>ent variable is ordinal, we</w:t>
      </w:r>
      <w:r w:rsidRPr="005B4041">
        <w:rPr>
          <w:rFonts w:eastAsia="MS Mincho"/>
        </w:rPr>
        <w:t xml:space="preserve"> first reduce the measure to binary outcomes and then estimate a </w:t>
      </w:r>
      <w:proofErr w:type="spellStart"/>
      <w:r w:rsidRPr="005B4041">
        <w:rPr>
          <w:rFonts w:eastAsia="MS Mincho"/>
        </w:rPr>
        <w:t>logit</w:t>
      </w:r>
      <w:proofErr w:type="spellEnd"/>
      <w:r w:rsidRPr="005B4041">
        <w:rPr>
          <w:rFonts w:eastAsia="MS Mincho"/>
        </w:rPr>
        <w:t xml:space="preserve"> model</w:t>
      </w:r>
      <w:r w:rsidR="000B620A" w:rsidRPr="005B4041">
        <w:rPr>
          <w:rFonts w:eastAsia="MS Mincho"/>
        </w:rPr>
        <w:t xml:space="preserve">.  </w:t>
      </w:r>
      <w:r w:rsidRPr="005B4041">
        <w:rPr>
          <w:rFonts w:eastAsia="MS Mincho"/>
        </w:rPr>
        <w:t xml:space="preserve">To account for the fact that </w:t>
      </w:r>
      <w:r w:rsidR="00314163">
        <w:rPr>
          <w:rFonts w:eastAsia="MS Mincho"/>
        </w:rPr>
        <w:t xml:space="preserve">we </w:t>
      </w:r>
      <w:r w:rsidR="000B620A" w:rsidRPr="005B4041">
        <w:rPr>
          <w:rFonts w:eastAsia="MS Mincho"/>
        </w:rPr>
        <w:t xml:space="preserve">observe </w:t>
      </w:r>
      <w:r w:rsidRPr="005B4041">
        <w:rPr>
          <w:rFonts w:eastAsia="MS Mincho"/>
        </w:rPr>
        <w:t>sample members for dif</w:t>
      </w:r>
      <w:r w:rsidR="00314163">
        <w:rPr>
          <w:rFonts w:eastAsia="MS Mincho"/>
        </w:rPr>
        <w:t xml:space="preserve">ferent lengths of time, we </w:t>
      </w:r>
      <w:r w:rsidRPr="005B4041">
        <w:rPr>
          <w:rFonts w:eastAsia="MS Mincho"/>
        </w:rPr>
        <w:t>also consider using event-history or hazard models for binary outcome measures</w:t>
      </w:r>
      <w:r w:rsidR="000B620A" w:rsidRPr="005B4041">
        <w:rPr>
          <w:rFonts w:eastAsia="MS Mincho"/>
        </w:rPr>
        <w:t xml:space="preserve">.  </w:t>
      </w:r>
      <w:r w:rsidRPr="005B4041">
        <w:rPr>
          <w:rFonts w:eastAsia="MS Mincho"/>
        </w:rPr>
        <w:t>These models provide unbiased estimates of program effects on binary outcomes when participants’ data are truncated.</w:t>
      </w:r>
    </w:p>
    <w:p w:rsidR="005B49E1" w:rsidRPr="005B4041" w:rsidRDefault="005B49E1" w:rsidP="00091BB4">
      <w:pPr>
        <w:spacing w:line="240" w:lineRule="auto"/>
        <w:jc w:val="left"/>
      </w:pPr>
    </w:p>
    <w:p w:rsidR="005B49E1" w:rsidRPr="005B4041" w:rsidRDefault="005B49E1" w:rsidP="00314163">
      <w:pPr>
        <w:spacing w:line="240" w:lineRule="auto"/>
        <w:ind w:left="720" w:firstLine="0"/>
        <w:jc w:val="left"/>
      </w:pPr>
      <w:r w:rsidRPr="005B4041">
        <w:t>The purpose of the benefit-cost analysis is to determine whether the program impacts of the YTD demonstration are sufficiently large to justify the costs of providing program services</w:t>
      </w:r>
      <w:r w:rsidR="000B620A" w:rsidRPr="005B4041">
        <w:t xml:space="preserve">.  </w:t>
      </w:r>
      <w:r w:rsidRPr="005B4041">
        <w:t>The results of this analysis will play an integral part in the decision to expand the demonstration to the larger population</w:t>
      </w:r>
      <w:r w:rsidR="000B620A" w:rsidRPr="005B4041">
        <w:t>.  We will base t</w:t>
      </w:r>
      <w:r w:rsidRPr="005B4041">
        <w:t>he analysis on an accounting framework that summarizes the intervention’s effects and resource use from the perspective of SSA and other key stakeholder groups, including society as a whole.</w:t>
      </w:r>
    </w:p>
    <w:p w:rsidR="005B49E1" w:rsidRPr="005B4041" w:rsidRDefault="005B49E1" w:rsidP="00091BB4">
      <w:pPr>
        <w:spacing w:line="240" w:lineRule="auto"/>
        <w:jc w:val="left"/>
      </w:pPr>
    </w:p>
    <w:p w:rsidR="005B49E1" w:rsidRPr="005B4041" w:rsidRDefault="005B49E1" w:rsidP="00314163">
      <w:pPr>
        <w:pStyle w:val="ParagraphSSLAST"/>
        <w:ind w:left="720" w:firstLine="0"/>
        <w:jc w:val="left"/>
      </w:pPr>
      <w:r w:rsidRPr="005B4041">
        <w:lastRenderedPageBreak/>
        <w:t>To ensure that the benefit-cost findings are as helpful as possible to SSA, we plan to present the information in a way that has proven useful for communicating this type of information to the SSA Office of the Actuary and to OMB</w:t>
      </w:r>
      <w:r w:rsidR="000B620A" w:rsidRPr="005B4041">
        <w:t xml:space="preserve">.  </w:t>
      </w:r>
      <w:r w:rsidRPr="005B4041">
        <w:t>First, we will summarize all of the information based directly on data collected during the demonstration period</w:t>
      </w:r>
      <w:r w:rsidR="000B620A" w:rsidRPr="005B4041">
        <w:t xml:space="preserve">.  </w:t>
      </w:r>
      <w:r w:rsidRPr="005B4041">
        <w:t>The second set of estimates will present the size of future effects (if any) that would be required for the program to generate benefits that exceed costs along with an analysis of how likely it seems that future effects of that size will occur</w:t>
      </w:r>
      <w:r w:rsidR="000B620A" w:rsidRPr="005B4041">
        <w:t xml:space="preserve">.  </w:t>
      </w:r>
      <w:r w:rsidRPr="005B4041">
        <w:t>In this way, SSA actuaries will be able to see the net value generated during the observation period and then use the more speculative analysis of possible future benefits and costs to draw conclusions about whether the YTD projects would ultimately pay for themselves</w:t>
      </w:r>
      <w:r w:rsidR="000B620A" w:rsidRPr="005B4041">
        <w:t xml:space="preserve">.  </w:t>
      </w:r>
      <w:r w:rsidRPr="005B4041">
        <w:t>In addition to using this general presentation format, we will work with the actuaries during the evaluation to ensure that the other assumptions used in the analysis—the discount rate, correction for inflation, and projections about potential productivity growth—are consistent with the ones they are using to assess other potential SSA initiatives</w:t>
      </w:r>
      <w:r w:rsidR="000B620A" w:rsidRPr="005B4041">
        <w:t xml:space="preserve">.  </w:t>
      </w:r>
      <w:r w:rsidRPr="005B4041">
        <w:t>This consistency will go a long way in ensuring that comparisons of the various options are accurate and useful.</w:t>
      </w:r>
    </w:p>
    <w:p w:rsidR="005B49E1" w:rsidRPr="005B4041" w:rsidRDefault="005B49E1" w:rsidP="00314163">
      <w:pPr>
        <w:pStyle w:val="Heading3"/>
        <w:tabs>
          <w:tab w:val="clear" w:pos="432"/>
          <w:tab w:val="left" w:pos="270"/>
          <w:tab w:val="left" w:pos="720"/>
        </w:tabs>
        <w:ind w:left="270" w:firstLine="0"/>
        <w:jc w:val="left"/>
      </w:pPr>
      <w:r w:rsidRPr="005B4041">
        <w:t>17.</w:t>
      </w:r>
      <w:r w:rsidRPr="005B4041">
        <w:tab/>
        <w:t>Expiration Date for OMB Approval</w:t>
      </w:r>
    </w:p>
    <w:p w:rsidR="005B49E1" w:rsidRPr="005B4041" w:rsidRDefault="00314163" w:rsidP="00314163">
      <w:pPr>
        <w:pStyle w:val="ParagraphSSLAST"/>
        <w:ind w:left="720" w:firstLine="0"/>
        <w:jc w:val="left"/>
      </w:pPr>
      <w:r>
        <w:t xml:space="preserve">We </w:t>
      </w:r>
      <w:r w:rsidR="000B620A" w:rsidRPr="005B4041">
        <w:t xml:space="preserve">display the OMB expiration date </w:t>
      </w:r>
      <w:r w:rsidR="005B49E1" w:rsidRPr="005B4041">
        <w:t>on all survey materials sent to respondents, including the advance</w:t>
      </w:r>
      <w:r w:rsidR="000B620A" w:rsidRPr="005B4041">
        <w:t xml:space="preserve">.  </w:t>
      </w:r>
      <w:r>
        <w:t>We also make it</w:t>
      </w:r>
      <w:r w:rsidR="005B49E1" w:rsidRPr="005B4041">
        <w:t xml:space="preserve"> accessible in the computer-assisted instruments when a respondent requests the information.</w:t>
      </w:r>
    </w:p>
    <w:p w:rsidR="005B49E1" w:rsidRPr="005B4041" w:rsidRDefault="005B49E1" w:rsidP="00314163">
      <w:pPr>
        <w:pStyle w:val="Heading3"/>
        <w:tabs>
          <w:tab w:val="clear" w:pos="432"/>
          <w:tab w:val="left" w:pos="270"/>
        </w:tabs>
        <w:ind w:left="270" w:firstLine="0"/>
        <w:jc w:val="left"/>
      </w:pPr>
      <w:r w:rsidRPr="005B4041">
        <w:t>18.</w:t>
      </w:r>
      <w:r w:rsidRPr="005B4041">
        <w:tab/>
        <w:t>Exceptions to the Certification Statement</w:t>
      </w:r>
    </w:p>
    <w:p w:rsidR="005B49E1" w:rsidRPr="005B4041" w:rsidRDefault="00CF5B61" w:rsidP="00CF5B61">
      <w:pPr>
        <w:pStyle w:val="ParagraphSSLAST"/>
        <w:ind w:left="720" w:firstLine="0"/>
        <w:jc w:val="left"/>
      </w:pPr>
      <w:r w:rsidRPr="008C2C5C">
        <w:t xml:space="preserve">SSA is not requesting an exception to the certification requirements at </w:t>
      </w:r>
      <w:r w:rsidRPr="008C2C5C">
        <w:rPr>
          <w:i/>
        </w:rPr>
        <w:t>5 CFR 1320.9</w:t>
      </w:r>
      <w:r w:rsidRPr="008C2C5C">
        <w:t xml:space="preserve"> and related provisions at </w:t>
      </w:r>
      <w:r w:rsidRPr="008C2C5C">
        <w:rPr>
          <w:i/>
        </w:rPr>
        <w:t>5 CFR 1320.8(b)(3)</w:t>
      </w:r>
      <w:r>
        <w:rPr>
          <w:rFonts w:ascii="Times New (W1)" w:hAnsi="Times New (W1)"/>
        </w:rPr>
        <w:t>.</w:t>
      </w:r>
      <w:bookmarkEnd w:id="0"/>
      <w:bookmarkEnd w:id="1"/>
      <w:bookmarkEnd w:id="2"/>
      <w:bookmarkEnd w:id="3"/>
      <w:r w:rsidRPr="005B4041">
        <w:t xml:space="preserve"> </w:t>
      </w:r>
    </w:p>
    <w:sectPr w:rsidR="005B49E1" w:rsidRPr="005B4041" w:rsidSect="00D416B2">
      <w:headerReference w:type="default" r:id="rId19"/>
      <w:footerReference w:type="default" r:id="rId20"/>
      <w:pgSz w:w="12240" w:h="15840"/>
      <w:pgMar w:top="1440" w:right="1440" w:bottom="632" w:left="1440" w:header="720" w:footer="576" w:gutter="0"/>
      <w:cols w:space="720"/>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2FB" w:rsidRDefault="008872FB">
      <w:r>
        <w:separator/>
      </w:r>
    </w:p>
  </w:endnote>
  <w:endnote w:type="continuationSeparator" w:id="0">
    <w:p w:rsidR="008872FB" w:rsidRDefault="00887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F73" w:rsidRDefault="000B6F73">
    <w:pPr>
      <w:pStyle w:val="Footer"/>
      <w:tabs>
        <w:tab w:val="clear" w:pos="432"/>
        <w:tab w:val="clear" w:pos="4320"/>
        <w:tab w:val="clear" w:pos="8640"/>
        <w:tab w:val="center" w:pos="4770"/>
        <w:tab w:val="right" w:pos="9360"/>
      </w:tabs>
      <w:spacing w:before="360" w:line="240" w:lineRule="auto"/>
      <w:ind w:firstLine="0"/>
      <w:jc w:val="center"/>
    </w:pPr>
    <w:r>
      <w:rPr>
        <w:rStyle w:val="PageNumber"/>
      </w:rPr>
      <w:fldChar w:fldCharType="begin"/>
    </w:r>
    <w:r>
      <w:rPr>
        <w:rStyle w:val="PageNumber"/>
      </w:rPr>
      <w:instrText xml:space="preserve"> PAGE </w:instrText>
    </w:r>
    <w:r>
      <w:rPr>
        <w:rStyle w:val="PageNumber"/>
      </w:rPr>
      <w:fldChar w:fldCharType="separate"/>
    </w:r>
    <w:r w:rsidR="00C308DC">
      <w:rPr>
        <w:rStyle w:val="PageNumber"/>
        <w:noProof/>
      </w:rPr>
      <w:t>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F73" w:rsidRDefault="000B6F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F73" w:rsidRDefault="000B6F73">
    <w:pPr>
      <w:pStyle w:val="Footer"/>
      <w:tabs>
        <w:tab w:val="clear" w:pos="4320"/>
        <w:tab w:val="center" w:pos="467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2FB" w:rsidRDefault="008872FB">
      <w:r>
        <w:separator/>
      </w:r>
    </w:p>
  </w:footnote>
  <w:footnote w:type="continuationSeparator" w:id="0">
    <w:p w:rsidR="008872FB" w:rsidRDefault="00887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F73" w:rsidRDefault="000B6F73">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nsid w:val="00000002"/>
    <w:multiLevelType w:val="singleLevel"/>
    <w:tmpl w:val="00000002"/>
    <w:name w:val="WW8Num7"/>
    <w:lvl w:ilvl="0">
      <w:start w:val="1"/>
      <w:numFmt w:val="bullet"/>
      <w:lvlText w:val=""/>
      <w:lvlJc w:val="left"/>
      <w:pPr>
        <w:tabs>
          <w:tab w:val="num" w:pos="1152"/>
        </w:tabs>
        <w:ind w:left="1152" w:hanging="360"/>
      </w:pPr>
      <w:rPr>
        <w:rFonts w:ascii="Symbol" w:hAnsi="Symbol"/>
      </w:rPr>
    </w:lvl>
  </w:abstractNum>
  <w:abstractNum w:abstractNumId="2">
    <w:nsid w:val="00000003"/>
    <w:multiLevelType w:val="singleLevel"/>
    <w:tmpl w:val="00000003"/>
    <w:name w:val="WW8Num10"/>
    <w:lvl w:ilvl="0">
      <w:start w:val="1"/>
      <w:numFmt w:val="bullet"/>
      <w:pStyle w:val="Bullet"/>
      <w:lvlText w:val=""/>
      <w:lvlJc w:val="left"/>
      <w:pPr>
        <w:tabs>
          <w:tab w:val="num" w:pos="792"/>
        </w:tabs>
        <w:ind w:left="792" w:hanging="360"/>
      </w:pPr>
      <w:rPr>
        <w:rFonts w:ascii="Symbol" w:hAnsi="Symbol"/>
      </w:rPr>
    </w:lvl>
  </w:abstractNum>
  <w:abstractNum w:abstractNumId="3">
    <w:nsid w:val="00000004"/>
    <w:multiLevelType w:val="singleLevel"/>
    <w:tmpl w:val="00000004"/>
    <w:name w:val="WW8Num13"/>
    <w:lvl w:ilvl="0">
      <w:start w:val="1"/>
      <w:numFmt w:val="bullet"/>
      <w:lvlText w:val=""/>
      <w:lvlJc w:val="left"/>
      <w:pPr>
        <w:tabs>
          <w:tab w:val="num" w:pos="792"/>
        </w:tabs>
        <w:ind w:left="792" w:hanging="360"/>
      </w:pPr>
      <w:rPr>
        <w:rFonts w:ascii="Symbol" w:hAnsi="Symbol"/>
      </w:rPr>
    </w:lvl>
  </w:abstractNum>
  <w:abstractNum w:abstractNumId="4">
    <w:nsid w:val="66312D60"/>
    <w:multiLevelType w:val="hybridMultilevel"/>
    <w:tmpl w:val="FB4050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0"/>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5E"/>
    <w:rsid w:val="000522D9"/>
    <w:rsid w:val="00071B82"/>
    <w:rsid w:val="00076C1B"/>
    <w:rsid w:val="00081536"/>
    <w:rsid w:val="000832B1"/>
    <w:rsid w:val="000857D9"/>
    <w:rsid w:val="00091BB4"/>
    <w:rsid w:val="000B620A"/>
    <w:rsid w:val="000B6F73"/>
    <w:rsid w:val="000F18F8"/>
    <w:rsid w:val="00167B03"/>
    <w:rsid w:val="001915F3"/>
    <w:rsid w:val="00192B1F"/>
    <w:rsid w:val="001B07A3"/>
    <w:rsid w:val="001C30A9"/>
    <w:rsid w:val="002301B3"/>
    <w:rsid w:val="002943AE"/>
    <w:rsid w:val="002A3EDC"/>
    <w:rsid w:val="002A6E63"/>
    <w:rsid w:val="0030127C"/>
    <w:rsid w:val="00314163"/>
    <w:rsid w:val="00323DD2"/>
    <w:rsid w:val="00340313"/>
    <w:rsid w:val="00362292"/>
    <w:rsid w:val="0038175E"/>
    <w:rsid w:val="003B110F"/>
    <w:rsid w:val="003E5E8E"/>
    <w:rsid w:val="003F253F"/>
    <w:rsid w:val="00415599"/>
    <w:rsid w:val="004410F7"/>
    <w:rsid w:val="004646E3"/>
    <w:rsid w:val="004A79A4"/>
    <w:rsid w:val="00503DB0"/>
    <w:rsid w:val="00504C3E"/>
    <w:rsid w:val="00513F50"/>
    <w:rsid w:val="00514FE8"/>
    <w:rsid w:val="005738C6"/>
    <w:rsid w:val="00573F84"/>
    <w:rsid w:val="005914A0"/>
    <w:rsid w:val="005B4041"/>
    <w:rsid w:val="005B49E1"/>
    <w:rsid w:val="005C50B0"/>
    <w:rsid w:val="005E3AD8"/>
    <w:rsid w:val="005F3549"/>
    <w:rsid w:val="00611E12"/>
    <w:rsid w:val="00644368"/>
    <w:rsid w:val="006700D2"/>
    <w:rsid w:val="006E7054"/>
    <w:rsid w:val="006F7FDA"/>
    <w:rsid w:val="007253F7"/>
    <w:rsid w:val="00744505"/>
    <w:rsid w:val="00762AD9"/>
    <w:rsid w:val="00782600"/>
    <w:rsid w:val="007B4705"/>
    <w:rsid w:val="007F3455"/>
    <w:rsid w:val="00825F35"/>
    <w:rsid w:val="008401F3"/>
    <w:rsid w:val="00865AF4"/>
    <w:rsid w:val="00880FB9"/>
    <w:rsid w:val="00886FC7"/>
    <w:rsid w:val="008872FB"/>
    <w:rsid w:val="008874CE"/>
    <w:rsid w:val="0088776D"/>
    <w:rsid w:val="008B4B85"/>
    <w:rsid w:val="008D7C2A"/>
    <w:rsid w:val="008E632B"/>
    <w:rsid w:val="008F046D"/>
    <w:rsid w:val="009624D0"/>
    <w:rsid w:val="00975C01"/>
    <w:rsid w:val="009A629E"/>
    <w:rsid w:val="00A14052"/>
    <w:rsid w:val="00A922DC"/>
    <w:rsid w:val="00A9518F"/>
    <w:rsid w:val="00AB1EF0"/>
    <w:rsid w:val="00B01AA0"/>
    <w:rsid w:val="00B03E20"/>
    <w:rsid w:val="00B25834"/>
    <w:rsid w:val="00B2693B"/>
    <w:rsid w:val="00B72ADC"/>
    <w:rsid w:val="00C00570"/>
    <w:rsid w:val="00C308DC"/>
    <w:rsid w:val="00C61F41"/>
    <w:rsid w:val="00C93F73"/>
    <w:rsid w:val="00CA1023"/>
    <w:rsid w:val="00CA1172"/>
    <w:rsid w:val="00CD2350"/>
    <w:rsid w:val="00CF5B61"/>
    <w:rsid w:val="00D327CC"/>
    <w:rsid w:val="00D35C72"/>
    <w:rsid w:val="00D416B2"/>
    <w:rsid w:val="00D6595F"/>
    <w:rsid w:val="00DA7782"/>
    <w:rsid w:val="00DC4144"/>
    <w:rsid w:val="00DF3190"/>
    <w:rsid w:val="00E36F35"/>
    <w:rsid w:val="00E50146"/>
    <w:rsid w:val="00E85BA8"/>
    <w:rsid w:val="00EF0A5C"/>
    <w:rsid w:val="00F04493"/>
    <w:rsid w:val="00F84ED7"/>
    <w:rsid w:val="00F876CC"/>
    <w:rsid w:val="00F9564C"/>
    <w:rsid w:val="00FB0A25"/>
    <w:rsid w:val="00FD3A11"/>
    <w:rsid w:val="00FE2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16B2"/>
    <w:pPr>
      <w:tabs>
        <w:tab w:val="left" w:pos="432"/>
      </w:tabs>
      <w:suppressAutoHyphens/>
      <w:spacing w:line="480" w:lineRule="auto"/>
      <w:ind w:firstLine="432"/>
      <w:jc w:val="both"/>
    </w:pPr>
    <w:rPr>
      <w:sz w:val="24"/>
      <w:szCs w:val="24"/>
      <w:lang w:eastAsia="ar-SA"/>
    </w:rPr>
  </w:style>
  <w:style w:type="paragraph" w:styleId="Heading1">
    <w:name w:val="heading 1"/>
    <w:basedOn w:val="Normal"/>
    <w:next w:val="Normal"/>
    <w:qFormat/>
    <w:rsid w:val="00D416B2"/>
    <w:pPr>
      <w:numPr>
        <w:numId w:val="1"/>
      </w:numPr>
      <w:spacing w:after="840" w:line="240" w:lineRule="auto"/>
      <w:jc w:val="center"/>
      <w:outlineLvl w:val="0"/>
    </w:pPr>
    <w:rPr>
      <w:b/>
      <w:caps/>
    </w:rPr>
  </w:style>
  <w:style w:type="paragraph" w:styleId="Heading2">
    <w:name w:val="heading 2"/>
    <w:basedOn w:val="Normal"/>
    <w:next w:val="Normal"/>
    <w:qFormat/>
    <w:rsid w:val="00D416B2"/>
    <w:pPr>
      <w:keepNext/>
      <w:numPr>
        <w:ilvl w:val="1"/>
        <w:numId w:val="1"/>
      </w:numPr>
      <w:spacing w:after="240" w:line="240" w:lineRule="auto"/>
      <w:ind w:left="432" w:hanging="432"/>
      <w:outlineLvl w:val="1"/>
    </w:pPr>
    <w:rPr>
      <w:b/>
      <w:caps/>
    </w:rPr>
  </w:style>
  <w:style w:type="paragraph" w:styleId="Heading3">
    <w:name w:val="heading 3"/>
    <w:basedOn w:val="Normal"/>
    <w:next w:val="Normal"/>
    <w:qFormat/>
    <w:rsid w:val="00D416B2"/>
    <w:pPr>
      <w:keepNext/>
      <w:numPr>
        <w:ilvl w:val="2"/>
        <w:numId w:val="1"/>
      </w:numPr>
      <w:spacing w:after="240" w:line="240" w:lineRule="auto"/>
      <w:ind w:left="432" w:hanging="432"/>
      <w:outlineLvl w:val="2"/>
    </w:pPr>
    <w:rPr>
      <w:b/>
    </w:rPr>
  </w:style>
  <w:style w:type="paragraph" w:styleId="Heading4">
    <w:name w:val="heading 4"/>
    <w:basedOn w:val="Normal"/>
    <w:next w:val="Normal"/>
    <w:qFormat/>
    <w:rsid w:val="00D416B2"/>
    <w:pPr>
      <w:numPr>
        <w:ilvl w:val="3"/>
        <w:numId w:val="1"/>
      </w:numPr>
      <w:spacing w:after="240" w:line="240" w:lineRule="auto"/>
      <w:ind w:left="432" w:hanging="432"/>
      <w:outlineLvl w:val="3"/>
    </w:pPr>
    <w:rPr>
      <w:b/>
    </w:rPr>
  </w:style>
  <w:style w:type="paragraph" w:styleId="Heading5">
    <w:name w:val="heading 5"/>
    <w:basedOn w:val="Normal"/>
    <w:next w:val="Normal"/>
    <w:qFormat/>
    <w:rsid w:val="00D416B2"/>
    <w:pPr>
      <w:numPr>
        <w:ilvl w:val="4"/>
        <w:numId w:val="1"/>
      </w:numPr>
      <w:spacing w:after="240" w:line="240" w:lineRule="auto"/>
      <w:ind w:left="432" w:hanging="432"/>
      <w:outlineLvl w:val="4"/>
    </w:pPr>
    <w:rPr>
      <w:b/>
    </w:rPr>
  </w:style>
  <w:style w:type="paragraph" w:styleId="Heading6">
    <w:name w:val="heading 6"/>
    <w:basedOn w:val="Normal"/>
    <w:next w:val="Normal"/>
    <w:qFormat/>
    <w:rsid w:val="00D416B2"/>
    <w:pPr>
      <w:numPr>
        <w:ilvl w:val="5"/>
        <w:numId w:val="1"/>
      </w:numPr>
      <w:outlineLvl w:val="5"/>
    </w:pPr>
  </w:style>
  <w:style w:type="paragraph" w:styleId="Heading7">
    <w:name w:val="heading 7"/>
    <w:basedOn w:val="Normal"/>
    <w:next w:val="Normal"/>
    <w:qFormat/>
    <w:rsid w:val="00D416B2"/>
    <w:pPr>
      <w:numPr>
        <w:ilvl w:val="6"/>
        <w:numId w:val="1"/>
      </w:numPr>
      <w:outlineLvl w:val="6"/>
    </w:pPr>
  </w:style>
  <w:style w:type="paragraph" w:styleId="Heading8">
    <w:name w:val="heading 8"/>
    <w:basedOn w:val="Normal"/>
    <w:next w:val="Normal"/>
    <w:qFormat/>
    <w:rsid w:val="00D416B2"/>
    <w:pPr>
      <w:numPr>
        <w:ilvl w:val="7"/>
        <w:numId w:val="1"/>
      </w:numPr>
      <w:outlineLvl w:val="7"/>
    </w:pPr>
  </w:style>
  <w:style w:type="paragraph" w:styleId="Heading9">
    <w:name w:val="heading 9"/>
    <w:basedOn w:val="Normal"/>
    <w:next w:val="Normal"/>
    <w:qFormat/>
    <w:rsid w:val="00D416B2"/>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D416B2"/>
    <w:rPr>
      <w:rFonts w:ascii="Symbol" w:hAnsi="Symbol"/>
    </w:rPr>
  </w:style>
  <w:style w:type="character" w:customStyle="1" w:styleId="WW8Num2z0">
    <w:name w:val="WW8Num2z0"/>
    <w:rsid w:val="00D416B2"/>
    <w:rPr>
      <w:rFonts w:ascii="Symbol" w:hAnsi="Symbol"/>
    </w:rPr>
  </w:style>
  <w:style w:type="character" w:customStyle="1" w:styleId="WW8Num2z1">
    <w:name w:val="WW8Num2z1"/>
    <w:rsid w:val="00D416B2"/>
    <w:rPr>
      <w:rFonts w:ascii="Courier New" w:hAnsi="Courier New" w:cs="Courier New"/>
    </w:rPr>
  </w:style>
  <w:style w:type="character" w:customStyle="1" w:styleId="WW8Num2z2">
    <w:name w:val="WW8Num2z2"/>
    <w:rsid w:val="00D416B2"/>
    <w:rPr>
      <w:rFonts w:ascii="Wingdings" w:hAnsi="Wingdings"/>
    </w:rPr>
  </w:style>
  <w:style w:type="character" w:customStyle="1" w:styleId="WW8Num3z0">
    <w:name w:val="WW8Num3z0"/>
    <w:rsid w:val="00D416B2"/>
    <w:rPr>
      <w:rFonts w:ascii="Symbol" w:hAnsi="Symbol"/>
    </w:rPr>
  </w:style>
  <w:style w:type="character" w:customStyle="1" w:styleId="WW8Num3z1">
    <w:name w:val="WW8Num3z1"/>
    <w:rsid w:val="00D416B2"/>
    <w:rPr>
      <w:rFonts w:ascii="Courier New" w:hAnsi="Courier New" w:cs="Courier New"/>
    </w:rPr>
  </w:style>
  <w:style w:type="character" w:customStyle="1" w:styleId="WW8Num3z2">
    <w:name w:val="WW8Num3z2"/>
    <w:rsid w:val="00D416B2"/>
    <w:rPr>
      <w:rFonts w:ascii="Wingdings" w:hAnsi="Wingdings"/>
    </w:rPr>
  </w:style>
  <w:style w:type="character" w:customStyle="1" w:styleId="WW8Num5z0">
    <w:name w:val="WW8Num5z0"/>
    <w:rsid w:val="00D416B2"/>
    <w:rPr>
      <w:rFonts w:ascii="Times New Roman" w:hAnsi="Times New Roman" w:cs="Times New Roman"/>
    </w:rPr>
  </w:style>
  <w:style w:type="character" w:customStyle="1" w:styleId="WW8Num5z1">
    <w:name w:val="WW8Num5z1"/>
    <w:rsid w:val="00D416B2"/>
    <w:rPr>
      <w:rFonts w:ascii="Courier New" w:hAnsi="Courier New" w:cs="Courier New"/>
    </w:rPr>
  </w:style>
  <w:style w:type="character" w:customStyle="1" w:styleId="WW8Num5z2">
    <w:name w:val="WW8Num5z2"/>
    <w:rsid w:val="00D416B2"/>
    <w:rPr>
      <w:rFonts w:ascii="Wingdings" w:hAnsi="Wingdings"/>
    </w:rPr>
  </w:style>
  <w:style w:type="character" w:customStyle="1" w:styleId="WW8Num5z3">
    <w:name w:val="WW8Num5z3"/>
    <w:rsid w:val="00D416B2"/>
    <w:rPr>
      <w:rFonts w:ascii="Symbol" w:hAnsi="Symbol"/>
    </w:rPr>
  </w:style>
  <w:style w:type="character" w:customStyle="1" w:styleId="WW8Num7z0">
    <w:name w:val="WW8Num7z0"/>
    <w:rsid w:val="00D416B2"/>
    <w:rPr>
      <w:rFonts w:ascii="Symbol" w:hAnsi="Symbol"/>
    </w:rPr>
  </w:style>
  <w:style w:type="character" w:customStyle="1" w:styleId="WW8Num7z1">
    <w:name w:val="WW8Num7z1"/>
    <w:rsid w:val="00D416B2"/>
    <w:rPr>
      <w:rFonts w:ascii="Courier New" w:hAnsi="Courier New" w:cs="Courier New"/>
    </w:rPr>
  </w:style>
  <w:style w:type="character" w:customStyle="1" w:styleId="WW8Num7z2">
    <w:name w:val="WW8Num7z2"/>
    <w:rsid w:val="00D416B2"/>
    <w:rPr>
      <w:rFonts w:ascii="Wingdings" w:hAnsi="Wingdings"/>
    </w:rPr>
  </w:style>
  <w:style w:type="character" w:customStyle="1" w:styleId="WW8Num8z0">
    <w:name w:val="WW8Num8z0"/>
    <w:rsid w:val="00D416B2"/>
    <w:rPr>
      <w:rFonts w:ascii="Symbol" w:hAnsi="Symbol"/>
    </w:rPr>
  </w:style>
  <w:style w:type="character" w:customStyle="1" w:styleId="WW8Num8z1">
    <w:name w:val="WW8Num8z1"/>
    <w:rsid w:val="00D416B2"/>
    <w:rPr>
      <w:rFonts w:ascii="Courier New" w:hAnsi="Courier New" w:cs="Courier New"/>
    </w:rPr>
  </w:style>
  <w:style w:type="character" w:customStyle="1" w:styleId="WW8Num8z2">
    <w:name w:val="WW8Num8z2"/>
    <w:rsid w:val="00D416B2"/>
    <w:rPr>
      <w:rFonts w:ascii="Wingdings" w:hAnsi="Wingdings"/>
    </w:rPr>
  </w:style>
  <w:style w:type="character" w:customStyle="1" w:styleId="WW8Num9z0">
    <w:name w:val="WW8Num9z0"/>
    <w:rsid w:val="00D416B2"/>
    <w:rPr>
      <w:rFonts w:ascii="Symbol" w:hAnsi="Symbol"/>
    </w:rPr>
  </w:style>
  <w:style w:type="character" w:customStyle="1" w:styleId="WW8Num9z1">
    <w:name w:val="WW8Num9z1"/>
    <w:rsid w:val="00D416B2"/>
    <w:rPr>
      <w:rFonts w:ascii="Courier New" w:hAnsi="Courier New" w:cs="Courier New"/>
    </w:rPr>
  </w:style>
  <w:style w:type="character" w:customStyle="1" w:styleId="WW8Num9z2">
    <w:name w:val="WW8Num9z2"/>
    <w:rsid w:val="00D416B2"/>
    <w:rPr>
      <w:rFonts w:ascii="Wingdings" w:hAnsi="Wingdings"/>
    </w:rPr>
  </w:style>
  <w:style w:type="character" w:customStyle="1" w:styleId="WW8Num10z0">
    <w:name w:val="WW8Num10z0"/>
    <w:rsid w:val="00D416B2"/>
    <w:rPr>
      <w:rFonts w:ascii="Symbol" w:hAnsi="Symbol"/>
    </w:rPr>
  </w:style>
  <w:style w:type="character" w:customStyle="1" w:styleId="WW8Num10z1">
    <w:name w:val="WW8Num10z1"/>
    <w:rsid w:val="00D416B2"/>
    <w:rPr>
      <w:rFonts w:ascii="Courier New" w:hAnsi="Courier New" w:cs="Courier New"/>
    </w:rPr>
  </w:style>
  <w:style w:type="character" w:customStyle="1" w:styleId="WW8Num10z2">
    <w:name w:val="WW8Num10z2"/>
    <w:rsid w:val="00D416B2"/>
    <w:rPr>
      <w:rFonts w:ascii="Wingdings" w:hAnsi="Wingdings"/>
    </w:rPr>
  </w:style>
  <w:style w:type="character" w:customStyle="1" w:styleId="WW8Num11z0">
    <w:name w:val="WW8Num11z0"/>
    <w:rsid w:val="00D416B2"/>
    <w:rPr>
      <w:rFonts w:ascii="Symbol" w:hAnsi="Symbol"/>
    </w:rPr>
  </w:style>
  <w:style w:type="character" w:customStyle="1" w:styleId="WW8Num11z1">
    <w:name w:val="WW8Num11z1"/>
    <w:rsid w:val="00D416B2"/>
    <w:rPr>
      <w:rFonts w:ascii="Courier New" w:hAnsi="Courier New" w:cs="Courier New"/>
    </w:rPr>
  </w:style>
  <w:style w:type="character" w:customStyle="1" w:styleId="WW8Num11z2">
    <w:name w:val="WW8Num11z2"/>
    <w:rsid w:val="00D416B2"/>
    <w:rPr>
      <w:rFonts w:ascii="Wingdings" w:hAnsi="Wingdings"/>
    </w:rPr>
  </w:style>
  <w:style w:type="character" w:customStyle="1" w:styleId="WW8Num12z0">
    <w:name w:val="WW8Num12z0"/>
    <w:rsid w:val="00D416B2"/>
    <w:rPr>
      <w:rFonts w:ascii="Times New Roman" w:hAnsi="Times New Roman"/>
      <w:sz w:val="24"/>
    </w:rPr>
  </w:style>
  <w:style w:type="character" w:customStyle="1" w:styleId="WW8Num13z0">
    <w:name w:val="WW8Num13z0"/>
    <w:rsid w:val="00D416B2"/>
    <w:rPr>
      <w:rFonts w:ascii="Symbol" w:hAnsi="Symbol"/>
    </w:rPr>
  </w:style>
  <w:style w:type="character" w:customStyle="1" w:styleId="WW8Num13z1">
    <w:name w:val="WW8Num13z1"/>
    <w:rsid w:val="00D416B2"/>
    <w:rPr>
      <w:rFonts w:ascii="Courier New" w:hAnsi="Courier New" w:cs="Courier New"/>
    </w:rPr>
  </w:style>
  <w:style w:type="character" w:customStyle="1" w:styleId="WW8Num13z2">
    <w:name w:val="WW8Num13z2"/>
    <w:rsid w:val="00D416B2"/>
    <w:rPr>
      <w:rFonts w:ascii="Wingdings" w:hAnsi="Wingdings"/>
    </w:rPr>
  </w:style>
  <w:style w:type="character" w:customStyle="1" w:styleId="WW8Num14z0">
    <w:name w:val="WW8Num14z0"/>
    <w:rsid w:val="00D416B2"/>
    <w:rPr>
      <w:rFonts w:ascii="Symbol" w:hAnsi="Symbol"/>
    </w:rPr>
  </w:style>
  <w:style w:type="character" w:customStyle="1" w:styleId="WW8Num14z1">
    <w:name w:val="WW8Num14z1"/>
    <w:rsid w:val="00D416B2"/>
    <w:rPr>
      <w:rFonts w:ascii="Courier New" w:hAnsi="Courier New" w:cs="Courier New"/>
    </w:rPr>
  </w:style>
  <w:style w:type="character" w:customStyle="1" w:styleId="WW8Num14z2">
    <w:name w:val="WW8Num14z2"/>
    <w:rsid w:val="00D416B2"/>
    <w:rPr>
      <w:rFonts w:ascii="Wingdings" w:hAnsi="Wingdings"/>
    </w:rPr>
  </w:style>
  <w:style w:type="character" w:styleId="PageNumber">
    <w:name w:val="page number"/>
    <w:basedOn w:val="DefaultParagraphFont"/>
    <w:rsid w:val="00D416B2"/>
  </w:style>
  <w:style w:type="character" w:customStyle="1" w:styleId="FootnoteCharacters">
    <w:name w:val="Footnote Characters"/>
    <w:basedOn w:val="DefaultParagraphFont"/>
    <w:rsid w:val="00D416B2"/>
    <w:rPr>
      <w:spacing w:val="0"/>
      <w:vertAlign w:val="superscript"/>
    </w:rPr>
  </w:style>
  <w:style w:type="character" w:customStyle="1" w:styleId="EndnoteCharacters">
    <w:name w:val="Endnote Characters"/>
    <w:basedOn w:val="DefaultParagraphFont"/>
    <w:rsid w:val="00D416B2"/>
    <w:rPr>
      <w:vertAlign w:val="superscript"/>
    </w:rPr>
  </w:style>
  <w:style w:type="character" w:customStyle="1" w:styleId="MTEquationSection">
    <w:name w:val="MTEquationSection"/>
    <w:basedOn w:val="DefaultParagraphFont"/>
    <w:rsid w:val="00D416B2"/>
    <w:rPr>
      <w:vanish/>
      <w:color w:val="FF0000"/>
    </w:rPr>
  </w:style>
  <w:style w:type="character" w:customStyle="1" w:styleId="CharChar3">
    <w:name w:val="Char Char3"/>
    <w:basedOn w:val="DefaultParagraphFont"/>
    <w:rsid w:val="00D416B2"/>
    <w:rPr>
      <w:rFonts w:ascii="Tahoma" w:hAnsi="Tahoma" w:cs="Tahoma"/>
      <w:sz w:val="16"/>
      <w:szCs w:val="16"/>
    </w:rPr>
  </w:style>
  <w:style w:type="character" w:styleId="Hyperlink">
    <w:name w:val="Hyperlink"/>
    <w:basedOn w:val="DefaultParagraphFont"/>
    <w:rsid w:val="00D416B2"/>
    <w:rPr>
      <w:color w:val="0000FF"/>
      <w:u w:val="single"/>
    </w:rPr>
  </w:style>
  <w:style w:type="character" w:styleId="CommentReference">
    <w:name w:val="annotation reference"/>
    <w:basedOn w:val="DefaultParagraphFont"/>
    <w:rsid w:val="00D416B2"/>
    <w:rPr>
      <w:sz w:val="16"/>
      <w:szCs w:val="16"/>
    </w:rPr>
  </w:style>
  <w:style w:type="character" w:customStyle="1" w:styleId="CharChar2">
    <w:name w:val="Char Char2"/>
    <w:basedOn w:val="DefaultParagraphFont"/>
    <w:rsid w:val="00D416B2"/>
  </w:style>
  <w:style w:type="character" w:customStyle="1" w:styleId="CharChar1">
    <w:name w:val="Char Char1"/>
    <w:basedOn w:val="CharChar2"/>
    <w:rsid w:val="00D416B2"/>
    <w:rPr>
      <w:b/>
      <w:bCs/>
    </w:rPr>
  </w:style>
  <w:style w:type="character" w:customStyle="1" w:styleId="CharChar">
    <w:name w:val="Char Char"/>
    <w:basedOn w:val="DefaultParagraphFont"/>
    <w:rsid w:val="00D416B2"/>
    <w:rPr>
      <w:rFonts w:ascii="Tahoma" w:hAnsi="Tahoma" w:cs="Tahoma"/>
      <w:sz w:val="16"/>
      <w:szCs w:val="16"/>
    </w:rPr>
  </w:style>
  <w:style w:type="character" w:customStyle="1" w:styleId="CharChar4">
    <w:name w:val="Char Char4"/>
    <w:basedOn w:val="DefaultParagraphFont"/>
    <w:rsid w:val="00D416B2"/>
    <w:rPr>
      <w:sz w:val="24"/>
      <w:szCs w:val="24"/>
    </w:rPr>
  </w:style>
  <w:style w:type="character" w:styleId="FootnoteReference">
    <w:name w:val="footnote reference"/>
    <w:semiHidden/>
    <w:rsid w:val="00D416B2"/>
    <w:rPr>
      <w:vertAlign w:val="superscript"/>
    </w:rPr>
  </w:style>
  <w:style w:type="character" w:styleId="EndnoteReference">
    <w:name w:val="endnote reference"/>
    <w:semiHidden/>
    <w:rsid w:val="00D416B2"/>
    <w:rPr>
      <w:vertAlign w:val="superscript"/>
    </w:rPr>
  </w:style>
  <w:style w:type="paragraph" w:customStyle="1" w:styleId="Heading">
    <w:name w:val="Heading"/>
    <w:basedOn w:val="Normal"/>
    <w:next w:val="BodyText"/>
    <w:rsid w:val="00D416B2"/>
    <w:pPr>
      <w:keepNext/>
      <w:spacing w:before="240" w:after="120"/>
    </w:pPr>
    <w:rPr>
      <w:rFonts w:ascii="Arial" w:eastAsia="Lucida Sans Unicode" w:hAnsi="Arial" w:cs="Tahoma"/>
      <w:sz w:val="28"/>
      <w:szCs w:val="28"/>
    </w:rPr>
  </w:style>
  <w:style w:type="paragraph" w:styleId="BodyText">
    <w:name w:val="Body Text"/>
    <w:basedOn w:val="Normal"/>
    <w:rsid w:val="00D416B2"/>
    <w:pPr>
      <w:spacing w:after="120"/>
    </w:pPr>
  </w:style>
  <w:style w:type="paragraph" w:styleId="List">
    <w:name w:val="List"/>
    <w:basedOn w:val="BodyText"/>
    <w:rsid w:val="00D416B2"/>
    <w:rPr>
      <w:rFonts w:cs="Tahoma"/>
    </w:rPr>
  </w:style>
  <w:style w:type="paragraph" w:styleId="Caption">
    <w:name w:val="caption"/>
    <w:basedOn w:val="Normal"/>
    <w:qFormat/>
    <w:rsid w:val="00D416B2"/>
    <w:pPr>
      <w:suppressLineNumbers/>
      <w:spacing w:before="120" w:after="120"/>
    </w:pPr>
    <w:rPr>
      <w:rFonts w:cs="Tahoma"/>
      <w:i/>
      <w:iCs/>
    </w:rPr>
  </w:style>
  <w:style w:type="paragraph" w:customStyle="1" w:styleId="Index">
    <w:name w:val="Index"/>
    <w:basedOn w:val="Normal"/>
    <w:rsid w:val="00D416B2"/>
    <w:pPr>
      <w:suppressLineNumbers/>
    </w:pPr>
    <w:rPr>
      <w:rFonts w:cs="Tahoma"/>
    </w:rPr>
  </w:style>
  <w:style w:type="paragraph" w:styleId="TOC1">
    <w:name w:val="toc 1"/>
    <w:next w:val="Normal"/>
    <w:semiHidden/>
    <w:rsid w:val="00D416B2"/>
    <w:pPr>
      <w:tabs>
        <w:tab w:val="center" w:pos="432"/>
        <w:tab w:val="left" w:pos="1008"/>
        <w:tab w:val="right" w:leader="dot" w:pos="9360"/>
      </w:tabs>
      <w:suppressAutoHyphens/>
      <w:jc w:val="both"/>
    </w:pPr>
    <w:rPr>
      <w:rFonts w:eastAsia="Arial"/>
      <w:caps/>
      <w:sz w:val="24"/>
      <w:szCs w:val="24"/>
      <w:lang w:eastAsia="ar-SA"/>
    </w:rPr>
  </w:style>
  <w:style w:type="paragraph" w:customStyle="1" w:styleId="NormalSS">
    <w:name w:val="NormalSS"/>
    <w:basedOn w:val="Normal"/>
    <w:rsid w:val="00D416B2"/>
    <w:pPr>
      <w:spacing w:line="240" w:lineRule="auto"/>
    </w:pPr>
  </w:style>
  <w:style w:type="paragraph" w:styleId="Footer">
    <w:name w:val="footer"/>
    <w:basedOn w:val="Normal"/>
    <w:rsid w:val="00D416B2"/>
    <w:pPr>
      <w:tabs>
        <w:tab w:val="center" w:pos="4320"/>
        <w:tab w:val="right" w:pos="8640"/>
      </w:tabs>
    </w:pPr>
  </w:style>
  <w:style w:type="paragraph" w:customStyle="1" w:styleId="Bullet">
    <w:name w:val="Bullet"/>
    <w:rsid w:val="00D416B2"/>
    <w:pPr>
      <w:numPr>
        <w:numId w:val="3"/>
      </w:numPr>
      <w:tabs>
        <w:tab w:val="left" w:pos="360"/>
      </w:tabs>
      <w:suppressAutoHyphens/>
      <w:spacing w:after="180"/>
      <w:ind w:left="0" w:right="360" w:firstLine="0"/>
      <w:jc w:val="both"/>
    </w:pPr>
    <w:rPr>
      <w:rFonts w:eastAsia="Arial"/>
      <w:sz w:val="24"/>
      <w:szCs w:val="24"/>
      <w:lang w:eastAsia="ar-SA"/>
    </w:rPr>
  </w:style>
  <w:style w:type="paragraph" w:customStyle="1" w:styleId="BulletLAST">
    <w:name w:val="Bullet (LAST)"/>
    <w:basedOn w:val="Bullet"/>
    <w:next w:val="Normal"/>
    <w:rsid w:val="00D416B2"/>
    <w:pPr>
      <w:spacing w:after="480"/>
    </w:pPr>
  </w:style>
  <w:style w:type="paragraph" w:customStyle="1" w:styleId="ParagraphLAST">
    <w:name w:val="Paragraph (LAST)"/>
    <w:basedOn w:val="Normal"/>
    <w:next w:val="Normal"/>
    <w:rsid w:val="00D416B2"/>
    <w:pPr>
      <w:spacing w:after="240"/>
    </w:pPr>
  </w:style>
  <w:style w:type="paragraph" w:styleId="TOC2">
    <w:name w:val="toc 2"/>
    <w:next w:val="Normal"/>
    <w:semiHidden/>
    <w:rsid w:val="00D416B2"/>
    <w:pPr>
      <w:tabs>
        <w:tab w:val="left" w:pos="1008"/>
        <w:tab w:val="left" w:pos="1440"/>
        <w:tab w:val="right" w:leader="dot" w:pos="9360"/>
      </w:tabs>
      <w:suppressAutoHyphens/>
      <w:ind w:left="1008" w:right="475"/>
      <w:jc w:val="both"/>
    </w:pPr>
    <w:rPr>
      <w:rFonts w:eastAsia="Arial"/>
      <w:caps/>
      <w:sz w:val="24"/>
      <w:szCs w:val="24"/>
      <w:lang w:eastAsia="ar-SA"/>
    </w:rPr>
  </w:style>
  <w:style w:type="paragraph" w:customStyle="1" w:styleId="Center">
    <w:name w:val="Center"/>
    <w:basedOn w:val="Normal"/>
    <w:rsid w:val="00D416B2"/>
    <w:pPr>
      <w:ind w:firstLine="0"/>
      <w:jc w:val="center"/>
    </w:pPr>
  </w:style>
  <w:style w:type="paragraph" w:styleId="TOC3">
    <w:name w:val="toc 3"/>
    <w:next w:val="Normal"/>
    <w:semiHidden/>
    <w:rsid w:val="00D416B2"/>
    <w:pPr>
      <w:tabs>
        <w:tab w:val="left" w:pos="1915"/>
        <w:tab w:val="right" w:leader="dot" w:pos="9360"/>
      </w:tabs>
      <w:suppressAutoHyphens/>
      <w:ind w:left="1915" w:right="475" w:hanging="475"/>
      <w:jc w:val="both"/>
    </w:pPr>
    <w:rPr>
      <w:rFonts w:eastAsia="Arial"/>
      <w:sz w:val="24"/>
      <w:szCs w:val="24"/>
      <w:lang w:eastAsia="ar-SA"/>
    </w:rPr>
  </w:style>
  <w:style w:type="paragraph" w:styleId="TOC4">
    <w:name w:val="toc 4"/>
    <w:next w:val="Normal"/>
    <w:semiHidden/>
    <w:rsid w:val="00D416B2"/>
    <w:pPr>
      <w:tabs>
        <w:tab w:val="left" w:pos="1440"/>
        <w:tab w:val="right" w:leader="dot" w:pos="9360"/>
      </w:tabs>
      <w:suppressAutoHyphens/>
      <w:spacing w:before="240"/>
      <w:ind w:left="2390" w:hanging="475"/>
      <w:jc w:val="both"/>
    </w:pPr>
    <w:rPr>
      <w:rFonts w:eastAsia="Arial"/>
      <w:sz w:val="24"/>
      <w:szCs w:val="24"/>
      <w:lang w:eastAsia="ar-SA"/>
    </w:rPr>
  </w:style>
  <w:style w:type="paragraph" w:styleId="FootnoteText">
    <w:name w:val="footnote text"/>
    <w:basedOn w:val="Normal"/>
    <w:semiHidden/>
    <w:rsid w:val="00D416B2"/>
    <w:pPr>
      <w:spacing w:after="240" w:line="240" w:lineRule="auto"/>
    </w:pPr>
    <w:rPr>
      <w:sz w:val="20"/>
    </w:rPr>
  </w:style>
  <w:style w:type="paragraph" w:customStyle="1" w:styleId="Dash">
    <w:name w:val="Dash"/>
    <w:rsid w:val="00D416B2"/>
    <w:pPr>
      <w:tabs>
        <w:tab w:val="left" w:pos="1080"/>
      </w:tabs>
      <w:suppressAutoHyphens/>
      <w:spacing w:after="120"/>
      <w:ind w:left="-360" w:right="720"/>
      <w:jc w:val="both"/>
    </w:pPr>
    <w:rPr>
      <w:rFonts w:eastAsia="Arial"/>
      <w:sz w:val="24"/>
      <w:szCs w:val="24"/>
      <w:lang w:eastAsia="ar-SA"/>
    </w:rPr>
  </w:style>
  <w:style w:type="paragraph" w:customStyle="1" w:styleId="DashLAST">
    <w:name w:val="Dash (LAST)"/>
    <w:basedOn w:val="Dash"/>
    <w:next w:val="Normal"/>
    <w:rsid w:val="00D416B2"/>
    <w:pPr>
      <w:spacing w:after="480"/>
    </w:pPr>
  </w:style>
  <w:style w:type="paragraph" w:customStyle="1" w:styleId="NumberedBullet">
    <w:name w:val="Numbered Bullet"/>
    <w:rsid w:val="00D416B2"/>
    <w:pPr>
      <w:tabs>
        <w:tab w:val="left" w:pos="360"/>
      </w:tabs>
      <w:suppressAutoHyphens/>
      <w:spacing w:after="180"/>
      <w:ind w:right="360"/>
      <w:jc w:val="both"/>
    </w:pPr>
    <w:rPr>
      <w:rFonts w:eastAsia="Arial"/>
      <w:sz w:val="24"/>
      <w:szCs w:val="24"/>
      <w:lang w:eastAsia="ar-SA"/>
    </w:rPr>
  </w:style>
  <w:style w:type="paragraph" w:customStyle="1" w:styleId="Outline">
    <w:name w:val="Outline"/>
    <w:basedOn w:val="Normal"/>
    <w:rsid w:val="00D416B2"/>
    <w:pPr>
      <w:spacing w:after="240" w:line="240" w:lineRule="auto"/>
      <w:ind w:left="720" w:hanging="720"/>
    </w:pPr>
  </w:style>
  <w:style w:type="paragraph" w:customStyle="1" w:styleId="NumberedBulletLAST">
    <w:name w:val="Numbered Bullet (LAST)"/>
    <w:basedOn w:val="NumberedBullet"/>
    <w:next w:val="Normal"/>
    <w:rsid w:val="00D416B2"/>
    <w:pPr>
      <w:spacing w:after="480"/>
    </w:pPr>
  </w:style>
  <w:style w:type="paragraph" w:styleId="EndnoteText">
    <w:name w:val="endnote text"/>
    <w:basedOn w:val="Normal"/>
    <w:semiHidden/>
    <w:rsid w:val="00D416B2"/>
    <w:pPr>
      <w:spacing w:after="240" w:line="240" w:lineRule="auto"/>
    </w:pPr>
  </w:style>
  <w:style w:type="paragraph" w:customStyle="1" w:styleId="MarkforTable">
    <w:name w:val="Mark for Table"/>
    <w:next w:val="Normal"/>
    <w:rsid w:val="00D416B2"/>
    <w:pPr>
      <w:suppressAutoHyphens/>
      <w:spacing w:line="480" w:lineRule="auto"/>
      <w:jc w:val="center"/>
    </w:pPr>
    <w:rPr>
      <w:rFonts w:eastAsia="Arial"/>
      <w:caps/>
      <w:sz w:val="24"/>
      <w:szCs w:val="24"/>
      <w:lang w:eastAsia="ar-SA"/>
    </w:rPr>
  </w:style>
  <w:style w:type="paragraph" w:customStyle="1" w:styleId="ParagraphSSLAST">
    <w:name w:val="ParagraphSS (LAST)"/>
    <w:basedOn w:val="NormalSS"/>
    <w:next w:val="Normal"/>
    <w:rsid w:val="00D416B2"/>
    <w:pPr>
      <w:spacing w:after="480"/>
    </w:pPr>
  </w:style>
  <w:style w:type="paragraph" w:customStyle="1" w:styleId="References">
    <w:name w:val="References"/>
    <w:basedOn w:val="Normal"/>
    <w:next w:val="Normal"/>
    <w:rsid w:val="00D416B2"/>
    <w:pPr>
      <w:spacing w:after="240" w:line="240" w:lineRule="auto"/>
      <w:ind w:left="432" w:hanging="432"/>
    </w:pPr>
  </w:style>
  <w:style w:type="paragraph" w:customStyle="1" w:styleId="MarkforFigure">
    <w:name w:val="Mark for Figure"/>
    <w:basedOn w:val="Normal"/>
    <w:next w:val="Normal"/>
    <w:rsid w:val="00D416B2"/>
    <w:pPr>
      <w:ind w:firstLine="0"/>
      <w:jc w:val="center"/>
    </w:pPr>
    <w:rPr>
      <w:caps/>
    </w:rPr>
  </w:style>
  <w:style w:type="paragraph" w:customStyle="1" w:styleId="MarkforExhibit">
    <w:name w:val="Mark for Exhibit"/>
    <w:basedOn w:val="Normal"/>
    <w:next w:val="Normal"/>
    <w:rsid w:val="00D416B2"/>
    <w:pPr>
      <w:ind w:firstLine="0"/>
      <w:jc w:val="center"/>
    </w:pPr>
    <w:rPr>
      <w:caps/>
    </w:rPr>
  </w:style>
  <w:style w:type="paragraph" w:customStyle="1" w:styleId="MarkforAttachment">
    <w:name w:val="Mark for Attachment"/>
    <w:basedOn w:val="Normal"/>
    <w:next w:val="Normal"/>
    <w:rsid w:val="00D416B2"/>
    <w:pPr>
      <w:spacing w:line="240" w:lineRule="auto"/>
      <w:ind w:firstLine="0"/>
      <w:jc w:val="center"/>
    </w:pPr>
    <w:rPr>
      <w:b/>
      <w:caps/>
    </w:rPr>
  </w:style>
  <w:style w:type="paragraph" w:styleId="TableofFigures">
    <w:name w:val="table of figures"/>
    <w:basedOn w:val="Normal"/>
    <w:next w:val="Normal"/>
    <w:rsid w:val="00D416B2"/>
    <w:pPr>
      <w:ind w:left="480" w:hanging="480"/>
    </w:pPr>
  </w:style>
  <w:style w:type="paragraph" w:styleId="Header">
    <w:name w:val="header"/>
    <w:basedOn w:val="Normal"/>
    <w:rsid w:val="00D416B2"/>
    <w:pPr>
      <w:tabs>
        <w:tab w:val="center" w:pos="4680"/>
        <w:tab w:val="right" w:pos="9360"/>
      </w:tabs>
      <w:spacing w:line="240" w:lineRule="auto"/>
    </w:pPr>
  </w:style>
  <w:style w:type="paragraph" w:styleId="BlockText">
    <w:name w:val="Block Text"/>
    <w:basedOn w:val="Normal"/>
    <w:rsid w:val="00D416B2"/>
    <w:pPr>
      <w:spacing w:line="240" w:lineRule="auto"/>
      <w:ind w:left="2860" w:right="2880" w:firstLine="0"/>
      <w:jc w:val="left"/>
    </w:pPr>
    <w:rPr>
      <w:b/>
      <w:bCs/>
      <w:sz w:val="32"/>
    </w:rPr>
  </w:style>
  <w:style w:type="paragraph" w:customStyle="1" w:styleId="MarkforAppendix">
    <w:name w:val="Mark for Appendix"/>
    <w:basedOn w:val="Normal"/>
    <w:rsid w:val="00D416B2"/>
    <w:pPr>
      <w:ind w:firstLine="0"/>
      <w:jc w:val="center"/>
    </w:pPr>
    <w:rPr>
      <w:b/>
      <w:caps/>
    </w:rPr>
  </w:style>
  <w:style w:type="paragraph" w:styleId="BalloonText">
    <w:name w:val="Balloon Text"/>
    <w:basedOn w:val="Normal"/>
    <w:rsid w:val="00D416B2"/>
    <w:pPr>
      <w:spacing w:line="240" w:lineRule="auto"/>
    </w:pPr>
    <w:rPr>
      <w:rFonts w:ascii="Tahoma" w:hAnsi="Tahoma" w:cs="Tahoma"/>
      <w:sz w:val="16"/>
      <w:szCs w:val="16"/>
    </w:rPr>
  </w:style>
  <w:style w:type="paragraph" w:customStyle="1" w:styleId="Gnormal">
    <w:name w:val="G_normal"/>
    <w:basedOn w:val="Normal"/>
    <w:rsid w:val="00D416B2"/>
    <w:pPr>
      <w:spacing w:after="240" w:line="240" w:lineRule="auto"/>
    </w:pPr>
    <w:rPr>
      <w:rFonts w:ascii="Garamond" w:hAnsi="Garamond"/>
    </w:rPr>
  </w:style>
  <w:style w:type="paragraph" w:customStyle="1" w:styleId="Gtablecolumnhead">
    <w:name w:val="G_table column head"/>
    <w:basedOn w:val="Normal"/>
    <w:rsid w:val="00D416B2"/>
    <w:pPr>
      <w:spacing w:before="120" w:after="60" w:line="240" w:lineRule="auto"/>
      <w:ind w:firstLine="0"/>
      <w:jc w:val="center"/>
    </w:pPr>
    <w:rPr>
      <w:rFonts w:ascii="Arial" w:hAnsi="Arial"/>
      <w:sz w:val="20"/>
    </w:rPr>
  </w:style>
  <w:style w:type="paragraph" w:customStyle="1" w:styleId="Gtablecolumnfirst">
    <w:name w:val="G_table column first"/>
    <w:basedOn w:val="Gtablecolumnhead"/>
    <w:next w:val="Normal"/>
    <w:rsid w:val="00D416B2"/>
    <w:pPr>
      <w:jc w:val="left"/>
    </w:pPr>
  </w:style>
  <w:style w:type="paragraph" w:customStyle="1" w:styleId="GMarkTable">
    <w:name w:val="G_Mark Table"/>
    <w:basedOn w:val="Normal"/>
    <w:next w:val="Gnormal"/>
    <w:rsid w:val="00D416B2"/>
    <w:pPr>
      <w:spacing w:after="60" w:line="240" w:lineRule="auto"/>
      <w:ind w:left="1267" w:hanging="1267"/>
    </w:pPr>
    <w:rPr>
      <w:rFonts w:ascii="Arial" w:hAnsi="Arial"/>
      <w:b/>
      <w:sz w:val="20"/>
    </w:rPr>
  </w:style>
  <w:style w:type="paragraph" w:styleId="CommentText">
    <w:name w:val="annotation text"/>
    <w:basedOn w:val="Normal"/>
    <w:rsid w:val="00D416B2"/>
    <w:pPr>
      <w:spacing w:line="240" w:lineRule="auto"/>
    </w:pPr>
    <w:rPr>
      <w:sz w:val="20"/>
    </w:rPr>
  </w:style>
  <w:style w:type="paragraph" w:styleId="CommentSubject">
    <w:name w:val="annotation subject"/>
    <w:basedOn w:val="CommentText"/>
    <w:next w:val="CommentText"/>
    <w:rsid w:val="00D416B2"/>
    <w:rPr>
      <w:b/>
      <w:bCs/>
    </w:rPr>
  </w:style>
  <w:style w:type="paragraph" w:styleId="ListBullet">
    <w:name w:val="List Bullet"/>
    <w:basedOn w:val="Normal"/>
    <w:rsid w:val="00D416B2"/>
  </w:style>
  <w:style w:type="paragraph" w:styleId="DocumentMap">
    <w:name w:val="Document Map"/>
    <w:basedOn w:val="Normal"/>
    <w:rsid w:val="00D416B2"/>
    <w:pPr>
      <w:spacing w:line="240" w:lineRule="auto"/>
    </w:pPr>
    <w:rPr>
      <w:rFonts w:ascii="Tahoma" w:hAnsi="Tahoma" w:cs="Tahoma"/>
      <w:sz w:val="16"/>
      <w:szCs w:val="16"/>
    </w:rPr>
  </w:style>
  <w:style w:type="paragraph" w:styleId="ListParagraph">
    <w:name w:val="List Paragraph"/>
    <w:basedOn w:val="Bullet"/>
    <w:next w:val="Bullet"/>
    <w:qFormat/>
    <w:rsid w:val="00D416B2"/>
  </w:style>
  <w:style w:type="paragraph" w:customStyle="1" w:styleId="MarkforAppendixHeading">
    <w:name w:val="Mark for Appendix Heading"/>
    <w:basedOn w:val="Normal"/>
    <w:rsid w:val="00D416B2"/>
    <w:pPr>
      <w:ind w:firstLine="0"/>
      <w:jc w:val="center"/>
    </w:pPr>
    <w:rPr>
      <w:b/>
      <w:caps/>
    </w:rPr>
  </w:style>
  <w:style w:type="paragraph" w:customStyle="1" w:styleId="TableContents">
    <w:name w:val="Table Contents"/>
    <w:basedOn w:val="Normal"/>
    <w:rsid w:val="00D416B2"/>
    <w:pPr>
      <w:suppressLineNumbers/>
    </w:pPr>
  </w:style>
  <w:style w:type="paragraph" w:customStyle="1" w:styleId="TableHeading">
    <w:name w:val="Table Heading"/>
    <w:basedOn w:val="TableContents"/>
    <w:rsid w:val="00D416B2"/>
    <w:pPr>
      <w:jc w:val="center"/>
    </w:pPr>
    <w:rPr>
      <w:b/>
      <w:bCs/>
    </w:rPr>
  </w:style>
  <w:style w:type="paragraph" w:customStyle="1" w:styleId="Framecontents">
    <w:name w:val="Frame contents"/>
    <w:basedOn w:val="BodyText"/>
    <w:rsid w:val="00D416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16B2"/>
    <w:pPr>
      <w:tabs>
        <w:tab w:val="left" w:pos="432"/>
      </w:tabs>
      <w:suppressAutoHyphens/>
      <w:spacing w:line="480" w:lineRule="auto"/>
      <w:ind w:firstLine="432"/>
      <w:jc w:val="both"/>
    </w:pPr>
    <w:rPr>
      <w:sz w:val="24"/>
      <w:szCs w:val="24"/>
      <w:lang w:eastAsia="ar-SA"/>
    </w:rPr>
  </w:style>
  <w:style w:type="paragraph" w:styleId="Heading1">
    <w:name w:val="heading 1"/>
    <w:basedOn w:val="Normal"/>
    <w:next w:val="Normal"/>
    <w:qFormat/>
    <w:rsid w:val="00D416B2"/>
    <w:pPr>
      <w:numPr>
        <w:numId w:val="1"/>
      </w:numPr>
      <w:spacing w:after="840" w:line="240" w:lineRule="auto"/>
      <w:jc w:val="center"/>
      <w:outlineLvl w:val="0"/>
    </w:pPr>
    <w:rPr>
      <w:b/>
      <w:caps/>
    </w:rPr>
  </w:style>
  <w:style w:type="paragraph" w:styleId="Heading2">
    <w:name w:val="heading 2"/>
    <w:basedOn w:val="Normal"/>
    <w:next w:val="Normal"/>
    <w:qFormat/>
    <w:rsid w:val="00D416B2"/>
    <w:pPr>
      <w:keepNext/>
      <w:numPr>
        <w:ilvl w:val="1"/>
        <w:numId w:val="1"/>
      </w:numPr>
      <w:spacing w:after="240" w:line="240" w:lineRule="auto"/>
      <w:ind w:left="432" w:hanging="432"/>
      <w:outlineLvl w:val="1"/>
    </w:pPr>
    <w:rPr>
      <w:b/>
      <w:caps/>
    </w:rPr>
  </w:style>
  <w:style w:type="paragraph" w:styleId="Heading3">
    <w:name w:val="heading 3"/>
    <w:basedOn w:val="Normal"/>
    <w:next w:val="Normal"/>
    <w:qFormat/>
    <w:rsid w:val="00D416B2"/>
    <w:pPr>
      <w:keepNext/>
      <w:numPr>
        <w:ilvl w:val="2"/>
        <w:numId w:val="1"/>
      </w:numPr>
      <w:spacing w:after="240" w:line="240" w:lineRule="auto"/>
      <w:ind w:left="432" w:hanging="432"/>
      <w:outlineLvl w:val="2"/>
    </w:pPr>
    <w:rPr>
      <w:b/>
    </w:rPr>
  </w:style>
  <w:style w:type="paragraph" w:styleId="Heading4">
    <w:name w:val="heading 4"/>
    <w:basedOn w:val="Normal"/>
    <w:next w:val="Normal"/>
    <w:qFormat/>
    <w:rsid w:val="00D416B2"/>
    <w:pPr>
      <w:numPr>
        <w:ilvl w:val="3"/>
        <w:numId w:val="1"/>
      </w:numPr>
      <w:spacing w:after="240" w:line="240" w:lineRule="auto"/>
      <w:ind w:left="432" w:hanging="432"/>
      <w:outlineLvl w:val="3"/>
    </w:pPr>
    <w:rPr>
      <w:b/>
    </w:rPr>
  </w:style>
  <w:style w:type="paragraph" w:styleId="Heading5">
    <w:name w:val="heading 5"/>
    <w:basedOn w:val="Normal"/>
    <w:next w:val="Normal"/>
    <w:qFormat/>
    <w:rsid w:val="00D416B2"/>
    <w:pPr>
      <w:numPr>
        <w:ilvl w:val="4"/>
        <w:numId w:val="1"/>
      </w:numPr>
      <w:spacing w:after="240" w:line="240" w:lineRule="auto"/>
      <w:ind w:left="432" w:hanging="432"/>
      <w:outlineLvl w:val="4"/>
    </w:pPr>
    <w:rPr>
      <w:b/>
    </w:rPr>
  </w:style>
  <w:style w:type="paragraph" w:styleId="Heading6">
    <w:name w:val="heading 6"/>
    <w:basedOn w:val="Normal"/>
    <w:next w:val="Normal"/>
    <w:qFormat/>
    <w:rsid w:val="00D416B2"/>
    <w:pPr>
      <w:numPr>
        <w:ilvl w:val="5"/>
        <w:numId w:val="1"/>
      </w:numPr>
      <w:outlineLvl w:val="5"/>
    </w:pPr>
  </w:style>
  <w:style w:type="paragraph" w:styleId="Heading7">
    <w:name w:val="heading 7"/>
    <w:basedOn w:val="Normal"/>
    <w:next w:val="Normal"/>
    <w:qFormat/>
    <w:rsid w:val="00D416B2"/>
    <w:pPr>
      <w:numPr>
        <w:ilvl w:val="6"/>
        <w:numId w:val="1"/>
      </w:numPr>
      <w:outlineLvl w:val="6"/>
    </w:pPr>
  </w:style>
  <w:style w:type="paragraph" w:styleId="Heading8">
    <w:name w:val="heading 8"/>
    <w:basedOn w:val="Normal"/>
    <w:next w:val="Normal"/>
    <w:qFormat/>
    <w:rsid w:val="00D416B2"/>
    <w:pPr>
      <w:numPr>
        <w:ilvl w:val="7"/>
        <w:numId w:val="1"/>
      </w:numPr>
      <w:outlineLvl w:val="7"/>
    </w:pPr>
  </w:style>
  <w:style w:type="paragraph" w:styleId="Heading9">
    <w:name w:val="heading 9"/>
    <w:basedOn w:val="Normal"/>
    <w:next w:val="Normal"/>
    <w:qFormat/>
    <w:rsid w:val="00D416B2"/>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D416B2"/>
    <w:rPr>
      <w:rFonts w:ascii="Symbol" w:hAnsi="Symbol"/>
    </w:rPr>
  </w:style>
  <w:style w:type="character" w:customStyle="1" w:styleId="WW8Num2z0">
    <w:name w:val="WW8Num2z0"/>
    <w:rsid w:val="00D416B2"/>
    <w:rPr>
      <w:rFonts w:ascii="Symbol" w:hAnsi="Symbol"/>
    </w:rPr>
  </w:style>
  <w:style w:type="character" w:customStyle="1" w:styleId="WW8Num2z1">
    <w:name w:val="WW8Num2z1"/>
    <w:rsid w:val="00D416B2"/>
    <w:rPr>
      <w:rFonts w:ascii="Courier New" w:hAnsi="Courier New" w:cs="Courier New"/>
    </w:rPr>
  </w:style>
  <w:style w:type="character" w:customStyle="1" w:styleId="WW8Num2z2">
    <w:name w:val="WW8Num2z2"/>
    <w:rsid w:val="00D416B2"/>
    <w:rPr>
      <w:rFonts w:ascii="Wingdings" w:hAnsi="Wingdings"/>
    </w:rPr>
  </w:style>
  <w:style w:type="character" w:customStyle="1" w:styleId="WW8Num3z0">
    <w:name w:val="WW8Num3z0"/>
    <w:rsid w:val="00D416B2"/>
    <w:rPr>
      <w:rFonts w:ascii="Symbol" w:hAnsi="Symbol"/>
    </w:rPr>
  </w:style>
  <w:style w:type="character" w:customStyle="1" w:styleId="WW8Num3z1">
    <w:name w:val="WW8Num3z1"/>
    <w:rsid w:val="00D416B2"/>
    <w:rPr>
      <w:rFonts w:ascii="Courier New" w:hAnsi="Courier New" w:cs="Courier New"/>
    </w:rPr>
  </w:style>
  <w:style w:type="character" w:customStyle="1" w:styleId="WW8Num3z2">
    <w:name w:val="WW8Num3z2"/>
    <w:rsid w:val="00D416B2"/>
    <w:rPr>
      <w:rFonts w:ascii="Wingdings" w:hAnsi="Wingdings"/>
    </w:rPr>
  </w:style>
  <w:style w:type="character" w:customStyle="1" w:styleId="WW8Num5z0">
    <w:name w:val="WW8Num5z0"/>
    <w:rsid w:val="00D416B2"/>
    <w:rPr>
      <w:rFonts w:ascii="Times New Roman" w:hAnsi="Times New Roman" w:cs="Times New Roman"/>
    </w:rPr>
  </w:style>
  <w:style w:type="character" w:customStyle="1" w:styleId="WW8Num5z1">
    <w:name w:val="WW8Num5z1"/>
    <w:rsid w:val="00D416B2"/>
    <w:rPr>
      <w:rFonts w:ascii="Courier New" w:hAnsi="Courier New" w:cs="Courier New"/>
    </w:rPr>
  </w:style>
  <w:style w:type="character" w:customStyle="1" w:styleId="WW8Num5z2">
    <w:name w:val="WW8Num5z2"/>
    <w:rsid w:val="00D416B2"/>
    <w:rPr>
      <w:rFonts w:ascii="Wingdings" w:hAnsi="Wingdings"/>
    </w:rPr>
  </w:style>
  <w:style w:type="character" w:customStyle="1" w:styleId="WW8Num5z3">
    <w:name w:val="WW8Num5z3"/>
    <w:rsid w:val="00D416B2"/>
    <w:rPr>
      <w:rFonts w:ascii="Symbol" w:hAnsi="Symbol"/>
    </w:rPr>
  </w:style>
  <w:style w:type="character" w:customStyle="1" w:styleId="WW8Num7z0">
    <w:name w:val="WW8Num7z0"/>
    <w:rsid w:val="00D416B2"/>
    <w:rPr>
      <w:rFonts w:ascii="Symbol" w:hAnsi="Symbol"/>
    </w:rPr>
  </w:style>
  <w:style w:type="character" w:customStyle="1" w:styleId="WW8Num7z1">
    <w:name w:val="WW8Num7z1"/>
    <w:rsid w:val="00D416B2"/>
    <w:rPr>
      <w:rFonts w:ascii="Courier New" w:hAnsi="Courier New" w:cs="Courier New"/>
    </w:rPr>
  </w:style>
  <w:style w:type="character" w:customStyle="1" w:styleId="WW8Num7z2">
    <w:name w:val="WW8Num7z2"/>
    <w:rsid w:val="00D416B2"/>
    <w:rPr>
      <w:rFonts w:ascii="Wingdings" w:hAnsi="Wingdings"/>
    </w:rPr>
  </w:style>
  <w:style w:type="character" w:customStyle="1" w:styleId="WW8Num8z0">
    <w:name w:val="WW8Num8z0"/>
    <w:rsid w:val="00D416B2"/>
    <w:rPr>
      <w:rFonts w:ascii="Symbol" w:hAnsi="Symbol"/>
    </w:rPr>
  </w:style>
  <w:style w:type="character" w:customStyle="1" w:styleId="WW8Num8z1">
    <w:name w:val="WW8Num8z1"/>
    <w:rsid w:val="00D416B2"/>
    <w:rPr>
      <w:rFonts w:ascii="Courier New" w:hAnsi="Courier New" w:cs="Courier New"/>
    </w:rPr>
  </w:style>
  <w:style w:type="character" w:customStyle="1" w:styleId="WW8Num8z2">
    <w:name w:val="WW8Num8z2"/>
    <w:rsid w:val="00D416B2"/>
    <w:rPr>
      <w:rFonts w:ascii="Wingdings" w:hAnsi="Wingdings"/>
    </w:rPr>
  </w:style>
  <w:style w:type="character" w:customStyle="1" w:styleId="WW8Num9z0">
    <w:name w:val="WW8Num9z0"/>
    <w:rsid w:val="00D416B2"/>
    <w:rPr>
      <w:rFonts w:ascii="Symbol" w:hAnsi="Symbol"/>
    </w:rPr>
  </w:style>
  <w:style w:type="character" w:customStyle="1" w:styleId="WW8Num9z1">
    <w:name w:val="WW8Num9z1"/>
    <w:rsid w:val="00D416B2"/>
    <w:rPr>
      <w:rFonts w:ascii="Courier New" w:hAnsi="Courier New" w:cs="Courier New"/>
    </w:rPr>
  </w:style>
  <w:style w:type="character" w:customStyle="1" w:styleId="WW8Num9z2">
    <w:name w:val="WW8Num9z2"/>
    <w:rsid w:val="00D416B2"/>
    <w:rPr>
      <w:rFonts w:ascii="Wingdings" w:hAnsi="Wingdings"/>
    </w:rPr>
  </w:style>
  <w:style w:type="character" w:customStyle="1" w:styleId="WW8Num10z0">
    <w:name w:val="WW8Num10z0"/>
    <w:rsid w:val="00D416B2"/>
    <w:rPr>
      <w:rFonts w:ascii="Symbol" w:hAnsi="Symbol"/>
    </w:rPr>
  </w:style>
  <w:style w:type="character" w:customStyle="1" w:styleId="WW8Num10z1">
    <w:name w:val="WW8Num10z1"/>
    <w:rsid w:val="00D416B2"/>
    <w:rPr>
      <w:rFonts w:ascii="Courier New" w:hAnsi="Courier New" w:cs="Courier New"/>
    </w:rPr>
  </w:style>
  <w:style w:type="character" w:customStyle="1" w:styleId="WW8Num10z2">
    <w:name w:val="WW8Num10z2"/>
    <w:rsid w:val="00D416B2"/>
    <w:rPr>
      <w:rFonts w:ascii="Wingdings" w:hAnsi="Wingdings"/>
    </w:rPr>
  </w:style>
  <w:style w:type="character" w:customStyle="1" w:styleId="WW8Num11z0">
    <w:name w:val="WW8Num11z0"/>
    <w:rsid w:val="00D416B2"/>
    <w:rPr>
      <w:rFonts w:ascii="Symbol" w:hAnsi="Symbol"/>
    </w:rPr>
  </w:style>
  <w:style w:type="character" w:customStyle="1" w:styleId="WW8Num11z1">
    <w:name w:val="WW8Num11z1"/>
    <w:rsid w:val="00D416B2"/>
    <w:rPr>
      <w:rFonts w:ascii="Courier New" w:hAnsi="Courier New" w:cs="Courier New"/>
    </w:rPr>
  </w:style>
  <w:style w:type="character" w:customStyle="1" w:styleId="WW8Num11z2">
    <w:name w:val="WW8Num11z2"/>
    <w:rsid w:val="00D416B2"/>
    <w:rPr>
      <w:rFonts w:ascii="Wingdings" w:hAnsi="Wingdings"/>
    </w:rPr>
  </w:style>
  <w:style w:type="character" w:customStyle="1" w:styleId="WW8Num12z0">
    <w:name w:val="WW8Num12z0"/>
    <w:rsid w:val="00D416B2"/>
    <w:rPr>
      <w:rFonts w:ascii="Times New Roman" w:hAnsi="Times New Roman"/>
      <w:sz w:val="24"/>
    </w:rPr>
  </w:style>
  <w:style w:type="character" w:customStyle="1" w:styleId="WW8Num13z0">
    <w:name w:val="WW8Num13z0"/>
    <w:rsid w:val="00D416B2"/>
    <w:rPr>
      <w:rFonts w:ascii="Symbol" w:hAnsi="Symbol"/>
    </w:rPr>
  </w:style>
  <w:style w:type="character" w:customStyle="1" w:styleId="WW8Num13z1">
    <w:name w:val="WW8Num13z1"/>
    <w:rsid w:val="00D416B2"/>
    <w:rPr>
      <w:rFonts w:ascii="Courier New" w:hAnsi="Courier New" w:cs="Courier New"/>
    </w:rPr>
  </w:style>
  <w:style w:type="character" w:customStyle="1" w:styleId="WW8Num13z2">
    <w:name w:val="WW8Num13z2"/>
    <w:rsid w:val="00D416B2"/>
    <w:rPr>
      <w:rFonts w:ascii="Wingdings" w:hAnsi="Wingdings"/>
    </w:rPr>
  </w:style>
  <w:style w:type="character" w:customStyle="1" w:styleId="WW8Num14z0">
    <w:name w:val="WW8Num14z0"/>
    <w:rsid w:val="00D416B2"/>
    <w:rPr>
      <w:rFonts w:ascii="Symbol" w:hAnsi="Symbol"/>
    </w:rPr>
  </w:style>
  <w:style w:type="character" w:customStyle="1" w:styleId="WW8Num14z1">
    <w:name w:val="WW8Num14z1"/>
    <w:rsid w:val="00D416B2"/>
    <w:rPr>
      <w:rFonts w:ascii="Courier New" w:hAnsi="Courier New" w:cs="Courier New"/>
    </w:rPr>
  </w:style>
  <w:style w:type="character" w:customStyle="1" w:styleId="WW8Num14z2">
    <w:name w:val="WW8Num14z2"/>
    <w:rsid w:val="00D416B2"/>
    <w:rPr>
      <w:rFonts w:ascii="Wingdings" w:hAnsi="Wingdings"/>
    </w:rPr>
  </w:style>
  <w:style w:type="character" w:styleId="PageNumber">
    <w:name w:val="page number"/>
    <w:basedOn w:val="DefaultParagraphFont"/>
    <w:rsid w:val="00D416B2"/>
  </w:style>
  <w:style w:type="character" w:customStyle="1" w:styleId="FootnoteCharacters">
    <w:name w:val="Footnote Characters"/>
    <w:basedOn w:val="DefaultParagraphFont"/>
    <w:rsid w:val="00D416B2"/>
    <w:rPr>
      <w:spacing w:val="0"/>
      <w:vertAlign w:val="superscript"/>
    </w:rPr>
  </w:style>
  <w:style w:type="character" w:customStyle="1" w:styleId="EndnoteCharacters">
    <w:name w:val="Endnote Characters"/>
    <w:basedOn w:val="DefaultParagraphFont"/>
    <w:rsid w:val="00D416B2"/>
    <w:rPr>
      <w:vertAlign w:val="superscript"/>
    </w:rPr>
  </w:style>
  <w:style w:type="character" w:customStyle="1" w:styleId="MTEquationSection">
    <w:name w:val="MTEquationSection"/>
    <w:basedOn w:val="DefaultParagraphFont"/>
    <w:rsid w:val="00D416B2"/>
    <w:rPr>
      <w:vanish/>
      <w:color w:val="FF0000"/>
    </w:rPr>
  </w:style>
  <w:style w:type="character" w:customStyle="1" w:styleId="CharChar3">
    <w:name w:val="Char Char3"/>
    <w:basedOn w:val="DefaultParagraphFont"/>
    <w:rsid w:val="00D416B2"/>
    <w:rPr>
      <w:rFonts w:ascii="Tahoma" w:hAnsi="Tahoma" w:cs="Tahoma"/>
      <w:sz w:val="16"/>
      <w:szCs w:val="16"/>
    </w:rPr>
  </w:style>
  <w:style w:type="character" w:styleId="Hyperlink">
    <w:name w:val="Hyperlink"/>
    <w:basedOn w:val="DefaultParagraphFont"/>
    <w:rsid w:val="00D416B2"/>
    <w:rPr>
      <w:color w:val="0000FF"/>
      <w:u w:val="single"/>
    </w:rPr>
  </w:style>
  <w:style w:type="character" w:styleId="CommentReference">
    <w:name w:val="annotation reference"/>
    <w:basedOn w:val="DefaultParagraphFont"/>
    <w:rsid w:val="00D416B2"/>
    <w:rPr>
      <w:sz w:val="16"/>
      <w:szCs w:val="16"/>
    </w:rPr>
  </w:style>
  <w:style w:type="character" w:customStyle="1" w:styleId="CharChar2">
    <w:name w:val="Char Char2"/>
    <w:basedOn w:val="DefaultParagraphFont"/>
    <w:rsid w:val="00D416B2"/>
  </w:style>
  <w:style w:type="character" w:customStyle="1" w:styleId="CharChar1">
    <w:name w:val="Char Char1"/>
    <w:basedOn w:val="CharChar2"/>
    <w:rsid w:val="00D416B2"/>
    <w:rPr>
      <w:b/>
      <w:bCs/>
    </w:rPr>
  </w:style>
  <w:style w:type="character" w:customStyle="1" w:styleId="CharChar">
    <w:name w:val="Char Char"/>
    <w:basedOn w:val="DefaultParagraphFont"/>
    <w:rsid w:val="00D416B2"/>
    <w:rPr>
      <w:rFonts w:ascii="Tahoma" w:hAnsi="Tahoma" w:cs="Tahoma"/>
      <w:sz w:val="16"/>
      <w:szCs w:val="16"/>
    </w:rPr>
  </w:style>
  <w:style w:type="character" w:customStyle="1" w:styleId="CharChar4">
    <w:name w:val="Char Char4"/>
    <w:basedOn w:val="DefaultParagraphFont"/>
    <w:rsid w:val="00D416B2"/>
    <w:rPr>
      <w:sz w:val="24"/>
      <w:szCs w:val="24"/>
    </w:rPr>
  </w:style>
  <w:style w:type="character" w:styleId="FootnoteReference">
    <w:name w:val="footnote reference"/>
    <w:semiHidden/>
    <w:rsid w:val="00D416B2"/>
    <w:rPr>
      <w:vertAlign w:val="superscript"/>
    </w:rPr>
  </w:style>
  <w:style w:type="character" w:styleId="EndnoteReference">
    <w:name w:val="endnote reference"/>
    <w:semiHidden/>
    <w:rsid w:val="00D416B2"/>
    <w:rPr>
      <w:vertAlign w:val="superscript"/>
    </w:rPr>
  </w:style>
  <w:style w:type="paragraph" w:customStyle="1" w:styleId="Heading">
    <w:name w:val="Heading"/>
    <w:basedOn w:val="Normal"/>
    <w:next w:val="BodyText"/>
    <w:rsid w:val="00D416B2"/>
    <w:pPr>
      <w:keepNext/>
      <w:spacing w:before="240" w:after="120"/>
    </w:pPr>
    <w:rPr>
      <w:rFonts w:ascii="Arial" w:eastAsia="Lucida Sans Unicode" w:hAnsi="Arial" w:cs="Tahoma"/>
      <w:sz w:val="28"/>
      <w:szCs w:val="28"/>
    </w:rPr>
  </w:style>
  <w:style w:type="paragraph" w:styleId="BodyText">
    <w:name w:val="Body Text"/>
    <w:basedOn w:val="Normal"/>
    <w:rsid w:val="00D416B2"/>
    <w:pPr>
      <w:spacing w:after="120"/>
    </w:pPr>
  </w:style>
  <w:style w:type="paragraph" w:styleId="List">
    <w:name w:val="List"/>
    <w:basedOn w:val="BodyText"/>
    <w:rsid w:val="00D416B2"/>
    <w:rPr>
      <w:rFonts w:cs="Tahoma"/>
    </w:rPr>
  </w:style>
  <w:style w:type="paragraph" w:styleId="Caption">
    <w:name w:val="caption"/>
    <w:basedOn w:val="Normal"/>
    <w:qFormat/>
    <w:rsid w:val="00D416B2"/>
    <w:pPr>
      <w:suppressLineNumbers/>
      <w:spacing w:before="120" w:after="120"/>
    </w:pPr>
    <w:rPr>
      <w:rFonts w:cs="Tahoma"/>
      <w:i/>
      <w:iCs/>
    </w:rPr>
  </w:style>
  <w:style w:type="paragraph" w:customStyle="1" w:styleId="Index">
    <w:name w:val="Index"/>
    <w:basedOn w:val="Normal"/>
    <w:rsid w:val="00D416B2"/>
    <w:pPr>
      <w:suppressLineNumbers/>
    </w:pPr>
    <w:rPr>
      <w:rFonts w:cs="Tahoma"/>
    </w:rPr>
  </w:style>
  <w:style w:type="paragraph" w:styleId="TOC1">
    <w:name w:val="toc 1"/>
    <w:next w:val="Normal"/>
    <w:semiHidden/>
    <w:rsid w:val="00D416B2"/>
    <w:pPr>
      <w:tabs>
        <w:tab w:val="center" w:pos="432"/>
        <w:tab w:val="left" w:pos="1008"/>
        <w:tab w:val="right" w:leader="dot" w:pos="9360"/>
      </w:tabs>
      <w:suppressAutoHyphens/>
      <w:jc w:val="both"/>
    </w:pPr>
    <w:rPr>
      <w:rFonts w:eastAsia="Arial"/>
      <w:caps/>
      <w:sz w:val="24"/>
      <w:szCs w:val="24"/>
      <w:lang w:eastAsia="ar-SA"/>
    </w:rPr>
  </w:style>
  <w:style w:type="paragraph" w:customStyle="1" w:styleId="NormalSS">
    <w:name w:val="NormalSS"/>
    <w:basedOn w:val="Normal"/>
    <w:rsid w:val="00D416B2"/>
    <w:pPr>
      <w:spacing w:line="240" w:lineRule="auto"/>
    </w:pPr>
  </w:style>
  <w:style w:type="paragraph" w:styleId="Footer">
    <w:name w:val="footer"/>
    <w:basedOn w:val="Normal"/>
    <w:rsid w:val="00D416B2"/>
    <w:pPr>
      <w:tabs>
        <w:tab w:val="center" w:pos="4320"/>
        <w:tab w:val="right" w:pos="8640"/>
      </w:tabs>
    </w:pPr>
  </w:style>
  <w:style w:type="paragraph" w:customStyle="1" w:styleId="Bullet">
    <w:name w:val="Bullet"/>
    <w:rsid w:val="00D416B2"/>
    <w:pPr>
      <w:numPr>
        <w:numId w:val="3"/>
      </w:numPr>
      <w:tabs>
        <w:tab w:val="left" w:pos="360"/>
      </w:tabs>
      <w:suppressAutoHyphens/>
      <w:spacing w:after="180"/>
      <w:ind w:left="0" w:right="360" w:firstLine="0"/>
      <w:jc w:val="both"/>
    </w:pPr>
    <w:rPr>
      <w:rFonts w:eastAsia="Arial"/>
      <w:sz w:val="24"/>
      <w:szCs w:val="24"/>
      <w:lang w:eastAsia="ar-SA"/>
    </w:rPr>
  </w:style>
  <w:style w:type="paragraph" w:customStyle="1" w:styleId="BulletLAST">
    <w:name w:val="Bullet (LAST)"/>
    <w:basedOn w:val="Bullet"/>
    <w:next w:val="Normal"/>
    <w:rsid w:val="00D416B2"/>
    <w:pPr>
      <w:spacing w:after="480"/>
    </w:pPr>
  </w:style>
  <w:style w:type="paragraph" w:customStyle="1" w:styleId="ParagraphLAST">
    <w:name w:val="Paragraph (LAST)"/>
    <w:basedOn w:val="Normal"/>
    <w:next w:val="Normal"/>
    <w:rsid w:val="00D416B2"/>
    <w:pPr>
      <w:spacing w:after="240"/>
    </w:pPr>
  </w:style>
  <w:style w:type="paragraph" w:styleId="TOC2">
    <w:name w:val="toc 2"/>
    <w:next w:val="Normal"/>
    <w:semiHidden/>
    <w:rsid w:val="00D416B2"/>
    <w:pPr>
      <w:tabs>
        <w:tab w:val="left" w:pos="1008"/>
        <w:tab w:val="left" w:pos="1440"/>
        <w:tab w:val="right" w:leader="dot" w:pos="9360"/>
      </w:tabs>
      <w:suppressAutoHyphens/>
      <w:ind w:left="1008" w:right="475"/>
      <w:jc w:val="both"/>
    </w:pPr>
    <w:rPr>
      <w:rFonts w:eastAsia="Arial"/>
      <w:caps/>
      <w:sz w:val="24"/>
      <w:szCs w:val="24"/>
      <w:lang w:eastAsia="ar-SA"/>
    </w:rPr>
  </w:style>
  <w:style w:type="paragraph" w:customStyle="1" w:styleId="Center">
    <w:name w:val="Center"/>
    <w:basedOn w:val="Normal"/>
    <w:rsid w:val="00D416B2"/>
    <w:pPr>
      <w:ind w:firstLine="0"/>
      <w:jc w:val="center"/>
    </w:pPr>
  </w:style>
  <w:style w:type="paragraph" w:styleId="TOC3">
    <w:name w:val="toc 3"/>
    <w:next w:val="Normal"/>
    <w:semiHidden/>
    <w:rsid w:val="00D416B2"/>
    <w:pPr>
      <w:tabs>
        <w:tab w:val="left" w:pos="1915"/>
        <w:tab w:val="right" w:leader="dot" w:pos="9360"/>
      </w:tabs>
      <w:suppressAutoHyphens/>
      <w:ind w:left="1915" w:right="475" w:hanging="475"/>
      <w:jc w:val="both"/>
    </w:pPr>
    <w:rPr>
      <w:rFonts w:eastAsia="Arial"/>
      <w:sz w:val="24"/>
      <w:szCs w:val="24"/>
      <w:lang w:eastAsia="ar-SA"/>
    </w:rPr>
  </w:style>
  <w:style w:type="paragraph" w:styleId="TOC4">
    <w:name w:val="toc 4"/>
    <w:next w:val="Normal"/>
    <w:semiHidden/>
    <w:rsid w:val="00D416B2"/>
    <w:pPr>
      <w:tabs>
        <w:tab w:val="left" w:pos="1440"/>
        <w:tab w:val="right" w:leader="dot" w:pos="9360"/>
      </w:tabs>
      <w:suppressAutoHyphens/>
      <w:spacing w:before="240"/>
      <w:ind w:left="2390" w:hanging="475"/>
      <w:jc w:val="both"/>
    </w:pPr>
    <w:rPr>
      <w:rFonts w:eastAsia="Arial"/>
      <w:sz w:val="24"/>
      <w:szCs w:val="24"/>
      <w:lang w:eastAsia="ar-SA"/>
    </w:rPr>
  </w:style>
  <w:style w:type="paragraph" w:styleId="FootnoteText">
    <w:name w:val="footnote text"/>
    <w:basedOn w:val="Normal"/>
    <w:semiHidden/>
    <w:rsid w:val="00D416B2"/>
    <w:pPr>
      <w:spacing w:after="240" w:line="240" w:lineRule="auto"/>
    </w:pPr>
    <w:rPr>
      <w:sz w:val="20"/>
    </w:rPr>
  </w:style>
  <w:style w:type="paragraph" w:customStyle="1" w:styleId="Dash">
    <w:name w:val="Dash"/>
    <w:rsid w:val="00D416B2"/>
    <w:pPr>
      <w:tabs>
        <w:tab w:val="left" w:pos="1080"/>
      </w:tabs>
      <w:suppressAutoHyphens/>
      <w:spacing w:after="120"/>
      <w:ind w:left="-360" w:right="720"/>
      <w:jc w:val="both"/>
    </w:pPr>
    <w:rPr>
      <w:rFonts w:eastAsia="Arial"/>
      <w:sz w:val="24"/>
      <w:szCs w:val="24"/>
      <w:lang w:eastAsia="ar-SA"/>
    </w:rPr>
  </w:style>
  <w:style w:type="paragraph" w:customStyle="1" w:styleId="DashLAST">
    <w:name w:val="Dash (LAST)"/>
    <w:basedOn w:val="Dash"/>
    <w:next w:val="Normal"/>
    <w:rsid w:val="00D416B2"/>
    <w:pPr>
      <w:spacing w:after="480"/>
    </w:pPr>
  </w:style>
  <w:style w:type="paragraph" w:customStyle="1" w:styleId="NumberedBullet">
    <w:name w:val="Numbered Bullet"/>
    <w:rsid w:val="00D416B2"/>
    <w:pPr>
      <w:tabs>
        <w:tab w:val="left" w:pos="360"/>
      </w:tabs>
      <w:suppressAutoHyphens/>
      <w:spacing w:after="180"/>
      <w:ind w:right="360"/>
      <w:jc w:val="both"/>
    </w:pPr>
    <w:rPr>
      <w:rFonts w:eastAsia="Arial"/>
      <w:sz w:val="24"/>
      <w:szCs w:val="24"/>
      <w:lang w:eastAsia="ar-SA"/>
    </w:rPr>
  </w:style>
  <w:style w:type="paragraph" w:customStyle="1" w:styleId="Outline">
    <w:name w:val="Outline"/>
    <w:basedOn w:val="Normal"/>
    <w:rsid w:val="00D416B2"/>
    <w:pPr>
      <w:spacing w:after="240" w:line="240" w:lineRule="auto"/>
      <w:ind w:left="720" w:hanging="720"/>
    </w:pPr>
  </w:style>
  <w:style w:type="paragraph" w:customStyle="1" w:styleId="NumberedBulletLAST">
    <w:name w:val="Numbered Bullet (LAST)"/>
    <w:basedOn w:val="NumberedBullet"/>
    <w:next w:val="Normal"/>
    <w:rsid w:val="00D416B2"/>
    <w:pPr>
      <w:spacing w:after="480"/>
    </w:pPr>
  </w:style>
  <w:style w:type="paragraph" w:styleId="EndnoteText">
    <w:name w:val="endnote text"/>
    <w:basedOn w:val="Normal"/>
    <w:semiHidden/>
    <w:rsid w:val="00D416B2"/>
    <w:pPr>
      <w:spacing w:after="240" w:line="240" w:lineRule="auto"/>
    </w:pPr>
  </w:style>
  <w:style w:type="paragraph" w:customStyle="1" w:styleId="MarkforTable">
    <w:name w:val="Mark for Table"/>
    <w:next w:val="Normal"/>
    <w:rsid w:val="00D416B2"/>
    <w:pPr>
      <w:suppressAutoHyphens/>
      <w:spacing w:line="480" w:lineRule="auto"/>
      <w:jc w:val="center"/>
    </w:pPr>
    <w:rPr>
      <w:rFonts w:eastAsia="Arial"/>
      <w:caps/>
      <w:sz w:val="24"/>
      <w:szCs w:val="24"/>
      <w:lang w:eastAsia="ar-SA"/>
    </w:rPr>
  </w:style>
  <w:style w:type="paragraph" w:customStyle="1" w:styleId="ParagraphSSLAST">
    <w:name w:val="ParagraphSS (LAST)"/>
    <w:basedOn w:val="NormalSS"/>
    <w:next w:val="Normal"/>
    <w:rsid w:val="00D416B2"/>
    <w:pPr>
      <w:spacing w:after="480"/>
    </w:pPr>
  </w:style>
  <w:style w:type="paragraph" w:customStyle="1" w:styleId="References">
    <w:name w:val="References"/>
    <w:basedOn w:val="Normal"/>
    <w:next w:val="Normal"/>
    <w:rsid w:val="00D416B2"/>
    <w:pPr>
      <w:spacing w:after="240" w:line="240" w:lineRule="auto"/>
      <w:ind w:left="432" w:hanging="432"/>
    </w:pPr>
  </w:style>
  <w:style w:type="paragraph" w:customStyle="1" w:styleId="MarkforFigure">
    <w:name w:val="Mark for Figure"/>
    <w:basedOn w:val="Normal"/>
    <w:next w:val="Normal"/>
    <w:rsid w:val="00D416B2"/>
    <w:pPr>
      <w:ind w:firstLine="0"/>
      <w:jc w:val="center"/>
    </w:pPr>
    <w:rPr>
      <w:caps/>
    </w:rPr>
  </w:style>
  <w:style w:type="paragraph" w:customStyle="1" w:styleId="MarkforExhibit">
    <w:name w:val="Mark for Exhibit"/>
    <w:basedOn w:val="Normal"/>
    <w:next w:val="Normal"/>
    <w:rsid w:val="00D416B2"/>
    <w:pPr>
      <w:ind w:firstLine="0"/>
      <w:jc w:val="center"/>
    </w:pPr>
    <w:rPr>
      <w:caps/>
    </w:rPr>
  </w:style>
  <w:style w:type="paragraph" w:customStyle="1" w:styleId="MarkforAttachment">
    <w:name w:val="Mark for Attachment"/>
    <w:basedOn w:val="Normal"/>
    <w:next w:val="Normal"/>
    <w:rsid w:val="00D416B2"/>
    <w:pPr>
      <w:spacing w:line="240" w:lineRule="auto"/>
      <w:ind w:firstLine="0"/>
      <w:jc w:val="center"/>
    </w:pPr>
    <w:rPr>
      <w:b/>
      <w:caps/>
    </w:rPr>
  </w:style>
  <w:style w:type="paragraph" w:styleId="TableofFigures">
    <w:name w:val="table of figures"/>
    <w:basedOn w:val="Normal"/>
    <w:next w:val="Normal"/>
    <w:rsid w:val="00D416B2"/>
    <w:pPr>
      <w:ind w:left="480" w:hanging="480"/>
    </w:pPr>
  </w:style>
  <w:style w:type="paragraph" w:styleId="Header">
    <w:name w:val="header"/>
    <w:basedOn w:val="Normal"/>
    <w:rsid w:val="00D416B2"/>
    <w:pPr>
      <w:tabs>
        <w:tab w:val="center" w:pos="4680"/>
        <w:tab w:val="right" w:pos="9360"/>
      </w:tabs>
      <w:spacing w:line="240" w:lineRule="auto"/>
    </w:pPr>
  </w:style>
  <w:style w:type="paragraph" w:styleId="BlockText">
    <w:name w:val="Block Text"/>
    <w:basedOn w:val="Normal"/>
    <w:rsid w:val="00D416B2"/>
    <w:pPr>
      <w:spacing w:line="240" w:lineRule="auto"/>
      <w:ind w:left="2860" w:right="2880" w:firstLine="0"/>
      <w:jc w:val="left"/>
    </w:pPr>
    <w:rPr>
      <w:b/>
      <w:bCs/>
      <w:sz w:val="32"/>
    </w:rPr>
  </w:style>
  <w:style w:type="paragraph" w:customStyle="1" w:styleId="MarkforAppendix">
    <w:name w:val="Mark for Appendix"/>
    <w:basedOn w:val="Normal"/>
    <w:rsid w:val="00D416B2"/>
    <w:pPr>
      <w:ind w:firstLine="0"/>
      <w:jc w:val="center"/>
    </w:pPr>
    <w:rPr>
      <w:b/>
      <w:caps/>
    </w:rPr>
  </w:style>
  <w:style w:type="paragraph" w:styleId="BalloonText">
    <w:name w:val="Balloon Text"/>
    <w:basedOn w:val="Normal"/>
    <w:rsid w:val="00D416B2"/>
    <w:pPr>
      <w:spacing w:line="240" w:lineRule="auto"/>
    </w:pPr>
    <w:rPr>
      <w:rFonts w:ascii="Tahoma" w:hAnsi="Tahoma" w:cs="Tahoma"/>
      <w:sz w:val="16"/>
      <w:szCs w:val="16"/>
    </w:rPr>
  </w:style>
  <w:style w:type="paragraph" w:customStyle="1" w:styleId="Gnormal">
    <w:name w:val="G_normal"/>
    <w:basedOn w:val="Normal"/>
    <w:rsid w:val="00D416B2"/>
    <w:pPr>
      <w:spacing w:after="240" w:line="240" w:lineRule="auto"/>
    </w:pPr>
    <w:rPr>
      <w:rFonts w:ascii="Garamond" w:hAnsi="Garamond"/>
    </w:rPr>
  </w:style>
  <w:style w:type="paragraph" w:customStyle="1" w:styleId="Gtablecolumnhead">
    <w:name w:val="G_table column head"/>
    <w:basedOn w:val="Normal"/>
    <w:rsid w:val="00D416B2"/>
    <w:pPr>
      <w:spacing w:before="120" w:after="60" w:line="240" w:lineRule="auto"/>
      <w:ind w:firstLine="0"/>
      <w:jc w:val="center"/>
    </w:pPr>
    <w:rPr>
      <w:rFonts w:ascii="Arial" w:hAnsi="Arial"/>
      <w:sz w:val="20"/>
    </w:rPr>
  </w:style>
  <w:style w:type="paragraph" w:customStyle="1" w:styleId="Gtablecolumnfirst">
    <w:name w:val="G_table column first"/>
    <w:basedOn w:val="Gtablecolumnhead"/>
    <w:next w:val="Normal"/>
    <w:rsid w:val="00D416B2"/>
    <w:pPr>
      <w:jc w:val="left"/>
    </w:pPr>
  </w:style>
  <w:style w:type="paragraph" w:customStyle="1" w:styleId="GMarkTable">
    <w:name w:val="G_Mark Table"/>
    <w:basedOn w:val="Normal"/>
    <w:next w:val="Gnormal"/>
    <w:rsid w:val="00D416B2"/>
    <w:pPr>
      <w:spacing w:after="60" w:line="240" w:lineRule="auto"/>
      <w:ind w:left="1267" w:hanging="1267"/>
    </w:pPr>
    <w:rPr>
      <w:rFonts w:ascii="Arial" w:hAnsi="Arial"/>
      <w:b/>
      <w:sz w:val="20"/>
    </w:rPr>
  </w:style>
  <w:style w:type="paragraph" w:styleId="CommentText">
    <w:name w:val="annotation text"/>
    <w:basedOn w:val="Normal"/>
    <w:rsid w:val="00D416B2"/>
    <w:pPr>
      <w:spacing w:line="240" w:lineRule="auto"/>
    </w:pPr>
    <w:rPr>
      <w:sz w:val="20"/>
    </w:rPr>
  </w:style>
  <w:style w:type="paragraph" w:styleId="CommentSubject">
    <w:name w:val="annotation subject"/>
    <w:basedOn w:val="CommentText"/>
    <w:next w:val="CommentText"/>
    <w:rsid w:val="00D416B2"/>
    <w:rPr>
      <w:b/>
      <w:bCs/>
    </w:rPr>
  </w:style>
  <w:style w:type="paragraph" w:styleId="ListBullet">
    <w:name w:val="List Bullet"/>
    <w:basedOn w:val="Normal"/>
    <w:rsid w:val="00D416B2"/>
  </w:style>
  <w:style w:type="paragraph" w:styleId="DocumentMap">
    <w:name w:val="Document Map"/>
    <w:basedOn w:val="Normal"/>
    <w:rsid w:val="00D416B2"/>
    <w:pPr>
      <w:spacing w:line="240" w:lineRule="auto"/>
    </w:pPr>
    <w:rPr>
      <w:rFonts w:ascii="Tahoma" w:hAnsi="Tahoma" w:cs="Tahoma"/>
      <w:sz w:val="16"/>
      <w:szCs w:val="16"/>
    </w:rPr>
  </w:style>
  <w:style w:type="paragraph" w:styleId="ListParagraph">
    <w:name w:val="List Paragraph"/>
    <w:basedOn w:val="Bullet"/>
    <w:next w:val="Bullet"/>
    <w:qFormat/>
    <w:rsid w:val="00D416B2"/>
  </w:style>
  <w:style w:type="paragraph" w:customStyle="1" w:styleId="MarkforAppendixHeading">
    <w:name w:val="Mark for Appendix Heading"/>
    <w:basedOn w:val="Normal"/>
    <w:rsid w:val="00D416B2"/>
    <w:pPr>
      <w:ind w:firstLine="0"/>
      <w:jc w:val="center"/>
    </w:pPr>
    <w:rPr>
      <w:b/>
      <w:caps/>
    </w:rPr>
  </w:style>
  <w:style w:type="paragraph" w:customStyle="1" w:styleId="TableContents">
    <w:name w:val="Table Contents"/>
    <w:basedOn w:val="Normal"/>
    <w:rsid w:val="00D416B2"/>
    <w:pPr>
      <w:suppressLineNumbers/>
    </w:pPr>
  </w:style>
  <w:style w:type="paragraph" w:customStyle="1" w:styleId="TableHeading">
    <w:name w:val="Table Heading"/>
    <w:basedOn w:val="TableContents"/>
    <w:rsid w:val="00D416B2"/>
    <w:pPr>
      <w:jc w:val="center"/>
    </w:pPr>
    <w:rPr>
      <w:b/>
      <w:bCs/>
    </w:rPr>
  </w:style>
  <w:style w:type="paragraph" w:customStyle="1" w:styleId="Framecontents">
    <w:name w:val="Frame contents"/>
    <w:basedOn w:val="BodyText"/>
    <w:rsid w:val="00D41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ielty.alexandra@dol.gov" TargetMode="External"/><Relationship Id="rId18" Type="http://schemas.openxmlformats.org/officeDocument/2006/relationships/hyperlink" Target="mailto:mary.wagner@sri.co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campbell@acf.hhs.gov" TargetMode="External"/><Relationship Id="rId17" Type="http://schemas.openxmlformats.org/officeDocument/2006/relationships/hyperlink" Target="mailto:bvalnes@tie.net" TargetMode="External"/><Relationship Id="rId2" Type="http://schemas.openxmlformats.org/officeDocument/2006/relationships/styles" Target="styles.xml"/><Relationship Id="rId16" Type="http://schemas.openxmlformats.org/officeDocument/2006/relationships/hyperlink" Target="mailto:howard.rolston@verizon.net"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icallahan@aol.com" TargetMode="External"/><Relationship Id="rId5" Type="http://schemas.openxmlformats.org/officeDocument/2006/relationships/webSettings" Target="webSettings.xml"/><Relationship Id="rId15" Type="http://schemas.openxmlformats.org/officeDocument/2006/relationships/hyperlink" Target="mailto:rmaynard@gse.upenn.edu" TargetMode="External"/><Relationship Id="rId10" Type="http://schemas.openxmlformats.org/officeDocument/2006/relationships/hyperlink" Target="mailto:beebout@erols.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lakin001@umn.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6166</Words>
  <Characters>35147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MEMORANDUM</vt:lpstr>
    </vt:vector>
  </TitlesOfParts>
  <Company>Social Security Administration</Company>
  <LinksUpToDate>false</LinksUpToDate>
  <CharactersWithSpaces>41231</CharactersWithSpaces>
  <SharedDoc>false</SharedDoc>
  <HLinks>
    <vt:vector size="54" baseType="variant">
      <vt:variant>
        <vt:i4>3801172</vt:i4>
      </vt:variant>
      <vt:variant>
        <vt:i4>24</vt:i4>
      </vt:variant>
      <vt:variant>
        <vt:i4>0</vt:i4>
      </vt:variant>
      <vt:variant>
        <vt:i4>5</vt:i4>
      </vt:variant>
      <vt:variant>
        <vt:lpwstr>mailto:mary.wagner@sri.com</vt:lpwstr>
      </vt:variant>
      <vt:variant>
        <vt:lpwstr/>
      </vt:variant>
      <vt:variant>
        <vt:i4>7798871</vt:i4>
      </vt:variant>
      <vt:variant>
        <vt:i4>21</vt:i4>
      </vt:variant>
      <vt:variant>
        <vt:i4>0</vt:i4>
      </vt:variant>
      <vt:variant>
        <vt:i4>5</vt:i4>
      </vt:variant>
      <vt:variant>
        <vt:lpwstr>mailto:bvalnes@tie.net</vt:lpwstr>
      </vt:variant>
      <vt:variant>
        <vt:lpwstr/>
      </vt:variant>
      <vt:variant>
        <vt:i4>3801178</vt:i4>
      </vt:variant>
      <vt:variant>
        <vt:i4>18</vt:i4>
      </vt:variant>
      <vt:variant>
        <vt:i4>0</vt:i4>
      </vt:variant>
      <vt:variant>
        <vt:i4>5</vt:i4>
      </vt:variant>
      <vt:variant>
        <vt:lpwstr>mailto:howard.rolston@verizon.net</vt:lpwstr>
      </vt:variant>
      <vt:variant>
        <vt:lpwstr/>
      </vt:variant>
      <vt:variant>
        <vt:i4>2359362</vt:i4>
      </vt:variant>
      <vt:variant>
        <vt:i4>15</vt:i4>
      </vt:variant>
      <vt:variant>
        <vt:i4>0</vt:i4>
      </vt:variant>
      <vt:variant>
        <vt:i4>5</vt:i4>
      </vt:variant>
      <vt:variant>
        <vt:lpwstr>mailto:rmaynard@gse.upenn.edu</vt:lpwstr>
      </vt:variant>
      <vt:variant>
        <vt:lpwstr/>
      </vt:variant>
      <vt:variant>
        <vt:i4>6029373</vt:i4>
      </vt:variant>
      <vt:variant>
        <vt:i4>12</vt:i4>
      </vt:variant>
      <vt:variant>
        <vt:i4>0</vt:i4>
      </vt:variant>
      <vt:variant>
        <vt:i4>5</vt:i4>
      </vt:variant>
      <vt:variant>
        <vt:lpwstr>mailto:lakin001@umn.edu</vt:lpwstr>
      </vt:variant>
      <vt:variant>
        <vt:lpwstr/>
      </vt:variant>
      <vt:variant>
        <vt:i4>5242937</vt:i4>
      </vt:variant>
      <vt:variant>
        <vt:i4>9</vt:i4>
      </vt:variant>
      <vt:variant>
        <vt:i4>0</vt:i4>
      </vt:variant>
      <vt:variant>
        <vt:i4>5</vt:i4>
      </vt:variant>
      <vt:variant>
        <vt:lpwstr>mailto:kielty.alexandra@dol.gov</vt:lpwstr>
      </vt:variant>
      <vt:variant>
        <vt:lpwstr/>
      </vt:variant>
      <vt:variant>
        <vt:i4>1638510</vt:i4>
      </vt:variant>
      <vt:variant>
        <vt:i4>6</vt:i4>
      </vt:variant>
      <vt:variant>
        <vt:i4>0</vt:i4>
      </vt:variant>
      <vt:variant>
        <vt:i4>5</vt:i4>
      </vt:variant>
      <vt:variant>
        <vt:lpwstr>mailto:ncampbell@acf.hhs.gov</vt:lpwstr>
      </vt:variant>
      <vt:variant>
        <vt:lpwstr/>
      </vt:variant>
      <vt:variant>
        <vt:i4>7209030</vt:i4>
      </vt:variant>
      <vt:variant>
        <vt:i4>3</vt:i4>
      </vt:variant>
      <vt:variant>
        <vt:i4>0</vt:i4>
      </vt:variant>
      <vt:variant>
        <vt:i4>5</vt:i4>
      </vt:variant>
      <vt:variant>
        <vt:lpwstr>mailto:micallahan@aol.com</vt:lpwstr>
      </vt:variant>
      <vt:variant>
        <vt:lpwstr/>
      </vt:variant>
      <vt:variant>
        <vt:i4>589863</vt:i4>
      </vt:variant>
      <vt:variant>
        <vt:i4>0</vt:i4>
      </vt:variant>
      <vt:variant>
        <vt:i4>0</vt:i4>
      </vt:variant>
      <vt:variant>
        <vt:i4>5</vt:i4>
      </vt:variant>
      <vt:variant>
        <vt:lpwstr>mailto:beebout@erols.com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Dawn L. Patterson</dc:creator>
  <cp:lastModifiedBy>Naomi</cp:lastModifiedBy>
  <cp:revision>2</cp:revision>
  <cp:lastPrinted>2008-12-16T20:19:00Z</cp:lastPrinted>
  <dcterms:created xsi:type="dcterms:W3CDTF">2012-06-15T16:47:00Z</dcterms:created>
  <dcterms:modified xsi:type="dcterms:W3CDTF">2012-06-15T16:47:00Z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-1085591079</vt:i4>
  </property>
  <property fmtid="{D5CDD505-2E9C-101B-9397-08002B2CF9AE}" pid="3" name="_NewReviewCycle">
    <vt:lpwstr/>
  </property>
  <property fmtid="{D5CDD505-2E9C-101B-9397-08002B2CF9AE}" pid="4" name="_EmailSubject">
    <vt:lpwstr>0960-0687   Youth Transition Process Demonstration Evaluation Collection</vt:lpwstr>
  </property>
  <property fmtid="{D5CDD505-2E9C-101B-9397-08002B2CF9AE}" pid="5" name="_AuthorEmail">
    <vt:lpwstr>Susan.A.Kalasunas@ssa.gov</vt:lpwstr>
  </property>
  <property fmtid="{D5CDD505-2E9C-101B-9397-08002B2CF9AE}" pid="6" name="_AuthorEmailDisplayName">
    <vt:lpwstr>Kalasunas, Susan A.</vt:lpwstr>
  </property>
  <property fmtid="{D5CDD505-2E9C-101B-9397-08002B2CF9AE}" pid="7" name="_ReviewingToolsShownOnce">
    <vt:lpwstr/>
  </property>
</Properties>
</file>