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6C" w:rsidRPr="00B03154" w:rsidRDefault="00196A6C" w:rsidP="00A76A72">
      <w:pPr>
        <w:pStyle w:val="Heading6"/>
        <w:rPr>
          <w:bCs w:val="0"/>
          <w:sz w:val="32"/>
          <w:szCs w:val="32"/>
        </w:rPr>
      </w:pPr>
    </w:p>
    <w:p w:rsidR="00196A6C" w:rsidRPr="00B03154" w:rsidRDefault="00196A6C" w:rsidP="00A76A72">
      <w:pPr>
        <w:pStyle w:val="Heading6"/>
        <w:rPr>
          <w:bCs w:val="0"/>
          <w:sz w:val="32"/>
          <w:szCs w:val="32"/>
        </w:rPr>
      </w:pPr>
    </w:p>
    <w:p w:rsidR="00196A6C" w:rsidRPr="00B03154" w:rsidRDefault="00196A6C" w:rsidP="00A76A72">
      <w:pPr>
        <w:pStyle w:val="Heading6"/>
        <w:rPr>
          <w:bCs w:val="0"/>
          <w:sz w:val="32"/>
          <w:szCs w:val="32"/>
        </w:rPr>
      </w:pPr>
    </w:p>
    <w:p w:rsidR="00196A6C" w:rsidRPr="00B03154" w:rsidRDefault="00196A6C" w:rsidP="00A76A72">
      <w:pPr>
        <w:pStyle w:val="Heading6"/>
        <w:rPr>
          <w:bCs w:val="0"/>
          <w:sz w:val="32"/>
          <w:szCs w:val="32"/>
        </w:rPr>
      </w:pPr>
    </w:p>
    <w:p w:rsidR="00CF4495" w:rsidRPr="00B03154" w:rsidRDefault="00F4764D" w:rsidP="00A76A72">
      <w:pPr>
        <w:pStyle w:val="Heading6"/>
        <w:rPr>
          <w:bCs w:val="0"/>
          <w:sz w:val="32"/>
          <w:szCs w:val="32"/>
        </w:rPr>
      </w:pPr>
      <w:r w:rsidRPr="00B03154">
        <w:rPr>
          <w:bCs w:val="0"/>
          <w:sz w:val="32"/>
          <w:szCs w:val="32"/>
        </w:rPr>
        <w:t xml:space="preserve">Supporting Statement B </w:t>
      </w:r>
    </w:p>
    <w:p w:rsidR="00CF4495" w:rsidRPr="00B03154" w:rsidRDefault="00CF4495" w:rsidP="00A76A72">
      <w:pPr>
        <w:pStyle w:val="Heading6"/>
        <w:rPr>
          <w:bCs w:val="0"/>
          <w:sz w:val="32"/>
          <w:szCs w:val="32"/>
        </w:rPr>
      </w:pPr>
    </w:p>
    <w:p w:rsidR="00F4764D" w:rsidRPr="00B03154" w:rsidRDefault="00F4764D" w:rsidP="00A76A72">
      <w:pPr>
        <w:pStyle w:val="Heading6"/>
        <w:rPr>
          <w:bCs w:val="0"/>
          <w:sz w:val="32"/>
          <w:szCs w:val="32"/>
        </w:rPr>
      </w:pPr>
      <w:proofErr w:type="gramStart"/>
      <w:r w:rsidRPr="00B03154">
        <w:rPr>
          <w:bCs w:val="0"/>
          <w:sz w:val="32"/>
          <w:szCs w:val="32"/>
        </w:rPr>
        <w:t>for</w:t>
      </w:r>
      <w:proofErr w:type="gramEnd"/>
    </w:p>
    <w:p w:rsidR="00F4764D" w:rsidRPr="00B03154" w:rsidRDefault="00F4764D" w:rsidP="00A76A72">
      <w:pPr>
        <w:jc w:val="center"/>
        <w:rPr>
          <w:b/>
          <w:sz w:val="32"/>
          <w:szCs w:val="32"/>
        </w:rPr>
      </w:pPr>
    </w:p>
    <w:p w:rsidR="00F4764D" w:rsidRPr="00B03154" w:rsidRDefault="00F4764D" w:rsidP="00A76A72">
      <w:pPr>
        <w:jc w:val="center"/>
        <w:rPr>
          <w:b/>
          <w:sz w:val="32"/>
          <w:szCs w:val="32"/>
        </w:rPr>
      </w:pPr>
    </w:p>
    <w:p w:rsidR="00DF0DD4" w:rsidRPr="00B03154" w:rsidRDefault="00196A6C" w:rsidP="00A76A72">
      <w:pPr>
        <w:jc w:val="center"/>
        <w:rPr>
          <w:b/>
          <w:bCs/>
          <w:sz w:val="32"/>
          <w:szCs w:val="32"/>
        </w:rPr>
      </w:pPr>
      <w:r w:rsidRPr="00B03154">
        <w:rPr>
          <w:b/>
          <w:bCs/>
          <w:sz w:val="32"/>
          <w:szCs w:val="32"/>
        </w:rPr>
        <w:t xml:space="preserve">The Healthy Communities Study: </w:t>
      </w:r>
    </w:p>
    <w:p w:rsidR="00196A6C" w:rsidRPr="00B03154" w:rsidRDefault="00196A6C" w:rsidP="00A76A72">
      <w:pPr>
        <w:jc w:val="center"/>
        <w:rPr>
          <w:b/>
          <w:bCs/>
          <w:sz w:val="32"/>
          <w:szCs w:val="32"/>
        </w:rPr>
      </w:pPr>
      <w:r w:rsidRPr="00B03154">
        <w:rPr>
          <w:b/>
          <w:bCs/>
          <w:sz w:val="32"/>
          <w:szCs w:val="32"/>
        </w:rPr>
        <w:t>How Communities Shape Children’s Health</w:t>
      </w:r>
      <w:r w:rsidR="00C8674E" w:rsidRPr="00B03154">
        <w:rPr>
          <w:b/>
          <w:bCs/>
          <w:sz w:val="32"/>
          <w:szCs w:val="32"/>
        </w:rPr>
        <w:t xml:space="preserve"> (NHLBI)</w:t>
      </w:r>
    </w:p>
    <w:p w:rsidR="00F4764D" w:rsidRPr="00B03154" w:rsidRDefault="00F4764D" w:rsidP="00A76A72">
      <w:pPr>
        <w:jc w:val="center"/>
        <w:rPr>
          <w:b/>
          <w:bCs/>
          <w:sz w:val="32"/>
          <w:szCs w:val="32"/>
        </w:rPr>
      </w:pPr>
    </w:p>
    <w:p w:rsidR="00F4764D" w:rsidRPr="00B03154" w:rsidRDefault="00F4764D" w:rsidP="00A76A72">
      <w:pPr>
        <w:jc w:val="center"/>
        <w:rPr>
          <w:b/>
          <w:bCs/>
          <w:sz w:val="32"/>
          <w:szCs w:val="32"/>
        </w:rPr>
      </w:pPr>
    </w:p>
    <w:p w:rsidR="00F4764D" w:rsidRPr="00B03154" w:rsidRDefault="00F4764D" w:rsidP="00A76A72">
      <w:pPr>
        <w:jc w:val="center"/>
        <w:rPr>
          <w:b/>
          <w:bCs/>
          <w:sz w:val="32"/>
          <w:szCs w:val="32"/>
        </w:rPr>
      </w:pPr>
    </w:p>
    <w:p w:rsidR="00F4764D" w:rsidRPr="00B03154" w:rsidRDefault="0023430C" w:rsidP="00A76A72">
      <w:pPr>
        <w:jc w:val="center"/>
        <w:rPr>
          <w:b/>
          <w:bCs/>
          <w:sz w:val="32"/>
          <w:szCs w:val="32"/>
        </w:rPr>
      </w:pPr>
      <w:r>
        <w:rPr>
          <w:b/>
          <w:bCs/>
          <w:sz w:val="32"/>
          <w:szCs w:val="32"/>
        </w:rPr>
        <w:t>September 14</w:t>
      </w:r>
      <w:r w:rsidR="00F4764D" w:rsidRPr="00B03154">
        <w:rPr>
          <w:b/>
          <w:bCs/>
          <w:sz w:val="32"/>
          <w:szCs w:val="32"/>
        </w:rPr>
        <w:t>, 2011</w:t>
      </w:r>
    </w:p>
    <w:p w:rsidR="00F4764D" w:rsidRPr="00B03154" w:rsidRDefault="00F4764D" w:rsidP="00A76A72">
      <w:pPr>
        <w:jc w:val="center"/>
        <w:rPr>
          <w:b/>
          <w:bCs/>
          <w:sz w:val="32"/>
          <w:szCs w:val="32"/>
        </w:rPr>
      </w:pPr>
    </w:p>
    <w:p w:rsidR="00F4764D" w:rsidRPr="00B03154" w:rsidRDefault="00F4764D" w:rsidP="00A76A72">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1D0DB7" w:rsidRDefault="001D0DB7">
      <w:pPr>
        <w:rPr>
          <w:b/>
          <w:bCs/>
          <w:sz w:val="24"/>
        </w:rPr>
      </w:pPr>
    </w:p>
    <w:p w:rsidR="001D0DB7" w:rsidRDefault="001D0DB7">
      <w:pPr>
        <w:rPr>
          <w:b/>
          <w:bCs/>
          <w:sz w:val="24"/>
        </w:rPr>
      </w:pPr>
    </w:p>
    <w:p w:rsidR="001D0DB7" w:rsidRDefault="001D0DB7">
      <w:pPr>
        <w:rPr>
          <w:b/>
          <w:bCs/>
          <w:sz w:val="24"/>
        </w:rPr>
      </w:pPr>
    </w:p>
    <w:p w:rsidR="001D0DB7" w:rsidRDefault="001D0DB7">
      <w:pPr>
        <w:rPr>
          <w:b/>
          <w:bCs/>
          <w:sz w:val="24"/>
        </w:rPr>
      </w:pPr>
    </w:p>
    <w:p w:rsidR="00C43FAF" w:rsidRDefault="00C43FAF">
      <w:pPr>
        <w:rPr>
          <w:b/>
          <w:bCs/>
          <w:sz w:val="24"/>
        </w:rPr>
      </w:pPr>
    </w:p>
    <w:p w:rsidR="00C43FAF" w:rsidRDefault="00C43FAF">
      <w:pPr>
        <w:rPr>
          <w:b/>
          <w:bCs/>
          <w:sz w:val="24"/>
        </w:rPr>
      </w:pPr>
    </w:p>
    <w:p w:rsidR="00C43FAF" w:rsidRDefault="00E233DC">
      <w:pPr>
        <w:rPr>
          <w:bCs/>
          <w:sz w:val="24"/>
        </w:rPr>
      </w:pPr>
      <w:r>
        <w:rPr>
          <w:bCs/>
          <w:sz w:val="24"/>
        </w:rPr>
        <w:t>Name:</w:t>
      </w:r>
      <w:r>
        <w:rPr>
          <w:bCs/>
          <w:sz w:val="24"/>
        </w:rPr>
        <w:tab/>
      </w:r>
      <w:r>
        <w:rPr>
          <w:bCs/>
          <w:sz w:val="24"/>
        </w:rPr>
        <w:tab/>
        <w:t>Sonia Arteaga</w:t>
      </w:r>
    </w:p>
    <w:p w:rsidR="00C43FAF" w:rsidRDefault="00E233DC">
      <w:pPr>
        <w:rPr>
          <w:sz w:val="24"/>
        </w:rPr>
      </w:pPr>
      <w:r>
        <w:rPr>
          <w:sz w:val="24"/>
        </w:rPr>
        <w:t>Address:</w:t>
      </w:r>
      <w:r>
        <w:rPr>
          <w:sz w:val="24"/>
        </w:rPr>
        <w:tab/>
        <w:t>6701 Rockledge Drive, Suite 10018, Bethesda, Maryland 20892</w:t>
      </w:r>
    </w:p>
    <w:p w:rsidR="00C43FAF" w:rsidRDefault="00E233DC">
      <w:pPr>
        <w:rPr>
          <w:sz w:val="24"/>
        </w:rPr>
      </w:pPr>
      <w:r>
        <w:rPr>
          <w:sz w:val="24"/>
        </w:rPr>
        <w:t>Telephone:</w:t>
      </w:r>
      <w:r>
        <w:rPr>
          <w:sz w:val="24"/>
        </w:rPr>
        <w:tab/>
        <w:t>(301) 435-6677</w:t>
      </w:r>
    </w:p>
    <w:p w:rsidR="00C43FAF" w:rsidRDefault="00E233DC">
      <w:pPr>
        <w:rPr>
          <w:sz w:val="24"/>
        </w:rPr>
      </w:pPr>
      <w:r>
        <w:rPr>
          <w:sz w:val="24"/>
        </w:rPr>
        <w:t>FAX:</w:t>
      </w:r>
      <w:r>
        <w:rPr>
          <w:sz w:val="24"/>
        </w:rPr>
        <w:tab/>
      </w:r>
      <w:r>
        <w:rPr>
          <w:sz w:val="24"/>
        </w:rPr>
        <w:tab/>
        <w:t>(301) 480-5158</w:t>
      </w:r>
    </w:p>
    <w:p w:rsidR="00C43FAF" w:rsidRDefault="00E233DC" w:rsidP="00A76A72">
      <w:pPr>
        <w:rPr>
          <w:sz w:val="24"/>
        </w:rPr>
        <w:sectPr w:rsidR="00C43FAF">
          <w:footerReference w:type="default" r:id="rId12"/>
          <w:footerReference w:type="first" r:id="rId13"/>
          <w:pgSz w:w="12240" w:h="15840"/>
          <w:pgMar w:top="1440" w:right="1440" w:bottom="1440" w:left="1440" w:header="720" w:footer="720" w:gutter="0"/>
          <w:pgNumType w:fmt="lowerRoman" w:start="1"/>
          <w:cols w:space="720"/>
          <w:titlePg/>
        </w:sectPr>
      </w:pPr>
      <w:r>
        <w:rPr>
          <w:sz w:val="24"/>
        </w:rPr>
        <w:t>Email:</w:t>
      </w:r>
      <w:r>
        <w:rPr>
          <w:sz w:val="24"/>
        </w:rPr>
        <w:tab/>
      </w:r>
      <w:r>
        <w:rPr>
          <w:sz w:val="24"/>
        </w:rPr>
        <w:tab/>
        <w:t>arteagass@nhlbi.nih.gov</w:t>
      </w:r>
    </w:p>
    <w:p w:rsidR="00C43FAF" w:rsidRDefault="00E233DC">
      <w:pPr>
        <w:pStyle w:val="Heading6"/>
        <w:rPr>
          <w:sz w:val="24"/>
        </w:rPr>
      </w:pPr>
      <w:r>
        <w:rPr>
          <w:sz w:val="24"/>
        </w:rPr>
        <w:lastRenderedPageBreak/>
        <w:t>TABLE OF CONTENTS</w:t>
      </w:r>
    </w:p>
    <w:p w:rsidR="000C1D12" w:rsidRPr="000C1D12" w:rsidRDefault="000C1D12" w:rsidP="000C1D12"/>
    <w:p w:rsidR="000C1D12" w:rsidRPr="000C1D12" w:rsidRDefault="0074608C" w:rsidP="00607BE8">
      <w:pPr>
        <w:pStyle w:val="TOC1"/>
        <w:rPr>
          <w:rFonts w:asciiTheme="minorHAnsi" w:eastAsiaTheme="minorEastAsia" w:hAnsiTheme="minorHAnsi" w:cstheme="minorBidi"/>
          <w:noProof/>
          <w:sz w:val="22"/>
          <w:szCs w:val="22"/>
        </w:rPr>
      </w:pPr>
      <w:r>
        <w:fldChar w:fldCharType="begin"/>
      </w:r>
      <w:r w:rsidR="000C1D12">
        <w:instrText xml:space="preserve"> TOC \o "1-3" \h \z \t "BHLevel1,1,BHLevel2,2,BHLevel3,3" </w:instrText>
      </w:r>
      <w:r>
        <w:fldChar w:fldCharType="separate"/>
      </w:r>
      <w:hyperlink w:anchor="_Toc301448742" w:history="1">
        <w:r w:rsidR="000C1D12" w:rsidRPr="000C1D12">
          <w:rPr>
            <w:rStyle w:val="Hyperlink"/>
            <w:b/>
            <w:noProof/>
          </w:rPr>
          <w:t>B.</w:t>
        </w:r>
        <w:r w:rsidR="000C1D12" w:rsidRPr="000C1D12">
          <w:rPr>
            <w:rFonts w:asciiTheme="minorHAnsi" w:eastAsiaTheme="minorEastAsia" w:hAnsiTheme="minorHAnsi" w:cstheme="minorBidi"/>
            <w:noProof/>
            <w:sz w:val="22"/>
            <w:szCs w:val="22"/>
          </w:rPr>
          <w:tab/>
        </w:r>
        <w:r w:rsidR="000C1D12" w:rsidRPr="000C1D12">
          <w:rPr>
            <w:rStyle w:val="Hyperlink"/>
            <w:b/>
            <w:noProof/>
          </w:rPr>
          <w:t>COLLECTIONS OF INFORMATION EMPLOYING STATISTICAL METHODS</w:t>
        </w:r>
        <w:r w:rsidR="000C1D12" w:rsidRPr="000C1D12">
          <w:rPr>
            <w:noProof/>
            <w:webHidden/>
          </w:rPr>
          <w:tab/>
        </w:r>
        <w:r w:rsidRPr="000C1D12">
          <w:rPr>
            <w:noProof/>
            <w:webHidden/>
          </w:rPr>
          <w:fldChar w:fldCharType="begin"/>
        </w:r>
        <w:r w:rsidR="000C1D12" w:rsidRPr="000C1D12">
          <w:rPr>
            <w:noProof/>
            <w:webHidden/>
          </w:rPr>
          <w:instrText xml:space="preserve"> PAGEREF _Toc301448742 \h </w:instrText>
        </w:r>
        <w:r w:rsidRPr="000C1D12">
          <w:rPr>
            <w:noProof/>
            <w:webHidden/>
          </w:rPr>
        </w:r>
        <w:r w:rsidRPr="000C1D12">
          <w:rPr>
            <w:noProof/>
            <w:webHidden/>
          </w:rPr>
          <w:fldChar w:fldCharType="separate"/>
        </w:r>
        <w:r w:rsidR="003C6934">
          <w:rPr>
            <w:noProof/>
            <w:webHidden/>
          </w:rPr>
          <w:t>1</w:t>
        </w:r>
        <w:r w:rsidRPr="000C1D12">
          <w:rPr>
            <w:noProof/>
            <w:webHidden/>
          </w:rPr>
          <w:fldChar w:fldCharType="end"/>
        </w:r>
      </w:hyperlink>
    </w:p>
    <w:p w:rsidR="000C1D12" w:rsidRDefault="0074608C" w:rsidP="000C1D12">
      <w:pPr>
        <w:pStyle w:val="TOC2"/>
        <w:rPr>
          <w:rFonts w:asciiTheme="minorHAnsi" w:eastAsiaTheme="minorEastAsia" w:hAnsiTheme="minorHAnsi" w:cstheme="minorBidi"/>
          <w:noProof/>
          <w:sz w:val="22"/>
          <w:szCs w:val="22"/>
        </w:rPr>
      </w:pPr>
      <w:hyperlink w:anchor="_Toc301448743" w:history="1">
        <w:r w:rsidR="000C1D12" w:rsidRPr="001C3EC4">
          <w:rPr>
            <w:rStyle w:val="Hyperlink"/>
            <w:noProof/>
          </w:rPr>
          <w:t>B.1</w:t>
        </w:r>
        <w:r w:rsidR="000C1D12">
          <w:rPr>
            <w:rFonts w:asciiTheme="minorHAnsi" w:eastAsiaTheme="minorEastAsia" w:hAnsiTheme="minorHAnsi" w:cstheme="minorBidi"/>
            <w:noProof/>
            <w:sz w:val="22"/>
            <w:szCs w:val="22"/>
          </w:rPr>
          <w:tab/>
        </w:r>
        <w:r w:rsidR="000C1D12" w:rsidRPr="001C3EC4">
          <w:rPr>
            <w:rStyle w:val="Hyperlink"/>
            <w:noProof/>
          </w:rPr>
          <w:t>Respondent Universe and Sampling Methods</w:t>
        </w:r>
        <w:r w:rsidR="000C1D12">
          <w:rPr>
            <w:noProof/>
            <w:webHidden/>
          </w:rPr>
          <w:tab/>
        </w:r>
        <w:r>
          <w:rPr>
            <w:noProof/>
            <w:webHidden/>
          </w:rPr>
          <w:fldChar w:fldCharType="begin"/>
        </w:r>
        <w:r w:rsidR="000C1D12">
          <w:rPr>
            <w:noProof/>
            <w:webHidden/>
          </w:rPr>
          <w:instrText xml:space="preserve"> PAGEREF _Toc301448743 \h </w:instrText>
        </w:r>
        <w:r>
          <w:rPr>
            <w:noProof/>
            <w:webHidden/>
          </w:rPr>
        </w:r>
        <w:r>
          <w:rPr>
            <w:noProof/>
            <w:webHidden/>
          </w:rPr>
          <w:fldChar w:fldCharType="separate"/>
        </w:r>
        <w:r w:rsidR="003C6934">
          <w:rPr>
            <w:noProof/>
            <w:webHidden/>
          </w:rPr>
          <w:t>1</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744" w:history="1">
        <w:r w:rsidR="000C1D12" w:rsidRPr="001C3EC4">
          <w:rPr>
            <w:rStyle w:val="Hyperlink"/>
            <w:noProof/>
          </w:rPr>
          <w:t>B.1.a</w:t>
        </w:r>
        <w:r w:rsidR="000C1D12">
          <w:rPr>
            <w:rFonts w:asciiTheme="minorHAnsi" w:eastAsiaTheme="minorEastAsia" w:hAnsiTheme="minorHAnsi" w:cstheme="minorBidi"/>
            <w:noProof/>
            <w:sz w:val="22"/>
            <w:szCs w:val="22"/>
          </w:rPr>
          <w:t xml:space="preserve">  </w:t>
        </w:r>
        <w:r w:rsidR="000C1D12" w:rsidRPr="001C3EC4">
          <w:rPr>
            <w:rStyle w:val="Hyperlink"/>
            <w:noProof/>
          </w:rPr>
          <w:t>Design Summary</w:t>
        </w:r>
        <w:r w:rsidR="000C1D12">
          <w:rPr>
            <w:noProof/>
            <w:webHidden/>
          </w:rPr>
          <w:tab/>
        </w:r>
        <w:r>
          <w:rPr>
            <w:noProof/>
            <w:webHidden/>
          </w:rPr>
          <w:fldChar w:fldCharType="begin"/>
        </w:r>
        <w:r w:rsidR="000C1D12">
          <w:rPr>
            <w:noProof/>
            <w:webHidden/>
          </w:rPr>
          <w:instrText xml:space="preserve"> PAGEREF _Toc301448744 \h </w:instrText>
        </w:r>
        <w:r>
          <w:rPr>
            <w:noProof/>
            <w:webHidden/>
          </w:rPr>
        </w:r>
        <w:r>
          <w:rPr>
            <w:noProof/>
            <w:webHidden/>
          </w:rPr>
          <w:fldChar w:fldCharType="separate"/>
        </w:r>
        <w:r w:rsidR="003C6934">
          <w:rPr>
            <w:noProof/>
            <w:webHidden/>
          </w:rPr>
          <w:t>1</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745" w:history="1">
        <w:r w:rsidR="000C1D12" w:rsidRPr="001C3EC4">
          <w:rPr>
            <w:rStyle w:val="Hyperlink"/>
            <w:noProof/>
          </w:rPr>
          <w:t>B.1.b</w:t>
        </w:r>
        <w:r w:rsidR="000C1D12">
          <w:rPr>
            <w:rFonts w:asciiTheme="minorHAnsi" w:eastAsiaTheme="minorEastAsia" w:hAnsiTheme="minorHAnsi" w:cstheme="minorBidi"/>
            <w:noProof/>
            <w:sz w:val="22"/>
            <w:szCs w:val="22"/>
          </w:rPr>
          <w:t xml:space="preserve">  </w:t>
        </w:r>
        <w:r w:rsidR="000C1D12" w:rsidRPr="001C3EC4">
          <w:rPr>
            <w:rStyle w:val="Hyperlink"/>
            <w:noProof/>
          </w:rPr>
          <w:t>Respondent Universe – Communities</w:t>
        </w:r>
        <w:r w:rsidR="000C1D12">
          <w:rPr>
            <w:noProof/>
            <w:webHidden/>
          </w:rPr>
          <w:tab/>
        </w:r>
        <w:r>
          <w:rPr>
            <w:noProof/>
            <w:webHidden/>
          </w:rPr>
          <w:fldChar w:fldCharType="begin"/>
        </w:r>
        <w:r w:rsidR="000C1D12">
          <w:rPr>
            <w:noProof/>
            <w:webHidden/>
          </w:rPr>
          <w:instrText xml:space="preserve"> PAGEREF _Toc301448745 \h </w:instrText>
        </w:r>
        <w:r>
          <w:rPr>
            <w:noProof/>
            <w:webHidden/>
          </w:rPr>
        </w:r>
        <w:r>
          <w:rPr>
            <w:noProof/>
            <w:webHidden/>
          </w:rPr>
          <w:fldChar w:fldCharType="separate"/>
        </w:r>
        <w:r w:rsidR="003C6934">
          <w:rPr>
            <w:noProof/>
            <w:webHidden/>
          </w:rPr>
          <w:t>1</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748" w:history="1">
        <w:r w:rsidR="000C1D12" w:rsidRPr="001C3EC4">
          <w:rPr>
            <w:rStyle w:val="Hyperlink"/>
            <w:noProof/>
          </w:rPr>
          <w:t>B.1.c</w:t>
        </w:r>
        <w:r w:rsidR="000C1D12">
          <w:rPr>
            <w:rFonts w:asciiTheme="minorHAnsi" w:eastAsiaTheme="minorEastAsia" w:hAnsiTheme="minorHAnsi" w:cstheme="minorBidi"/>
            <w:noProof/>
            <w:sz w:val="22"/>
            <w:szCs w:val="22"/>
          </w:rPr>
          <w:t xml:space="preserve">  </w:t>
        </w:r>
        <w:r w:rsidR="000C1D12" w:rsidRPr="001C3EC4">
          <w:rPr>
            <w:rStyle w:val="Hyperlink"/>
            <w:noProof/>
          </w:rPr>
          <w:t>Respondent Universe – Child/Parent Participants</w:t>
        </w:r>
        <w:r w:rsidR="000C1D12">
          <w:rPr>
            <w:noProof/>
            <w:webHidden/>
          </w:rPr>
          <w:tab/>
        </w:r>
        <w:r>
          <w:rPr>
            <w:noProof/>
            <w:webHidden/>
          </w:rPr>
          <w:fldChar w:fldCharType="begin"/>
        </w:r>
        <w:r w:rsidR="000C1D12">
          <w:rPr>
            <w:noProof/>
            <w:webHidden/>
          </w:rPr>
          <w:instrText xml:space="preserve"> PAGEREF _Toc301448748 \h </w:instrText>
        </w:r>
        <w:r>
          <w:rPr>
            <w:noProof/>
            <w:webHidden/>
          </w:rPr>
        </w:r>
        <w:r>
          <w:rPr>
            <w:noProof/>
            <w:webHidden/>
          </w:rPr>
          <w:fldChar w:fldCharType="separate"/>
        </w:r>
        <w:r w:rsidR="003C6934">
          <w:rPr>
            <w:noProof/>
            <w:webHidden/>
          </w:rPr>
          <w:t>9</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751" w:history="1">
        <w:r w:rsidR="000C1D12" w:rsidRPr="001C3EC4">
          <w:rPr>
            <w:rStyle w:val="Hyperlink"/>
            <w:noProof/>
          </w:rPr>
          <w:t>B.1.d</w:t>
        </w:r>
        <w:r w:rsidR="000C1D12">
          <w:rPr>
            <w:rFonts w:asciiTheme="minorHAnsi" w:eastAsiaTheme="minorEastAsia" w:hAnsiTheme="minorHAnsi" w:cstheme="minorBidi"/>
            <w:noProof/>
            <w:sz w:val="22"/>
            <w:szCs w:val="22"/>
          </w:rPr>
          <w:t xml:space="preserve">  </w:t>
        </w:r>
        <w:r w:rsidR="000C1D12" w:rsidRPr="001C3EC4">
          <w:rPr>
            <w:rStyle w:val="Hyperlink"/>
            <w:noProof/>
          </w:rPr>
          <w:t>Respondent Universe – Key Informants</w:t>
        </w:r>
        <w:r w:rsidR="000C1D12">
          <w:rPr>
            <w:noProof/>
            <w:webHidden/>
          </w:rPr>
          <w:tab/>
        </w:r>
        <w:r>
          <w:rPr>
            <w:noProof/>
            <w:webHidden/>
          </w:rPr>
          <w:fldChar w:fldCharType="begin"/>
        </w:r>
        <w:r w:rsidR="000C1D12">
          <w:rPr>
            <w:noProof/>
            <w:webHidden/>
          </w:rPr>
          <w:instrText xml:space="preserve"> PAGEREF _Toc301448751 \h </w:instrText>
        </w:r>
        <w:r>
          <w:rPr>
            <w:noProof/>
            <w:webHidden/>
          </w:rPr>
        </w:r>
        <w:r>
          <w:rPr>
            <w:noProof/>
            <w:webHidden/>
          </w:rPr>
          <w:fldChar w:fldCharType="separate"/>
        </w:r>
        <w:r w:rsidR="003C6934">
          <w:rPr>
            <w:noProof/>
            <w:webHidden/>
          </w:rPr>
          <w:t>12</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753" w:history="1">
        <w:r w:rsidR="000C1D12" w:rsidRPr="001C3EC4">
          <w:rPr>
            <w:rStyle w:val="Hyperlink"/>
            <w:noProof/>
          </w:rPr>
          <w:t>B.1.e</w:t>
        </w:r>
        <w:r w:rsidR="000C1D12">
          <w:rPr>
            <w:rFonts w:asciiTheme="minorHAnsi" w:eastAsiaTheme="minorEastAsia" w:hAnsiTheme="minorHAnsi" w:cstheme="minorBidi"/>
            <w:noProof/>
            <w:sz w:val="22"/>
            <w:szCs w:val="22"/>
          </w:rPr>
          <w:t xml:space="preserve">  </w:t>
        </w:r>
        <w:r w:rsidR="000C1D12" w:rsidRPr="001C3EC4">
          <w:rPr>
            <w:rStyle w:val="Hyperlink"/>
            <w:noProof/>
          </w:rPr>
          <w:t>Power Calculations</w:t>
        </w:r>
        <w:r w:rsidR="000C1D12">
          <w:rPr>
            <w:noProof/>
            <w:webHidden/>
          </w:rPr>
          <w:tab/>
        </w:r>
        <w:r>
          <w:rPr>
            <w:noProof/>
            <w:webHidden/>
          </w:rPr>
          <w:fldChar w:fldCharType="begin"/>
        </w:r>
        <w:r w:rsidR="000C1D12">
          <w:rPr>
            <w:noProof/>
            <w:webHidden/>
          </w:rPr>
          <w:instrText xml:space="preserve"> PAGEREF _Toc301448753 \h </w:instrText>
        </w:r>
        <w:r>
          <w:rPr>
            <w:noProof/>
            <w:webHidden/>
          </w:rPr>
        </w:r>
        <w:r>
          <w:rPr>
            <w:noProof/>
            <w:webHidden/>
          </w:rPr>
          <w:fldChar w:fldCharType="separate"/>
        </w:r>
        <w:r w:rsidR="003C6934">
          <w:rPr>
            <w:noProof/>
            <w:webHidden/>
          </w:rPr>
          <w:t>13</w:t>
        </w:r>
        <w:r>
          <w:rPr>
            <w:noProof/>
            <w:webHidden/>
          </w:rPr>
          <w:fldChar w:fldCharType="end"/>
        </w:r>
      </w:hyperlink>
    </w:p>
    <w:p w:rsidR="000C1D12" w:rsidRDefault="0074608C" w:rsidP="000C1D12">
      <w:pPr>
        <w:pStyle w:val="TOC2"/>
        <w:rPr>
          <w:rFonts w:asciiTheme="minorHAnsi" w:eastAsiaTheme="minorEastAsia" w:hAnsiTheme="minorHAnsi" w:cstheme="minorBidi"/>
          <w:noProof/>
          <w:sz w:val="22"/>
          <w:szCs w:val="22"/>
        </w:rPr>
      </w:pPr>
      <w:hyperlink w:anchor="_Toc301448758" w:history="1">
        <w:r w:rsidR="000C1D12" w:rsidRPr="001C3EC4">
          <w:rPr>
            <w:rStyle w:val="Hyperlink"/>
            <w:noProof/>
          </w:rPr>
          <w:t>B.2</w:t>
        </w:r>
        <w:r w:rsidR="000C1D12">
          <w:rPr>
            <w:rFonts w:asciiTheme="minorHAnsi" w:eastAsiaTheme="minorEastAsia" w:hAnsiTheme="minorHAnsi" w:cstheme="minorBidi"/>
            <w:noProof/>
            <w:sz w:val="22"/>
            <w:szCs w:val="22"/>
          </w:rPr>
          <w:tab/>
        </w:r>
        <w:r w:rsidR="000C1D12" w:rsidRPr="001C3EC4">
          <w:rPr>
            <w:rStyle w:val="Hyperlink"/>
            <w:noProof/>
          </w:rPr>
          <w:t>Procedures for the Collection of Information</w:t>
        </w:r>
        <w:r w:rsidR="000C1D12">
          <w:rPr>
            <w:noProof/>
            <w:webHidden/>
          </w:rPr>
          <w:tab/>
        </w:r>
        <w:r>
          <w:rPr>
            <w:noProof/>
            <w:webHidden/>
          </w:rPr>
          <w:fldChar w:fldCharType="begin"/>
        </w:r>
        <w:r w:rsidR="000C1D12">
          <w:rPr>
            <w:noProof/>
            <w:webHidden/>
          </w:rPr>
          <w:instrText xml:space="preserve"> PAGEREF _Toc301448758 \h </w:instrText>
        </w:r>
        <w:r>
          <w:rPr>
            <w:noProof/>
            <w:webHidden/>
          </w:rPr>
        </w:r>
        <w:r>
          <w:rPr>
            <w:noProof/>
            <w:webHidden/>
          </w:rPr>
          <w:fldChar w:fldCharType="separate"/>
        </w:r>
        <w:r w:rsidR="003C6934">
          <w:rPr>
            <w:noProof/>
            <w:webHidden/>
          </w:rPr>
          <w:t>19</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760" w:history="1">
        <w:r w:rsidR="000C1D12" w:rsidRPr="001C3EC4">
          <w:rPr>
            <w:rStyle w:val="Hyperlink"/>
            <w:noProof/>
          </w:rPr>
          <w:t>B.2.a</w:t>
        </w:r>
        <w:r w:rsidR="000C1D12">
          <w:rPr>
            <w:rFonts w:asciiTheme="minorHAnsi" w:eastAsiaTheme="minorEastAsia" w:hAnsiTheme="minorHAnsi" w:cstheme="minorBidi"/>
            <w:noProof/>
            <w:sz w:val="22"/>
            <w:szCs w:val="22"/>
          </w:rPr>
          <w:t xml:space="preserve">  </w:t>
        </w:r>
        <w:r w:rsidR="000C1D12" w:rsidRPr="001C3EC4">
          <w:rPr>
            <w:rStyle w:val="Hyperlink"/>
            <w:noProof/>
          </w:rPr>
          <w:t>Community-Level Data Collection</w:t>
        </w:r>
        <w:r w:rsidR="000C1D12">
          <w:rPr>
            <w:noProof/>
            <w:webHidden/>
          </w:rPr>
          <w:tab/>
        </w:r>
        <w:r>
          <w:rPr>
            <w:noProof/>
            <w:webHidden/>
          </w:rPr>
          <w:fldChar w:fldCharType="begin"/>
        </w:r>
        <w:r w:rsidR="000C1D12">
          <w:rPr>
            <w:noProof/>
            <w:webHidden/>
          </w:rPr>
          <w:instrText xml:space="preserve"> PAGEREF _Toc301448760 \h </w:instrText>
        </w:r>
        <w:r>
          <w:rPr>
            <w:noProof/>
            <w:webHidden/>
          </w:rPr>
        </w:r>
        <w:r>
          <w:rPr>
            <w:noProof/>
            <w:webHidden/>
          </w:rPr>
          <w:fldChar w:fldCharType="separate"/>
        </w:r>
        <w:r w:rsidR="003C6934">
          <w:rPr>
            <w:noProof/>
            <w:webHidden/>
          </w:rPr>
          <w:t>20</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761" w:history="1">
        <w:r w:rsidR="000C1D12" w:rsidRPr="001C3EC4">
          <w:rPr>
            <w:rStyle w:val="Hyperlink"/>
            <w:noProof/>
          </w:rPr>
          <w:t>B.2.b</w:t>
        </w:r>
        <w:r w:rsidR="000C1D12">
          <w:rPr>
            <w:rStyle w:val="Hyperlink"/>
            <w:noProof/>
          </w:rPr>
          <w:t xml:space="preserve">  </w:t>
        </w:r>
        <w:r w:rsidR="000C1D12" w:rsidRPr="001C3EC4">
          <w:rPr>
            <w:rStyle w:val="Hyperlink"/>
            <w:noProof/>
          </w:rPr>
          <w:t>Data Collected at the Child/Parent Participant Level</w:t>
        </w:r>
        <w:r w:rsidR="000C1D12">
          <w:rPr>
            <w:noProof/>
            <w:webHidden/>
          </w:rPr>
          <w:tab/>
        </w:r>
        <w:r>
          <w:rPr>
            <w:noProof/>
            <w:webHidden/>
          </w:rPr>
          <w:fldChar w:fldCharType="begin"/>
        </w:r>
        <w:r w:rsidR="000C1D12">
          <w:rPr>
            <w:noProof/>
            <w:webHidden/>
          </w:rPr>
          <w:instrText xml:space="preserve"> PAGEREF _Toc301448761 \h </w:instrText>
        </w:r>
        <w:r>
          <w:rPr>
            <w:noProof/>
            <w:webHidden/>
          </w:rPr>
        </w:r>
        <w:r>
          <w:rPr>
            <w:noProof/>
            <w:webHidden/>
          </w:rPr>
          <w:fldChar w:fldCharType="separate"/>
        </w:r>
        <w:r w:rsidR="003C6934">
          <w:rPr>
            <w:noProof/>
            <w:webHidden/>
          </w:rPr>
          <w:t>24</w:t>
        </w:r>
        <w:r>
          <w:rPr>
            <w:noProof/>
            <w:webHidden/>
          </w:rPr>
          <w:fldChar w:fldCharType="end"/>
        </w:r>
      </w:hyperlink>
    </w:p>
    <w:p w:rsidR="000C1D12" w:rsidRDefault="0074608C" w:rsidP="000C1D12">
      <w:pPr>
        <w:pStyle w:val="TOC2"/>
        <w:rPr>
          <w:rFonts w:asciiTheme="minorHAnsi" w:eastAsiaTheme="minorEastAsia" w:hAnsiTheme="minorHAnsi" w:cstheme="minorBidi"/>
          <w:noProof/>
          <w:sz w:val="22"/>
          <w:szCs w:val="22"/>
        </w:rPr>
      </w:pPr>
      <w:hyperlink w:anchor="_Toc301448762" w:history="1">
        <w:r w:rsidR="000C1D12" w:rsidRPr="001C3EC4">
          <w:rPr>
            <w:rStyle w:val="Hyperlink"/>
            <w:noProof/>
          </w:rPr>
          <w:t>B.3</w:t>
        </w:r>
        <w:r w:rsidR="000C1D12">
          <w:rPr>
            <w:rFonts w:asciiTheme="minorHAnsi" w:eastAsiaTheme="minorEastAsia" w:hAnsiTheme="minorHAnsi" w:cstheme="minorBidi"/>
            <w:noProof/>
            <w:sz w:val="22"/>
            <w:szCs w:val="22"/>
          </w:rPr>
          <w:tab/>
        </w:r>
        <w:r w:rsidR="000C1D12" w:rsidRPr="001C3EC4">
          <w:rPr>
            <w:rStyle w:val="Hyperlink"/>
            <w:noProof/>
          </w:rPr>
          <w:t>Methods for Maximizing Response Rates</w:t>
        </w:r>
        <w:r w:rsidR="000C1D12">
          <w:rPr>
            <w:noProof/>
            <w:webHidden/>
          </w:rPr>
          <w:tab/>
        </w:r>
        <w:r>
          <w:rPr>
            <w:noProof/>
            <w:webHidden/>
          </w:rPr>
          <w:fldChar w:fldCharType="begin"/>
        </w:r>
        <w:r w:rsidR="000C1D12">
          <w:rPr>
            <w:noProof/>
            <w:webHidden/>
          </w:rPr>
          <w:instrText xml:space="preserve"> PAGEREF _Toc301448762 \h </w:instrText>
        </w:r>
        <w:r>
          <w:rPr>
            <w:noProof/>
            <w:webHidden/>
          </w:rPr>
        </w:r>
        <w:r>
          <w:rPr>
            <w:noProof/>
            <w:webHidden/>
          </w:rPr>
          <w:fldChar w:fldCharType="separate"/>
        </w:r>
        <w:r w:rsidR="003C6934">
          <w:rPr>
            <w:noProof/>
            <w:webHidden/>
          </w:rPr>
          <w:t>26</w:t>
        </w:r>
        <w:r>
          <w:rPr>
            <w:noProof/>
            <w:webHidden/>
          </w:rPr>
          <w:fldChar w:fldCharType="end"/>
        </w:r>
      </w:hyperlink>
    </w:p>
    <w:p w:rsidR="000C1D12" w:rsidRDefault="0074608C" w:rsidP="000C1D12">
      <w:pPr>
        <w:pStyle w:val="TOC2"/>
        <w:rPr>
          <w:rFonts w:asciiTheme="minorHAnsi" w:eastAsiaTheme="minorEastAsia" w:hAnsiTheme="minorHAnsi" w:cstheme="minorBidi"/>
          <w:noProof/>
          <w:sz w:val="22"/>
          <w:szCs w:val="22"/>
        </w:rPr>
      </w:pPr>
      <w:hyperlink w:anchor="_Toc301448763" w:history="1">
        <w:r w:rsidR="000C1D12" w:rsidRPr="001C3EC4">
          <w:rPr>
            <w:rStyle w:val="Hyperlink"/>
            <w:noProof/>
          </w:rPr>
          <w:t>B.4</w:t>
        </w:r>
        <w:r w:rsidR="000C1D12">
          <w:rPr>
            <w:rFonts w:asciiTheme="minorHAnsi" w:eastAsiaTheme="minorEastAsia" w:hAnsiTheme="minorHAnsi" w:cstheme="minorBidi"/>
            <w:noProof/>
            <w:sz w:val="22"/>
            <w:szCs w:val="22"/>
          </w:rPr>
          <w:tab/>
        </w:r>
        <w:r w:rsidR="000C1D12" w:rsidRPr="001C3EC4">
          <w:rPr>
            <w:rStyle w:val="Hyperlink"/>
            <w:noProof/>
          </w:rPr>
          <w:t>Tests of Procedures or Methods to be Undertaken</w:t>
        </w:r>
        <w:r w:rsidR="000C1D12">
          <w:rPr>
            <w:noProof/>
            <w:webHidden/>
          </w:rPr>
          <w:tab/>
        </w:r>
        <w:r>
          <w:rPr>
            <w:noProof/>
            <w:webHidden/>
          </w:rPr>
          <w:fldChar w:fldCharType="begin"/>
        </w:r>
        <w:r w:rsidR="000C1D12">
          <w:rPr>
            <w:noProof/>
            <w:webHidden/>
          </w:rPr>
          <w:instrText xml:space="preserve"> PAGEREF _Toc301448763 \h </w:instrText>
        </w:r>
        <w:r>
          <w:rPr>
            <w:noProof/>
            <w:webHidden/>
          </w:rPr>
        </w:r>
        <w:r>
          <w:rPr>
            <w:noProof/>
            <w:webHidden/>
          </w:rPr>
          <w:fldChar w:fldCharType="separate"/>
        </w:r>
        <w:r w:rsidR="003C6934">
          <w:rPr>
            <w:noProof/>
            <w:webHidden/>
          </w:rPr>
          <w:t>28</w:t>
        </w:r>
        <w:r>
          <w:rPr>
            <w:noProof/>
            <w:webHidden/>
          </w:rPr>
          <w:fldChar w:fldCharType="end"/>
        </w:r>
      </w:hyperlink>
    </w:p>
    <w:p w:rsidR="000C1D12" w:rsidRDefault="0074608C" w:rsidP="000C1D12">
      <w:pPr>
        <w:pStyle w:val="TOC2"/>
        <w:rPr>
          <w:rFonts w:asciiTheme="minorHAnsi" w:eastAsiaTheme="minorEastAsia" w:hAnsiTheme="minorHAnsi" w:cstheme="minorBidi"/>
          <w:noProof/>
          <w:sz w:val="22"/>
          <w:szCs w:val="22"/>
        </w:rPr>
      </w:pPr>
      <w:hyperlink w:anchor="_Toc301448764" w:history="1">
        <w:r w:rsidR="000C1D12" w:rsidRPr="001C3EC4">
          <w:rPr>
            <w:rStyle w:val="Hyperlink"/>
            <w:noProof/>
          </w:rPr>
          <w:t>B.5</w:t>
        </w:r>
        <w:r w:rsidR="000C1D12">
          <w:rPr>
            <w:rFonts w:asciiTheme="minorHAnsi" w:eastAsiaTheme="minorEastAsia" w:hAnsiTheme="minorHAnsi" w:cstheme="minorBidi"/>
            <w:noProof/>
            <w:sz w:val="22"/>
            <w:szCs w:val="22"/>
          </w:rPr>
          <w:tab/>
        </w:r>
        <w:r w:rsidR="000C1D12" w:rsidRPr="001C3EC4">
          <w:rPr>
            <w:rStyle w:val="Hyperlink"/>
            <w:noProof/>
          </w:rPr>
          <w:t>Training and QA/QC Methods</w:t>
        </w:r>
        <w:r w:rsidR="000C1D12">
          <w:rPr>
            <w:noProof/>
            <w:webHidden/>
          </w:rPr>
          <w:tab/>
        </w:r>
        <w:r>
          <w:rPr>
            <w:noProof/>
            <w:webHidden/>
          </w:rPr>
          <w:fldChar w:fldCharType="begin"/>
        </w:r>
        <w:r w:rsidR="000C1D12">
          <w:rPr>
            <w:noProof/>
            <w:webHidden/>
          </w:rPr>
          <w:instrText xml:space="preserve"> PAGEREF _Toc301448764 \h </w:instrText>
        </w:r>
        <w:r>
          <w:rPr>
            <w:noProof/>
            <w:webHidden/>
          </w:rPr>
        </w:r>
        <w:r>
          <w:rPr>
            <w:noProof/>
            <w:webHidden/>
          </w:rPr>
          <w:fldChar w:fldCharType="separate"/>
        </w:r>
        <w:r w:rsidR="003C6934">
          <w:rPr>
            <w:noProof/>
            <w:webHidden/>
          </w:rPr>
          <w:t>29</w:t>
        </w:r>
        <w:r>
          <w:rPr>
            <w:noProof/>
            <w:webHidden/>
          </w:rPr>
          <w:fldChar w:fldCharType="end"/>
        </w:r>
      </w:hyperlink>
    </w:p>
    <w:p w:rsidR="000C1D12" w:rsidRDefault="0074608C" w:rsidP="000C1D12">
      <w:pPr>
        <w:pStyle w:val="TOC2"/>
        <w:rPr>
          <w:rFonts w:asciiTheme="minorHAnsi" w:eastAsiaTheme="minorEastAsia" w:hAnsiTheme="minorHAnsi" w:cstheme="minorBidi"/>
          <w:noProof/>
          <w:sz w:val="22"/>
          <w:szCs w:val="22"/>
        </w:rPr>
      </w:pPr>
      <w:hyperlink w:anchor="_Toc301448765" w:history="1">
        <w:r w:rsidR="000C1D12" w:rsidRPr="001C3EC4">
          <w:rPr>
            <w:rStyle w:val="Hyperlink"/>
            <w:noProof/>
          </w:rPr>
          <w:t>B.6</w:t>
        </w:r>
        <w:r w:rsidR="000C1D12">
          <w:rPr>
            <w:rFonts w:asciiTheme="minorHAnsi" w:eastAsiaTheme="minorEastAsia" w:hAnsiTheme="minorHAnsi" w:cstheme="minorBidi"/>
            <w:noProof/>
            <w:sz w:val="22"/>
            <w:szCs w:val="22"/>
          </w:rPr>
          <w:tab/>
        </w:r>
        <w:r w:rsidR="000C1D12" w:rsidRPr="001C3EC4">
          <w:rPr>
            <w:rStyle w:val="Hyperlink"/>
            <w:noProof/>
          </w:rPr>
          <w:t>Consultations and the Project Team</w:t>
        </w:r>
        <w:r w:rsidR="000C1D12">
          <w:rPr>
            <w:noProof/>
            <w:webHidden/>
          </w:rPr>
          <w:tab/>
        </w:r>
        <w:r>
          <w:rPr>
            <w:noProof/>
            <w:webHidden/>
          </w:rPr>
          <w:fldChar w:fldCharType="begin"/>
        </w:r>
        <w:r w:rsidR="000C1D12">
          <w:rPr>
            <w:noProof/>
            <w:webHidden/>
          </w:rPr>
          <w:instrText xml:space="preserve"> PAGEREF _Toc301448765 \h </w:instrText>
        </w:r>
        <w:r>
          <w:rPr>
            <w:noProof/>
            <w:webHidden/>
          </w:rPr>
        </w:r>
        <w:r>
          <w:rPr>
            <w:noProof/>
            <w:webHidden/>
          </w:rPr>
          <w:fldChar w:fldCharType="separate"/>
        </w:r>
        <w:r w:rsidR="003C6934">
          <w:rPr>
            <w:noProof/>
            <w:webHidden/>
          </w:rPr>
          <w:t>29</w:t>
        </w:r>
        <w:r>
          <w:rPr>
            <w:noProof/>
            <w:webHidden/>
          </w:rPr>
          <w:fldChar w:fldCharType="end"/>
        </w:r>
      </w:hyperlink>
    </w:p>
    <w:p w:rsidR="00944F8E" w:rsidRDefault="0074608C" w:rsidP="00A76A72">
      <w:pPr>
        <w:pStyle w:val="Header"/>
        <w:tabs>
          <w:tab w:val="clear" w:pos="4320"/>
          <w:tab w:val="clear" w:pos="8640"/>
        </w:tabs>
        <w:rPr>
          <w:sz w:val="24"/>
          <w:szCs w:val="24"/>
        </w:rPr>
      </w:pPr>
      <w:r>
        <w:rPr>
          <w:sz w:val="24"/>
          <w:szCs w:val="24"/>
        </w:rPr>
        <w:fldChar w:fldCharType="end"/>
      </w:r>
    </w:p>
    <w:p w:rsidR="00C43FAF" w:rsidRDefault="00E233DC">
      <w:pPr>
        <w:tabs>
          <w:tab w:val="left" w:pos="720"/>
          <w:tab w:val="left" w:pos="1440"/>
          <w:tab w:val="left" w:pos="2160"/>
          <w:tab w:val="left" w:leader="dot" w:pos="9000"/>
        </w:tabs>
        <w:jc w:val="center"/>
        <w:rPr>
          <w:b/>
          <w:bCs/>
          <w:sz w:val="24"/>
        </w:rPr>
      </w:pPr>
      <w:r>
        <w:rPr>
          <w:b/>
          <w:bCs/>
          <w:sz w:val="24"/>
        </w:rPr>
        <w:t>LIST OF TABLES</w:t>
      </w:r>
    </w:p>
    <w:p w:rsidR="00C43FAF" w:rsidRDefault="00C43FAF">
      <w:pPr>
        <w:tabs>
          <w:tab w:val="left" w:pos="720"/>
          <w:tab w:val="left" w:pos="1440"/>
          <w:tab w:val="left" w:pos="2160"/>
          <w:tab w:val="left" w:leader="dot" w:pos="9000"/>
        </w:tabs>
        <w:jc w:val="center"/>
        <w:rPr>
          <w:b/>
          <w:bCs/>
          <w:sz w:val="24"/>
        </w:rPr>
      </w:pPr>
    </w:p>
    <w:p w:rsidR="000C1D12" w:rsidRDefault="003C6934" w:rsidP="00607BE8">
      <w:pPr>
        <w:pStyle w:val="TOC1"/>
        <w:rPr>
          <w:rFonts w:asciiTheme="minorHAnsi" w:eastAsiaTheme="minorEastAsia" w:hAnsiTheme="minorHAnsi" w:cstheme="minorBidi"/>
          <w:noProof/>
          <w:sz w:val="22"/>
          <w:szCs w:val="22"/>
        </w:rPr>
      </w:pPr>
      <w:r>
        <w:tab/>
      </w:r>
      <w:r w:rsidR="0074608C">
        <w:fldChar w:fldCharType="begin"/>
      </w:r>
      <w:r w:rsidR="000C1D12">
        <w:instrText xml:space="preserve"> TOC \o "1-3" \h \z \t "BHLevel3,1" </w:instrText>
      </w:r>
      <w:r w:rsidR="0074608C">
        <w:fldChar w:fldCharType="separate"/>
      </w:r>
      <w:hyperlink w:anchor="_Toc301448814" w:history="1">
        <w:r w:rsidR="000C1D12" w:rsidRPr="00EB1A4A">
          <w:rPr>
            <w:rStyle w:val="Hyperlink"/>
            <w:noProof/>
          </w:rPr>
          <w:t>Table B.1.1   The Largest 15 Counties in the United States (as per 2010 U.S. Census)</w:t>
        </w:r>
        <w:r w:rsidR="000C1D12">
          <w:rPr>
            <w:noProof/>
            <w:webHidden/>
          </w:rPr>
          <w:tab/>
        </w:r>
        <w:r w:rsidR="0074608C">
          <w:rPr>
            <w:noProof/>
            <w:webHidden/>
          </w:rPr>
          <w:fldChar w:fldCharType="begin"/>
        </w:r>
        <w:r w:rsidR="000C1D12">
          <w:rPr>
            <w:noProof/>
            <w:webHidden/>
          </w:rPr>
          <w:instrText xml:space="preserve"> PAGEREF _Toc301448814 \h </w:instrText>
        </w:r>
        <w:r w:rsidR="0074608C">
          <w:rPr>
            <w:noProof/>
            <w:webHidden/>
          </w:rPr>
        </w:r>
        <w:r w:rsidR="0074608C">
          <w:rPr>
            <w:noProof/>
            <w:webHidden/>
          </w:rPr>
          <w:fldChar w:fldCharType="separate"/>
        </w:r>
        <w:r>
          <w:rPr>
            <w:noProof/>
            <w:webHidden/>
          </w:rPr>
          <w:t>5</w:t>
        </w:r>
        <w:r w:rsidR="0074608C">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815" w:history="1">
        <w:r w:rsidR="000C1D12" w:rsidRPr="00EB1A4A">
          <w:rPr>
            <w:rStyle w:val="Hyperlink"/>
            <w:noProof/>
          </w:rPr>
          <w:t>Table B.1.2.   Stratified Sampling Approach by Demographic Group</w:t>
        </w:r>
        <w:r w:rsidR="000C1D12">
          <w:rPr>
            <w:noProof/>
            <w:webHidden/>
          </w:rPr>
          <w:tab/>
        </w:r>
        <w:r>
          <w:rPr>
            <w:noProof/>
            <w:webHidden/>
          </w:rPr>
          <w:fldChar w:fldCharType="begin"/>
        </w:r>
        <w:r w:rsidR="000C1D12">
          <w:rPr>
            <w:noProof/>
            <w:webHidden/>
          </w:rPr>
          <w:instrText xml:space="preserve"> PAGEREF _Toc301448815 \h </w:instrText>
        </w:r>
        <w:r>
          <w:rPr>
            <w:noProof/>
            <w:webHidden/>
          </w:rPr>
        </w:r>
        <w:r>
          <w:rPr>
            <w:noProof/>
            <w:webHidden/>
          </w:rPr>
          <w:fldChar w:fldCharType="separate"/>
        </w:r>
        <w:r w:rsidR="003C6934">
          <w:rPr>
            <w:noProof/>
            <w:webHidden/>
          </w:rPr>
          <w:t>5</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817" w:history="1">
        <w:r w:rsidR="000C1D12" w:rsidRPr="00EB1A4A">
          <w:rPr>
            <w:rStyle w:val="Hyperlink"/>
            <w:noProof/>
          </w:rPr>
          <w:t>Table B.1.3   Number of Planned Child/Parent Assessments by Type of Community</w:t>
        </w:r>
        <w:r w:rsidR="000C1D12">
          <w:rPr>
            <w:noProof/>
            <w:webHidden/>
          </w:rPr>
          <w:tab/>
        </w:r>
        <w:r>
          <w:rPr>
            <w:noProof/>
            <w:webHidden/>
          </w:rPr>
          <w:fldChar w:fldCharType="begin"/>
        </w:r>
        <w:r w:rsidR="000C1D12">
          <w:rPr>
            <w:noProof/>
            <w:webHidden/>
          </w:rPr>
          <w:instrText xml:space="preserve"> PAGEREF _Toc301448817 \h </w:instrText>
        </w:r>
        <w:r>
          <w:rPr>
            <w:noProof/>
            <w:webHidden/>
          </w:rPr>
        </w:r>
        <w:r>
          <w:rPr>
            <w:noProof/>
            <w:webHidden/>
          </w:rPr>
          <w:fldChar w:fldCharType="separate"/>
        </w:r>
        <w:r w:rsidR="003C6934">
          <w:rPr>
            <w:noProof/>
            <w:webHidden/>
          </w:rPr>
          <w:t>11</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818" w:history="1">
        <w:r w:rsidR="000C1D12" w:rsidRPr="00EB1A4A">
          <w:rPr>
            <w:rStyle w:val="Hyperlink"/>
            <w:noProof/>
          </w:rPr>
          <w:t>Table B.1.4   Recruitment Goals for Children by Age, Gender, and Type of Community</w:t>
        </w:r>
        <w:r w:rsidR="000C1D12">
          <w:rPr>
            <w:noProof/>
            <w:webHidden/>
          </w:rPr>
          <w:tab/>
        </w:r>
        <w:r>
          <w:rPr>
            <w:noProof/>
            <w:webHidden/>
          </w:rPr>
          <w:fldChar w:fldCharType="begin"/>
        </w:r>
        <w:r w:rsidR="000C1D12">
          <w:rPr>
            <w:noProof/>
            <w:webHidden/>
          </w:rPr>
          <w:instrText xml:space="preserve"> PAGEREF _Toc301448818 \h </w:instrText>
        </w:r>
        <w:r>
          <w:rPr>
            <w:noProof/>
            <w:webHidden/>
          </w:rPr>
        </w:r>
        <w:r>
          <w:rPr>
            <w:noProof/>
            <w:webHidden/>
          </w:rPr>
          <w:fldChar w:fldCharType="separate"/>
        </w:r>
        <w:r w:rsidR="003C6934">
          <w:rPr>
            <w:noProof/>
            <w:webHidden/>
          </w:rPr>
          <w:t>11</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820" w:history="1">
        <w:r w:rsidR="000C1D12" w:rsidRPr="00EB1A4A">
          <w:rPr>
            <w:rStyle w:val="Hyperlink"/>
            <w:noProof/>
          </w:rPr>
          <w:t>Table B.1.5   Priority/Alternate Community Key Informants Targeted for the HCS</w:t>
        </w:r>
        <w:r w:rsidR="000C1D12">
          <w:rPr>
            <w:noProof/>
            <w:webHidden/>
          </w:rPr>
          <w:tab/>
        </w:r>
        <w:r>
          <w:rPr>
            <w:noProof/>
            <w:webHidden/>
          </w:rPr>
          <w:fldChar w:fldCharType="begin"/>
        </w:r>
        <w:r w:rsidR="000C1D12">
          <w:rPr>
            <w:noProof/>
            <w:webHidden/>
          </w:rPr>
          <w:instrText xml:space="preserve"> PAGEREF _Toc301448820 \h </w:instrText>
        </w:r>
        <w:r>
          <w:rPr>
            <w:noProof/>
            <w:webHidden/>
          </w:rPr>
        </w:r>
        <w:r>
          <w:rPr>
            <w:noProof/>
            <w:webHidden/>
          </w:rPr>
          <w:fldChar w:fldCharType="separate"/>
        </w:r>
        <w:r w:rsidR="003C6934">
          <w:rPr>
            <w:noProof/>
            <w:webHidden/>
          </w:rPr>
          <w:t>12</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822" w:history="1">
        <w:r w:rsidR="000C1D12" w:rsidRPr="00EB1A4A">
          <w:rPr>
            <w:rStyle w:val="Hyperlink"/>
            <w:noProof/>
          </w:rPr>
          <w:t>Table B.1.6   Cross-Sectional Power and Effect Size Results for BMI Response</w:t>
        </w:r>
        <w:r w:rsidR="000C1D12">
          <w:rPr>
            <w:noProof/>
            <w:webHidden/>
          </w:rPr>
          <w:tab/>
        </w:r>
        <w:r>
          <w:rPr>
            <w:noProof/>
            <w:webHidden/>
          </w:rPr>
          <w:fldChar w:fldCharType="begin"/>
        </w:r>
        <w:r w:rsidR="000C1D12">
          <w:rPr>
            <w:noProof/>
            <w:webHidden/>
          </w:rPr>
          <w:instrText xml:space="preserve"> PAGEREF _Toc301448822 \h </w:instrText>
        </w:r>
        <w:r>
          <w:rPr>
            <w:noProof/>
            <w:webHidden/>
          </w:rPr>
        </w:r>
        <w:r>
          <w:rPr>
            <w:noProof/>
            <w:webHidden/>
          </w:rPr>
          <w:fldChar w:fldCharType="separate"/>
        </w:r>
        <w:r w:rsidR="003C6934">
          <w:rPr>
            <w:noProof/>
            <w:webHidden/>
          </w:rPr>
          <w:t>14</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823" w:history="1">
        <w:r w:rsidR="000C1D12" w:rsidRPr="00EB1A4A">
          <w:rPr>
            <w:rStyle w:val="Hyperlink"/>
            <w:noProof/>
          </w:rPr>
          <w:t>Table B.1.7   Longitudinal Power and Effect Size Results for BMI Response</w:t>
        </w:r>
        <w:r w:rsidR="000C1D12">
          <w:rPr>
            <w:noProof/>
            <w:webHidden/>
          </w:rPr>
          <w:tab/>
        </w:r>
        <w:r>
          <w:rPr>
            <w:noProof/>
            <w:webHidden/>
          </w:rPr>
          <w:fldChar w:fldCharType="begin"/>
        </w:r>
        <w:r w:rsidR="000C1D12">
          <w:rPr>
            <w:noProof/>
            <w:webHidden/>
          </w:rPr>
          <w:instrText xml:space="preserve"> PAGEREF _Toc301448823 \h </w:instrText>
        </w:r>
        <w:r>
          <w:rPr>
            <w:noProof/>
            <w:webHidden/>
          </w:rPr>
        </w:r>
        <w:r>
          <w:rPr>
            <w:noProof/>
            <w:webHidden/>
          </w:rPr>
          <w:fldChar w:fldCharType="separate"/>
        </w:r>
        <w:r w:rsidR="003C6934">
          <w:rPr>
            <w:noProof/>
            <w:webHidden/>
          </w:rPr>
          <w:t>15</w:t>
        </w:r>
        <w:r>
          <w:rPr>
            <w:noProof/>
            <w:webHidden/>
          </w:rPr>
          <w:fldChar w:fldCharType="end"/>
        </w:r>
      </w:hyperlink>
    </w:p>
    <w:p w:rsidR="000C1D12" w:rsidRDefault="0074608C" w:rsidP="000C1D12">
      <w:pPr>
        <w:pStyle w:val="TOC3"/>
        <w:rPr>
          <w:rFonts w:asciiTheme="minorHAnsi" w:eastAsiaTheme="minorEastAsia" w:hAnsiTheme="minorHAnsi" w:cstheme="minorBidi"/>
          <w:noProof/>
          <w:sz w:val="22"/>
          <w:szCs w:val="22"/>
        </w:rPr>
      </w:pPr>
      <w:hyperlink w:anchor="_Toc301448824" w:history="1">
        <w:r w:rsidR="000C1D12" w:rsidRPr="00EB1A4A">
          <w:rPr>
            <w:rStyle w:val="Hyperlink"/>
            <w:noProof/>
          </w:rPr>
          <w:t>Table B.1.8   Cross-Sectional Power and Effect Size Results for Binary Response</w:t>
        </w:r>
        <w:r w:rsidR="000C1D12">
          <w:rPr>
            <w:noProof/>
            <w:webHidden/>
          </w:rPr>
          <w:tab/>
        </w:r>
        <w:r>
          <w:rPr>
            <w:noProof/>
            <w:webHidden/>
          </w:rPr>
          <w:fldChar w:fldCharType="begin"/>
        </w:r>
        <w:r w:rsidR="000C1D12">
          <w:rPr>
            <w:noProof/>
            <w:webHidden/>
          </w:rPr>
          <w:instrText xml:space="preserve"> PAGEREF _Toc301448824 \h </w:instrText>
        </w:r>
        <w:r>
          <w:rPr>
            <w:noProof/>
            <w:webHidden/>
          </w:rPr>
        </w:r>
        <w:r>
          <w:rPr>
            <w:noProof/>
            <w:webHidden/>
          </w:rPr>
          <w:fldChar w:fldCharType="separate"/>
        </w:r>
        <w:r w:rsidR="003C6934">
          <w:rPr>
            <w:noProof/>
            <w:webHidden/>
          </w:rPr>
          <w:t>16</w:t>
        </w:r>
        <w:r>
          <w:rPr>
            <w:noProof/>
            <w:webHidden/>
          </w:rPr>
          <w:fldChar w:fldCharType="end"/>
        </w:r>
      </w:hyperlink>
    </w:p>
    <w:p w:rsidR="000C1D12" w:rsidRDefault="0074608C" w:rsidP="000C1D12">
      <w:pPr>
        <w:pStyle w:val="TOC3"/>
        <w:rPr>
          <w:rStyle w:val="Hyperlink"/>
          <w:noProof/>
        </w:rPr>
      </w:pPr>
      <w:hyperlink w:anchor="_Toc301448825" w:history="1">
        <w:r w:rsidR="000C1D12" w:rsidRPr="00EB1A4A">
          <w:rPr>
            <w:rStyle w:val="Hyperlink"/>
            <w:noProof/>
          </w:rPr>
          <w:t>Table B.1.9   Longitudinal Power and Effect Size Results for Binary Response</w:t>
        </w:r>
        <w:r w:rsidR="000C1D12">
          <w:rPr>
            <w:noProof/>
            <w:webHidden/>
          </w:rPr>
          <w:tab/>
        </w:r>
        <w:r>
          <w:rPr>
            <w:noProof/>
            <w:webHidden/>
          </w:rPr>
          <w:fldChar w:fldCharType="begin"/>
        </w:r>
        <w:r w:rsidR="000C1D12">
          <w:rPr>
            <w:noProof/>
            <w:webHidden/>
          </w:rPr>
          <w:instrText xml:space="preserve"> PAGEREF _Toc301448825 \h </w:instrText>
        </w:r>
        <w:r>
          <w:rPr>
            <w:noProof/>
            <w:webHidden/>
          </w:rPr>
        </w:r>
        <w:r>
          <w:rPr>
            <w:noProof/>
            <w:webHidden/>
          </w:rPr>
          <w:fldChar w:fldCharType="separate"/>
        </w:r>
        <w:r w:rsidR="003C6934">
          <w:rPr>
            <w:noProof/>
            <w:webHidden/>
          </w:rPr>
          <w:t>17</w:t>
        </w:r>
        <w:r>
          <w:rPr>
            <w:noProof/>
            <w:webHidden/>
          </w:rPr>
          <w:fldChar w:fldCharType="end"/>
        </w:r>
      </w:hyperlink>
    </w:p>
    <w:p w:rsidR="000C1D12" w:rsidRDefault="000C1D12" w:rsidP="000C1D12">
      <w:pPr>
        <w:rPr>
          <w:rFonts w:eastAsiaTheme="minorEastAsia"/>
          <w:noProof/>
        </w:rPr>
      </w:pPr>
    </w:p>
    <w:p w:rsidR="000C1D12" w:rsidRDefault="000C1D12" w:rsidP="000C1D12">
      <w:pPr>
        <w:autoSpaceDE/>
        <w:autoSpaceDN/>
        <w:jc w:val="center"/>
        <w:rPr>
          <w:b/>
          <w:bCs/>
          <w:noProof/>
          <w:sz w:val="24"/>
          <w:u w:val="single"/>
        </w:rPr>
      </w:pPr>
    </w:p>
    <w:p w:rsidR="000C1D12" w:rsidRPr="00B03154" w:rsidRDefault="000C1D12" w:rsidP="000C1D12">
      <w:pPr>
        <w:tabs>
          <w:tab w:val="left" w:pos="720"/>
          <w:tab w:val="left" w:pos="1440"/>
          <w:tab w:val="left" w:pos="2160"/>
          <w:tab w:val="left" w:leader="dot" w:pos="9000"/>
        </w:tabs>
        <w:jc w:val="center"/>
        <w:rPr>
          <w:b/>
          <w:bCs/>
          <w:noProof/>
          <w:sz w:val="24"/>
        </w:rPr>
      </w:pPr>
      <w:r w:rsidRPr="0017080B">
        <w:rPr>
          <w:b/>
          <w:bCs/>
          <w:noProof/>
          <w:sz w:val="24"/>
        </w:rPr>
        <w:t>LIST OF FIGURES</w:t>
      </w:r>
    </w:p>
    <w:p w:rsidR="000C1D12" w:rsidRPr="000C1D12" w:rsidRDefault="000C1D12" w:rsidP="000C1D12">
      <w:pPr>
        <w:rPr>
          <w:rFonts w:eastAsiaTheme="minorEastAsia"/>
          <w:noProof/>
        </w:rPr>
      </w:pPr>
    </w:p>
    <w:p w:rsidR="000C1D12" w:rsidRDefault="0074608C" w:rsidP="000C1D12">
      <w:pPr>
        <w:pStyle w:val="TOC3"/>
        <w:rPr>
          <w:rFonts w:asciiTheme="minorHAnsi" w:eastAsiaTheme="minorEastAsia" w:hAnsiTheme="minorHAnsi" w:cstheme="minorBidi"/>
          <w:noProof/>
          <w:sz w:val="22"/>
          <w:szCs w:val="22"/>
        </w:rPr>
      </w:pPr>
      <w:hyperlink w:anchor="_Toc301448826" w:history="1">
        <w:r w:rsidR="000C1D12" w:rsidRPr="00EB1A4A">
          <w:rPr>
            <w:rStyle w:val="Hyperlink"/>
            <w:noProof/>
          </w:rPr>
          <w:t>Figure B.2.1   HCS Primary Data Collection Activities in Wave 2, 2011-2015</w:t>
        </w:r>
        <w:r w:rsidR="000C1D12">
          <w:rPr>
            <w:noProof/>
            <w:webHidden/>
          </w:rPr>
          <w:tab/>
        </w:r>
        <w:r>
          <w:rPr>
            <w:noProof/>
            <w:webHidden/>
          </w:rPr>
          <w:fldChar w:fldCharType="begin"/>
        </w:r>
        <w:r w:rsidR="000C1D12">
          <w:rPr>
            <w:noProof/>
            <w:webHidden/>
          </w:rPr>
          <w:instrText xml:space="preserve"> PAGEREF _Toc301448826 \h </w:instrText>
        </w:r>
        <w:r>
          <w:rPr>
            <w:noProof/>
            <w:webHidden/>
          </w:rPr>
        </w:r>
        <w:r>
          <w:rPr>
            <w:noProof/>
            <w:webHidden/>
          </w:rPr>
          <w:fldChar w:fldCharType="separate"/>
        </w:r>
        <w:r w:rsidR="003C6934">
          <w:rPr>
            <w:noProof/>
            <w:webHidden/>
          </w:rPr>
          <w:t>20</w:t>
        </w:r>
        <w:r>
          <w:rPr>
            <w:noProof/>
            <w:webHidden/>
          </w:rPr>
          <w:fldChar w:fldCharType="end"/>
        </w:r>
      </w:hyperlink>
    </w:p>
    <w:p w:rsidR="00800061" w:rsidRPr="00B03154" w:rsidRDefault="0074608C" w:rsidP="000C1D12">
      <w:pPr>
        <w:pStyle w:val="Header"/>
        <w:tabs>
          <w:tab w:val="clear" w:pos="4320"/>
          <w:tab w:val="clear" w:pos="8640"/>
          <w:tab w:val="left" w:pos="720"/>
          <w:tab w:val="left" w:pos="1440"/>
          <w:tab w:val="left" w:pos="2160"/>
          <w:tab w:val="left" w:pos="2880"/>
          <w:tab w:val="left" w:leader="dot" w:pos="9360"/>
        </w:tabs>
        <w:rPr>
          <w:b/>
          <w:bCs/>
          <w:sz w:val="24"/>
        </w:rPr>
      </w:pPr>
      <w:r>
        <w:rPr>
          <w:sz w:val="24"/>
          <w:szCs w:val="24"/>
        </w:rPr>
        <w:fldChar w:fldCharType="end"/>
      </w:r>
      <w:r w:rsidR="00800061" w:rsidRPr="00B03154">
        <w:rPr>
          <w:b/>
          <w:bCs/>
          <w:sz w:val="24"/>
        </w:rPr>
        <w:br w:type="page"/>
      </w:r>
    </w:p>
    <w:p w:rsidR="004116D2" w:rsidRDefault="00CF4495">
      <w:pPr>
        <w:autoSpaceDE/>
        <w:autoSpaceDN/>
        <w:jc w:val="center"/>
        <w:rPr>
          <w:b/>
          <w:bCs/>
          <w:sz w:val="24"/>
        </w:rPr>
      </w:pPr>
      <w:r w:rsidRPr="00B03154">
        <w:rPr>
          <w:b/>
          <w:bCs/>
          <w:sz w:val="24"/>
        </w:rPr>
        <w:lastRenderedPageBreak/>
        <w:t>LIST OF ATTACHMENTS</w:t>
      </w:r>
    </w:p>
    <w:p w:rsidR="00485C82" w:rsidRDefault="00485C82">
      <w:pPr>
        <w:autoSpaceDE/>
        <w:autoSpaceDN/>
        <w:jc w:val="center"/>
        <w:rPr>
          <w:b/>
          <w:bCs/>
          <w:sz w:val="24"/>
        </w:rPr>
      </w:pPr>
    </w:p>
    <w:p w:rsidR="00677137" w:rsidRPr="00B03154" w:rsidRDefault="00677137" w:rsidP="00A76A72">
      <w:pPr>
        <w:tabs>
          <w:tab w:val="left" w:pos="9360"/>
        </w:tabs>
        <w:ind w:left="1620" w:hanging="1620"/>
        <w:rPr>
          <w:b/>
          <w:smallCaps/>
          <w:color w:val="000000" w:themeColor="text1"/>
          <w:sz w:val="24"/>
        </w:rPr>
      </w:pPr>
    </w:p>
    <w:p w:rsidR="00877D12" w:rsidRPr="00485C82" w:rsidRDefault="0017080B" w:rsidP="00A76A72">
      <w:pPr>
        <w:tabs>
          <w:tab w:val="left" w:pos="9360"/>
        </w:tabs>
        <w:ind w:left="2880" w:hanging="2160"/>
        <w:rPr>
          <w:b/>
          <w:sz w:val="24"/>
        </w:rPr>
      </w:pPr>
      <w:proofErr w:type="gramStart"/>
      <w:r w:rsidRPr="00485C82">
        <w:rPr>
          <w:b/>
          <w:color w:val="000000" w:themeColor="text1"/>
          <w:sz w:val="24"/>
        </w:rPr>
        <w:t>Attachment 1.</w:t>
      </w:r>
      <w:proofErr w:type="gramEnd"/>
      <w:r w:rsidRPr="00485C82">
        <w:rPr>
          <w:b/>
          <w:color w:val="000000" w:themeColor="text1"/>
          <w:sz w:val="24"/>
        </w:rPr>
        <w:t xml:space="preserve">  </w:t>
      </w:r>
      <w:r w:rsidRPr="00485C82">
        <w:rPr>
          <w:b/>
          <w:color w:val="000000" w:themeColor="text1"/>
          <w:sz w:val="24"/>
        </w:rPr>
        <w:tab/>
      </w:r>
      <w:r w:rsidRPr="00485C82">
        <w:rPr>
          <w:b/>
          <w:sz w:val="24"/>
        </w:rPr>
        <w:t xml:space="preserve">Nomination Form </w:t>
      </w:r>
      <w:r w:rsidR="00B03154" w:rsidRPr="00485C82">
        <w:rPr>
          <w:b/>
          <w:sz w:val="24"/>
        </w:rPr>
        <w:t>f</w:t>
      </w:r>
      <w:r w:rsidRPr="00485C82">
        <w:rPr>
          <w:b/>
          <w:sz w:val="24"/>
        </w:rPr>
        <w:t>or Community Selection</w:t>
      </w:r>
    </w:p>
    <w:p w:rsidR="00877D12" w:rsidRPr="00485C82" w:rsidRDefault="00877D12" w:rsidP="00A76A72">
      <w:pPr>
        <w:tabs>
          <w:tab w:val="left" w:pos="9360"/>
        </w:tabs>
        <w:ind w:left="2880" w:hanging="2160"/>
        <w:rPr>
          <w:b/>
          <w:sz w:val="24"/>
        </w:rPr>
      </w:pPr>
    </w:p>
    <w:p w:rsidR="00C43FAF" w:rsidRPr="00485C82" w:rsidRDefault="0017080B" w:rsidP="00BF2907">
      <w:pPr>
        <w:tabs>
          <w:tab w:val="left" w:pos="9360"/>
        </w:tabs>
        <w:ind w:left="2880" w:hanging="2160"/>
        <w:rPr>
          <w:b/>
          <w:sz w:val="24"/>
        </w:rPr>
      </w:pPr>
      <w:proofErr w:type="gramStart"/>
      <w:r w:rsidRPr="00485C82">
        <w:rPr>
          <w:b/>
          <w:color w:val="000000" w:themeColor="text1"/>
          <w:sz w:val="24"/>
        </w:rPr>
        <w:t>Attachment 2.</w:t>
      </w:r>
      <w:proofErr w:type="gramEnd"/>
      <w:r w:rsidRPr="00485C82">
        <w:rPr>
          <w:b/>
          <w:color w:val="000000" w:themeColor="text1"/>
          <w:sz w:val="24"/>
        </w:rPr>
        <w:t xml:space="preserve">       </w:t>
      </w:r>
      <w:r w:rsidRPr="00485C82">
        <w:rPr>
          <w:b/>
          <w:color w:val="000000" w:themeColor="text1"/>
          <w:sz w:val="24"/>
        </w:rPr>
        <w:tab/>
      </w:r>
      <w:r w:rsidRPr="00485C82">
        <w:rPr>
          <w:b/>
          <w:sz w:val="24"/>
        </w:rPr>
        <w:t xml:space="preserve">Assessment </w:t>
      </w:r>
      <w:r w:rsidR="00B03154" w:rsidRPr="00485C82">
        <w:rPr>
          <w:b/>
          <w:sz w:val="24"/>
        </w:rPr>
        <w:t>o</w:t>
      </w:r>
      <w:r w:rsidRPr="00485C82">
        <w:rPr>
          <w:b/>
          <w:sz w:val="24"/>
        </w:rPr>
        <w:t xml:space="preserve">f Statistical Power </w:t>
      </w:r>
      <w:r w:rsidR="00B03154" w:rsidRPr="00485C82">
        <w:rPr>
          <w:b/>
          <w:sz w:val="24"/>
        </w:rPr>
        <w:t>f</w:t>
      </w:r>
      <w:r w:rsidRPr="00485C82">
        <w:rPr>
          <w:b/>
          <w:sz w:val="24"/>
        </w:rPr>
        <w:t xml:space="preserve">or </w:t>
      </w:r>
      <w:r w:rsidR="00B03154" w:rsidRPr="00485C82">
        <w:rPr>
          <w:b/>
          <w:sz w:val="24"/>
        </w:rPr>
        <w:t>t</w:t>
      </w:r>
      <w:r w:rsidRPr="00485C82">
        <w:rPr>
          <w:b/>
          <w:sz w:val="24"/>
        </w:rPr>
        <w:t>he HCS</w:t>
      </w:r>
    </w:p>
    <w:p w:rsidR="00C43FAF" w:rsidRDefault="00FF2049">
      <w:pPr>
        <w:rPr>
          <w:b/>
          <w:smallCaps/>
          <w:color w:val="000000" w:themeColor="text1"/>
          <w:sz w:val="24"/>
        </w:rPr>
      </w:pPr>
      <w:r w:rsidRPr="00B03154">
        <w:rPr>
          <w:b/>
          <w:smallCaps/>
          <w:color w:val="000000" w:themeColor="text1"/>
          <w:sz w:val="24"/>
        </w:rPr>
        <w:tab/>
      </w:r>
    </w:p>
    <w:p w:rsidR="00C43FAF" w:rsidRDefault="00C43FAF" w:rsidP="00A76A72">
      <w:pPr>
        <w:autoSpaceDE/>
        <w:autoSpaceDN/>
        <w:rPr>
          <w:sz w:val="24"/>
        </w:rPr>
        <w:sectPr w:rsidR="00C43FAF" w:rsidSect="008F7DBE">
          <w:footerReference w:type="first" r:id="rId14"/>
          <w:pgSz w:w="12240" w:h="15840"/>
          <w:pgMar w:top="1440" w:right="1440" w:bottom="1440" w:left="1440" w:header="720" w:footer="720" w:gutter="0"/>
          <w:pgNumType w:fmt="lowerRoman"/>
          <w:cols w:space="720"/>
          <w:titlePg/>
        </w:sectPr>
      </w:pPr>
    </w:p>
    <w:p w:rsidR="004116D2" w:rsidRPr="00515A58" w:rsidRDefault="00B03154" w:rsidP="00485C82">
      <w:pPr>
        <w:pStyle w:val="BHLevel1"/>
      </w:pPr>
      <w:bookmarkStart w:id="0" w:name="_Toc299107918"/>
      <w:bookmarkStart w:id="1" w:name="_Toc301448742"/>
      <w:r w:rsidRPr="00515A58">
        <w:lastRenderedPageBreak/>
        <w:t>B.</w:t>
      </w:r>
      <w:r w:rsidRPr="00515A58">
        <w:tab/>
      </w:r>
      <w:r w:rsidR="00F4764D" w:rsidRPr="00515A58">
        <w:t>COLLECTIONS OF INFORMATION EMPLOYING STATISTICAL METHODS</w:t>
      </w:r>
      <w:bookmarkEnd w:id="0"/>
      <w:bookmarkEnd w:id="1"/>
    </w:p>
    <w:p w:rsidR="00A0328A" w:rsidRPr="00515A58" w:rsidRDefault="00A0328A" w:rsidP="00A76A72">
      <w:pPr>
        <w:rPr>
          <w:b/>
          <w:bCs/>
          <w:sz w:val="24"/>
        </w:rPr>
      </w:pPr>
    </w:p>
    <w:p w:rsidR="00535447" w:rsidRPr="00515A58" w:rsidRDefault="00535447" w:rsidP="00A76A72">
      <w:pPr>
        <w:rPr>
          <w:b/>
          <w:bCs/>
          <w:sz w:val="24"/>
        </w:rPr>
      </w:pPr>
    </w:p>
    <w:p w:rsidR="004116D2" w:rsidRPr="00515A58" w:rsidRDefault="0017080B" w:rsidP="00756E94">
      <w:pPr>
        <w:pStyle w:val="BHLevel2"/>
        <w:rPr>
          <w:szCs w:val="24"/>
        </w:rPr>
      </w:pPr>
      <w:bookmarkStart w:id="2" w:name="_Toc299107919"/>
      <w:bookmarkStart w:id="3" w:name="_Toc301448743"/>
      <w:r w:rsidRPr="00515A58">
        <w:rPr>
          <w:szCs w:val="24"/>
        </w:rPr>
        <w:t>B.1</w:t>
      </w:r>
      <w:r w:rsidRPr="00515A58">
        <w:rPr>
          <w:szCs w:val="24"/>
        </w:rPr>
        <w:tab/>
        <w:t>Respondent Universe and Sampling Methods</w:t>
      </w:r>
      <w:bookmarkEnd w:id="2"/>
      <w:bookmarkEnd w:id="3"/>
    </w:p>
    <w:p w:rsidR="00C43FAF" w:rsidRPr="00515A58" w:rsidRDefault="00C43FAF">
      <w:pPr>
        <w:rPr>
          <w:sz w:val="24"/>
        </w:rPr>
      </w:pPr>
    </w:p>
    <w:p w:rsidR="004116D2" w:rsidRPr="00515A58" w:rsidRDefault="000D3A44" w:rsidP="00756E94">
      <w:pPr>
        <w:pStyle w:val="BHLevel3"/>
        <w:rPr>
          <w:szCs w:val="24"/>
        </w:rPr>
      </w:pPr>
      <w:bookmarkStart w:id="4" w:name="_Toc299107920"/>
      <w:bookmarkStart w:id="5" w:name="_Toc301448744"/>
      <w:bookmarkStart w:id="6" w:name="_Toc301448812"/>
      <w:r w:rsidRPr="00515A58">
        <w:rPr>
          <w:szCs w:val="24"/>
        </w:rPr>
        <w:t>B.1.a</w:t>
      </w:r>
      <w:r w:rsidR="00E94F72" w:rsidRPr="00515A58">
        <w:rPr>
          <w:szCs w:val="24"/>
        </w:rPr>
        <w:tab/>
      </w:r>
      <w:r w:rsidRPr="00515A58">
        <w:rPr>
          <w:szCs w:val="24"/>
        </w:rPr>
        <w:t>Design Summary</w:t>
      </w:r>
      <w:bookmarkEnd w:id="4"/>
      <w:bookmarkEnd w:id="5"/>
      <w:bookmarkEnd w:id="6"/>
    </w:p>
    <w:p w:rsidR="004116D2" w:rsidRPr="00515A58" w:rsidRDefault="008D2C16">
      <w:pPr>
        <w:pStyle w:val="SqBulletarial10"/>
        <w:numPr>
          <w:ilvl w:val="0"/>
          <w:numId w:val="0"/>
        </w:numPr>
        <w:spacing w:after="0"/>
        <w:rPr>
          <w:rFonts w:ascii="Times New Roman" w:hAnsi="Times New Roman"/>
          <w:sz w:val="24"/>
          <w:szCs w:val="24"/>
        </w:rPr>
      </w:pPr>
      <w:r w:rsidRPr="00515A58">
        <w:rPr>
          <w:rFonts w:ascii="Times New Roman" w:hAnsi="Times New Roman"/>
          <w:noProof/>
          <w:sz w:val="24"/>
          <w:szCs w:val="24"/>
        </w:rPr>
        <w:t>The H</w:t>
      </w:r>
      <w:r w:rsidR="001A5B46" w:rsidRPr="00515A58">
        <w:rPr>
          <w:rFonts w:ascii="Times New Roman" w:hAnsi="Times New Roman"/>
          <w:noProof/>
          <w:sz w:val="24"/>
          <w:szCs w:val="24"/>
        </w:rPr>
        <w:t>ealth</w:t>
      </w:r>
      <w:r w:rsidR="007528E8" w:rsidRPr="00515A58">
        <w:rPr>
          <w:rFonts w:ascii="Times New Roman" w:hAnsi="Times New Roman"/>
          <w:noProof/>
          <w:sz w:val="24"/>
          <w:szCs w:val="24"/>
        </w:rPr>
        <w:t>y</w:t>
      </w:r>
      <w:r w:rsidR="001A5B46" w:rsidRPr="00515A58">
        <w:rPr>
          <w:rFonts w:ascii="Times New Roman" w:hAnsi="Times New Roman"/>
          <w:noProof/>
          <w:sz w:val="24"/>
          <w:szCs w:val="24"/>
        </w:rPr>
        <w:t xml:space="preserve"> </w:t>
      </w:r>
      <w:r w:rsidRPr="00515A58">
        <w:rPr>
          <w:rFonts w:ascii="Times New Roman" w:hAnsi="Times New Roman"/>
          <w:noProof/>
          <w:sz w:val="24"/>
          <w:szCs w:val="24"/>
        </w:rPr>
        <w:t>C</w:t>
      </w:r>
      <w:r w:rsidR="001A5B46" w:rsidRPr="00515A58">
        <w:rPr>
          <w:rFonts w:ascii="Times New Roman" w:hAnsi="Times New Roman"/>
          <w:noProof/>
          <w:sz w:val="24"/>
          <w:szCs w:val="24"/>
        </w:rPr>
        <w:t xml:space="preserve">ommunities </w:t>
      </w:r>
      <w:r w:rsidRPr="00515A58">
        <w:rPr>
          <w:rFonts w:ascii="Times New Roman" w:hAnsi="Times New Roman"/>
          <w:noProof/>
          <w:sz w:val="24"/>
          <w:szCs w:val="24"/>
        </w:rPr>
        <w:t>S</w:t>
      </w:r>
      <w:r w:rsidR="001A5B46" w:rsidRPr="00515A58">
        <w:rPr>
          <w:rFonts w:ascii="Times New Roman" w:hAnsi="Times New Roman"/>
          <w:noProof/>
          <w:sz w:val="24"/>
          <w:szCs w:val="24"/>
        </w:rPr>
        <w:t>tudy (HCS)</w:t>
      </w:r>
      <w:r w:rsidRPr="00515A58">
        <w:rPr>
          <w:rFonts w:ascii="Times New Roman" w:hAnsi="Times New Roman"/>
          <w:sz w:val="24"/>
          <w:szCs w:val="24"/>
        </w:rPr>
        <w:t xml:space="preserve"> </w:t>
      </w:r>
      <w:r w:rsidR="00A47727" w:rsidRPr="00515A58">
        <w:rPr>
          <w:rFonts w:ascii="Times New Roman" w:hAnsi="Times New Roman"/>
          <w:sz w:val="24"/>
          <w:szCs w:val="24"/>
        </w:rPr>
        <w:t xml:space="preserve">will collect </w:t>
      </w:r>
      <w:r w:rsidR="005A537F" w:rsidRPr="00515A58">
        <w:rPr>
          <w:rFonts w:ascii="Times New Roman" w:hAnsi="Times New Roman"/>
          <w:sz w:val="24"/>
          <w:szCs w:val="24"/>
        </w:rPr>
        <w:t xml:space="preserve">both </w:t>
      </w:r>
      <w:r w:rsidR="00A47727" w:rsidRPr="00515A58">
        <w:rPr>
          <w:rFonts w:ascii="Times New Roman" w:hAnsi="Times New Roman"/>
          <w:sz w:val="24"/>
          <w:szCs w:val="24"/>
        </w:rPr>
        <w:t xml:space="preserve">current/prospective and retrospective data on </w:t>
      </w:r>
      <w:r w:rsidR="006D611D" w:rsidRPr="00515A58">
        <w:rPr>
          <w:rFonts w:ascii="Times New Roman" w:hAnsi="Times New Roman"/>
          <w:sz w:val="24"/>
          <w:szCs w:val="24"/>
        </w:rPr>
        <w:t xml:space="preserve">23,322 child participants and their parents </w:t>
      </w:r>
      <w:r w:rsidR="00A15DAF" w:rsidRPr="00515A58">
        <w:rPr>
          <w:rFonts w:ascii="Times New Roman" w:hAnsi="Times New Roman"/>
          <w:sz w:val="24"/>
          <w:szCs w:val="24"/>
        </w:rPr>
        <w:t xml:space="preserve">(20,358 in </w:t>
      </w:r>
      <w:r w:rsidR="001D0DB7" w:rsidRPr="00515A58">
        <w:rPr>
          <w:rFonts w:ascii="Times New Roman" w:hAnsi="Times New Roman"/>
          <w:sz w:val="24"/>
          <w:szCs w:val="24"/>
        </w:rPr>
        <w:t>the first three years of data collection</w:t>
      </w:r>
      <w:r w:rsidR="00A15DAF" w:rsidRPr="00515A58">
        <w:rPr>
          <w:rFonts w:ascii="Times New Roman" w:hAnsi="Times New Roman"/>
          <w:sz w:val="24"/>
          <w:szCs w:val="24"/>
        </w:rPr>
        <w:t xml:space="preserve">) </w:t>
      </w:r>
      <w:r w:rsidR="00F77967" w:rsidRPr="00515A58">
        <w:rPr>
          <w:rFonts w:ascii="Times New Roman" w:hAnsi="Times New Roman"/>
          <w:sz w:val="24"/>
          <w:szCs w:val="24"/>
        </w:rPr>
        <w:t xml:space="preserve">in </w:t>
      </w:r>
      <w:r w:rsidRPr="00515A58">
        <w:rPr>
          <w:rFonts w:ascii="Times New Roman" w:hAnsi="Times New Roman"/>
          <w:sz w:val="24"/>
          <w:szCs w:val="24"/>
        </w:rPr>
        <w:t>27</w:t>
      </w:r>
      <w:r w:rsidR="006D611D" w:rsidRPr="00515A58">
        <w:rPr>
          <w:rFonts w:ascii="Times New Roman" w:hAnsi="Times New Roman"/>
          <w:sz w:val="24"/>
          <w:szCs w:val="24"/>
        </w:rPr>
        <w:t>9</w:t>
      </w:r>
      <w:r w:rsidRPr="00515A58">
        <w:rPr>
          <w:rFonts w:ascii="Times New Roman" w:hAnsi="Times New Roman"/>
          <w:sz w:val="24"/>
          <w:szCs w:val="24"/>
        </w:rPr>
        <w:t xml:space="preserve"> communities</w:t>
      </w:r>
      <w:r w:rsidR="00EA06A6" w:rsidRPr="00515A58">
        <w:rPr>
          <w:rFonts w:ascii="Times New Roman" w:hAnsi="Times New Roman"/>
          <w:sz w:val="24"/>
          <w:szCs w:val="24"/>
        </w:rPr>
        <w:t xml:space="preserve"> </w:t>
      </w:r>
      <w:r w:rsidRPr="00515A58">
        <w:rPr>
          <w:rFonts w:ascii="Times New Roman" w:hAnsi="Times New Roman"/>
          <w:sz w:val="24"/>
          <w:szCs w:val="24"/>
        </w:rPr>
        <w:t>across the United States</w:t>
      </w:r>
      <w:r w:rsidR="005A537F" w:rsidRPr="00515A58">
        <w:rPr>
          <w:rFonts w:ascii="Times New Roman" w:hAnsi="Times New Roman"/>
          <w:sz w:val="24"/>
          <w:szCs w:val="24"/>
        </w:rPr>
        <w:t xml:space="preserve"> in two waves.</w:t>
      </w:r>
      <w:r w:rsidR="003E3395" w:rsidRPr="00515A58">
        <w:rPr>
          <w:rFonts w:ascii="Times New Roman" w:hAnsi="Times New Roman"/>
          <w:sz w:val="24"/>
          <w:szCs w:val="24"/>
        </w:rPr>
        <w:t xml:space="preserve"> </w:t>
      </w:r>
      <w:r w:rsidR="005A537F" w:rsidRPr="00515A58">
        <w:rPr>
          <w:rFonts w:ascii="Times New Roman" w:hAnsi="Times New Roman"/>
          <w:sz w:val="24"/>
          <w:szCs w:val="24"/>
        </w:rPr>
        <w:t xml:space="preserve">The four </w:t>
      </w:r>
      <w:r w:rsidR="00EA06A6" w:rsidRPr="00515A58">
        <w:rPr>
          <w:rFonts w:ascii="Times New Roman" w:hAnsi="Times New Roman"/>
          <w:sz w:val="24"/>
          <w:szCs w:val="24"/>
        </w:rPr>
        <w:t xml:space="preserve">Wave 1 communities </w:t>
      </w:r>
      <w:proofErr w:type="gramStart"/>
      <w:r w:rsidR="00E80AB7" w:rsidRPr="00515A58">
        <w:rPr>
          <w:rFonts w:ascii="Times New Roman" w:hAnsi="Times New Roman"/>
          <w:sz w:val="24"/>
          <w:szCs w:val="24"/>
        </w:rPr>
        <w:t>will</w:t>
      </w:r>
      <w:r w:rsidR="001575A8" w:rsidRPr="00515A58">
        <w:rPr>
          <w:rFonts w:ascii="Times New Roman" w:hAnsi="Times New Roman"/>
          <w:sz w:val="24"/>
          <w:szCs w:val="24"/>
        </w:rPr>
        <w:t xml:space="preserve"> </w:t>
      </w:r>
      <w:r w:rsidR="00E80AB7" w:rsidRPr="00515A58">
        <w:rPr>
          <w:rFonts w:ascii="Times New Roman" w:hAnsi="Times New Roman"/>
          <w:sz w:val="24"/>
          <w:szCs w:val="24"/>
        </w:rPr>
        <w:t>be selected</w:t>
      </w:r>
      <w:proofErr w:type="gramEnd"/>
      <w:r w:rsidR="00E80AB7" w:rsidRPr="00515A58">
        <w:rPr>
          <w:rFonts w:ascii="Times New Roman" w:hAnsi="Times New Roman"/>
          <w:sz w:val="24"/>
          <w:szCs w:val="24"/>
        </w:rPr>
        <w:t xml:space="preserve"> for convenience in the Baltimore/Washington DC area</w:t>
      </w:r>
      <w:r w:rsidR="005A537F" w:rsidRPr="00515A58">
        <w:rPr>
          <w:rFonts w:ascii="Times New Roman" w:hAnsi="Times New Roman"/>
          <w:sz w:val="24"/>
          <w:szCs w:val="24"/>
        </w:rPr>
        <w:t xml:space="preserve"> because the focus of Wave 1 is protocol refinement</w:t>
      </w:r>
      <w:r w:rsidR="00E80AB7" w:rsidRPr="00515A58">
        <w:rPr>
          <w:rFonts w:ascii="Times New Roman" w:hAnsi="Times New Roman"/>
          <w:sz w:val="24"/>
          <w:szCs w:val="24"/>
        </w:rPr>
        <w:t xml:space="preserve">.  </w:t>
      </w:r>
      <w:r w:rsidR="005A537F" w:rsidRPr="00515A58">
        <w:rPr>
          <w:rFonts w:ascii="Times New Roman" w:hAnsi="Times New Roman"/>
          <w:sz w:val="24"/>
          <w:szCs w:val="24"/>
        </w:rPr>
        <w:t xml:space="preserve">In Wave 2, the HCS will use a hybrid design that includes a stratified national probability-based sample (NPBS) of 195 communities combined with a sample of 80 communities selected with certainty </w:t>
      </w:r>
      <w:r w:rsidR="0017080B" w:rsidRPr="00515A58">
        <w:rPr>
          <w:rFonts w:ascii="Times New Roman" w:hAnsi="Times New Roman"/>
          <w:sz w:val="24"/>
          <w:szCs w:val="24"/>
        </w:rPr>
        <w:t>that have promising programs and policies aimed at reducing childhood obesity.</w:t>
      </w:r>
    </w:p>
    <w:p w:rsidR="004116D2" w:rsidRPr="00515A58" w:rsidRDefault="004116D2">
      <w:pPr>
        <w:pStyle w:val="SqBulletarial10"/>
        <w:numPr>
          <w:ilvl w:val="0"/>
          <w:numId w:val="0"/>
        </w:numPr>
        <w:spacing w:after="0"/>
        <w:rPr>
          <w:rFonts w:ascii="Times New Roman" w:hAnsi="Times New Roman"/>
          <w:b/>
          <w:bCs/>
          <w:i/>
          <w:sz w:val="24"/>
          <w:szCs w:val="24"/>
        </w:rPr>
      </w:pPr>
    </w:p>
    <w:p w:rsidR="004116D2" w:rsidRPr="00515A58" w:rsidRDefault="00E94F72" w:rsidP="00756E94">
      <w:pPr>
        <w:pStyle w:val="BHLevel3"/>
        <w:rPr>
          <w:szCs w:val="24"/>
        </w:rPr>
      </w:pPr>
      <w:bookmarkStart w:id="7" w:name="_Toc299107921"/>
      <w:bookmarkStart w:id="8" w:name="_Toc301448745"/>
      <w:bookmarkStart w:id="9" w:name="_Toc301448813"/>
      <w:r w:rsidRPr="00515A58">
        <w:rPr>
          <w:szCs w:val="24"/>
        </w:rPr>
        <w:t>B.1.b</w:t>
      </w:r>
      <w:r w:rsidRPr="00515A58">
        <w:rPr>
          <w:szCs w:val="24"/>
        </w:rPr>
        <w:tab/>
      </w:r>
      <w:r w:rsidR="00A0328A" w:rsidRPr="00515A58">
        <w:rPr>
          <w:szCs w:val="24"/>
        </w:rPr>
        <w:t xml:space="preserve">Respondent Universe </w:t>
      </w:r>
      <w:r w:rsidR="008D2C16" w:rsidRPr="00515A58">
        <w:rPr>
          <w:szCs w:val="24"/>
        </w:rPr>
        <w:t>–</w:t>
      </w:r>
      <w:r w:rsidR="00A0328A" w:rsidRPr="00515A58">
        <w:rPr>
          <w:szCs w:val="24"/>
        </w:rPr>
        <w:t xml:space="preserve"> Communities</w:t>
      </w:r>
      <w:bookmarkEnd w:id="7"/>
      <w:bookmarkEnd w:id="8"/>
      <w:bookmarkEnd w:id="9"/>
    </w:p>
    <w:p w:rsidR="008D2C16" w:rsidRPr="00515A58" w:rsidRDefault="008D2C16" w:rsidP="00A76A72">
      <w:pPr>
        <w:rPr>
          <w:sz w:val="24"/>
        </w:rPr>
      </w:pPr>
      <w:r w:rsidRPr="00515A58">
        <w:rPr>
          <w:sz w:val="24"/>
        </w:rPr>
        <w:t>In th</w:t>
      </w:r>
      <w:r w:rsidR="00CB3074" w:rsidRPr="00515A58">
        <w:rPr>
          <w:sz w:val="24"/>
        </w:rPr>
        <w:t>e HCS</w:t>
      </w:r>
      <w:r w:rsidRPr="00515A58">
        <w:rPr>
          <w:sz w:val="24"/>
        </w:rPr>
        <w:t xml:space="preserve">, a community </w:t>
      </w:r>
      <w:proofErr w:type="gramStart"/>
      <w:r w:rsidRPr="00515A58">
        <w:rPr>
          <w:sz w:val="24"/>
        </w:rPr>
        <w:t>is</w:t>
      </w:r>
      <w:r w:rsidR="001575A8" w:rsidRPr="00515A58">
        <w:rPr>
          <w:sz w:val="24"/>
        </w:rPr>
        <w:t xml:space="preserve"> </w:t>
      </w:r>
      <w:r w:rsidRPr="00515A58">
        <w:rPr>
          <w:sz w:val="24"/>
        </w:rPr>
        <w:t>defined</w:t>
      </w:r>
      <w:proofErr w:type="gramEnd"/>
      <w:r w:rsidRPr="00515A58">
        <w:rPr>
          <w:sz w:val="24"/>
        </w:rPr>
        <w:t xml:space="preserve"> as the catchment area of a local public high school. </w:t>
      </w:r>
      <w:r w:rsidR="00E51CE0" w:rsidRPr="00515A58">
        <w:rPr>
          <w:sz w:val="24"/>
        </w:rPr>
        <w:t xml:space="preserve"> </w:t>
      </w:r>
      <w:r w:rsidRPr="00515A58">
        <w:rPr>
          <w:sz w:val="24"/>
        </w:rPr>
        <w:t xml:space="preserve">The HCS will use a hybrid design </w:t>
      </w:r>
      <w:r w:rsidR="0017080B" w:rsidRPr="00515A58">
        <w:rPr>
          <w:sz w:val="24"/>
        </w:rPr>
        <w:t xml:space="preserve">in Wave 2 that involves a stratified NPBS of 195 communities combined with a sample of 80 communities selected with certainty to represent communities with promising programs and policies aimed at reducing childhood obesity.  Selection of the four communities for Wave 1 </w:t>
      </w:r>
      <w:proofErr w:type="gramStart"/>
      <w:r w:rsidR="0017080B" w:rsidRPr="00515A58">
        <w:rPr>
          <w:sz w:val="24"/>
        </w:rPr>
        <w:t>will be conducted</w:t>
      </w:r>
      <w:proofErr w:type="gramEnd"/>
      <w:r w:rsidR="0017080B" w:rsidRPr="00515A58">
        <w:rPr>
          <w:sz w:val="24"/>
        </w:rPr>
        <w:t xml:space="preserve"> </w:t>
      </w:r>
      <w:r w:rsidR="00EE6E09" w:rsidRPr="00515A58">
        <w:rPr>
          <w:sz w:val="24"/>
        </w:rPr>
        <w:t xml:space="preserve">before </w:t>
      </w:r>
      <w:r w:rsidR="0017080B" w:rsidRPr="00515A58">
        <w:rPr>
          <w:sz w:val="24"/>
        </w:rPr>
        <w:t xml:space="preserve">the Wave 2 communities are selected.  Wave 1 communities </w:t>
      </w:r>
      <w:proofErr w:type="gramStart"/>
      <w:r w:rsidR="0017080B" w:rsidRPr="00515A58">
        <w:rPr>
          <w:sz w:val="24"/>
        </w:rPr>
        <w:t>will be selected</w:t>
      </w:r>
      <w:proofErr w:type="gramEnd"/>
      <w:r w:rsidR="0017080B" w:rsidRPr="00515A58">
        <w:rPr>
          <w:sz w:val="24"/>
        </w:rPr>
        <w:t xml:space="preserve"> for convenience to be in reasonable proximity to Battelle and NHLBI offices in the Baltimore/Washington DC area while allowing for diversity with respect to </w:t>
      </w:r>
      <w:proofErr w:type="spellStart"/>
      <w:r w:rsidR="0017080B" w:rsidRPr="00515A58">
        <w:rPr>
          <w:sz w:val="24"/>
        </w:rPr>
        <w:t>urbanicity</w:t>
      </w:r>
      <w:proofErr w:type="spellEnd"/>
      <w:r w:rsidR="0017080B" w:rsidRPr="00515A58">
        <w:rPr>
          <w:sz w:val="24"/>
        </w:rPr>
        <w:t>, proportion of minorities, and income.  The following subsections provide detail on the selection of Wave 2 communities into the HCS.</w:t>
      </w:r>
    </w:p>
    <w:p w:rsidR="004116D2" w:rsidRPr="00515A58" w:rsidRDefault="004116D2">
      <w:pPr>
        <w:pStyle w:val="proptext10"/>
        <w:spacing w:after="0"/>
        <w:rPr>
          <w:rFonts w:ascii="Times New Roman" w:hAnsi="Times New Roman" w:cs="Times New Roman"/>
          <w:b/>
          <w:i/>
          <w:sz w:val="24"/>
          <w:szCs w:val="24"/>
        </w:rPr>
      </w:pPr>
    </w:p>
    <w:p w:rsidR="004116D2" w:rsidRPr="00515A58" w:rsidRDefault="0017080B">
      <w:pPr>
        <w:pStyle w:val="proptext10"/>
        <w:spacing w:after="0"/>
        <w:rPr>
          <w:rFonts w:ascii="Times New Roman" w:hAnsi="Times New Roman" w:cs="Times New Roman"/>
          <w:sz w:val="24"/>
          <w:szCs w:val="24"/>
        </w:rPr>
      </w:pPr>
      <w:r w:rsidRPr="00515A58">
        <w:rPr>
          <w:rFonts w:ascii="Times New Roman" w:hAnsi="Times New Roman" w:cs="Times New Roman"/>
          <w:b/>
          <w:i/>
          <w:sz w:val="24"/>
          <w:szCs w:val="24"/>
        </w:rPr>
        <w:t>National Probability-Based Sample of Communities</w:t>
      </w:r>
      <w:r w:rsidRPr="00515A58">
        <w:rPr>
          <w:rFonts w:ascii="Times New Roman" w:hAnsi="Times New Roman" w:cs="Times New Roman"/>
          <w:sz w:val="24"/>
          <w:szCs w:val="24"/>
        </w:rPr>
        <w:t xml:space="preserve">:  For the 195 Wave 2 communities selected in the HCS, we will employ a stratified NPBS.  The NPBS ensures that the HCS </w:t>
      </w:r>
      <w:proofErr w:type="gramStart"/>
      <w:r w:rsidRPr="00515A58">
        <w:rPr>
          <w:rFonts w:ascii="Times New Roman" w:hAnsi="Times New Roman" w:cs="Times New Roman"/>
          <w:sz w:val="24"/>
          <w:szCs w:val="24"/>
        </w:rPr>
        <w:t>can be used</w:t>
      </w:r>
      <w:proofErr w:type="gramEnd"/>
      <w:r w:rsidRPr="00515A58">
        <w:rPr>
          <w:rFonts w:ascii="Times New Roman" w:hAnsi="Times New Roman" w:cs="Times New Roman"/>
          <w:sz w:val="24"/>
          <w:szCs w:val="24"/>
        </w:rPr>
        <w:t xml:space="preserve"> to provide nationally representative estimates when conducting weighted analyses data.  Each stratum in the design will represent a group of </w:t>
      </w:r>
      <w:r w:rsidR="00EE6E09" w:rsidRPr="00515A58">
        <w:rPr>
          <w:rFonts w:ascii="Times New Roman" w:hAnsi="Times New Roman" w:cs="Times New Roman"/>
          <w:sz w:val="24"/>
          <w:szCs w:val="24"/>
        </w:rPr>
        <w:t xml:space="preserve">census tracts </w:t>
      </w:r>
      <w:r w:rsidRPr="00515A58">
        <w:rPr>
          <w:rFonts w:ascii="Times New Roman" w:hAnsi="Times New Roman" w:cs="Times New Roman"/>
          <w:sz w:val="24"/>
          <w:szCs w:val="24"/>
        </w:rPr>
        <w:t xml:space="preserve">with similar characteristics with respect to geographic region, </w:t>
      </w:r>
      <w:proofErr w:type="spellStart"/>
      <w:r w:rsidRPr="00515A58">
        <w:rPr>
          <w:rFonts w:ascii="Times New Roman" w:hAnsi="Times New Roman" w:cs="Times New Roman"/>
          <w:sz w:val="24"/>
          <w:szCs w:val="24"/>
        </w:rPr>
        <w:t>urbanicity</w:t>
      </w:r>
      <w:proofErr w:type="spellEnd"/>
      <w:r w:rsidRPr="00515A58">
        <w:rPr>
          <w:rFonts w:ascii="Times New Roman" w:hAnsi="Times New Roman" w:cs="Times New Roman"/>
          <w:sz w:val="24"/>
          <w:szCs w:val="24"/>
        </w:rPr>
        <w:t xml:space="preserve">, </w:t>
      </w:r>
      <w:r w:rsidR="00EE6E09" w:rsidRPr="00515A58">
        <w:rPr>
          <w:rFonts w:ascii="Times New Roman" w:hAnsi="Times New Roman" w:cs="Times New Roman"/>
          <w:sz w:val="24"/>
          <w:szCs w:val="24"/>
        </w:rPr>
        <w:t>race/</w:t>
      </w:r>
      <w:r w:rsidRPr="00515A58">
        <w:rPr>
          <w:rFonts w:ascii="Times New Roman" w:hAnsi="Times New Roman" w:cs="Times New Roman"/>
          <w:sz w:val="24"/>
          <w:szCs w:val="24"/>
        </w:rPr>
        <w:t xml:space="preserve">ethnicity, and </w:t>
      </w:r>
      <w:r w:rsidR="00EE6E09" w:rsidRPr="00515A58">
        <w:rPr>
          <w:rFonts w:ascii="Times New Roman" w:hAnsi="Times New Roman" w:cs="Times New Roman"/>
          <w:sz w:val="24"/>
          <w:szCs w:val="24"/>
        </w:rPr>
        <w:t>income</w:t>
      </w:r>
      <w:r w:rsidRPr="00515A58">
        <w:rPr>
          <w:rFonts w:ascii="Times New Roman" w:hAnsi="Times New Roman" w:cs="Times New Roman"/>
          <w:sz w:val="24"/>
          <w:szCs w:val="24"/>
        </w:rPr>
        <w:t xml:space="preserve">.  We will also stratify </w:t>
      </w:r>
      <w:r w:rsidR="00101993" w:rsidRPr="00515A58">
        <w:rPr>
          <w:rFonts w:ascii="Times New Roman" w:hAnsi="Times New Roman" w:cs="Times New Roman"/>
          <w:sz w:val="24"/>
          <w:szCs w:val="24"/>
        </w:rPr>
        <w:t>census tracts</w:t>
      </w:r>
      <w:r w:rsidRPr="00515A58">
        <w:rPr>
          <w:rFonts w:ascii="Times New Roman" w:hAnsi="Times New Roman" w:cs="Times New Roman"/>
          <w:sz w:val="24"/>
          <w:szCs w:val="24"/>
        </w:rPr>
        <w:t xml:space="preserve"> based on a pre-selection scoring of childhood obesity programs and policies.  Methods used to establish this pre-selection scoring </w:t>
      </w:r>
      <w:proofErr w:type="gramStart"/>
      <w:r w:rsidRPr="00515A58">
        <w:rPr>
          <w:rFonts w:ascii="Times New Roman" w:hAnsi="Times New Roman" w:cs="Times New Roman"/>
          <w:sz w:val="24"/>
          <w:szCs w:val="24"/>
        </w:rPr>
        <w:t>are described</w:t>
      </w:r>
      <w:proofErr w:type="gramEnd"/>
      <w:r w:rsidRPr="00515A58">
        <w:rPr>
          <w:rFonts w:ascii="Times New Roman" w:hAnsi="Times New Roman" w:cs="Times New Roman"/>
          <w:sz w:val="24"/>
          <w:szCs w:val="24"/>
        </w:rPr>
        <w:t xml:space="preserve"> in Section B.1.b.1.</w:t>
      </w:r>
    </w:p>
    <w:p w:rsidR="004116D2" w:rsidRPr="00515A58" w:rsidRDefault="004116D2">
      <w:pPr>
        <w:pStyle w:val="proptext10"/>
        <w:spacing w:after="0"/>
        <w:rPr>
          <w:rFonts w:ascii="Times New Roman" w:hAnsi="Times New Roman" w:cs="Times New Roman"/>
          <w:sz w:val="24"/>
          <w:szCs w:val="24"/>
        </w:rPr>
      </w:pPr>
    </w:p>
    <w:p w:rsidR="004116D2" w:rsidRPr="00515A58" w:rsidRDefault="008D2C16">
      <w:pPr>
        <w:pStyle w:val="proptext10"/>
        <w:spacing w:after="0"/>
        <w:rPr>
          <w:rFonts w:ascii="Times New Roman" w:hAnsi="Times New Roman" w:cs="Times New Roman"/>
          <w:sz w:val="24"/>
          <w:szCs w:val="24"/>
        </w:rPr>
      </w:pPr>
      <w:r w:rsidRPr="00515A58">
        <w:rPr>
          <w:rFonts w:ascii="Times New Roman" w:hAnsi="Times New Roman" w:cs="Times New Roman"/>
          <w:sz w:val="24"/>
          <w:szCs w:val="24"/>
        </w:rPr>
        <w:t xml:space="preserve">Each </w:t>
      </w:r>
      <w:r w:rsidR="00EE6E09" w:rsidRPr="00515A58">
        <w:rPr>
          <w:rFonts w:ascii="Times New Roman" w:hAnsi="Times New Roman" w:cs="Times New Roman"/>
          <w:sz w:val="24"/>
          <w:szCs w:val="24"/>
        </w:rPr>
        <w:t xml:space="preserve">census tract </w:t>
      </w:r>
      <w:r w:rsidRPr="00515A58">
        <w:rPr>
          <w:rFonts w:ascii="Times New Roman" w:hAnsi="Times New Roman" w:cs="Times New Roman"/>
          <w:sz w:val="24"/>
          <w:szCs w:val="24"/>
        </w:rPr>
        <w:t xml:space="preserve">across the United States </w:t>
      </w:r>
      <w:proofErr w:type="gramStart"/>
      <w:r w:rsidRPr="00515A58">
        <w:rPr>
          <w:rFonts w:ascii="Times New Roman" w:hAnsi="Times New Roman" w:cs="Times New Roman"/>
          <w:sz w:val="24"/>
          <w:szCs w:val="24"/>
        </w:rPr>
        <w:t>will be assigned</w:t>
      </w:r>
      <w:proofErr w:type="gramEnd"/>
      <w:r w:rsidRPr="00515A58">
        <w:rPr>
          <w:rFonts w:ascii="Times New Roman" w:hAnsi="Times New Roman" w:cs="Times New Roman"/>
          <w:sz w:val="24"/>
          <w:szCs w:val="24"/>
        </w:rPr>
        <w:t xml:space="preserve"> to one strat</w:t>
      </w:r>
      <w:r w:rsidR="00CB3074" w:rsidRPr="00515A58">
        <w:rPr>
          <w:rFonts w:ascii="Times New Roman" w:hAnsi="Times New Roman" w:cs="Times New Roman"/>
          <w:sz w:val="24"/>
          <w:szCs w:val="24"/>
        </w:rPr>
        <w:t>um</w:t>
      </w:r>
      <w:r w:rsidRPr="00515A58">
        <w:rPr>
          <w:rFonts w:ascii="Times New Roman" w:hAnsi="Times New Roman" w:cs="Times New Roman"/>
          <w:sz w:val="24"/>
          <w:szCs w:val="24"/>
        </w:rPr>
        <w:t xml:space="preserve">. </w:t>
      </w:r>
      <w:r w:rsidR="0092505E" w:rsidRPr="00515A58">
        <w:rPr>
          <w:rFonts w:ascii="Times New Roman" w:hAnsi="Times New Roman" w:cs="Times New Roman"/>
          <w:sz w:val="24"/>
          <w:szCs w:val="24"/>
        </w:rPr>
        <w:t xml:space="preserve"> </w:t>
      </w:r>
      <w:r w:rsidRPr="00515A58">
        <w:rPr>
          <w:rFonts w:ascii="Times New Roman" w:hAnsi="Times New Roman" w:cs="Times New Roman"/>
          <w:sz w:val="24"/>
          <w:szCs w:val="24"/>
        </w:rPr>
        <w:t>Within each strat</w:t>
      </w:r>
      <w:r w:rsidR="00CB3074" w:rsidRPr="00515A58">
        <w:rPr>
          <w:rFonts w:ascii="Times New Roman" w:hAnsi="Times New Roman" w:cs="Times New Roman"/>
          <w:sz w:val="24"/>
          <w:szCs w:val="24"/>
        </w:rPr>
        <w:t>um</w:t>
      </w:r>
      <w:r w:rsidRPr="00515A58">
        <w:rPr>
          <w:rFonts w:ascii="Times New Roman" w:hAnsi="Times New Roman" w:cs="Times New Roman"/>
          <w:sz w:val="24"/>
          <w:szCs w:val="24"/>
        </w:rPr>
        <w:t xml:space="preserve">, a single </w:t>
      </w:r>
      <w:r w:rsidR="00EE6E09" w:rsidRPr="00515A58">
        <w:rPr>
          <w:rFonts w:ascii="Times New Roman" w:hAnsi="Times New Roman" w:cs="Times New Roman"/>
          <w:sz w:val="24"/>
          <w:szCs w:val="24"/>
        </w:rPr>
        <w:t xml:space="preserve">census tract </w:t>
      </w:r>
      <w:proofErr w:type="gramStart"/>
      <w:r w:rsidRPr="00515A58">
        <w:rPr>
          <w:rFonts w:ascii="Times New Roman" w:hAnsi="Times New Roman" w:cs="Times New Roman"/>
          <w:sz w:val="24"/>
          <w:szCs w:val="24"/>
        </w:rPr>
        <w:t>will be selected</w:t>
      </w:r>
      <w:proofErr w:type="gramEnd"/>
      <w:r w:rsidRPr="00515A58">
        <w:rPr>
          <w:rFonts w:ascii="Times New Roman" w:hAnsi="Times New Roman" w:cs="Times New Roman"/>
          <w:sz w:val="24"/>
          <w:szCs w:val="24"/>
        </w:rPr>
        <w:t xml:space="preserve"> using a probability-based selection approach</w:t>
      </w:r>
      <w:r w:rsidR="0017080B" w:rsidRPr="00515A58">
        <w:rPr>
          <w:rFonts w:ascii="Times New Roman" w:hAnsi="Times New Roman" w:cs="Times New Roman"/>
          <w:sz w:val="24"/>
          <w:szCs w:val="24"/>
        </w:rPr>
        <w:t>.</w:t>
      </w:r>
      <w:r w:rsidR="00EE6E09" w:rsidRPr="00515A58">
        <w:rPr>
          <w:rFonts w:ascii="Times New Roman" w:hAnsi="Times New Roman" w:cs="Times New Roman"/>
          <w:sz w:val="24"/>
          <w:szCs w:val="24"/>
        </w:rPr>
        <w:t xml:space="preserve">  We will then determine which high-school catchment area contains the highest fraction of the population within the selected census tract to select the community into the study.</w:t>
      </w:r>
    </w:p>
    <w:p w:rsidR="004116D2" w:rsidRPr="00515A58" w:rsidRDefault="004116D2">
      <w:pPr>
        <w:pStyle w:val="proptext10"/>
        <w:spacing w:after="0"/>
        <w:rPr>
          <w:rFonts w:ascii="Times New Roman" w:hAnsi="Times New Roman" w:cs="Times New Roman"/>
          <w:sz w:val="24"/>
          <w:szCs w:val="24"/>
        </w:rPr>
      </w:pPr>
    </w:p>
    <w:p w:rsidR="004116D2" w:rsidRPr="00515A58" w:rsidRDefault="008D2C16">
      <w:pPr>
        <w:pStyle w:val="proptext10"/>
        <w:spacing w:after="0"/>
        <w:rPr>
          <w:rFonts w:ascii="Times New Roman" w:hAnsi="Times New Roman" w:cs="Times New Roman"/>
          <w:sz w:val="24"/>
          <w:szCs w:val="24"/>
        </w:rPr>
      </w:pPr>
      <w:r w:rsidRPr="00515A58">
        <w:rPr>
          <w:rFonts w:ascii="Times New Roman" w:hAnsi="Times New Roman" w:cs="Times New Roman"/>
          <w:sz w:val="24"/>
          <w:szCs w:val="24"/>
        </w:rPr>
        <w:t xml:space="preserve">This method of selecting </w:t>
      </w:r>
      <w:r w:rsidR="00EE6E09" w:rsidRPr="00515A58">
        <w:rPr>
          <w:rFonts w:ascii="Times New Roman" w:hAnsi="Times New Roman" w:cs="Times New Roman"/>
          <w:sz w:val="24"/>
          <w:szCs w:val="24"/>
        </w:rPr>
        <w:t xml:space="preserve">census tracts </w:t>
      </w:r>
      <w:r w:rsidRPr="00515A58">
        <w:rPr>
          <w:rFonts w:ascii="Times New Roman" w:hAnsi="Times New Roman" w:cs="Times New Roman"/>
          <w:sz w:val="24"/>
          <w:szCs w:val="24"/>
        </w:rPr>
        <w:t xml:space="preserve">and communities within counties will help ensure all communities across the United States have a known probability of being included in </w:t>
      </w:r>
      <w:r w:rsidR="00CB3074" w:rsidRPr="00515A58">
        <w:rPr>
          <w:rFonts w:ascii="Times New Roman" w:hAnsi="Times New Roman" w:cs="Times New Roman"/>
          <w:sz w:val="24"/>
          <w:szCs w:val="24"/>
        </w:rPr>
        <w:t>the HCS</w:t>
      </w:r>
      <w:r w:rsidRPr="00515A58">
        <w:rPr>
          <w:rFonts w:ascii="Times New Roman" w:hAnsi="Times New Roman" w:cs="Times New Roman"/>
          <w:sz w:val="24"/>
          <w:szCs w:val="24"/>
        </w:rPr>
        <w:t xml:space="preserve">, and when combined with the certainty communities, will yield a nationally representative study. Construction of the strata will ensure representation across a range of geographically, demographically, and culturally diverse communities. </w:t>
      </w:r>
    </w:p>
    <w:p w:rsidR="004116D2" w:rsidRPr="00515A58" w:rsidRDefault="004116D2">
      <w:pPr>
        <w:pStyle w:val="proptext10"/>
        <w:spacing w:after="0"/>
        <w:rPr>
          <w:rFonts w:ascii="Times New Roman" w:hAnsi="Times New Roman" w:cs="Times New Roman"/>
          <w:sz w:val="24"/>
          <w:szCs w:val="24"/>
        </w:rPr>
      </w:pPr>
    </w:p>
    <w:p w:rsidR="004116D2" w:rsidRPr="00515A58" w:rsidRDefault="008D2C16">
      <w:pPr>
        <w:pStyle w:val="proptext10"/>
        <w:spacing w:after="0"/>
        <w:rPr>
          <w:rFonts w:ascii="Times New Roman" w:hAnsi="Times New Roman" w:cs="Times New Roman"/>
          <w:sz w:val="24"/>
          <w:szCs w:val="24"/>
        </w:rPr>
      </w:pPr>
      <w:r w:rsidRPr="00515A58">
        <w:rPr>
          <w:rFonts w:ascii="Times New Roman" w:hAnsi="Times New Roman" w:cs="Times New Roman"/>
          <w:b/>
          <w:i/>
          <w:sz w:val="24"/>
          <w:szCs w:val="24"/>
        </w:rPr>
        <w:lastRenderedPageBreak/>
        <w:t>Certainty Communities</w:t>
      </w:r>
      <w:r w:rsidRPr="00515A58">
        <w:rPr>
          <w:rFonts w:ascii="Times New Roman" w:hAnsi="Times New Roman" w:cs="Times New Roman"/>
          <w:sz w:val="24"/>
          <w:szCs w:val="24"/>
        </w:rPr>
        <w:t xml:space="preserve">:  Eighty certainty communities are included in the hybrid design to ensure inclusion of communities that have a history of </w:t>
      </w:r>
      <w:r w:rsidR="00CB3074" w:rsidRPr="00515A58">
        <w:rPr>
          <w:rFonts w:ascii="Times New Roman" w:hAnsi="Times New Roman" w:cs="Times New Roman"/>
          <w:sz w:val="24"/>
          <w:szCs w:val="24"/>
        </w:rPr>
        <w:t xml:space="preserve">sufficiently </w:t>
      </w:r>
      <w:r w:rsidRPr="00515A58">
        <w:rPr>
          <w:rFonts w:ascii="Times New Roman" w:hAnsi="Times New Roman" w:cs="Times New Roman"/>
          <w:sz w:val="24"/>
          <w:szCs w:val="24"/>
        </w:rPr>
        <w:t xml:space="preserve">promising program and policy initiatives to reduce childhood obesity. </w:t>
      </w:r>
      <w:r w:rsidR="0017080B" w:rsidRPr="00515A58">
        <w:rPr>
          <w:rFonts w:ascii="Times New Roman" w:hAnsi="Times New Roman" w:cs="Times New Roman"/>
          <w:sz w:val="24"/>
          <w:szCs w:val="24"/>
        </w:rPr>
        <w:t xml:space="preserve"> The approaches used in selecting these communities </w:t>
      </w:r>
      <w:proofErr w:type="gramStart"/>
      <w:r w:rsidR="0017080B" w:rsidRPr="00515A58">
        <w:rPr>
          <w:rFonts w:ascii="Times New Roman" w:hAnsi="Times New Roman" w:cs="Times New Roman"/>
          <w:sz w:val="24"/>
          <w:szCs w:val="24"/>
        </w:rPr>
        <w:t>are described</w:t>
      </w:r>
      <w:proofErr w:type="gramEnd"/>
      <w:r w:rsidR="0017080B" w:rsidRPr="00515A58">
        <w:rPr>
          <w:rFonts w:ascii="Times New Roman" w:hAnsi="Times New Roman" w:cs="Times New Roman"/>
          <w:sz w:val="24"/>
          <w:szCs w:val="24"/>
        </w:rPr>
        <w:t xml:space="preserve"> below. </w:t>
      </w:r>
    </w:p>
    <w:p w:rsidR="004116D2" w:rsidRPr="00515A58" w:rsidRDefault="004116D2">
      <w:pPr>
        <w:pStyle w:val="proptext10"/>
        <w:spacing w:after="0"/>
        <w:rPr>
          <w:rFonts w:ascii="Times New Roman" w:hAnsi="Times New Roman" w:cs="Times New Roman"/>
          <w:sz w:val="24"/>
          <w:szCs w:val="24"/>
        </w:rPr>
      </w:pPr>
    </w:p>
    <w:p w:rsidR="004116D2" w:rsidRPr="00515A58" w:rsidRDefault="00AA5DB2" w:rsidP="00756E94">
      <w:pPr>
        <w:pStyle w:val="BHNormal"/>
        <w:rPr>
          <w:b/>
          <w:i/>
          <w:szCs w:val="24"/>
        </w:rPr>
      </w:pPr>
      <w:bookmarkStart w:id="10" w:name="_Toc299107922"/>
      <w:r w:rsidRPr="00515A58">
        <w:rPr>
          <w:b/>
          <w:i/>
          <w:szCs w:val="24"/>
        </w:rPr>
        <w:t xml:space="preserve">B.1.b.1   </w:t>
      </w:r>
      <w:r w:rsidR="008D2C16" w:rsidRPr="00515A58">
        <w:rPr>
          <w:b/>
          <w:i/>
          <w:szCs w:val="24"/>
        </w:rPr>
        <w:t xml:space="preserve">Processes for Gathering Information for </w:t>
      </w:r>
      <w:r w:rsidR="008A1FC1" w:rsidRPr="00515A58">
        <w:rPr>
          <w:b/>
          <w:i/>
          <w:szCs w:val="24"/>
        </w:rPr>
        <w:t>Community Selection</w:t>
      </w:r>
      <w:r w:rsidR="008D2C16" w:rsidRPr="00515A58">
        <w:rPr>
          <w:b/>
          <w:i/>
          <w:szCs w:val="24"/>
        </w:rPr>
        <w:t xml:space="preserve"> and Stratification</w:t>
      </w:r>
      <w:bookmarkEnd w:id="10"/>
    </w:p>
    <w:p w:rsidR="004116D2" w:rsidRPr="00515A58" w:rsidRDefault="00CB3074">
      <w:pPr>
        <w:pStyle w:val="proptext10"/>
        <w:spacing w:after="0"/>
        <w:rPr>
          <w:rFonts w:ascii="Times New Roman" w:hAnsi="Times New Roman" w:cs="Times New Roman"/>
          <w:sz w:val="24"/>
          <w:szCs w:val="24"/>
        </w:rPr>
      </w:pPr>
      <w:r w:rsidRPr="00515A58">
        <w:rPr>
          <w:rFonts w:ascii="Times New Roman" w:hAnsi="Times New Roman" w:cs="Times New Roman"/>
          <w:sz w:val="24"/>
          <w:szCs w:val="24"/>
        </w:rPr>
        <w:t>T</w:t>
      </w:r>
      <w:r w:rsidR="008D2C16" w:rsidRPr="00515A58">
        <w:rPr>
          <w:rFonts w:ascii="Times New Roman" w:hAnsi="Times New Roman" w:cs="Times New Roman"/>
          <w:sz w:val="24"/>
          <w:szCs w:val="24"/>
        </w:rPr>
        <w:t xml:space="preserve">he project team will develop and populate a comprehensive and hierarchical Geographical Information Systems (GIS) database of states, counties, municipalities, </w:t>
      </w:r>
      <w:r w:rsidRPr="00515A58">
        <w:rPr>
          <w:rFonts w:ascii="Times New Roman" w:hAnsi="Times New Roman" w:cs="Times New Roman"/>
          <w:sz w:val="24"/>
          <w:szCs w:val="24"/>
        </w:rPr>
        <w:t xml:space="preserve">and </w:t>
      </w:r>
      <w:r w:rsidR="008D2C16" w:rsidRPr="00515A58">
        <w:rPr>
          <w:rFonts w:ascii="Times New Roman" w:hAnsi="Times New Roman" w:cs="Times New Roman"/>
          <w:sz w:val="24"/>
          <w:szCs w:val="24"/>
        </w:rPr>
        <w:t xml:space="preserve">neighborhoods that </w:t>
      </w:r>
      <w:r w:rsidRPr="00515A58">
        <w:rPr>
          <w:rFonts w:ascii="Times New Roman" w:hAnsi="Times New Roman" w:cs="Times New Roman"/>
          <w:sz w:val="24"/>
          <w:szCs w:val="24"/>
        </w:rPr>
        <w:t xml:space="preserve">have </w:t>
      </w:r>
      <w:r w:rsidR="00262C46" w:rsidRPr="00515A58">
        <w:rPr>
          <w:rFonts w:ascii="Times New Roman" w:hAnsi="Times New Roman" w:cs="Times New Roman"/>
          <w:sz w:val="24"/>
          <w:szCs w:val="24"/>
        </w:rPr>
        <w:t>policies and programs</w:t>
      </w:r>
      <w:r w:rsidR="0017080B" w:rsidRPr="00515A58">
        <w:rPr>
          <w:rFonts w:ascii="Times New Roman" w:hAnsi="Times New Roman" w:cs="Times New Roman"/>
          <w:sz w:val="24"/>
          <w:szCs w:val="24"/>
        </w:rPr>
        <w:t xml:space="preserve"> </w:t>
      </w:r>
      <w:r w:rsidR="00911E2F" w:rsidRPr="00515A58">
        <w:rPr>
          <w:rFonts w:ascii="Times New Roman" w:hAnsi="Times New Roman" w:cs="Times New Roman"/>
          <w:sz w:val="24"/>
          <w:szCs w:val="24"/>
        </w:rPr>
        <w:t>targeting</w:t>
      </w:r>
      <w:r w:rsidR="0017080B" w:rsidRPr="00515A58">
        <w:rPr>
          <w:rFonts w:ascii="Times New Roman" w:hAnsi="Times New Roman" w:cs="Times New Roman"/>
          <w:sz w:val="24"/>
          <w:szCs w:val="24"/>
        </w:rPr>
        <w:t xml:space="preserve"> childhood obesity.  A hierarchical structure </w:t>
      </w:r>
      <w:proofErr w:type="gramStart"/>
      <w:r w:rsidR="0017080B" w:rsidRPr="00515A58">
        <w:rPr>
          <w:rFonts w:ascii="Times New Roman" w:hAnsi="Times New Roman" w:cs="Times New Roman"/>
          <w:sz w:val="24"/>
          <w:szCs w:val="24"/>
        </w:rPr>
        <w:t>is needed</w:t>
      </w:r>
      <w:proofErr w:type="gramEnd"/>
      <w:r w:rsidR="0017080B" w:rsidRPr="00515A58">
        <w:rPr>
          <w:rFonts w:ascii="Times New Roman" w:hAnsi="Times New Roman" w:cs="Times New Roman"/>
          <w:sz w:val="24"/>
          <w:szCs w:val="24"/>
        </w:rPr>
        <w:t xml:space="preserve"> because programs and policies will be implemented at differing levels of geographic specificity, most of which will not be consistent with the high-school catchment area definition of a community that is being used in this study.  GIS software </w:t>
      </w:r>
      <w:proofErr w:type="gramStart"/>
      <w:r w:rsidR="0017080B" w:rsidRPr="00515A58">
        <w:rPr>
          <w:rFonts w:ascii="Times New Roman" w:hAnsi="Times New Roman" w:cs="Times New Roman"/>
          <w:sz w:val="24"/>
          <w:szCs w:val="24"/>
        </w:rPr>
        <w:t>will be used</w:t>
      </w:r>
      <w:proofErr w:type="gramEnd"/>
      <w:r w:rsidR="0017080B" w:rsidRPr="00515A58">
        <w:rPr>
          <w:rFonts w:ascii="Times New Roman" w:hAnsi="Times New Roman" w:cs="Times New Roman"/>
          <w:sz w:val="24"/>
          <w:szCs w:val="24"/>
        </w:rPr>
        <w:t xml:space="preserve"> to associate</w:t>
      </w:r>
      <w:r w:rsidR="00EE6E09" w:rsidRPr="00515A58">
        <w:rPr>
          <w:rFonts w:ascii="Times New Roman" w:hAnsi="Times New Roman" w:cs="Times New Roman"/>
          <w:sz w:val="24"/>
          <w:szCs w:val="24"/>
        </w:rPr>
        <w:t xml:space="preserve"> census tracts, school districts, and</w:t>
      </w:r>
      <w:r w:rsidR="0017080B" w:rsidRPr="00515A58">
        <w:rPr>
          <w:rFonts w:ascii="Times New Roman" w:hAnsi="Times New Roman" w:cs="Times New Roman"/>
          <w:sz w:val="24"/>
          <w:szCs w:val="24"/>
        </w:rPr>
        <w:t xml:space="preserve"> high-school catchment areas with broader geographic boundaries and vice versa.  The database </w:t>
      </w:r>
      <w:proofErr w:type="gramStart"/>
      <w:r w:rsidR="0017080B" w:rsidRPr="00515A58">
        <w:rPr>
          <w:rFonts w:ascii="Times New Roman" w:hAnsi="Times New Roman" w:cs="Times New Roman"/>
          <w:sz w:val="24"/>
          <w:szCs w:val="24"/>
        </w:rPr>
        <w:t>will be used</w:t>
      </w:r>
      <w:proofErr w:type="gramEnd"/>
      <w:r w:rsidR="0017080B" w:rsidRPr="00515A58">
        <w:rPr>
          <w:rFonts w:ascii="Times New Roman" w:hAnsi="Times New Roman" w:cs="Times New Roman"/>
          <w:sz w:val="24"/>
          <w:szCs w:val="24"/>
        </w:rPr>
        <w:t xml:space="preserve"> for the selection of certainty communities, the stratification of counties in the design, and to leverage an existing GIS database (Advancing the Movement) developed with support from the National Collaborative on Childhood Obesity Research (NCCOR).   </w:t>
      </w:r>
    </w:p>
    <w:p w:rsidR="004116D2" w:rsidRPr="00515A58" w:rsidRDefault="004116D2">
      <w:pPr>
        <w:pStyle w:val="proptext10"/>
        <w:spacing w:after="0"/>
        <w:rPr>
          <w:rFonts w:ascii="Times New Roman" w:hAnsi="Times New Roman" w:cs="Times New Roman"/>
          <w:sz w:val="24"/>
          <w:szCs w:val="24"/>
        </w:rPr>
      </w:pPr>
    </w:p>
    <w:p w:rsidR="004116D2" w:rsidRPr="00515A58" w:rsidRDefault="008D2C16">
      <w:pPr>
        <w:pStyle w:val="proptext10"/>
        <w:spacing w:after="0"/>
        <w:rPr>
          <w:rFonts w:ascii="Times New Roman" w:hAnsi="Times New Roman" w:cs="Times New Roman"/>
          <w:sz w:val="24"/>
          <w:szCs w:val="24"/>
        </w:rPr>
      </w:pPr>
      <w:r w:rsidRPr="00515A58">
        <w:rPr>
          <w:rFonts w:ascii="Times New Roman" w:hAnsi="Times New Roman" w:cs="Times New Roman"/>
          <w:sz w:val="24"/>
          <w:szCs w:val="24"/>
        </w:rPr>
        <w:t xml:space="preserve">The GIS database </w:t>
      </w:r>
      <w:proofErr w:type="gramStart"/>
      <w:r w:rsidRPr="00515A58">
        <w:rPr>
          <w:rFonts w:ascii="Times New Roman" w:hAnsi="Times New Roman" w:cs="Times New Roman"/>
          <w:sz w:val="24"/>
          <w:szCs w:val="24"/>
        </w:rPr>
        <w:t>will be used</w:t>
      </w:r>
      <w:proofErr w:type="gramEnd"/>
      <w:r w:rsidRPr="00515A58">
        <w:rPr>
          <w:rFonts w:ascii="Times New Roman" w:hAnsi="Times New Roman" w:cs="Times New Roman"/>
          <w:sz w:val="24"/>
          <w:szCs w:val="24"/>
        </w:rPr>
        <w:t xml:space="preserve"> to develop a pre-selection scoring of communities and counties.</w:t>
      </w:r>
      <w:r w:rsidR="003F4CB9" w:rsidRPr="00515A58">
        <w:rPr>
          <w:rFonts w:ascii="Times New Roman" w:hAnsi="Times New Roman" w:cs="Times New Roman"/>
          <w:sz w:val="24"/>
          <w:szCs w:val="24"/>
        </w:rPr>
        <w:t xml:space="preserve">  </w:t>
      </w:r>
      <w:r w:rsidRPr="00515A58">
        <w:rPr>
          <w:rFonts w:ascii="Times New Roman" w:hAnsi="Times New Roman" w:cs="Times New Roman"/>
          <w:sz w:val="24"/>
          <w:szCs w:val="24"/>
        </w:rPr>
        <w:t>Variables that will contribute to this pre-selection scoring include the following:</w:t>
      </w:r>
    </w:p>
    <w:p w:rsidR="004116D2" w:rsidRPr="00515A58" w:rsidRDefault="0017080B">
      <w:pPr>
        <w:pStyle w:val="proptext10"/>
        <w:numPr>
          <w:ilvl w:val="0"/>
          <w:numId w:val="18"/>
        </w:numPr>
        <w:spacing w:after="0"/>
        <w:rPr>
          <w:rFonts w:ascii="Times New Roman" w:hAnsi="Times New Roman" w:cs="Times New Roman"/>
          <w:sz w:val="24"/>
          <w:szCs w:val="24"/>
        </w:rPr>
      </w:pPr>
      <w:r w:rsidRPr="00515A58">
        <w:rPr>
          <w:rFonts w:ascii="Times New Roman" w:hAnsi="Times New Roman" w:cs="Times New Roman"/>
          <w:sz w:val="24"/>
          <w:szCs w:val="24"/>
        </w:rPr>
        <w:t>Annualized per-capita funding received for childhood obesity program implementation  (population size defined by Census 2010 Population estimates for the number of children aged 3-15 years)</w:t>
      </w:r>
    </w:p>
    <w:p w:rsidR="004116D2" w:rsidRPr="00515A58" w:rsidRDefault="0017080B">
      <w:pPr>
        <w:pStyle w:val="proptext10"/>
        <w:numPr>
          <w:ilvl w:val="0"/>
          <w:numId w:val="18"/>
        </w:numPr>
        <w:spacing w:after="0"/>
        <w:rPr>
          <w:rFonts w:ascii="Times New Roman" w:hAnsi="Times New Roman" w:cs="Times New Roman"/>
          <w:sz w:val="24"/>
          <w:szCs w:val="24"/>
        </w:rPr>
      </w:pPr>
      <w:r w:rsidRPr="00515A58">
        <w:rPr>
          <w:rFonts w:ascii="Times New Roman" w:hAnsi="Times New Roman" w:cs="Times New Roman"/>
          <w:sz w:val="24"/>
          <w:szCs w:val="24"/>
        </w:rPr>
        <w:t>Duration of programs and policies identified</w:t>
      </w:r>
    </w:p>
    <w:p w:rsidR="004116D2" w:rsidRPr="00515A58" w:rsidRDefault="0017080B">
      <w:pPr>
        <w:pStyle w:val="proptext10"/>
        <w:numPr>
          <w:ilvl w:val="0"/>
          <w:numId w:val="18"/>
        </w:numPr>
        <w:spacing w:after="0"/>
        <w:rPr>
          <w:rFonts w:ascii="Times New Roman" w:hAnsi="Times New Roman" w:cs="Times New Roman"/>
          <w:sz w:val="24"/>
          <w:szCs w:val="24"/>
        </w:rPr>
      </w:pPr>
      <w:r w:rsidRPr="00515A58">
        <w:rPr>
          <w:rFonts w:ascii="Times New Roman" w:hAnsi="Times New Roman" w:cs="Times New Roman"/>
          <w:sz w:val="24"/>
          <w:szCs w:val="24"/>
        </w:rPr>
        <w:t>Whether the program or policy was developed and implemented at the community, county or state/regional level</w:t>
      </w:r>
    </w:p>
    <w:p w:rsidR="004116D2" w:rsidRPr="00515A58" w:rsidRDefault="0017080B">
      <w:pPr>
        <w:pStyle w:val="proptext10"/>
        <w:numPr>
          <w:ilvl w:val="0"/>
          <w:numId w:val="18"/>
        </w:numPr>
        <w:spacing w:after="0"/>
        <w:rPr>
          <w:rFonts w:ascii="Times New Roman" w:hAnsi="Times New Roman" w:cs="Times New Roman"/>
          <w:sz w:val="24"/>
          <w:szCs w:val="24"/>
        </w:rPr>
      </w:pPr>
      <w:r w:rsidRPr="00515A58">
        <w:rPr>
          <w:rFonts w:ascii="Times New Roman" w:hAnsi="Times New Roman" w:cs="Times New Roman"/>
          <w:sz w:val="24"/>
          <w:szCs w:val="24"/>
        </w:rPr>
        <w:t>Number of programs and policies identified</w:t>
      </w:r>
    </w:p>
    <w:p w:rsidR="004116D2" w:rsidRPr="00515A58" w:rsidRDefault="0017080B">
      <w:pPr>
        <w:pStyle w:val="proptext10"/>
        <w:numPr>
          <w:ilvl w:val="0"/>
          <w:numId w:val="18"/>
        </w:numPr>
        <w:spacing w:after="0"/>
        <w:rPr>
          <w:rFonts w:ascii="Times New Roman" w:hAnsi="Times New Roman" w:cs="Times New Roman"/>
          <w:sz w:val="24"/>
          <w:szCs w:val="24"/>
        </w:rPr>
      </w:pPr>
      <w:r w:rsidRPr="00515A58">
        <w:rPr>
          <w:rFonts w:ascii="Times New Roman" w:hAnsi="Times New Roman" w:cs="Times New Roman"/>
          <w:sz w:val="24"/>
          <w:szCs w:val="24"/>
        </w:rPr>
        <w:t>Number of independent nominations received by members of the HCS Steering Committee</w:t>
      </w:r>
    </w:p>
    <w:p w:rsidR="004116D2" w:rsidRPr="00515A58" w:rsidRDefault="004116D2">
      <w:pPr>
        <w:pStyle w:val="proptext10"/>
        <w:spacing w:after="0"/>
        <w:ind w:left="720"/>
        <w:rPr>
          <w:rFonts w:ascii="Times New Roman" w:hAnsi="Times New Roman" w:cs="Times New Roman"/>
          <w:sz w:val="24"/>
          <w:szCs w:val="24"/>
        </w:rPr>
      </w:pPr>
    </w:p>
    <w:p w:rsidR="004116D2" w:rsidRPr="00515A58" w:rsidRDefault="008D2C16">
      <w:pPr>
        <w:pStyle w:val="BHNormal"/>
        <w:rPr>
          <w:szCs w:val="24"/>
        </w:rPr>
      </w:pPr>
      <w:r w:rsidRPr="00515A58">
        <w:rPr>
          <w:szCs w:val="24"/>
        </w:rPr>
        <w:t xml:space="preserve">To populate the GIS database, multiple approaches </w:t>
      </w:r>
      <w:proofErr w:type="gramStart"/>
      <w:r w:rsidRPr="00515A58">
        <w:rPr>
          <w:szCs w:val="24"/>
        </w:rPr>
        <w:t>will be employed</w:t>
      </w:r>
      <w:proofErr w:type="gramEnd"/>
      <w:r w:rsidRPr="00515A58">
        <w:rPr>
          <w:szCs w:val="24"/>
        </w:rPr>
        <w:t xml:space="preserve"> while using a standardized </w:t>
      </w:r>
      <w:r w:rsidR="00CE4F8B" w:rsidRPr="00515A58">
        <w:rPr>
          <w:szCs w:val="24"/>
        </w:rPr>
        <w:t>information-gathering</w:t>
      </w:r>
      <w:r w:rsidRPr="00515A58">
        <w:rPr>
          <w:szCs w:val="24"/>
        </w:rPr>
        <w:t xml:space="preserve"> template as shown in </w:t>
      </w:r>
      <w:r w:rsidR="00BA2355" w:rsidRPr="00515A58">
        <w:rPr>
          <w:szCs w:val="24"/>
        </w:rPr>
        <w:t>Attachment 1</w:t>
      </w:r>
      <w:r w:rsidRPr="00515A58">
        <w:rPr>
          <w:szCs w:val="24"/>
        </w:rPr>
        <w:t xml:space="preserve">. </w:t>
      </w:r>
      <w:r w:rsidR="00821321" w:rsidRPr="00515A58">
        <w:rPr>
          <w:szCs w:val="24"/>
        </w:rPr>
        <w:t xml:space="preserve"> </w:t>
      </w:r>
      <w:r w:rsidRPr="00515A58">
        <w:rPr>
          <w:szCs w:val="24"/>
        </w:rPr>
        <w:t xml:space="preserve">This template </w:t>
      </w:r>
      <w:proofErr w:type="gramStart"/>
      <w:r w:rsidRPr="00515A58">
        <w:rPr>
          <w:szCs w:val="24"/>
        </w:rPr>
        <w:t>will be used</w:t>
      </w:r>
      <w:proofErr w:type="gramEnd"/>
      <w:r w:rsidRPr="00515A58">
        <w:rPr>
          <w:szCs w:val="24"/>
        </w:rPr>
        <w:t xml:space="preserve"> to gather pre-selection information on programs and policies that occur at different levels of geographic specificity (state, county, municipality, </w:t>
      </w:r>
      <w:r w:rsidR="0017080B" w:rsidRPr="00515A58">
        <w:rPr>
          <w:szCs w:val="24"/>
        </w:rPr>
        <w:t xml:space="preserve">or neighborhood).  The sources of data that we will use to populate the GIS database </w:t>
      </w:r>
      <w:proofErr w:type="gramStart"/>
      <w:r w:rsidR="0017080B" w:rsidRPr="00515A58">
        <w:rPr>
          <w:szCs w:val="24"/>
        </w:rPr>
        <w:t>are listed</w:t>
      </w:r>
      <w:proofErr w:type="gramEnd"/>
      <w:r w:rsidR="0017080B" w:rsidRPr="00515A58">
        <w:rPr>
          <w:szCs w:val="24"/>
        </w:rPr>
        <w:t xml:space="preserve"> below:</w:t>
      </w:r>
    </w:p>
    <w:p w:rsidR="004116D2" w:rsidRPr="00515A58" w:rsidRDefault="004116D2">
      <w:pPr>
        <w:pStyle w:val="BHNormal"/>
        <w:rPr>
          <w:szCs w:val="24"/>
        </w:rPr>
      </w:pPr>
    </w:p>
    <w:p w:rsidR="004116D2" w:rsidRPr="00515A58" w:rsidRDefault="0017080B">
      <w:pPr>
        <w:pStyle w:val="BHNormal"/>
        <w:numPr>
          <w:ilvl w:val="0"/>
          <w:numId w:val="23"/>
        </w:numPr>
        <w:ind w:left="360"/>
        <w:rPr>
          <w:szCs w:val="24"/>
        </w:rPr>
      </w:pPr>
      <w:r w:rsidRPr="00515A58">
        <w:rPr>
          <w:b/>
          <w:i/>
          <w:szCs w:val="24"/>
        </w:rPr>
        <w:t>HCS Steering Committee Members</w:t>
      </w:r>
      <w:r w:rsidRPr="00515A58">
        <w:rPr>
          <w:szCs w:val="24"/>
        </w:rPr>
        <w:t xml:space="preserve">:  We will include recommendations/nominations of specific communities to </w:t>
      </w:r>
      <w:proofErr w:type="gramStart"/>
      <w:r w:rsidRPr="00515A58">
        <w:rPr>
          <w:szCs w:val="24"/>
        </w:rPr>
        <w:t>be considered</w:t>
      </w:r>
      <w:proofErr w:type="gramEnd"/>
      <w:r w:rsidRPr="00515A58">
        <w:rPr>
          <w:szCs w:val="24"/>
        </w:rPr>
        <w:t xml:space="preserve"> as </w:t>
      </w:r>
      <w:r w:rsidR="006B1D1C" w:rsidRPr="00515A58">
        <w:rPr>
          <w:szCs w:val="24"/>
        </w:rPr>
        <w:t xml:space="preserve">candidates for </w:t>
      </w:r>
      <w:r w:rsidRPr="00515A58">
        <w:rPr>
          <w:szCs w:val="24"/>
        </w:rPr>
        <w:t xml:space="preserve">certainty communities from members of the HCS Steering Committee (or their designees).  The person nominating a community will provide information using the template shown in Attachment 1.  A variable will be captured in the GIS database to indicate that a particular community was recommended by one or more members of the Steering Committee – one of the factors that </w:t>
      </w:r>
      <w:proofErr w:type="gramStart"/>
      <w:r w:rsidRPr="00515A58">
        <w:rPr>
          <w:szCs w:val="24"/>
        </w:rPr>
        <w:t>is</w:t>
      </w:r>
      <w:proofErr w:type="gramEnd"/>
      <w:r w:rsidRPr="00515A58">
        <w:rPr>
          <w:szCs w:val="24"/>
        </w:rPr>
        <w:t xml:space="preserve"> used to stratify communities as described below in Section B.1.b.2.</w:t>
      </w:r>
    </w:p>
    <w:p w:rsidR="004116D2" w:rsidRPr="00515A58" w:rsidRDefault="004116D2">
      <w:pPr>
        <w:pStyle w:val="BHNormal"/>
        <w:ind w:left="360"/>
        <w:rPr>
          <w:szCs w:val="24"/>
        </w:rPr>
      </w:pPr>
    </w:p>
    <w:p w:rsidR="004116D2" w:rsidRPr="00515A58" w:rsidRDefault="008D2C16">
      <w:pPr>
        <w:pStyle w:val="BHNormal"/>
        <w:numPr>
          <w:ilvl w:val="0"/>
          <w:numId w:val="23"/>
        </w:numPr>
        <w:ind w:left="360"/>
        <w:rPr>
          <w:szCs w:val="24"/>
        </w:rPr>
      </w:pPr>
      <w:r w:rsidRPr="00515A58">
        <w:rPr>
          <w:b/>
          <w:i/>
          <w:szCs w:val="24"/>
        </w:rPr>
        <w:t xml:space="preserve">Federal </w:t>
      </w:r>
      <w:r w:rsidR="00EB629A" w:rsidRPr="00515A58">
        <w:rPr>
          <w:b/>
          <w:i/>
          <w:szCs w:val="24"/>
        </w:rPr>
        <w:t>F</w:t>
      </w:r>
      <w:r w:rsidRPr="00515A58">
        <w:rPr>
          <w:b/>
          <w:i/>
          <w:szCs w:val="24"/>
        </w:rPr>
        <w:t>unders</w:t>
      </w:r>
      <w:r w:rsidRPr="00515A58">
        <w:rPr>
          <w:szCs w:val="24"/>
        </w:rPr>
        <w:t>:  We will perform a census of the large federally supported programs</w:t>
      </w:r>
      <w:r w:rsidR="008E4F9B" w:rsidRPr="00515A58">
        <w:rPr>
          <w:szCs w:val="24"/>
        </w:rPr>
        <w:t>,</w:t>
      </w:r>
      <w:r w:rsidRPr="00515A58">
        <w:rPr>
          <w:szCs w:val="24"/>
        </w:rPr>
        <w:t xml:space="preserve"> such as </w:t>
      </w:r>
      <w:r w:rsidR="001575A8" w:rsidRPr="00515A58">
        <w:rPr>
          <w:szCs w:val="24"/>
        </w:rPr>
        <w:t>the National Heart, Lung, and Blood Institute</w:t>
      </w:r>
      <w:r w:rsidRPr="00515A58">
        <w:rPr>
          <w:szCs w:val="24"/>
        </w:rPr>
        <w:t>’s</w:t>
      </w:r>
      <w:r w:rsidR="001575A8" w:rsidRPr="00515A58">
        <w:rPr>
          <w:szCs w:val="24"/>
        </w:rPr>
        <w:t xml:space="preserve"> (NHLBI’s)</w:t>
      </w:r>
      <w:r w:rsidR="0017080B" w:rsidRPr="00515A58">
        <w:rPr>
          <w:szCs w:val="24"/>
        </w:rPr>
        <w:t xml:space="preserve"> </w:t>
      </w:r>
      <w:proofErr w:type="gramStart"/>
      <w:r w:rsidR="0017080B" w:rsidRPr="00515A58">
        <w:rPr>
          <w:b/>
          <w:i/>
          <w:szCs w:val="24"/>
        </w:rPr>
        <w:t>We</w:t>
      </w:r>
      <w:proofErr w:type="gramEnd"/>
      <w:r w:rsidR="0017080B" w:rsidRPr="00515A58">
        <w:rPr>
          <w:b/>
          <w:i/>
          <w:szCs w:val="24"/>
        </w:rPr>
        <w:t xml:space="preserve"> Can! </w:t>
      </w:r>
      <w:r w:rsidR="0017080B" w:rsidRPr="00515A58">
        <w:rPr>
          <w:szCs w:val="24"/>
        </w:rPr>
        <w:t>(</w:t>
      </w:r>
      <w:r w:rsidR="0017080B" w:rsidRPr="00515A58">
        <w:rPr>
          <w:b/>
          <w:szCs w:val="24"/>
        </w:rPr>
        <w:t>W</w:t>
      </w:r>
      <w:r w:rsidR="0017080B" w:rsidRPr="00515A58">
        <w:rPr>
          <w:szCs w:val="24"/>
        </w:rPr>
        <w:t xml:space="preserve">ays to </w:t>
      </w:r>
      <w:r w:rsidR="0017080B" w:rsidRPr="00515A58">
        <w:rPr>
          <w:b/>
          <w:szCs w:val="24"/>
        </w:rPr>
        <w:t>E</w:t>
      </w:r>
      <w:r w:rsidR="0017080B" w:rsidRPr="00515A58">
        <w:rPr>
          <w:szCs w:val="24"/>
        </w:rPr>
        <w:t xml:space="preserve">nhance </w:t>
      </w:r>
      <w:r w:rsidR="0017080B" w:rsidRPr="00515A58">
        <w:rPr>
          <w:b/>
          <w:szCs w:val="24"/>
        </w:rPr>
        <w:lastRenderedPageBreak/>
        <w:t>C</w:t>
      </w:r>
      <w:r w:rsidR="0017080B" w:rsidRPr="00515A58">
        <w:rPr>
          <w:szCs w:val="24"/>
        </w:rPr>
        <w:t xml:space="preserve">hildren’s </w:t>
      </w:r>
      <w:r w:rsidR="0017080B" w:rsidRPr="00515A58">
        <w:rPr>
          <w:b/>
          <w:szCs w:val="24"/>
        </w:rPr>
        <w:t>A</w:t>
      </w:r>
      <w:r w:rsidR="0017080B" w:rsidRPr="00515A58">
        <w:rPr>
          <w:szCs w:val="24"/>
        </w:rPr>
        <w:t xml:space="preserve">ctivity &amp; </w:t>
      </w:r>
      <w:r w:rsidR="0017080B" w:rsidRPr="00515A58">
        <w:rPr>
          <w:b/>
          <w:szCs w:val="24"/>
        </w:rPr>
        <w:t>N</w:t>
      </w:r>
      <w:r w:rsidR="0017080B" w:rsidRPr="00515A58">
        <w:rPr>
          <w:szCs w:val="24"/>
        </w:rPr>
        <w:t>utrition)</w:t>
      </w:r>
      <w:r w:rsidR="0017080B" w:rsidRPr="00515A58">
        <w:rPr>
          <w:b/>
          <w:i/>
          <w:szCs w:val="24"/>
        </w:rPr>
        <w:t xml:space="preserve">® </w:t>
      </w:r>
      <w:r w:rsidR="0017080B" w:rsidRPr="00515A58">
        <w:rPr>
          <w:szCs w:val="24"/>
        </w:rPr>
        <w:t xml:space="preserve"> program, and the Centers for Disease Control and Prevention’s (CDC’s) Communities Putting Prevention to Work (CPPW) program, to gather  information on program characteristics (i.e., community name, level of geographic specificity funded, level of funding, duration of funding, and general information about the program goals).</w:t>
      </w:r>
    </w:p>
    <w:p w:rsidR="004116D2" w:rsidRPr="00515A58" w:rsidRDefault="004116D2">
      <w:pPr>
        <w:pStyle w:val="ListParagraph"/>
        <w:spacing w:after="0" w:line="240" w:lineRule="auto"/>
        <w:rPr>
          <w:sz w:val="24"/>
          <w:szCs w:val="24"/>
        </w:rPr>
      </w:pPr>
    </w:p>
    <w:p w:rsidR="004116D2" w:rsidRPr="00515A58" w:rsidRDefault="008D2C16">
      <w:pPr>
        <w:pStyle w:val="BHNormal"/>
        <w:numPr>
          <w:ilvl w:val="0"/>
          <w:numId w:val="23"/>
        </w:numPr>
        <w:ind w:left="360"/>
        <w:rPr>
          <w:szCs w:val="24"/>
        </w:rPr>
      </w:pPr>
      <w:r w:rsidRPr="00515A58">
        <w:rPr>
          <w:b/>
          <w:i/>
          <w:szCs w:val="24"/>
        </w:rPr>
        <w:t>Non-federal</w:t>
      </w:r>
      <w:r w:rsidR="00FD68D5" w:rsidRPr="00515A58">
        <w:rPr>
          <w:b/>
          <w:i/>
          <w:szCs w:val="24"/>
        </w:rPr>
        <w:t xml:space="preserve"> F</w:t>
      </w:r>
      <w:r w:rsidRPr="00515A58">
        <w:rPr>
          <w:b/>
          <w:i/>
          <w:szCs w:val="24"/>
        </w:rPr>
        <w:t>unders</w:t>
      </w:r>
      <w:r w:rsidRPr="00515A58">
        <w:rPr>
          <w:szCs w:val="24"/>
        </w:rPr>
        <w:t xml:space="preserve">:  We will contact members of the Convergence Partnership, a collaboration of large </w:t>
      </w:r>
      <w:r w:rsidR="00CE4F8B" w:rsidRPr="00515A58">
        <w:rPr>
          <w:szCs w:val="24"/>
        </w:rPr>
        <w:t xml:space="preserve">funders of </w:t>
      </w:r>
      <w:r w:rsidRPr="00515A58">
        <w:rPr>
          <w:szCs w:val="24"/>
        </w:rPr>
        <w:t xml:space="preserve">childhood obesity programs, to </w:t>
      </w:r>
      <w:r w:rsidR="005C04F3" w:rsidRPr="00515A58">
        <w:rPr>
          <w:szCs w:val="24"/>
        </w:rPr>
        <w:t xml:space="preserve">gather data on </w:t>
      </w:r>
      <w:r w:rsidRPr="00515A58">
        <w:rPr>
          <w:szCs w:val="24"/>
        </w:rPr>
        <w:t xml:space="preserve">programs they fund. </w:t>
      </w:r>
      <w:r w:rsidR="00E80283" w:rsidRPr="00515A58">
        <w:rPr>
          <w:szCs w:val="24"/>
        </w:rPr>
        <w:t xml:space="preserve"> </w:t>
      </w:r>
      <w:r w:rsidRPr="00515A58">
        <w:rPr>
          <w:szCs w:val="24"/>
        </w:rPr>
        <w:t xml:space="preserve">The Convergence Partnership includes the California Endowment, Kaiser Permanente, the </w:t>
      </w:r>
      <w:proofErr w:type="spellStart"/>
      <w:r w:rsidRPr="00515A58">
        <w:rPr>
          <w:szCs w:val="24"/>
        </w:rPr>
        <w:t>Kresge</w:t>
      </w:r>
      <w:proofErr w:type="spellEnd"/>
      <w:r w:rsidRPr="00515A58">
        <w:rPr>
          <w:szCs w:val="24"/>
        </w:rPr>
        <w:t xml:space="preserve"> Foundation, Nemours, the Kellogg </w:t>
      </w:r>
      <w:r w:rsidR="00B60A89" w:rsidRPr="00515A58">
        <w:rPr>
          <w:szCs w:val="24"/>
        </w:rPr>
        <w:t>Foundation,</w:t>
      </w:r>
      <w:r w:rsidRPr="00515A58">
        <w:rPr>
          <w:szCs w:val="24"/>
        </w:rPr>
        <w:t xml:space="preserve"> and CDC. </w:t>
      </w:r>
      <w:r w:rsidR="005C04F3" w:rsidRPr="00515A58">
        <w:rPr>
          <w:szCs w:val="24"/>
        </w:rPr>
        <w:t xml:space="preserve"> </w:t>
      </w:r>
      <w:r w:rsidR="0017080B" w:rsidRPr="00515A58">
        <w:rPr>
          <w:szCs w:val="24"/>
        </w:rPr>
        <w:t xml:space="preserve">A maximum of nine non-federal entities </w:t>
      </w:r>
      <w:proofErr w:type="gramStart"/>
      <w:r w:rsidR="0017080B" w:rsidRPr="00515A58">
        <w:rPr>
          <w:szCs w:val="24"/>
        </w:rPr>
        <w:t>will be contacted</w:t>
      </w:r>
      <w:proofErr w:type="gramEnd"/>
      <w:r w:rsidR="0017080B" w:rsidRPr="00515A58">
        <w:rPr>
          <w:szCs w:val="24"/>
        </w:rPr>
        <w:t xml:space="preserve"> prior to Office of Management and Budget (OMB) approval.  We will ask program funders to complete the information-gathering template for communities that were funded to reduce childhood obesity over the past decade (i.e., community name, level of geographic specificity funded, </w:t>
      </w:r>
      <w:proofErr w:type="gramStart"/>
      <w:r w:rsidR="0017080B" w:rsidRPr="00515A58">
        <w:rPr>
          <w:szCs w:val="24"/>
        </w:rPr>
        <w:t>level</w:t>
      </w:r>
      <w:proofErr w:type="gramEnd"/>
      <w:r w:rsidR="0017080B" w:rsidRPr="00515A58">
        <w:rPr>
          <w:szCs w:val="24"/>
        </w:rPr>
        <w:t xml:space="preserve"> of funding, duration of funding and general information about the program goals).</w:t>
      </w:r>
    </w:p>
    <w:p w:rsidR="004116D2" w:rsidRPr="00515A58" w:rsidRDefault="004116D2">
      <w:pPr>
        <w:pStyle w:val="BHNormal"/>
        <w:ind w:left="360"/>
        <w:rPr>
          <w:szCs w:val="24"/>
        </w:rPr>
      </w:pPr>
    </w:p>
    <w:p w:rsidR="004116D2" w:rsidRPr="00515A58" w:rsidRDefault="008D2C16">
      <w:pPr>
        <w:pStyle w:val="BHNormal"/>
        <w:numPr>
          <w:ilvl w:val="0"/>
          <w:numId w:val="23"/>
        </w:numPr>
        <w:ind w:left="360"/>
        <w:rPr>
          <w:szCs w:val="24"/>
        </w:rPr>
      </w:pPr>
      <w:r w:rsidRPr="00515A58">
        <w:rPr>
          <w:b/>
          <w:i/>
          <w:szCs w:val="24"/>
        </w:rPr>
        <w:t xml:space="preserve">Online </w:t>
      </w:r>
      <w:r w:rsidR="00FD68D5" w:rsidRPr="00515A58">
        <w:rPr>
          <w:b/>
          <w:i/>
          <w:szCs w:val="24"/>
        </w:rPr>
        <w:t>P</w:t>
      </w:r>
      <w:r w:rsidRPr="00515A58">
        <w:rPr>
          <w:b/>
          <w:i/>
          <w:szCs w:val="24"/>
        </w:rPr>
        <w:t xml:space="preserve">olicy </w:t>
      </w:r>
      <w:r w:rsidR="00FD68D5" w:rsidRPr="00515A58">
        <w:rPr>
          <w:b/>
          <w:i/>
          <w:szCs w:val="24"/>
        </w:rPr>
        <w:t>D</w:t>
      </w:r>
      <w:r w:rsidRPr="00515A58">
        <w:rPr>
          <w:b/>
          <w:i/>
          <w:szCs w:val="24"/>
        </w:rPr>
        <w:t>atabases</w:t>
      </w:r>
      <w:r w:rsidRPr="00515A58">
        <w:rPr>
          <w:szCs w:val="24"/>
        </w:rPr>
        <w:t xml:space="preserve">: </w:t>
      </w:r>
      <w:r w:rsidR="00E80283" w:rsidRPr="00515A58">
        <w:rPr>
          <w:szCs w:val="24"/>
        </w:rPr>
        <w:t xml:space="preserve"> </w:t>
      </w:r>
      <w:r w:rsidRPr="00515A58">
        <w:rPr>
          <w:szCs w:val="24"/>
        </w:rPr>
        <w:t xml:space="preserve">We will research </w:t>
      </w:r>
      <w:r w:rsidR="00167DF3" w:rsidRPr="00515A58">
        <w:rPr>
          <w:szCs w:val="24"/>
        </w:rPr>
        <w:t xml:space="preserve">national, </w:t>
      </w:r>
      <w:r w:rsidRPr="00515A58">
        <w:rPr>
          <w:szCs w:val="24"/>
        </w:rPr>
        <w:t xml:space="preserve">state </w:t>
      </w:r>
      <w:r w:rsidR="00167DF3" w:rsidRPr="00515A58">
        <w:rPr>
          <w:szCs w:val="24"/>
        </w:rPr>
        <w:t xml:space="preserve">and </w:t>
      </w:r>
      <w:r w:rsidRPr="00515A58">
        <w:rPr>
          <w:szCs w:val="24"/>
        </w:rPr>
        <w:t xml:space="preserve">local policies that affect childhood obesity, such as those adopted by the state of Arkansas to promote BMI evaluation and appropriate nutritional and physical activity follow-up among school-aged children. </w:t>
      </w:r>
      <w:r w:rsidR="004421CE" w:rsidRPr="00515A58">
        <w:rPr>
          <w:szCs w:val="24"/>
        </w:rPr>
        <w:t xml:space="preserve"> </w:t>
      </w:r>
      <w:r w:rsidR="0017080B" w:rsidRPr="00515A58">
        <w:rPr>
          <w:szCs w:val="24"/>
        </w:rPr>
        <w:t xml:space="preserve">There are multiple documented public databases available, which provide information about such policies, including nutritional and physical activity policies in schools (e.g., the National Cancer Institute’s (NCI’s) Classification of Laws Associated with School Students database).  These policies </w:t>
      </w:r>
      <w:proofErr w:type="gramStart"/>
      <w:r w:rsidR="0017080B" w:rsidRPr="00515A58">
        <w:rPr>
          <w:szCs w:val="24"/>
        </w:rPr>
        <w:t>will also be incorporated</w:t>
      </w:r>
      <w:proofErr w:type="gramEnd"/>
      <w:r w:rsidR="0017080B" w:rsidRPr="00515A58">
        <w:rPr>
          <w:szCs w:val="24"/>
        </w:rPr>
        <w:t xml:space="preserve"> into the GIS database, including duration of policy and level of geographic specificity (school district, town/city, county, state).</w:t>
      </w:r>
    </w:p>
    <w:p w:rsidR="004116D2" w:rsidRPr="00515A58" w:rsidRDefault="004116D2">
      <w:pPr>
        <w:pStyle w:val="ListParagraph"/>
        <w:spacing w:after="0"/>
        <w:rPr>
          <w:sz w:val="24"/>
          <w:szCs w:val="24"/>
        </w:rPr>
      </w:pPr>
    </w:p>
    <w:p w:rsidR="004116D2" w:rsidRPr="00515A58" w:rsidRDefault="008D2C16">
      <w:pPr>
        <w:pStyle w:val="BHNormal"/>
        <w:numPr>
          <w:ilvl w:val="0"/>
          <w:numId w:val="23"/>
        </w:numPr>
        <w:ind w:left="360"/>
        <w:rPr>
          <w:szCs w:val="24"/>
        </w:rPr>
      </w:pPr>
      <w:r w:rsidRPr="00515A58">
        <w:rPr>
          <w:b/>
          <w:i/>
          <w:szCs w:val="24"/>
        </w:rPr>
        <w:t>State Health Departments</w:t>
      </w:r>
      <w:r w:rsidRPr="00515A58">
        <w:rPr>
          <w:szCs w:val="24"/>
        </w:rPr>
        <w:t xml:space="preserve">: </w:t>
      </w:r>
      <w:r w:rsidR="004421CE" w:rsidRPr="00515A58">
        <w:rPr>
          <w:szCs w:val="24"/>
        </w:rPr>
        <w:t xml:space="preserve"> </w:t>
      </w:r>
      <w:r w:rsidRPr="00515A58">
        <w:rPr>
          <w:szCs w:val="24"/>
        </w:rPr>
        <w:t xml:space="preserve">Following OMB approval, we will survey leaders </w:t>
      </w:r>
      <w:r w:rsidR="002C235F" w:rsidRPr="00515A58">
        <w:rPr>
          <w:szCs w:val="24"/>
        </w:rPr>
        <w:t xml:space="preserve">involved in combating childhood obesity </w:t>
      </w:r>
      <w:r w:rsidRPr="00515A58">
        <w:rPr>
          <w:szCs w:val="24"/>
        </w:rPr>
        <w:t>within each state (most likely the head of the Chronic Disease Prevention program within the State Health Department)</w:t>
      </w:r>
      <w:r w:rsidR="00B60A89" w:rsidRPr="00515A58">
        <w:rPr>
          <w:szCs w:val="24"/>
        </w:rPr>
        <w:t xml:space="preserve">.  </w:t>
      </w:r>
      <w:r w:rsidRPr="00515A58">
        <w:rPr>
          <w:szCs w:val="24"/>
        </w:rPr>
        <w:t xml:space="preserve">We will ask these </w:t>
      </w:r>
      <w:r w:rsidR="00CE4F8B" w:rsidRPr="00515A58">
        <w:rPr>
          <w:szCs w:val="24"/>
        </w:rPr>
        <w:t>state leaders</w:t>
      </w:r>
      <w:r w:rsidR="0017080B" w:rsidRPr="00515A58">
        <w:rPr>
          <w:szCs w:val="24"/>
        </w:rPr>
        <w:t xml:space="preserve"> to complete the information-gathering template in </w:t>
      </w:r>
      <w:r w:rsidR="00BF2907" w:rsidRPr="00515A58">
        <w:rPr>
          <w:szCs w:val="24"/>
        </w:rPr>
        <w:t xml:space="preserve">Supporting Statement </w:t>
      </w:r>
      <w:proofErr w:type="gramStart"/>
      <w:r w:rsidR="00BF2907" w:rsidRPr="00515A58">
        <w:rPr>
          <w:szCs w:val="24"/>
        </w:rPr>
        <w:t>A</w:t>
      </w:r>
      <w:proofErr w:type="gramEnd"/>
      <w:r w:rsidR="00BF2907" w:rsidRPr="00515A58">
        <w:rPr>
          <w:szCs w:val="24"/>
        </w:rPr>
        <w:t xml:space="preserve"> Attachment 18</w:t>
      </w:r>
      <w:r w:rsidR="0017080B" w:rsidRPr="00515A58">
        <w:rPr>
          <w:szCs w:val="24"/>
        </w:rPr>
        <w:t>.</w:t>
      </w:r>
    </w:p>
    <w:p w:rsidR="004116D2" w:rsidRPr="00515A58" w:rsidRDefault="004116D2">
      <w:pPr>
        <w:pStyle w:val="BHNormal"/>
        <w:ind w:left="360"/>
        <w:rPr>
          <w:szCs w:val="24"/>
        </w:rPr>
      </w:pPr>
    </w:p>
    <w:p w:rsidR="004116D2" w:rsidRPr="00515A58" w:rsidRDefault="008D2C16">
      <w:pPr>
        <w:pStyle w:val="BHNormal"/>
        <w:numPr>
          <w:ilvl w:val="0"/>
          <w:numId w:val="23"/>
        </w:numPr>
        <w:ind w:left="360"/>
        <w:rPr>
          <w:szCs w:val="24"/>
        </w:rPr>
      </w:pPr>
      <w:r w:rsidRPr="00515A58">
        <w:rPr>
          <w:b/>
          <w:i/>
          <w:szCs w:val="24"/>
        </w:rPr>
        <w:t xml:space="preserve">General Program/Policy </w:t>
      </w:r>
      <w:r w:rsidR="00FD68D5" w:rsidRPr="00515A58">
        <w:rPr>
          <w:b/>
          <w:i/>
          <w:szCs w:val="24"/>
        </w:rPr>
        <w:t>I</w:t>
      </w:r>
      <w:r w:rsidRPr="00515A58">
        <w:rPr>
          <w:b/>
          <w:i/>
          <w:szCs w:val="24"/>
        </w:rPr>
        <w:t>nformation</w:t>
      </w:r>
      <w:r w:rsidRPr="00515A58">
        <w:rPr>
          <w:szCs w:val="24"/>
        </w:rPr>
        <w:t xml:space="preserve">: </w:t>
      </w:r>
      <w:r w:rsidR="004C4843" w:rsidRPr="00515A58">
        <w:rPr>
          <w:szCs w:val="24"/>
        </w:rPr>
        <w:t xml:space="preserve"> </w:t>
      </w:r>
      <w:r w:rsidRPr="00515A58">
        <w:rPr>
          <w:szCs w:val="24"/>
        </w:rPr>
        <w:t>In data gathering</w:t>
      </w:r>
      <w:r w:rsidR="00FF78F3" w:rsidRPr="00515A58">
        <w:rPr>
          <w:szCs w:val="24"/>
        </w:rPr>
        <w:t xml:space="preserve"> (</w:t>
      </w:r>
      <w:r w:rsidRPr="00515A58">
        <w:rPr>
          <w:szCs w:val="24"/>
        </w:rPr>
        <w:t>before</w:t>
      </w:r>
      <w:r w:rsidRPr="00515A58">
        <w:rPr>
          <w:i/>
          <w:szCs w:val="24"/>
        </w:rPr>
        <w:t xml:space="preserve"> </w:t>
      </w:r>
      <w:r w:rsidRPr="00515A58">
        <w:rPr>
          <w:szCs w:val="24"/>
        </w:rPr>
        <w:t>and after OMB approval</w:t>
      </w:r>
      <w:r w:rsidR="00FF78F3" w:rsidRPr="00515A58">
        <w:rPr>
          <w:szCs w:val="24"/>
        </w:rPr>
        <w:t>)</w:t>
      </w:r>
      <w:r w:rsidR="00A87346" w:rsidRPr="00515A58">
        <w:rPr>
          <w:szCs w:val="24"/>
        </w:rPr>
        <w:t>,</w:t>
      </w:r>
      <w:r w:rsidRPr="00515A58">
        <w:rPr>
          <w:szCs w:val="24"/>
        </w:rPr>
        <w:t xml:space="preserve"> we will conduct initial outreach via e-mail to </w:t>
      </w:r>
      <w:r w:rsidR="0017080B" w:rsidRPr="00515A58">
        <w:rPr>
          <w:szCs w:val="24"/>
        </w:rPr>
        <w:t xml:space="preserve">set up telephone appointments with funders/sponsors of programs and policies (e.g., YMCA) to gather general information, key documents (via e-mail, mail, links to </w:t>
      </w:r>
      <w:r w:rsidR="00570B93" w:rsidRPr="00515A58">
        <w:rPr>
          <w:szCs w:val="24"/>
        </w:rPr>
        <w:t>W</w:t>
      </w:r>
      <w:r w:rsidR="0017080B" w:rsidRPr="00515A58">
        <w:rPr>
          <w:szCs w:val="24"/>
        </w:rPr>
        <w:t xml:space="preserve">ebsites, etc.), funding levels, and duration of funding within specific geographic areas via databases.  We will ask these organizations to provide us with available information regarding their programs and policies, but we will not ask them to complete any sort of questionnaire.  Thus, there will not be any participant burden from these individuals. </w:t>
      </w:r>
    </w:p>
    <w:p w:rsidR="004116D2" w:rsidRPr="00515A58" w:rsidRDefault="004116D2">
      <w:pPr>
        <w:pStyle w:val="ListParagraph"/>
        <w:spacing w:after="0"/>
        <w:rPr>
          <w:sz w:val="24"/>
          <w:szCs w:val="24"/>
        </w:rPr>
      </w:pPr>
    </w:p>
    <w:p w:rsidR="004116D2" w:rsidRPr="00515A58" w:rsidRDefault="00AA5DB2" w:rsidP="00756E94">
      <w:pPr>
        <w:pStyle w:val="BHNormal"/>
        <w:rPr>
          <w:b/>
          <w:i/>
          <w:szCs w:val="24"/>
        </w:rPr>
      </w:pPr>
      <w:bookmarkStart w:id="11" w:name="_Toc299107923"/>
      <w:r w:rsidRPr="00515A58">
        <w:rPr>
          <w:b/>
          <w:i/>
          <w:szCs w:val="24"/>
        </w:rPr>
        <w:t xml:space="preserve">B.1.b.2   </w:t>
      </w:r>
      <w:r w:rsidR="008D2C16" w:rsidRPr="00515A58">
        <w:rPr>
          <w:b/>
          <w:i/>
          <w:szCs w:val="24"/>
        </w:rPr>
        <w:t>Selection of Communities for Nationally Representative Sample</w:t>
      </w:r>
      <w:bookmarkEnd w:id="11"/>
    </w:p>
    <w:p w:rsidR="008D2C16" w:rsidRPr="00515A58" w:rsidRDefault="008D2C16" w:rsidP="00A76A72">
      <w:pPr>
        <w:pStyle w:val="BHNormal"/>
        <w:rPr>
          <w:szCs w:val="24"/>
        </w:rPr>
      </w:pPr>
      <w:r w:rsidRPr="00515A58">
        <w:rPr>
          <w:szCs w:val="24"/>
        </w:rPr>
        <w:t xml:space="preserve">We plan to select the first 195 communities </w:t>
      </w:r>
      <w:r w:rsidR="00B8172D" w:rsidRPr="00515A58">
        <w:rPr>
          <w:szCs w:val="24"/>
        </w:rPr>
        <w:t xml:space="preserve">in Wave 2 </w:t>
      </w:r>
      <w:r w:rsidRPr="00515A58">
        <w:rPr>
          <w:szCs w:val="24"/>
        </w:rPr>
        <w:t xml:space="preserve">using a stratified probability-based approach to </w:t>
      </w:r>
      <w:r w:rsidR="00B8172D" w:rsidRPr="00515A58">
        <w:rPr>
          <w:szCs w:val="24"/>
        </w:rPr>
        <w:t xml:space="preserve">make </w:t>
      </w:r>
      <w:r w:rsidRPr="00515A58">
        <w:rPr>
          <w:szCs w:val="24"/>
        </w:rPr>
        <w:t xml:space="preserve">inferences </w:t>
      </w:r>
      <w:r w:rsidR="00B8172D" w:rsidRPr="00515A58">
        <w:rPr>
          <w:szCs w:val="24"/>
        </w:rPr>
        <w:t xml:space="preserve">based on </w:t>
      </w:r>
      <w:r w:rsidRPr="00515A58">
        <w:rPr>
          <w:szCs w:val="24"/>
        </w:rPr>
        <w:t xml:space="preserve">nationally representative estimates from the study. </w:t>
      </w:r>
      <w:r w:rsidR="00EE6E09" w:rsidRPr="00515A58">
        <w:rPr>
          <w:szCs w:val="24"/>
        </w:rPr>
        <w:t xml:space="preserve">Following this approach, we will group census tracts into strata based on race/ethnicity, </w:t>
      </w:r>
      <w:proofErr w:type="spellStart"/>
      <w:r w:rsidR="00EE6E09" w:rsidRPr="00515A58">
        <w:rPr>
          <w:szCs w:val="24"/>
        </w:rPr>
        <w:t>urbanicity</w:t>
      </w:r>
      <w:proofErr w:type="spellEnd"/>
      <w:r w:rsidR="00EE6E09" w:rsidRPr="00515A58">
        <w:rPr>
          <w:szCs w:val="24"/>
        </w:rPr>
        <w:t>, income, region of the county, and pre-selection score – followed by selection of census tracts from the strata using a probability proportional to size algorithm (where size refers to the number of children aged 3-15 years in each census tract ba</w:t>
      </w:r>
      <w:r w:rsidR="00800E99" w:rsidRPr="00515A58">
        <w:rPr>
          <w:szCs w:val="24"/>
        </w:rPr>
        <w:t>s</w:t>
      </w:r>
      <w:r w:rsidR="00EE6E09" w:rsidRPr="00515A58">
        <w:rPr>
          <w:szCs w:val="24"/>
        </w:rPr>
        <w:t xml:space="preserve">ed on Census 2010 data).  </w:t>
      </w:r>
      <w:r w:rsidR="00800E99" w:rsidRPr="00515A58">
        <w:rPr>
          <w:szCs w:val="24"/>
        </w:rPr>
        <w:lastRenderedPageBreak/>
        <w:t xml:space="preserve">After each </w:t>
      </w:r>
      <w:r w:rsidR="00EE6E09" w:rsidRPr="00515A58">
        <w:rPr>
          <w:szCs w:val="24"/>
        </w:rPr>
        <w:t xml:space="preserve">census tract </w:t>
      </w:r>
      <w:r w:rsidR="00800E99" w:rsidRPr="00515A58">
        <w:rPr>
          <w:szCs w:val="24"/>
        </w:rPr>
        <w:t>is</w:t>
      </w:r>
      <w:r w:rsidR="00EE6E09" w:rsidRPr="00515A58">
        <w:rPr>
          <w:szCs w:val="24"/>
        </w:rPr>
        <w:t xml:space="preserve"> selected, our </w:t>
      </w:r>
      <w:proofErr w:type="gramStart"/>
      <w:r w:rsidR="00EE6E09" w:rsidRPr="00515A58">
        <w:rPr>
          <w:szCs w:val="24"/>
        </w:rPr>
        <w:t>team will</w:t>
      </w:r>
      <w:proofErr w:type="gramEnd"/>
      <w:r w:rsidR="00EE6E09" w:rsidRPr="00515A58">
        <w:rPr>
          <w:szCs w:val="24"/>
        </w:rPr>
        <w:t xml:space="preserve"> </w:t>
      </w:r>
      <w:proofErr w:type="spellStart"/>
      <w:r w:rsidR="00EE6E09" w:rsidRPr="00515A58">
        <w:rPr>
          <w:szCs w:val="24"/>
        </w:rPr>
        <w:t>termine</w:t>
      </w:r>
      <w:proofErr w:type="spellEnd"/>
      <w:r w:rsidR="00EE6E09" w:rsidRPr="00515A58">
        <w:rPr>
          <w:szCs w:val="24"/>
        </w:rPr>
        <w:t xml:space="preserve"> which high-school catchment area </w:t>
      </w:r>
      <w:r w:rsidR="00800E99" w:rsidRPr="00515A58">
        <w:rPr>
          <w:szCs w:val="24"/>
        </w:rPr>
        <w:t>contain</w:t>
      </w:r>
      <w:r w:rsidR="00EE6E09" w:rsidRPr="00515A58">
        <w:rPr>
          <w:szCs w:val="24"/>
        </w:rPr>
        <w:t xml:space="preserve">s the majority of the population from within the selected census tract to identify the </w:t>
      </w:r>
      <w:r w:rsidR="00800E99" w:rsidRPr="00515A58">
        <w:rPr>
          <w:szCs w:val="24"/>
        </w:rPr>
        <w:t xml:space="preserve">specific </w:t>
      </w:r>
      <w:r w:rsidR="00EE6E09" w:rsidRPr="00515A58">
        <w:rPr>
          <w:szCs w:val="24"/>
        </w:rPr>
        <w:t>community for</w:t>
      </w:r>
      <w:r w:rsidR="00800E99" w:rsidRPr="00515A58">
        <w:rPr>
          <w:szCs w:val="24"/>
        </w:rPr>
        <w:t xml:space="preserve"> inclusion into</w:t>
      </w:r>
      <w:r w:rsidR="00EE6E09" w:rsidRPr="00515A58">
        <w:rPr>
          <w:szCs w:val="24"/>
        </w:rPr>
        <w:t xml:space="preserve"> the study</w:t>
      </w:r>
      <w:r w:rsidR="0017080B" w:rsidRPr="00515A58">
        <w:rPr>
          <w:szCs w:val="24"/>
        </w:rPr>
        <w:t>.</w:t>
      </w:r>
    </w:p>
    <w:p w:rsidR="00EE6E09" w:rsidRPr="00515A58" w:rsidRDefault="00EE6E09" w:rsidP="00A76A72">
      <w:pPr>
        <w:pStyle w:val="BHNormal"/>
        <w:rPr>
          <w:szCs w:val="24"/>
        </w:rPr>
      </w:pPr>
    </w:p>
    <w:p w:rsidR="00800E99" w:rsidRPr="00515A58" w:rsidRDefault="00EE6E09" w:rsidP="00A76A72">
      <w:pPr>
        <w:pStyle w:val="BHNormal"/>
        <w:rPr>
          <w:szCs w:val="24"/>
        </w:rPr>
      </w:pPr>
      <w:r w:rsidRPr="00515A58">
        <w:rPr>
          <w:szCs w:val="24"/>
        </w:rPr>
        <w:t xml:space="preserve">It </w:t>
      </w:r>
      <w:proofErr w:type="gramStart"/>
      <w:r w:rsidRPr="00515A58">
        <w:rPr>
          <w:szCs w:val="24"/>
        </w:rPr>
        <w:t>should be noted</w:t>
      </w:r>
      <w:proofErr w:type="gramEnd"/>
      <w:r w:rsidRPr="00515A58">
        <w:rPr>
          <w:szCs w:val="24"/>
        </w:rPr>
        <w:t xml:space="preserve"> that the research team investigated multiple options for drawing the sample</w:t>
      </w:r>
      <w:r w:rsidR="004207AB" w:rsidRPr="00515A58">
        <w:rPr>
          <w:szCs w:val="24"/>
        </w:rPr>
        <w:t xml:space="preserve">, with a strong preference of stratifying the nation based on high-school attendance boundaries.  Unfortunately – these boundaries change </w:t>
      </w:r>
      <w:r w:rsidR="00800E99" w:rsidRPr="00515A58">
        <w:rPr>
          <w:szCs w:val="24"/>
        </w:rPr>
        <w:t xml:space="preserve">frequently </w:t>
      </w:r>
      <w:r w:rsidR="004207AB" w:rsidRPr="00515A58">
        <w:rPr>
          <w:szCs w:val="24"/>
        </w:rPr>
        <w:t xml:space="preserve">based on district needs (e.g., efficient assignment of students to different schools within a district) – and there is no current universal data source that captures this information systematically across the entire US.  </w:t>
      </w:r>
      <w:r w:rsidR="00800E99" w:rsidRPr="00515A58">
        <w:rPr>
          <w:szCs w:val="24"/>
        </w:rPr>
        <w:t xml:space="preserve">Therefore, it would be difficult to develop an appropriate sampling frame for the study based on high-school catchment area.  We considered a two-stage sampling scheme – with sampling at the first stage at the county or school district level, followed by identification of high-school catchment areas within selected counties or district at the second stage of sampling.  Our investigation into this method revealed that the level of specificity in our stratification variables (race/ethnicity, </w:t>
      </w:r>
      <w:proofErr w:type="spellStart"/>
      <w:r w:rsidR="00800E99" w:rsidRPr="00515A58">
        <w:rPr>
          <w:szCs w:val="24"/>
        </w:rPr>
        <w:t>urbanicity</w:t>
      </w:r>
      <w:proofErr w:type="spellEnd"/>
      <w:r w:rsidR="00800E99" w:rsidRPr="00515A58">
        <w:rPr>
          <w:szCs w:val="24"/>
        </w:rPr>
        <w:t xml:space="preserve"> and income) became diluted within these larger areas (counties and districts), leading to suboptimal stratification.</w:t>
      </w:r>
    </w:p>
    <w:p w:rsidR="00800E99" w:rsidRPr="00515A58" w:rsidRDefault="00800E99" w:rsidP="00A76A72">
      <w:pPr>
        <w:pStyle w:val="BHNormal"/>
        <w:rPr>
          <w:szCs w:val="24"/>
        </w:rPr>
      </w:pPr>
    </w:p>
    <w:p w:rsidR="00EE6E09" w:rsidRPr="00515A58" w:rsidRDefault="004207AB" w:rsidP="00A76A72">
      <w:pPr>
        <w:pStyle w:val="BHNormal"/>
        <w:rPr>
          <w:szCs w:val="24"/>
        </w:rPr>
      </w:pPr>
      <w:r w:rsidRPr="00515A58">
        <w:rPr>
          <w:szCs w:val="24"/>
        </w:rPr>
        <w:t xml:space="preserve">Therefore, the stratified sampling of census tracts </w:t>
      </w:r>
      <w:proofErr w:type="gramStart"/>
      <w:r w:rsidRPr="00515A58">
        <w:rPr>
          <w:szCs w:val="24"/>
        </w:rPr>
        <w:t>was selected</w:t>
      </w:r>
      <w:proofErr w:type="gramEnd"/>
      <w:r w:rsidRPr="00515A58">
        <w:rPr>
          <w:szCs w:val="24"/>
        </w:rPr>
        <w:t xml:space="preserve"> as the best option for drawing an appropriate sample of communities into the study. </w:t>
      </w:r>
    </w:p>
    <w:p w:rsidR="008D2C16" w:rsidRPr="00515A58" w:rsidRDefault="008D2C16" w:rsidP="00A76A72">
      <w:pPr>
        <w:pStyle w:val="BHNormal"/>
        <w:rPr>
          <w:szCs w:val="24"/>
        </w:rPr>
      </w:pPr>
    </w:p>
    <w:p w:rsidR="00C43FAF" w:rsidRPr="00515A58" w:rsidRDefault="004207AB">
      <w:pPr>
        <w:pStyle w:val="BHNormal"/>
        <w:rPr>
          <w:szCs w:val="24"/>
        </w:rPr>
      </w:pPr>
      <w:r w:rsidRPr="00515A58">
        <w:rPr>
          <w:szCs w:val="24"/>
        </w:rPr>
        <w:t xml:space="preserve">The stratification variables used to classify census tracts </w:t>
      </w:r>
      <w:proofErr w:type="gramStart"/>
      <w:r w:rsidRPr="00515A58">
        <w:rPr>
          <w:szCs w:val="24"/>
        </w:rPr>
        <w:t>are detailed</w:t>
      </w:r>
      <w:proofErr w:type="gramEnd"/>
      <w:r w:rsidRPr="00515A58">
        <w:rPr>
          <w:szCs w:val="24"/>
        </w:rPr>
        <w:t xml:space="preserve"> further below:</w:t>
      </w:r>
    </w:p>
    <w:p w:rsidR="00C43FAF" w:rsidRPr="00515A58" w:rsidRDefault="00C43FAF">
      <w:pPr>
        <w:pStyle w:val="BHNormal"/>
        <w:rPr>
          <w:sz w:val="20"/>
          <w:szCs w:val="20"/>
        </w:rPr>
      </w:pPr>
    </w:p>
    <w:p w:rsidR="00C43FAF" w:rsidRPr="00515A58" w:rsidRDefault="0017080B">
      <w:pPr>
        <w:pStyle w:val="BHNormal"/>
        <w:numPr>
          <w:ilvl w:val="0"/>
          <w:numId w:val="20"/>
        </w:numPr>
        <w:rPr>
          <w:szCs w:val="24"/>
        </w:rPr>
      </w:pPr>
      <w:r w:rsidRPr="00515A58">
        <w:rPr>
          <w:szCs w:val="24"/>
        </w:rPr>
        <w:t>Region of the Country</w:t>
      </w:r>
    </w:p>
    <w:p w:rsidR="00C43FAF" w:rsidRPr="00515A58" w:rsidRDefault="00C43FAF">
      <w:pPr>
        <w:pStyle w:val="BHNormal"/>
        <w:ind w:left="1080"/>
        <w:rPr>
          <w:sz w:val="20"/>
          <w:szCs w:val="20"/>
        </w:rPr>
      </w:pPr>
    </w:p>
    <w:tbl>
      <w:tblPr>
        <w:tblW w:w="0" w:type="auto"/>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3"/>
        <w:gridCol w:w="4812"/>
        <w:gridCol w:w="1565"/>
      </w:tblGrid>
      <w:tr w:rsidR="008D2C16" w:rsidRPr="00515A58" w:rsidTr="008F4014">
        <w:trPr>
          <w:jc w:val="center"/>
        </w:trPr>
        <w:tc>
          <w:tcPr>
            <w:tcW w:w="1453" w:type="dxa"/>
            <w:shd w:val="clear" w:color="auto" w:fill="C6D9F1" w:themeFill="text2" w:themeFillTint="33"/>
          </w:tcPr>
          <w:p w:rsidR="00C43FAF" w:rsidRPr="00515A58" w:rsidRDefault="0017080B">
            <w:pPr>
              <w:pStyle w:val="BHNormal"/>
              <w:autoSpaceDE w:val="0"/>
              <w:autoSpaceDN w:val="0"/>
              <w:rPr>
                <w:rFonts w:eastAsia="Times New Roman"/>
                <w:b/>
                <w:sz w:val="20"/>
                <w:szCs w:val="20"/>
              </w:rPr>
            </w:pPr>
            <w:r w:rsidRPr="00515A58">
              <w:rPr>
                <w:rFonts w:eastAsia="Times New Roman"/>
                <w:b/>
                <w:sz w:val="20"/>
                <w:szCs w:val="20"/>
              </w:rPr>
              <w:t>Region</w:t>
            </w:r>
          </w:p>
        </w:tc>
        <w:tc>
          <w:tcPr>
            <w:tcW w:w="4812" w:type="dxa"/>
            <w:shd w:val="clear" w:color="auto" w:fill="C6D9F1" w:themeFill="text2" w:themeFillTint="33"/>
          </w:tcPr>
          <w:p w:rsidR="00C43FAF" w:rsidRPr="00515A58" w:rsidRDefault="0017080B">
            <w:pPr>
              <w:pStyle w:val="BHNormal"/>
              <w:autoSpaceDE w:val="0"/>
              <w:autoSpaceDN w:val="0"/>
              <w:rPr>
                <w:rFonts w:eastAsia="Times New Roman"/>
                <w:b/>
                <w:sz w:val="20"/>
                <w:szCs w:val="20"/>
              </w:rPr>
            </w:pPr>
            <w:r w:rsidRPr="00515A58">
              <w:rPr>
                <w:rFonts w:eastAsia="Times New Roman"/>
                <w:b/>
                <w:sz w:val="20"/>
                <w:szCs w:val="20"/>
              </w:rPr>
              <w:t>States included</w:t>
            </w:r>
          </w:p>
        </w:tc>
        <w:tc>
          <w:tcPr>
            <w:tcW w:w="1565" w:type="dxa"/>
            <w:shd w:val="clear" w:color="auto" w:fill="C6D9F1" w:themeFill="text2" w:themeFillTint="33"/>
          </w:tcPr>
          <w:p w:rsidR="00C43FAF" w:rsidRPr="00515A58" w:rsidRDefault="0017080B">
            <w:pPr>
              <w:pStyle w:val="BHNormal"/>
              <w:autoSpaceDE w:val="0"/>
              <w:autoSpaceDN w:val="0"/>
              <w:rPr>
                <w:rFonts w:eastAsia="Times New Roman"/>
                <w:b/>
                <w:sz w:val="20"/>
                <w:szCs w:val="20"/>
              </w:rPr>
            </w:pPr>
            <w:r w:rsidRPr="00515A58">
              <w:rPr>
                <w:rFonts w:eastAsia="Times New Roman"/>
                <w:b/>
                <w:sz w:val="20"/>
                <w:szCs w:val="20"/>
              </w:rPr>
              <w:t>HHS Regions</w:t>
            </w:r>
          </w:p>
        </w:tc>
      </w:tr>
      <w:tr w:rsidR="008D2C16" w:rsidRPr="00515A58" w:rsidTr="008D2C16">
        <w:trPr>
          <w:jc w:val="center"/>
        </w:trPr>
        <w:tc>
          <w:tcPr>
            <w:tcW w:w="1453"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1 (Northeast)</w:t>
            </w:r>
          </w:p>
        </w:tc>
        <w:tc>
          <w:tcPr>
            <w:tcW w:w="4812" w:type="dxa"/>
          </w:tcPr>
          <w:p w:rsidR="008D2C16" w:rsidRPr="00515A58" w:rsidRDefault="008D2C16" w:rsidP="00A76A72">
            <w:pPr>
              <w:pStyle w:val="BHNormal"/>
              <w:autoSpaceDE w:val="0"/>
              <w:autoSpaceDN w:val="0"/>
              <w:rPr>
                <w:rFonts w:eastAsia="Times New Roman"/>
                <w:sz w:val="20"/>
                <w:szCs w:val="20"/>
                <w:lang w:val="fr-FR"/>
              </w:rPr>
            </w:pPr>
            <w:r w:rsidRPr="00515A58">
              <w:rPr>
                <w:rFonts w:eastAsia="Times New Roman"/>
                <w:sz w:val="20"/>
                <w:szCs w:val="20"/>
                <w:lang w:val="fr-FR"/>
              </w:rPr>
              <w:t>CT,DE,DC,MA,MD,ME,NH,NJ,NY,PA,RI,VA,VT,WV</w:t>
            </w:r>
          </w:p>
        </w:tc>
        <w:tc>
          <w:tcPr>
            <w:tcW w:w="1565"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 xml:space="preserve">I, II, and III   </w:t>
            </w:r>
          </w:p>
        </w:tc>
      </w:tr>
      <w:tr w:rsidR="008D2C16" w:rsidRPr="00515A58" w:rsidTr="008D2C16">
        <w:trPr>
          <w:jc w:val="center"/>
        </w:trPr>
        <w:tc>
          <w:tcPr>
            <w:tcW w:w="1453"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2 (Midwest)</w:t>
            </w:r>
          </w:p>
        </w:tc>
        <w:tc>
          <w:tcPr>
            <w:tcW w:w="4812"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IA,IL,IN,KS,MI,MO,MN,NE,OH,WI</w:t>
            </w:r>
          </w:p>
        </w:tc>
        <w:tc>
          <w:tcPr>
            <w:tcW w:w="1565"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V and VII</w:t>
            </w:r>
          </w:p>
        </w:tc>
      </w:tr>
      <w:tr w:rsidR="008D2C16" w:rsidRPr="00515A58" w:rsidTr="008D2C16">
        <w:trPr>
          <w:jc w:val="center"/>
        </w:trPr>
        <w:tc>
          <w:tcPr>
            <w:tcW w:w="1453"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3 (Southeast)</w:t>
            </w:r>
          </w:p>
        </w:tc>
        <w:tc>
          <w:tcPr>
            <w:tcW w:w="4812"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AL, FL,GA,KY,MS,NC,SC,TN</w:t>
            </w:r>
          </w:p>
        </w:tc>
        <w:tc>
          <w:tcPr>
            <w:tcW w:w="1565"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 xml:space="preserve">IV       </w:t>
            </w:r>
          </w:p>
        </w:tc>
      </w:tr>
      <w:tr w:rsidR="008D2C16" w:rsidRPr="00515A58" w:rsidTr="008D2C16">
        <w:trPr>
          <w:jc w:val="center"/>
        </w:trPr>
        <w:tc>
          <w:tcPr>
            <w:tcW w:w="1453"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4 (Central)</w:t>
            </w:r>
          </w:p>
        </w:tc>
        <w:tc>
          <w:tcPr>
            <w:tcW w:w="4812"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AR,CO,LA,MT,ND,NM,OK,SD,TX,UT,WY</w:t>
            </w:r>
          </w:p>
        </w:tc>
        <w:tc>
          <w:tcPr>
            <w:tcW w:w="1565"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VI and VIII</w:t>
            </w:r>
          </w:p>
        </w:tc>
      </w:tr>
      <w:tr w:rsidR="008D2C16" w:rsidRPr="00515A58" w:rsidTr="008D2C16">
        <w:trPr>
          <w:jc w:val="center"/>
        </w:trPr>
        <w:tc>
          <w:tcPr>
            <w:tcW w:w="1453"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5 (West)</w:t>
            </w:r>
          </w:p>
        </w:tc>
        <w:tc>
          <w:tcPr>
            <w:tcW w:w="4812"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AK,AZ,CA,HI,ID,NV,OR,WA</w:t>
            </w:r>
          </w:p>
        </w:tc>
        <w:tc>
          <w:tcPr>
            <w:tcW w:w="1565" w:type="dxa"/>
          </w:tcPr>
          <w:p w:rsidR="008D2C16" w:rsidRPr="00515A58" w:rsidRDefault="008D2C16" w:rsidP="00A76A72">
            <w:pPr>
              <w:pStyle w:val="BHNormal"/>
              <w:autoSpaceDE w:val="0"/>
              <w:autoSpaceDN w:val="0"/>
              <w:rPr>
                <w:rFonts w:eastAsia="Times New Roman"/>
                <w:sz w:val="20"/>
                <w:szCs w:val="20"/>
              </w:rPr>
            </w:pPr>
            <w:r w:rsidRPr="00515A58">
              <w:rPr>
                <w:rFonts w:eastAsia="Times New Roman"/>
                <w:sz w:val="20"/>
                <w:szCs w:val="20"/>
              </w:rPr>
              <w:t xml:space="preserve">IX and X  </w:t>
            </w:r>
          </w:p>
        </w:tc>
      </w:tr>
    </w:tbl>
    <w:p w:rsidR="008D2C16" w:rsidRPr="00515A58" w:rsidRDefault="008D2C16" w:rsidP="00A76A72">
      <w:pPr>
        <w:pStyle w:val="BHNormal"/>
        <w:ind w:left="1080"/>
        <w:rPr>
          <w:sz w:val="20"/>
          <w:szCs w:val="20"/>
        </w:rPr>
      </w:pPr>
      <w:r w:rsidRPr="00515A58">
        <w:rPr>
          <w:sz w:val="20"/>
          <w:szCs w:val="20"/>
        </w:rPr>
        <w:t xml:space="preserve"> </w:t>
      </w:r>
    </w:p>
    <w:p w:rsidR="004207AB" w:rsidRPr="00515A58" w:rsidRDefault="008D2C16" w:rsidP="00A76A72">
      <w:pPr>
        <w:pStyle w:val="BHNormal"/>
        <w:numPr>
          <w:ilvl w:val="0"/>
          <w:numId w:val="20"/>
        </w:numPr>
        <w:rPr>
          <w:szCs w:val="24"/>
        </w:rPr>
      </w:pPr>
      <w:r w:rsidRPr="00515A58">
        <w:rPr>
          <w:szCs w:val="24"/>
        </w:rPr>
        <w:t>Urban / Suburban / Rural designation</w:t>
      </w:r>
    </w:p>
    <w:p w:rsidR="009A3B6D" w:rsidRPr="00515A58" w:rsidRDefault="009A3B6D">
      <w:pPr>
        <w:pStyle w:val="BHNormal"/>
        <w:ind w:left="720"/>
        <w:rPr>
          <w:szCs w:val="24"/>
        </w:rPr>
      </w:pPr>
    </w:p>
    <w:p w:rsidR="009A3B6D" w:rsidRPr="00515A58" w:rsidRDefault="00DF0983">
      <w:pPr>
        <w:ind w:left="720"/>
        <w:rPr>
          <w:sz w:val="24"/>
        </w:rPr>
      </w:pPr>
      <w:r w:rsidRPr="00515A58">
        <w:rPr>
          <w:sz w:val="24"/>
        </w:rPr>
        <w:t xml:space="preserve">The methodology we are utilizing for </w:t>
      </w:r>
      <w:r w:rsidR="004207AB" w:rsidRPr="00515A58">
        <w:rPr>
          <w:sz w:val="24"/>
        </w:rPr>
        <w:t>urban/suburban/rural designation</w:t>
      </w:r>
      <w:r w:rsidRPr="00515A58">
        <w:rPr>
          <w:sz w:val="24"/>
        </w:rPr>
        <w:t xml:space="preserve"> is based on the Rural-Urban Commuting Area (RUCA) </w:t>
      </w:r>
      <w:proofErr w:type="gramStart"/>
      <w:r w:rsidRPr="00515A58">
        <w:rPr>
          <w:sz w:val="24"/>
        </w:rPr>
        <w:t>system which was developed</w:t>
      </w:r>
      <w:proofErr w:type="gramEnd"/>
      <w:r w:rsidRPr="00515A58">
        <w:rPr>
          <w:sz w:val="24"/>
        </w:rPr>
        <w:t xml:space="preserve"> by the U.S. Departments of Agriculture and Health and Human Services and a multi-state/university collaborative in the 1990s.  This system uses commuting patterns to distinguish between urban, suburban, large rural, and small rural areas (vs. the more simplistic urban/rural designation provided by the Census).  The RUCA system classifies each census tract based on the following characteristics:</w:t>
      </w:r>
    </w:p>
    <w:p w:rsidR="009A3B6D" w:rsidRPr="00515A58" w:rsidRDefault="00DF0983">
      <w:pPr>
        <w:pStyle w:val="BHNormal"/>
        <w:numPr>
          <w:ilvl w:val="1"/>
          <w:numId w:val="31"/>
        </w:numPr>
        <w:rPr>
          <w:szCs w:val="24"/>
        </w:rPr>
      </w:pPr>
      <w:r w:rsidRPr="00515A58">
        <w:rPr>
          <w:b/>
          <w:bCs/>
          <w:szCs w:val="24"/>
        </w:rPr>
        <w:t>Urban Core</w:t>
      </w:r>
      <w:r w:rsidRPr="00515A58">
        <w:rPr>
          <w:szCs w:val="24"/>
        </w:rPr>
        <w:t xml:space="preserve"> areas are contiguous, built-up areas containing 50,000+ people – these correspond to the Census Bureau’s Urbanized Areas.</w:t>
      </w:r>
    </w:p>
    <w:p w:rsidR="009A3B6D" w:rsidRPr="00515A58" w:rsidRDefault="00DF0983">
      <w:pPr>
        <w:pStyle w:val="BHNormal"/>
        <w:numPr>
          <w:ilvl w:val="1"/>
          <w:numId w:val="31"/>
        </w:numPr>
        <w:rPr>
          <w:szCs w:val="24"/>
        </w:rPr>
      </w:pPr>
      <w:r w:rsidRPr="00515A58">
        <w:rPr>
          <w:b/>
          <w:bCs/>
          <w:szCs w:val="24"/>
        </w:rPr>
        <w:t xml:space="preserve">Suburban </w:t>
      </w:r>
      <w:r w:rsidRPr="00515A58">
        <w:rPr>
          <w:szCs w:val="24"/>
        </w:rPr>
        <w:t>areas have high commuting flows to Urban Core areas.  These include areas in which 30-49% of the population commutes to Urban Core areas for work.</w:t>
      </w:r>
    </w:p>
    <w:p w:rsidR="009A3B6D" w:rsidRPr="00515A58" w:rsidRDefault="00DF0983">
      <w:pPr>
        <w:pStyle w:val="BHNormal"/>
        <w:numPr>
          <w:ilvl w:val="1"/>
          <w:numId w:val="31"/>
        </w:numPr>
        <w:rPr>
          <w:szCs w:val="24"/>
        </w:rPr>
      </w:pPr>
      <w:r w:rsidRPr="00515A58">
        <w:rPr>
          <w:b/>
          <w:bCs/>
          <w:szCs w:val="24"/>
        </w:rPr>
        <w:t>Large Rural Towns</w:t>
      </w:r>
      <w:r w:rsidRPr="00515A58">
        <w:rPr>
          <w:szCs w:val="24"/>
        </w:rPr>
        <w:t xml:space="preserve"> have a population between 10,000 and 49,999 people and include surrounding rural areas with at least 10% primary commuting flows to these towns, as well as secondary commuting flows of 10% or more to Urban Core areas.</w:t>
      </w:r>
    </w:p>
    <w:p w:rsidR="009A3B6D" w:rsidRPr="00515A58" w:rsidRDefault="00DF0983">
      <w:pPr>
        <w:pStyle w:val="BHNormal"/>
        <w:numPr>
          <w:ilvl w:val="1"/>
          <w:numId w:val="31"/>
        </w:numPr>
        <w:rPr>
          <w:szCs w:val="24"/>
        </w:rPr>
      </w:pPr>
      <w:r w:rsidRPr="00515A58">
        <w:rPr>
          <w:b/>
          <w:bCs/>
          <w:szCs w:val="24"/>
        </w:rPr>
        <w:lastRenderedPageBreak/>
        <w:t xml:space="preserve">Small Towns </w:t>
      </w:r>
      <w:r w:rsidRPr="00515A58">
        <w:rPr>
          <w:szCs w:val="24"/>
        </w:rPr>
        <w:t xml:space="preserve">and </w:t>
      </w:r>
      <w:r w:rsidRPr="00515A58">
        <w:rPr>
          <w:b/>
          <w:bCs/>
          <w:szCs w:val="24"/>
        </w:rPr>
        <w:t>Isolated Rural Areas</w:t>
      </w:r>
      <w:r w:rsidRPr="00515A58">
        <w:rPr>
          <w:szCs w:val="24"/>
        </w:rPr>
        <w:t xml:space="preserve"> include towns with populations &lt;10,000 people and their surrounding areas, as well as isolated rural zones more than 1 hour (by car) away from the nearest city.</w:t>
      </w:r>
    </w:p>
    <w:p w:rsidR="004207AB" w:rsidRPr="00515A58" w:rsidRDefault="004207AB" w:rsidP="004207AB">
      <w:pPr>
        <w:rPr>
          <w:sz w:val="24"/>
        </w:rPr>
      </w:pPr>
    </w:p>
    <w:p w:rsidR="009A3B6D" w:rsidRPr="00515A58" w:rsidRDefault="00DF0983">
      <w:pPr>
        <w:pStyle w:val="BHNormal"/>
        <w:ind w:left="720"/>
        <w:rPr>
          <w:szCs w:val="24"/>
        </w:rPr>
      </w:pPr>
      <w:r w:rsidRPr="00515A58">
        <w:rPr>
          <w:szCs w:val="24"/>
        </w:rPr>
        <w:t xml:space="preserve">For the purposes of the HCS, we have collapsed Large Rural Towns with Small Towns/Isolated Rural Areas to form a single “Rural” category.  The RUCA system applies to 2000 census tract boundaries (they </w:t>
      </w:r>
      <w:proofErr w:type="gramStart"/>
      <w:r w:rsidRPr="00515A58">
        <w:rPr>
          <w:szCs w:val="24"/>
        </w:rPr>
        <w:t>have not been updated</w:t>
      </w:r>
      <w:proofErr w:type="gramEnd"/>
      <w:r w:rsidRPr="00515A58">
        <w:rPr>
          <w:szCs w:val="24"/>
        </w:rPr>
        <w:t xml:space="preserve"> for 2010).   Given this limitation, we are mapping all of the Census 2010 data (for demographic characteristics) into the Census 2000 boundaries (there are standard GIS tools for doing this translation between Census 2000 and 2010 boundaries).</w:t>
      </w:r>
    </w:p>
    <w:p w:rsidR="009A3B6D" w:rsidRPr="00515A58" w:rsidRDefault="00EA7176">
      <w:pPr>
        <w:pStyle w:val="BHNormal"/>
        <w:ind w:left="720"/>
        <w:rPr>
          <w:szCs w:val="24"/>
        </w:rPr>
      </w:pPr>
      <w:r w:rsidRPr="00515A58">
        <w:rPr>
          <w:szCs w:val="24"/>
        </w:rPr>
        <w:t xml:space="preserve"> </w:t>
      </w:r>
    </w:p>
    <w:p w:rsidR="004207AB" w:rsidRPr="00515A58" w:rsidRDefault="004207AB" w:rsidP="00A76A72">
      <w:pPr>
        <w:pStyle w:val="BHNormal"/>
        <w:numPr>
          <w:ilvl w:val="0"/>
          <w:numId w:val="20"/>
        </w:numPr>
        <w:rPr>
          <w:szCs w:val="24"/>
        </w:rPr>
      </w:pPr>
      <w:r w:rsidRPr="00515A58">
        <w:rPr>
          <w:szCs w:val="24"/>
        </w:rPr>
        <w:t>Race/Ethnicity</w:t>
      </w:r>
    </w:p>
    <w:p w:rsidR="009A3B6D" w:rsidRPr="00515A58" w:rsidRDefault="009A3B6D">
      <w:pPr>
        <w:pStyle w:val="BHNormal"/>
        <w:ind w:left="720"/>
        <w:rPr>
          <w:szCs w:val="24"/>
        </w:rPr>
      </w:pPr>
    </w:p>
    <w:p w:rsidR="003957AA" w:rsidRPr="00515A58" w:rsidRDefault="004207AB" w:rsidP="00575910">
      <w:pPr>
        <w:pStyle w:val="BHNormal"/>
        <w:ind w:left="720"/>
        <w:rPr>
          <w:i/>
          <w:iCs/>
        </w:rPr>
      </w:pPr>
      <w:r w:rsidRPr="00515A58">
        <w:rPr>
          <w:szCs w:val="24"/>
        </w:rPr>
        <w:t xml:space="preserve">The HCS </w:t>
      </w:r>
      <w:proofErr w:type="gramStart"/>
      <w:r w:rsidRPr="00515A58">
        <w:rPr>
          <w:szCs w:val="24"/>
        </w:rPr>
        <w:t>is being designed</w:t>
      </w:r>
      <w:proofErr w:type="gramEnd"/>
      <w:r w:rsidRPr="00515A58">
        <w:rPr>
          <w:szCs w:val="24"/>
        </w:rPr>
        <w:t xml:space="preserve"> to specifically over sample communities with high proportions of African American residents and Hispanic/Latino residents – as these populations are at increased risk for childhood obesity.  </w:t>
      </w:r>
    </w:p>
    <w:p w:rsidR="003957AA" w:rsidRPr="00515A58" w:rsidRDefault="003957AA">
      <w:pPr>
        <w:pStyle w:val="BHNormal"/>
        <w:ind w:left="720"/>
        <w:rPr>
          <w:szCs w:val="24"/>
        </w:rPr>
      </w:pPr>
    </w:p>
    <w:p w:rsidR="009A3B6D" w:rsidRPr="00515A58" w:rsidRDefault="004207AB">
      <w:pPr>
        <w:pStyle w:val="BHNormal"/>
        <w:ind w:left="720"/>
        <w:rPr>
          <w:szCs w:val="24"/>
        </w:rPr>
      </w:pPr>
      <w:r w:rsidRPr="00515A58">
        <w:rPr>
          <w:szCs w:val="24"/>
        </w:rPr>
        <w:t xml:space="preserve">Stratification of census tracts for oversampling these important minority populations </w:t>
      </w:r>
      <w:proofErr w:type="gramStart"/>
      <w:r w:rsidRPr="00515A58">
        <w:rPr>
          <w:szCs w:val="24"/>
        </w:rPr>
        <w:t>is based</w:t>
      </w:r>
      <w:proofErr w:type="gramEnd"/>
      <w:r w:rsidRPr="00515A58">
        <w:rPr>
          <w:szCs w:val="24"/>
        </w:rPr>
        <w:t xml:space="preserve"> on the following:</w:t>
      </w:r>
    </w:p>
    <w:p w:rsidR="004207AB" w:rsidRPr="00515A58" w:rsidRDefault="004207AB" w:rsidP="004207AB">
      <w:pPr>
        <w:pStyle w:val="PlainText"/>
        <w:numPr>
          <w:ilvl w:val="0"/>
          <w:numId w:val="32"/>
        </w:numPr>
        <w:spacing w:before="120"/>
        <w:rPr>
          <w:rFonts w:ascii="Times New Roman" w:hAnsi="Times New Roman"/>
          <w:sz w:val="24"/>
          <w:szCs w:val="24"/>
        </w:rPr>
      </w:pPr>
      <w:r w:rsidRPr="00515A58">
        <w:rPr>
          <w:rFonts w:ascii="Times New Roman" w:hAnsi="Times New Roman"/>
          <w:sz w:val="24"/>
          <w:szCs w:val="24"/>
        </w:rPr>
        <w:t xml:space="preserve">A census tract will be </w:t>
      </w:r>
      <w:r w:rsidR="00FC1404" w:rsidRPr="00515A58">
        <w:rPr>
          <w:rFonts w:ascii="Times New Roman" w:hAnsi="Times New Roman"/>
          <w:sz w:val="24"/>
          <w:szCs w:val="24"/>
        </w:rPr>
        <w:t xml:space="preserve">stratified into a high-proportion of </w:t>
      </w:r>
      <w:r w:rsidR="00DF0983" w:rsidRPr="00515A58">
        <w:rPr>
          <w:rFonts w:ascii="Times New Roman" w:hAnsi="Times New Roman"/>
          <w:b/>
          <w:sz w:val="24"/>
          <w:szCs w:val="24"/>
        </w:rPr>
        <w:t>African American</w:t>
      </w:r>
      <w:r w:rsidR="00FC1404" w:rsidRPr="00515A58">
        <w:rPr>
          <w:rFonts w:ascii="Times New Roman" w:hAnsi="Times New Roman"/>
          <w:b/>
          <w:sz w:val="24"/>
          <w:szCs w:val="24"/>
        </w:rPr>
        <w:t xml:space="preserve"> </w:t>
      </w:r>
      <w:r w:rsidR="00FC1404" w:rsidRPr="00515A58">
        <w:rPr>
          <w:rFonts w:ascii="Times New Roman" w:hAnsi="Times New Roman"/>
          <w:sz w:val="24"/>
          <w:szCs w:val="24"/>
        </w:rPr>
        <w:t>group</w:t>
      </w:r>
      <w:r w:rsidR="00DF0983" w:rsidRPr="00515A58">
        <w:rPr>
          <w:rFonts w:ascii="Times New Roman" w:hAnsi="Times New Roman"/>
          <w:b/>
          <w:sz w:val="24"/>
          <w:szCs w:val="24"/>
        </w:rPr>
        <w:t xml:space="preserve"> </w:t>
      </w:r>
      <w:r w:rsidR="00DF0983" w:rsidRPr="00515A58">
        <w:rPr>
          <w:rFonts w:ascii="Times New Roman" w:hAnsi="Times New Roman"/>
          <w:sz w:val="24"/>
          <w:szCs w:val="24"/>
        </w:rPr>
        <w:t>if 30% or more of the total population in the census tract is African American*</w:t>
      </w:r>
    </w:p>
    <w:p w:rsidR="004207AB" w:rsidRPr="00515A58" w:rsidRDefault="00FC1404" w:rsidP="004207AB">
      <w:pPr>
        <w:pStyle w:val="PlainText"/>
        <w:numPr>
          <w:ilvl w:val="0"/>
          <w:numId w:val="32"/>
        </w:numPr>
        <w:spacing w:before="120"/>
        <w:rPr>
          <w:rFonts w:ascii="Times New Roman" w:hAnsi="Times New Roman"/>
          <w:sz w:val="24"/>
          <w:szCs w:val="24"/>
        </w:rPr>
      </w:pPr>
      <w:r w:rsidRPr="00515A58">
        <w:rPr>
          <w:rFonts w:ascii="Times New Roman" w:hAnsi="Times New Roman"/>
          <w:sz w:val="24"/>
          <w:szCs w:val="24"/>
        </w:rPr>
        <w:t xml:space="preserve">A census tract will be stratified into a high-proportion of </w:t>
      </w:r>
      <w:r w:rsidR="00DF0983" w:rsidRPr="00515A58">
        <w:rPr>
          <w:rFonts w:ascii="Times New Roman" w:hAnsi="Times New Roman"/>
          <w:b/>
          <w:sz w:val="24"/>
          <w:szCs w:val="24"/>
        </w:rPr>
        <w:t>Hispanic/Latino</w:t>
      </w:r>
      <w:r w:rsidR="004207AB" w:rsidRPr="00515A58">
        <w:rPr>
          <w:rFonts w:ascii="Times New Roman" w:hAnsi="Times New Roman"/>
          <w:b/>
          <w:sz w:val="24"/>
          <w:szCs w:val="24"/>
        </w:rPr>
        <w:t xml:space="preserve"> </w:t>
      </w:r>
      <w:r w:rsidR="00DF0983" w:rsidRPr="00515A58">
        <w:rPr>
          <w:rFonts w:ascii="Times New Roman" w:hAnsi="Times New Roman"/>
          <w:sz w:val="24"/>
          <w:szCs w:val="24"/>
        </w:rPr>
        <w:t>group</w:t>
      </w:r>
      <w:r w:rsidR="00DF0983" w:rsidRPr="00515A58">
        <w:rPr>
          <w:rFonts w:ascii="Times New Roman" w:hAnsi="Times New Roman"/>
          <w:b/>
          <w:sz w:val="24"/>
          <w:szCs w:val="24"/>
        </w:rPr>
        <w:t xml:space="preserve"> </w:t>
      </w:r>
      <w:r w:rsidR="00DF0983" w:rsidRPr="00515A58">
        <w:rPr>
          <w:rFonts w:ascii="Times New Roman" w:hAnsi="Times New Roman"/>
          <w:sz w:val="24"/>
          <w:szCs w:val="24"/>
        </w:rPr>
        <w:t>if 30% or more of the total population in the census tract is Hispanic/Latino*</w:t>
      </w:r>
    </w:p>
    <w:p w:rsidR="004207AB" w:rsidRPr="00515A58" w:rsidRDefault="00FC1404" w:rsidP="004207AB">
      <w:pPr>
        <w:pStyle w:val="PlainText"/>
        <w:numPr>
          <w:ilvl w:val="0"/>
          <w:numId w:val="32"/>
        </w:numPr>
        <w:spacing w:before="120"/>
        <w:rPr>
          <w:rFonts w:ascii="Times New Roman" w:hAnsi="Times New Roman"/>
          <w:sz w:val="24"/>
          <w:szCs w:val="24"/>
        </w:rPr>
      </w:pPr>
      <w:r w:rsidRPr="00515A58">
        <w:rPr>
          <w:rFonts w:ascii="Times New Roman" w:hAnsi="Times New Roman"/>
          <w:sz w:val="24"/>
          <w:szCs w:val="24"/>
        </w:rPr>
        <w:t>A census tract will be stratified into the</w:t>
      </w:r>
      <w:r w:rsidRPr="00515A58">
        <w:rPr>
          <w:rFonts w:ascii="Times New Roman" w:hAnsi="Times New Roman"/>
          <w:b/>
          <w:sz w:val="24"/>
          <w:szCs w:val="24"/>
        </w:rPr>
        <w:t xml:space="preserve"> </w:t>
      </w:r>
      <w:r w:rsidR="00DF0983" w:rsidRPr="00515A58">
        <w:rPr>
          <w:rFonts w:ascii="Times New Roman" w:hAnsi="Times New Roman"/>
          <w:b/>
          <w:sz w:val="24"/>
          <w:szCs w:val="24"/>
        </w:rPr>
        <w:t>Other</w:t>
      </w:r>
      <w:r w:rsidRPr="00515A58">
        <w:rPr>
          <w:rFonts w:ascii="Times New Roman" w:hAnsi="Times New Roman"/>
          <w:b/>
          <w:sz w:val="24"/>
          <w:szCs w:val="24"/>
        </w:rPr>
        <w:t xml:space="preserve"> </w:t>
      </w:r>
      <w:r w:rsidRPr="00515A58">
        <w:rPr>
          <w:rFonts w:ascii="Times New Roman" w:hAnsi="Times New Roman"/>
          <w:sz w:val="24"/>
          <w:szCs w:val="24"/>
        </w:rPr>
        <w:t>group</w:t>
      </w:r>
      <w:r w:rsidR="00DF0983" w:rsidRPr="00515A58">
        <w:rPr>
          <w:rFonts w:ascii="Times New Roman" w:hAnsi="Times New Roman"/>
          <w:sz w:val="24"/>
          <w:szCs w:val="24"/>
        </w:rPr>
        <w:t xml:space="preserve"> if less than 30% of the population in the census tract is African American and less than 30% of the population in the census tract is Hispanic/Latino</w:t>
      </w:r>
    </w:p>
    <w:p w:rsidR="00575910" w:rsidRPr="00515A58" w:rsidRDefault="00575910" w:rsidP="00575910">
      <w:pPr>
        <w:pStyle w:val="BHNormal"/>
        <w:ind w:left="720"/>
      </w:pPr>
    </w:p>
    <w:p w:rsidR="00575910" w:rsidRPr="00515A58" w:rsidRDefault="00575910" w:rsidP="00575910">
      <w:pPr>
        <w:pStyle w:val="BHNormal"/>
        <w:ind w:left="720"/>
        <w:rPr>
          <w:szCs w:val="24"/>
        </w:rPr>
      </w:pPr>
      <w:r w:rsidRPr="00515A58">
        <w:rPr>
          <w:szCs w:val="24"/>
        </w:rPr>
        <w:t xml:space="preserve">The selection of 30 percent </w:t>
      </w:r>
      <w:proofErr w:type="gramStart"/>
      <w:r w:rsidRPr="00515A58">
        <w:rPr>
          <w:szCs w:val="24"/>
        </w:rPr>
        <w:t>was based</w:t>
      </w:r>
      <w:proofErr w:type="gramEnd"/>
      <w:r w:rsidRPr="00515A58">
        <w:rPr>
          <w:szCs w:val="24"/>
        </w:rPr>
        <w:t xml:space="preserve"> loosely on the following definition of a minority census tract:</w:t>
      </w:r>
    </w:p>
    <w:p w:rsidR="00575910" w:rsidRPr="00515A58" w:rsidRDefault="00575910" w:rsidP="00575910">
      <w:pPr>
        <w:pStyle w:val="PlainText"/>
        <w:ind w:left="1080"/>
        <w:rPr>
          <w:rFonts w:ascii="Times New Roman" w:hAnsi="Times New Roman"/>
          <w:i/>
          <w:iCs/>
          <w:sz w:val="24"/>
          <w:szCs w:val="24"/>
        </w:rPr>
      </w:pPr>
      <w:r w:rsidRPr="00515A58">
        <w:rPr>
          <w:rFonts w:ascii="Times New Roman" w:hAnsi="Times New Roman"/>
          <w:i/>
          <w:iCs/>
          <w:sz w:val="24"/>
          <w:szCs w:val="24"/>
        </w:rPr>
        <w:t xml:space="preserve">Banking regulations define minority communities when it comes to prohibiting redlining and other discriminatory lending practices.  </w:t>
      </w:r>
      <w:proofErr w:type="gramStart"/>
      <w:r w:rsidRPr="00515A58">
        <w:rPr>
          <w:rFonts w:ascii="Times New Roman" w:hAnsi="Times New Roman"/>
          <w:i/>
          <w:iCs/>
          <w:sz w:val="24"/>
          <w:szCs w:val="24"/>
        </w:rPr>
        <w:t>According to 12 USCS § 4502 (29), [Title 12.</w:t>
      </w:r>
      <w:proofErr w:type="gramEnd"/>
      <w:r w:rsidRPr="00515A58">
        <w:rPr>
          <w:rFonts w:ascii="Times New Roman" w:hAnsi="Times New Roman"/>
          <w:i/>
          <w:iCs/>
          <w:sz w:val="24"/>
          <w:szCs w:val="24"/>
        </w:rPr>
        <w:t xml:space="preserve"> Banks and Banking; Chapter 46. Government Sponsored Enterprises] the </w:t>
      </w:r>
      <w:proofErr w:type="gramStart"/>
      <w:r w:rsidRPr="00515A58">
        <w:rPr>
          <w:rFonts w:ascii="Times New Roman" w:hAnsi="Times New Roman"/>
          <w:i/>
          <w:iCs/>
          <w:sz w:val="24"/>
          <w:szCs w:val="24"/>
        </w:rPr>
        <w:t>term minority census tract</w:t>
      </w:r>
      <w:proofErr w:type="gramEnd"/>
      <w:r w:rsidRPr="00515A58">
        <w:rPr>
          <w:rFonts w:ascii="Times New Roman" w:hAnsi="Times New Roman"/>
          <w:i/>
          <w:iCs/>
          <w:sz w:val="24"/>
          <w:szCs w:val="24"/>
        </w:rPr>
        <w:t xml:space="preserve"> means “a census tract that has a minority population of at least 30 percent and a median family income of less than 100 percent of the area family median income.</w:t>
      </w:r>
    </w:p>
    <w:p w:rsidR="00FC1404" w:rsidRPr="00515A58" w:rsidRDefault="00FC1404" w:rsidP="004207AB">
      <w:pPr>
        <w:pStyle w:val="PlainText"/>
        <w:spacing w:before="120"/>
        <w:ind w:left="720"/>
        <w:rPr>
          <w:rFonts w:ascii="Times New Roman" w:hAnsi="Times New Roman"/>
          <w:sz w:val="24"/>
          <w:szCs w:val="24"/>
        </w:rPr>
      </w:pPr>
      <w:r w:rsidRPr="00515A58">
        <w:rPr>
          <w:rFonts w:ascii="Times New Roman" w:hAnsi="Times New Roman"/>
          <w:b/>
          <w:sz w:val="24"/>
          <w:szCs w:val="24"/>
        </w:rPr>
        <w:t xml:space="preserve">* </w:t>
      </w:r>
      <w:r w:rsidR="00DF0983" w:rsidRPr="00515A58">
        <w:rPr>
          <w:rFonts w:ascii="Times New Roman" w:hAnsi="Times New Roman"/>
          <w:sz w:val="24"/>
          <w:szCs w:val="24"/>
        </w:rPr>
        <w:t>For census tracts with both 30% African American and 30% Hispanic/Latino; the tract is classified in the category with the higher proportion</w:t>
      </w:r>
      <w:r w:rsidRPr="00515A58">
        <w:rPr>
          <w:rFonts w:ascii="Times New Roman" w:hAnsi="Times New Roman"/>
          <w:sz w:val="24"/>
          <w:szCs w:val="24"/>
        </w:rPr>
        <w:t xml:space="preserve"> (e.g., if a census tract contains 43% African American and 34% Hispanic/Latino residents – it would be classified as a high-proportion African American census tract).</w:t>
      </w:r>
    </w:p>
    <w:p w:rsidR="004207AB" w:rsidRPr="00515A58" w:rsidRDefault="00FC1404" w:rsidP="004207AB">
      <w:pPr>
        <w:pStyle w:val="PlainText"/>
        <w:spacing w:before="120"/>
        <w:ind w:left="720"/>
        <w:rPr>
          <w:rFonts w:ascii="Times New Roman" w:hAnsi="Times New Roman"/>
          <w:sz w:val="24"/>
          <w:szCs w:val="24"/>
        </w:rPr>
      </w:pPr>
      <w:r w:rsidRPr="00515A58">
        <w:rPr>
          <w:rFonts w:ascii="Times New Roman" w:hAnsi="Times New Roman"/>
          <w:sz w:val="24"/>
          <w:szCs w:val="24"/>
        </w:rPr>
        <w:t xml:space="preserve">Additionally, it should be noted that some residents within a census tract </w:t>
      </w:r>
      <w:proofErr w:type="gramStart"/>
      <w:r w:rsidRPr="00515A58">
        <w:rPr>
          <w:rFonts w:ascii="Times New Roman" w:hAnsi="Times New Roman"/>
          <w:sz w:val="24"/>
          <w:szCs w:val="24"/>
        </w:rPr>
        <w:t>may</w:t>
      </w:r>
      <w:proofErr w:type="gramEnd"/>
      <w:r w:rsidRPr="00515A58">
        <w:rPr>
          <w:rFonts w:ascii="Times New Roman" w:hAnsi="Times New Roman"/>
          <w:sz w:val="24"/>
          <w:szCs w:val="24"/>
        </w:rPr>
        <w:t xml:space="preserve"> be both African American and Hispanic/Latino.  These residents would contribute to the calculation of both percentages when stratifying a census tract.  Thus, the sum of the percentages (African American, Hispanic/Latino and Other) may be greater than 100% for some census tracts when doing these calculations.</w:t>
      </w:r>
    </w:p>
    <w:p w:rsidR="008D2C16" w:rsidRPr="00515A58" w:rsidRDefault="00FC1404" w:rsidP="00A76A72">
      <w:pPr>
        <w:pStyle w:val="BHNormal"/>
        <w:numPr>
          <w:ilvl w:val="0"/>
          <w:numId w:val="20"/>
        </w:numPr>
        <w:rPr>
          <w:szCs w:val="24"/>
        </w:rPr>
      </w:pPr>
      <w:r w:rsidRPr="00515A58">
        <w:rPr>
          <w:szCs w:val="24"/>
        </w:rPr>
        <w:lastRenderedPageBreak/>
        <w:t>Income</w:t>
      </w:r>
    </w:p>
    <w:p w:rsidR="009A3B6D" w:rsidRPr="00515A58" w:rsidRDefault="009A3B6D">
      <w:pPr>
        <w:pStyle w:val="BHNormal"/>
        <w:ind w:left="720"/>
        <w:rPr>
          <w:szCs w:val="24"/>
        </w:rPr>
      </w:pPr>
    </w:p>
    <w:p w:rsidR="009A3B6D" w:rsidRPr="00515A58" w:rsidRDefault="00FC1404">
      <w:pPr>
        <w:pStyle w:val="PlainText"/>
        <w:ind w:left="720"/>
        <w:rPr>
          <w:rFonts w:ascii="Times New Roman" w:hAnsi="Times New Roman"/>
          <w:sz w:val="24"/>
          <w:szCs w:val="24"/>
        </w:rPr>
      </w:pPr>
      <w:r w:rsidRPr="00515A58">
        <w:rPr>
          <w:rFonts w:ascii="Times New Roman" w:hAnsi="Times New Roman"/>
          <w:sz w:val="24"/>
          <w:szCs w:val="24"/>
        </w:rPr>
        <w:t xml:space="preserve">The US Department of Housing and Urban Development </w:t>
      </w:r>
      <w:r w:rsidR="00DF0983" w:rsidRPr="00515A58">
        <w:rPr>
          <w:rFonts w:ascii="Times New Roman" w:hAnsi="Times New Roman"/>
          <w:sz w:val="24"/>
          <w:szCs w:val="24"/>
        </w:rPr>
        <w:t xml:space="preserve">(HUD) designates Qualified Census Tracts (QCTs) for purposes of the Low-Income Housing Tax Credit (LIHTC) program. The LIHTC program </w:t>
      </w:r>
      <w:proofErr w:type="gramStart"/>
      <w:r w:rsidR="00DF0983" w:rsidRPr="00515A58">
        <w:rPr>
          <w:rFonts w:ascii="Times New Roman" w:hAnsi="Times New Roman"/>
          <w:sz w:val="24"/>
          <w:szCs w:val="24"/>
        </w:rPr>
        <w:t>is defined</w:t>
      </w:r>
      <w:proofErr w:type="gramEnd"/>
      <w:r w:rsidR="00DF0983" w:rsidRPr="00515A58">
        <w:rPr>
          <w:rFonts w:ascii="Times New Roman" w:hAnsi="Times New Roman"/>
          <w:sz w:val="24"/>
          <w:szCs w:val="24"/>
        </w:rPr>
        <w:t xml:space="preserve"> in Section 42 of the Internal Revenue Code of 1986. The LIHTC is a tax incentive intended to increase the availability of affordable rental housing.</w:t>
      </w:r>
    </w:p>
    <w:p w:rsidR="009A3B6D" w:rsidRPr="00515A58" w:rsidRDefault="009A3B6D">
      <w:pPr>
        <w:pStyle w:val="PlainText"/>
        <w:ind w:left="720"/>
        <w:rPr>
          <w:rFonts w:ascii="Times New Roman" w:hAnsi="Times New Roman"/>
          <w:sz w:val="24"/>
          <w:szCs w:val="24"/>
        </w:rPr>
      </w:pPr>
    </w:p>
    <w:p w:rsidR="009A3B6D" w:rsidRPr="00515A58" w:rsidRDefault="00DF0983">
      <w:pPr>
        <w:pStyle w:val="PlainText"/>
        <w:ind w:left="720"/>
        <w:rPr>
          <w:rFonts w:ascii="Times New Roman" w:hAnsi="Times New Roman"/>
          <w:sz w:val="24"/>
          <w:szCs w:val="24"/>
        </w:rPr>
      </w:pPr>
      <w:r w:rsidRPr="00515A58">
        <w:rPr>
          <w:rFonts w:ascii="Times New Roman" w:hAnsi="Times New Roman"/>
          <w:sz w:val="24"/>
          <w:szCs w:val="24"/>
        </w:rPr>
        <w:t xml:space="preserve">The LIHTC statute provides two criteria for QCT eligibility. A census tract must have either: 1) a poverty rate of at least 25 percent; or 2) 50 percent or more of its householders must have incomes below 60 percent of the area median household income. The area corresponds to a metropolitan or a non-metropolitan area. Further, the LIHTC statute requires that no more than 20 percent of the metropolitan area population reside within designated QCTs (This limit also applies collectively to the nonmetropolitan counties in each state). Thus, it is possible for a tract to meet one or both of the above criteria, but not </w:t>
      </w:r>
      <w:proofErr w:type="gramStart"/>
      <w:r w:rsidRPr="00515A58">
        <w:rPr>
          <w:rFonts w:ascii="Times New Roman" w:hAnsi="Times New Roman"/>
          <w:sz w:val="24"/>
          <w:szCs w:val="24"/>
        </w:rPr>
        <w:t>be designated</w:t>
      </w:r>
      <w:proofErr w:type="gramEnd"/>
      <w:r w:rsidRPr="00515A58">
        <w:rPr>
          <w:rFonts w:ascii="Times New Roman" w:hAnsi="Times New Roman"/>
          <w:sz w:val="24"/>
          <w:szCs w:val="24"/>
        </w:rPr>
        <w:t xml:space="preserve"> as a QCT.</w:t>
      </w:r>
    </w:p>
    <w:p w:rsidR="009A3B6D" w:rsidRPr="00515A58" w:rsidRDefault="009A3B6D">
      <w:pPr>
        <w:pStyle w:val="PlainText"/>
        <w:ind w:left="720"/>
        <w:rPr>
          <w:rFonts w:ascii="Times New Roman" w:hAnsi="Times New Roman"/>
          <w:sz w:val="24"/>
          <w:szCs w:val="24"/>
        </w:rPr>
      </w:pPr>
    </w:p>
    <w:p w:rsidR="009A3B6D" w:rsidRPr="00515A58" w:rsidRDefault="00FC1404">
      <w:pPr>
        <w:pStyle w:val="PlainText"/>
        <w:ind w:left="720"/>
        <w:rPr>
          <w:rFonts w:ascii="Times New Roman" w:hAnsi="Times New Roman"/>
          <w:sz w:val="24"/>
          <w:szCs w:val="24"/>
        </w:rPr>
      </w:pPr>
      <w:r w:rsidRPr="00515A58">
        <w:rPr>
          <w:rFonts w:ascii="Times New Roman" w:hAnsi="Times New Roman"/>
          <w:sz w:val="24"/>
          <w:szCs w:val="24"/>
        </w:rPr>
        <w:t>The HCS is adopting this definition (whether a census tract qualifies for the LIHTC) as an indicator of income/poverty for the study.</w:t>
      </w:r>
    </w:p>
    <w:p w:rsidR="009A3B6D" w:rsidRPr="00515A58" w:rsidRDefault="009A3B6D">
      <w:pPr>
        <w:pStyle w:val="BHNormal"/>
        <w:rPr>
          <w:szCs w:val="24"/>
        </w:rPr>
      </w:pPr>
    </w:p>
    <w:p w:rsidR="00C43FAF" w:rsidRPr="00515A58" w:rsidRDefault="008D2C16">
      <w:pPr>
        <w:pStyle w:val="BHNormal"/>
        <w:numPr>
          <w:ilvl w:val="0"/>
          <w:numId w:val="20"/>
        </w:numPr>
        <w:rPr>
          <w:szCs w:val="24"/>
        </w:rPr>
      </w:pPr>
      <w:r w:rsidRPr="00515A58">
        <w:rPr>
          <w:szCs w:val="24"/>
        </w:rPr>
        <w:t>Pre-Selection Intensity rating of Community-Based Programs/Policies (High, Moderate, and Low/ None – based on a scoring procedure as described below)</w:t>
      </w:r>
    </w:p>
    <w:p w:rsidR="00C43FAF" w:rsidRPr="00515A58" w:rsidRDefault="00C43FAF">
      <w:pPr>
        <w:pStyle w:val="BHNormal"/>
        <w:rPr>
          <w:szCs w:val="24"/>
        </w:rPr>
      </w:pPr>
    </w:p>
    <w:p w:rsidR="009A3B6D" w:rsidRPr="00515A58" w:rsidRDefault="008D2C16">
      <w:pPr>
        <w:pStyle w:val="BHNormal"/>
        <w:ind w:left="720"/>
        <w:rPr>
          <w:szCs w:val="24"/>
        </w:rPr>
      </w:pPr>
      <w:r w:rsidRPr="00515A58">
        <w:rPr>
          <w:szCs w:val="24"/>
        </w:rPr>
        <w:t>Once the GIS database</w:t>
      </w:r>
      <w:r w:rsidR="002D6C8E" w:rsidRPr="00515A58">
        <w:rPr>
          <w:szCs w:val="24"/>
        </w:rPr>
        <w:t xml:space="preserve"> described in </w:t>
      </w:r>
      <w:r w:rsidR="00E94F72" w:rsidRPr="00515A58">
        <w:rPr>
          <w:szCs w:val="24"/>
        </w:rPr>
        <w:t xml:space="preserve">Section </w:t>
      </w:r>
      <w:r w:rsidR="002D6C8E" w:rsidRPr="00515A58">
        <w:rPr>
          <w:szCs w:val="24"/>
        </w:rPr>
        <w:t xml:space="preserve">B.1.b.1 </w:t>
      </w:r>
      <w:r w:rsidRPr="00515A58">
        <w:rPr>
          <w:szCs w:val="24"/>
        </w:rPr>
        <w:t xml:space="preserve">is populated, we will develop </w:t>
      </w:r>
      <w:r w:rsidR="00C41870" w:rsidRPr="00515A58">
        <w:rPr>
          <w:szCs w:val="24"/>
        </w:rPr>
        <w:t xml:space="preserve">census tract </w:t>
      </w:r>
      <w:r w:rsidRPr="00515A58">
        <w:rPr>
          <w:szCs w:val="24"/>
        </w:rPr>
        <w:t>level pre-selection scores to serve as the basis for stratificati</w:t>
      </w:r>
      <w:r w:rsidR="0017080B" w:rsidRPr="00515A58">
        <w:rPr>
          <w:szCs w:val="24"/>
        </w:rPr>
        <w:t xml:space="preserve">on.  The score will hierarchically integrate information across the different program and policy entries (which will occur at different levels of geographic specificity), with higher scores assigned to </w:t>
      </w:r>
      <w:r w:rsidR="00C41870" w:rsidRPr="00515A58">
        <w:rPr>
          <w:szCs w:val="24"/>
        </w:rPr>
        <w:t xml:space="preserve">census tracts </w:t>
      </w:r>
      <w:r w:rsidR="0017080B" w:rsidRPr="00515A58">
        <w:rPr>
          <w:szCs w:val="24"/>
        </w:rPr>
        <w:t xml:space="preserve">that multiple program and policy entries, higher funding, longer duration, and recommendations from program/policy funders or sponsors or HCS steering committee members for their promising approaches. </w:t>
      </w:r>
    </w:p>
    <w:p w:rsidR="009A3B6D" w:rsidRPr="00515A58" w:rsidRDefault="009A3B6D">
      <w:pPr>
        <w:pStyle w:val="BHNormal"/>
        <w:ind w:left="720"/>
        <w:rPr>
          <w:szCs w:val="24"/>
        </w:rPr>
      </w:pPr>
    </w:p>
    <w:p w:rsidR="009A3B6D" w:rsidRPr="00515A58" w:rsidRDefault="0017080B">
      <w:pPr>
        <w:pStyle w:val="BHNormal"/>
        <w:ind w:left="720"/>
        <w:rPr>
          <w:szCs w:val="24"/>
        </w:rPr>
      </w:pPr>
      <w:r w:rsidRPr="00515A58">
        <w:rPr>
          <w:szCs w:val="24"/>
        </w:rPr>
        <w:t xml:space="preserve">It should be noted that these scores </w:t>
      </w:r>
      <w:proofErr w:type="gramStart"/>
      <w:r w:rsidRPr="00515A58">
        <w:rPr>
          <w:szCs w:val="24"/>
        </w:rPr>
        <w:t>will</w:t>
      </w:r>
      <w:proofErr w:type="gramEnd"/>
      <w:r w:rsidRPr="00515A58">
        <w:rPr>
          <w:szCs w:val="24"/>
        </w:rPr>
        <w:t xml:space="preserve"> be utilized only for the </w:t>
      </w:r>
      <w:r w:rsidRPr="00515A58">
        <w:rPr>
          <w:i/>
          <w:szCs w:val="24"/>
        </w:rPr>
        <w:t>selection</w:t>
      </w:r>
      <w:r w:rsidRPr="00515A58">
        <w:rPr>
          <w:szCs w:val="24"/>
        </w:rPr>
        <w:t xml:space="preserve"> of </w:t>
      </w:r>
      <w:r w:rsidR="00C41870" w:rsidRPr="00515A58">
        <w:rPr>
          <w:szCs w:val="24"/>
        </w:rPr>
        <w:t>census tracts (</w:t>
      </w:r>
      <w:r w:rsidRPr="00515A58">
        <w:rPr>
          <w:szCs w:val="24"/>
        </w:rPr>
        <w:t>communities</w:t>
      </w:r>
      <w:r w:rsidR="00C41870" w:rsidRPr="00515A58">
        <w:rPr>
          <w:szCs w:val="24"/>
        </w:rPr>
        <w:t>) into the study</w:t>
      </w:r>
      <w:r w:rsidRPr="00515A58">
        <w:rPr>
          <w:szCs w:val="24"/>
        </w:rPr>
        <w:t>.  For analyses of the HCS’s results, much more rigorous data collection to assess community-based programs and policies will occur within each community selected into the study.</w:t>
      </w:r>
    </w:p>
    <w:p w:rsidR="009A3B6D" w:rsidRPr="00515A58" w:rsidRDefault="009A3B6D">
      <w:pPr>
        <w:pStyle w:val="BHNormal"/>
        <w:ind w:left="720"/>
        <w:rPr>
          <w:szCs w:val="24"/>
        </w:rPr>
      </w:pPr>
    </w:p>
    <w:p w:rsidR="009A3B6D" w:rsidRPr="00515A58" w:rsidRDefault="0017080B">
      <w:pPr>
        <w:pStyle w:val="BHNormal"/>
        <w:ind w:left="720"/>
        <w:rPr>
          <w:szCs w:val="24"/>
        </w:rPr>
      </w:pPr>
      <w:r w:rsidRPr="00515A58">
        <w:rPr>
          <w:szCs w:val="24"/>
        </w:rPr>
        <w:t xml:space="preserve">A score will be calculated for each U.S. </w:t>
      </w:r>
      <w:r w:rsidR="00C41870" w:rsidRPr="00515A58">
        <w:rPr>
          <w:szCs w:val="24"/>
        </w:rPr>
        <w:t>census tract</w:t>
      </w:r>
      <w:r w:rsidRPr="00515A58">
        <w:rPr>
          <w:szCs w:val="24"/>
        </w:rPr>
        <w:t xml:space="preserve">, and each </w:t>
      </w:r>
      <w:r w:rsidR="00C41870" w:rsidRPr="00515A58">
        <w:rPr>
          <w:szCs w:val="24"/>
        </w:rPr>
        <w:t xml:space="preserve">census tract </w:t>
      </w:r>
      <w:r w:rsidRPr="00515A58">
        <w:rPr>
          <w:szCs w:val="24"/>
        </w:rPr>
        <w:t xml:space="preserve">will be assigned to a high-, moderate-, or low-score group based on this score - with the top 10% highest scoring counties assigned to the high-score group, the next 30% to the moderate score group, and the lowest 60% assigned to the low score group.  These percentages are approximate guides and </w:t>
      </w:r>
      <w:proofErr w:type="gramStart"/>
      <w:r w:rsidRPr="00515A58">
        <w:rPr>
          <w:szCs w:val="24"/>
        </w:rPr>
        <w:t>may be changed</w:t>
      </w:r>
      <w:proofErr w:type="gramEnd"/>
      <w:r w:rsidRPr="00515A58">
        <w:rPr>
          <w:szCs w:val="24"/>
        </w:rPr>
        <w:t xml:space="preserve"> following inspection of the distribution of scores across all U.S. </w:t>
      </w:r>
      <w:r w:rsidR="00C41870" w:rsidRPr="00515A58">
        <w:rPr>
          <w:szCs w:val="24"/>
        </w:rPr>
        <w:t>census tracts</w:t>
      </w:r>
      <w:r w:rsidRPr="00515A58">
        <w:rPr>
          <w:szCs w:val="24"/>
        </w:rPr>
        <w:t xml:space="preserve">.  Our intent is to oversample communities with active programs and policies aimed at reducing childhood obesity, with approximately 65 communities </w:t>
      </w:r>
      <w:proofErr w:type="gramStart"/>
      <w:r w:rsidRPr="00515A58">
        <w:rPr>
          <w:szCs w:val="24"/>
        </w:rPr>
        <w:t>being selected</w:t>
      </w:r>
      <w:proofErr w:type="gramEnd"/>
      <w:r w:rsidRPr="00515A58">
        <w:rPr>
          <w:szCs w:val="24"/>
        </w:rPr>
        <w:t xml:space="preserve"> within each group (high-, moderate- , and low-scores).      </w:t>
      </w:r>
    </w:p>
    <w:p w:rsidR="00C43FAF" w:rsidRPr="00515A58" w:rsidRDefault="00C43FAF">
      <w:pPr>
        <w:pStyle w:val="BHNormal"/>
        <w:rPr>
          <w:szCs w:val="24"/>
        </w:rPr>
      </w:pPr>
    </w:p>
    <w:p w:rsidR="00C43FAF" w:rsidRPr="00515A58" w:rsidRDefault="0017080B">
      <w:pPr>
        <w:pStyle w:val="BHNormal"/>
        <w:rPr>
          <w:szCs w:val="24"/>
        </w:rPr>
      </w:pPr>
      <w:r w:rsidRPr="00515A58">
        <w:rPr>
          <w:szCs w:val="24"/>
        </w:rPr>
        <w:lastRenderedPageBreak/>
        <w:t xml:space="preserve">Several counties throughout the U.S. will enter our NPBS with certainty due to population size.  In some counties, we will select multiple communities to preserve homogeneous sampling weights across communities selected into the HCS.  The 15 largest counties in the U.S. (based on 2010 U.S. Census data) will be included in the HCS, along with the number of communities that </w:t>
      </w:r>
      <w:proofErr w:type="gramStart"/>
      <w:r w:rsidRPr="00515A58">
        <w:rPr>
          <w:szCs w:val="24"/>
        </w:rPr>
        <w:t>will be selected</w:t>
      </w:r>
      <w:proofErr w:type="gramEnd"/>
      <w:r w:rsidRPr="00515A58">
        <w:rPr>
          <w:szCs w:val="24"/>
        </w:rPr>
        <w:t xml:space="preserve"> within each of these large population centers.  Table B.1.1. </w:t>
      </w:r>
      <w:proofErr w:type="gramStart"/>
      <w:r w:rsidRPr="00515A58">
        <w:rPr>
          <w:szCs w:val="24"/>
        </w:rPr>
        <w:t>illustrates</w:t>
      </w:r>
      <w:proofErr w:type="gramEnd"/>
      <w:r w:rsidRPr="00515A58">
        <w:rPr>
          <w:szCs w:val="24"/>
        </w:rPr>
        <w:t xml:space="preserve"> the 15 largest U.S. counties and the number of communities that will be selected within each county. </w:t>
      </w:r>
    </w:p>
    <w:p w:rsidR="00C43FAF" w:rsidRPr="00515A58" w:rsidRDefault="0017080B">
      <w:pPr>
        <w:autoSpaceDE/>
        <w:autoSpaceDN/>
        <w:rPr>
          <w:rFonts w:eastAsia="Calibri"/>
          <w:szCs w:val="20"/>
        </w:rPr>
      </w:pPr>
      <w:r w:rsidRPr="00515A58">
        <w:rPr>
          <w:szCs w:val="20"/>
        </w:rPr>
        <w:br w:type="page"/>
      </w:r>
    </w:p>
    <w:p w:rsidR="004116D2" w:rsidRDefault="0017080B">
      <w:pPr>
        <w:pStyle w:val="Style1sub-headings"/>
        <w:spacing w:before="0" w:line="240" w:lineRule="auto"/>
      </w:pPr>
      <w:bookmarkStart w:id="12" w:name="_Toc299107924"/>
      <w:bookmarkStart w:id="13" w:name="_Toc301448522"/>
      <w:bookmarkStart w:id="14" w:name="_Toc301448657"/>
      <w:bookmarkStart w:id="15" w:name="_Toc301448746"/>
      <w:bookmarkStart w:id="16" w:name="_Toc301448814"/>
      <w:r w:rsidRPr="0017080B">
        <w:lastRenderedPageBreak/>
        <w:t xml:space="preserve">Table B.1.1   </w:t>
      </w:r>
      <w:proofErr w:type="gramStart"/>
      <w:r w:rsidRPr="0017080B">
        <w:t>The</w:t>
      </w:r>
      <w:proofErr w:type="gramEnd"/>
      <w:r w:rsidRPr="0017080B">
        <w:t xml:space="preserve"> Largest 15 Counties in the United States (as per 2010 U.S. </w:t>
      </w:r>
      <w:r w:rsidR="009135D5">
        <w:t>C</w:t>
      </w:r>
      <w:r w:rsidRPr="0017080B">
        <w:t>ensus)</w:t>
      </w:r>
      <w:bookmarkEnd w:id="12"/>
      <w:bookmarkEnd w:id="13"/>
      <w:bookmarkEnd w:id="14"/>
      <w:bookmarkEnd w:id="15"/>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2160"/>
        <w:gridCol w:w="2160"/>
        <w:gridCol w:w="1980"/>
      </w:tblGrid>
      <w:tr w:rsidR="008D2C16" w:rsidRPr="00B03154" w:rsidTr="004116D2">
        <w:tc>
          <w:tcPr>
            <w:tcW w:w="297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County</w:t>
            </w:r>
          </w:p>
        </w:tc>
        <w:tc>
          <w:tcPr>
            <w:tcW w:w="216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State</w:t>
            </w:r>
          </w:p>
        </w:tc>
        <w:tc>
          <w:tcPr>
            <w:tcW w:w="216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2010 Total Population</w:t>
            </w:r>
          </w:p>
        </w:tc>
        <w:tc>
          <w:tcPr>
            <w:tcW w:w="198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Number of Communities</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Los Angeles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9,818,605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5</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Cook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Illinois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5,194,675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Harris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Texas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4,092,459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Maricopa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Arizona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3,817,117</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San Diego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3,095,313</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Orange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3,010,232</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Kings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New York</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2,504,700</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Miami-Dade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Florida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2,496,435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Dallas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Texas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2,368,139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Queens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New York</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2,230,722</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Riverside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2,189,641</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San Bernardino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2,035,210</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Clark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Nevada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1,951,269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Borders>
              <w:bottom w:val="sing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King County</w:t>
            </w:r>
          </w:p>
        </w:tc>
        <w:tc>
          <w:tcPr>
            <w:tcW w:w="2160" w:type="dxa"/>
            <w:tcBorders>
              <w:bottom w:val="sing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Washington</w:t>
            </w:r>
          </w:p>
        </w:tc>
        <w:tc>
          <w:tcPr>
            <w:tcW w:w="2160" w:type="dxa"/>
            <w:tcBorders>
              <w:bottom w:val="sing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1,931,249</w:t>
            </w:r>
          </w:p>
        </w:tc>
        <w:tc>
          <w:tcPr>
            <w:tcW w:w="1980" w:type="dxa"/>
            <w:tcBorders>
              <w:bottom w:val="sing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Borders>
              <w:bottom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Wayne County</w:t>
            </w:r>
          </w:p>
        </w:tc>
        <w:tc>
          <w:tcPr>
            <w:tcW w:w="2160" w:type="dxa"/>
            <w:tcBorders>
              <w:bottom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Michigan</w:t>
            </w:r>
          </w:p>
        </w:tc>
        <w:tc>
          <w:tcPr>
            <w:tcW w:w="2160" w:type="dxa"/>
            <w:tcBorders>
              <w:bottom w:val="doub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1,820,584</w:t>
            </w:r>
          </w:p>
        </w:tc>
        <w:tc>
          <w:tcPr>
            <w:tcW w:w="1980" w:type="dxa"/>
            <w:tcBorders>
              <w:bottom w:val="doub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5130" w:type="dxa"/>
            <w:gridSpan w:val="2"/>
            <w:tcBorders>
              <w:top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Total</w:t>
            </w:r>
          </w:p>
        </w:tc>
        <w:tc>
          <w:tcPr>
            <w:tcW w:w="2160" w:type="dxa"/>
            <w:tcBorders>
              <w:top w:val="doub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48,556,350</w:t>
            </w:r>
          </w:p>
        </w:tc>
        <w:tc>
          <w:tcPr>
            <w:tcW w:w="1980" w:type="dxa"/>
            <w:tcBorders>
              <w:top w:val="doub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30</w:t>
            </w:r>
          </w:p>
        </w:tc>
      </w:tr>
    </w:tbl>
    <w:p w:rsidR="008D2C16" w:rsidRPr="004E3486" w:rsidRDefault="008D2C16" w:rsidP="00A76A72">
      <w:pPr>
        <w:pStyle w:val="BHNormal"/>
        <w:rPr>
          <w:szCs w:val="24"/>
        </w:rPr>
      </w:pPr>
    </w:p>
    <w:p w:rsidR="00E94F72" w:rsidRPr="004E3486" w:rsidRDefault="00E94F72" w:rsidP="00A76A72">
      <w:pPr>
        <w:pStyle w:val="BHNormal"/>
        <w:rPr>
          <w:szCs w:val="24"/>
        </w:rPr>
      </w:pPr>
    </w:p>
    <w:p w:rsidR="008D2C16" w:rsidRPr="00515A58" w:rsidRDefault="008D2C16" w:rsidP="00A76A72">
      <w:pPr>
        <w:pStyle w:val="BHNormal"/>
        <w:rPr>
          <w:szCs w:val="24"/>
        </w:rPr>
      </w:pPr>
      <w:r w:rsidRPr="00B03154">
        <w:rPr>
          <w:szCs w:val="24"/>
        </w:rPr>
        <w:t>These 15 largest counties capture approximately 16% of the U.S. population</w:t>
      </w:r>
      <w:r w:rsidR="009135D5" w:rsidRPr="009135D5">
        <w:rPr>
          <w:szCs w:val="24"/>
        </w:rPr>
        <w:t xml:space="preserve"> </w:t>
      </w:r>
      <w:r w:rsidR="009135D5">
        <w:rPr>
          <w:szCs w:val="24"/>
        </w:rPr>
        <w:t xml:space="preserve">and these counties </w:t>
      </w:r>
      <w:r w:rsidR="009135D5" w:rsidRPr="00515A58">
        <w:rPr>
          <w:szCs w:val="24"/>
        </w:rPr>
        <w:t>account for 30 communities</w:t>
      </w:r>
      <w:r w:rsidR="00012826" w:rsidRPr="00515A58">
        <w:rPr>
          <w:szCs w:val="24"/>
        </w:rPr>
        <w:t>;</w:t>
      </w:r>
      <w:r w:rsidRPr="00515A58">
        <w:rPr>
          <w:szCs w:val="24"/>
        </w:rPr>
        <w:t xml:space="preserve"> therefore</w:t>
      </w:r>
      <w:r w:rsidR="00012826" w:rsidRPr="00515A58">
        <w:rPr>
          <w:szCs w:val="24"/>
        </w:rPr>
        <w:t>,</w:t>
      </w:r>
      <w:r w:rsidRPr="00515A58">
        <w:rPr>
          <w:szCs w:val="24"/>
        </w:rPr>
        <w:t xml:space="preserve"> 30 of the 195 communities within the NPBS </w:t>
      </w:r>
      <w:proofErr w:type="gramStart"/>
      <w:r w:rsidR="006067A0" w:rsidRPr="00515A58">
        <w:rPr>
          <w:szCs w:val="24"/>
        </w:rPr>
        <w:t>will be</w:t>
      </w:r>
      <w:r w:rsidRPr="00515A58">
        <w:rPr>
          <w:szCs w:val="24"/>
        </w:rPr>
        <w:t xml:space="preserve"> proportionally assigned</w:t>
      </w:r>
      <w:proofErr w:type="gramEnd"/>
      <w:r w:rsidRPr="00515A58">
        <w:rPr>
          <w:szCs w:val="24"/>
        </w:rPr>
        <w:t xml:space="preserve"> within these 15 </w:t>
      </w:r>
      <w:r w:rsidR="00250C45" w:rsidRPr="00515A58">
        <w:rPr>
          <w:szCs w:val="24"/>
        </w:rPr>
        <w:t>counties</w:t>
      </w:r>
      <w:r w:rsidRPr="00515A58">
        <w:rPr>
          <w:szCs w:val="24"/>
        </w:rPr>
        <w:t xml:space="preserve"> </w:t>
      </w:r>
      <w:r w:rsidR="00250C45" w:rsidRPr="00515A58">
        <w:rPr>
          <w:szCs w:val="24"/>
        </w:rPr>
        <w:t xml:space="preserve">as </w:t>
      </w:r>
      <w:r w:rsidR="0017080B" w:rsidRPr="00515A58">
        <w:rPr>
          <w:szCs w:val="24"/>
        </w:rPr>
        <w:t xml:space="preserve">certainty counties within the NPBS.  </w:t>
      </w:r>
    </w:p>
    <w:p w:rsidR="008D2C16" w:rsidRPr="00515A58" w:rsidRDefault="008D2C16" w:rsidP="00A76A72">
      <w:pPr>
        <w:pStyle w:val="BHNormal"/>
        <w:rPr>
          <w:szCs w:val="24"/>
        </w:rPr>
      </w:pPr>
    </w:p>
    <w:p w:rsidR="004A0B64" w:rsidRPr="00515A58" w:rsidRDefault="0017080B" w:rsidP="00A76A72">
      <w:pPr>
        <w:pStyle w:val="BHNormal"/>
        <w:rPr>
          <w:szCs w:val="24"/>
        </w:rPr>
      </w:pPr>
      <w:r w:rsidRPr="00515A58">
        <w:rPr>
          <w:szCs w:val="24"/>
        </w:rPr>
        <w:t xml:space="preserve">We will follow </w:t>
      </w:r>
      <w:r w:rsidR="00C41870" w:rsidRPr="00515A58">
        <w:rPr>
          <w:szCs w:val="24"/>
        </w:rPr>
        <w:t xml:space="preserve">the </w:t>
      </w:r>
      <w:proofErr w:type="gramStart"/>
      <w:r w:rsidR="00C41870" w:rsidRPr="00515A58">
        <w:rPr>
          <w:szCs w:val="24"/>
        </w:rPr>
        <w:t>above described</w:t>
      </w:r>
      <w:proofErr w:type="gramEnd"/>
      <w:r w:rsidR="00C41870" w:rsidRPr="00515A58">
        <w:rPr>
          <w:szCs w:val="24"/>
        </w:rPr>
        <w:t xml:space="preserve"> stratified sampling</w:t>
      </w:r>
      <w:r w:rsidRPr="00515A58">
        <w:rPr>
          <w:szCs w:val="24"/>
        </w:rPr>
        <w:t xml:space="preserve"> process of selecting the remaining 165 counties.</w:t>
      </w:r>
      <w:r w:rsidR="00800E99" w:rsidRPr="00515A58">
        <w:rPr>
          <w:szCs w:val="24"/>
        </w:rPr>
        <w:t xml:space="preserve">  It should be noted that the number of levels of each of the stratification variables [region (5), </w:t>
      </w:r>
      <w:proofErr w:type="spellStart"/>
      <w:r w:rsidR="00800E99" w:rsidRPr="00515A58">
        <w:rPr>
          <w:szCs w:val="24"/>
        </w:rPr>
        <w:t>urbanicity</w:t>
      </w:r>
      <w:proofErr w:type="spellEnd"/>
      <w:r w:rsidR="00800E99" w:rsidRPr="00515A58">
        <w:rPr>
          <w:szCs w:val="24"/>
        </w:rPr>
        <w:t xml:space="preserve"> (3), race/ethnicity (3), income (2), and pre-selection score (3)] yield 270 unique combinations.  However, there are many of </w:t>
      </w:r>
      <w:proofErr w:type="gramStart"/>
      <w:r w:rsidR="00800E99" w:rsidRPr="00515A58">
        <w:rPr>
          <w:szCs w:val="24"/>
        </w:rPr>
        <w:t>these</w:t>
      </w:r>
      <w:proofErr w:type="gramEnd"/>
      <w:r w:rsidR="00800E99" w:rsidRPr="00515A58">
        <w:rPr>
          <w:szCs w:val="24"/>
        </w:rPr>
        <w:t xml:space="preserve"> unique combinations that </w:t>
      </w:r>
      <w:r w:rsidR="00DD4624" w:rsidRPr="00515A58">
        <w:rPr>
          <w:szCs w:val="24"/>
        </w:rPr>
        <w:t xml:space="preserve">have either zero or very few census tracts (and children).  </w:t>
      </w:r>
      <w:proofErr w:type="gramStart"/>
      <w:r w:rsidR="00DD4624" w:rsidRPr="00515A58">
        <w:rPr>
          <w:szCs w:val="24"/>
        </w:rPr>
        <w:t>The sampling statisticians for the HCS have developed an approach for combining these unique combinations in a manner that will allow the HCS to assess difference in the association between community-based programs and policies and childhood obesity outcomes among communities with different race/ethnic profiles (e.g., comparing predominantly African American communities with predominantly Hispanic/Latino communities), and among communities with diffe</w:t>
      </w:r>
      <w:r w:rsidR="009751FE" w:rsidRPr="00515A58">
        <w:rPr>
          <w:szCs w:val="24"/>
        </w:rPr>
        <w:t xml:space="preserve">rent </w:t>
      </w:r>
      <w:proofErr w:type="spellStart"/>
      <w:r w:rsidR="009751FE" w:rsidRPr="00515A58">
        <w:rPr>
          <w:szCs w:val="24"/>
        </w:rPr>
        <w:t>urbanicities</w:t>
      </w:r>
      <w:proofErr w:type="spellEnd"/>
      <w:r w:rsidR="009751FE" w:rsidRPr="00515A58">
        <w:rPr>
          <w:szCs w:val="24"/>
        </w:rPr>
        <w:t xml:space="preserve"> (e.g., compar</w:t>
      </w:r>
      <w:r w:rsidR="00DD4624" w:rsidRPr="00515A58">
        <w:rPr>
          <w:szCs w:val="24"/>
        </w:rPr>
        <w:t>ing urban with rural).</w:t>
      </w:r>
      <w:proofErr w:type="gramEnd"/>
      <w:r w:rsidR="00DD4624" w:rsidRPr="00515A58">
        <w:rPr>
          <w:szCs w:val="24"/>
        </w:rPr>
        <w:t xml:space="preserve"> </w:t>
      </w:r>
      <w:r w:rsidRPr="00515A58">
        <w:rPr>
          <w:szCs w:val="24"/>
        </w:rPr>
        <w:t xml:space="preserve"> </w:t>
      </w:r>
    </w:p>
    <w:p w:rsidR="00C43FAF" w:rsidRPr="00515A58" w:rsidRDefault="00C43FAF">
      <w:pPr>
        <w:pStyle w:val="BHNormal"/>
        <w:rPr>
          <w:szCs w:val="24"/>
        </w:rPr>
      </w:pPr>
    </w:p>
    <w:p w:rsidR="00C43FAF" w:rsidRPr="00515A58" w:rsidRDefault="008D2C16" w:rsidP="005A33C7">
      <w:pPr>
        <w:pStyle w:val="BHNormal"/>
        <w:rPr>
          <w:szCs w:val="24"/>
        </w:rPr>
      </w:pPr>
      <w:r w:rsidRPr="00515A58">
        <w:rPr>
          <w:szCs w:val="24"/>
        </w:rPr>
        <w:t xml:space="preserve">Once the 165 </w:t>
      </w:r>
      <w:r w:rsidR="00DD4624" w:rsidRPr="00515A58">
        <w:rPr>
          <w:szCs w:val="24"/>
        </w:rPr>
        <w:t xml:space="preserve">census tracts </w:t>
      </w:r>
      <w:proofErr w:type="gramStart"/>
      <w:r w:rsidRPr="00515A58">
        <w:rPr>
          <w:szCs w:val="24"/>
        </w:rPr>
        <w:t>are selected</w:t>
      </w:r>
      <w:proofErr w:type="gramEnd"/>
      <w:r w:rsidRPr="00515A58">
        <w:rPr>
          <w:szCs w:val="24"/>
        </w:rPr>
        <w:t xml:space="preserve"> </w:t>
      </w:r>
      <w:r w:rsidR="00DD4624" w:rsidRPr="00515A58">
        <w:rPr>
          <w:szCs w:val="24"/>
        </w:rPr>
        <w:t>from each of the strata described above, as well as the 30 census tracts from the 15 large-population counties</w:t>
      </w:r>
      <w:r w:rsidRPr="00515A58">
        <w:rPr>
          <w:szCs w:val="24"/>
        </w:rPr>
        <w:t xml:space="preserve">, we will identify the </w:t>
      </w:r>
      <w:r w:rsidR="00DD4624" w:rsidRPr="00515A58">
        <w:rPr>
          <w:szCs w:val="24"/>
        </w:rPr>
        <w:t>high-school catchment area associated with each selected census tract</w:t>
      </w:r>
      <w:r w:rsidRPr="00515A58">
        <w:rPr>
          <w:szCs w:val="24"/>
        </w:rPr>
        <w:t xml:space="preserve">. </w:t>
      </w:r>
      <w:r w:rsidR="00DD4624" w:rsidRPr="00515A58">
        <w:rPr>
          <w:szCs w:val="24"/>
        </w:rPr>
        <w:t xml:space="preserve">  The HCS will purchase the </w:t>
      </w:r>
      <w:r w:rsidRPr="00515A58">
        <w:rPr>
          <w:szCs w:val="24"/>
        </w:rPr>
        <w:t>QED Education data-source from MCH (</w:t>
      </w:r>
      <w:hyperlink r:id="rId15" w:history="1">
        <w:r w:rsidRPr="00515A58">
          <w:rPr>
            <w:rStyle w:val="Hyperlink"/>
            <w:color w:val="auto"/>
            <w:szCs w:val="24"/>
          </w:rPr>
          <w:t>http://www.mchdata.com/</w:t>
        </w:r>
      </w:hyperlink>
      <w:r w:rsidRPr="00515A58">
        <w:rPr>
          <w:szCs w:val="24"/>
        </w:rPr>
        <w:t>)</w:t>
      </w:r>
      <w:r w:rsidR="00DD4624" w:rsidRPr="00515A58">
        <w:rPr>
          <w:szCs w:val="24"/>
        </w:rPr>
        <w:t>, which will help us identify the public high school(s) that are in closest proximity to the selected census tract, as well as contact information for planners in the corresponding school districts.  GIS researchers will then work to establish the current boundaries of the high-school catchment areas</w:t>
      </w:r>
      <w:r w:rsidR="005A33C7" w:rsidRPr="00515A58">
        <w:rPr>
          <w:szCs w:val="24"/>
        </w:rPr>
        <w:t xml:space="preserve"> to complete the design, using an analysis of population at the census block level to identify which high school catchment area to select when a census tract </w:t>
      </w:r>
      <w:proofErr w:type="gramStart"/>
      <w:r w:rsidR="005A33C7" w:rsidRPr="00515A58">
        <w:rPr>
          <w:szCs w:val="24"/>
        </w:rPr>
        <w:t>is split</w:t>
      </w:r>
      <w:proofErr w:type="gramEnd"/>
      <w:r w:rsidR="005A33C7" w:rsidRPr="00515A58">
        <w:rPr>
          <w:szCs w:val="24"/>
        </w:rPr>
        <w:t xml:space="preserve"> among multiple high school catchment areas.</w:t>
      </w:r>
      <w:r w:rsidR="00DD4624" w:rsidRPr="00515A58">
        <w:rPr>
          <w:szCs w:val="24"/>
        </w:rPr>
        <w:t xml:space="preserve">  </w:t>
      </w:r>
      <w:r w:rsidRPr="00515A58">
        <w:rPr>
          <w:szCs w:val="24"/>
        </w:rPr>
        <w:t xml:space="preserve"> </w:t>
      </w:r>
    </w:p>
    <w:p w:rsidR="00C43FAF" w:rsidRPr="00515A58" w:rsidRDefault="0017080B">
      <w:pPr>
        <w:rPr>
          <w:sz w:val="24"/>
        </w:rPr>
      </w:pPr>
      <w:r w:rsidRPr="00515A58">
        <w:rPr>
          <w:sz w:val="24"/>
        </w:rPr>
        <w:t xml:space="preserve"> </w:t>
      </w:r>
    </w:p>
    <w:p w:rsidR="005A33C7" w:rsidRPr="00515A58" w:rsidRDefault="005A33C7">
      <w:pPr>
        <w:autoSpaceDE/>
        <w:autoSpaceDN/>
        <w:rPr>
          <w:rFonts w:eastAsia="Calibri"/>
          <w:b/>
          <w:i/>
          <w:sz w:val="24"/>
        </w:rPr>
      </w:pPr>
      <w:bookmarkStart w:id="17" w:name="_Toc299107926"/>
      <w:r w:rsidRPr="00515A58">
        <w:rPr>
          <w:b/>
          <w:i/>
        </w:rPr>
        <w:br w:type="page"/>
      </w:r>
    </w:p>
    <w:p w:rsidR="004116D2" w:rsidRPr="00515A58" w:rsidRDefault="0017080B" w:rsidP="00756E94">
      <w:pPr>
        <w:pStyle w:val="BHNormal"/>
        <w:rPr>
          <w:b/>
          <w:i/>
          <w:szCs w:val="24"/>
        </w:rPr>
      </w:pPr>
      <w:r w:rsidRPr="00515A58">
        <w:rPr>
          <w:b/>
          <w:i/>
          <w:szCs w:val="24"/>
        </w:rPr>
        <w:lastRenderedPageBreak/>
        <w:t>B.1.b.3   Selection of Certainty Communities</w:t>
      </w:r>
      <w:bookmarkEnd w:id="17"/>
    </w:p>
    <w:p w:rsidR="004116D2" w:rsidRPr="00515A58" w:rsidRDefault="0017080B">
      <w:pPr>
        <w:pStyle w:val="BHNormal"/>
        <w:rPr>
          <w:szCs w:val="24"/>
        </w:rPr>
      </w:pPr>
      <w:r w:rsidRPr="00515A58">
        <w:rPr>
          <w:szCs w:val="24"/>
        </w:rPr>
        <w:t xml:space="preserve">Following selection of the 195 NPBS communities, a multi-step process will be employed by a small (5-7 member) certainty community selection committee (CCSC) to select the 80 certainty communities.  CCSC members will include experts with broad knowledge of community-based programs and policies aimed at reducing childhood obesity across the U.S.  </w:t>
      </w:r>
    </w:p>
    <w:p w:rsidR="004116D2" w:rsidRPr="00515A58" w:rsidRDefault="004116D2">
      <w:pPr>
        <w:pStyle w:val="BHNormal"/>
        <w:rPr>
          <w:szCs w:val="24"/>
        </w:rPr>
      </w:pPr>
    </w:p>
    <w:p w:rsidR="004116D2" w:rsidRPr="00515A58" w:rsidRDefault="008D2C16">
      <w:pPr>
        <w:pStyle w:val="BHNormal"/>
        <w:rPr>
          <w:szCs w:val="24"/>
        </w:rPr>
      </w:pPr>
      <w:r w:rsidRPr="00515A58">
        <w:rPr>
          <w:szCs w:val="24"/>
        </w:rPr>
        <w:t xml:space="preserve">Selection of certainty communities will utilize a stratified approach to ensure representation across </w:t>
      </w:r>
      <w:r w:rsidR="00754219" w:rsidRPr="00515A58">
        <w:rPr>
          <w:szCs w:val="24"/>
        </w:rPr>
        <w:t xml:space="preserve">the same </w:t>
      </w:r>
      <w:r w:rsidRPr="00515A58">
        <w:rPr>
          <w:szCs w:val="24"/>
        </w:rPr>
        <w:t xml:space="preserve">factors </w:t>
      </w:r>
      <w:r w:rsidR="00754219" w:rsidRPr="00515A58">
        <w:rPr>
          <w:szCs w:val="24"/>
        </w:rPr>
        <w:t>used in the NBPS (</w:t>
      </w:r>
      <w:r w:rsidRPr="00515A58">
        <w:rPr>
          <w:szCs w:val="24"/>
        </w:rPr>
        <w:t xml:space="preserve">Section </w:t>
      </w:r>
      <w:r w:rsidR="002D6C8E" w:rsidRPr="00515A58">
        <w:rPr>
          <w:szCs w:val="24"/>
        </w:rPr>
        <w:t>B.1.b.1</w:t>
      </w:r>
      <w:r w:rsidR="00754219" w:rsidRPr="00515A58">
        <w:rPr>
          <w:szCs w:val="24"/>
        </w:rPr>
        <w:t>)</w:t>
      </w:r>
      <w:r w:rsidRPr="00515A58">
        <w:rPr>
          <w:szCs w:val="24"/>
        </w:rPr>
        <w:t xml:space="preserve">, including region (5 levels), </w:t>
      </w:r>
      <w:proofErr w:type="spellStart"/>
      <w:r w:rsidRPr="00515A58">
        <w:rPr>
          <w:szCs w:val="24"/>
        </w:rPr>
        <w:t>urbanicity</w:t>
      </w:r>
      <w:proofErr w:type="spellEnd"/>
      <w:r w:rsidRPr="00515A58">
        <w:rPr>
          <w:szCs w:val="24"/>
        </w:rPr>
        <w:t xml:space="preserve"> (3 levels), income (2 levels), and </w:t>
      </w:r>
      <w:r w:rsidR="00AF5347" w:rsidRPr="00515A58">
        <w:rPr>
          <w:szCs w:val="24"/>
        </w:rPr>
        <w:t>race/et</w:t>
      </w:r>
      <w:r w:rsidR="00101993" w:rsidRPr="00515A58">
        <w:rPr>
          <w:szCs w:val="24"/>
        </w:rPr>
        <w:t>h</w:t>
      </w:r>
      <w:r w:rsidR="00AF5347" w:rsidRPr="00515A58">
        <w:rPr>
          <w:szCs w:val="24"/>
        </w:rPr>
        <w:t>nicity</w:t>
      </w:r>
      <w:r w:rsidRPr="00515A58">
        <w:rPr>
          <w:szCs w:val="24"/>
        </w:rPr>
        <w:t xml:space="preserve"> (</w:t>
      </w:r>
      <w:r w:rsidR="005A33C7" w:rsidRPr="00515A58">
        <w:rPr>
          <w:szCs w:val="24"/>
        </w:rPr>
        <w:t xml:space="preserve">3 </w:t>
      </w:r>
      <w:r w:rsidRPr="00515A58">
        <w:rPr>
          <w:szCs w:val="24"/>
        </w:rPr>
        <w:t xml:space="preserve">levels). </w:t>
      </w:r>
      <w:r w:rsidR="006C1C6A" w:rsidRPr="00515A58">
        <w:rPr>
          <w:szCs w:val="24"/>
        </w:rPr>
        <w:t xml:space="preserve"> </w:t>
      </w:r>
      <w:r w:rsidRPr="00515A58">
        <w:rPr>
          <w:szCs w:val="24"/>
        </w:rPr>
        <w:t>We will designate combination</w:t>
      </w:r>
      <w:r w:rsidR="005A33C7" w:rsidRPr="00515A58">
        <w:rPr>
          <w:szCs w:val="24"/>
        </w:rPr>
        <w:t>s</w:t>
      </w:r>
      <w:r w:rsidRPr="00515A58">
        <w:rPr>
          <w:szCs w:val="24"/>
        </w:rPr>
        <w:t xml:space="preserve"> of the above four factors as a certainty selection strata</w:t>
      </w:r>
      <w:r w:rsidR="005A33C7" w:rsidRPr="00515A58">
        <w:rPr>
          <w:szCs w:val="24"/>
        </w:rPr>
        <w:t xml:space="preserve"> (following a similar approach to combining/collapsing combinations with very few census tracts</w:t>
      </w:r>
      <w:proofErr w:type="gramStart"/>
      <w:r w:rsidR="005A33C7" w:rsidRPr="00515A58">
        <w:rPr>
          <w:szCs w:val="24"/>
        </w:rPr>
        <w:t xml:space="preserve">) </w:t>
      </w:r>
      <w:r w:rsidRPr="00515A58">
        <w:rPr>
          <w:szCs w:val="24"/>
        </w:rPr>
        <w:t xml:space="preserve"> –</w:t>
      </w:r>
      <w:proofErr w:type="gramEnd"/>
      <w:r w:rsidRPr="00515A58">
        <w:rPr>
          <w:szCs w:val="24"/>
        </w:rPr>
        <w:t xml:space="preserve"> with a goal of selecting at least one certainty community within each of the</w:t>
      </w:r>
      <w:r w:rsidR="005A33C7" w:rsidRPr="00515A58">
        <w:rPr>
          <w:szCs w:val="24"/>
        </w:rPr>
        <w:t>se</w:t>
      </w:r>
      <w:r w:rsidRPr="00515A58">
        <w:rPr>
          <w:szCs w:val="24"/>
        </w:rPr>
        <w:t xml:space="preserve"> </w:t>
      </w:r>
      <w:r w:rsidR="005A33C7" w:rsidRPr="00515A58">
        <w:rPr>
          <w:szCs w:val="24"/>
        </w:rPr>
        <w:t xml:space="preserve">established </w:t>
      </w:r>
      <w:r w:rsidRPr="00515A58">
        <w:rPr>
          <w:szCs w:val="24"/>
        </w:rPr>
        <w:t xml:space="preserve">strata. </w:t>
      </w:r>
      <w:r w:rsidR="006C1C6A" w:rsidRPr="00515A58">
        <w:rPr>
          <w:szCs w:val="24"/>
        </w:rPr>
        <w:t xml:space="preserve"> </w:t>
      </w:r>
      <w:r w:rsidRPr="00515A58">
        <w:rPr>
          <w:szCs w:val="24"/>
        </w:rPr>
        <w:t>Thus, the majority of str</w:t>
      </w:r>
      <w:r w:rsidR="0017080B" w:rsidRPr="00515A58">
        <w:rPr>
          <w:szCs w:val="24"/>
        </w:rPr>
        <w:t xml:space="preserve">ata will include only a single certainty community, with a minority of strata containing two or more certainty communities. </w:t>
      </w:r>
    </w:p>
    <w:p w:rsidR="004116D2" w:rsidRPr="00515A58" w:rsidRDefault="004116D2">
      <w:pPr>
        <w:pStyle w:val="BHNormal"/>
        <w:rPr>
          <w:szCs w:val="24"/>
        </w:rPr>
      </w:pPr>
    </w:p>
    <w:p w:rsidR="004116D2" w:rsidRPr="00515A58" w:rsidRDefault="008D2C16">
      <w:pPr>
        <w:pStyle w:val="BHNormal"/>
        <w:rPr>
          <w:szCs w:val="24"/>
        </w:rPr>
      </w:pPr>
      <w:r w:rsidRPr="00515A58">
        <w:rPr>
          <w:szCs w:val="24"/>
        </w:rPr>
        <w:t>There are three main st</w:t>
      </w:r>
      <w:r w:rsidR="00791461" w:rsidRPr="00515A58">
        <w:rPr>
          <w:szCs w:val="24"/>
        </w:rPr>
        <w:t xml:space="preserve">eps </w:t>
      </w:r>
      <w:r w:rsidR="00C60F43" w:rsidRPr="00515A58">
        <w:rPr>
          <w:szCs w:val="24"/>
        </w:rPr>
        <w:t>to select certainty communities</w:t>
      </w:r>
      <w:r w:rsidRPr="00515A58">
        <w:rPr>
          <w:szCs w:val="24"/>
        </w:rPr>
        <w:t>:</w:t>
      </w:r>
    </w:p>
    <w:p w:rsidR="004116D2" w:rsidRPr="00515A58" w:rsidRDefault="004E6CF4">
      <w:pPr>
        <w:pStyle w:val="BHNormal"/>
        <w:numPr>
          <w:ilvl w:val="0"/>
          <w:numId w:val="28"/>
        </w:numPr>
        <w:ind w:left="720" w:hanging="360"/>
        <w:rPr>
          <w:szCs w:val="24"/>
        </w:rPr>
      </w:pPr>
      <w:r w:rsidRPr="00515A58">
        <w:rPr>
          <w:szCs w:val="24"/>
        </w:rPr>
        <w:t>T</w:t>
      </w:r>
      <w:r w:rsidR="008D2C16" w:rsidRPr="00515A58">
        <w:rPr>
          <w:szCs w:val="24"/>
        </w:rPr>
        <w:t>he CCSC will select 80 communities based solely on Steering Committee nomination</w:t>
      </w:r>
      <w:r w:rsidR="0017080B" w:rsidRPr="00515A58">
        <w:rPr>
          <w:szCs w:val="24"/>
        </w:rPr>
        <w:t xml:space="preserve">s.  These communities </w:t>
      </w:r>
      <w:proofErr w:type="gramStart"/>
      <w:r w:rsidR="0017080B" w:rsidRPr="00515A58">
        <w:rPr>
          <w:szCs w:val="24"/>
        </w:rPr>
        <w:t>will be placed</w:t>
      </w:r>
      <w:proofErr w:type="gramEnd"/>
      <w:r w:rsidR="0017080B" w:rsidRPr="00515A58">
        <w:rPr>
          <w:szCs w:val="24"/>
        </w:rPr>
        <w:t xml:space="preserve"> into the above strata, and the CCSC will provide an independent rating of each nominated community, using a 0-10 scale with 10 representing a community with the most highly promising programs and policies.  The scores </w:t>
      </w:r>
      <w:proofErr w:type="gramStart"/>
      <w:r w:rsidR="0017080B" w:rsidRPr="00515A58">
        <w:rPr>
          <w:szCs w:val="24"/>
        </w:rPr>
        <w:t>will be averaged</w:t>
      </w:r>
      <w:proofErr w:type="gramEnd"/>
      <w:r w:rsidR="0017080B" w:rsidRPr="00515A58">
        <w:rPr>
          <w:szCs w:val="24"/>
        </w:rPr>
        <w:t xml:space="preserve"> across CCSC members for each community, and the ranked scores will be used by the CCSC to select communities.</w:t>
      </w:r>
    </w:p>
    <w:p w:rsidR="005A33C7" w:rsidRPr="00515A58" w:rsidRDefault="005A33C7">
      <w:pPr>
        <w:pStyle w:val="BHNormal"/>
        <w:ind w:left="720"/>
        <w:rPr>
          <w:szCs w:val="24"/>
        </w:rPr>
      </w:pPr>
    </w:p>
    <w:p w:rsidR="004116D2" w:rsidRPr="00515A58" w:rsidRDefault="0017080B">
      <w:pPr>
        <w:pStyle w:val="BHNormal"/>
        <w:ind w:left="720"/>
        <w:rPr>
          <w:szCs w:val="24"/>
        </w:rPr>
      </w:pPr>
      <w:r w:rsidRPr="00515A58">
        <w:rPr>
          <w:szCs w:val="24"/>
        </w:rPr>
        <w:t>We anticipate that most of the strata will include one or more nominated communities; however, if there are strata that do not contain any nominated communities, the CCSC may ask the HCS Steering Committee to identify potential certainty communities in the empty strata.</w:t>
      </w:r>
    </w:p>
    <w:p w:rsidR="004116D2" w:rsidRPr="00515A58" w:rsidRDefault="004116D2">
      <w:pPr>
        <w:pStyle w:val="BHNormal"/>
        <w:ind w:left="720"/>
        <w:rPr>
          <w:szCs w:val="24"/>
        </w:rPr>
      </w:pPr>
    </w:p>
    <w:p w:rsidR="004116D2" w:rsidRPr="00515A58" w:rsidRDefault="008D2C16">
      <w:pPr>
        <w:pStyle w:val="BHNormal"/>
        <w:numPr>
          <w:ilvl w:val="0"/>
          <w:numId w:val="28"/>
        </w:numPr>
        <w:ind w:left="720" w:hanging="360"/>
        <w:rPr>
          <w:szCs w:val="24"/>
        </w:rPr>
      </w:pPr>
      <w:r w:rsidRPr="00515A58">
        <w:rPr>
          <w:szCs w:val="24"/>
        </w:rPr>
        <w:t xml:space="preserve">Battelle will generate three rank-ordered lists of communities identified within the GIS database (described in Section </w:t>
      </w:r>
      <w:r w:rsidR="002D6C8E" w:rsidRPr="00515A58">
        <w:rPr>
          <w:szCs w:val="24"/>
        </w:rPr>
        <w:t>B.1.b.1</w:t>
      </w:r>
      <w:r w:rsidRPr="00515A58">
        <w:rPr>
          <w:szCs w:val="24"/>
        </w:rPr>
        <w:t>) with:</w:t>
      </w:r>
    </w:p>
    <w:p w:rsidR="004116D2" w:rsidRPr="00515A58" w:rsidRDefault="0017080B">
      <w:pPr>
        <w:pStyle w:val="BHNormal"/>
        <w:numPr>
          <w:ilvl w:val="0"/>
          <w:numId w:val="22"/>
        </w:numPr>
        <w:ind w:left="1440"/>
        <w:rPr>
          <w:szCs w:val="24"/>
        </w:rPr>
      </w:pPr>
      <w:r w:rsidRPr="00515A58">
        <w:rPr>
          <w:szCs w:val="24"/>
        </w:rPr>
        <w:t xml:space="preserve">the highest per-capita funding across all programs/policies that impact the community over the past decade (population size defined by </w:t>
      </w:r>
      <w:r w:rsidR="009135D5" w:rsidRPr="00515A58">
        <w:rPr>
          <w:szCs w:val="24"/>
        </w:rPr>
        <w:t xml:space="preserve">U.S. </w:t>
      </w:r>
      <w:r w:rsidRPr="00515A58">
        <w:rPr>
          <w:szCs w:val="24"/>
        </w:rPr>
        <w:t>Census 2010 Population estimates for the number of children aged 3-15 years);</w:t>
      </w:r>
    </w:p>
    <w:p w:rsidR="004116D2" w:rsidRPr="00515A58" w:rsidRDefault="0017080B">
      <w:pPr>
        <w:pStyle w:val="BHNormal"/>
        <w:numPr>
          <w:ilvl w:val="0"/>
          <w:numId w:val="22"/>
        </w:numPr>
        <w:ind w:left="1440"/>
        <w:rPr>
          <w:szCs w:val="24"/>
        </w:rPr>
      </w:pPr>
      <w:r w:rsidRPr="00515A58">
        <w:rPr>
          <w:szCs w:val="24"/>
        </w:rPr>
        <w:t>the highest number of programs and policies identified in  the community over the past decade; and</w:t>
      </w:r>
    </w:p>
    <w:p w:rsidR="004116D2" w:rsidRPr="00515A58" w:rsidRDefault="0017080B">
      <w:pPr>
        <w:pStyle w:val="BHNormal"/>
        <w:numPr>
          <w:ilvl w:val="0"/>
          <w:numId w:val="22"/>
        </w:numPr>
        <w:ind w:left="1440"/>
        <w:rPr>
          <w:szCs w:val="24"/>
        </w:rPr>
      </w:pPr>
      <w:proofErr w:type="gramStart"/>
      <w:r w:rsidRPr="00515A58">
        <w:rPr>
          <w:szCs w:val="24"/>
        </w:rPr>
        <w:t>the</w:t>
      </w:r>
      <w:proofErr w:type="gramEnd"/>
      <w:r w:rsidRPr="00515A58">
        <w:rPr>
          <w:szCs w:val="24"/>
        </w:rPr>
        <w:t xml:space="preserve"> highest number of independent funders/sponsors of the community programs/policies identified.</w:t>
      </w:r>
    </w:p>
    <w:p w:rsidR="004116D2" w:rsidRPr="00515A58" w:rsidRDefault="004116D2">
      <w:pPr>
        <w:pStyle w:val="BHNormal"/>
        <w:ind w:left="1440"/>
        <w:rPr>
          <w:szCs w:val="24"/>
        </w:rPr>
      </w:pPr>
    </w:p>
    <w:p w:rsidR="004116D2" w:rsidRPr="00515A58" w:rsidRDefault="008D2C16">
      <w:pPr>
        <w:pStyle w:val="BHNormal"/>
        <w:ind w:left="720"/>
        <w:rPr>
          <w:szCs w:val="24"/>
        </w:rPr>
      </w:pPr>
      <w:r w:rsidRPr="00515A58">
        <w:rPr>
          <w:szCs w:val="24"/>
        </w:rPr>
        <w:t xml:space="preserve">These </w:t>
      </w:r>
      <w:r w:rsidR="007A369A" w:rsidRPr="00515A58">
        <w:rPr>
          <w:szCs w:val="24"/>
        </w:rPr>
        <w:t xml:space="preserve">three </w:t>
      </w:r>
      <w:r w:rsidRPr="00515A58">
        <w:rPr>
          <w:szCs w:val="24"/>
        </w:rPr>
        <w:t>lists</w:t>
      </w:r>
      <w:r w:rsidR="00F954E4" w:rsidRPr="00515A58">
        <w:rPr>
          <w:szCs w:val="24"/>
        </w:rPr>
        <w:t xml:space="preserve">, </w:t>
      </w:r>
      <w:r w:rsidRPr="00515A58">
        <w:rPr>
          <w:szCs w:val="24"/>
        </w:rPr>
        <w:t>contain</w:t>
      </w:r>
      <w:r w:rsidR="00F954E4" w:rsidRPr="00515A58">
        <w:rPr>
          <w:szCs w:val="24"/>
        </w:rPr>
        <w:t>ing</w:t>
      </w:r>
      <w:r w:rsidRPr="00515A58">
        <w:rPr>
          <w:szCs w:val="24"/>
        </w:rPr>
        <w:t xml:space="preserve"> the top 100 ranked communities nationwide, </w:t>
      </w:r>
      <w:proofErr w:type="gramStart"/>
      <w:r w:rsidRPr="00515A58">
        <w:rPr>
          <w:szCs w:val="24"/>
        </w:rPr>
        <w:t>will be categorized</w:t>
      </w:r>
      <w:proofErr w:type="gramEnd"/>
      <w:r w:rsidRPr="00515A58">
        <w:rPr>
          <w:szCs w:val="24"/>
        </w:rPr>
        <w:t xml:space="preserve"> into the strata. </w:t>
      </w:r>
      <w:r w:rsidR="00133A04" w:rsidRPr="00515A58">
        <w:rPr>
          <w:szCs w:val="24"/>
        </w:rPr>
        <w:t xml:space="preserve"> </w:t>
      </w:r>
      <w:r w:rsidRPr="00515A58">
        <w:rPr>
          <w:szCs w:val="24"/>
        </w:rPr>
        <w:t xml:space="preserve">The CCSC will review these rank-ordered lists to determine whether some communities on this list </w:t>
      </w:r>
      <w:proofErr w:type="gramStart"/>
      <w:r w:rsidRPr="00515A58">
        <w:rPr>
          <w:szCs w:val="24"/>
        </w:rPr>
        <w:t>should be substituted</w:t>
      </w:r>
      <w:proofErr w:type="gramEnd"/>
      <w:r w:rsidRPr="00515A58">
        <w:rPr>
          <w:szCs w:val="24"/>
        </w:rPr>
        <w:t xml:space="preserve"> for any of the 80 previously identified </w:t>
      </w:r>
      <w:r w:rsidR="00E679A4" w:rsidRPr="00515A58">
        <w:rPr>
          <w:szCs w:val="24"/>
        </w:rPr>
        <w:t>communities (in step 1</w:t>
      </w:r>
      <w:r w:rsidR="0017080B" w:rsidRPr="00515A58">
        <w:rPr>
          <w:szCs w:val="24"/>
        </w:rPr>
        <w:t xml:space="preserve">).  This step should ensure that most communities with promising programs and policies </w:t>
      </w:r>
      <w:proofErr w:type="gramStart"/>
      <w:r w:rsidR="0017080B" w:rsidRPr="00515A58">
        <w:rPr>
          <w:szCs w:val="24"/>
        </w:rPr>
        <w:t>are considered</w:t>
      </w:r>
      <w:proofErr w:type="gramEnd"/>
      <w:r w:rsidR="0017080B" w:rsidRPr="00515A58">
        <w:rPr>
          <w:szCs w:val="24"/>
        </w:rPr>
        <w:t xml:space="preserve"> even if not nominated by a Steering Committee member.</w:t>
      </w:r>
    </w:p>
    <w:p w:rsidR="004116D2" w:rsidRPr="00515A58" w:rsidRDefault="004116D2">
      <w:pPr>
        <w:pStyle w:val="BHNormal"/>
        <w:ind w:left="720"/>
        <w:rPr>
          <w:szCs w:val="24"/>
        </w:rPr>
      </w:pPr>
    </w:p>
    <w:p w:rsidR="004116D2" w:rsidRPr="00515A58" w:rsidRDefault="004E6CF4">
      <w:pPr>
        <w:pStyle w:val="BHNormal"/>
        <w:numPr>
          <w:ilvl w:val="0"/>
          <w:numId w:val="28"/>
        </w:numPr>
        <w:ind w:left="720" w:hanging="360"/>
        <w:rPr>
          <w:szCs w:val="24"/>
        </w:rPr>
      </w:pPr>
      <w:r w:rsidRPr="00515A58">
        <w:rPr>
          <w:szCs w:val="24"/>
        </w:rPr>
        <w:lastRenderedPageBreak/>
        <w:t>T</w:t>
      </w:r>
      <w:r w:rsidR="008D2C16" w:rsidRPr="00515A58">
        <w:rPr>
          <w:szCs w:val="24"/>
        </w:rPr>
        <w:t xml:space="preserve">he CCSC will review communities (anticipated 150 – 200 communities) nominated through the interviews </w:t>
      </w:r>
      <w:r w:rsidR="00876AB5" w:rsidRPr="00515A58">
        <w:rPr>
          <w:szCs w:val="24"/>
        </w:rPr>
        <w:t>of staff at s</w:t>
      </w:r>
      <w:r w:rsidR="00A223EB" w:rsidRPr="00515A58">
        <w:rPr>
          <w:szCs w:val="24"/>
        </w:rPr>
        <w:t xml:space="preserve">tate </w:t>
      </w:r>
      <w:r w:rsidR="0017080B" w:rsidRPr="00515A58">
        <w:rPr>
          <w:szCs w:val="24"/>
        </w:rPr>
        <w:t xml:space="preserve">health departments.  These interviews </w:t>
      </w:r>
      <w:proofErr w:type="gramStart"/>
      <w:r w:rsidR="0017080B" w:rsidRPr="00515A58">
        <w:rPr>
          <w:szCs w:val="24"/>
        </w:rPr>
        <w:t>will be used</w:t>
      </w:r>
      <w:proofErr w:type="gramEnd"/>
      <w:r w:rsidR="0017080B" w:rsidRPr="00515A58">
        <w:rPr>
          <w:szCs w:val="24"/>
        </w:rPr>
        <w:t xml:space="preserve"> to identify communities with promising programs</w:t>
      </w:r>
      <w:r w:rsidR="00E679A4" w:rsidRPr="00515A58">
        <w:rPr>
          <w:szCs w:val="24"/>
        </w:rPr>
        <w:t>/policies</w:t>
      </w:r>
      <w:r w:rsidR="0017080B" w:rsidRPr="00515A58">
        <w:rPr>
          <w:szCs w:val="24"/>
        </w:rPr>
        <w:t xml:space="preserve"> that may not have been identified by the HCS Steering Committee or other federal and private sponsors, or that may be self-funding their activities.  To facilitate review, these nominated communities will be placed into the strata, and the CCSC members will be asked to rate them using the same 0-10 scale.  The scores </w:t>
      </w:r>
      <w:proofErr w:type="gramStart"/>
      <w:r w:rsidR="0017080B" w:rsidRPr="00515A58">
        <w:rPr>
          <w:szCs w:val="24"/>
        </w:rPr>
        <w:t>will be averaged</w:t>
      </w:r>
      <w:proofErr w:type="gramEnd"/>
      <w:r w:rsidR="0017080B" w:rsidRPr="00515A58">
        <w:rPr>
          <w:szCs w:val="24"/>
        </w:rPr>
        <w:t xml:space="preserve"> and communities will be ranked.  The CCSC will substitute up to 20 communities from this review in place of previously selected communities, to ensure diversity among the communities selected with certainty.</w:t>
      </w:r>
    </w:p>
    <w:p w:rsidR="004116D2" w:rsidRPr="00515A58" w:rsidRDefault="004116D2">
      <w:pPr>
        <w:pStyle w:val="BHNormal"/>
        <w:ind w:left="720"/>
        <w:rPr>
          <w:szCs w:val="24"/>
        </w:rPr>
      </w:pPr>
    </w:p>
    <w:p w:rsidR="004116D2" w:rsidRPr="00515A58" w:rsidRDefault="008D2C16">
      <w:pPr>
        <w:pStyle w:val="BHNormal"/>
        <w:rPr>
          <w:szCs w:val="24"/>
        </w:rPr>
      </w:pPr>
      <w:r w:rsidRPr="00515A58">
        <w:rPr>
          <w:szCs w:val="24"/>
        </w:rPr>
        <w:t xml:space="preserve">In most cases, the certainty community selected by the CCSC will not match our definition of a community, </w:t>
      </w:r>
      <w:r w:rsidR="00557B33" w:rsidRPr="00515A58">
        <w:rPr>
          <w:szCs w:val="24"/>
        </w:rPr>
        <w:t xml:space="preserve">i.e., it will </w:t>
      </w:r>
      <w:r w:rsidRPr="00515A58">
        <w:rPr>
          <w:szCs w:val="24"/>
        </w:rPr>
        <w:t xml:space="preserve">cover a geographical area that contains multiple public high-school catchment areas. </w:t>
      </w:r>
      <w:r w:rsidR="00DF5DE0" w:rsidRPr="00515A58">
        <w:rPr>
          <w:szCs w:val="24"/>
        </w:rPr>
        <w:t xml:space="preserve"> </w:t>
      </w:r>
      <w:r w:rsidRPr="00515A58">
        <w:rPr>
          <w:szCs w:val="24"/>
        </w:rPr>
        <w:t xml:space="preserve">In these instances, we will identify all public high-school catchment areas within the </w:t>
      </w:r>
      <w:r w:rsidR="0017080B" w:rsidRPr="00515A58">
        <w:rPr>
          <w:szCs w:val="24"/>
        </w:rPr>
        <w:t xml:space="preserve">selected area and select one with probability proportional to size (where the measure of size represents the 2010 U.S. Census population of children aged 3-15 years).  These selection probabilities </w:t>
      </w:r>
      <w:proofErr w:type="gramStart"/>
      <w:r w:rsidR="0017080B" w:rsidRPr="00515A58">
        <w:rPr>
          <w:szCs w:val="24"/>
        </w:rPr>
        <w:t>will be taken</w:t>
      </w:r>
      <w:proofErr w:type="gramEnd"/>
      <w:r w:rsidR="0017080B" w:rsidRPr="00515A58">
        <w:rPr>
          <w:szCs w:val="24"/>
        </w:rPr>
        <w:t xml:space="preserve"> into consideration while developing the sampling weights at the community level, as described in Section B.1.b.4 below. </w:t>
      </w:r>
    </w:p>
    <w:p w:rsidR="004116D2" w:rsidRPr="00515A58" w:rsidRDefault="004116D2">
      <w:pPr>
        <w:pStyle w:val="BHNormal"/>
        <w:rPr>
          <w:szCs w:val="24"/>
        </w:rPr>
      </w:pPr>
    </w:p>
    <w:p w:rsidR="004116D2" w:rsidRPr="00515A58" w:rsidRDefault="00AA5DB2" w:rsidP="00756E94">
      <w:pPr>
        <w:pStyle w:val="BHNormal"/>
        <w:rPr>
          <w:b/>
          <w:i/>
          <w:szCs w:val="24"/>
        </w:rPr>
      </w:pPr>
      <w:bookmarkStart w:id="18" w:name="_Toc299107927"/>
      <w:r w:rsidRPr="00515A58">
        <w:rPr>
          <w:b/>
          <w:i/>
          <w:szCs w:val="24"/>
        </w:rPr>
        <w:t xml:space="preserve">B.1.b.4   </w:t>
      </w:r>
      <w:r w:rsidR="008D2C16" w:rsidRPr="00515A58">
        <w:rPr>
          <w:b/>
          <w:i/>
          <w:szCs w:val="24"/>
        </w:rPr>
        <w:t>Calculation of Sampling Weights at the Community Level</w:t>
      </w:r>
      <w:bookmarkEnd w:id="18"/>
    </w:p>
    <w:p w:rsidR="008D2C16" w:rsidRPr="00515A58" w:rsidRDefault="008D2C16" w:rsidP="00A76A72">
      <w:pPr>
        <w:rPr>
          <w:sz w:val="24"/>
        </w:rPr>
      </w:pPr>
      <w:r w:rsidRPr="00515A58">
        <w:rPr>
          <w:sz w:val="24"/>
        </w:rPr>
        <w:t xml:space="preserve">Sampling weights at the community level </w:t>
      </w:r>
      <w:proofErr w:type="gramStart"/>
      <w:r w:rsidRPr="00515A58">
        <w:rPr>
          <w:sz w:val="24"/>
        </w:rPr>
        <w:t>will be calculated</w:t>
      </w:r>
      <w:proofErr w:type="gramEnd"/>
      <w:r w:rsidRPr="00515A58">
        <w:rPr>
          <w:sz w:val="24"/>
        </w:rPr>
        <w:t xml:space="preserve"> to represent the MOS corresponding to the strata from which the community was selected, where the MOS is based on the number of children aged 3-15 years from 201</w:t>
      </w:r>
      <w:r w:rsidR="0017080B" w:rsidRPr="00515A58">
        <w:rPr>
          <w:sz w:val="24"/>
        </w:rPr>
        <w:t xml:space="preserve">0 U.S. Census Data.  For certainty communities, the sampling weight will represent the MOS within the geographic area originally identified by the CCSC.  For communities selected through the National Probability-Based Sample, the selection weights will represent the MOS among all counties that </w:t>
      </w:r>
      <w:proofErr w:type="gramStart"/>
      <w:r w:rsidR="0017080B" w:rsidRPr="00515A58">
        <w:rPr>
          <w:sz w:val="24"/>
        </w:rPr>
        <w:t>were represented</w:t>
      </w:r>
      <w:proofErr w:type="gramEnd"/>
      <w:r w:rsidR="0017080B" w:rsidRPr="00515A58">
        <w:rPr>
          <w:sz w:val="24"/>
        </w:rPr>
        <w:t xml:space="preserve"> within the stratum after subtracting the MOS from any certainty communities that are located within counties belonging to that stratum.  For the subset of 15 certainty counties that include multiple communities as detailed in Section B.1.b.2, each community selected </w:t>
      </w:r>
      <w:proofErr w:type="gramStart"/>
      <w:r w:rsidR="0017080B" w:rsidRPr="00515A58">
        <w:rPr>
          <w:sz w:val="24"/>
        </w:rPr>
        <w:t>will be assigned</w:t>
      </w:r>
      <w:proofErr w:type="gramEnd"/>
      <w:r w:rsidR="0017080B" w:rsidRPr="00515A58">
        <w:rPr>
          <w:sz w:val="24"/>
        </w:rPr>
        <w:t xml:space="preserve"> a proportional part of the MOS of the certainty county.  This procedure ensures that the sum of weights across all communities selected in </w:t>
      </w:r>
      <w:r w:rsidR="009135D5" w:rsidRPr="00515A58">
        <w:rPr>
          <w:sz w:val="24"/>
        </w:rPr>
        <w:t>Wave 2</w:t>
      </w:r>
      <w:r w:rsidR="0017080B" w:rsidRPr="00515A58">
        <w:rPr>
          <w:sz w:val="24"/>
        </w:rPr>
        <w:t xml:space="preserve"> will be equal to the total population of children in the U.S. aged 3-15 years.                                                                                                                                                                                                                            </w:t>
      </w:r>
    </w:p>
    <w:p w:rsidR="00215D33" w:rsidRPr="00515A58" w:rsidRDefault="00215D33" w:rsidP="00A76A72">
      <w:pPr>
        <w:rPr>
          <w:sz w:val="24"/>
        </w:rPr>
      </w:pPr>
    </w:p>
    <w:p w:rsidR="008D2C16" w:rsidRPr="00515A58" w:rsidRDefault="0017080B" w:rsidP="00A76A72">
      <w:pPr>
        <w:rPr>
          <w:sz w:val="24"/>
        </w:rPr>
      </w:pPr>
      <w:r w:rsidRPr="00515A58">
        <w:rPr>
          <w:sz w:val="24"/>
        </w:rPr>
        <w:t xml:space="preserve">To facilitate the calculation of weights at the study participant level, the MOS for each community </w:t>
      </w:r>
      <w:proofErr w:type="gramStart"/>
      <w:r w:rsidRPr="00515A58">
        <w:rPr>
          <w:sz w:val="24"/>
        </w:rPr>
        <w:t>will also be computed</w:t>
      </w:r>
      <w:proofErr w:type="gramEnd"/>
      <w:r w:rsidRPr="00515A58">
        <w:rPr>
          <w:sz w:val="24"/>
        </w:rPr>
        <w:t xml:space="preserve"> for the 26 specific age-by-gender combinations.</w:t>
      </w:r>
    </w:p>
    <w:p w:rsidR="00E94F72" w:rsidRPr="00515A58" w:rsidRDefault="00E94F72" w:rsidP="00A76A72">
      <w:pPr>
        <w:rPr>
          <w:sz w:val="24"/>
        </w:rPr>
      </w:pPr>
    </w:p>
    <w:p w:rsidR="004116D2" w:rsidRPr="00515A58" w:rsidRDefault="0017080B" w:rsidP="00756E94">
      <w:pPr>
        <w:pStyle w:val="BHNormal"/>
        <w:rPr>
          <w:b/>
          <w:i/>
        </w:rPr>
      </w:pPr>
      <w:bookmarkStart w:id="19" w:name="_Toc299107928"/>
      <w:r w:rsidRPr="00515A58">
        <w:rPr>
          <w:b/>
          <w:i/>
        </w:rPr>
        <w:t>B.1.b.5   Selection of Repeat In-Person Assessment (RIPA) Communities</w:t>
      </w:r>
      <w:bookmarkEnd w:id="19"/>
    </w:p>
    <w:p w:rsidR="004116D2" w:rsidRPr="00515A58" w:rsidRDefault="0017080B">
      <w:pPr>
        <w:pStyle w:val="BHNormal"/>
        <w:rPr>
          <w:szCs w:val="24"/>
        </w:rPr>
      </w:pPr>
      <w:r w:rsidRPr="00515A58">
        <w:rPr>
          <w:szCs w:val="24"/>
        </w:rPr>
        <w:t xml:space="preserve">The 40 RIPA communities </w:t>
      </w:r>
      <w:proofErr w:type="gramStart"/>
      <w:r w:rsidRPr="00515A58">
        <w:rPr>
          <w:szCs w:val="24"/>
        </w:rPr>
        <w:t>will be selected</w:t>
      </w:r>
      <w:proofErr w:type="gramEnd"/>
      <w:r w:rsidRPr="00515A58">
        <w:rPr>
          <w:szCs w:val="24"/>
        </w:rPr>
        <w:t xml:space="preserve"> as a stratified random sample of the 275 </w:t>
      </w:r>
      <w:r w:rsidR="009135D5" w:rsidRPr="00515A58">
        <w:rPr>
          <w:szCs w:val="24"/>
        </w:rPr>
        <w:t xml:space="preserve">Wave 2 </w:t>
      </w:r>
      <w:r w:rsidR="00974EBA" w:rsidRPr="00515A58">
        <w:rPr>
          <w:szCs w:val="24"/>
        </w:rPr>
        <w:t xml:space="preserve">communities. </w:t>
      </w:r>
      <w:r w:rsidR="00326C40" w:rsidRPr="00515A58">
        <w:rPr>
          <w:szCs w:val="24"/>
        </w:rPr>
        <w:t xml:space="preserve">The RIPA communities will represent the diversity of the Wave 2 communities in terms of population demographics and geographic location. </w:t>
      </w:r>
      <w:r w:rsidRPr="00515A58">
        <w:rPr>
          <w:szCs w:val="24"/>
        </w:rPr>
        <w:t xml:space="preserve">This will ensure that the data collected in the RIPA assessments </w:t>
      </w:r>
      <w:proofErr w:type="gramStart"/>
      <w:r w:rsidRPr="00515A58">
        <w:rPr>
          <w:szCs w:val="24"/>
        </w:rPr>
        <w:t>can be properly used</w:t>
      </w:r>
      <w:proofErr w:type="gramEnd"/>
      <w:r w:rsidRPr="00515A58">
        <w:rPr>
          <w:szCs w:val="24"/>
        </w:rPr>
        <w:t xml:space="preserve"> in the statistical error and bias adjustments.  These methods require an assumption that the more detailed information is missing at random in the other 235 communities.  For logistical reasons, the 40 RIPA communities will be the first communities </w:t>
      </w:r>
      <w:r w:rsidR="00DE075F" w:rsidRPr="00515A58">
        <w:rPr>
          <w:szCs w:val="24"/>
        </w:rPr>
        <w:t xml:space="preserve">visited during </w:t>
      </w:r>
      <w:r w:rsidRPr="00515A58">
        <w:rPr>
          <w:szCs w:val="24"/>
        </w:rPr>
        <w:t>the Wave 2</w:t>
      </w:r>
      <w:r w:rsidR="00DE075F" w:rsidRPr="00515A58">
        <w:rPr>
          <w:szCs w:val="24"/>
        </w:rPr>
        <w:t xml:space="preserve"> baseline in-person data collection</w:t>
      </w:r>
      <w:r w:rsidRPr="00515A58">
        <w:rPr>
          <w:szCs w:val="24"/>
        </w:rPr>
        <w:t xml:space="preserve"> thereby allowing for a</w:t>
      </w:r>
      <w:r w:rsidR="00DE075F" w:rsidRPr="00515A58">
        <w:rPr>
          <w:szCs w:val="24"/>
        </w:rPr>
        <w:t xml:space="preserve"> repeat of the original in-person data collection on the participants and the community</w:t>
      </w:r>
      <w:r w:rsidRPr="00515A58">
        <w:rPr>
          <w:szCs w:val="24"/>
        </w:rPr>
        <w:t xml:space="preserve"> three years following the baseline assessment.</w:t>
      </w:r>
    </w:p>
    <w:p w:rsidR="00627116" w:rsidRPr="00515A58" w:rsidRDefault="00627116">
      <w:pPr>
        <w:pStyle w:val="BHNormal"/>
        <w:rPr>
          <w:szCs w:val="24"/>
        </w:rPr>
      </w:pPr>
    </w:p>
    <w:p w:rsidR="00627116" w:rsidRPr="00515A58" w:rsidRDefault="00627116" w:rsidP="00627116">
      <w:pPr>
        <w:pStyle w:val="NoSpacing"/>
        <w:rPr>
          <w:rFonts w:ascii="Times New Roman" w:hAnsi="Times New Roman"/>
          <w:sz w:val="24"/>
          <w:szCs w:val="24"/>
        </w:rPr>
      </w:pPr>
      <w:r w:rsidRPr="00515A58">
        <w:rPr>
          <w:rFonts w:ascii="Times New Roman" w:hAnsi="Times New Roman"/>
          <w:sz w:val="24"/>
          <w:szCs w:val="24"/>
        </w:rPr>
        <w:lastRenderedPageBreak/>
        <w:t xml:space="preserve">A stratified approach </w:t>
      </w:r>
      <w:proofErr w:type="gramStart"/>
      <w:r w:rsidRPr="00515A58">
        <w:rPr>
          <w:rFonts w:ascii="Times New Roman" w:hAnsi="Times New Roman"/>
          <w:sz w:val="24"/>
          <w:szCs w:val="24"/>
        </w:rPr>
        <w:t>will be used</w:t>
      </w:r>
      <w:proofErr w:type="gramEnd"/>
      <w:r w:rsidRPr="00515A58">
        <w:rPr>
          <w:rFonts w:ascii="Times New Roman" w:hAnsi="Times New Roman"/>
          <w:sz w:val="24"/>
          <w:szCs w:val="24"/>
        </w:rPr>
        <w:t xml:space="preserve"> so that sampling weights for RIPA study participants can be calculated for the three-year follow-up in a manner that allows these data to be representative of the entire U.S. population.  Due to the limited degrees of freedom, we cannot use all of the stratifying variables </w:t>
      </w:r>
      <w:proofErr w:type="gramStart"/>
      <w:r w:rsidRPr="00515A58">
        <w:rPr>
          <w:rFonts w:ascii="Times New Roman" w:hAnsi="Times New Roman"/>
          <w:sz w:val="24"/>
          <w:szCs w:val="24"/>
        </w:rPr>
        <w:t>being employed</w:t>
      </w:r>
      <w:proofErr w:type="gramEnd"/>
      <w:r w:rsidRPr="00515A58">
        <w:rPr>
          <w:rFonts w:ascii="Times New Roman" w:hAnsi="Times New Roman"/>
          <w:sz w:val="24"/>
          <w:szCs w:val="24"/>
        </w:rPr>
        <w:t xml:space="preserve"> to select the non-RIPA com</w:t>
      </w:r>
      <w:r w:rsidR="00BD3E35" w:rsidRPr="00515A58">
        <w:rPr>
          <w:rFonts w:ascii="Times New Roman" w:hAnsi="Times New Roman"/>
          <w:sz w:val="24"/>
          <w:szCs w:val="24"/>
        </w:rPr>
        <w:t>munities. Thus we propose using</w:t>
      </w:r>
      <w:r w:rsidRPr="00515A58">
        <w:rPr>
          <w:rFonts w:ascii="Times New Roman" w:hAnsi="Times New Roman"/>
          <w:sz w:val="24"/>
          <w:szCs w:val="24"/>
        </w:rPr>
        <w:t xml:space="preserve"> 40 RIPA strata defined within combinations of the same geographic and socioeconomic variables as before:  region (5 levels), </w:t>
      </w:r>
      <w:proofErr w:type="spellStart"/>
      <w:r w:rsidRPr="00515A58">
        <w:rPr>
          <w:rFonts w:ascii="Times New Roman" w:hAnsi="Times New Roman"/>
          <w:sz w:val="24"/>
          <w:szCs w:val="24"/>
        </w:rPr>
        <w:t>urbanicity</w:t>
      </w:r>
      <w:proofErr w:type="spellEnd"/>
      <w:r w:rsidRPr="00515A58">
        <w:rPr>
          <w:rFonts w:ascii="Times New Roman" w:hAnsi="Times New Roman"/>
          <w:sz w:val="24"/>
          <w:szCs w:val="24"/>
        </w:rPr>
        <w:t xml:space="preserve"> (</w:t>
      </w:r>
      <w:proofErr w:type="gramStart"/>
      <w:r w:rsidRPr="00515A58">
        <w:rPr>
          <w:rFonts w:ascii="Times New Roman" w:hAnsi="Times New Roman"/>
          <w:sz w:val="24"/>
          <w:szCs w:val="24"/>
        </w:rPr>
        <w:t>2</w:t>
      </w:r>
      <w:proofErr w:type="gramEnd"/>
      <w:r w:rsidRPr="00515A58">
        <w:rPr>
          <w:rFonts w:ascii="Times New Roman" w:hAnsi="Times New Roman"/>
          <w:sz w:val="24"/>
          <w:szCs w:val="24"/>
        </w:rPr>
        <w:t xml:space="preserve"> levels: Urban &amp; Suburban vs. Rural), income (2 levels), and </w:t>
      </w:r>
      <w:r w:rsidR="009751FE" w:rsidRPr="00515A58">
        <w:rPr>
          <w:rFonts w:ascii="Times New Roman" w:hAnsi="Times New Roman"/>
          <w:sz w:val="24"/>
          <w:szCs w:val="24"/>
        </w:rPr>
        <w:t>race/ethnicity</w:t>
      </w:r>
      <w:r w:rsidRPr="00515A58">
        <w:rPr>
          <w:rFonts w:ascii="Times New Roman" w:hAnsi="Times New Roman"/>
          <w:sz w:val="24"/>
          <w:szCs w:val="24"/>
        </w:rPr>
        <w:t xml:space="preserve"> (</w:t>
      </w:r>
      <w:r w:rsidR="009751FE" w:rsidRPr="00515A58">
        <w:rPr>
          <w:rFonts w:ascii="Times New Roman" w:hAnsi="Times New Roman"/>
          <w:sz w:val="24"/>
          <w:szCs w:val="24"/>
        </w:rPr>
        <w:t>3</w:t>
      </w:r>
      <w:r w:rsidRPr="00515A58">
        <w:rPr>
          <w:rFonts w:ascii="Times New Roman" w:hAnsi="Times New Roman"/>
          <w:sz w:val="24"/>
          <w:szCs w:val="24"/>
        </w:rPr>
        <w:t xml:space="preserve"> levels).  Similar to the MOS discussion in Section B.1.b.4 above, the MOS for the RIPA assessments </w:t>
      </w:r>
      <w:proofErr w:type="gramStart"/>
      <w:r w:rsidRPr="00515A58">
        <w:rPr>
          <w:rFonts w:ascii="Times New Roman" w:hAnsi="Times New Roman"/>
          <w:sz w:val="24"/>
          <w:szCs w:val="24"/>
        </w:rPr>
        <w:t>will be developed</w:t>
      </w:r>
      <w:proofErr w:type="gramEnd"/>
      <w:r w:rsidRPr="00515A58">
        <w:rPr>
          <w:rFonts w:ascii="Times New Roman" w:hAnsi="Times New Roman"/>
          <w:sz w:val="24"/>
          <w:szCs w:val="24"/>
        </w:rPr>
        <w:t xml:space="preserve"> by summing up the MOS among all of the communities assigned to each of the 40 RIPA strata.  These RIPA MOS weights </w:t>
      </w:r>
      <w:proofErr w:type="gramStart"/>
      <w:r w:rsidRPr="00515A58">
        <w:rPr>
          <w:rFonts w:ascii="Times New Roman" w:hAnsi="Times New Roman"/>
          <w:sz w:val="24"/>
          <w:szCs w:val="24"/>
        </w:rPr>
        <w:t>will only be used</w:t>
      </w:r>
      <w:proofErr w:type="gramEnd"/>
      <w:r w:rsidRPr="00515A58">
        <w:rPr>
          <w:rFonts w:ascii="Times New Roman" w:hAnsi="Times New Roman"/>
          <w:sz w:val="24"/>
          <w:szCs w:val="24"/>
        </w:rPr>
        <w:t xml:space="preserve"> for calculation of survey weights for analyses that integrate the three-year RIPA assessments.   </w:t>
      </w:r>
    </w:p>
    <w:p w:rsidR="00627116" w:rsidRPr="00515A58" w:rsidRDefault="00627116" w:rsidP="00627116">
      <w:pPr>
        <w:pStyle w:val="NoSpacing"/>
      </w:pPr>
    </w:p>
    <w:p w:rsidR="004116D2" w:rsidRPr="00515A58" w:rsidRDefault="00AA5DB2" w:rsidP="00756E94">
      <w:pPr>
        <w:pStyle w:val="BHNormal"/>
        <w:rPr>
          <w:b/>
          <w:i/>
        </w:rPr>
      </w:pPr>
      <w:bookmarkStart w:id="20" w:name="_Toc299107929"/>
      <w:r w:rsidRPr="00515A58">
        <w:rPr>
          <w:b/>
          <w:i/>
        </w:rPr>
        <w:t xml:space="preserve">B.1.b.6   </w:t>
      </w:r>
      <w:r w:rsidR="008D2C16" w:rsidRPr="00515A58">
        <w:rPr>
          <w:b/>
          <w:i/>
        </w:rPr>
        <w:t>Temporal Ordering of Field Operations</w:t>
      </w:r>
      <w:bookmarkEnd w:id="20"/>
    </w:p>
    <w:p w:rsidR="004116D2" w:rsidRPr="00515A58" w:rsidRDefault="008D2C16">
      <w:pPr>
        <w:pStyle w:val="BHNormal"/>
        <w:rPr>
          <w:szCs w:val="24"/>
        </w:rPr>
      </w:pPr>
      <w:r w:rsidRPr="00515A58">
        <w:rPr>
          <w:szCs w:val="24"/>
        </w:rPr>
        <w:t xml:space="preserve">The HCS plans to </w:t>
      </w:r>
      <w:r w:rsidR="00B60A89" w:rsidRPr="00515A58">
        <w:rPr>
          <w:szCs w:val="24"/>
        </w:rPr>
        <w:t xml:space="preserve">assign </w:t>
      </w:r>
      <w:r w:rsidRPr="00515A58">
        <w:rPr>
          <w:szCs w:val="24"/>
        </w:rPr>
        <w:t xml:space="preserve">randomly the year of assessment (Year </w:t>
      </w:r>
      <w:r w:rsidR="00DE075F" w:rsidRPr="00515A58">
        <w:rPr>
          <w:szCs w:val="24"/>
        </w:rPr>
        <w:t xml:space="preserve">1, </w:t>
      </w:r>
      <w:r w:rsidRPr="00515A58">
        <w:rPr>
          <w:szCs w:val="24"/>
        </w:rPr>
        <w:t xml:space="preserve">2, or </w:t>
      </w:r>
      <w:r w:rsidR="00DE075F" w:rsidRPr="00515A58">
        <w:rPr>
          <w:szCs w:val="24"/>
        </w:rPr>
        <w:t>3</w:t>
      </w:r>
      <w:r w:rsidR="00132531" w:rsidRPr="00515A58">
        <w:rPr>
          <w:szCs w:val="24"/>
        </w:rPr>
        <w:t xml:space="preserve"> of Wave 2 data collection</w:t>
      </w:r>
      <w:r w:rsidRPr="00515A58">
        <w:rPr>
          <w:szCs w:val="24"/>
        </w:rPr>
        <w:t xml:space="preserve">) to the selected </w:t>
      </w:r>
      <w:r w:rsidR="00DE075F" w:rsidRPr="00515A58">
        <w:rPr>
          <w:szCs w:val="24"/>
        </w:rPr>
        <w:t xml:space="preserve">Wave 2 </w:t>
      </w:r>
      <w:r w:rsidRPr="00515A58">
        <w:rPr>
          <w:szCs w:val="24"/>
        </w:rPr>
        <w:t xml:space="preserve">communities while ensuring that all communities selected within the same county (whether chosen as a certainty community or via probability-based selection) complete their baseline assessment within the same year of operation. </w:t>
      </w:r>
      <w:r w:rsidR="00D31F44" w:rsidRPr="00515A58">
        <w:rPr>
          <w:szCs w:val="24"/>
        </w:rPr>
        <w:t xml:space="preserve"> </w:t>
      </w:r>
      <w:r w:rsidRPr="00515A58">
        <w:rPr>
          <w:szCs w:val="24"/>
        </w:rPr>
        <w:t>This will preserve the ability to compare data from communities within the same county, and increase operational efficiency.</w:t>
      </w:r>
    </w:p>
    <w:p w:rsidR="009F42D5" w:rsidRPr="00515A58" w:rsidRDefault="009F42D5">
      <w:pPr>
        <w:pStyle w:val="BHNormal"/>
        <w:rPr>
          <w:szCs w:val="24"/>
        </w:rPr>
      </w:pPr>
    </w:p>
    <w:p w:rsidR="009F42D5" w:rsidRPr="00515A58" w:rsidRDefault="009F42D5" w:rsidP="009F42D5">
      <w:pPr>
        <w:pStyle w:val="NoSpacing"/>
        <w:rPr>
          <w:rFonts w:ascii="Times New Roman" w:hAnsi="Times New Roman"/>
          <w:sz w:val="24"/>
          <w:szCs w:val="24"/>
        </w:rPr>
      </w:pPr>
      <w:proofErr w:type="gramStart"/>
      <w:r w:rsidRPr="00515A58">
        <w:rPr>
          <w:rFonts w:ascii="Times New Roman" w:hAnsi="Times New Roman"/>
          <w:sz w:val="24"/>
          <w:szCs w:val="24"/>
        </w:rPr>
        <w:t>The HCS plans to assign randomly the year of assessment (Year 1, 2, or 3 of  data collection) to the Wave 2 communities using a stratified approach once they are selected for the following reasons: 1) communities will receive differential amounts and timing of follow-up assessments by data collection year and 2)we want to ensure that the proper weights based on strata MOS can be created for inferences based on nationally representative estimates from the follow-up assessments.</w:t>
      </w:r>
      <w:proofErr w:type="gramEnd"/>
      <w:r w:rsidRPr="00515A58">
        <w:rPr>
          <w:rFonts w:ascii="Times New Roman" w:hAnsi="Times New Roman"/>
          <w:sz w:val="24"/>
          <w:szCs w:val="24"/>
        </w:rPr>
        <w:t xml:space="preserve">  In addition, for operational efficiency, we want to ensure that all communities selected within the same county (whether chosen as a certainty community or via probability-based selection) complete their baseline assessment within the same data collection year.   </w:t>
      </w:r>
    </w:p>
    <w:p w:rsidR="009F42D5" w:rsidRPr="00515A58" w:rsidRDefault="009F42D5" w:rsidP="009F42D5">
      <w:pPr>
        <w:pStyle w:val="NoSpacing"/>
      </w:pPr>
    </w:p>
    <w:p w:rsidR="009F42D5" w:rsidRPr="00515A58" w:rsidRDefault="009F42D5" w:rsidP="009F42D5">
      <w:pPr>
        <w:pStyle w:val="NoSpacing"/>
        <w:rPr>
          <w:rFonts w:ascii="Times New Roman" w:hAnsi="Times New Roman"/>
          <w:sz w:val="24"/>
          <w:szCs w:val="24"/>
        </w:rPr>
      </w:pPr>
      <w:r w:rsidRPr="00515A58">
        <w:rPr>
          <w:rFonts w:ascii="Times New Roman" w:hAnsi="Times New Roman"/>
          <w:sz w:val="24"/>
          <w:szCs w:val="24"/>
        </w:rPr>
        <w:t xml:space="preserve">We will utilize the same </w:t>
      </w:r>
      <w:proofErr w:type="gramStart"/>
      <w:r w:rsidRPr="00515A58">
        <w:rPr>
          <w:rFonts w:ascii="Times New Roman" w:hAnsi="Times New Roman"/>
          <w:sz w:val="24"/>
          <w:szCs w:val="24"/>
        </w:rPr>
        <w:t>40  strata</w:t>
      </w:r>
      <w:proofErr w:type="gramEnd"/>
      <w:r w:rsidRPr="00515A58">
        <w:rPr>
          <w:rFonts w:ascii="Times New Roman" w:hAnsi="Times New Roman"/>
          <w:sz w:val="24"/>
          <w:szCs w:val="24"/>
        </w:rPr>
        <w:t xml:space="preserve"> used in selecting the RIPA communities to assign all 275 Wave 2 communities into Years 1, 2, and 3 of  data collection.  The 40 RIPA </w:t>
      </w:r>
      <w:proofErr w:type="gramStart"/>
      <w:r w:rsidRPr="00515A58">
        <w:rPr>
          <w:rFonts w:ascii="Times New Roman" w:hAnsi="Times New Roman"/>
          <w:sz w:val="24"/>
          <w:szCs w:val="24"/>
        </w:rPr>
        <w:t>communities  will</w:t>
      </w:r>
      <w:proofErr w:type="gramEnd"/>
      <w:r w:rsidRPr="00515A58">
        <w:rPr>
          <w:rFonts w:ascii="Times New Roman" w:hAnsi="Times New Roman"/>
          <w:sz w:val="24"/>
          <w:szCs w:val="24"/>
        </w:rPr>
        <w:t xml:space="preserve"> be visited in Year 1 of data collection, along with any other selected  communities that are within the same county as that RIPA community.  The 40 RIPA strata will then be randomly ordered, and communities will be identified from each stratum  sequentially within this ordering; for example,  a second Year 1 community will be identified from each stratum (along with any other selected communities within the same county) until 100 communities are identified for the first year of Wave 2 data collection.  This same process </w:t>
      </w:r>
      <w:proofErr w:type="gramStart"/>
      <w:r w:rsidRPr="00515A58">
        <w:rPr>
          <w:rFonts w:ascii="Times New Roman" w:hAnsi="Times New Roman"/>
          <w:sz w:val="24"/>
          <w:szCs w:val="24"/>
        </w:rPr>
        <w:t>will be used</w:t>
      </w:r>
      <w:proofErr w:type="gramEnd"/>
      <w:r w:rsidRPr="00515A58">
        <w:rPr>
          <w:rFonts w:ascii="Times New Roman" w:hAnsi="Times New Roman"/>
          <w:sz w:val="24"/>
          <w:szCs w:val="24"/>
        </w:rPr>
        <w:t xml:space="preserve"> to identify the 100 communities for the following year, with the remaining 75 communities designated for Year 3 of Wave 2 data collection. </w:t>
      </w:r>
    </w:p>
    <w:p w:rsidR="009F42D5" w:rsidRPr="00515A58" w:rsidRDefault="009F42D5">
      <w:pPr>
        <w:pStyle w:val="BHNormal"/>
        <w:rPr>
          <w:szCs w:val="24"/>
        </w:rPr>
      </w:pPr>
    </w:p>
    <w:p w:rsidR="004116D2" w:rsidRPr="00515A58" w:rsidRDefault="008D2C16">
      <w:pPr>
        <w:pStyle w:val="BHNormal"/>
        <w:rPr>
          <w:szCs w:val="24"/>
        </w:rPr>
      </w:pPr>
      <w:r w:rsidRPr="00515A58">
        <w:rPr>
          <w:szCs w:val="24"/>
        </w:rPr>
        <w:t xml:space="preserve">Once the communities </w:t>
      </w:r>
      <w:proofErr w:type="gramStart"/>
      <w:r w:rsidRPr="00515A58">
        <w:rPr>
          <w:szCs w:val="24"/>
        </w:rPr>
        <w:t>are identified</w:t>
      </w:r>
      <w:proofErr w:type="gramEnd"/>
      <w:r w:rsidRPr="00515A58">
        <w:rPr>
          <w:szCs w:val="24"/>
        </w:rPr>
        <w:t xml:space="preserve"> and </w:t>
      </w:r>
      <w:r w:rsidR="008A62CE" w:rsidRPr="00515A58">
        <w:rPr>
          <w:szCs w:val="24"/>
        </w:rPr>
        <w:t xml:space="preserve">the baseline assessment is </w:t>
      </w:r>
      <w:r w:rsidRPr="00515A58">
        <w:rPr>
          <w:szCs w:val="24"/>
        </w:rPr>
        <w:t xml:space="preserve">assigned to a </w:t>
      </w:r>
      <w:r w:rsidR="00132531" w:rsidRPr="00515A58">
        <w:rPr>
          <w:szCs w:val="24"/>
        </w:rPr>
        <w:t xml:space="preserve">data collection </w:t>
      </w:r>
      <w:r w:rsidRPr="00515A58">
        <w:rPr>
          <w:szCs w:val="24"/>
        </w:rPr>
        <w:t>year, Battelle will work with its partners (EMSI and the Universities) to propose a s</w:t>
      </w:r>
      <w:r w:rsidR="0017080B" w:rsidRPr="00515A58">
        <w:rPr>
          <w:szCs w:val="24"/>
        </w:rPr>
        <w:t xml:space="preserve">pecific sequencing of data collection for consideration by the </w:t>
      </w:r>
      <w:r w:rsidR="00132531" w:rsidRPr="00515A58">
        <w:rPr>
          <w:szCs w:val="24"/>
        </w:rPr>
        <w:t xml:space="preserve">HCS </w:t>
      </w:r>
      <w:r w:rsidR="0017080B" w:rsidRPr="00515A58">
        <w:rPr>
          <w:szCs w:val="24"/>
        </w:rPr>
        <w:t xml:space="preserve">Steering Committee.  The sequencing may attempt to increase operational feasibility and likelihood of outdoor activities for children by performing baseline assessments in Northern areas (e.g., Chicago) in the non-winter months and Southern areas (e.g. Houston) during months when the heat is not too oppressive.  </w:t>
      </w:r>
    </w:p>
    <w:p w:rsidR="00132531" w:rsidRPr="00515A58" w:rsidRDefault="00132531" w:rsidP="00756E94">
      <w:pPr>
        <w:pStyle w:val="BHNormal"/>
      </w:pPr>
    </w:p>
    <w:p w:rsidR="004116D2" w:rsidRPr="00515A58" w:rsidRDefault="00E94F72" w:rsidP="00756E94">
      <w:pPr>
        <w:pStyle w:val="BHLevel3"/>
      </w:pPr>
      <w:bookmarkStart w:id="21" w:name="_Toc299107930"/>
      <w:bookmarkStart w:id="22" w:name="_Toc301448748"/>
      <w:bookmarkStart w:id="23" w:name="_Toc301448816"/>
      <w:r w:rsidRPr="00515A58">
        <w:lastRenderedPageBreak/>
        <w:t>B.1.c</w:t>
      </w:r>
      <w:r w:rsidRPr="00515A58">
        <w:tab/>
      </w:r>
      <w:r w:rsidR="0017080B" w:rsidRPr="00515A58">
        <w:t>Respondent Universe – Child/Parent Participants</w:t>
      </w:r>
      <w:bookmarkEnd w:id="21"/>
      <w:bookmarkEnd w:id="22"/>
      <w:bookmarkEnd w:id="23"/>
    </w:p>
    <w:p w:rsidR="004116D2" w:rsidRPr="00515A58" w:rsidRDefault="004116D2" w:rsidP="00756E94">
      <w:pPr>
        <w:pStyle w:val="BHNormal"/>
      </w:pPr>
    </w:p>
    <w:p w:rsidR="004116D2" w:rsidRPr="00515A58" w:rsidRDefault="00AA5DB2" w:rsidP="00756E94">
      <w:pPr>
        <w:pStyle w:val="BHNormal"/>
        <w:rPr>
          <w:b/>
          <w:i/>
        </w:rPr>
      </w:pPr>
      <w:bookmarkStart w:id="24" w:name="_Toc299107931"/>
      <w:r w:rsidRPr="00515A58">
        <w:rPr>
          <w:b/>
          <w:i/>
        </w:rPr>
        <w:t xml:space="preserve">B.1.c.1   </w:t>
      </w:r>
      <w:r w:rsidR="00215D33" w:rsidRPr="00515A58">
        <w:rPr>
          <w:b/>
          <w:i/>
        </w:rPr>
        <w:t>Random Sample of Participants within each Selected Community</w:t>
      </w:r>
      <w:bookmarkEnd w:id="24"/>
    </w:p>
    <w:p w:rsidR="004116D2" w:rsidRPr="00515A58" w:rsidRDefault="00215D33" w:rsidP="00756E94">
      <w:pPr>
        <w:rPr>
          <w:sz w:val="24"/>
        </w:rPr>
      </w:pPr>
      <w:r w:rsidRPr="00515A58">
        <w:rPr>
          <w:sz w:val="24"/>
        </w:rPr>
        <w:t xml:space="preserve">While the selection of communities follows a complex hybrid design as described in Section </w:t>
      </w:r>
      <w:r w:rsidR="002D6C8E" w:rsidRPr="00515A58">
        <w:rPr>
          <w:sz w:val="24"/>
        </w:rPr>
        <w:t xml:space="preserve">B.1.b </w:t>
      </w:r>
      <w:r w:rsidRPr="00515A58">
        <w:rPr>
          <w:sz w:val="24"/>
        </w:rPr>
        <w:t xml:space="preserve">above, the sampling design of child/parent study participants is less complicated. </w:t>
      </w:r>
      <w:r w:rsidR="00DC2AC4" w:rsidRPr="00515A58">
        <w:rPr>
          <w:sz w:val="24"/>
        </w:rPr>
        <w:t xml:space="preserve"> </w:t>
      </w:r>
      <w:r w:rsidR="0017080B" w:rsidRPr="00515A58">
        <w:rPr>
          <w:sz w:val="24"/>
        </w:rPr>
        <w:t xml:space="preserve">In Wave 2, the majority of communities (235) will include 78 child/parent study participants uniformly selected over </w:t>
      </w:r>
      <w:r w:rsidR="00132531" w:rsidRPr="00515A58">
        <w:rPr>
          <w:sz w:val="24"/>
        </w:rPr>
        <w:t xml:space="preserve">yearly </w:t>
      </w:r>
      <w:r w:rsidR="0017080B" w:rsidRPr="00515A58">
        <w:rPr>
          <w:sz w:val="24"/>
        </w:rPr>
        <w:t>age</w:t>
      </w:r>
      <w:r w:rsidR="00132531" w:rsidRPr="00515A58">
        <w:rPr>
          <w:sz w:val="24"/>
        </w:rPr>
        <w:t xml:space="preserve"> intervals</w:t>
      </w:r>
      <w:r w:rsidR="0017080B" w:rsidRPr="00515A58">
        <w:rPr>
          <w:sz w:val="24"/>
        </w:rPr>
        <w:t xml:space="preserve"> (3-15 years) and gender.  The </w:t>
      </w:r>
      <w:r w:rsidR="00132531" w:rsidRPr="00515A58">
        <w:rPr>
          <w:sz w:val="24"/>
        </w:rPr>
        <w:t xml:space="preserve">40 </w:t>
      </w:r>
      <w:r w:rsidR="0017080B" w:rsidRPr="00515A58">
        <w:rPr>
          <w:sz w:val="24"/>
        </w:rPr>
        <w:t>RIPA</w:t>
      </w:r>
      <w:r w:rsidR="001D0DB7" w:rsidRPr="00515A58">
        <w:rPr>
          <w:sz w:val="24"/>
        </w:rPr>
        <w:t xml:space="preserve"> communities</w:t>
      </w:r>
      <w:r w:rsidR="0017080B" w:rsidRPr="00515A58">
        <w:rPr>
          <w:sz w:val="24"/>
        </w:rPr>
        <w:t xml:space="preserve"> </w:t>
      </w:r>
      <w:r w:rsidR="00132531" w:rsidRPr="00515A58">
        <w:rPr>
          <w:sz w:val="24"/>
        </w:rPr>
        <w:t xml:space="preserve">will </w:t>
      </w:r>
      <w:r w:rsidR="0017080B" w:rsidRPr="00515A58">
        <w:rPr>
          <w:sz w:val="24"/>
        </w:rPr>
        <w:t>include a 50% greater sample – 117 children uniformly selected over age and gender.  The larger sample size in RIPA communities will ensure that a sufficient number of study participants will be available three years following the baseline assessment for the repeat in-person assessments.  The sampling of child/parent participants will follow a two-stage selection process, as described below:</w:t>
      </w:r>
    </w:p>
    <w:p w:rsidR="004116D2" w:rsidRPr="00515A58" w:rsidRDefault="004116D2" w:rsidP="00756E94">
      <w:pPr>
        <w:rPr>
          <w:sz w:val="24"/>
        </w:rPr>
      </w:pPr>
    </w:p>
    <w:p w:rsidR="004116D2" w:rsidRPr="00515A58" w:rsidRDefault="00215D33" w:rsidP="00756E94">
      <w:pPr>
        <w:rPr>
          <w:sz w:val="24"/>
        </w:rPr>
      </w:pPr>
      <w:r w:rsidRPr="00515A58">
        <w:rPr>
          <w:b/>
          <w:i/>
          <w:sz w:val="24"/>
        </w:rPr>
        <w:t>Selecting Households:</w:t>
      </w:r>
      <w:r w:rsidRPr="00515A58">
        <w:rPr>
          <w:sz w:val="24"/>
        </w:rPr>
        <w:t xml:space="preserve">  At the </w:t>
      </w:r>
      <w:r w:rsidR="009A3D1D" w:rsidRPr="00515A58">
        <w:rPr>
          <w:sz w:val="24"/>
        </w:rPr>
        <w:t xml:space="preserve">first </w:t>
      </w:r>
      <w:r w:rsidRPr="00515A58">
        <w:rPr>
          <w:sz w:val="24"/>
        </w:rPr>
        <w:t>stage, we will generate a random sample of households in each community (public high-school catchment area) that are likely to contain children in the 3-15 year age range using an independent data source (</w:t>
      </w:r>
      <w:proofErr w:type="spellStart"/>
      <w:r w:rsidRPr="00515A58">
        <w:rPr>
          <w:i/>
          <w:sz w:val="24"/>
        </w:rPr>
        <w:t>infoUSA</w:t>
      </w:r>
      <w:r w:rsidRPr="00515A58">
        <w:rPr>
          <w:sz w:val="24"/>
          <w:vertAlign w:val="superscript"/>
        </w:rPr>
        <w:t>TM</w:t>
      </w:r>
      <w:proofErr w:type="spellEnd"/>
      <w:r w:rsidR="0017080B" w:rsidRPr="00515A58">
        <w:rPr>
          <w:sz w:val="24"/>
        </w:rPr>
        <w:t xml:space="preserve">).  The sample size generated will be approximately </w:t>
      </w:r>
      <w:r w:rsidR="00132531" w:rsidRPr="00515A58">
        <w:rPr>
          <w:sz w:val="24"/>
        </w:rPr>
        <w:t>10</w:t>
      </w:r>
      <w:r w:rsidR="009D324B" w:rsidRPr="00515A58">
        <w:rPr>
          <w:sz w:val="24"/>
        </w:rPr>
        <w:t>-</w:t>
      </w:r>
      <w:r w:rsidR="00132531" w:rsidRPr="00515A58">
        <w:rPr>
          <w:sz w:val="24"/>
        </w:rPr>
        <w:t xml:space="preserve">fold greater than the number of study </w:t>
      </w:r>
      <w:proofErr w:type="gramStart"/>
      <w:r w:rsidR="00132531" w:rsidRPr="00515A58">
        <w:rPr>
          <w:sz w:val="24"/>
        </w:rPr>
        <w:t>participants  --</w:t>
      </w:r>
      <w:proofErr w:type="gramEnd"/>
      <w:r w:rsidR="00132531" w:rsidRPr="00515A58">
        <w:rPr>
          <w:sz w:val="24"/>
        </w:rPr>
        <w:t xml:space="preserve"> </w:t>
      </w:r>
      <w:r w:rsidR="0017080B" w:rsidRPr="00515A58">
        <w:rPr>
          <w:sz w:val="24"/>
        </w:rPr>
        <w:t>800 households per community (1</w:t>
      </w:r>
      <w:r w:rsidR="00132531" w:rsidRPr="00515A58">
        <w:rPr>
          <w:sz w:val="24"/>
        </w:rPr>
        <w:t>,</w:t>
      </w:r>
      <w:r w:rsidR="0017080B" w:rsidRPr="00515A58">
        <w:rPr>
          <w:sz w:val="24"/>
        </w:rPr>
        <w:t xml:space="preserve">200 for RIPA communities).  </w:t>
      </w:r>
      <w:r w:rsidR="00EF5419" w:rsidRPr="00515A58">
        <w:rPr>
          <w:sz w:val="24"/>
        </w:rPr>
        <w:t xml:space="preserve">The </w:t>
      </w:r>
      <w:proofErr w:type="spellStart"/>
      <w:r w:rsidR="00EF5419" w:rsidRPr="00515A58">
        <w:rPr>
          <w:i/>
          <w:sz w:val="24"/>
        </w:rPr>
        <w:t>infoUSA</w:t>
      </w:r>
      <w:proofErr w:type="spellEnd"/>
      <w:r w:rsidR="00EF5419" w:rsidRPr="00515A58">
        <w:rPr>
          <w:sz w:val="24"/>
        </w:rPr>
        <w:t xml:space="preserve"> database </w:t>
      </w:r>
      <w:proofErr w:type="gramStart"/>
      <w:r w:rsidR="00EF5419" w:rsidRPr="00515A58">
        <w:rPr>
          <w:sz w:val="24"/>
        </w:rPr>
        <w:t>is built</w:t>
      </w:r>
      <w:proofErr w:type="gramEnd"/>
      <w:r w:rsidR="00EF5419" w:rsidRPr="00515A58">
        <w:rPr>
          <w:sz w:val="24"/>
        </w:rPr>
        <w:t xml:space="preserve"> directly from thousands of original public and proprietary sources, including 4,300 telephone directories, U.S. Census data, state and local public records, product registrations and surveys (self-reported), and property/realty records, such as property deeds, mail-order transactions, and other proprietary sources.  To measure accuracy of data items, </w:t>
      </w:r>
      <w:proofErr w:type="spellStart"/>
      <w:r w:rsidR="00EF5419" w:rsidRPr="00515A58">
        <w:rPr>
          <w:i/>
          <w:sz w:val="24"/>
        </w:rPr>
        <w:t>infoUSA</w:t>
      </w:r>
      <w:proofErr w:type="spellEnd"/>
      <w:r w:rsidR="00EF5419" w:rsidRPr="00515A58">
        <w:rPr>
          <w:sz w:val="24"/>
        </w:rPr>
        <w:t xml:space="preserve"> makes more than 20 million phone calls each year to verify information contained in their databases.  </w:t>
      </w:r>
      <w:proofErr w:type="spellStart"/>
      <w:r w:rsidR="00EF5419" w:rsidRPr="00515A58">
        <w:rPr>
          <w:i/>
          <w:sz w:val="24"/>
        </w:rPr>
        <w:t>InfoUSA</w:t>
      </w:r>
      <w:proofErr w:type="spellEnd"/>
      <w:r w:rsidR="00EF5419" w:rsidRPr="00515A58">
        <w:rPr>
          <w:sz w:val="24"/>
        </w:rPr>
        <w:t xml:space="preserve"> also updates their database to account for approximately 300,000 residential moves each week, ensuring up-to-date contact information.</w:t>
      </w:r>
      <w:r w:rsidR="0017080B" w:rsidRPr="00515A58">
        <w:rPr>
          <w:sz w:val="24"/>
        </w:rPr>
        <w:t xml:space="preserve">  We will purchase contact information from </w:t>
      </w:r>
      <w:proofErr w:type="spellStart"/>
      <w:r w:rsidR="0017080B" w:rsidRPr="00515A58">
        <w:rPr>
          <w:i/>
          <w:sz w:val="24"/>
        </w:rPr>
        <w:t>infoUSA</w:t>
      </w:r>
      <w:proofErr w:type="spellEnd"/>
      <w:r w:rsidR="0017080B" w:rsidRPr="00515A58">
        <w:rPr>
          <w:sz w:val="24"/>
        </w:rPr>
        <w:t xml:space="preserve"> for a sample of households within each selected community that are targeted with respect to child age criteria, while also including appropriate contact information (address and phone number).  The addresses of all purchased contacts will be </w:t>
      </w:r>
      <w:proofErr w:type="spellStart"/>
      <w:r w:rsidR="0017080B" w:rsidRPr="00515A58">
        <w:rPr>
          <w:sz w:val="24"/>
        </w:rPr>
        <w:t>geocoded</w:t>
      </w:r>
      <w:proofErr w:type="spellEnd"/>
      <w:r w:rsidR="0017080B" w:rsidRPr="00515A58">
        <w:rPr>
          <w:sz w:val="24"/>
        </w:rPr>
        <w:t xml:space="preserve"> and verified to be within the high-school catchment area, and the resulting list of verified contacts </w:t>
      </w:r>
      <w:proofErr w:type="gramStart"/>
      <w:r w:rsidR="0017080B" w:rsidRPr="00515A58">
        <w:rPr>
          <w:sz w:val="24"/>
        </w:rPr>
        <w:t>will be placed into a random order and then sequentially sampled in batches by Battelle’s survey implementation group as described below in the second stage to select child/parent participants within the selected households</w:t>
      </w:r>
      <w:proofErr w:type="gramEnd"/>
      <w:r w:rsidR="0017080B" w:rsidRPr="00515A58">
        <w:rPr>
          <w:sz w:val="24"/>
        </w:rPr>
        <w:t>.</w:t>
      </w:r>
      <w:r w:rsidR="005A33C7" w:rsidRPr="00515A58">
        <w:rPr>
          <w:sz w:val="24"/>
        </w:rPr>
        <w:t xml:space="preserve">  When a potential household either refuses to participate or is ruled ineligible for the study (e.g., no children, the age/gender quota is already filled, family does not meet residency requirements), the next household in the sequence will be contacted.</w:t>
      </w:r>
    </w:p>
    <w:p w:rsidR="004116D2" w:rsidRPr="00515A58" w:rsidRDefault="004116D2" w:rsidP="00756E94">
      <w:pPr>
        <w:rPr>
          <w:sz w:val="24"/>
        </w:rPr>
      </w:pPr>
    </w:p>
    <w:p w:rsidR="00BD3E35" w:rsidRPr="00515A58" w:rsidRDefault="00215D33" w:rsidP="00756E94">
      <w:pPr>
        <w:rPr>
          <w:sz w:val="24"/>
        </w:rPr>
      </w:pPr>
      <w:r w:rsidRPr="00515A58">
        <w:rPr>
          <w:b/>
          <w:i/>
          <w:sz w:val="24"/>
        </w:rPr>
        <w:t>Sampling Child/Parent Participants within Households:</w:t>
      </w:r>
      <w:r w:rsidRPr="00515A58">
        <w:rPr>
          <w:sz w:val="24"/>
        </w:rPr>
        <w:t xml:space="preserve"> </w:t>
      </w:r>
      <w:r w:rsidR="002262B9" w:rsidRPr="00515A58">
        <w:rPr>
          <w:sz w:val="24"/>
        </w:rPr>
        <w:t xml:space="preserve"> </w:t>
      </w:r>
      <w:r w:rsidR="00005B9B" w:rsidRPr="00515A58">
        <w:rPr>
          <w:sz w:val="24"/>
        </w:rPr>
        <w:t xml:space="preserve">Exclusion criteria for sampling children in the household include: </w:t>
      </w:r>
    </w:p>
    <w:p w:rsidR="00BD3E35" w:rsidRPr="00515A58" w:rsidRDefault="00005B9B" w:rsidP="00BD3E35">
      <w:pPr>
        <w:pStyle w:val="ListParagraph"/>
        <w:numPr>
          <w:ilvl w:val="0"/>
          <w:numId w:val="33"/>
        </w:numPr>
        <w:ind w:left="720" w:hanging="360"/>
        <w:rPr>
          <w:sz w:val="24"/>
        </w:rPr>
      </w:pPr>
      <w:r w:rsidRPr="00515A58">
        <w:rPr>
          <w:sz w:val="24"/>
        </w:rPr>
        <w:t xml:space="preserve">no more than one child participant per household/family; </w:t>
      </w:r>
    </w:p>
    <w:p w:rsidR="00BD3E35" w:rsidRPr="00515A58" w:rsidRDefault="00005B9B" w:rsidP="00BD3E35">
      <w:pPr>
        <w:pStyle w:val="ListParagraph"/>
        <w:numPr>
          <w:ilvl w:val="0"/>
          <w:numId w:val="33"/>
        </w:numPr>
        <w:ind w:left="720" w:hanging="360"/>
        <w:rPr>
          <w:sz w:val="24"/>
        </w:rPr>
      </w:pPr>
      <w:r w:rsidRPr="00515A58">
        <w:rPr>
          <w:sz w:val="24"/>
        </w:rPr>
        <w:t xml:space="preserve">children who are institutionalized or are not ambulatory; </w:t>
      </w:r>
    </w:p>
    <w:p w:rsidR="00BD3E35" w:rsidRPr="00515A58" w:rsidRDefault="00005B9B" w:rsidP="00BD3E35">
      <w:pPr>
        <w:pStyle w:val="ListParagraph"/>
        <w:numPr>
          <w:ilvl w:val="0"/>
          <w:numId w:val="33"/>
        </w:numPr>
        <w:ind w:left="720" w:hanging="360"/>
        <w:rPr>
          <w:sz w:val="24"/>
        </w:rPr>
      </w:pPr>
      <w:r w:rsidRPr="00515A58">
        <w:rPr>
          <w:sz w:val="24"/>
        </w:rPr>
        <w:t xml:space="preserve">children from families that plan to move away from the study community within one year of the initial in-person assessment; and </w:t>
      </w:r>
    </w:p>
    <w:p w:rsidR="00005B9B" w:rsidRPr="00515A58" w:rsidRDefault="00005B9B" w:rsidP="00BD3E35">
      <w:pPr>
        <w:pStyle w:val="ListParagraph"/>
        <w:numPr>
          <w:ilvl w:val="0"/>
          <w:numId w:val="33"/>
        </w:numPr>
        <w:ind w:left="720" w:hanging="360"/>
        <w:rPr>
          <w:sz w:val="24"/>
        </w:rPr>
      </w:pPr>
      <w:proofErr w:type="gramStart"/>
      <w:r w:rsidRPr="00515A58">
        <w:rPr>
          <w:sz w:val="24"/>
        </w:rPr>
        <w:t>children</w:t>
      </w:r>
      <w:proofErr w:type="gramEnd"/>
      <w:r w:rsidRPr="00515A58">
        <w:rPr>
          <w:sz w:val="24"/>
        </w:rPr>
        <w:t xml:space="preserve"> who have lived in the community for less than a year</w:t>
      </w:r>
      <w:r w:rsidR="00BD3E35" w:rsidRPr="00515A58">
        <w:rPr>
          <w:sz w:val="24"/>
        </w:rPr>
        <w:t>.</w:t>
      </w:r>
    </w:p>
    <w:p w:rsidR="00E23349" w:rsidRPr="00515A58" w:rsidRDefault="00E23349" w:rsidP="00756E94">
      <w:pPr>
        <w:rPr>
          <w:sz w:val="24"/>
        </w:rPr>
      </w:pPr>
    </w:p>
    <w:p w:rsidR="004116D2" w:rsidRPr="00515A58" w:rsidRDefault="00215D33" w:rsidP="00756E94">
      <w:pPr>
        <w:rPr>
          <w:sz w:val="24"/>
        </w:rPr>
      </w:pPr>
      <w:r w:rsidRPr="00515A58">
        <w:rPr>
          <w:sz w:val="24"/>
        </w:rPr>
        <w:t xml:space="preserve">The </w:t>
      </w:r>
      <w:r w:rsidR="009A3D1D" w:rsidRPr="00515A58">
        <w:rPr>
          <w:sz w:val="24"/>
        </w:rPr>
        <w:t xml:space="preserve">second </w:t>
      </w:r>
      <w:r w:rsidRPr="00515A58">
        <w:rPr>
          <w:sz w:val="24"/>
        </w:rPr>
        <w:t xml:space="preserve">stage of </w:t>
      </w:r>
      <w:r w:rsidR="00A472D3" w:rsidRPr="00515A58">
        <w:rPr>
          <w:sz w:val="24"/>
        </w:rPr>
        <w:t xml:space="preserve">the selection process </w:t>
      </w:r>
      <w:r w:rsidRPr="00515A58">
        <w:rPr>
          <w:sz w:val="24"/>
        </w:rPr>
        <w:t>begins with an informatio</w:t>
      </w:r>
      <w:r w:rsidR="0017080B" w:rsidRPr="00515A58">
        <w:rPr>
          <w:sz w:val="24"/>
        </w:rPr>
        <w:t xml:space="preserve">nal letter (see SSA Attachment </w:t>
      </w:r>
      <w:r w:rsidR="00BF2907" w:rsidRPr="00515A58">
        <w:rPr>
          <w:sz w:val="24"/>
        </w:rPr>
        <w:t>4</w:t>
      </w:r>
      <w:r w:rsidR="0017080B" w:rsidRPr="00515A58">
        <w:rPr>
          <w:sz w:val="24"/>
        </w:rPr>
        <w:t xml:space="preserve">) and a study brochure (see SSA Attachment </w:t>
      </w:r>
      <w:r w:rsidR="00BF2907" w:rsidRPr="00515A58">
        <w:rPr>
          <w:sz w:val="24"/>
        </w:rPr>
        <w:t>5</w:t>
      </w:r>
      <w:r w:rsidR="0017080B" w:rsidRPr="00515A58">
        <w:rPr>
          <w:sz w:val="24"/>
        </w:rPr>
        <w:t xml:space="preserve">) sent to the targeted household.  The </w:t>
      </w:r>
      <w:r w:rsidR="0017080B" w:rsidRPr="00515A58">
        <w:rPr>
          <w:sz w:val="24"/>
        </w:rPr>
        <w:lastRenderedPageBreak/>
        <w:t xml:space="preserve">letter explains the HCS and provides the household with a unique study code and password to </w:t>
      </w:r>
      <w:proofErr w:type="gramStart"/>
      <w:r w:rsidR="0017080B" w:rsidRPr="00515A58">
        <w:rPr>
          <w:sz w:val="24"/>
        </w:rPr>
        <w:t>be used</w:t>
      </w:r>
      <w:proofErr w:type="gramEnd"/>
      <w:r w:rsidR="0017080B" w:rsidRPr="00515A58">
        <w:rPr>
          <w:sz w:val="24"/>
        </w:rPr>
        <w:t xml:space="preserve"> in combination with a </w:t>
      </w:r>
      <w:r w:rsidR="00D005EE" w:rsidRPr="00515A58">
        <w:rPr>
          <w:sz w:val="24"/>
        </w:rPr>
        <w:t>w</w:t>
      </w:r>
      <w:r w:rsidR="0017080B" w:rsidRPr="00515A58">
        <w:rPr>
          <w:sz w:val="24"/>
        </w:rPr>
        <w:t>eb</w:t>
      </w:r>
      <w:r w:rsidR="00583568" w:rsidRPr="00515A58">
        <w:rPr>
          <w:sz w:val="24"/>
        </w:rPr>
        <w:t>site</w:t>
      </w:r>
      <w:r w:rsidR="0017080B" w:rsidRPr="00515A58">
        <w:rPr>
          <w:sz w:val="24"/>
        </w:rPr>
        <w:t xml:space="preserve"> address or a toll-free 1-800 number that will allow them to initiate the process of screening and enrollment into the study.  For households that do not initiate screening through the </w:t>
      </w:r>
      <w:r w:rsidR="00D005EE" w:rsidRPr="00515A58">
        <w:rPr>
          <w:sz w:val="24"/>
        </w:rPr>
        <w:t>w</w:t>
      </w:r>
      <w:r w:rsidR="0017080B" w:rsidRPr="00515A58">
        <w:rPr>
          <w:sz w:val="24"/>
        </w:rPr>
        <w:t xml:space="preserve">ebsite or 1-800 </w:t>
      </w:r>
      <w:proofErr w:type="gramStart"/>
      <w:r w:rsidR="0017080B" w:rsidRPr="00515A58">
        <w:rPr>
          <w:sz w:val="24"/>
        </w:rPr>
        <w:t>number</w:t>
      </w:r>
      <w:proofErr w:type="gramEnd"/>
      <w:r w:rsidR="0017080B" w:rsidRPr="00515A58">
        <w:rPr>
          <w:sz w:val="24"/>
        </w:rPr>
        <w:t xml:space="preserve">, Battelle’s telephone service center will attempt </w:t>
      </w:r>
      <w:r w:rsidR="00880DE8" w:rsidRPr="00515A58">
        <w:rPr>
          <w:sz w:val="24"/>
        </w:rPr>
        <w:t xml:space="preserve">to contact the household for </w:t>
      </w:r>
      <w:r w:rsidR="0017080B" w:rsidRPr="00515A58">
        <w:rPr>
          <w:sz w:val="24"/>
        </w:rPr>
        <w:t xml:space="preserve">screening and enrollment.  </w:t>
      </w:r>
      <w:r w:rsidR="00880DE8" w:rsidRPr="00515A58">
        <w:rPr>
          <w:rFonts w:cstheme="minorHAnsi"/>
          <w:sz w:val="24"/>
        </w:rPr>
        <w:t xml:space="preserve">Battelle telephone interviewers will attempt up to five calls to the household, at different times of the day and on different days of the week, to reach the adult in the household.  If the adult </w:t>
      </w:r>
      <w:proofErr w:type="gramStart"/>
      <w:r w:rsidR="00880DE8" w:rsidRPr="00515A58">
        <w:rPr>
          <w:rFonts w:cstheme="minorHAnsi"/>
          <w:sz w:val="24"/>
        </w:rPr>
        <w:t>cannot be reached</w:t>
      </w:r>
      <w:proofErr w:type="gramEnd"/>
      <w:r w:rsidR="00880DE8" w:rsidRPr="00515A58">
        <w:rPr>
          <w:rFonts w:cstheme="minorHAnsi"/>
          <w:sz w:val="24"/>
        </w:rPr>
        <w:t xml:space="preserve"> within the five calls, that household will be removed from the calling list.  </w:t>
      </w:r>
      <w:r w:rsidR="0017080B" w:rsidRPr="00515A58">
        <w:rPr>
          <w:sz w:val="24"/>
        </w:rPr>
        <w:t xml:space="preserve">Once contact </w:t>
      </w:r>
      <w:r w:rsidR="00880DE8" w:rsidRPr="00515A58">
        <w:rPr>
          <w:sz w:val="24"/>
        </w:rPr>
        <w:t xml:space="preserve">is made </w:t>
      </w:r>
      <w:r w:rsidR="0017080B" w:rsidRPr="00515A58">
        <w:rPr>
          <w:sz w:val="24"/>
        </w:rPr>
        <w:t xml:space="preserve">with a household adult over the phone, we will attempt to identify the age and gender of all children living within the household as well as willingness </w:t>
      </w:r>
      <w:r w:rsidR="00A472D3" w:rsidRPr="00515A58">
        <w:rPr>
          <w:sz w:val="24"/>
        </w:rPr>
        <w:t xml:space="preserve">to </w:t>
      </w:r>
      <w:r w:rsidR="0017080B" w:rsidRPr="00515A58">
        <w:rPr>
          <w:sz w:val="24"/>
        </w:rPr>
        <w:t>participat</w:t>
      </w:r>
      <w:r w:rsidR="00A472D3" w:rsidRPr="00515A58">
        <w:rPr>
          <w:sz w:val="24"/>
        </w:rPr>
        <w:t>e</w:t>
      </w:r>
      <w:r w:rsidR="0017080B" w:rsidRPr="00515A58">
        <w:rPr>
          <w:sz w:val="24"/>
        </w:rPr>
        <w:t xml:space="preserve"> in the HCS (both for the child and parent).  </w:t>
      </w:r>
    </w:p>
    <w:p w:rsidR="00880DE8" w:rsidRPr="00515A58" w:rsidRDefault="00880DE8" w:rsidP="00756E94">
      <w:pPr>
        <w:rPr>
          <w:sz w:val="24"/>
        </w:rPr>
      </w:pPr>
    </w:p>
    <w:p w:rsidR="00880DE8" w:rsidRPr="00515A58" w:rsidRDefault="00880DE8" w:rsidP="00756E94">
      <w:pPr>
        <w:rPr>
          <w:sz w:val="24"/>
        </w:rPr>
      </w:pPr>
      <w:proofErr w:type="gramStart"/>
      <w:r w:rsidRPr="00515A58">
        <w:rPr>
          <w:rFonts w:cstheme="minorHAnsi"/>
          <w:sz w:val="24"/>
        </w:rPr>
        <w:t xml:space="preserve">During the recruitment call, a </w:t>
      </w:r>
      <w:r w:rsidRPr="00515A58">
        <w:rPr>
          <w:sz w:val="24"/>
        </w:rPr>
        <w:t xml:space="preserve">trained telephone interviewer </w:t>
      </w:r>
      <w:r w:rsidRPr="00515A58">
        <w:rPr>
          <w:rFonts w:cstheme="minorHAnsi"/>
          <w:sz w:val="24"/>
        </w:rPr>
        <w:t>from Battelle</w:t>
      </w:r>
      <w:r w:rsidRPr="00515A58">
        <w:rPr>
          <w:rFonts w:cstheme="minorHAnsi"/>
        </w:rPr>
        <w:t xml:space="preserve"> </w:t>
      </w:r>
      <w:r w:rsidRPr="00515A58">
        <w:rPr>
          <w:sz w:val="24"/>
        </w:rPr>
        <w:t>will: (1) explain the HCS to the household adult member (preferably the parent or main caregiver of the resident children); (2) enumerate resident children by age and gender to identify eligibility; (3) assess willingness to participate; and (4) explain that the HCS will randomly select a single child from the household to participate in the study (in households that contain more than one eligible child).</w:t>
      </w:r>
      <w:proofErr w:type="gramEnd"/>
      <w:r w:rsidRPr="00515A58">
        <w:rPr>
          <w:sz w:val="24"/>
        </w:rPr>
        <w:t xml:space="preserve">  </w:t>
      </w:r>
      <w:proofErr w:type="gramStart"/>
      <w:r w:rsidRPr="00515A58">
        <w:rPr>
          <w:sz w:val="24"/>
        </w:rPr>
        <w:t>Note that the eligibility of children within a particular household will be based on answers to the screening questionnaire as well as whether the HCS still requires a child with matching age and gender characteristics for that particular community (e.g., a household could have one or more children that have age and gender characteristics that match cells in the above table in which the sampling goal has already been met for a particular community).</w:t>
      </w:r>
      <w:proofErr w:type="gramEnd"/>
      <w:r w:rsidRPr="00515A58">
        <w:rPr>
          <w:sz w:val="24"/>
        </w:rPr>
        <w:t xml:space="preserve">  As long as one or more children within the household are eligible for the study, the </w:t>
      </w:r>
      <w:proofErr w:type="gramStart"/>
      <w:r w:rsidRPr="00515A58">
        <w:rPr>
          <w:sz w:val="24"/>
        </w:rPr>
        <w:t>HCS enrollment information management system</w:t>
      </w:r>
      <w:proofErr w:type="gramEnd"/>
      <w:r w:rsidRPr="00515A58">
        <w:rPr>
          <w:sz w:val="24"/>
        </w:rPr>
        <w:t xml:space="preserve"> will randomly select a single child to participate in the study.  Selection probabilities </w:t>
      </w:r>
      <w:proofErr w:type="gramStart"/>
      <w:r w:rsidRPr="00515A58">
        <w:rPr>
          <w:sz w:val="24"/>
        </w:rPr>
        <w:t>will be based</w:t>
      </w:r>
      <w:proofErr w:type="gramEnd"/>
      <w:r w:rsidRPr="00515A58">
        <w:rPr>
          <w:sz w:val="24"/>
        </w:rPr>
        <w:t xml:space="preserve"> on the number of children with matching age and gender characteristics that remain to be recruited and enrolled into the HCS at the time of the telephone screening and recruitment session. </w:t>
      </w:r>
    </w:p>
    <w:p w:rsidR="004116D2" w:rsidRPr="00515A58" w:rsidRDefault="004116D2" w:rsidP="00756E94">
      <w:pPr>
        <w:rPr>
          <w:sz w:val="24"/>
        </w:rPr>
      </w:pPr>
    </w:p>
    <w:p w:rsidR="004116D2" w:rsidRPr="00515A58" w:rsidRDefault="00F03656" w:rsidP="00756E94">
      <w:pPr>
        <w:pStyle w:val="proptext10"/>
        <w:spacing w:after="0"/>
        <w:rPr>
          <w:rFonts w:ascii="Times New Roman" w:hAnsi="Times New Roman" w:cs="Times New Roman"/>
        </w:rPr>
      </w:pPr>
      <w:r w:rsidRPr="00515A58">
        <w:rPr>
          <w:rFonts w:ascii="Times New Roman" w:hAnsi="Times New Roman" w:cs="Times New Roman"/>
          <w:sz w:val="24"/>
          <w:szCs w:val="24"/>
        </w:rPr>
        <w:t xml:space="preserve">In a typical community, the study will recruit six children (three males and three females) </w:t>
      </w:r>
      <w:r w:rsidR="00E74161" w:rsidRPr="00515A58">
        <w:rPr>
          <w:rFonts w:ascii="Times New Roman" w:hAnsi="Times New Roman" w:cs="Times New Roman"/>
          <w:sz w:val="24"/>
          <w:szCs w:val="24"/>
        </w:rPr>
        <w:t xml:space="preserve">within each </w:t>
      </w:r>
      <w:r w:rsidR="00583568" w:rsidRPr="00515A58">
        <w:rPr>
          <w:rFonts w:ascii="Times New Roman" w:hAnsi="Times New Roman" w:cs="Times New Roman"/>
          <w:sz w:val="24"/>
          <w:szCs w:val="24"/>
        </w:rPr>
        <w:t xml:space="preserve">yearly </w:t>
      </w:r>
      <w:r w:rsidR="00E74161" w:rsidRPr="00515A58">
        <w:rPr>
          <w:rFonts w:ascii="Times New Roman" w:hAnsi="Times New Roman" w:cs="Times New Roman"/>
          <w:sz w:val="24"/>
          <w:szCs w:val="24"/>
        </w:rPr>
        <w:t xml:space="preserve">age </w:t>
      </w:r>
      <w:r w:rsidR="00583568" w:rsidRPr="00515A58">
        <w:rPr>
          <w:rFonts w:ascii="Times New Roman" w:hAnsi="Times New Roman" w:cs="Times New Roman"/>
          <w:sz w:val="24"/>
          <w:szCs w:val="24"/>
        </w:rPr>
        <w:t xml:space="preserve">interval </w:t>
      </w:r>
      <w:r w:rsidR="00E74161" w:rsidRPr="00515A58">
        <w:rPr>
          <w:rFonts w:ascii="Times New Roman" w:hAnsi="Times New Roman" w:cs="Times New Roman"/>
          <w:sz w:val="24"/>
          <w:szCs w:val="24"/>
        </w:rPr>
        <w:t>(3-15 years)</w:t>
      </w:r>
      <w:r w:rsidRPr="00515A58">
        <w:rPr>
          <w:rFonts w:ascii="Times New Roman" w:hAnsi="Times New Roman" w:cs="Times New Roman"/>
          <w:sz w:val="24"/>
          <w:szCs w:val="24"/>
        </w:rPr>
        <w:t>, total</w:t>
      </w:r>
      <w:r w:rsidR="001B041C" w:rsidRPr="00515A58">
        <w:rPr>
          <w:rFonts w:ascii="Times New Roman" w:hAnsi="Times New Roman" w:cs="Times New Roman"/>
          <w:sz w:val="24"/>
          <w:szCs w:val="24"/>
        </w:rPr>
        <w:t>ing</w:t>
      </w:r>
      <w:r w:rsidR="0017080B" w:rsidRPr="00515A58">
        <w:rPr>
          <w:rFonts w:ascii="Times New Roman" w:hAnsi="Times New Roman" w:cs="Times New Roman"/>
          <w:sz w:val="24"/>
          <w:szCs w:val="24"/>
        </w:rPr>
        <w:t xml:space="preserve"> 78 children per community.  The number of planned child/parent home assessments for the HCS </w:t>
      </w:r>
      <w:proofErr w:type="gramStart"/>
      <w:r w:rsidR="0017080B" w:rsidRPr="00515A58">
        <w:rPr>
          <w:rFonts w:ascii="Times New Roman" w:hAnsi="Times New Roman" w:cs="Times New Roman"/>
          <w:sz w:val="24"/>
          <w:szCs w:val="24"/>
        </w:rPr>
        <w:t>is detailed</w:t>
      </w:r>
      <w:proofErr w:type="gramEnd"/>
      <w:r w:rsidR="0017080B" w:rsidRPr="00515A58">
        <w:rPr>
          <w:rFonts w:ascii="Times New Roman" w:hAnsi="Times New Roman" w:cs="Times New Roman"/>
          <w:sz w:val="24"/>
          <w:szCs w:val="24"/>
        </w:rPr>
        <w:t xml:space="preserve"> in Table B.1.3 below.  The parents from whom we will collect anthropometric data are the biologic mother or father, or both. </w:t>
      </w:r>
    </w:p>
    <w:p w:rsidR="00E94F72" w:rsidRPr="00515A58" w:rsidRDefault="00E94F72">
      <w:pPr>
        <w:autoSpaceDE/>
        <w:autoSpaceDN/>
        <w:rPr>
          <w:sz w:val="24"/>
        </w:rPr>
      </w:pPr>
    </w:p>
    <w:p w:rsidR="00BD3E35" w:rsidRPr="00515A58" w:rsidRDefault="00BD3E35">
      <w:pPr>
        <w:autoSpaceDE/>
        <w:autoSpaceDN/>
        <w:rPr>
          <w:sz w:val="24"/>
        </w:rPr>
      </w:pPr>
    </w:p>
    <w:p w:rsidR="004116D2" w:rsidRPr="00515A58" w:rsidRDefault="0017080B">
      <w:pPr>
        <w:pStyle w:val="Style1sub-headings"/>
        <w:spacing w:before="0" w:line="240" w:lineRule="auto"/>
        <w:ind w:left="0" w:firstLine="0"/>
      </w:pPr>
      <w:bookmarkStart w:id="25" w:name="_Toc299107932"/>
      <w:bookmarkStart w:id="26" w:name="_Toc301448525"/>
      <w:bookmarkStart w:id="27" w:name="_Toc301448660"/>
      <w:bookmarkStart w:id="28" w:name="_Toc301448749"/>
      <w:bookmarkStart w:id="29" w:name="_Toc301448817"/>
      <w:r w:rsidRPr="00515A58">
        <w:t>Table B.1.3    Number of Planned Child/Parent Assessments by Type of Community</w:t>
      </w:r>
      <w:bookmarkEnd w:id="25"/>
      <w:bookmarkEnd w:id="26"/>
      <w:bookmarkEnd w:id="27"/>
      <w:bookmarkEnd w:id="28"/>
      <w:bookmarkEnd w:id="29"/>
    </w:p>
    <w:tbl>
      <w:tblPr>
        <w:tblW w:w="99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710"/>
        <w:gridCol w:w="1350"/>
        <w:gridCol w:w="1080"/>
        <w:gridCol w:w="945"/>
        <w:gridCol w:w="135"/>
        <w:gridCol w:w="896"/>
        <w:gridCol w:w="994"/>
        <w:gridCol w:w="965"/>
        <w:gridCol w:w="137"/>
        <w:gridCol w:w="900"/>
      </w:tblGrid>
      <w:tr w:rsidR="009D1111" w:rsidRPr="00515A58" w:rsidTr="00BD3E35">
        <w:trPr>
          <w:tblHeader/>
        </w:trPr>
        <w:tc>
          <w:tcPr>
            <w:tcW w:w="810" w:type="dxa"/>
            <w:vMerge w:val="restart"/>
            <w:shd w:val="clear" w:color="auto" w:fill="8DB3E2" w:themeFill="text2" w:themeFillTint="66"/>
            <w:vAlign w:val="center"/>
          </w:tcPr>
          <w:p w:rsidR="009D1111" w:rsidRPr="00515A58" w:rsidRDefault="009D1111" w:rsidP="00583568">
            <w:pPr>
              <w:tabs>
                <w:tab w:val="left" w:pos="-1080"/>
                <w:tab w:val="left" w:pos="-720"/>
              </w:tabs>
              <w:adjustRightInd w:val="0"/>
              <w:jc w:val="center"/>
              <w:rPr>
                <w:sz w:val="18"/>
                <w:szCs w:val="18"/>
              </w:rPr>
            </w:pPr>
            <w:r w:rsidRPr="00515A58">
              <w:rPr>
                <w:sz w:val="18"/>
                <w:szCs w:val="18"/>
              </w:rPr>
              <w:t xml:space="preserve">Year of </w:t>
            </w:r>
            <w:r w:rsidR="00583568" w:rsidRPr="00515A58">
              <w:rPr>
                <w:sz w:val="18"/>
                <w:szCs w:val="18"/>
              </w:rPr>
              <w:t>Data Collection</w:t>
            </w:r>
          </w:p>
        </w:tc>
        <w:tc>
          <w:tcPr>
            <w:tcW w:w="1710" w:type="dxa"/>
            <w:vMerge w:val="restart"/>
            <w:shd w:val="clear" w:color="auto" w:fill="8DB3E2" w:themeFill="text2" w:themeFillTint="66"/>
            <w:vAlign w:val="center"/>
          </w:tcPr>
          <w:p w:rsidR="009D1111" w:rsidRPr="00515A58" w:rsidRDefault="009D1111" w:rsidP="00A76A72">
            <w:pPr>
              <w:tabs>
                <w:tab w:val="left" w:pos="-1080"/>
                <w:tab w:val="left" w:pos="-720"/>
              </w:tabs>
              <w:adjustRightInd w:val="0"/>
              <w:jc w:val="center"/>
              <w:rPr>
                <w:sz w:val="18"/>
                <w:szCs w:val="18"/>
              </w:rPr>
            </w:pPr>
            <w:r w:rsidRPr="00515A58">
              <w:rPr>
                <w:sz w:val="18"/>
                <w:szCs w:val="18"/>
              </w:rPr>
              <w:t>Type of Community Sample</w:t>
            </w:r>
          </w:p>
        </w:tc>
        <w:tc>
          <w:tcPr>
            <w:tcW w:w="1350" w:type="dxa"/>
            <w:vMerge w:val="restart"/>
            <w:shd w:val="clear" w:color="auto" w:fill="8DB3E2" w:themeFill="text2" w:themeFillTint="66"/>
            <w:vAlign w:val="center"/>
          </w:tcPr>
          <w:p w:rsidR="009D1111" w:rsidRPr="00515A58" w:rsidRDefault="009D1111" w:rsidP="00A76A72">
            <w:pPr>
              <w:tabs>
                <w:tab w:val="left" w:pos="-1080"/>
                <w:tab w:val="left" w:pos="-720"/>
              </w:tabs>
              <w:adjustRightInd w:val="0"/>
              <w:jc w:val="center"/>
              <w:rPr>
                <w:sz w:val="18"/>
                <w:szCs w:val="18"/>
              </w:rPr>
            </w:pPr>
            <w:r w:rsidRPr="00515A58">
              <w:rPr>
                <w:sz w:val="18"/>
                <w:szCs w:val="18"/>
              </w:rPr>
              <w:t>Number of Communities</w:t>
            </w:r>
          </w:p>
        </w:tc>
        <w:tc>
          <w:tcPr>
            <w:tcW w:w="3056" w:type="dxa"/>
            <w:gridSpan w:val="4"/>
            <w:shd w:val="clear" w:color="auto" w:fill="8DB3E2" w:themeFill="text2" w:themeFillTint="66"/>
            <w:vAlign w:val="center"/>
          </w:tcPr>
          <w:p w:rsidR="00C43FAF" w:rsidRPr="00515A58" w:rsidRDefault="009D1111">
            <w:pPr>
              <w:tabs>
                <w:tab w:val="left" w:pos="-1080"/>
                <w:tab w:val="left" w:pos="-720"/>
              </w:tabs>
              <w:adjustRightInd w:val="0"/>
              <w:jc w:val="center"/>
              <w:rPr>
                <w:b/>
                <w:sz w:val="18"/>
                <w:szCs w:val="18"/>
              </w:rPr>
            </w:pPr>
            <w:r w:rsidRPr="00515A58">
              <w:rPr>
                <w:b/>
                <w:sz w:val="18"/>
                <w:szCs w:val="18"/>
              </w:rPr>
              <w:t>Participants Per Community</w:t>
            </w:r>
          </w:p>
        </w:tc>
        <w:tc>
          <w:tcPr>
            <w:tcW w:w="2996" w:type="dxa"/>
            <w:gridSpan w:val="4"/>
            <w:shd w:val="clear" w:color="auto" w:fill="8DB3E2" w:themeFill="text2" w:themeFillTint="66"/>
            <w:vAlign w:val="center"/>
          </w:tcPr>
          <w:p w:rsidR="00C43FAF" w:rsidRPr="00515A58" w:rsidRDefault="009D1111">
            <w:pPr>
              <w:tabs>
                <w:tab w:val="left" w:pos="-1080"/>
                <w:tab w:val="left" w:pos="-720"/>
              </w:tabs>
              <w:adjustRightInd w:val="0"/>
              <w:jc w:val="center"/>
              <w:rPr>
                <w:b/>
                <w:sz w:val="18"/>
                <w:szCs w:val="18"/>
              </w:rPr>
            </w:pPr>
            <w:r w:rsidRPr="00515A58">
              <w:rPr>
                <w:b/>
                <w:sz w:val="18"/>
                <w:szCs w:val="18"/>
              </w:rPr>
              <w:t>Participants Across Communities</w:t>
            </w:r>
          </w:p>
        </w:tc>
      </w:tr>
      <w:tr w:rsidR="009D1111" w:rsidRPr="00515A58" w:rsidTr="00BD3E35">
        <w:trPr>
          <w:tblHeader/>
        </w:trPr>
        <w:tc>
          <w:tcPr>
            <w:tcW w:w="810" w:type="dxa"/>
            <w:vMerge/>
            <w:shd w:val="clear" w:color="auto" w:fill="8DB3E2" w:themeFill="text2" w:themeFillTint="66"/>
          </w:tcPr>
          <w:p w:rsidR="00C43FAF" w:rsidRPr="00515A58" w:rsidRDefault="00C43FAF">
            <w:pPr>
              <w:tabs>
                <w:tab w:val="left" w:pos="-1080"/>
                <w:tab w:val="left" w:pos="-720"/>
              </w:tabs>
              <w:adjustRightInd w:val="0"/>
              <w:rPr>
                <w:sz w:val="18"/>
                <w:szCs w:val="18"/>
              </w:rPr>
            </w:pPr>
          </w:p>
        </w:tc>
        <w:tc>
          <w:tcPr>
            <w:tcW w:w="1710" w:type="dxa"/>
            <w:vMerge/>
            <w:shd w:val="clear" w:color="auto" w:fill="8DB3E2" w:themeFill="text2" w:themeFillTint="66"/>
          </w:tcPr>
          <w:p w:rsidR="00C43FAF" w:rsidRPr="00515A58" w:rsidRDefault="00C43FAF">
            <w:pPr>
              <w:tabs>
                <w:tab w:val="left" w:pos="-1080"/>
                <w:tab w:val="left" w:pos="-720"/>
              </w:tabs>
              <w:adjustRightInd w:val="0"/>
              <w:rPr>
                <w:sz w:val="18"/>
                <w:szCs w:val="18"/>
              </w:rPr>
            </w:pPr>
          </w:p>
        </w:tc>
        <w:tc>
          <w:tcPr>
            <w:tcW w:w="1350" w:type="dxa"/>
            <w:vMerge/>
            <w:shd w:val="clear" w:color="auto" w:fill="8DB3E2" w:themeFill="text2" w:themeFillTint="66"/>
          </w:tcPr>
          <w:p w:rsidR="00C43FAF" w:rsidRPr="00515A58" w:rsidRDefault="00C43FAF">
            <w:pPr>
              <w:tabs>
                <w:tab w:val="left" w:pos="-1080"/>
                <w:tab w:val="left" w:pos="-720"/>
              </w:tabs>
              <w:adjustRightInd w:val="0"/>
              <w:jc w:val="center"/>
              <w:rPr>
                <w:sz w:val="18"/>
                <w:szCs w:val="18"/>
              </w:rPr>
            </w:pPr>
          </w:p>
        </w:tc>
        <w:tc>
          <w:tcPr>
            <w:tcW w:w="1080" w:type="dxa"/>
            <w:shd w:val="clear" w:color="auto" w:fill="8DB3E2" w:themeFill="text2" w:themeFillTint="66"/>
            <w:vAlign w:val="center"/>
          </w:tcPr>
          <w:p w:rsidR="00C43FAF" w:rsidRPr="00515A58" w:rsidRDefault="009D1111">
            <w:pPr>
              <w:tabs>
                <w:tab w:val="left" w:pos="-1080"/>
                <w:tab w:val="left" w:pos="-720"/>
              </w:tabs>
              <w:adjustRightInd w:val="0"/>
              <w:jc w:val="center"/>
              <w:rPr>
                <w:sz w:val="18"/>
                <w:szCs w:val="18"/>
              </w:rPr>
            </w:pPr>
            <w:r w:rsidRPr="00515A58">
              <w:rPr>
                <w:sz w:val="18"/>
                <w:szCs w:val="18"/>
              </w:rPr>
              <w:t>Standard Protocol</w:t>
            </w:r>
          </w:p>
          <w:p w:rsidR="00C43FAF" w:rsidRPr="00515A58" w:rsidRDefault="009D1111">
            <w:pPr>
              <w:tabs>
                <w:tab w:val="left" w:pos="-1080"/>
                <w:tab w:val="left" w:pos="-720"/>
              </w:tabs>
              <w:adjustRightInd w:val="0"/>
              <w:jc w:val="center"/>
              <w:rPr>
                <w:sz w:val="18"/>
                <w:szCs w:val="18"/>
              </w:rPr>
            </w:pPr>
            <w:r w:rsidRPr="00515A58">
              <w:rPr>
                <w:sz w:val="18"/>
                <w:szCs w:val="18"/>
              </w:rPr>
              <w:t>Only</w:t>
            </w:r>
          </w:p>
        </w:tc>
        <w:tc>
          <w:tcPr>
            <w:tcW w:w="1080" w:type="dxa"/>
            <w:gridSpan w:val="2"/>
            <w:shd w:val="clear" w:color="auto" w:fill="8DB3E2" w:themeFill="text2" w:themeFillTint="66"/>
            <w:vAlign w:val="center"/>
          </w:tcPr>
          <w:p w:rsidR="00C43FAF" w:rsidRPr="00515A58" w:rsidRDefault="009D1111">
            <w:pPr>
              <w:tabs>
                <w:tab w:val="left" w:pos="-1080"/>
                <w:tab w:val="left" w:pos="-720"/>
              </w:tabs>
              <w:adjustRightInd w:val="0"/>
              <w:jc w:val="center"/>
              <w:rPr>
                <w:sz w:val="18"/>
                <w:szCs w:val="18"/>
              </w:rPr>
            </w:pPr>
            <w:r w:rsidRPr="00515A58">
              <w:rPr>
                <w:sz w:val="18"/>
                <w:szCs w:val="18"/>
              </w:rPr>
              <w:t>Enhanced Protocol</w:t>
            </w:r>
          </w:p>
        </w:tc>
        <w:tc>
          <w:tcPr>
            <w:tcW w:w="896" w:type="dxa"/>
            <w:shd w:val="clear" w:color="auto" w:fill="8DB3E2" w:themeFill="text2" w:themeFillTint="66"/>
            <w:vAlign w:val="center"/>
          </w:tcPr>
          <w:p w:rsidR="00C43FAF" w:rsidRPr="00515A58" w:rsidRDefault="009D1111">
            <w:pPr>
              <w:tabs>
                <w:tab w:val="left" w:pos="-1080"/>
                <w:tab w:val="left" w:pos="-720"/>
              </w:tabs>
              <w:adjustRightInd w:val="0"/>
              <w:jc w:val="center"/>
              <w:rPr>
                <w:sz w:val="18"/>
                <w:szCs w:val="18"/>
              </w:rPr>
            </w:pPr>
            <w:r w:rsidRPr="00515A58">
              <w:rPr>
                <w:sz w:val="18"/>
                <w:szCs w:val="18"/>
              </w:rPr>
              <w:t>Medical</w:t>
            </w:r>
          </w:p>
          <w:p w:rsidR="00C43FAF" w:rsidRPr="00515A58" w:rsidRDefault="009D1111">
            <w:pPr>
              <w:tabs>
                <w:tab w:val="left" w:pos="-1080"/>
                <w:tab w:val="left" w:pos="-720"/>
              </w:tabs>
              <w:adjustRightInd w:val="0"/>
              <w:jc w:val="center"/>
              <w:rPr>
                <w:sz w:val="18"/>
                <w:szCs w:val="18"/>
              </w:rPr>
            </w:pPr>
            <w:r w:rsidRPr="00515A58">
              <w:rPr>
                <w:sz w:val="18"/>
                <w:szCs w:val="18"/>
              </w:rPr>
              <w:t>Records</w:t>
            </w:r>
          </w:p>
        </w:tc>
        <w:tc>
          <w:tcPr>
            <w:tcW w:w="994" w:type="dxa"/>
            <w:shd w:val="clear" w:color="auto" w:fill="8DB3E2" w:themeFill="text2" w:themeFillTint="66"/>
            <w:vAlign w:val="center"/>
          </w:tcPr>
          <w:p w:rsidR="00C43FAF" w:rsidRPr="00515A58" w:rsidRDefault="009D1111">
            <w:pPr>
              <w:tabs>
                <w:tab w:val="left" w:pos="-1080"/>
                <w:tab w:val="left" w:pos="-720"/>
              </w:tabs>
              <w:adjustRightInd w:val="0"/>
              <w:jc w:val="center"/>
              <w:rPr>
                <w:sz w:val="18"/>
                <w:szCs w:val="18"/>
              </w:rPr>
            </w:pPr>
            <w:r w:rsidRPr="00515A58">
              <w:rPr>
                <w:sz w:val="18"/>
                <w:szCs w:val="18"/>
              </w:rPr>
              <w:t>Standard Protocol</w:t>
            </w:r>
          </w:p>
          <w:p w:rsidR="00C43FAF" w:rsidRPr="00515A58" w:rsidRDefault="009D1111">
            <w:pPr>
              <w:tabs>
                <w:tab w:val="left" w:pos="-1080"/>
                <w:tab w:val="left" w:pos="-720"/>
              </w:tabs>
              <w:adjustRightInd w:val="0"/>
              <w:jc w:val="center"/>
              <w:rPr>
                <w:sz w:val="18"/>
                <w:szCs w:val="18"/>
              </w:rPr>
            </w:pPr>
            <w:r w:rsidRPr="00515A58">
              <w:rPr>
                <w:sz w:val="18"/>
                <w:szCs w:val="18"/>
              </w:rPr>
              <w:t>Only</w:t>
            </w:r>
          </w:p>
        </w:tc>
        <w:tc>
          <w:tcPr>
            <w:tcW w:w="1102" w:type="dxa"/>
            <w:gridSpan w:val="2"/>
            <w:shd w:val="clear" w:color="auto" w:fill="8DB3E2" w:themeFill="text2" w:themeFillTint="66"/>
            <w:vAlign w:val="center"/>
          </w:tcPr>
          <w:p w:rsidR="00C43FAF" w:rsidRPr="00515A58" w:rsidRDefault="0017080B">
            <w:pPr>
              <w:tabs>
                <w:tab w:val="left" w:pos="-1080"/>
                <w:tab w:val="left" w:pos="-720"/>
              </w:tabs>
              <w:adjustRightInd w:val="0"/>
              <w:jc w:val="center"/>
              <w:rPr>
                <w:sz w:val="18"/>
                <w:szCs w:val="18"/>
              </w:rPr>
            </w:pPr>
            <w:r w:rsidRPr="00515A58">
              <w:rPr>
                <w:sz w:val="18"/>
                <w:szCs w:val="18"/>
              </w:rPr>
              <w:t>Enhanced Protocol</w:t>
            </w:r>
          </w:p>
        </w:tc>
        <w:tc>
          <w:tcPr>
            <w:tcW w:w="900" w:type="dxa"/>
            <w:shd w:val="clear" w:color="auto" w:fill="8DB3E2" w:themeFill="text2" w:themeFillTint="66"/>
            <w:vAlign w:val="center"/>
          </w:tcPr>
          <w:p w:rsidR="00C43FAF" w:rsidRPr="00515A58" w:rsidRDefault="0017080B">
            <w:pPr>
              <w:tabs>
                <w:tab w:val="left" w:pos="-1080"/>
                <w:tab w:val="left" w:pos="-720"/>
              </w:tabs>
              <w:adjustRightInd w:val="0"/>
              <w:jc w:val="center"/>
              <w:rPr>
                <w:sz w:val="18"/>
                <w:szCs w:val="18"/>
              </w:rPr>
            </w:pPr>
            <w:r w:rsidRPr="00515A58">
              <w:rPr>
                <w:sz w:val="18"/>
                <w:szCs w:val="18"/>
              </w:rPr>
              <w:t>Medical</w:t>
            </w:r>
          </w:p>
          <w:p w:rsidR="00C43FAF" w:rsidRPr="00515A58" w:rsidRDefault="0017080B">
            <w:pPr>
              <w:tabs>
                <w:tab w:val="left" w:pos="-1080"/>
                <w:tab w:val="left" w:pos="-720"/>
              </w:tabs>
              <w:adjustRightInd w:val="0"/>
              <w:jc w:val="center"/>
              <w:rPr>
                <w:sz w:val="18"/>
                <w:szCs w:val="18"/>
              </w:rPr>
            </w:pPr>
            <w:r w:rsidRPr="00515A58">
              <w:rPr>
                <w:sz w:val="18"/>
                <w:szCs w:val="18"/>
              </w:rPr>
              <w:t>Records</w:t>
            </w:r>
          </w:p>
        </w:tc>
      </w:tr>
      <w:tr w:rsidR="009D1111" w:rsidRPr="00515A58" w:rsidTr="000F4031">
        <w:tc>
          <w:tcPr>
            <w:tcW w:w="810" w:type="dxa"/>
          </w:tcPr>
          <w:p w:rsidR="009D1111" w:rsidRPr="00515A58" w:rsidRDefault="009D1111" w:rsidP="00A76A72">
            <w:pPr>
              <w:tabs>
                <w:tab w:val="left" w:pos="-1080"/>
                <w:tab w:val="left" w:pos="-720"/>
              </w:tabs>
              <w:adjustRightInd w:val="0"/>
              <w:rPr>
                <w:sz w:val="18"/>
                <w:szCs w:val="18"/>
              </w:rPr>
            </w:pPr>
          </w:p>
        </w:tc>
        <w:tc>
          <w:tcPr>
            <w:tcW w:w="1710" w:type="dxa"/>
          </w:tcPr>
          <w:p w:rsidR="009D1111" w:rsidRPr="00515A58" w:rsidRDefault="0017080B" w:rsidP="00A76A72">
            <w:pPr>
              <w:tabs>
                <w:tab w:val="left" w:pos="-1080"/>
                <w:tab w:val="left" w:pos="-720"/>
              </w:tabs>
              <w:adjustRightInd w:val="0"/>
              <w:rPr>
                <w:sz w:val="18"/>
                <w:szCs w:val="18"/>
              </w:rPr>
            </w:pPr>
            <w:r w:rsidRPr="00515A58">
              <w:rPr>
                <w:sz w:val="18"/>
                <w:szCs w:val="18"/>
              </w:rPr>
              <w:t>Wave 1</w:t>
            </w:r>
          </w:p>
        </w:tc>
        <w:tc>
          <w:tcPr>
            <w:tcW w:w="1350" w:type="dxa"/>
          </w:tcPr>
          <w:p w:rsidR="009D1111" w:rsidRPr="00515A58" w:rsidRDefault="0017080B" w:rsidP="00A76A72">
            <w:pPr>
              <w:tabs>
                <w:tab w:val="left" w:pos="-1080"/>
                <w:tab w:val="left" w:pos="-720"/>
              </w:tabs>
              <w:adjustRightInd w:val="0"/>
              <w:jc w:val="center"/>
              <w:rPr>
                <w:sz w:val="18"/>
                <w:szCs w:val="18"/>
              </w:rPr>
            </w:pPr>
            <w:r w:rsidRPr="00515A58">
              <w:rPr>
                <w:sz w:val="18"/>
                <w:szCs w:val="18"/>
              </w:rPr>
              <w:t>4</w:t>
            </w:r>
          </w:p>
        </w:tc>
        <w:tc>
          <w:tcPr>
            <w:tcW w:w="1080" w:type="dxa"/>
          </w:tcPr>
          <w:p w:rsidR="00C43FAF" w:rsidRPr="00515A58" w:rsidRDefault="0017080B">
            <w:pPr>
              <w:tabs>
                <w:tab w:val="left" w:pos="-1080"/>
                <w:tab w:val="left" w:pos="-720"/>
              </w:tabs>
              <w:adjustRightInd w:val="0"/>
              <w:jc w:val="center"/>
              <w:rPr>
                <w:sz w:val="18"/>
                <w:szCs w:val="18"/>
              </w:rPr>
            </w:pPr>
            <w:r w:rsidRPr="00515A58">
              <w:rPr>
                <w:sz w:val="18"/>
                <w:szCs w:val="18"/>
              </w:rPr>
              <w:t>65</w:t>
            </w:r>
          </w:p>
        </w:tc>
        <w:tc>
          <w:tcPr>
            <w:tcW w:w="1080"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13</w:t>
            </w:r>
          </w:p>
        </w:tc>
        <w:tc>
          <w:tcPr>
            <w:tcW w:w="896" w:type="dxa"/>
          </w:tcPr>
          <w:p w:rsidR="00C43FAF" w:rsidRPr="00515A58" w:rsidRDefault="0017080B">
            <w:pPr>
              <w:tabs>
                <w:tab w:val="left" w:pos="-1080"/>
                <w:tab w:val="left" w:pos="-720"/>
              </w:tabs>
              <w:adjustRightInd w:val="0"/>
              <w:jc w:val="center"/>
              <w:rPr>
                <w:sz w:val="18"/>
                <w:szCs w:val="18"/>
              </w:rPr>
            </w:pPr>
            <w:r w:rsidRPr="00515A58">
              <w:rPr>
                <w:sz w:val="18"/>
                <w:szCs w:val="18"/>
              </w:rPr>
              <w:t>55</w:t>
            </w:r>
          </w:p>
        </w:tc>
        <w:tc>
          <w:tcPr>
            <w:tcW w:w="994" w:type="dxa"/>
          </w:tcPr>
          <w:p w:rsidR="00C43FAF" w:rsidRPr="00515A58" w:rsidRDefault="0017080B">
            <w:pPr>
              <w:tabs>
                <w:tab w:val="left" w:pos="-1080"/>
                <w:tab w:val="left" w:pos="-720"/>
              </w:tabs>
              <w:adjustRightInd w:val="0"/>
              <w:jc w:val="center"/>
              <w:rPr>
                <w:sz w:val="18"/>
                <w:szCs w:val="18"/>
              </w:rPr>
            </w:pPr>
            <w:r w:rsidRPr="00515A58">
              <w:rPr>
                <w:sz w:val="18"/>
                <w:szCs w:val="18"/>
              </w:rPr>
              <w:t>260</w:t>
            </w:r>
          </w:p>
        </w:tc>
        <w:tc>
          <w:tcPr>
            <w:tcW w:w="1102"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52</w:t>
            </w:r>
          </w:p>
        </w:tc>
        <w:tc>
          <w:tcPr>
            <w:tcW w:w="900" w:type="dxa"/>
          </w:tcPr>
          <w:p w:rsidR="00C43FAF" w:rsidRPr="00515A58" w:rsidRDefault="0017080B">
            <w:pPr>
              <w:tabs>
                <w:tab w:val="left" w:pos="-1080"/>
                <w:tab w:val="left" w:pos="-720"/>
              </w:tabs>
              <w:adjustRightInd w:val="0"/>
              <w:jc w:val="center"/>
              <w:rPr>
                <w:sz w:val="18"/>
                <w:szCs w:val="18"/>
              </w:rPr>
            </w:pPr>
            <w:r w:rsidRPr="00515A58">
              <w:rPr>
                <w:sz w:val="18"/>
                <w:szCs w:val="18"/>
              </w:rPr>
              <w:t>220</w:t>
            </w:r>
          </w:p>
        </w:tc>
      </w:tr>
      <w:tr w:rsidR="009D1111" w:rsidRPr="00515A58" w:rsidTr="000F4031">
        <w:tc>
          <w:tcPr>
            <w:tcW w:w="810" w:type="dxa"/>
            <w:vMerge w:val="restart"/>
          </w:tcPr>
          <w:p w:rsidR="009D1111" w:rsidRPr="00515A58" w:rsidRDefault="0017080B" w:rsidP="00A76A72">
            <w:pPr>
              <w:tabs>
                <w:tab w:val="left" w:pos="-1080"/>
                <w:tab w:val="left" w:pos="-720"/>
              </w:tabs>
              <w:adjustRightInd w:val="0"/>
              <w:rPr>
                <w:sz w:val="18"/>
                <w:szCs w:val="18"/>
              </w:rPr>
            </w:pPr>
            <w:r w:rsidRPr="00515A58">
              <w:rPr>
                <w:sz w:val="18"/>
                <w:szCs w:val="18"/>
              </w:rPr>
              <w:t xml:space="preserve">Year </w:t>
            </w:r>
            <w:r w:rsidR="00583568" w:rsidRPr="00515A58">
              <w:rPr>
                <w:sz w:val="18"/>
                <w:szCs w:val="18"/>
              </w:rPr>
              <w:t>1</w:t>
            </w:r>
          </w:p>
        </w:tc>
        <w:tc>
          <w:tcPr>
            <w:tcW w:w="1710" w:type="dxa"/>
          </w:tcPr>
          <w:p w:rsidR="009D1111" w:rsidRPr="00515A58" w:rsidRDefault="0017080B" w:rsidP="00A76A72">
            <w:pPr>
              <w:tabs>
                <w:tab w:val="left" w:pos="-1080"/>
                <w:tab w:val="left" w:pos="-720"/>
              </w:tabs>
              <w:adjustRightInd w:val="0"/>
              <w:rPr>
                <w:sz w:val="18"/>
                <w:szCs w:val="18"/>
              </w:rPr>
            </w:pPr>
            <w:r w:rsidRPr="00515A58">
              <w:rPr>
                <w:sz w:val="18"/>
                <w:szCs w:val="18"/>
              </w:rPr>
              <w:t>RIPA - Baseline</w:t>
            </w:r>
          </w:p>
        </w:tc>
        <w:tc>
          <w:tcPr>
            <w:tcW w:w="1350" w:type="dxa"/>
          </w:tcPr>
          <w:p w:rsidR="009D1111" w:rsidRPr="00515A58" w:rsidRDefault="0017080B" w:rsidP="00A76A72">
            <w:pPr>
              <w:tabs>
                <w:tab w:val="left" w:pos="-1080"/>
                <w:tab w:val="left" w:pos="-720"/>
              </w:tabs>
              <w:adjustRightInd w:val="0"/>
              <w:jc w:val="center"/>
              <w:rPr>
                <w:sz w:val="18"/>
                <w:szCs w:val="18"/>
              </w:rPr>
            </w:pPr>
            <w:r w:rsidRPr="00515A58">
              <w:rPr>
                <w:sz w:val="18"/>
                <w:szCs w:val="18"/>
              </w:rPr>
              <w:t>40</w:t>
            </w:r>
          </w:p>
        </w:tc>
        <w:tc>
          <w:tcPr>
            <w:tcW w:w="1080" w:type="dxa"/>
          </w:tcPr>
          <w:p w:rsidR="00C43FAF" w:rsidRPr="00515A58" w:rsidRDefault="0017080B">
            <w:pPr>
              <w:tabs>
                <w:tab w:val="left" w:pos="-1080"/>
                <w:tab w:val="left" w:pos="-720"/>
              </w:tabs>
              <w:adjustRightInd w:val="0"/>
              <w:jc w:val="center"/>
              <w:rPr>
                <w:sz w:val="18"/>
                <w:szCs w:val="18"/>
              </w:rPr>
            </w:pPr>
            <w:r w:rsidRPr="00515A58">
              <w:rPr>
                <w:sz w:val="18"/>
                <w:szCs w:val="18"/>
              </w:rPr>
              <w:t>97</w:t>
            </w:r>
          </w:p>
        </w:tc>
        <w:tc>
          <w:tcPr>
            <w:tcW w:w="1080"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20</w:t>
            </w:r>
          </w:p>
        </w:tc>
        <w:tc>
          <w:tcPr>
            <w:tcW w:w="896" w:type="dxa"/>
          </w:tcPr>
          <w:p w:rsidR="00C43FAF" w:rsidRPr="00515A58" w:rsidRDefault="0017080B">
            <w:pPr>
              <w:tabs>
                <w:tab w:val="left" w:pos="-1080"/>
                <w:tab w:val="left" w:pos="-720"/>
              </w:tabs>
              <w:adjustRightInd w:val="0"/>
              <w:jc w:val="center"/>
              <w:rPr>
                <w:sz w:val="18"/>
                <w:szCs w:val="18"/>
              </w:rPr>
            </w:pPr>
            <w:r w:rsidRPr="00515A58">
              <w:rPr>
                <w:sz w:val="18"/>
                <w:szCs w:val="18"/>
              </w:rPr>
              <w:t>82</w:t>
            </w:r>
          </w:p>
        </w:tc>
        <w:tc>
          <w:tcPr>
            <w:tcW w:w="994" w:type="dxa"/>
          </w:tcPr>
          <w:p w:rsidR="00C43FAF" w:rsidRPr="00515A58" w:rsidRDefault="0017080B">
            <w:pPr>
              <w:tabs>
                <w:tab w:val="left" w:pos="-1080"/>
                <w:tab w:val="left" w:pos="-720"/>
              </w:tabs>
              <w:adjustRightInd w:val="0"/>
              <w:jc w:val="center"/>
              <w:rPr>
                <w:sz w:val="18"/>
                <w:szCs w:val="18"/>
              </w:rPr>
            </w:pPr>
            <w:r w:rsidRPr="00515A58">
              <w:rPr>
                <w:sz w:val="18"/>
                <w:szCs w:val="18"/>
              </w:rPr>
              <w:t>3,880</w:t>
            </w:r>
          </w:p>
        </w:tc>
        <w:tc>
          <w:tcPr>
            <w:tcW w:w="1102"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800</w:t>
            </w:r>
          </w:p>
        </w:tc>
        <w:tc>
          <w:tcPr>
            <w:tcW w:w="900" w:type="dxa"/>
          </w:tcPr>
          <w:p w:rsidR="00C43FAF" w:rsidRPr="00515A58" w:rsidRDefault="0017080B">
            <w:pPr>
              <w:tabs>
                <w:tab w:val="left" w:pos="-1080"/>
                <w:tab w:val="left" w:pos="-720"/>
              </w:tabs>
              <w:adjustRightInd w:val="0"/>
              <w:jc w:val="center"/>
              <w:rPr>
                <w:sz w:val="18"/>
                <w:szCs w:val="18"/>
              </w:rPr>
            </w:pPr>
            <w:r w:rsidRPr="00515A58">
              <w:rPr>
                <w:sz w:val="18"/>
                <w:szCs w:val="18"/>
              </w:rPr>
              <w:t>3,280</w:t>
            </w:r>
          </w:p>
        </w:tc>
      </w:tr>
      <w:tr w:rsidR="009D1111" w:rsidRPr="00515A58" w:rsidTr="000F4031">
        <w:tc>
          <w:tcPr>
            <w:tcW w:w="810" w:type="dxa"/>
            <w:vMerge/>
          </w:tcPr>
          <w:p w:rsidR="00C43FAF" w:rsidRPr="00515A58" w:rsidRDefault="00C43FAF">
            <w:pPr>
              <w:tabs>
                <w:tab w:val="left" w:pos="-1080"/>
                <w:tab w:val="left" w:pos="-720"/>
              </w:tabs>
              <w:adjustRightInd w:val="0"/>
              <w:rPr>
                <w:sz w:val="18"/>
                <w:szCs w:val="18"/>
              </w:rPr>
            </w:pPr>
          </w:p>
        </w:tc>
        <w:tc>
          <w:tcPr>
            <w:tcW w:w="1710" w:type="dxa"/>
          </w:tcPr>
          <w:p w:rsidR="00C43FAF" w:rsidRPr="00515A58" w:rsidRDefault="0017080B">
            <w:pPr>
              <w:tabs>
                <w:tab w:val="left" w:pos="-1080"/>
                <w:tab w:val="left" w:pos="-720"/>
              </w:tabs>
              <w:adjustRightInd w:val="0"/>
              <w:rPr>
                <w:sz w:val="18"/>
                <w:szCs w:val="18"/>
              </w:rPr>
            </w:pPr>
            <w:r w:rsidRPr="00515A58">
              <w:rPr>
                <w:sz w:val="18"/>
                <w:szCs w:val="18"/>
              </w:rPr>
              <w:t>Regular - Baseline</w:t>
            </w:r>
          </w:p>
        </w:tc>
        <w:tc>
          <w:tcPr>
            <w:tcW w:w="1350" w:type="dxa"/>
          </w:tcPr>
          <w:p w:rsidR="00C43FAF" w:rsidRPr="00515A58" w:rsidRDefault="0017080B">
            <w:pPr>
              <w:tabs>
                <w:tab w:val="left" w:pos="-1080"/>
                <w:tab w:val="left" w:pos="-720"/>
              </w:tabs>
              <w:adjustRightInd w:val="0"/>
              <w:jc w:val="center"/>
              <w:rPr>
                <w:sz w:val="18"/>
                <w:szCs w:val="18"/>
              </w:rPr>
            </w:pPr>
            <w:r w:rsidRPr="00515A58">
              <w:rPr>
                <w:sz w:val="18"/>
                <w:szCs w:val="18"/>
              </w:rPr>
              <w:t>60</w:t>
            </w:r>
          </w:p>
        </w:tc>
        <w:tc>
          <w:tcPr>
            <w:tcW w:w="1080" w:type="dxa"/>
          </w:tcPr>
          <w:p w:rsidR="00C43FAF" w:rsidRPr="00515A58" w:rsidRDefault="0017080B">
            <w:pPr>
              <w:tabs>
                <w:tab w:val="left" w:pos="-1080"/>
                <w:tab w:val="left" w:pos="-720"/>
              </w:tabs>
              <w:adjustRightInd w:val="0"/>
              <w:jc w:val="center"/>
              <w:rPr>
                <w:sz w:val="18"/>
                <w:szCs w:val="18"/>
              </w:rPr>
            </w:pPr>
            <w:r w:rsidRPr="00515A58">
              <w:rPr>
                <w:sz w:val="18"/>
                <w:szCs w:val="18"/>
              </w:rPr>
              <w:t>65</w:t>
            </w:r>
          </w:p>
        </w:tc>
        <w:tc>
          <w:tcPr>
            <w:tcW w:w="1080"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13</w:t>
            </w:r>
          </w:p>
        </w:tc>
        <w:tc>
          <w:tcPr>
            <w:tcW w:w="896" w:type="dxa"/>
          </w:tcPr>
          <w:p w:rsidR="00C43FAF" w:rsidRPr="00515A58" w:rsidRDefault="0017080B">
            <w:pPr>
              <w:tabs>
                <w:tab w:val="left" w:pos="-1080"/>
                <w:tab w:val="left" w:pos="-720"/>
              </w:tabs>
              <w:adjustRightInd w:val="0"/>
              <w:jc w:val="center"/>
              <w:rPr>
                <w:sz w:val="18"/>
                <w:szCs w:val="18"/>
              </w:rPr>
            </w:pPr>
            <w:r w:rsidRPr="00515A58">
              <w:rPr>
                <w:sz w:val="18"/>
                <w:szCs w:val="18"/>
              </w:rPr>
              <w:t>55</w:t>
            </w:r>
          </w:p>
        </w:tc>
        <w:tc>
          <w:tcPr>
            <w:tcW w:w="994" w:type="dxa"/>
          </w:tcPr>
          <w:p w:rsidR="00C43FAF" w:rsidRPr="00515A58" w:rsidRDefault="0017080B">
            <w:pPr>
              <w:tabs>
                <w:tab w:val="left" w:pos="-1080"/>
                <w:tab w:val="left" w:pos="-720"/>
              </w:tabs>
              <w:adjustRightInd w:val="0"/>
              <w:jc w:val="center"/>
              <w:rPr>
                <w:sz w:val="18"/>
                <w:szCs w:val="18"/>
              </w:rPr>
            </w:pPr>
            <w:r w:rsidRPr="00515A58">
              <w:rPr>
                <w:sz w:val="18"/>
                <w:szCs w:val="18"/>
              </w:rPr>
              <w:t>3,900</w:t>
            </w:r>
          </w:p>
        </w:tc>
        <w:tc>
          <w:tcPr>
            <w:tcW w:w="1102"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780</w:t>
            </w:r>
          </w:p>
        </w:tc>
        <w:tc>
          <w:tcPr>
            <w:tcW w:w="900" w:type="dxa"/>
          </w:tcPr>
          <w:p w:rsidR="00C43FAF" w:rsidRPr="00515A58" w:rsidRDefault="0017080B">
            <w:pPr>
              <w:tabs>
                <w:tab w:val="left" w:pos="-1080"/>
                <w:tab w:val="left" w:pos="-720"/>
              </w:tabs>
              <w:adjustRightInd w:val="0"/>
              <w:jc w:val="center"/>
              <w:rPr>
                <w:sz w:val="18"/>
                <w:szCs w:val="18"/>
              </w:rPr>
            </w:pPr>
            <w:r w:rsidRPr="00515A58">
              <w:rPr>
                <w:sz w:val="18"/>
                <w:szCs w:val="18"/>
              </w:rPr>
              <w:t>3,300</w:t>
            </w:r>
          </w:p>
        </w:tc>
      </w:tr>
      <w:tr w:rsidR="009D1111" w:rsidRPr="00515A58" w:rsidTr="000F4031">
        <w:tc>
          <w:tcPr>
            <w:tcW w:w="810" w:type="dxa"/>
          </w:tcPr>
          <w:p w:rsidR="009D1111" w:rsidRPr="00515A58" w:rsidRDefault="0017080B" w:rsidP="00A76A72">
            <w:pPr>
              <w:tabs>
                <w:tab w:val="left" w:pos="-1080"/>
                <w:tab w:val="left" w:pos="-720"/>
              </w:tabs>
              <w:adjustRightInd w:val="0"/>
              <w:rPr>
                <w:sz w:val="18"/>
                <w:szCs w:val="18"/>
              </w:rPr>
            </w:pPr>
            <w:r w:rsidRPr="00515A58">
              <w:rPr>
                <w:sz w:val="18"/>
                <w:szCs w:val="18"/>
              </w:rPr>
              <w:t xml:space="preserve">Year </w:t>
            </w:r>
            <w:r w:rsidR="00583568" w:rsidRPr="00515A58">
              <w:rPr>
                <w:sz w:val="18"/>
                <w:szCs w:val="18"/>
              </w:rPr>
              <w:t>2</w:t>
            </w:r>
          </w:p>
        </w:tc>
        <w:tc>
          <w:tcPr>
            <w:tcW w:w="1710" w:type="dxa"/>
          </w:tcPr>
          <w:p w:rsidR="009D1111" w:rsidRPr="00515A58" w:rsidRDefault="0017080B" w:rsidP="00A76A72">
            <w:pPr>
              <w:tabs>
                <w:tab w:val="left" w:pos="-1080"/>
                <w:tab w:val="left" w:pos="-720"/>
              </w:tabs>
              <w:adjustRightInd w:val="0"/>
              <w:rPr>
                <w:sz w:val="18"/>
                <w:szCs w:val="18"/>
              </w:rPr>
            </w:pPr>
            <w:r w:rsidRPr="00515A58">
              <w:rPr>
                <w:sz w:val="18"/>
                <w:szCs w:val="18"/>
              </w:rPr>
              <w:t>Regular - Baseline</w:t>
            </w:r>
          </w:p>
        </w:tc>
        <w:tc>
          <w:tcPr>
            <w:tcW w:w="1350" w:type="dxa"/>
          </w:tcPr>
          <w:p w:rsidR="009D1111" w:rsidRPr="00515A58" w:rsidRDefault="0017080B" w:rsidP="00A76A72">
            <w:pPr>
              <w:tabs>
                <w:tab w:val="left" w:pos="-1080"/>
                <w:tab w:val="left" w:pos="-720"/>
              </w:tabs>
              <w:adjustRightInd w:val="0"/>
              <w:jc w:val="center"/>
              <w:rPr>
                <w:sz w:val="18"/>
                <w:szCs w:val="18"/>
              </w:rPr>
            </w:pPr>
            <w:r w:rsidRPr="00515A58">
              <w:rPr>
                <w:sz w:val="18"/>
                <w:szCs w:val="18"/>
              </w:rPr>
              <w:t>100</w:t>
            </w:r>
          </w:p>
        </w:tc>
        <w:tc>
          <w:tcPr>
            <w:tcW w:w="1080" w:type="dxa"/>
          </w:tcPr>
          <w:p w:rsidR="00C43FAF" w:rsidRPr="00515A58" w:rsidRDefault="0017080B">
            <w:pPr>
              <w:tabs>
                <w:tab w:val="left" w:pos="-1080"/>
                <w:tab w:val="left" w:pos="-720"/>
              </w:tabs>
              <w:adjustRightInd w:val="0"/>
              <w:jc w:val="center"/>
              <w:rPr>
                <w:sz w:val="18"/>
                <w:szCs w:val="18"/>
              </w:rPr>
            </w:pPr>
            <w:r w:rsidRPr="00515A58">
              <w:rPr>
                <w:sz w:val="18"/>
                <w:szCs w:val="18"/>
              </w:rPr>
              <w:t>65</w:t>
            </w:r>
          </w:p>
        </w:tc>
        <w:tc>
          <w:tcPr>
            <w:tcW w:w="1080"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13</w:t>
            </w:r>
          </w:p>
        </w:tc>
        <w:tc>
          <w:tcPr>
            <w:tcW w:w="896" w:type="dxa"/>
          </w:tcPr>
          <w:p w:rsidR="00C43FAF" w:rsidRPr="00515A58" w:rsidRDefault="0017080B">
            <w:pPr>
              <w:tabs>
                <w:tab w:val="left" w:pos="-1080"/>
                <w:tab w:val="left" w:pos="-720"/>
              </w:tabs>
              <w:adjustRightInd w:val="0"/>
              <w:jc w:val="center"/>
              <w:rPr>
                <w:sz w:val="18"/>
                <w:szCs w:val="18"/>
              </w:rPr>
            </w:pPr>
            <w:r w:rsidRPr="00515A58">
              <w:rPr>
                <w:sz w:val="18"/>
                <w:szCs w:val="18"/>
              </w:rPr>
              <w:t>55</w:t>
            </w:r>
          </w:p>
        </w:tc>
        <w:tc>
          <w:tcPr>
            <w:tcW w:w="994" w:type="dxa"/>
          </w:tcPr>
          <w:p w:rsidR="00C43FAF" w:rsidRPr="00515A58" w:rsidRDefault="0017080B">
            <w:pPr>
              <w:tabs>
                <w:tab w:val="left" w:pos="-1080"/>
                <w:tab w:val="left" w:pos="-720"/>
              </w:tabs>
              <w:adjustRightInd w:val="0"/>
              <w:jc w:val="center"/>
              <w:rPr>
                <w:sz w:val="18"/>
                <w:szCs w:val="18"/>
              </w:rPr>
            </w:pPr>
            <w:r w:rsidRPr="00515A58">
              <w:rPr>
                <w:sz w:val="18"/>
                <w:szCs w:val="18"/>
              </w:rPr>
              <w:t>6,500</w:t>
            </w:r>
          </w:p>
        </w:tc>
        <w:tc>
          <w:tcPr>
            <w:tcW w:w="1102"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1,300</w:t>
            </w:r>
          </w:p>
        </w:tc>
        <w:tc>
          <w:tcPr>
            <w:tcW w:w="900" w:type="dxa"/>
          </w:tcPr>
          <w:p w:rsidR="00C43FAF" w:rsidRPr="00515A58" w:rsidRDefault="0017080B">
            <w:pPr>
              <w:tabs>
                <w:tab w:val="left" w:pos="-1080"/>
                <w:tab w:val="left" w:pos="-720"/>
              </w:tabs>
              <w:adjustRightInd w:val="0"/>
              <w:jc w:val="center"/>
              <w:rPr>
                <w:sz w:val="18"/>
                <w:szCs w:val="18"/>
              </w:rPr>
            </w:pPr>
            <w:r w:rsidRPr="00515A58">
              <w:rPr>
                <w:sz w:val="18"/>
                <w:szCs w:val="18"/>
              </w:rPr>
              <w:t>5,500</w:t>
            </w:r>
          </w:p>
        </w:tc>
      </w:tr>
      <w:tr w:rsidR="009D1111" w:rsidRPr="00515A58" w:rsidTr="000F4031">
        <w:tc>
          <w:tcPr>
            <w:tcW w:w="810" w:type="dxa"/>
            <w:vMerge w:val="restart"/>
          </w:tcPr>
          <w:p w:rsidR="009D1111" w:rsidRPr="00515A58" w:rsidRDefault="0017080B" w:rsidP="00A76A72">
            <w:pPr>
              <w:tabs>
                <w:tab w:val="left" w:pos="-1080"/>
                <w:tab w:val="left" w:pos="-720"/>
              </w:tabs>
              <w:adjustRightInd w:val="0"/>
              <w:rPr>
                <w:sz w:val="18"/>
                <w:szCs w:val="18"/>
              </w:rPr>
            </w:pPr>
            <w:r w:rsidRPr="00515A58">
              <w:rPr>
                <w:sz w:val="18"/>
                <w:szCs w:val="18"/>
              </w:rPr>
              <w:t xml:space="preserve">Year </w:t>
            </w:r>
            <w:r w:rsidR="00583568" w:rsidRPr="00515A58">
              <w:rPr>
                <w:sz w:val="18"/>
                <w:szCs w:val="18"/>
              </w:rPr>
              <w:t>3</w:t>
            </w:r>
          </w:p>
        </w:tc>
        <w:tc>
          <w:tcPr>
            <w:tcW w:w="1710" w:type="dxa"/>
          </w:tcPr>
          <w:p w:rsidR="009D1111" w:rsidRPr="00515A58" w:rsidRDefault="0017080B" w:rsidP="003A5955">
            <w:pPr>
              <w:tabs>
                <w:tab w:val="left" w:pos="-1080"/>
                <w:tab w:val="left" w:pos="-720"/>
              </w:tabs>
              <w:adjustRightInd w:val="0"/>
              <w:rPr>
                <w:sz w:val="18"/>
                <w:szCs w:val="18"/>
              </w:rPr>
            </w:pPr>
            <w:r w:rsidRPr="00515A58">
              <w:rPr>
                <w:sz w:val="18"/>
                <w:szCs w:val="18"/>
              </w:rPr>
              <w:t>Regular</w:t>
            </w:r>
          </w:p>
        </w:tc>
        <w:tc>
          <w:tcPr>
            <w:tcW w:w="1350" w:type="dxa"/>
          </w:tcPr>
          <w:p w:rsidR="009D1111" w:rsidRPr="00515A58" w:rsidRDefault="0017080B" w:rsidP="00A76A72">
            <w:pPr>
              <w:tabs>
                <w:tab w:val="left" w:pos="-1080"/>
                <w:tab w:val="left" w:pos="-720"/>
              </w:tabs>
              <w:adjustRightInd w:val="0"/>
              <w:jc w:val="center"/>
              <w:rPr>
                <w:sz w:val="18"/>
                <w:szCs w:val="18"/>
              </w:rPr>
            </w:pPr>
            <w:r w:rsidRPr="00515A58">
              <w:rPr>
                <w:sz w:val="18"/>
                <w:szCs w:val="18"/>
              </w:rPr>
              <w:t>75</w:t>
            </w:r>
          </w:p>
        </w:tc>
        <w:tc>
          <w:tcPr>
            <w:tcW w:w="1080" w:type="dxa"/>
          </w:tcPr>
          <w:p w:rsidR="00C43FAF" w:rsidRPr="00515A58" w:rsidRDefault="0017080B">
            <w:pPr>
              <w:tabs>
                <w:tab w:val="left" w:pos="-1080"/>
                <w:tab w:val="left" w:pos="-720"/>
              </w:tabs>
              <w:adjustRightInd w:val="0"/>
              <w:jc w:val="center"/>
              <w:rPr>
                <w:sz w:val="18"/>
                <w:szCs w:val="18"/>
              </w:rPr>
            </w:pPr>
            <w:r w:rsidRPr="00515A58">
              <w:rPr>
                <w:sz w:val="18"/>
                <w:szCs w:val="18"/>
              </w:rPr>
              <w:t>65</w:t>
            </w:r>
          </w:p>
        </w:tc>
        <w:tc>
          <w:tcPr>
            <w:tcW w:w="1080"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13</w:t>
            </w:r>
          </w:p>
        </w:tc>
        <w:tc>
          <w:tcPr>
            <w:tcW w:w="896" w:type="dxa"/>
          </w:tcPr>
          <w:p w:rsidR="00C43FAF" w:rsidRPr="00515A58" w:rsidRDefault="0017080B">
            <w:pPr>
              <w:tabs>
                <w:tab w:val="left" w:pos="-1080"/>
                <w:tab w:val="left" w:pos="-720"/>
              </w:tabs>
              <w:adjustRightInd w:val="0"/>
              <w:jc w:val="center"/>
              <w:rPr>
                <w:sz w:val="18"/>
                <w:szCs w:val="18"/>
              </w:rPr>
            </w:pPr>
            <w:r w:rsidRPr="00515A58">
              <w:rPr>
                <w:sz w:val="18"/>
                <w:szCs w:val="18"/>
              </w:rPr>
              <w:t>55</w:t>
            </w:r>
          </w:p>
        </w:tc>
        <w:tc>
          <w:tcPr>
            <w:tcW w:w="994" w:type="dxa"/>
          </w:tcPr>
          <w:p w:rsidR="00C43FAF" w:rsidRPr="00515A58" w:rsidRDefault="0017080B">
            <w:pPr>
              <w:tabs>
                <w:tab w:val="left" w:pos="-1080"/>
                <w:tab w:val="left" w:pos="-720"/>
              </w:tabs>
              <w:adjustRightInd w:val="0"/>
              <w:jc w:val="center"/>
              <w:rPr>
                <w:sz w:val="18"/>
                <w:szCs w:val="18"/>
              </w:rPr>
            </w:pPr>
            <w:r w:rsidRPr="00515A58">
              <w:rPr>
                <w:sz w:val="18"/>
                <w:szCs w:val="18"/>
              </w:rPr>
              <w:t>4,875</w:t>
            </w:r>
          </w:p>
        </w:tc>
        <w:tc>
          <w:tcPr>
            <w:tcW w:w="1102"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975</w:t>
            </w:r>
          </w:p>
        </w:tc>
        <w:tc>
          <w:tcPr>
            <w:tcW w:w="900" w:type="dxa"/>
          </w:tcPr>
          <w:p w:rsidR="00C43FAF" w:rsidRPr="00515A58" w:rsidRDefault="0017080B">
            <w:pPr>
              <w:tabs>
                <w:tab w:val="left" w:pos="-1080"/>
                <w:tab w:val="left" w:pos="-720"/>
              </w:tabs>
              <w:adjustRightInd w:val="0"/>
              <w:jc w:val="center"/>
              <w:rPr>
                <w:sz w:val="18"/>
                <w:szCs w:val="18"/>
              </w:rPr>
            </w:pPr>
            <w:r w:rsidRPr="00515A58">
              <w:rPr>
                <w:sz w:val="18"/>
                <w:szCs w:val="18"/>
              </w:rPr>
              <w:t>4,125</w:t>
            </w:r>
          </w:p>
        </w:tc>
      </w:tr>
      <w:tr w:rsidR="009D1111" w:rsidRPr="00515A58" w:rsidTr="000F4031">
        <w:tc>
          <w:tcPr>
            <w:tcW w:w="810" w:type="dxa"/>
            <w:vMerge/>
          </w:tcPr>
          <w:p w:rsidR="00C43FAF" w:rsidRPr="00515A58" w:rsidRDefault="00C43FAF">
            <w:pPr>
              <w:tabs>
                <w:tab w:val="left" w:pos="-1080"/>
                <w:tab w:val="left" w:pos="-720"/>
              </w:tabs>
              <w:adjustRightInd w:val="0"/>
              <w:rPr>
                <w:sz w:val="18"/>
                <w:szCs w:val="18"/>
              </w:rPr>
            </w:pPr>
          </w:p>
        </w:tc>
        <w:tc>
          <w:tcPr>
            <w:tcW w:w="1710" w:type="dxa"/>
          </w:tcPr>
          <w:p w:rsidR="00C43FAF" w:rsidRPr="00515A58" w:rsidRDefault="0017080B">
            <w:pPr>
              <w:tabs>
                <w:tab w:val="left" w:pos="-1080"/>
                <w:tab w:val="left" w:pos="-720"/>
              </w:tabs>
              <w:adjustRightInd w:val="0"/>
              <w:rPr>
                <w:sz w:val="18"/>
                <w:szCs w:val="18"/>
              </w:rPr>
            </w:pPr>
            <w:r w:rsidRPr="00515A58">
              <w:rPr>
                <w:sz w:val="18"/>
                <w:szCs w:val="18"/>
              </w:rPr>
              <w:t>Remote Follow-up</w:t>
            </w:r>
          </w:p>
        </w:tc>
        <w:tc>
          <w:tcPr>
            <w:tcW w:w="1350" w:type="dxa"/>
          </w:tcPr>
          <w:p w:rsidR="00C43FAF" w:rsidRPr="00515A58" w:rsidRDefault="0017080B">
            <w:pPr>
              <w:tabs>
                <w:tab w:val="left" w:pos="-1080"/>
                <w:tab w:val="left" w:pos="-720"/>
              </w:tabs>
              <w:adjustRightInd w:val="0"/>
              <w:jc w:val="center"/>
              <w:rPr>
                <w:sz w:val="18"/>
                <w:szCs w:val="18"/>
              </w:rPr>
            </w:pPr>
            <w:r w:rsidRPr="00515A58">
              <w:rPr>
                <w:sz w:val="18"/>
                <w:szCs w:val="18"/>
              </w:rPr>
              <w:t>200</w:t>
            </w:r>
          </w:p>
        </w:tc>
        <w:tc>
          <w:tcPr>
            <w:tcW w:w="1080" w:type="dxa"/>
          </w:tcPr>
          <w:p w:rsidR="00C43FAF" w:rsidRPr="00515A58" w:rsidRDefault="0017080B">
            <w:pPr>
              <w:tabs>
                <w:tab w:val="left" w:pos="-1080"/>
                <w:tab w:val="left" w:pos="-720"/>
              </w:tabs>
              <w:adjustRightInd w:val="0"/>
              <w:jc w:val="center"/>
              <w:rPr>
                <w:sz w:val="18"/>
                <w:szCs w:val="18"/>
              </w:rPr>
            </w:pPr>
            <w:r w:rsidRPr="00515A58">
              <w:rPr>
                <w:sz w:val="18"/>
                <w:szCs w:val="18"/>
              </w:rPr>
              <w:t>55/82*</w:t>
            </w:r>
          </w:p>
        </w:tc>
        <w:tc>
          <w:tcPr>
            <w:tcW w:w="1976" w:type="dxa"/>
            <w:gridSpan w:val="3"/>
          </w:tcPr>
          <w:p w:rsidR="00C43FAF" w:rsidRPr="00515A58" w:rsidRDefault="0017080B">
            <w:pPr>
              <w:tabs>
                <w:tab w:val="left" w:pos="-1080"/>
                <w:tab w:val="left" w:pos="-720"/>
              </w:tabs>
              <w:adjustRightInd w:val="0"/>
              <w:jc w:val="center"/>
              <w:rPr>
                <w:sz w:val="18"/>
                <w:szCs w:val="18"/>
              </w:rPr>
            </w:pPr>
            <w:r w:rsidRPr="00515A58">
              <w:rPr>
                <w:sz w:val="18"/>
                <w:szCs w:val="18"/>
              </w:rPr>
              <w:t>Not Applicable</w:t>
            </w:r>
          </w:p>
        </w:tc>
        <w:tc>
          <w:tcPr>
            <w:tcW w:w="994" w:type="dxa"/>
          </w:tcPr>
          <w:p w:rsidR="00C43FAF" w:rsidRPr="00515A58" w:rsidRDefault="0017080B">
            <w:pPr>
              <w:tabs>
                <w:tab w:val="left" w:pos="-1080"/>
                <w:tab w:val="left" w:pos="-720"/>
              </w:tabs>
              <w:adjustRightInd w:val="0"/>
              <w:jc w:val="center"/>
              <w:rPr>
                <w:sz w:val="18"/>
                <w:szCs w:val="18"/>
              </w:rPr>
            </w:pPr>
            <w:r w:rsidRPr="00515A58">
              <w:rPr>
                <w:sz w:val="18"/>
                <w:szCs w:val="18"/>
              </w:rPr>
              <w:t>12,080</w:t>
            </w:r>
          </w:p>
        </w:tc>
        <w:tc>
          <w:tcPr>
            <w:tcW w:w="2002" w:type="dxa"/>
            <w:gridSpan w:val="3"/>
          </w:tcPr>
          <w:p w:rsidR="00C43FAF" w:rsidRPr="00515A58" w:rsidRDefault="0017080B">
            <w:pPr>
              <w:tabs>
                <w:tab w:val="left" w:pos="-1080"/>
                <w:tab w:val="left" w:pos="-720"/>
              </w:tabs>
              <w:adjustRightInd w:val="0"/>
              <w:jc w:val="center"/>
              <w:rPr>
                <w:sz w:val="18"/>
                <w:szCs w:val="18"/>
              </w:rPr>
            </w:pPr>
            <w:r w:rsidRPr="00515A58">
              <w:rPr>
                <w:sz w:val="18"/>
                <w:szCs w:val="18"/>
              </w:rPr>
              <w:t>Not Applicable</w:t>
            </w:r>
          </w:p>
        </w:tc>
      </w:tr>
      <w:tr w:rsidR="009D1111" w:rsidRPr="00515A58" w:rsidTr="000F4031">
        <w:tc>
          <w:tcPr>
            <w:tcW w:w="810" w:type="dxa"/>
          </w:tcPr>
          <w:p w:rsidR="009D1111" w:rsidRPr="00515A58" w:rsidRDefault="0017080B" w:rsidP="00A76A72">
            <w:pPr>
              <w:tabs>
                <w:tab w:val="left" w:pos="-1080"/>
                <w:tab w:val="left" w:pos="-720"/>
              </w:tabs>
              <w:adjustRightInd w:val="0"/>
              <w:rPr>
                <w:sz w:val="18"/>
                <w:szCs w:val="18"/>
              </w:rPr>
            </w:pPr>
            <w:r w:rsidRPr="00515A58">
              <w:rPr>
                <w:sz w:val="18"/>
                <w:szCs w:val="18"/>
              </w:rPr>
              <w:t xml:space="preserve">Year </w:t>
            </w:r>
            <w:r w:rsidR="00583568" w:rsidRPr="00515A58">
              <w:rPr>
                <w:sz w:val="18"/>
                <w:szCs w:val="18"/>
              </w:rPr>
              <w:t>4</w:t>
            </w:r>
          </w:p>
        </w:tc>
        <w:tc>
          <w:tcPr>
            <w:tcW w:w="1710" w:type="dxa"/>
          </w:tcPr>
          <w:p w:rsidR="009D1111" w:rsidRPr="00515A58" w:rsidRDefault="0017080B" w:rsidP="00A76A72">
            <w:pPr>
              <w:tabs>
                <w:tab w:val="left" w:pos="-1080"/>
                <w:tab w:val="left" w:pos="-720"/>
              </w:tabs>
              <w:adjustRightInd w:val="0"/>
              <w:rPr>
                <w:sz w:val="18"/>
                <w:szCs w:val="18"/>
              </w:rPr>
            </w:pPr>
            <w:r w:rsidRPr="00515A58">
              <w:rPr>
                <w:sz w:val="18"/>
                <w:szCs w:val="18"/>
              </w:rPr>
              <w:t>RIPA – Follow-up</w:t>
            </w:r>
          </w:p>
        </w:tc>
        <w:tc>
          <w:tcPr>
            <w:tcW w:w="1350" w:type="dxa"/>
          </w:tcPr>
          <w:p w:rsidR="009D1111" w:rsidRPr="00515A58" w:rsidRDefault="0017080B" w:rsidP="00A76A72">
            <w:pPr>
              <w:tabs>
                <w:tab w:val="left" w:pos="-1080"/>
                <w:tab w:val="left" w:pos="-720"/>
              </w:tabs>
              <w:adjustRightInd w:val="0"/>
              <w:jc w:val="center"/>
              <w:rPr>
                <w:sz w:val="18"/>
                <w:szCs w:val="18"/>
              </w:rPr>
            </w:pPr>
            <w:r w:rsidRPr="00515A58">
              <w:rPr>
                <w:sz w:val="18"/>
                <w:szCs w:val="18"/>
              </w:rPr>
              <w:t>40</w:t>
            </w:r>
          </w:p>
        </w:tc>
        <w:tc>
          <w:tcPr>
            <w:tcW w:w="1080" w:type="dxa"/>
          </w:tcPr>
          <w:p w:rsidR="00C43FAF" w:rsidRPr="00515A58" w:rsidRDefault="0017080B">
            <w:pPr>
              <w:tabs>
                <w:tab w:val="left" w:pos="-1080"/>
                <w:tab w:val="left" w:pos="-720"/>
              </w:tabs>
              <w:adjustRightInd w:val="0"/>
              <w:jc w:val="center"/>
              <w:rPr>
                <w:sz w:val="18"/>
                <w:szCs w:val="18"/>
              </w:rPr>
            </w:pPr>
            <w:r w:rsidRPr="00515A58">
              <w:rPr>
                <w:sz w:val="18"/>
                <w:szCs w:val="18"/>
              </w:rPr>
              <w:t>65</w:t>
            </w:r>
          </w:p>
        </w:tc>
        <w:tc>
          <w:tcPr>
            <w:tcW w:w="945" w:type="dxa"/>
          </w:tcPr>
          <w:p w:rsidR="00C43FAF" w:rsidRPr="00515A58" w:rsidRDefault="0017080B">
            <w:pPr>
              <w:tabs>
                <w:tab w:val="left" w:pos="-1080"/>
                <w:tab w:val="left" w:pos="-720"/>
              </w:tabs>
              <w:adjustRightInd w:val="0"/>
              <w:jc w:val="center"/>
              <w:rPr>
                <w:sz w:val="18"/>
                <w:szCs w:val="18"/>
              </w:rPr>
            </w:pPr>
            <w:r w:rsidRPr="00515A58">
              <w:rPr>
                <w:sz w:val="18"/>
                <w:szCs w:val="18"/>
              </w:rPr>
              <w:t>13</w:t>
            </w:r>
          </w:p>
        </w:tc>
        <w:tc>
          <w:tcPr>
            <w:tcW w:w="1031"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N.A.</w:t>
            </w:r>
          </w:p>
        </w:tc>
        <w:tc>
          <w:tcPr>
            <w:tcW w:w="994" w:type="dxa"/>
          </w:tcPr>
          <w:p w:rsidR="00C43FAF" w:rsidRPr="00515A58" w:rsidRDefault="0017080B">
            <w:pPr>
              <w:tabs>
                <w:tab w:val="left" w:pos="-1080"/>
                <w:tab w:val="left" w:pos="-720"/>
              </w:tabs>
              <w:adjustRightInd w:val="0"/>
              <w:jc w:val="center"/>
              <w:rPr>
                <w:sz w:val="18"/>
                <w:szCs w:val="18"/>
              </w:rPr>
            </w:pPr>
            <w:r w:rsidRPr="00515A58">
              <w:rPr>
                <w:sz w:val="18"/>
                <w:szCs w:val="18"/>
              </w:rPr>
              <w:t>2,600</w:t>
            </w:r>
          </w:p>
        </w:tc>
        <w:tc>
          <w:tcPr>
            <w:tcW w:w="965" w:type="dxa"/>
          </w:tcPr>
          <w:p w:rsidR="00C43FAF" w:rsidRPr="00515A58" w:rsidRDefault="0017080B">
            <w:pPr>
              <w:tabs>
                <w:tab w:val="left" w:pos="-1080"/>
                <w:tab w:val="left" w:pos="-720"/>
              </w:tabs>
              <w:adjustRightInd w:val="0"/>
              <w:jc w:val="center"/>
              <w:rPr>
                <w:sz w:val="18"/>
                <w:szCs w:val="18"/>
              </w:rPr>
            </w:pPr>
            <w:r w:rsidRPr="00515A58">
              <w:rPr>
                <w:sz w:val="18"/>
                <w:szCs w:val="18"/>
              </w:rPr>
              <w:t>520</w:t>
            </w:r>
          </w:p>
        </w:tc>
        <w:tc>
          <w:tcPr>
            <w:tcW w:w="1037" w:type="dxa"/>
            <w:gridSpan w:val="2"/>
          </w:tcPr>
          <w:p w:rsidR="00C43FAF" w:rsidRPr="00515A58" w:rsidRDefault="0017080B">
            <w:pPr>
              <w:tabs>
                <w:tab w:val="left" w:pos="-1080"/>
                <w:tab w:val="left" w:pos="-720"/>
              </w:tabs>
              <w:adjustRightInd w:val="0"/>
              <w:jc w:val="center"/>
              <w:rPr>
                <w:sz w:val="18"/>
                <w:szCs w:val="18"/>
              </w:rPr>
            </w:pPr>
            <w:r w:rsidRPr="00515A58">
              <w:rPr>
                <w:sz w:val="18"/>
                <w:szCs w:val="18"/>
              </w:rPr>
              <w:t>N.A.</w:t>
            </w:r>
          </w:p>
        </w:tc>
      </w:tr>
      <w:tr w:rsidR="009D1111" w:rsidRPr="00515A58" w:rsidTr="00841692">
        <w:tc>
          <w:tcPr>
            <w:tcW w:w="6926" w:type="dxa"/>
            <w:gridSpan w:val="7"/>
          </w:tcPr>
          <w:p w:rsidR="009D1111" w:rsidRPr="00515A58" w:rsidRDefault="00D005EE" w:rsidP="00A76A72">
            <w:pPr>
              <w:tabs>
                <w:tab w:val="left" w:pos="-1080"/>
                <w:tab w:val="left" w:pos="-720"/>
              </w:tabs>
              <w:adjustRightInd w:val="0"/>
              <w:rPr>
                <w:sz w:val="18"/>
                <w:szCs w:val="18"/>
              </w:rPr>
            </w:pPr>
            <w:r w:rsidRPr="00515A58">
              <w:rPr>
                <w:sz w:val="18"/>
                <w:szCs w:val="18"/>
              </w:rPr>
              <w:t>**</w:t>
            </w:r>
            <w:r w:rsidR="0017080B" w:rsidRPr="00515A58">
              <w:rPr>
                <w:sz w:val="18"/>
                <w:szCs w:val="18"/>
              </w:rPr>
              <w:t>Total Number of Participants</w:t>
            </w:r>
          </w:p>
        </w:tc>
        <w:tc>
          <w:tcPr>
            <w:tcW w:w="994" w:type="dxa"/>
          </w:tcPr>
          <w:p w:rsidR="009D1111" w:rsidRPr="00515A58" w:rsidRDefault="0017080B" w:rsidP="00A76A72">
            <w:pPr>
              <w:tabs>
                <w:tab w:val="left" w:pos="-1080"/>
                <w:tab w:val="left" w:pos="-720"/>
              </w:tabs>
              <w:adjustRightInd w:val="0"/>
              <w:jc w:val="center"/>
              <w:rPr>
                <w:sz w:val="18"/>
                <w:szCs w:val="18"/>
              </w:rPr>
            </w:pPr>
            <w:r w:rsidRPr="00515A58">
              <w:rPr>
                <w:sz w:val="18"/>
                <w:szCs w:val="18"/>
              </w:rPr>
              <w:t>19,415</w:t>
            </w:r>
          </w:p>
        </w:tc>
        <w:tc>
          <w:tcPr>
            <w:tcW w:w="965" w:type="dxa"/>
          </w:tcPr>
          <w:p w:rsidR="009D1111" w:rsidRPr="00515A58" w:rsidRDefault="0017080B" w:rsidP="00A76A72">
            <w:pPr>
              <w:tabs>
                <w:tab w:val="left" w:pos="-1080"/>
                <w:tab w:val="left" w:pos="-720"/>
              </w:tabs>
              <w:adjustRightInd w:val="0"/>
              <w:jc w:val="center"/>
              <w:rPr>
                <w:sz w:val="18"/>
                <w:szCs w:val="18"/>
              </w:rPr>
            </w:pPr>
            <w:r w:rsidRPr="00515A58">
              <w:rPr>
                <w:sz w:val="18"/>
                <w:szCs w:val="18"/>
              </w:rPr>
              <w:t>3,907</w:t>
            </w:r>
          </w:p>
        </w:tc>
        <w:tc>
          <w:tcPr>
            <w:tcW w:w="1037" w:type="dxa"/>
            <w:gridSpan w:val="2"/>
            <w:vMerge w:val="restart"/>
            <w:vAlign w:val="center"/>
          </w:tcPr>
          <w:p w:rsidR="00C43FAF" w:rsidRPr="00515A58" w:rsidRDefault="0017080B" w:rsidP="00841692">
            <w:pPr>
              <w:tabs>
                <w:tab w:val="left" w:pos="-1080"/>
                <w:tab w:val="left" w:pos="-720"/>
              </w:tabs>
              <w:adjustRightInd w:val="0"/>
              <w:jc w:val="center"/>
              <w:rPr>
                <w:sz w:val="18"/>
                <w:szCs w:val="18"/>
              </w:rPr>
            </w:pPr>
            <w:r w:rsidRPr="00515A58">
              <w:rPr>
                <w:sz w:val="18"/>
                <w:szCs w:val="18"/>
              </w:rPr>
              <w:t>16,425</w:t>
            </w:r>
          </w:p>
        </w:tc>
      </w:tr>
      <w:tr w:rsidR="009D1111" w:rsidRPr="00515A58" w:rsidTr="000F4031">
        <w:tc>
          <w:tcPr>
            <w:tcW w:w="6926" w:type="dxa"/>
            <w:gridSpan w:val="7"/>
          </w:tcPr>
          <w:p w:rsidR="009D1111" w:rsidRPr="00515A58" w:rsidRDefault="0017080B" w:rsidP="00A76A72">
            <w:pPr>
              <w:tabs>
                <w:tab w:val="left" w:pos="-1080"/>
                <w:tab w:val="left" w:pos="-720"/>
              </w:tabs>
              <w:adjustRightInd w:val="0"/>
              <w:rPr>
                <w:sz w:val="18"/>
                <w:szCs w:val="18"/>
              </w:rPr>
            </w:pPr>
            <w:r w:rsidRPr="00515A58">
              <w:rPr>
                <w:sz w:val="18"/>
                <w:szCs w:val="18"/>
              </w:rPr>
              <w:t>Total Number of In-Person Assessments (does not include remote follow-up)</w:t>
            </w:r>
          </w:p>
        </w:tc>
        <w:tc>
          <w:tcPr>
            <w:tcW w:w="994" w:type="dxa"/>
          </w:tcPr>
          <w:p w:rsidR="009D1111" w:rsidRPr="00515A58" w:rsidRDefault="0017080B" w:rsidP="00A76A72">
            <w:pPr>
              <w:tabs>
                <w:tab w:val="left" w:pos="-1080"/>
                <w:tab w:val="left" w:pos="-720"/>
              </w:tabs>
              <w:adjustRightInd w:val="0"/>
              <w:jc w:val="center"/>
              <w:rPr>
                <w:sz w:val="18"/>
                <w:szCs w:val="18"/>
              </w:rPr>
            </w:pPr>
            <w:r w:rsidRPr="00515A58">
              <w:rPr>
                <w:sz w:val="18"/>
                <w:szCs w:val="18"/>
              </w:rPr>
              <w:t>22,015</w:t>
            </w:r>
          </w:p>
        </w:tc>
        <w:tc>
          <w:tcPr>
            <w:tcW w:w="965" w:type="dxa"/>
          </w:tcPr>
          <w:p w:rsidR="009D1111" w:rsidRPr="00515A58" w:rsidRDefault="0017080B" w:rsidP="00A76A72">
            <w:pPr>
              <w:tabs>
                <w:tab w:val="left" w:pos="-1080"/>
                <w:tab w:val="left" w:pos="-720"/>
              </w:tabs>
              <w:adjustRightInd w:val="0"/>
              <w:jc w:val="center"/>
              <w:rPr>
                <w:sz w:val="18"/>
                <w:szCs w:val="18"/>
              </w:rPr>
            </w:pPr>
            <w:r w:rsidRPr="00515A58">
              <w:rPr>
                <w:sz w:val="18"/>
                <w:szCs w:val="18"/>
              </w:rPr>
              <w:t>4,427</w:t>
            </w:r>
          </w:p>
        </w:tc>
        <w:tc>
          <w:tcPr>
            <w:tcW w:w="1037" w:type="dxa"/>
            <w:gridSpan w:val="2"/>
            <w:vMerge/>
          </w:tcPr>
          <w:p w:rsidR="00C43FAF" w:rsidRPr="00515A58" w:rsidRDefault="00C43FAF">
            <w:pPr>
              <w:tabs>
                <w:tab w:val="left" w:pos="-1080"/>
                <w:tab w:val="left" w:pos="-720"/>
              </w:tabs>
              <w:adjustRightInd w:val="0"/>
              <w:jc w:val="center"/>
              <w:rPr>
                <w:szCs w:val="20"/>
              </w:rPr>
            </w:pPr>
          </w:p>
        </w:tc>
      </w:tr>
    </w:tbl>
    <w:p w:rsidR="004116D2" w:rsidRPr="00515A58" w:rsidRDefault="0017080B">
      <w:pPr>
        <w:adjustRightInd w:val="0"/>
        <w:rPr>
          <w:sz w:val="18"/>
          <w:szCs w:val="18"/>
        </w:rPr>
      </w:pPr>
      <w:r w:rsidRPr="00515A58">
        <w:rPr>
          <w:sz w:val="18"/>
          <w:szCs w:val="18"/>
        </w:rPr>
        <w:lastRenderedPageBreak/>
        <w:t xml:space="preserve">* </w:t>
      </w:r>
      <w:r w:rsidR="00583568" w:rsidRPr="00515A58">
        <w:rPr>
          <w:sz w:val="18"/>
          <w:szCs w:val="18"/>
        </w:rPr>
        <w:t>I</w:t>
      </w:r>
      <w:r w:rsidRPr="00515A58">
        <w:rPr>
          <w:sz w:val="18"/>
          <w:szCs w:val="18"/>
        </w:rPr>
        <w:t xml:space="preserve">t </w:t>
      </w:r>
      <w:proofErr w:type="gramStart"/>
      <w:r w:rsidRPr="00515A58">
        <w:rPr>
          <w:sz w:val="18"/>
          <w:szCs w:val="18"/>
        </w:rPr>
        <w:t>is estimated</w:t>
      </w:r>
      <w:proofErr w:type="gramEnd"/>
      <w:r w:rsidRPr="00515A58">
        <w:rPr>
          <w:sz w:val="18"/>
          <w:szCs w:val="18"/>
        </w:rPr>
        <w:t xml:space="preserve"> that 70% of original participants will complete the remote follow-up assessments in Year </w:t>
      </w:r>
      <w:r w:rsidR="00583568" w:rsidRPr="00515A58">
        <w:rPr>
          <w:sz w:val="18"/>
          <w:szCs w:val="18"/>
        </w:rPr>
        <w:t xml:space="preserve">3 of the Wave 2 data collection, </w:t>
      </w:r>
      <w:r w:rsidRPr="00515A58">
        <w:rPr>
          <w:sz w:val="18"/>
          <w:szCs w:val="18"/>
        </w:rPr>
        <w:t>which would include 55 child/parent participants in regular communities and 82 in RIPA communities</w:t>
      </w:r>
      <w:r w:rsidR="00583568" w:rsidRPr="00515A58">
        <w:rPr>
          <w:sz w:val="18"/>
          <w:szCs w:val="18"/>
        </w:rPr>
        <w:t xml:space="preserve">.  </w:t>
      </w:r>
      <w:r w:rsidRPr="00515A58">
        <w:rPr>
          <w:sz w:val="18"/>
          <w:szCs w:val="18"/>
        </w:rPr>
        <w:t xml:space="preserve">,     </w:t>
      </w:r>
    </w:p>
    <w:p w:rsidR="004116D2" w:rsidRPr="00515A58" w:rsidRDefault="0017080B">
      <w:pPr>
        <w:adjustRightInd w:val="0"/>
        <w:rPr>
          <w:sz w:val="18"/>
          <w:szCs w:val="18"/>
        </w:rPr>
      </w:pPr>
      <w:proofErr w:type="gramStart"/>
      <w:r w:rsidRPr="00515A58">
        <w:rPr>
          <w:sz w:val="18"/>
          <w:szCs w:val="18"/>
        </w:rPr>
        <w:t>**Please</w:t>
      </w:r>
      <w:proofErr w:type="gramEnd"/>
      <w:r w:rsidRPr="00515A58">
        <w:rPr>
          <w:sz w:val="18"/>
          <w:szCs w:val="18"/>
        </w:rPr>
        <w:t xml:space="preserve"> note that information contained in the burden table is for the first three years of data collection, while Table B.1.3 includes data for the entire </w:t>
      </w:r>
      <w:r w:rsidR="00583568" w:rsidRPr="00515A58">
        <w:rPr>
          <w:sz w:val="18"/>
          <w:szCs w:val="18"/>
        </w:rPr>
        <w:t xml:space="preserve">data collection </w:t>
      </w:r>
      <w:r w:rsidRPr="00515A58">
        <w:rPr>
          <w:sz w:val="18"/>
          <w:szCs w:val="18"/>
        </w:rPr>
        <w:t xml:space="preserve">period.  </w:t>
      </w:r>
    </w:p>
    <w:p w:rsidR="004116D2" w:rsidRPr="00515A58" w:rsidRDefault="004116D2">
      <w:pPr>
        <w:rPr>
          <w:sz w:val="24"/>
        </w:rPr>
      </w:pPr>
    </w:p>
    <w:p w:rsidR="00E94F72" w:rsidRPr="00515A58" w:rsidRDefault="00E94F72">
      <w:pPr>
        <w:rPr>
          <w:sz w:val="24"/>
        </w:rPr>
      </w:pPr>
    </w:p>
    <w:p w:rsidR="004116D2" w:rsidRPr="00515A58" w:rsidRDefault="009A3D1D">
      <w:pPr>
        <w:rPr>
          <w:sz w:val="24"/>
        </w:rPr>
      </w:pPr>
      <w:r w:rsidRPr="00515A58">
        <w:rPr>
          <w:sz w:val="24"/>
        </w:rPr>
        <w:t>T</w:t>
      </w:r>
      <w:r w:rsidR="00215D33" w:rsidRPr="00515A58">
        <w:rPr>
          <w:sz w:val="24"/>
        </w:rPr>
        <w:t xml:space="preserve">able </w:t>
      </w:r>
      <w:r w:rsidR="00B13A99" w:rsidRPr="00515A58">
        <w:rPr>
          <w:sz w:val="24"/>
        </w:rPr>
        <w:t>B.</w:t>
      </w:r>
      <w:r w:rsidR="00923516" w:rsidRPr="00515A58">
        <w:rPr>
          <w:sz w:val="24"/>
        </w:rPr>
        <w:t>1.</w:t>
      </w:r>
      <w:r w:rsidR="00B13A99" w:rsidRPr="00515A58">
        <w:rPr>
          <w:sz w:val="24"/>
        </w:rPr>
        <w:t>4</w:t>
      </w:r>
      <w:r w:rsidR="0043469C" w:rsidRPr="00515A58">
        <w:rPr>
          <w:sz w:val="24"/>
        </w:rPr>
        <w:t xml:space="preserve"> (</w:t>
      </w:r>
      <w:r w:rsidR="00215D33" w:rsidRPr="00515A58">
        <w:rPr>
          <w:sz w:val="24"/>
        </w:rPr>
        <w:t>below</w:t>
      </w:r>
      <w:r w:rsidR="0043469C" w:rsidRPr="00515A58">
        <w:rPr>
          <w:sz w:val="24"/>
        </w:rPr>
        <w:t>)</w:t>
      </w:r>
      <w:r w:rsidR="00215D33" w:rsidRPr="00515A58">
        <w:rPr>
          <w:sz w:val="24"/>
        </w:rPr>
        <w:t xml:space="preserve"> demonstrates the recruitment goal by age and gender for each type of community involved in the HCS</w:t>
      </w:r>
      <w:r w:rsidR="00177490" w:rsidRPr="00515A58">
        <w:rPr>
          <w:sz w:val="24"/>
        </w:rPr>
        <w:t>.</w:t>
      </w:r>
      <w:r w:rsidR="00215D33" w:rsidRPr="00515A58">
        <w:rPr>
          <w:sz w:val="24"/>
        </w:rPr>
        <w:t xml:space="preserve"> </w:t>
      </w:r>
      <w:r w:rsidR="0025200E" w:rsidRPr="00515A58">
        <w:rPr>
          <w:sz w:val="24"/>
        </w:rPr>
        <w:t xml:space="preserve"> </w:t>
      </w:r>
      <w:r w:rsidR="00177490" w:rsidRPr="00515A58">
        <w:rPr>
          <w:sz w:val="24"/>
        </w:rPr>
        <w:t>[N</w:t>
      </w:r>
      <w:r w:rsidR="00215D33" w:rsidRPr="00515A58">
        <w:rPr>
          <w:sz w:val="24"/>
        </w:rPr>
        <w:t xml:space="preserve">ote that due to an odd number of children </w:t>
      </w:r>
      <w:r w:rsidR="008A1FC1" w:rsidRPr="00515A58">
        <w:rPr>
          <w:sz w:val="24"/>
        </w:rPr>
        <w:t>being recruited</w:t>
      </w:r>
      <w:r w:rsidR="00215D33" w:rsidRPr="00515A58">
        <w:rPr>
          <w:sz w:val="24"/>
        </w:rPr>
        <w:t xml:space="preserve"> into the RIPA communities within each age group</w:t>
      </w:r>
      <w:r w:rsidR="0017080B" w:rsidRPr="00515A58">
        <w:rPr>
          <w:sz w:val="24"/>
        </w:rPr>
        <w:t xml:space="preserve"> (n=9), we created two sets of RIPA recruitment goals (Types A and B) in order to maintain gender balance across participants in these communities.]</w:t>
      </w:r>
    </w:p>
    <w:p w:rsidR="004116D2" w:rsidRPr="00515A58" w:rsidRDefault="004116D2">
      <w:pPr>
        <w:rPr>
          <w:sz w:val="24"/>
        </w:rPr>
      </w:pPr>
    </w:p>
    <w:p w:rsidR="004116D2" w:rsidRPr="00515A58" w:rsidRDefault="00B13A99">
      <w:pPr>
        <w:pStyle w:val="Style1sub-headings"/>
        <w:spacing w:before="0" w:line="240" w:lineRule="auto"/>
      </w:pPr>
      <w:bookmarkStart w:id="30" w:name="_Toc299107933"/>
      <w:bookmarkStart w:id="31" w:name="_Toc301448526"/>
      <w:bookmarkStart w:id="32" w:name="_Toc301448661"/>
      <w:bookmarkStart w:id="33" w:name="_Toc301448750"/>
      <w:bookmarkStart w:id="34" w:name="_Toc301448818"/>
      <w:r w:rsidRPr="00515A58">
        <w:t>Table B.</w:t>
      </w:r>
      <w:r w:rsidR="00790802" w:rsidRPr="00515A58">
        <w:t>1.</w:t>
      </w:r>
      <w:r w:rsidRPr="00515A58">
        <w:t>4</w:t>
      </w:r>
      <w:r w:rsidR="00C06188" w:rsidRPr="00515A58">
        <w:t xml:space="preserve">  </w:t>
      </w:r>
      <w:r w:rsidRPr="00515A58">
        <w:t xml:space="preserve"> </w:t>
      </w:r>
      <w:r w:rsidR="00BE5FE3" w:rsidRPr="00515A58">
        <w:t xml:space="preserve"> </w:t>
      </w:r>
      <w:r w:rsidR="00215D33" w:rsidRPr="00515A58">
        <w:t xml:space="preserve">Recruitment Goals for </w:t>
      </w:r>
      <w:r w:rsidR="00C229A1" w:rsidRPr="00515A58">
        <w:t xml:space="preserve">Children by Age, Gender, and Type of </w:t>
      </w:r>
      <w:r w:rsidR="00215D33" w:rsidRPr="00515A58">
        <w:t>Communit</w:t>
      </w:r>
      <w:r w:rsidR="0017080B" w:rsidRPr="00515A58">
        <w:t>y</w:t>
      </w:r>
      <w:bookmarkEnd w:id="30"/>
      <w:bookmarkEnd w:id="31"/>
      <w:bookmarkEnd w:id="32"/>
      <w:bookmarkEnd w:id="33"/>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1342"/>
        <w:gridCol w:w="1688"/>
        <w:gridCol w:w="983"/>
        <w:gridCol w:w="1251"/>
        <w:gridCol w:w="1257"/>
        <w:gridCol w:w="1251"/>
      </w:tblGrid>
      <w:tr w:rsidR="00215D33" w:rsidRPr="00515A58" w:rsidTr="00583568">
        <w:trPr>
          <w:tblHeader/>
        </w:trPr>
        <w:tc>
          <w:tcPr>
            <w:tcW w:w="1804" w:type="dxa"/>
            <w:vMerge w:val="restart"/>
            <w:shd w:val="clear" w:color="auto" w:fill="B8CCE4" w:themeFill="accent1" w:themeFillTint="66"/>
            <w:vAlign w:val="center"/>
          </w:tcPr>
          <w:p w:rsidR="00215D33" w:rsidRPr="00515A58" w:rsidRDefault="0017080B" w:rsidP="00A76A72">
            <w:pPr>
              <w:jc w:val="center"/>
              <w:rPr>
                <w:b/>
                <w:szCs w:val="20"/>
              </w:rPr>
            </w:pPr>
            <w:r w:rsidRPr="00515A58">
              <w:rPr>
                <w:b/>
                <w:szCs w:val="20"/>
              </w:rPr>
              <w:t>Age of Child</w:t>
            </w:r>
          </w:p>
          <w:p w:rsidR="00215D33" w:rsidRPr="00515A58" w:rsidRDefault="0017080B" w:rsidP="00A76A72">
            <w:pPr>
              <w:jc w:val="center"/>
              <w:rPr>
                <w:b/>
                <w:szCs w:val="20"/>
              </w:rPr>
            </w:pPr>
            <w:r w:rsidRPr="00515A58">
              <w:rPr>
                <w:b/>
                <w:szCs w:val="20"/>
              </w:rPr>
              <w:t>Study Participant</w:t>
            </w:r>
          </w:p>
          <w:p w:rsidR="00215D33" w:rsidRPr="00515A58" w:rsidRDefault="0017080B" w:rsidP="00A76A72">
            <w:pPr>
              <w:jc w:val="center"/>
              <w:rPr>
                <w:b/>
                <w:szCs w:val="20"/>
              </w:rPr>
            </w:pPr>
            <w:r w:rsidRPr="00515A58">
              <w:rPr>
                <w:b/>
                <w:szCs w:val="20"/>
              </w:rPr>
              <w:t>At Enrollment, in years</w:t>
            </w:r>
          </w:p>
        </w:tc>
        <w:tc>
          <w:tcPr>
            <w:tcW w:w="3030" w:type="dxa"/>
            <w:gridSpan w:val="2"/>
            <w:shd w:val="clear" w:color="auto" w:fill="B8CCE4" w:themeFill="accent1" w:themeFillTint="66"/>
            <w:vAlign w:val="center"/>
          </w:tcPr>
          <w:p w:rsidR="00C43FAF" w:rsidRPr="00515A58" w:rsidRDefault="0017080B">
            <w:pPr>
              <w:jc w:val="center"/>
              <w:rPr>
                <w:b/>
                <w:szCs w:val="20"/>
              </w:rPr>
            </w:pPr>
            <w:r w:rsidRPr="00515A58">
              <w:rPr>
                <w:b/>
                <w:szCs w:val="20"/>
              </w:rPr>
              <w:t>Non-RIPA Communities</w:t>
            </w:r>
          </w:p>
          <w:p w:rsidR="00C43FAF" w:rsidRPr="00515A58" w:rsidRDefault="0017080B">
            <w:pPr>
              <w:jc w:val="center"/>
              <w:rPr>
                <w:b/>
                <w:szCs w:val="20"/>
              </w:rPr>
            </w:pPr>
            <w:r w:rsidRPr="00515A58">
              <w:rPr>
                <w:b/>
                <w:szCs w:val="20"/>
              </w:rPr>
              <w:t>Wave 1 (n=4)/Wave 2 n=(235)</w:t>
            </w:r>
          </w:p>
        </w:tc>
        <w:tc>
          <w:tcPr>
            <w:tcW w:w="2234" w:type="dxa"/>
            <w:gridSpan w:val="2"/>
            <w:shd w:val="clear" w:color="auto" w:fill="B8CCE4" w:themeFill="accent1" w:themeFillTint="66"/>
            <w:vAlign w:val="center"/>
          </w:tcPr>
          <w:p w:rsidR="00C43FAF" w:rsidRPr="00515A58" w:rsidRDefault="0017080B">
            <w:pPr>
              <w:jc w:val="center"/>
              <w:rPr>
                <w:b/>
                <w:szCs w:val="20"/>
              </w:rPr>
            </w:pPr>
            <w:r w:rsidRPr="00515A58">
              <w:rPr>
                <w:b/>
                <w:szCs w:val="20"/>
              </w:rPr>
              <w:t>RIPA Communities</w:t>
            </w:r>
          </w:p>
          <w:p w:rsidR="00C43FAF" w:rsidRPr="00515A58" w:rsidRDefault="0017080B">
            <w:pPr>
              <w:jc w:val="center"/>
              <w:rPr>
                <w:b/>
                <w:szCs w:val="20"/>
              </w:rPr>
            </w:pPr>
            <w:r w:rsidRPr="00515A58">
              <w:rPr>
                <w:b/>
                <w:szCs w:val="20"/>
              </w:rPr>
              <w:t>Type A  (n=20)</w:t>
            </w:r>
          </w:p>
        </w:tc>
        <w:tc>
          <w:tcPr>
            <w:tcW w:w="2508" w:type="dxa"/>
            <w:gridSpan w:val="2"/>
            <w:shd w:val="clear" w:color="auto" w:fill="B8CCE4" w:themeFill="accent1" w:themeFillTint="66"/>
            <w:vAlign w:val="center"/>
          </w:tcPr>
          <w:p w:rsidR="00C43FAF" w:rsidRPr="00515A58" w:rsidRDefault="0017080B">
            <w:pPr>
              <w:jc w:val="center"/>
              <w:rPr>
                <w:b/>
                <w:szCs w:val="20"/>
              </w:rPr>
            </w:pPr>
            <w:r w:rsidRPr="00515A58">
              <w:rPr>
                <w:b/>
                <w:szCs w:val="20"/>
              </w:rPr>
              <w:t>RIPA Communities</w:t>
            </w:r>
          </w:p>
          <w:p w:rsidR="00C43FAF" w:rsidRPr="00515A58" w:rsidRDefault="0017080B">
            <w:pPr>
              <w:jc w:val="center"/>
              <w:rPr>
                <w:b/>
                <w:szCs w:val="20"/>
              </w:rPr>
            </w:pPr>
            <w:r w:rsidRPr="00515A58">
              <w:rPr>
                <w:b/>
                <w:szCs w:val="20"/>
              </w:rPr>
              <w:t>Type B (n=20)</w:t>
            </w:r>
          </w:p>
        </w:tc>
      </w:tr>
      <w:tr w:rsidR="00215D33" w:rsidRPr="00515A58" w:rsidTr="00583568">
        <w:trPr>
          <w:tblHeader/>
        </w:trPr>
        <w:tc>
          <w:tcPr>
            <w:tcW w:w="1804" w:type="dxa"/>
            <w:vMerge/>
            <w:shd w:val="clear" w:color="auto" w:fill="B8CCE4" w:themeFill="accent1" w:themeFillTint="66"/>
            <w:vAlign w:val="center"/>
          </w:tcPr>
          <w:p w:rsidR="00C43FAF" w:rsidRPr="00515A58" w:rsidRDefault="00C43FAF">
            <w:pPr>
              <w:jc w:val="center"/>
              <w:rPr>
                <w:b/>
                <w:szCs w:val="20"/>
              </w:rPr>
            </w:pPr>
          </w:p>
        </w:tc>
        <w:tc>
          <w:tcPr>
            <w:tcW w:w="1342" w:type="dxa"/>
            <w:shd w:val="clear" w:color="auto" w:fill="B8CCE4" w:themeFill="accent1" w:themeFillTint="66"/>
            <w:vAlign w:val="center"/>
          </w:tcPr>
          <w:p w:rsidR="00C43FAF" w:rsidRPr="00515A58" w:rsidRDefault="0017080B">
            <w:pPr>
              <w:jc w:val="center"/>
              <w:rPr>
                <w:b/>
                <w:szCs w:val="20"/>
              </w:rPr>
            </w:pPr>
            <w:r w:rsidRPr="00515A58">
              <w:rPr>
                <w:b/>
                <w:szCs w:val="20"/>
              </w:rPr>
              <w:t>Females</w:t>
            </w:r>
          </w:p>
        </w:tc>
        <w:tc>
          <w:tcPr>
            <w:tcW w:w="1688" w:type="dxa"/>
            <w:shd w:val="clear" w:color="auto" w:fill="B8CCE4" w:themeFill="accent1" w:themeFillTint="66"/>
            <w:vAlign w:val="center"/>
          </w:tcPr>
          <w:p w:rsidR="00C43FAF" w:rsidRPr="00515A58" w:rsidRDefault="0017080B">
            <w:pPr>
              <w:jc w:val="center"/>
              <w:rPr>
                <w:b/>
                <w:szCs w:val="20"/>
              </w:rPr>
            </w:pPr>
            <w:r w:rsidRPr="00515A58">
              <w:rPr>
                <w:b/>
                <w:szCs w:val="20"/>
              </w:rPr>
              <w:t>Males</w:t>
            </w:r>
          </w:p>
        </w:tc>
        <w:tc>
          <w:tcPr>
            <w:tcW w:w="983" w:type="dxa"/>
            <w:shd w:val="clear" w:color="auto" w:fill="B8CCE4" w:themeFill="accent1" w:themeFillTint="66"/>
            <w:vAlign w:val="center"/>
          </w:tcPr>
          <w:p w:rsidR="00C43FAF" w:rsidRPr="00515A58" w:rsidRDefault="0017080B">
            <w:pPr>
              <w:jc w:val="center"/>
              <w:rPr>
                <w:b/>
                <w:szCs w:val="20"/>
              </w:rPr>
            </w:pPr>
            <w:r w:rsidRPr="00515A58">
              <w:rPr>
                <w:b/>
                <w:szCs w:val="20"/>
              </w:rPr>
              <w:t>Females</w:t>
            </w:r>
          </w:p>
        </w:tc>
        <w:tc>
          <w:tcPr>
            <w:tcW w:w="1251" w:type="dxa"/>
            <w:shd w:val="clear" w:color="auto" w:fill="B8CCE4" w:themeFill="accent1" w:themeFillTint="66"/>
            <w:vAlign w:val="center"/>
          </w:tcPr>
          <w:p w:rsidR="00C43FAF" w:rsidRPr="00515A58" w:rsidRDefault="0017080B">
            <w:pPr>
              <w:jc w:val="center"/>
              <w:rPr>
                <w:b/>
                <w:szCs w:val="20"/>
              </w:rPr>
            </w:pPr>
            <w:r w:rsidRPr="00515A58">
              <w:rPr>
                <w:b/>
                <w:szCs w:val="20"/>
              </w:rPr>
              <w:t>Males</w:t>
            </w:r>
          </w:p>
        </w:tc>
        <w:tc>
          <w:tcPr>
            <w:tcW w:w="1257" w:type="dxa"/>
            <w:shd w:val="clear" w:color="auto" w:fill="B8CCE4" w:themeFill="accent1" w:themeFillTint="66"/>
            <w:vAlign w:val="center"/>
          </w:tcPr>
          <w:p w:rsidR="00C43FAF" w:rsidRPr="00515A58" w:rsidRDefault="0017080B">
            <w:pPr>
              <w:jc w:val="center"/>
              <w:rPr>
                <w:b/>
                <w:szCs w:val="20"/>
              </w:rPr>
            </w:pPr>
            <w:r w:rsidRPr="00515A58">
              <w:rPr>
                <w:b/>
                <w:szCs w:val="20"/>
              </w:rPr>
              <w:t>Females</w:t>
            </w:r>
          </w:p>
        </w:tc>
        <w:tc>
          <w:tcPr>
            <w:tcW w:w="1251" w:type="dxa"/>
            <w:shd w:val="clear" w:color="auto" w:fill="B8CCE4" w:themeFill="accent1" w:themeFillTint="66"/>
            <w:vAlign w:val="center"/>
          </w:tcPr>
          <w:p w:rsidR="00C43FAF" w:rsidRPr="00515A58" w:rsidRDefault="0017080B">
            <w:pPr>
              <w:jc w:val="center"/>
              <w:rPr>
                <w:b/>
                <w:szCs w:val="20"/>
              </w:rPr>
            </w:pPr>
            <w:r w:rsidRPr="00515A58">
              <w:rPr>
                <w:b/>
                <w:szCs w:val="20"/>
              </w:rPr>
              <w:t>Males</w:t>
            </w:r>
          </w:p>
        </w:tc>
      </w:tr>
      <w:tr w:rsidR="00215D33" w:rsidRPr="00515A58" w:rsidTr="000E16D0">
        <w:tc>
          <w:tcPr>
            <w:tcW w:w="1804" w:type="dxa"/>
          </w:tcPr>
          <w:p w:rsidR="00215D33" w:rsidRPr="00515A58" w:rsidRDefault="0017080B" w:rsidP="00A76A72">
            <w:pPr>
              <w:jc w:val="center"/>
              <w:rPr>
                <w:szCs w:val="20"/>
              </w:rPr>
            </w:pPr>
            <w:r w:rsidRPr="00515A58">
              <w:rPr>
                <w:szCs w:val="20"/>
              </w:rPr>
              <w:t>3</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c>
          <w:tcPr>
            <w:tcW w:w="1257"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r>
      <w:tr w:rsidR="00215D33" w:rsidRPr="00515A58" w:rsidTr="000E16D0">
        <w:tc>
          <w:tcPr>
            <w:tcW w:w="1804" w:type="dxa"/>
          </w:tcPr>
          <w:p w:rsidR="00215D33" w:rsidRPr="00515A58" w:rsidRDefault="0017080B" w:rsidP="00A76A72">
            <w:pPr>
              <w:jc w:val="center"/>
              <w:rPr>
                <w:szCs w:val="20"/>
              </w:rPr>
            </w:pPr>
            <w:r w:rsidRPr="00515A58">
              <w:rPr>
                <w:szCs w:val="20"/>
              </w:rPr>
              <w:t>4</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c>
          <w:tcPr>
            <w:tcW w:w="1257"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r>
      <w:tr w:rsidR="00215D33" w:rsidRPr="00515A58" w:rsidTr="000E16D0">
        <w:tc>
          <w:tcPr>
            <w:tcW w:w="1804" w:type="dxa"/>
          </w:tcPr>
          <w:p w:rsidR="00215D33" w:rsidRPr="00515A58" w:rsidRDefault="0017080B" w:rsidP="00A76A72">
            <w:pPr>
              <w:jc w:val="center"/>
              <w:rPr>
                <w:szCs w:val="20"/>
              </w:rPr>
            </w:pPr>
            <w:r w:rsidRPr="00515A58">
              <w:rPr>
                <w:szCs w:val="20"/>
              </w:rPr>
              <w:t>5</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c>
          <w:tcPr>
            <w:tcW w:w="1257"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r>
      <w:tr w:rsidR="00215D33" w:rsidRPr="00515A58" w:rsidTr="000E16D0">
        <w:tc>
          <w:tcPr>
            <w:tcW w:w="1804" w:type="dxa"/>
          </w:tcPr>
          <w:p w:rsidR="00215D33" w:rsidRPr="00515A58" w:rsidRDefault="0017080B" w:rsidP="00A76A72">
            <w:pPr>
              <w:jc w:val="center"/>
              <w:rPr>
                <w:szCs w:val="20"/>
              </w:rPr>
            </w:pPr>
            <w:r w:rsidRPr="00515A58">
              <w:rPr>
                <w:szCs w:val="20"/>
              </w:rPr>
              <w:t>6</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c>
          <w:tcPr>
            <w:tcW w:w="1257"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r>
      <w:tr w:rsidR="00215D33" w:rsidRPr="00515A58" w:rsidTr="000E16D0">
        <w:tc>
          <w:tcPr>
            <w:tcW w:w="1804" w:type="dxa"/>
          </w:tcPr>
          <w:p w:rsidR="00215D33" w:rsidRPr="00515A58" w:rsidRDefault="0017080B" w:rsidP="00A76A72">
            <w:pPr>
              <w:jc w:val="center"/>
              <w:rPr>
                <w:szCs w:val="20"/>
              </w:rPr>
            </w:pPr>
            <w:r w:rsidRPr="00515A58">
              <w:rPr>
                <w:szCs w:val="20"/>
              </w:rPr>
              <w:t>7</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c>
          <w:tcPr>
            <w:tcW w:w="1257"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r>
      <w:tr w:rsidR="00215D33" w:rsidRPr="00515A58" w:rsidTr="000E16D0">
        <w:tc>
          <w:tcPr>
            <w:tcW w:w="1804" w:type="dxa"/>
          </w:tcPr>
          <w:p w:rsidR="00215D33" w:rsidRPr="00515A58" w:rsidRDefault="0017080B" w:rsidP="00A76A72">
            <w:pPr>
              <w:jc w:val="center"/>
              <w:rPr>
                <w:szCs w:val="20"/>
              </w:rPr>
            </w:pPr>
            <w:r w:rsidRPr="00515A58">
              <w:rPr>
                <w:szCs w:val="20"/>
              </w:rPr>
              <w:t>8</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c>
          <w:tcPr>
            <w:tcW w:w="1257"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r>
      <w:tr w:rsidR="00215D33" w:rsidRPr="00515A58" w:rsidTr="000E16D0">
        <w:tc>
          <w:tcPr>
            <w:tcW w:w="1804" w:type="dxa"/>
          </w:tcPr>
          <w:p w:rsidR="00215D33" w:rsidRPr="00515A58" w:rsidRDefault="0017080B" w:rsidP="00A76A72">
            <w:pPr>
              <w:jc w:val="center"/>
              <w:rPr>
                <w:szCs w:val="20"/>
              </w:rPr>
            </w:pPr>
            <w:r w:rsidRPr="00515A58">
              <w:rPr>
                <w:szCs w:val="20"/>
              </w:rPr>
              <w:t>9</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c>
          <w:tcPr>
            <w:tcW w:w="1257"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r>
      <w:tr w:rsidR="00215D33" w:rsidRPr="00515A58" w:rsidTr="000E16D0">
        <w:tc>
          <w:tcPr>
            <w:tcW w:w="1804" w:type="dxa"/>
          </w:tcPr>
          <w:p w:rsidR="00215D33" w:rsidRPr="00515A58" w:rsidRDefault="0017080B" w:rsidP="00A76A72">
            <w:pPr>
              <w:jc w:val="center"/>
              <w:rPr>
                <w:szCs w:val="20"/>
              </w:rPr>
            </w:pPr>
            <w:r w:rsidRPr="00515A58">
              <w:rPr>
                <w:szCs w:val="20"/>
              </w:rPr>
              <w:t>10</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c>
          <w:tcPr>
            <w:tcW w:w="1257"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r>
      <w:tr w:rsidR="00215D33" w:rsidRPr="00515A58" w:rsidTr="000E16D0">
        <w:tc>
          <w:tcPr>
            <w:tcW w:w="1804" w:type="dxa"/>
          </w:tcPr>
          <w:p w:rsidR="00215D33" w:rsidRPr="00515A58" w:rsidRDefault="0017080B" w:rsidP="00A76A72">
            <w:pPr>
              <w:jc w:val="center"/>
              <w:rPr>
                <w:szCs w:val="20"/>
              </w:rPr>
            </w:pPr>
            <w:r w:rsidRPr="00515A58">
              <w:rPr>
                <w:szCs w:val="20"/>
              </w:rPr>
              <w:t>11</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c>
          <w:tcPr>
            <w:tcW w:w="1257"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r>
      <w:tr w:rsidR="00215D33" w:rsidRPr="00515A58" w:rsidTr="000E16D0">
        <w:tc>
          <w:tcPr>
            <w:tcW w:w="1804" w:type="dxa"/>
          </w:tcPr>
          <w:p w:rsidR="00215D33" w:rsidRPr="00515A58" w:rsidRDefault="0017080B" w:rsidP="00A76A72">
            <w:pPr>
              <w:jc w:val="center"/>
              <w:rPr>
                <w:szCs w:val="20"/>
              </w:rPr>
            </w:pPr>
            <w:r w:rsidRPr="00515A58">
              <w:rPr>
                <w:szCs w:val="20"/>
              </w:rPr>
              <w:t>12</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c>
          <w:tcPr>
            <w:tcW w:w="1257"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r>
      <w:tr w:rsidR="00215D33" w:rsidRPr="00515A58" w:rsidTr="000E16D0">
        <w:tc>
          <w:tcPr>
            <w:tcW w:w="1804" w:type="dxa"/>
          </w:tcPr>
          <w:p w:rsidR="00215D33" w:rsidRPr="00515A58" w:rsidRDefault="0017080B" w:rsidP="00A76A72">
            <w:pPr>
              <w:jc w:val="center"/>
              <w:rPr>
                <w:szCs w:val="20"/>
              </w:rPr>
            </w:pPr>
            <w:r w:rsidRPr="00515A58">
              <w:rPr>
                <w:szCs w:val="20"/>
              </w:rPr>
              <w:t>13</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c>
          <w:tcPr>
            <w:tcW w:w="1257"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r>
      <w:tr w:rsidR="00215D33" w:rsidRPr="00515A58" w:rsidTr="000E16D0">
        <w:tc>
          <w:tcPr>
            <w:tcW w:w="1804" w:type="dxa"/>
          </w:tcPr>
          <w:p w:rsidR="00215D33" w:rsidRPr="00515A58" w:rsidRDefault="0017080B" w:rsidP="00A76A72">
            <w:pPr>
              <w:jc w:val="center"/>
              <w:rPr>
                <w:szCs w:val="20"/>
              </w:rPr>
            </w:pPr>
            <w:r w:rsidRPr="00515A58">
              <w:rPr>
                <w:szCs w:val="20"/>
              </w:rPr>
              <w:t>14</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c>
          <w:tcPr>
            <w:tcW w:w="1257"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r>
      <w:tr w:rsidR="00215D33" w:rsidRPr="00515A58" w:rsidTr="000E16D0">
        <w:tc>
          <w:tcPr>
            <w:tcW w:w="1804" w:type="dxa"/>
          </w:tcPr>
          <w:p w:rsidR="00215D33" w:rsidRPr="00515A58" w:rsidRDefault="0017080B" w:rsidP="00A76A72">
            <w:pPr>
              <w:jc w:val="center"/>
              <w:rPr>
                <w:szCs w:val="20"/>
              </w:rPr>
            </w:pPr>
            <w:r w:rsidRPr="00515A58">
              <w:rPr>
                <w:szCs w:val="20"/>
              </w:rPr>
              <w:t>15</w:t>
            </w:r>
          </w:p>
        </w:tc>
        <w:tc>
          <w:tcPr>
            <w:tcW w:w="1342" w:type="dxa"/>
          </w:tcPr>
          <w:p w:rsidR="00215D33" w:rsidRPr="00515A58" w:rsidRDefault="0017080B" w:rsidP="00A76A72">
            <w:pPr>
              <w:jc w:val="center"/>
              <w:rPr>
                <w:szCs w:val="20"/>
              </w:rPr>
            </w:pPr>
            <w:r w:rsidRPr="00515A58">
              <w:rPr>
                <w:szCs w:val="20"/>
              </w:rPr>
              <w:t>3</w:t>
            </w:r>
          </w:p>
        </w:tc>
        <w:tc>
          <w:tcPr>
            <w:tcW w:w="1688" w:type="dxa"/>
          </w:tcPr>
          <w:p w:rsidR="00215D33" w:rsidRPr="00515A58" w:rsidRDefault="0017080B" w:rsidP="00A76A72">
            <w:pPr>
              <w:jc w:val="center"/>
              <w:rPr>
                <w:szCs w:val="20"/>
              </w:rPr>
            </w:pPr>
            <w:r w:rsidRPr="00515A58">
              <w:rPr>
                <w:szCs w:val="20"/>
              </w:rPr>
              <w:t>3</w:t>
            </w:r>
          </w:p>
        </w:tc>
        <w:tc>
          <w:tcPr>
            <w:tcW w:w="983" w:type="dxa"/>
          </w:tcPr>
          <w:p w:rsidR="00C43FAF" w:rsidRPr="00515A58" w:rsidRDefault="0017080B">
            <w:pPr>
              <w:jc w:val="center"/>
              <w:rPr>
                <w:szCs w:val="20"/>
              </w:rPr>
            </w:pPr>
            <w:r w:rsidRPr="00515A58">
              <w:rPr>
                <w:szCs w:val="20"/>
              </w:rPr>
              <w:t>4</w:t>
            </w:r>
          </w:p>
        </w:tc>
        <w:tc>
          <w:tcPr>
            <w:tcW w:w="1251" w:type="dxa"/>
          </w:tcPr>
          <w:p w:rsidR="00C43FAF" w:rsidRPr="00515A58" w:rsidRDefault="0017080B">
            <w:pPr>
              <w:jc w:val="center"/>
              <w:rPr>
                <w:szCs w:val="20"/>
              </w:rPr>
            </w:pPr>
            <w:r w:rsidRPr="00515A58">
              <w:rPr>
                <w:szCs w:val="20"/>
              </w:rPr>
              <w:t>5</w:t>
            </w:r>
          </w:p>
        </w:tc>
        <w:tc>
          <w:tcPr>
            <w:tcW w:w="1257" w:type="dxa"/>
          </w:tcPr>
          <w:p w:rsidR="00C43FAF" w:rsidRPr="00515A58" w:rsidRDefault="0017080B">
            <w:pPr>
              <w:jc w:val="center"/>
              <w:rPr>
                <w:szCs w:val="20"/>
              </w:rPr>
            </w:pPr>
            <w:r w:rsidRPr="00515A58">
              <w:rPr>
                <w:szCs w:val="20"/>
              </w:rPr>
              <w:t>5</w:t>
            </w:r>
          </w:p>
        </w:tc>
        <w:tc>
          <w:tcPr>
            <w:tcW w:w="1251" w:type="dxa"/>
          </w:tcPr>
          <w:p w:rsidR="00C43FAF" w:rsidRPr="00515A58" w:rsidRDefault="0017080B">
            <w:pPr>
              <w:jc w:val="center"/>
              <w:rPr>
                <w:szCs w:val="20"/>
              </w:rPr>
            </w:pPr>
            <w:r w:rsidRPr="00515A58">
              <w:rPr>
                <w:szCs w:val="20"/>
              </w:rPr>
              <w:t>4</w:t>
            </w:r>
          </w:p>
        </w:tc>
      </w:tr>
    </w:tbl>
    <w:p w:rsidR="004116D2" w:rsidRPr="00515A58" w:rsidRDefault="004116D2">
      <w:pPr>
        <w:rPr>
          <w:sz w:val="24"/>
        </w:rPr>
      </w:pPr>
    </w:p>
    <w:p w:rsidR="004116D2" w:rsidRPr="00515A58" w:rsidRDefault="00AA5DB2" w:rsidP="00756E94">
      <w:pPr>
        <w:pStyle w:val="BHNormal"/>
        <w:rPr>
          <w:b/>
          <w:i/>
        </w:rPr>
      </w:pPr>
      <w:bookmarkStart w:id="35" w:name="_Toc299107934"/>
      <w:r w:rsidRPr="00515A58">
        <w:rPr>
          <w:b/>
          <w:i/>
        </w:rPr>
        <w:t xml:space="preserve">B.1.c.2   </w:t>
      </w:r>
      <w:r w:rsidR="00215D33" w:rsidRPr="00515A58">
        <w:rPr>
          <w:b/>
          <w:i/>
        </w:rPr>
        <w:t xml:space="preserve">Selection of Participants for </w:t>
      </w:r>
      <w:r w:rsidRPr="00515A58">
        <w:rPr>
          <w:b/>
          <w:i/>
        </w:rPr>
        <w:t>Enhanced Protocol</w:t>
      </w:r>
      <w:bookmarkEnd w:id="35"/>
    </w:p>
    <w:p w:rsidR="004116D2" w:rsidRPr="00515A58" w:rsidRDefault="00215D33">
      <w:pPr>
        <w:rPr>
          <w:sz w:val="24"/>
        </w:rPr>
      </w:pPr>
      <w:r w:rsidRPr="00515A58">
        <w:rPr>
          <w:sz w:val="24"/>
        </w:rPr>
        <w:t>The HCS will include a random sample of study participants (</w:t>
      </w:r>
      <w:r w:rsidR="0047176E" w:rsidRPr="00515A58">
        <w:rPr>
          <w:sz w:val="24"/>
        </w:rPr>
        <w:t>one</w:t>
      </w:r>
      <w:r w:rsidRPr="00515A58">
        <w:rPr>
          <w:sz w:val="24"/>
        </w:rPr>
        <w:t xml:space="preserve"> of </w:t>
      </w:r>
      <w:r w:rsidR="0047176E" w:rsidRPr="00515A58">
        <w:rPr>
          <w:sz w:val="24"/>
        </w:rPr>
        <w:t xml:space="preserve">six, </w:t>
      </w:r>
      <w:r w:rsidR="00A472D3" w:rsidRPr="00515A58">
        <w:rPr>
          <w:sz w:val="24"/>
        </w:rPr>
        <w:t>or approximately 17%</w:t>
      </w:r>
      <w:r w:rsidRPr="00515A58">
        <w:rPr>
          <w:sz w:val="24"/>
        </w:rPr>
        <w:t xml:space="preserve">) </w:t>
      </w:r>
      <w:r w:rsidR="006A6F36" w:rsidRPr="00515A58">
        <w:rPr>
          <w:sz w:val="24"/>
        </w:rPr>
        <w:t xml:space="preserve">in Wave 1 and Wave 2 </w:t>
      </w:r>
      <w:r w:rsidRPr="00515A58">
        <w:rPr>
          <w:sz w:val="24"/>
        </w:rPr>
        <w:t xml:space="preserve">that will participate in </w:t>
      </w:r>
      <w:r w:rsidR="00AA5DB2" w:rsidRPr="00515A58">
        <w:rPr>
          <w:sz w:val="24"/>
        </w:rPr>
        <w:t xml:space="preserve">the </w:t>
      </w:r>
      <w:r w:rsidR="00E74161" w:rsidRPr="00515A58">
        <w:rPr>
          <w:sz w:val="24"/>
        </w:rPr>
        <w:t>E</w:t>
      </w:r>
      <w:r w:rsidR="0017080B" w:rsidRPr="00515A58">
        <w:rPr>
          <w:sz w:val="24"/>
        </w:rPr>
        <w:t xml:space="preserve">nhanced Protocol, which will involve more detailed nutritional and physical activity assessments. </w:t>
      </w:r>
    </w:p>
    <w:p w:rsidR="004116D2" w:rsidRPr="00515A58" w:rsidRDefault="008A1FC1" w:rsidP="00756E94">
      <w:pPr>
        <w:pStyle w:val="BHNormal"/>
        <w:rPr>
          <w:b/>
          <w:i/>
        </w:rPr>
      </w:pPr>
      <w:bookmarkStart w:id="36" w:name="_Toc299107935"/>
      <w:r w:rsidRPr="00515A58">
        <w:rPr>
          <w:b/>
          <w:i/>
        </w:rPr>
        <w:t xml:space="preserve">B.1.c.3 </w:t>
      </w:r>
      <w:r w:rsidR="00E94F72" w:rsidRPr="00515A58">
        <w:rPr>
          <w:b/>
          <w:i/>
        </w:rPr>
        <w:t xml:space="preserve">  </w:t>
      </w:r>
      <w:r w:rsidRPr="00515A58">
        <w:rPr>
          <w:b/>
          <w:i/>
        </w:rPr>
        <w:t>Calculation</w:t>
      </w:r>
      <w:r w:rsidR="00215D33" w:rsidRPr="00515A58">
        <w:rPr>
          <w:b/>
          <w:i/>
        </w:rPr>
        <w:t xml:space="preserve"> of Sampling Weights at the Participant Level</w:t>
      </w:r>
      <w:bookmarkEnd w:id="36"/>
    </w:p>
    <w:p w:rsidR="002D08C9" w:rsidRPr="00515A58" w:rsidRDefault="00215D33" w:rsidP="00A76A72">
      <w:pPr>
        <w:rPr>
          <w:sz w:val="24"/>
        </w:rPr>
      </w:pPr>
      <w:r w:rsidRPr="00515A58">
        <w:rPr>
          <w:sz w:val="24"/>
        </w:rPr>
        <w:t xml:space="preserve">Sampling weights </w:t>
      </w:r>
      <w:proofErr w:type="gramStart"/>
      <w:r w:rsidRPr="00515A58">
        <w:rPr>
          <w:sz w:val="24"/>
        </w:rPr>
        <w:t>will be calculated</w:t>
      </w:r>
      <w:proofErr w:type="gramEnd"/>
      <w:r w:rsidRPr="00515A58">
        <w:rPr>
          <w:sz w:val="24"/>
        </w:rPr>
        <w:t xml:space="preserve"> for each study participant in the HCS for each </w:t>
      </w:r>
      <w:r w:rsidR="00E74161" w:rsidRPr="00515A58">
        <w:rPr>
          <w:sz w:val="24"/>
        </w:rPr>
        <w:t xml:space="preserve">stage </w:t>
      </w:r>
      <w:r w:rsidRPr="00515A58">
        <w:rPr>
          <w:sz w:val="24"/>
        </w:rPr>
        <w:t>of data collection that the participant c</w:t>
      </w:r>
      <w:r w:rsidR="0017080B" w:rsidRPr="00515A58">
        <w:rPr>
          <w:sz w:val="24"/>
        </w:rPr>
        <w:t xml:space="preserve">ompletes (baseline, remote follow-up, and RIPA) by dividing the age-by-gender MOS described in Section B.1.b.4 by the number of study participants that complete data collection within that same age-by-gender combination for that particular wave.  Alternative community MOS weights associated with the 40 RIPA communities (for the three-year follow-up assessment), and the first 200 Wave 2 communities (for the remote assessments) are also discussed in Section B.1.b. above – and can be utilized for the creation of sampling weights for specific analyses that utilize these data. </w:t>
      </w:r>
    </w:p>
    <w:p w:rsidR="00A76A72" w:rsidRPr="00515A58" w:rsidRDefault="00A76A72" w:rsidP="00A76A72">
      <w:pPr>
        <w:rPr>
          <w:sz w:val="24"/>
        </w:rPr>
      </w:pPr>
    </w:p>
    <w:p w:rsidR="004116D2" w:rsidRPr="00515A58" w:rsidRDefault="008D2C16">
      <w:pPr>
        <w:pStyle w:val="Style1sub-headings"/>
        <w:spacing w:before="0" w:line="240" w:lineRule="auto"/>
      </w:pPr>
      <w:bookmarkStart w:id="37" w:name="_Toc299107936"/>
      <w:bookmarkStart w:id="38" w:name="_Toc301448751"/>
      <w:bookmarkStart w:id="39" w:name="_Toc301448819"/>
      <w:r w:rsidRPr="00515A58">
        <w:t>B</w:t>
      </w:r>
      <w:r w:rsidR="00E94F72" w:rsidRPr="00515A58">
        <w:t>.1.d</w:t>
      </w:r>
      <w:r w:rsidR="00E94F72" w:rsidRPr="00515A58">
        <w:tab/>
      </w:r>
      <w:r w:rsidRPr="00515A58">
        <w:t>Respondent Universe – Key Informants</w:t>
      </w:r>
      <w:bookmarkEnd w:id="37"/>
      <w:bookmarkEnd w:id="38"/>
      <w:bookmarkEnd w:id="39"/>
    </w:p>
    <w:p w:rsidR="00960055" w:rsidRPr="00515A58" w:rsidRDefault="00960055" w:rsidP="00756E94">
      <w:pPr>
        <w:rPr>
          <w:sz w:val="24"/>
        </w:rPr>
      </w:pPr>
      <w:r w:rsidRPr="00515A58">
        <w:rPr>
          <w:rFonts w:cstheme="minorHAnsi"/>
          <w:sz w:val="24"/>
        </w:rPr>
        <w:t>Community key informants</w:t>
      </w:r>
      <w:r w:rsidR="00D40D5A" w:rsidRPr="00515A58">
        <w:rPr>
          <w:rFonts w:cstheme="minorHAnsi"/>
          <w:sz w:val="24"/>
        </w:rPr>
        <w:t>,</w:t>
      </w:r>
      <w:r w:rsidRPr="00515A58">
        <w:rPr>
          <w:rFonts w:cstheme="minorHAnsi"/>
          <w:sz w:val="24"/>
        </w:rPr>
        <w:t xml:space="preserve"> knowledgeable of programs and polices targeting childhood obesity in their communities</w:t>
      </w:r>
      <w:r w:rsidR="00D40D5A" w:rsidRPr="00515A58">
        <w:rPr>
          <w:rFonts w:cstheme="minorHAnsi"/>
          <w:sz w:val="24"/>
        </w:rPr>
        <w:t>,</w:t>
      </w:r>
      <w:r w:rsidRPr="00515A58">
        <w:rPr>
          <w:rFonts w:cstheme="minorHAnsi"/>
          <w:sz w:val="24"/>
        </w:rPr>
        <w:t xml:space="preserve"> will be asked to provide information </w:t>
      </w:r>
      <w:r w:rsidRPr="00515A58">
        <w:rPr>
          <w:sz w:val="24"/>
        </w:rPr>
        <w:t>to document the evolution of these p</w:t>
      </w:r>
      <w:r w:rsidRPr="00515A58">
        <w:rPr>
          <w:rFonts w:cstheme="minorHAnsi"/>
          <w:sz w:val="24"/>
        </w:rPr>
        <w:t xml:space="preserve">rograms and policies.  </w:t>
      </w:r>
      <w:proofErr w:type="gramStart"/>
      <w:r w:rsidR="00437C6E" w:rsidRPr="00515A58">
        <w:rPr>
          <w:sz w:val="24"/>
        </w:rPr>
        <w:t xml:space="preserve">The first key informants contacted in a community will </w:t>
      </w:r>
      <w:r w:rsidR="00A228EE" w:rsidRPr="00515A58">
        <w:rPr>
          <w:sz w:val="24"/>
        </w:rPr>
        <w:t xml:space="preserve">be identified by (1) use of the </w:t>
      </w:r>
      <w:r w:rsidR="009A3B6D" w:rsidRPr="00515A58">
        <w:rPr>
          <w:sz w:val="24"/>
        </w:rPr>
        <w:t>QED Education data-source from MCH (</w:t>
      </w:r>
      <w:hyperlink r:id="rId16" w:history="1">
        <w:r w:rsidR="009A3B6D" w:rsidRPr="00515A58">
          <w:rPr>
            <w:rStyle w:val="Hyperlink"/>
            <w:color w:val="auto"/>
            <w:sz w:val="24"/>
          </w:rPr>
          <w:t>http://www.mchdata.com/</w:t>
        </w:r>
      </w:hyperlink>
      <w:r w:rsidR="009A3B6D" w:rsidRPr="00515A58">
        <w:rPr>
          <w:sz w:val="24"/>
        </w:rPr>
        <w:t xml:space="preserve">), which will </w:t>
      </w:r>
      <w:r w:rsidR="009A3B6D" w:rsidRPr="00515A58">
        <w:rPr>
          <w:sz w:val="24"/>
        </w:rPr>
        <w:lastRenderedPageBreak/>
        <w:t>help us</w:t>
      </w:r>
      <w:r w:rsidR="00A228EE" w:rsidRPr="00515A58">
        <w:rPr>
          <w:sz w:val="24"/>
        </w:rPr>
        <w:t xml:space="preserve"> identify contact information for personnel associated with public schools within the catchment area and corresponding district, and (2) web-based searches to identify people within the municipal government (e.g., a representative from parks and recreation, city/county health department), and other organizations within the community (e.g., local YMCA, Chamber of Commerce, United Way, local hospital, etc.).</w:t>
      </w:r>
      <w:proofErr w:type="gramEnd"/>
      <w:r w:rsidR="00A228EE" w:rsidRPr="00515A58">
        <w:rPr>
          <w:sz w:val="24"/>
        </w:rPr>
        <w:t xml:space="preserve">  First responders to the key-informant interview described above </w:t>
      </w:r>
      <w:proofErr w:type="gramStart"/>
      <w:r w:rsidR="00A228EE" w:rsidRPr="00515A58">
        <w:rPr>
          <w:sz w:val="24"/>
        </w:rPr>
        <w:t xml:space="preserve">will </w:t>
      </w:r>
      <w:r w:rsidR="00437C6E" w:rsidRPr="00515A58">
        <w:rPr>
          <w:sz w:val="24"/>
        </w:rPr>
        <w:t>also be asked</w:t>
      </w:r>
      <w:proofErr w:type="gramEnd"/>
      <w:r w:rsidR="00437C6E" w:rsidRPr="00515A58">
        <w:rPr>
          <w:sz w:val="24"/>
        </w:rPr>
        <w:t xml:space="preserve"> to participate in snowball sampling to identify other community stakeholders for the study.  </w:t>
      </w:r>
      <w:r w:rsidR="00437C6E" w:rsidRPr="00515A58">
        <w:rPr>
          <w:rFonts w:cstheme="minorHAnsi"/>
          <w:sz w:val="24"/>
        </w:rPr>
        <w:t>A</w:t>
      </w:r>
      <w:r w:rsidR="00437C6E" w:rsidRPr="00515A58">
        <w:rPr>
          <w:sz w:val="24"/>
        </w:rPr>
        <w:t xml:space="preserve">pproximately 20 potential key informants will be screened in each community to identify 10 to 15 key informants to be interviewed that represent a variety of community interests and who consent to take part in the study.  </w:t>
      </w:r>
    </w:p>
    <w:p w:rsidR="00437C6E" w:rsidRPr="00515A58" w:rsidRDefault="00437C6E" w:rsidP="00756E94">
      <w:pPr>
        <w:rPr>
          <w:sz w:val="24"/>
        </w:rPr>
      </w:pPr>
    </w:p>
    <w:p w:rsidR="00DC02F2" w:rsidRPr="00515A58" w:rsidRDefault="00DC02F2" w:rsidP="00756E94">
      <w:pPr>
        <w:rPr>
          <w:sz w:val="24"/>
        </w:rPr>
      </w:pPr>
      <w:r w:rsidRPr="00515A58">
        <w:rPr>
          <w:sz w:val="24"/>
        </w:rPr>
        <w:t xml:space="preserve">Key informants will likely include these types of individuals identified within several key settings/sectors: </w:t>
      </w:r>
    </w:p>
    <w:p w:rsidR="00DC02F2" w:rsidRPr="00515A58" w:rsidRDefault="00DC02F2" w:rsidP="00756E94">
      <w:pPr>
        <w:ind w:left="540" w:hanging="180"/>
        <w:rPr>
          <w:sz w:val="24"/>
        </w:rPr>
      </w:pPr>
      <w:r w:rsidRPr="00515A58">
        <w:rPr>
          <w:sz w:val="24"/>
        </w:rPr>
        <w:t xml:space="preserve">a) </w:t>
      </w:r>
      <w:r w:rsidR="0017080B" w:rsidRPr="00515A58">
        <w:rPr>
          <w:sz w:val="24"/>
          <w:u w:val="single"/>
        </w:rPr>
        <w:t>Schools</w:t>
      </w:r>
      <w:r w:rsidR="0017080B" w:rsidRPr="00515A58">
        <w:rPr>
          <w:sz w:val="24"/>
        </w:rPr>
        <w:t xml:space="preserve"> (e.g., Principal of High School, Principals of two (based upon table below) randomly selected Middle Schools, Principal of one randomly selected Elementary School, school health coordinator, parent-teacher organization); </w:t>
      </w:r>
    </w:p>
    <w:p w:rsidR="00DC02F2" w:rsidRPr="00515A58" w:rsidRDefault="0017080B" w:rsidP="00756E94">
      <w:pPr>
        <w:ind w:left="540" w:hanging="180"/>
        <w:rPr>
          <w:sz w:val="24"/>
        </w:rPr>
      </w:pPr>
      <w:proofErr w:type="gramStart"/>
      <w:r w:rsidRPr="00515A58">
        <w:rPr>
          <w:sz w:val="24"/>
        </w:rPr>
        <w:t>b</w:t>
      </w:r>
      <w:proofErr w:type="gramEnd"/>
      <w:r w:rsidRPr="00515A58">
        <w:rPr>
          <w:sz w:val="24"/>
        </w:rPr>
        <w:t xml:space="preserve">) </w:t>
      </w:r>
      <w:r w:rsidRPr="00515A58">
        <w:rPr>
          <w:sz w:val="24"/>
          <w:u w:val="single"/>
        </w:rPr>
        <w:t>Health Organizations/Coalitions</w:t>
      </w:r>
      <w:r w:rsidRPr="00515A58">
        <w:rPr>
          <w:sz w:val="24"/>
        </w:rPr>
        <w:t xml:space="preserve"> (e.g., chair of active community coalition, administrator/staff of local health department, administrator/staff of local hospital); </w:t>
      </w:r>
    </w:p>
    <w:p w:rsidR="00C43FAF" w:rsidRPr="00515A58" w:rsidRDefault="0017080B" w:rsidP="00756E94">
      <w:pPr>
        <w:ind w:left="540" w:hanging="180"/>
        <w:rPr>
          <w:sz w:val="24"/>
        </w:rPr>
      </w:pPr>
      <w:r w:rsidRPr="00515A58">
        <w:rPr>
          <w:sz w:val="24"/>
        </w:rPr>
        <w:t xml:space="preserve">c) </w:t>
      </w:r>
      <w:r w:rsidRPr="00515A58">
        <w:rPr>
          <w:sz w:val="24"/>
          <w:u w:val="single"/>
        </w:rPr>
        <w:t>Government</w:t>
      </w:r>
      <w:r w:rsidRPr="00515A58">
        <w:rPr>
          <w:sz w:val="24"/>
        </w:rPr>
        <w:t xml:space="preserve"> (e.g., city manager/administrator, staff of parks and recreation, urban planner); and </w:t>
      </w:r>
    </w:p>
    <w:p w:rsidR="00C43FAF" w:rsidRPr="00515A58" w:rsidRDefault="0017080B" w:rsidP="00756E94">
      <w:pPr>
        <w:ind w:left="540" w:hanging="180"/>
        <w:rPr>
          <w:sz w:val="24"/>
        </w:rPr>
      </w:pPr>
      <w:r w:rsidRPr="00515A58">
        <w:rPr>
          <w:sz w:val="24"/>
        </w:rPr>
        <w:t xml:space="preserve">d) </w:t>
      </w:r>
      <w:r w:rsidRPr="00515A58">
        <w:rPr>
          <w:sz w:val="24"/>
          <w:u w:val="single"/>
        </w:rPr>
        <w:t>Non-Profit/Community Organizations/Service Agencies</w:t>
      </w:r>
      <w:r w:rsidRPr="00515A58">
        <w:rPr>
          <w:sz w:val="24"/>
        </w:rPr>
        <w:t xml:space="preserve"> (e.g., administrator/staff of United Way, youth organization, community foundation, neighborhood organization, Chamber of Commerce, faith organization).  </w:t>
      </w:r>
    </w:p>
    <w:p w:rsidR="00C43FAF" w:rsidRPr="00515A58" w:rsidRDefault="00C43FAF" w:rsidP="00756E94">
      <w:pPr>
        <w:rPr>
          <w:sz w:val="24"/>
        </w:rPr>
      </w:pPr>
    </w:p>
    <w:p w:rsidR="00C43FAF" w:rsidRPr="00515A58" w:rsidRDefault="0017080B" w:rsidP="00756E94">
      <w:pPr>
        <w:rPr>
          <w:sz w:val="24"/>
        </w:rPr>
      </w:pPr>
      <w:r w:rsidRPr="00515A58">
        <w:rPr>
          <w:sz w:val="24"/>
        </w:rPr>
        <w:t>Table B.1.5 below provides a listing of the planned priority (and alternate) key informants by setting, as well as an indication of whether or not we would expect to ask the key informant additional questions specific to the physical activity environment and/or the nutritional environment within the community.</w:t>
      </w:r>
    </w:p>
    <w:p w:rsidR="00C43FAF" w:rsidRPr="00515A58" w:rsidRDefault="00C43FAF">
      <w:pPr>
        <w:rPr>
          <w:sz w:val="24"/>
        </w:rPr>
      </w:pPr>
    </w:p>
    <w:p w:rsidR="004116D2" w:rsidRPr="00515A58" w:rsidRDefault="00B13A99">
      <w:pPr>
        <w:pStyle w:val="Style1sub-headings"/>
        <w:spacing w:before="0" w:line="240" w:lineRule="auto"/>
      </w:pPr>
      <w:bookmarkStart w:id="40" w:name="_Toc299107937"/>
      <w:bookmarkStart w:id="41" w:name="_Toc301448528"/>
      <w:bookmarkStart w:id="42" w:name="_Toc301448663"/>
      <w:bookmarkStart w:id="43" w:name="_Toc301448752"/>
      <w:bookmarkStart w:id="44" w:name="_Toc301448820"/>
      <w:r w:rsidRPr="00515A58">
        <w:t>Table B.</w:t>
      </w:r>
      <w:r w:rsidR="00454F36" w:rsidRPr="00515A58">
        <w:t>1.</w:t>
      </w:r>
      <w:r w:rsidR="00873462" w:rsidRPr="00515A58">
        <w:t>5</w:t>
      </w:r>
      <w:r w:rsidR="002D3872" w:rsidRPr="00515A58">
        <w:t xml:space="preserve">   </w:t>
      </w:r>
      <w:r w:rsidR="00DC02F2" w:rsidRPr="00515A58">
        <w:t>Priority/Alternate Community Key Informants Targeted for the HCS</w:t>
      </w:r>
      <w:bookmarkEnd w:id="40"/>
      <w:bookmarkEnd w:id="41"/>
      <w:bookmarkEnd w:id="42"/>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4320"/>
        <w:gridCol w:w="1620"/>
        <w:gridCol w:w="1548"/>
      </w:tblGrid>
      <w:tr w:rsidR="00DC02F2" w:rsidRPr="00515A58" w:rsidTr="00E94F72">
        <w:trPr>
          <w:tblHeader/>
        </w:trPr>
        <w:tc>
          <w:tcPr>
            <w:tcW w:w="2088" w:type="dxa"/>
            <w:vMerge w:val="restart"/>
            <w:shd w:val="clear" w:color="auto" w:fill="B8CCE4" w:themeFill="accent1" w:themeFillTint="66"/>
            <w:vAlign w:val="center"/>
          </w:tcPr>
          <w:p w:rsidR="00CF4495" w:rsidRPr="00515A58" w:rsidRDefault="0017080B" w:rsidP="00A76A72">
            <w:pPr>
              <w:jc w:val="center"/>
              <w:rPr>
                <w:b/>
                <w:szCs w:val="20"/>
              </w:rPr>
            </w:pPr>
            <w:r w:rsidRPr="00515A58">
              <w:rPr>
                <w:b/>
                <w:szCs w:val="20"/>
              </w:rPr>
              <w:t>SETTING/SECTOR</w:t>
            </w:r>
          </w:p>
        </w:tc>
        <w:tc>
          <w:tcPr>
            <w:tcW w:w="4320" w:type="dxa"/>
            <w:vMerge w:val="restart"/>
            <w:shd w:val="clear" w:color="auto" w:fill="B8CCE4" w:themeFill="accent1" w:themeFillTint="66"/>
            <w:vAlign w:val="center"/>
          </w:tcPr>
          <w:p w:rsidR="00CF4495" w:rsidRPr="00515A58" w:rsidRDefault="0017080B" w:rsidP="00A76A72">
            <w:pPr>
              <w:jc w:val="center"/>
              <w:rPr>
                <w:b/>
                <w:szCs w:val="20"/>
              </w:rPr>
            </w:pPr>
            <w:r w:rsidRPr="00515A58">
              <w:rPr>
                <w:b/>
                <w:szCs w:val="20"/>
              </w:rPr>
              <w:t>PRIORITY/ALTERNATE KEY INFORMANTS</w:t>
            </w:r>
          </w:p>
        </w:tc>
        <w:tc>
          <w:tcPr>
            <w:tcW w:w="3168" w:type="dxa"/>
            <w:gridSpan w:val="2"/>
            <w:shd w:val="clear" w:color="auto" w:fill="B8CCE4" w:themeFill="accent1" w:themeFillTint="66"/>
            <w:vAlign w:val="center"/>
          </w:tcPr>
          <w:p w:rsidR="00CF4495" w:rsidRPr="00515A58" w:rsidRDefault="0017080B" w:rsidP="00A76A72">
            <w:pPr>
              <w:jc w:val="center"/>
              <w:rPr>
                <w:b/>
                <w:szCs w:val="20"/>
              </w:rPr>
            </w:pPr>
            <w:r w:rsidRPr="00515A58">
              <w:rPr>
                <w:b/>
                <w:szCs w:val="20"/>
              </w:rPr>
              <w:t>SUPPLEMENTAL QUESTIONS</w:t>
            </w:r>
          </w:p>
        </w:tc>
      </w:tr>
      <w:tr w:rsidR="00DC02F2" w:rsidRPr="00515A58" w:rsidTr="00E94F72">
        <w:trPr>
          <w:tblHeader/>
        </w:trPr>
        <w:tc>
          <w:tcPr>
            <w:tcW w:w="2088" w:type="dxa"/>
            <w:vMerge/>
            <w:shd w:val="clear" w:color="auto" w:fill="B8CCE4" w:themeFill="accent1" w:themeFillTint="66"/>
            <w:vAlign w:val="center"/>
          </w:tcPr>
          <w:p w:rsidR="00C43FAF" w:rsidRPr="00515A58" w:rsidRDefault="00C43FAF">
            <w:pPr>
              <w:jc w:val="center"/>
              <w:rPr>
                <w:b/>
                <w:szCs w:val="20"/>
              </w:rPr>
            </w:pPr>
          </w:p>
        </w:tc>
        <w:tc>
          <w:tcPr>
            <w:tcW w:w="4320" w:type="dxa"/>
            <w:vMerge/>
            <w:shd w:val="clear" w:color="auto" w:fill="B8CCE4" w:themeFill="accent1" w:themeFillTint="66"/>
            <w:vAlign w:val="center"/>
          </w:tcPr>
          <w:p w:rsidR="00C43FAF" w:rsidRPr="00515A58" w:rsidRDefault="00C43FAF">
            <w:pPr>
              <w:jc w:val="center"/>
              <w:rPr>
                <w:b/>
                <w:szCs w:val="20"/>
              </w:rPr>
            </w:pPr>
          </w:p>
        </w:tc>
        <w:tc>
          <w:tcPr>
            <w:tcW w:w="1620" w:type="dxa"/>
            <w:shd w:val="clear" w:color="auto" w:fill="B8CCE4" w:themeFill="accent1" w:themeFillTint="66"/>
            <w:vAlign w:val="center"/>
          </w:tcPr>
          <w:p w:rsidR="00C43FAF" w:rsidRPr="00515A58" w:rsidRDefault="0017080B">
            <w:pPr>
              <w:jc w:val="center"/>
              <w:rPr>
                <w:b/>
                <w:szCs w:val="20"/>
              </w:rPr>
            </w:pPr>
            <w:r w:rsidRPr="00515A58">
              <w:rPr>
                <w:b/>
                <w:szCs w:val="20"/>
              </w:rPr>
              <w:t>Physical Activity</w:t>
            </w:r>
          </w:p>
        </w:tc>
        <w:tc>
          <w:tcPr>
            <w:tcW w:w="1548" w:type="dxa"/>
            <w:shd w:val="clear" w:color="auto" w:fill="B8CCE4" w:themeFill="accent1" w:themeFillTint="66"/>
            <w:vAlign w:val="center"/>
          </w:tcPr>
          <w:p w:rsidR="00C43FAF" w:rsidRPr="00515A58" w:rsidRDefault="0017080B">
            <w:pPr>
              <w:jc w:val="center"/>
              <w:rPr>
                <w:b/>
                <w:szCs w:val="20"/>
              </w:rPr>
            </w:pPr>
            <w:r w:rsidRPr="00515A58">
              <w:rPr>
                <w:b/>
                <w:szCs w:val="20"/>
              </w:rPr>
              <w:t>Nutrition</w:t>
            </w:r>
          </w:p>
        </w:tc>
      </w:tr>
      <w:tr w:rsidR="00DC02F2" w:rsidRPr="00515A58" w:rsidTr="00AA24DB">
        <w:tc>
          <w:tcPr>
            <w:tcW w:w="2088" w:type="dxa"/>
            <w:vMerge w:val="restart"/>
          </w:tcPr>
          <w:p w:rsidR="00DC02F2" w:rsidRPr="00515A58" w:rsidRDefault="0017080B" w:rsidP="00A76A72">
            <w:pPr>
              <w:rPr>
                <w:szCs w:val="20"/>
              </w:rPr>
            </w:pPr>
            <w:r w:rsidRPr="00515A58">
              <w:rPr>
                <w:szCs w:val="20"/>
              </w:rPr>
              <w:t>SCHOOLS</w:t>
            </w:r>
          </w:p>
        </w:tc>
        <w:tc>
          <w:tcPr>
            <w:tcW w:w="4320" w:type="dxa"/>
          </w:tcPr>
          <w:p w:rsidR="00DC02F2" w:rsidRPr="00515A58" w:rsidRDefault="0017080B" w:rsidP="00A76A72">
            <w:pPr>
              <w:rPr>
                <w:szCs w:val="20"/>
              </w:rPr>
            </w:pPr>
            <w:r w:rsidRPr="00515A58">
              <w:rPr>
                <w:szCs w:val="20"/>
              </w:rPr>
              <w:t>PRIORITY: Principal of one High School</w:t>
            </w:r>
          </w:p>
        </w:tc>
        <w:tc>
          <w:tcPr>
            <w:tcW w:w="1620" w:type="dxa"/>
          </w:tcPr>
          <w:p w:rsidR="00DC02F2" w:rsidRPr="00515A58" w:rsidRDefault="0017080B" w:rsidP="00A76A72">
            <w:pPr>
              <w:rPr>
                <w:szCs w:val="20"/>
              </w:rPr>
            </w:pPr>
            <w:r w:rsidRPr="00515A58">
              <w:rPr>
                <w:szCs w:val="20"/>
              </w:rPr>
              <w:t>Yes</w:t>
            </w:r>
          </w:p>
        </w:tc>
        <w:tc>
          <w:tcPr>
            <w:tcW w:w="1548" w:type="dxa"/>
          </w:tcPr>
          <w:p w:rsidR="00C43FAF" w:rsidRPr="00515A58" w:rsidRDefault="0017080B">
            <w:pPr>
              <w:rPr>
                <w:szCs w:val="20"/>
              </w:rPr>
            </w:pPr>
            <w:r w:rsidRPr="00515A58">
              <w:rPr>
                <w:szCs w:val="20"/>
              </w:rPr>
              <w:t>Yes</w:t>
            </w: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PRIORITY: Principal of 2 randomly selected Middle Schools</w:t>
            </w:r>
          </w:p>
        </w:tc>
        <w:tc>
          <w:tcPr>
            <w:tcW w:w="1620" w:type="dxa"/>
          </w:tcPr>
          <w:p w:rsidR="00C43FAF" w:rsidRPr="00515A58" w:rsidRDefault="0017080B">
            <w:pPr>
              <w:rPr>
                <w:szCs w:val="20"/>
              </w:rPr>
            </w:pPr>
            <w:r w:rsidRPr="00515A58">
              <w:rPr>
                <w:szCs w:val="20"/>
              </w:rPr>
              <w:t>Yes</w:t>
            </w:r>
          </w:p>
        </w:tc>
        <w:tc>
          <w:tcPr>
            <w:tcW w:w="1548" w:type="dxa"/>
          </w:tcPr>
          <w:p w:rsidR="00C43FAF" w:rsidRPr="00515A58" w:rsidRDefault="0017080B">
            <w:pPr>
              <w:rPr>
                <w:szCs w:val="20"/>
              </w:rPr>
            </w:pPr>
            <w:r w:rsidRPr="00515A58">
              <w:rPr>
                <w:szCs w:val="20"/>
              </w:rPr>
              <w:t>Yes</w:t>
            </w: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PRIORITY: Principal of 2 randomly selected Elementary Schools</w:t>
            </w:r>
          </w:p>
        </w:tc>
        <w:tc>
          <w:tcPr>
            <w:tcW w:w="1620" w:type="dxa"/>
          </w:tcPr>
          <w:p w:rsidR="00C43FAF" w:rsidRPr="00515A58" w:rsidRDefault="0017080B">
            <w:pPr>
              <w:rPr>
                <w:szCs w:val="20"/>
              </w:rPr>
            </w:pPr>
            <w:r w:rsidRPr="00515A58">
              <w:rPr>
                <w:szCs w:val="20"/>
              </w:rPr>
              <w:t>Yes</w:t>
            </w:r>
          </w:p>
        </w:tc>
        <w:tc>
          <w:tcPr>
            <w:tcW w:w="1548" w:type="dxa"/>
          </w:tcPr>
          <w:p w:rsidR="00C43FAF" w:rsidRPr="00515A58" w:rsidRDefault="0017080B">
            <w:pPr>
              <w:rPr>
                <w:szCs w:val="20"/>
              </w:rPr>
            </w:pPr>
            <w:r w:rsidRPr="00515A58">
              <w:rPr>
                <w:szCs w:val="20"/>
              </w:rPr>
              <w:t>Yes</w:t>
            </w: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ALTERNATE: School health coordinator</w:t>
            </w:r>
          </w:p>
        </w:tc>
        <w:tc>
          <w:tcPr>
            <w:tcW w:w="1620" w:type="dxa"/>
          </w:tcPr>
          <w:p w:rsidR="00C43FAF" w:rsidRPr="00515A58" w:rsidRDefault="0017080B">
            <w:pPr>
              <w:rPr>
                <w:szCs w:val="20"/>
              </w:rPr>
            </w:pPr>
            <w:r w:rsidRPr="00515A58">
              <w:rPr>
                <w:szCs w:val="20"/>
              </w:rPr>
              <w:t>Yes</w:t>
            </w:r>
          </w:p>
        </w:tc>
        <w:tc>
          <w:tcPr>
            <w:tcW w:w="1548" w:type="dxa"/>
          </w:tcPr>
          <w:p w:rsidR="00C43FAF" w:rsidRPr="00515A58" w:rsidRDefault="0017080B">
            <w:pPr>
              <w:rPr>
                <w:szCs w:val="20"/>
              </w:rPr>
            </w:pPr>
            <w:r w:rsidRPr="00515A58">
              <w:rPr>
                <w:szCs w:val="20"/>
              </w:rPr>
              <w:t>Yes</w:t>
            </w: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ALTERNATE: PE coordinator</w:t>
            </w:r>
          </w:p>
        </w:tc>
        <w:tc>
          <w:tcPr>
            <w:tcW w:w="1620" w:type="dxa"/>
          </w:tcPr>
          <w:p w:rsidR="004116D2" w:rsidRPr="00515A58" w:rsidRDefault="00DC02F2">
            <w:pPr>
              <w:rPr>
                <w:b/>
                <w:bCs/>
                <w:szCs w:val="20"/>
                <w:u w:val="single"/>
              </w:rPr>
            </w:pPr>
            <w:r w:rsidRPr="00515A58">
              <w:rPr>
                <w:szCs w:val="20"/>
              </w:rPr>
              <w:t>Yes</w:t>
            </w:r>
          </w:p>
        </w:tc>
        <w:tc>
          <w:tcPr>
            <w:tcW w:w="1548" w:type="dxa"/>
          </w:tcPr>
          <w:p w:rsidR="00C43FAF" w:rsidRPr="00515A58" w:rsidRDefault="00C43FAF">
            <w:pPr>
              <w:rPr>
                <w:szCs w:val="20"/>
              </w:rPr>
            </w:pP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ALTERNATE: Food service coordinator</w:t>
            </w:r>
          </w:p>
        </w:tc>
        <w:tc>
          <w:tcPr>
            <w:tcW w:w="1620" w:type="dxa"/>
          </w:tcPr>
          <w:p w:rsidR="00C43FAF" w:rsidRPr="00515A58" w:rsidRDefault="00C43FAF">
            <w:pPr>
              <w:rPr>
                <w:szCs w:val="20"/>
              </w:rPr>
            </w:pPr>
          </w:p>
        </w:tc>
        <w:tc>
          <w:tcPr>
            <w:tcW w:w="1548" w:type="dxa"/>
          </w:tcPr>
          <w:p w:rsidR="00C43FAF" w:rsidRPr="00515A58" w:rsidRDefault="00DC02F2">
            <w:pPr>
              <w:rPr>
                <w:szCs w:val="20"/>
              </w:rPr>
            </w:pPr>
            <w:r w:rsidRPr="00515A58">
              <w:rPr>
                <w:szCs w:val="20"/>
              </w:rPr>
              <w:t>Yes</w:t>
            </w:r>
          </w:p>
        </w:tc>
      </w:tr>
      <w:tr w:rsidR="00DC02F2" w:rsidRPr="00515A58" w:rsidTr="00AA24DB">
        <w:tc>
          <w:tcPr>
            <w:tcW w:w="2088" w:type="dxa"/>
            <w:vMerge w:val="restart"/>
          </w:tcPr>
          <w:p w:rsidR="00DC02F2" w:rsidRPr="00515A58" w:rsidRDefault="0017080B" w:rsidP="00A76A72">
            <w:pPr>
              <w:rPr>
                <w:szCs w:val="20"/>
              </w:rPr>
            </w:pPr>
            <w:r w:rsidRPr="00515A58">
              <w:rPr>
                <w:szCs w:val="20"/>
              </w:rPr>
              <w:t>HEALTH ORGANIZATIONS/</w:t>
            </w:r>
          </w:p>
          <w:p w:rsidR="00DC02F2" w:rsidRPr="00515A58" w:rsidRDefault="0017080B" w:rsidP="00A76A72">
            <w:pPr>
              <w:rPr>
                <w:szCs w:val="20"/>
              </w:rPr>
            </w:pPr>
            <w:r w:rsidRPr="00515A58">
              <w:rPr>
                <w:szCs w:val="20"/>
              </w:rPr>
              <w:t>COALITIONS</w:t>
            </w:r>
          </w:p>
        </w:tc>
        <w:tc>
          <w:tcPr>
            <w:tcW w:w="4320" w:type="dxa"/>
          </w:tcPr>
          <w:p w:rsidR="00DC02F2" w:rsidRPr="00515A58" w:rsidRDefault="0017080B" w:rsidP="00A76A72">
            <w:pPr>
              <w:rPr>
                <w:szCs w:val="20"/>
              </w:rPr>
            </w:pPr>
            <w:r w:rsidRPr="00515A58">
              <w:rPr>
                <w:szCs w:val="20"/>
              </w:rPr>
              <w:t>PRIORITY: Chair of active community coalition (if present)</w:t>
            </w:r>
          </w:p>
        </w:tc>
        <w:tc>
          <w:tcPr>
            <w:tcW w:w="1620" w:type="dxa"/>
          </w:tcPr>
          <w:p w:rsidR="00C43FAF" w:rsidRPr="00515A58" w:rsidRDefault="0017080B">
            <w:pPr>
              <w:rPr>
                <w:szCs w:val="20"/>
              </w:rPr>
            </w:pPr>
            <w:r w:rsidRPr="00515A58">
              <w:rPr>
                <w:szCs w:val="20"/>
              </w:rPr>
              <w:t>Yes</w:t>
            </w:r>
          </w:p>
        </w:tc>
        <w:tc>
          <w:tcPr>
            <w:tcW w:w="1548" w:type="dxa"/>
          </w:tcPr>
          <w:p w:rsidR="00C43FAF" w:rsidRPr="00515A58" w:rsidRDefault="0017080B">
            <w:pPr>
              <w:rPr>
                <w:szCs w:val="20"/>
              </w:rPr>
            </w:pPr>
            <w:r w:rsidRPr="00515A58">
              <w:rPr>
                <w:szCs w:val="20"/>
              </w:rPr>
              <w:t>Yes</w:t>
            </w: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 xml:space="preserve">PRIORITY: Administrator/staff of local health department </w:t>
            </w:r>
          </w:p>
        </w:tc>
        <w:tc>
          <w:tcPr>
            <w:tcW w:w="1620" w:type="dxa"/>
          </w:tcPr>
          <w:p w:rsidR="00C43FAF" w:rsidRPr="00515A58" w:rsidRDefault="00C43FAF">
            <w:pPr>
              <w:rPr>
                <w:szCs w:val="20"/>
              </w:rPr>
            </w:pPr>
          </w:p>
        </w:tc>
        <w:tc>
          <w:tcPr>
            <w:tcW w:w="1548" w:type="dxa"/>
          </w:tcPr>
          <w:p w:rsidR="00C43FAF" w:rsidRPr="00515A58" w:rsidRDefault="0017080B">
            <w:pPr>
              <w:rPr>
                <w:szCs w:val="20"/>
              </w:rPr>
            </w:pPr>
            <w:r w:rsidRPr="00515A58">
              <w:rPr>
                <w:szCs w:val="20"/>
              </w:rPr>
              <w:t>Yes</w:t>
            </w: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PRIORITY: Administrator/staff of local hospital</w:t>
            </w:r>
          </w:p>
        </w:tc>
        <w:tc>
          <w:tcPr>
            <w:tcW w:w="1620" w:type="dxa"/>
          </w:tcPr>
          <w:p w:rsidR="00C43FAF" w:rsidRPr="00515A58" w:rsidRDefault="00C43FAF">
            <w:pPr>
              <w:rPr>
                <w:szCs w:val="20"/>
              </w:rPr>
            </w:pPr>
          </w:p>
        </w:tc>
        <w:tc>
          <w:tcPr>
            <w:tcW w:w="1548" w:type="dxa"/>
          </w:tcPr>
          <w:p w:rsidR="00C43FAF" w:rsidRPr="00515A58" w:rsidRDefault="00C43FAF">
            <w:pPr>
              <w:rPr>
                <w:szCs w:val="20"/>
              </w:rPr>
            </w:pPr>
          </w:p>
        </w:tc>
      </w:tr>
      <w:tr w:rsidR="00DC02F2" w:rsidRPr="00515A58" w:rsidTr="00AA24DB">
        <w:tc>
          <w:tcPr>
            <w:tcW w:w="2088" w:type="dxa"/>
            <w:vMerge w:val="restart"/>
          </w:tcPr>
          <w:p w:rsidR="00DC02F2" w:rsidRPr="00515A58" w:rsidRDefault="0017080B" w:rsidP="00A76A72">
            <w:pPr>
              <w:rPr>
                <w:szCs w:val="20"/>
              </w:rPr>
            </w:pPr>
            <w:r w:rsidRPr="00515A58">
              <w:rPr>
                <w:szCs w:val="20"/>
              </w:rPr>
              <w:t>GOVERNMENT</w:t>
            </w:r>
          </w:p>
        </w:tc>
        <w:tc>
          <w:tcPr>
            <w:tcW w:w="4320" w:type="dxa"/>
          </w:tcPr>
          <w:p w:rsidR="00DC02F2" w:rsidRPr="00515A58" w:rsidRDefault="0017080B" w:rsidP="00A76A72">
            <w:pPr>
              <w:rPr>
                <w:szCs w:val="20"/>
              </w:rPr>
            </w:pPr>
            <w:r w:rsidRPr="00515A58">
              <w:rPr>
                <w:szCs w:val="20"/>
              </w:rPr>
              <w:t>PRIORITY: City manager/administrator</w:t>
            </w:r>
          </w:p>
        </w:tc>
        <w:tc>
          <w:tcPr>
            <w:tcW w:w="1620" w:type="dxa"/>
          </w:tcPr>
          <w:p w:rsidR="00DC02F2" w:rsidRPr="00515A58" w:rsidRDefault="00DC02F2" w:rsidP="00A76A72">
            <w:pPr>
              <w:rPr>
                <w:szCs w:val="20"/>
              </w:rPr>
            </w:pPr>
          </w:p>
        </w:tc>
        <w:tc>
          <w:tcPr>
            <w:tcW w:w="1548" w:type="dxa"/>
          </w:tcPr>
          <w:p w:rsidR="00C43FAF" w:rsidRPr="00515A58" w:rsidRDefault="00C43FAF">
            <w:pPr>
              <w:rPr>
                <w:szCs w:val="20"/>
              </w:rPr>
            </w:pP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PRIORITY: Head/ staff of parks and recreation</w:t>
            </w:r>
          </w:p>
        </w:tc>
        <w:tc>
          <w:tcPr>
            <w:tcW w:w="1620" w:type="dxa"/>
          </w:tcPr>
          <w:p w:rsidR="00C43FAF" w:rsidRPr="00515A58" w:rsidRDefault="0017080B">
            <w:pPr>
              <w:rPr>
                <w:szCs w:val="20"/>
              </w:rPr>
            </w:pPr>
            <w:r w:rsidRPr="00515A58">
              <w:rPr>
                <w:szCs w:val="20"/>
              </w:rPr>
              <w:t>Yes</w:t>
            </w:r>
          </w:p>
        </w:tc>
        <w:tc>
          <w:tcPr>
            <w:tcW w:w="1548" w:type="dxa"/>
          </w:tcPr>
          <w:p w:rsidR="00C43FAF" w:rsidRPr="00515A58" w:rsidRDefault="00C43FAF">
            <w:pPr>
              <w:rPr>
                <w:szCs w:val="20"/>
              </w:rPr>
            </w:pP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PRIORITY: Urban planner</w:t>
            </w:r>
          </w:p>
        </w:tc>
        <w:tc>
          <w:tcPr>
            <w:tcW w:w="1620" w:type="dxa"/>
          </w:tcPr>
          <w:p w:rsidR="00C43FAF" w:rsidRPr="00515A58" w:rsidRDefault="0017080B">
            <w:pPr>
              <w:rPr>
                <w:szCs w:val="20"/>
              </w:rPr>
            </w:pPr>
            <w:r w:rsidRPr="00515A58">
              <w:rPr>
                <w:szCs w:val="20"/>
              </w:rPr>
              <w:t>Yes</w:t>
            </w:r>
          </w:p>
        </w:tc>
        <w:tc>
          <w:tcPr>
            <w:tcW w:w="1548" w:type="dxa"/>
          </w:tcPr>
          <w:p w:rsidR="00C43FAF" w:rsidRPr="00515A58" w:rsidRDefault="00C43FAF">
            <w:pPr>
              <w:rPr>
                <w:szCs w:val="20"/>
              </w:rPr>
            </w:pPr>
          </w:p>
        </w:tc>
      </w:tr>
      <w:tr w:rsidR="00DC02F2" w:rsidRPr="00515A58" w:rsidTr="00AA24DB">
        <w:tc>
          <w:tcPr>
            <w:tcW w:w="2088" w:type="dxa"/>
            <w:vMerge w:val="restart"/>
          </w:tcPr>
          <w:p w:rsidR="00DC02F2" w:rsidRPr="00515A58" w:rsidRDefault="0017080B" w:rsidP="00A76A72">
            <w:pPr>
              <w:rPr>
                <w:szCs w:val="20"/>
              </w:rPr>
            </w:pPr>
            <w:r w:rsidRPr="00515A58">
              <w:rPr>
                <w:szCs w:val="20"/>
              </w:rPr>
              <w:t xml:space="preserve">NON-PROFIT/ </w:t>
            </w:r>
            <w:r w:rsidRPr="00515A58">
              <w:rPr>
                <w:szCs w:val="20"/>
              </w:rPr>
              <w:lastRenderedPageBreak/>
              <w:t>COMMUNITY ORGANIZATIONS/ SERVICE AGENCIES</w:t>
            </w:r>
          </w:p>
        </w:tc>
        <w:tc>
          <w:tcPr>
            <w:tcW w:w="4320" w:type="dxa"/>
          </w:tcPr>
          <w:p w:rsidR="00DC02F2" w:rsidRPr="00515A58" w:rsidRDefault="0017080B" w:rsidP="00A76A72">
            <w:pPr>
              <w:rPr>
                <w:szCs w:val="20"/>
              </w:rPr>
            </w:pPr>
            <w:r w:rsidRPr="00515A58">
              <w:rPr>
                <w:szCs w:val="20"/>
              </w:rPr>
              <w:lastRenderedPageBreak/>
              <w:t>PRIORITY: Administrator/staff of United Way</w:t>
            </w:r>
          </w:p>
        </w:tc>
        <w:tc>
          <w:tcPr>
            <w:tcW w:w="1620" w:type="dxa"/>
          </w:tcPr>
          <w:p w:rsidR="00DC02F2" w:rsidRPr="00515A58" w:rsidRDefault="00DC02F2" w:rsidP="00A76A72">
            <w:pPr>
              <w:rPr>
                <w:szCs w:val="20"/>
              </w:rPr>
            </w:pPr>
          </w:p>
        </w:tc>
        <w:tc>
          <w:tcPr>
            <w:tcW w:w="1548" w:type="dxa"/>
          </w:tcPr>
          <w:p w:rsidR="00C43FAF" w:rsidRPr="00515A58" w:rsidRDefault="00C43FAF">
            <w:pPr>
              <w:rPr>
                <w:szCs w:val="20"/>
              </w:rPr>
            </w:pP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PRIORITY: Director/staff of community foundation with health mission</w:t>
            </w:r>
          </w:p>
        </w:tc>
        <w:tc>
          <w:tcPr>
            <w:tcW w:w="1620" w:type="dxa"/>
          </w:tcPr>
          <w:p w:rsidR="00C43FAF" w:rsidRPr="00515A58" w:rsidRDefault="00C43FAF">
            <w:pPr>
              <w:rPr>
                <w:szCs w:val="20"/>
              </w:rPr>
            </w:pPr>
          </w:p>
        </w:tc>
        <w:tc>
          <w:tcPr>
            <w:tcW w:w="1548" w:type="dxa"/>
          </w:tcPr>
          <w:p w:rsidR="00C43FAF" w:rsidRPr="00515A58" w:rsidRDefault="00C43FAF">
            <w:pPr>
              <w:rPr>
                <w:szCs w:val="20"/>
              </w:rPr>
            </w:pP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ALTERNATE: Director/staff of child or youth organization</w:t>
            </w:r>
          </w:p>
        </w:tc>
        <w:tc>
          <w:tcPr>
            <w:tcW w:w="1620" w:type="dxa"/>
          </w:tcPr>
          <w:p w:rsidR="00C43FAF" w:rsidRPr="00515A58" w:rsidRDefault="00C43FAF">
            <w:pPr>
              <w:rPr>
                <w:szCs w:val="20"/>
              </w:rPr>
            </w:pPr>
          </w:p>
        </w:tc>
        <w:tc>
          <w:tcPr>
            <w:tcW w:w="1548" w:type="dxa"/>
          </w:tcPr>
          <w:p w:rsidR="00C43FAF" w:rsidRPr="00515A58" w:rsidRDefault="00C43FAF">
            <w:pPr>
              <w:rPr>
                <w:szCs w:val="20"/>
              </w:rPr>
            </w:pP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ALTERNATE: Leader of active neighborhood organization</w:t>
            </w:r>
          </w:p>
        </w:tc>
        <w:tc>
          <w:tcPr>
            <w:tcW w:w="1620" w:type="dxa"/>
          </w:tcPr>
          <w:p w:rsidR="00C43FAF" w:rsidRPr="00515A58" w:rsidRDefault="00C43FAF">
            <w:pPr>
              <w:rPr>
                <w:szCs w:val="20"/>
              </w:rPr>
            </w:pPr>
          </w:p>
        </w:tc>
        <w:tc>
          <w:tcPr>
            <w:tcW w:w="1548" w:type="dxa"/>
          </w:tcPr>
          <w:p w:rsidR="00C43FAF" w:rsidRPr="00515A58" w:rsidRDefault="00C43FAF">
            <w:pPr>
              <w:rPr>
                <w:szCs w:val="20"/>
              </w:rPr>
            </w:pP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ALTERNATE: Head of Chamber of Commerce</w:t>
            </w:r>
          </w:p>
        </w:tc>
        <w:tc>
          <w:tcPr>
            <w:tcW w:w="1620" w:type="dxa"/>
          </w:tcPr>
          <w:p w:rsidR="00C43FAF" w:rsidRPr="00515A58" w:rsidRDefault="00C43FAF">
            <w:pPr>
              <w:rPr>
                <w:szCs w:val="20"/>
              </w:rPr>
            </w:pPr>
          </w:p>
        </w:tc>
        <w:tc>
          <w:tcPr>
            <w:tcW w:w="1548" w:type="dxa"/>
          </w:tcPr>
          <w:p w:rsidR="00C43FAF" w:rsidRPr="00515A58" w:rsidRDefault="00C43FAF">
            <w:pPr>
              <w:rPr>
                <w:szCs w:val="20"/>
              </w:rPr>
            </w:pPr>
          </w:p>
        </w:tc>
      </w:tr>
      <w:tr w:rsidR="00DC02F2" w:rsidRPr="00515A58" w:rsidTr="00AA24DB">
        <w:tc>
          <w:tcPr>
            <w:tcW w:w="2088" w:type="dxa"/>
            <w:vMerge/>
          </w:tcPr>
          <w:p w:rsidR="00C43FAF" w:rsidRPr="00515A58" w:rsidRDefault="00C43FAF">
            <w:pPr>
              <w:rPr>
                <w:szCs w:val="20"/>
              </w:rPr>
            </w:pPr>
          </w:p>
        </w:tc>
        <w:tc>
          <w:tcPr>
            <w:tcW w:w="4320" w:type="dxa"/>
          </w:tcPr>
          <w:p w:rsidR="00C43FAF" w:rsidRPr="00515A58" w:rsidRDefault="0017080B">
            <w:pPr>
              <w:rPr>
                <w:szCs w:val="20"/>
              </w:rPr>
            </w:pPr>
            <w:r w:rsidRPr="00515A58">
              <w:rPr>
                <w:szCs w:val="20"/>
              </w:rPr>
              <w:t>ALTERNATE: Leader of active faith community</w:t>
            </w:r>
          </w:p>
        </w:tc>
        <w:tc>
          <w:tcPr>
            <w:tcW w:w="1620" w:type="dxa"/>
          </w:tcPr>
          <w:p w:rsidR="00C43FAF" w:rsidRPr="00515A58" w:rsidRDefault="00C43FAF">
            <w:pPr>
              <w:rPr>
                <w:szCs w:val="20"/>
              </w:rPr>
            </w:pPr>
          </w:p>
        </w:tc>
        <w:tc>
          <w:tcPr>
            <w:tcW w:w="1548" w:type="dxa"/>
          </w:tcPr>
          <w:p w:rsidR="00C43FAF" w:rsidRPr="00515A58" w:rsidRDefault="00C43FAF">
            <w:pPr>
              <w:rPr>
                <w:szCs w:val="20"/>
              </w:rPr>
            </w:pPr>
          </w:p>
        </w:tc>
      </w:tr>
    </w:tbl>
    <w:p w:rsidR="004116D2" w:rsidRPr="00515A58" w:rsidRDefault="004116D2">
      <w:pPr>
        <w:pStyle w:val="BHNormal"/>
        <w:rPr>
          <w:szCs w:val="24"/>
        </w:rPr>
      </w:pPr>
    </w:p>
    <w:p w:rsidR="00E94F72" w:rsidRPr="00515A58" w:rsidRDefault="00E94F72">
      <w:pPr>
        <w:pStyle w:val="BHNormal"/>
        <w:rPr>
          <w:szCs w:val="24"/>
        </w:rPr>
      </w:pPr>
    </w:p>
    <w:p w:rsidR="004116D2" w:rsidRPr="00515A58" w:rsidRDefault="00DC02F2" w:rsidP="00756E94">
      <w:pPr>
        <w:pStyle w:val="BHNormal"/>
        <w:rPr>
          <w:szCs w:val="24"/>
        </w:rPr>
      </w:pPr>
      <w:r w:rsidRPr="00515A58">
        <w:rPr>
          <w:szCs w:val="24"/>
        </w:rPr>
        <w:t>Identified key informants will the</w:t>
      </w:r>
      <w:r w:rsidR="00873462" w:rsidRPr="00515A58">
        <w:rPr>
          <w:szCs w:val="24"/>
        </w:rPr>
        <w:t>n be contacted directly via an information letter (</w:t>
      </w:r>
      <w:r w:rsidR="007C130F" w:rsidRPr="00515A58">
        <w:rPr>
          <w:szCs w:val="24"/>
        </w:rPr>
        <w:t xml:space="preserve">SSA </w:t>
      </w:r>
      <w:r w:rsidR="00873462" w:rsidRPr="00515A58">
        <w:rPr>
          <w:szCs w:val="24"/>
        </w:rPr>
        <w:t>Attac</w:t>
      </w:r>
      <w:r w:rsidR="00487C9D" w:rsidRPr="00515A58">
        <w:rPr>
          <w:szCs w:val="24"/>
        </w:rPr>
        <w:t xml:space="preserve">hment </w:t>
      </w:r>
      <w:r w:rsidR="007C130F" w:rsidRPr="00515A58">
        <w:rPr>
          <w:szCs w:val="24"/>
        </w:rPr>
        <w:t>11</w:t>
      </w:r>
      <w:r w:rsidR="00487C9D" w:rsidRPr="00515A58">
        <w:rPr>
          <w:szCs w:val="24"/>
        </w:rPr>
        <w:t>)</w:t>
      </w:r>
      <w:r w:rsidR="00CF5535" w:rsidRPr="00515A58">
        <w:rPr>
          <w:szCs w:val="24"/>
        </w:rPr>
        <w:t>,</w:t>
      </w:r>
      <w:r w:rsidR="00487C9D" w:rsidRPr="00515A58">
        <w:rPr>
          <w:szCs w:val="24"/>
        </w:rPr>
        <w:t xml:space="preserve"> a study brochure (</w:t>
      </w:r>
      <w:r w:rsidR="0017080B" w:rsidRPr="00515A58">
        <w:rPr>
          <w:szCs w:val="24"/>
        </w:rPr>
        <w:t xml:space="preserve">SSA Attachment 12), and/or telephone by a Battelle research staff member </w:t>
      </w:r>
      <w:r w:rsidR="00960055" w:rsidRPr="00515A58">
        <w:rPr>
          <w:szCs w:val="24"/>
        </w:rPr>
        <w:t xml:space="preserve">(a Battelle community liaison) </w:t>
      </w:r>
      <w:r w:rsidR="0017080B" w:rsidRPr="00515A58">
        <w:rPr>
          <w:szCs w:val="24"/>
        </w:rPr>
        <w:t xml:space="preserve">who will describe the study, determine the key informant’s eligibility, and request </w:t>
      </w:r>
      <w:r w:rsidR="00960055" w:rsidRPr="00515A58">
        <w:rPr>
          <w:szCs w:val="24"/>
        </w:rPr>
        <w:t xml:space="preserve">his/her </w:t>
      </w:r>
      <w:r w:rsidR="0017080B" w:rsidRPr="00515A58">
        <w:rPr>
          <w:szCs w:val="24"/>
        </w:rPr>
        <w:t xml:space="preserve">participation.  </w:t>
      </w:r>
      <w:r w:rsidR="00960055" w:rsidRPr="00515A58">
        <w:rPr>
          <w:szCs w:val="24"/>
        </w:rPr>
        <w:t xml:space="preserve">Once a potential </w:t>
      </w:r>
      <w:r w:rsidR="0017080B" w:rsidRPr="00515A58">
        <w:rPr>
          <w:szCs w:val="24"/>
        </w:rPr>
        <w:t xml:space="preserve">key informant </w:t>
      </w:r>
      <w:r w:rsidR="00960055" w:rsidRPr="00515A58">
        <w:rPr>
          <w:szCs w:val="24"/>
        </w:rPr>
        <w:t xml:space="preserve">agrees to participate in the study, he/she </w:t>
      </w:r>
      <w:proofErr w:type="gramStart"/>
      <w:r w:rsidR="0017080B" w:rsidRPr="00515A58">
        <w:rPr>
          <w:szCs w:val="24"/>
        </w:rPr>
        <w:t xml:space="preserve">will be </w:t>
      </w:r>
      <w:r w:rsidR="00960055" w:rsidRPr="00515A58">
        <w:rPr>
          <w:szCs w:val="24"/>
        </w:rPr>
        <w:t>requested</w:t>
      </w:r>
      <w:proofErr w:type="gramEnd"/>
      <w:r w:rsidR="00960055" w:rsidRPr="00515A58">
        <w:rPr>
          <w:szCs w:val="24"/>
        </w:rPr>
        <w:t xml:space="preserve"> </w:t>
      </w:r>
      <w:r w:rsidR="0017080B" w:rsidRPr="00515A58">
        <w:rPr>
          <w:szCs w:val="24"/>
        </w:rPr>
        <w:t xml:space="preserve">to provide </w:t>
      </w:r>
      <w:r w:rsidR="00960055" w:rsidRPr="00515A58">
        <w:rPr>
          <w:szCs w:val="24"/>
        </w:rPr>
        <w:t xml:space="preserve">documentation on community </w:t>
      </w:r>
      <w:r w:rsidR="0017080B" w:rsidRPr="00515A58">
        <w:rPr>
          <w:szCs w:val="24"/>
        </w:rPr>
        <w:t xml:space="preserve">programs and policies related to childhood obesity </w:t>
      </w:r>
      <w:r w:rsidR="00960055" w:rsidRPr="00515A58">
        <w:rPr>
          <w:szCs w:val="24"/>
        </w:rPr>
        <w:t xml:space="preserve">and an in-person or telephone structured interview will be scheduled.  </w:t>
      </w:r>
    </w:p>
    <w:p w:rsidR="00D16FFE" w:rsidRPr="00515A58" w:rsidRDefault="00D16FFE" w:rsidP="00756E94">
      <w:pPr>
        <w:pStyle w:val="BHNormal"/>
        <w:rPr>
          <w:szCs w:val="24"/>
        </w:rPr>
      </w:pPr>
    </w:p>
    <w:p w:rsidR="004116D2" w:rsidRPr="00515A58" w:rsidRDefault="00437C6E" w:rsidP="00756E94">
      <w:pPr>
        <w:rPr>
          <w:sz w:val="24"/>
        </w:rPr>
      </w:pPr>
      <w:r w:rsidRPr="00515A58">
        <w:rPr>
          <w:sz w:val="24"/>
        </w:rPr>
        <w:t>At the time of the interview, the</w:t>
      </w:r>
      <w:r w:rsidR="0017080B" w:rsidRPr="00515A58">
        <w:rPr>
          <w:sz w:val="24"/>
        </w:rPr>
        <w:t xml:space="preserve"> Battelle community liaison will explain the study, review the consent document, and answer any questions the key informant may have.  Following this, the key informant </w:t>
      </w:r>
      <w:proofErr w:type="gramStart"/>
      <w:r w:rsidR="0017080B" w:rsidRPr="00515A58">
        <w:rPr>
          <w:sz w:val="24"/>
        </w:rPr>
        <w:t>will be asked</w:t>
      </w:r>
      <w:proofErr w:type="gramEnd"/>
      <w:r w:rsidR="0017080B" w:rsidRPr="00515A58">
        <w:rPr>
          <w:sz w:val="24"/>
        </w:rPr>
        <w:t xml:space="preserve"> to sign the informed consent form prior to the initiation of the structured interview.  When the respondent is unable to participate in an in-person interview and completes a telephone interview instead, a verbal consent script </w:t>
      </w:r>
      <w:proofErr w:type="gramStart"/>
      <w:r w:rsidR="0017080B" w:rsidRPr="00515A58">
        <w:rPr>
          <w:sz w:val="24"/>
        </w:rPr>
        <w:t>will be read</w:t>
      </w:r>
      <w:proofErr w:type="gramEnd"/>
      <w:r w:rsidR="0017080B" w:rsidRPr="00515A58">
        <w:rPr>
          <w:sz w:val="24"/>
        </w:rPr>
        <w:t xml:space="preserve"> to the key informant by a Battelle community liaison before the interview begins.  Battelle community liaisons </w:t>
      </w:r>
      <w:proofErr w:type="gramStart"/>
      <w:r w:rsidR="0017080B" w:rsidRPr="00515A58">
        <w:rPr>
          <w:sz w:val="24"/>
        </w:rPr>
        <w:t>will be trained</w:t>
      </w:r>
      <w:proofErr w:type="gramEnd"/>
      <w:r w:rsidR="0017080B" w:rsidRPr="00515A58">
        <w:rPr>
          <w:sz w:val="24"/>
        </w:rPr>
        <w:t xml:space="preserve"> in Human Subjects Research; therefore, they will know the guidelines regarding what qualifies as informed consent.  </w:t>
      </w:r>
    </w:p>
    <w:p w:rsidR="004116D2" w:rsidRPr="00515A58" w:rsidRDefault="004116D2" w:rsidP="00756E94">
      <w:pPr>
        <w:rPr>
          <w:bCs/>
          <w:sz w:val="24"/>
        </w:rPr>
      </w:pPr>
    </w:p>
    <w:p w:rsidR="004116D2" w:rsidRPr="00515A58" w:rsidRDefault="00DC02F2" w:rsidP="00756E94">
      <w:pPr>
        <w:pStyle w:val="BHLevel3"/>
        <w:rPr>
          <w:szCs w:val="24"/>
        </w:rPr>
      </w:pPr>
      <w:bookmarkStart w:id="45" w:name="_Toc299107938"/>
      <w:bookmarkStart w:id="46" w:name="_Toc301448753"/>
      <w:bookmarkStart w:id="47" w:name="_Toc301448821"/>
      <w:r w:rsidRPr="00515A58">
        <w:rPr>
          <w:szCs w:val="24"/>
        </w:rPr>
        <w:t>B.1.e</w:t>
      </w:r>
      <w:r w:rsidR="00E94F72" w:rsidRPr="00515A58">
        <w:rPr>
          <w:szCs w:val="24"/>
        </w:rPr>
        <w:tab/>
      </w:r>
      <w:r w:rsidRPr="00515A58">
        <w:rPr>
          <w:szCs w:val="24"/>
        </w:rPr>
        <w:t>Power Calculations</w:t>
      </w:r>
      <w:bookmarkEnd w:id="45"/>
      <w:bookmarkEnd w:id="46"/>
      <w:bookmarkEnd w:id="47"/>
    </w:p>
    <w:p w:rsidR="00243396" w:rsidRPr="00515A58" w:rsidRDefault="00FA2528" w:rsidP="00756E94">
      <w:pPr>
        <w:adjustRightInd w:val="0"/>
        <w:rPr>
          <w:sz w:val="24"/>
        </w:rPr>
      </w:pPr>
      <w:r w:rsidRPr="00515A58">
        <w:rPr>
          <w:sz w:val="24"/>
        </w:rPr>
        <w:t>The in</w:t>
      </w:r>
      <w:r w:rsidR="00757838" w:rsidRPr="00515A58">
        <w:rPr>
          <w:sz w:val="24"/>
        </w:rPr>
        <w:t xml:space="preserve">clusion </w:t>
      </w:r>
      <w:r w:rsidRPr="00515A58">
        <w:rPr>
          <w:sz w:val="24"/>
        </w:rPr>
        <w:t>of 27</w:t>
      </w:r>
      <w:r w:rsidR="00FA6011" w:rsidRPr="00515A58">
        <w:rPr>
          <w:sz w:val="24"/>
        </w:rPr>
        <w:t>5</w:t>
      </w:r>
      <w:r w:rsidRPr="00515A58">
        <w:rPr>
          <w:sz w:val="24"/>
        </w:rPr>
        <w:t xml:space="preserve"> communities in </w:t>
      </w:r>
      <w:r w:rsidR="00437C6E" w:rsidRPr="00515A58">
        <w:rPr>
          <w:sz w:val="24"/>
        </w:rPr>
        <w:t xml:space="preserve">Wave 2 of </w:t>
      </w:r>
      <w:r w:rsidRPr="00515A58">
        <w:rPr>
          <w:sz w:val="24"/>
        </w:rPr>
        <w:t>the study will allow</w:t>
      </w:r>
      <w:r w:rsidR="00DC02F2" w:rsidRPr="00515A58">
        <w:rPr>
          <w:sz w:val="24"/>
        </w:rPr>
        <w:t xml:space="preserve"> the HCS</w:t>
      </w:r>
      <w:r w:rsidR="007F72ED" w:rsidRPr="00515A58">
        <w:rPr>
          <w:sz w:val="24"/>
        </w:rPr>
        <w:t xml:space="preserve"> </w:t>
      </w:r>
      <w:r w:rsidRPr="00515A58">
        <w:rPr>
          <w:sz w:val="24"/>
        </w:rPr>
        <w:t>to observe a considerable degree of natural variation in approaches and intensity of effort in childhood obesity programs and policies</w:t>
      </w:r>
      <w:r w:rsidR="001B041C" w:rsidRPr="00515A58">
        <w:rPr>
          <w:sz w:val="24"/>
        </w:rPr>
        <w:t>.  T</w:t>
      </w:r>
      <w:r w:rsidRPr="00515A58">
        <w:rPr>
          <w:sz w:val="24"/>
        </w:rPr>
        <w:t>he involvement of 78 representative children</w:t>
      </w:r>
      <w:r w:rsidR="00D465C6" w:rsidRPr="00515A58">
        <w:rPr>
          <w:sz w:val="24"/>
        </w:rPr>
        <w:t xml:space="preserve"> </w:t>
      </w:r>
      <w:r w:rsidRPr="00515A58">
        <w:rPr>
          <w:sz w:val="24"/>
        </w:rPr>
        <w:t>within each community across the 3-15</w:t>
      </w:r>
      <w:r w:rsidR="00AD12CD" w:rsidRPr="00515A58">
        <w:rPr>
          <w:sz w:val="24"/>
        </w:rPr>
        <w:t xml:space="preserve"> </w:t>
      </w:r>
      <w:r w:rsidRPr="00515A58">
        <w:rPr>
          <w:sz w:val="24"/>
        </w:rPr>
        <w:t xml:space="preserve">year age range will provide our study with strong power to observe subtle community-level impacts on the childhood obesity outcomes. </w:t>
      </w:r>
    </w:p>
    <w:p w:rsidR="00243396" w:rsidRPr="00515A58" w:rsidRDefault="00243396" w:rsidP="00756E94">
      <w:pPr>
        <w:adjustRightInd w:val="0"/>
        <w:rPr>
          <w:sz w:val="24"/>
        </w:rPr>
      </w:pPr>
    </w:p>
    <w:p w:rsidR="00243396" w:rsidRPr="00515A58" w:rsidRDefault="00757838" w:rsidP="00756E94">
      <w:pPr>
        <w:pStyle w:val="BHNormal"/>
        <w:rPr>
          <w:szCs w:val="24"/>
        </w:rPr>
      </w:pPr>
      <w:r w:rsidRPr="00515A58">
        <w:rPr>
          <w:szCs w:val="24"/>
        </w:rPr>
        <w:t>R</w:t>
      </w:r>
      <w:r w:rsidR="00243396" w:rsidRPr="00515A58">
        <w:rPr>
          <w:szCs w:val="24"/>
        </w:rPr>
        <w:t>esearcher</w:t>
      </w:r>
      <w:r w:rsidR="0017080B" w:rsidRPr="00515A58">
        <w:rPr>
          <w:szCs w:val="24"/>
        </w:rPr>
        <w:t xml:space="preserve">s may be interested in the association between different program/policy components and childhood obesity outcomes for all ages combined and within a particular age group using a variety of approaches.  One approach would use all data measured when a subject’s age was within the age group of interest regardless of the subject’s age at the baseline assessment.  For example, </w:t>
      </w:r>
      <w:r w:rsidR="00437C6E" w:rsidRPr="00515A58">
        <w:rPr>
          <w:szCs w:val="24"/>
        </w:rPr>
        <w:t xml:space="preserve">if </w:t>
      </w:r>
      <w:r w:rsidR="0017080B" w:rsidRPr="00515A58">
        <w:rPr>
          <w:szCs w:val="24"/>
        </w:rPr>
        <w:t xml:space="preserve">a </w:t>
      </w:r>
      <w:r w:rsidR="00143FB2" w:rsidRPr="00515A58">
        <w:rPr>
          <w:szCs w:val="24"/>
        </w:rPr>
        <w:t xml:space="preserve">participant </w:t>
      </w:r>
      <w:r w:rsidR="0017080B" w:rsidRPr="00515A58">
        <w:rPr>
          <w:szCs w:val="24"/>
        </w:rPr>
        <w:t xml:space="preserve">who was 15 years old at the baseline assessment </w:t>
      </w:r>
      <w:proofErr w:type="gramStart"/>
      <w:r w:rsidR="0017080B" w:rsidRPr="00515A58">
        <w:rPr>
          <w:szCs w:val="24"/>
        </w:rPr>
        <w:t>was found</w:t>
      </w:r>
      <w:proofErr w:type="gramEnd"/>
      <w:r w:rsidR="0017080B" w:rsidRPr="00515A58">
        <w:rPr>
          <w:szCs w:val="24"/>
        </w:rPr>
        <w:t xml:space="preserve"> to have medical records containing BMI information when </w:t>
      </w:r>
      <w:r w:rsidR="00437C6E" w:rsidRPr="00515A58">
        <w:rPr>
          <w:szCs w:val="24"/>
        </w:rPr>
        <w:t>he/</w:t>
      </w:r>
      <w:r w:rsidR="0017080B" w:rsidRPr="00515A58">
        <w:rPr>
          <w:szCs w:val="24"/>
        </w:rPr>
        <w:t>she was four years old</w:t>
      </w:r>
      <w:r w:rsidR="00437C6E" w:rsidRPr="00515A58">
        <w:rPr>
          <w:szCs w:val="24"/>
        </w:rPr>
        <w:t>, t</w:t>
      </w:r>
      <w:r w:rsidR="0017080B" w:rsidRPr="00515A58">
        <w:rPr>
          <w:szCs w:val="24"/>
        </w:rPr>
        <w:t xml:space="preserve">hose records could be included in an analysis focusing on the 3-4 year-old age group.  A second approach would use all data ever measured on an individual whose baseline age fell within the age group of interest, enabling specific cohort analyses.  For example, a study focusing on 3-4 year-olds would include all data collected on those children that were ages 3 or 4 at the baseline </w:t>
      </w:r>
      <w:r w:rsidR="0017080B" w:rsidRPr="00515A58">
        <w:rPr>
          <w:szCs w:val="24"/>
        </w:rPr>
        <w:lastRenderedPageBreak/>
        <w:t>assessment.  Our simulation study to assess power addressed both of these age-specific approaches.</w:t>
      </w:r>
    </w:p>
    <w:p w:rsidR="00C43FAF" w:rsidRPr="00515A58" w:rsidRDefault="00C43FAF" w:rsidP="00756E94">
      <w:pPr>
        <w:adjustRightInd w:val="0"/>
        <w:rPr>
          <w:sz w:val="24"/>
        </w:rPr>
      </w:pPr>
    </w:p>
    <w:p w:rsidR="00C43FAF" w:rsidRPr="00515A58" w:rsidRDefault="0017080B" w:rsidP="00756E94">
      <w:pPr>
        <w:adjustRightInd w:val="0"/>
        <w:rPr>
          <w:sz w:val="24"/>
        </w:rPr>
      </w:pPr>
      <w:r w:rsidRPr="00515A58">
        <w:rPr>
          <w:sz w:val="24"/>
        </w:rPr>
        <w:t xml:space="preserve">Table B.1.6 lists the effect size as a percentage change in BMI that could be detected for a one-unit change </w:t>
      </w:r>
      <w:r w:rsidR="00402875" w:rsidRPr="00515A58">
        <w:rPr>
          <w:rFonts w:cstheme="minorHAnsi"/>
          <w:sz w:val="24"/>
        </w:rPr>
        <w:t xml:space="preserve">(i.e., change in intensity score from </w:t>
      </w:r>
      <w:proofErr w:type="gramStart"/>
      <w:r w:rsidR="00402875" w:rsidRPr="00515A58">
        <w:rPr>
          <w:rFonts w:cstheme="minorHAnsi"/>
          <w:sz w:val="24"/>
        </w:rPr>
        <w:t>0</w:t>
      </w:r>
      <w:proofErr w:type="gramEnd"/>
      <w:r w:rsidR="00402875" w:rsidRPr="00515A58">
        <w:rPr>
          <w:rFonts w:cstheme="minorHAnsi"/>
          <w:sz w:val="24"/>
        </w:rPr>
        <w:t xml:space="preserve"> to 1) </w:t>
      </w:r>
      <w:r w:rsidRPr="00515A58">
        <w:rPr>
          <w:sz w:val="24"/>
        </w:rPr>
        <w:t xml:space="preserve">in program intensity score, assuming a cross-sectional analysis.  Our analyses indicate that a cross-sectional study design with 275 communities, not including the four Wave 1 communities, and about 78 children per community, spread evenly across the age range from </w:t>
      </w:r>
      <w:r w:rsidR="00402875" w:rsidRPr="00515A58">
        <w:rPr>
          <w:sz w:val="24"/>
        </w:rPr>
        <w:t xml:space="preserve">three </w:t>
      </w:r>
      <w:r w:rsidRPr="00515A58">
        <w:rPr>
          <w:sz w:val="24"/>
        </w:rPr>
        <w:t>to 15 have adequate power to identify programs/policies that reduce BMI by approximately 3-4%.  The simulations cover scenari</w:t>
      </w:r>
      <w:r w:rsidR="00BD3E35" w:rsidRPr="00515A58">
        <w:rPr>
          <w:sz w:val="24"/>
        </w:rPr>
        <w:t xml:space="preserve">os where only a small fraction of </w:t>
      </w:r>
      <w:r w:rsidRPr="00515A58">
        <w:rPr>
          <w:sz w:val="24"/>
        </w:rPr>
        <w:t xml:space="preserve">communities will have implemented the program/policy in question with high quality and intensity, as well as the scenario where program implementation varies uniformly across communities.  Additional details on the study design and the types of inferences that </w:t>
      </w:r>
      <w:proofErr w:type="gramStart"/>
      <w:r w:rsidRPr="00515A58">
        <w:rPr>
          <w:sz w:val="24"/>
        </w:rPr>
        <w:t>can be supported</w:t>
      </w:r>
      <w:proofErr w:type="gramEnd"/>
      <w:r w:rsidRPr="00515A58">
        <w:rPr>
          <w:sz w:val="24"/>
        </w:rPr>
        <w:t xml:space="preserve"> by this data collection effort can be found in Attachment</w:t>
      </w:r>
      <w:r w:rsidRPr="00515A58">
        <w:rPr>
          <w:b/>
          <w:sz w:val="24"/>
        </w:rPr>
        <w:t xml:space="preserve"> </w:t>
      </w:r>
      <w:r w:rsidR="00BF2907" w:rsidRPr="00515A58">
        <w:rPr>
          <w:b/>
          <w:sz w:val="24"/>
        </w:rPr>
        <w:t>2</w:t>
      </w:r>
      <w:r w:rsidR="00095286" w:rsidRPr="00515A58">
        <w:rPr>
          <w:sz w:val="24"/>
        </w:rPr>
        <w:t>,</w:t>
      </w:r>
      <w:r w:rsidR="00D57F64" w:rsidRPr="00515A58">
        <w:rPr>
          <w:sz w:val="24"/>
        </w:rPr>
        <w:t xml:space="preserve"> which focuses on the Statistical Power Calculations.</w:t>
      </w:r>
    </w:p>
    <w:p w:rsidR="00784A66" w:rsidRPr="00515A58" w:rsidRDefault="00784A66">
      <w:pPr>
        <w:autoSpaceDE/>
        <w:autoSpaceDN/>
        <w:rPr>
          <w:b/>
          <w:sz w:val="22"/>
        </w:rPr>
      </w:pPr>
    </w:p>
    <w:p w:rsidR="00C43FAF" w:rsidRPr="00515A58" w:rsidRDefault="00C43FAF">
      <w:pPr>
        <w:autoSpaceDE/>
        <w:autoSpaceDN/>
        <w:rPr>
          <w:rFonts w:eastAsia="Calibri"/>
          <w:b/>
          <w:sz w:val="22"/>
          <w:szCs w:val="22"/>
        </w:rPr>
      </w:pPr>
    </w:p>
    <w:p w:rsidR="004116D2" w:rsidRPr="00515A58" w:rsidRDefault="00FA2528" w:rsidP="00E94F72">
      <w:pPr>
        <w:pStyle w:val="Style1sub-headings"/>
        <w:spacing w:before="0" w:line="240" w:lineRule="auto"/>
      </w:pPr>
      <w:bookmarkStart w:id="48" w:name="_Toc299107939"/>
      <w:bookmarkStart w:id="49" w:name="_Toc301448530"/>
      <w:bookmarkStart w:id="50" w:name="_Toc301448665"/>
      <w:bookmarkStart w:id="51" w:name="_Toc301448754"/>
      <w:bookmarkStart w:id="52" w:name="_Toc301448822"/>
      <w:r w:rsidRPr="00515A58">
        <w:t xml:space="preserve">Table </w:t>
      </w:r>
      <w:r w:rsidR="0084218C" w:rsidRPr="00515A58">
        <w:t>B</w:t>
      </w:r>
      <w:r w:rsidR="00873462" w:rsidRPr="00515A58">
        <w:t>.</w:t>
      </w:r>
      <w:r w:rsidR="002B55F5" w:rsidRPr="00515A58">
        <w:t>1.</w:t>
      </w:r>
      <w:r w:rsidR="00873462" w:rsidRPr="00515A58">
        <w:t>6</w:t>
      </w:r>
      <w:r w:rsidRPr="00515A58">
        <w:t xml:space="preserve">  </w:t>
      </w:r>
      <w:r w:rsidR="00CB5F5D" w:rsidRPr="00515A58">
        <w:t xml:space="preserve">  </w:t>
      </w:r>
      <w:r w:rsidRPr="00515A58">
        <w:t>Cross-Sectional Power and Effect Size Results for BMI Response</w:t>
      </w:r>
      <w:bookmarkEnd w:id="48"/>
      <w:bookmarkEnd w:id="49"/>
      <w:bookmarkEnd w:id="50"/>
      <w:bookmarkEnd w:id="51"/>
      <w:bookmarkEnd w:id="52"/>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488"/>
        <w:gridCol w:w="1596"/>
        <w:gridCol w:w="1456"/>
        <w:gridCol w:w="1980"/>
        <w:gridCol w:w="2660"/>
      </w:tblGrid>
      <w:tr w:rsidR="00243396" w:rsidRPr="00515A58" w:rsidTr="001E0A00">
        <w:trPr>
          <w:tblHeader/>
        </w:trPr>
        <w:tc>
          <w:tcPr>
            <w:tcW w:w="1488" w:type="dxa"/>
            <w:vMerge w:val="restart"/>
            <w:shd w:val="clear" w:color="auto" w:fill="B8CCE4" w:themeFill="accent1" w:themeFillTint="66"/>
            <w:vAlign w:val="center"/>
          </w:tcPr>
          <w:p w:rsidR="00147D9C" w:rsidRPr="00515A58" w:rsidRDefault="00FA2528" w:rsidP="00A76A72">
            <w:pPr>
              <w:pStyle w:val="BHNormal"/>
              <w:jc w:val="center"/>
              <w:rPr>
                <w:rFonts w:eastAsia="Times New Roman"/>
                <w:b/>
                <w:sz w:val="20"/>
                <w:szCs w:val="20"/>
              </w:rPr>
            </w:pPr>
            <w:r w:rsidRPr="00515A58">
              <w:rPr>
                <w:rFonts w:eastAsia="Times New Roman"/>
                <w:b/>
                <w:sz w:val="20"/>
                <w:szCs w:val="20"/>
              </w:rPr>
              <w:t>Power</w:t>
            </w:r>
          </w:p>
        </w:tc>
        <w:tc>
          <w:tcPr>
            <w:tcW w:w="1596" w:type="dxa"/>
            <w:vMerge w:val="restart"/>
            <w:shd w:val="clear" w:color="auto" w:fill="B8CCE4" w:themeFill="accent1" w:themeFillTint="66"/>
            <w:vAlign w:val="center"/>
          </w:tcPr>
          <w:p w:rsidR="00147D9C" w:rsidRPr="00515A58" w:rsidRDefault="00FA2528" w:rsidP="00A76A72">
            <w:pPr>
              <w:pStyle w:val="BHNormal"/>
              <w:jc w:val="center"/>
              <w:rPr>
                <w:rFonts w:eastAsia="Times New Roman"/>
                <w:b/>
                <w:sz w:val="20"/>
                <w:szCs w:val="20"/>
              </w:rPr>
            </w:pPr>
            <w:r w:rsidRPr="00515A58">
              <w:rPr>
                <w:rFonts w:eastAsia="Times New Roman"/>
                <w:b/>
                <w:sz w:val="20"/>
                <w:szCs w:val="20"/>
              </w:rPr>
              <w:t>Alpha</w:t>
            </w:r>
          </w:p>
        </w:tc>
        <w:tc>
          <w:tcPr>
            <w:tcW w:w="1456" w:type="dxa"/>
            <w:vMerge w:val="restart"/>
            <w:shd w:val="clear" w:color="auto" w:fill="B8CCE4" w:themeFill="accent1" w:themeFillTint="66"/>
            <w:vAlign w:val="center"/>
          </w:tcPr>
          <w:p w:rsidR="00147D9C" w:rsidRPr="00515A58" w:rsidRDefault="00FA2528" w:rsidP="00A76A72">
            <w:pPr>
              <w:pStyle w:val="BHNormal"/>
              <w:autoSpaceDE w:val="0"/>
              <w:autoSpaceDN w:val="0"/>
              <w:jc w:val="center"/>
              <w:rPr>
                <w:rFonts w:eastAsia="Times New Roman"/>
                <w:b/>
                <w:sz w:val="20"/>
                <w:szCs w:val="20"/>
              </w:rPr>
            </w:pPr>
            <w:r w:rsidRPr="00515A58">
              <w:rPr>
                <w:rFonts w:eastAsia="Times New Roman"/>
                <w:b/>
                <w:sz w:val="20"/>
                <w:szCs w:val="20"/>
              </w:rPr>
              <w:t>Age group</w:t>
            </w:r>
          </w:p>
        </w:tc>
        <w:tc>
          <w:tcPr>
            <w:tcW w:w="4640" w:type="dxa"/>
            <w:gridSpan w:val="2"/>
            <w:shd w:val="clear" w:color="auto" w:fill="B8CCE4" w:themeFill="accent1" w:themeFillTint="66"/>
          </w:tcPr>
          <w:p w:rsidR="00C43FAF" w:rsidRPr="00515A58" w:rsidRDefault="0017080B">
            <w:pPr>
              <w:pStyle w:val="BHNormal"/>
              <w:autoSpaceDE w:val="0"/>
              <w:autoSpaceDN w:val="0"/>
              <w:jc w:val="center"/>
              <w:rPr>
                <w:rFonts w:eastAsia="Times New Roman"/>
                <w:b/>
                <w:sz w:val="20"/>
                <w:szCs w:val="20"/>
              </w:rPr>
            </w:pPr>
            <w:r w:rsidRPr="00515A58">
              <w:rPr>
                <w:rFonts w:eastAsia="Times New Roman"/>
                <w:b/>
                <w:sz w:val="20"/>
                <w:szCs w:val="20"/>
              </w:rPr>
              <w:t xml:space="preserve">Effect Size </w:t>
            </w:r>
          </w:p>
          <w:p w:rsidR="00C43FAF" w:rsidRPr="00515A58" w:rsidRDefault="0017080B">
            <w:pPr>
              <w:pStyle w:val="BHNormal"/>
              <w:autoSpaceDE w:val="0"/>
              <w:autoSpaceDN w:val="0"/>
              <w:jc w:val="center"/>
              <w:rPr>
                <w:rFonts w:eastAsia="Times New Roman"/>
                <w:b/>
                <w:sz w:val="20"/>
                <w:szCs w:val="20"/>
              </w:rPr>
            </w:pPr>
            <w:r w:rsidRPr="00515A58">
              <w:rPr>
                <w:rFonts w:eastAsia="Times New Roman"/>
                <w:sz w:val="20"/>
                <w:szCs w:val="20"/>
              </w:rPr>
              <w:t>(% change in BMI that can be detected)</w:t>
            </w:r>
          </w:p>
        </w:tc>
      </w:tr>
      <w:tr w:rsidR="00243396" w:rsidRPr="00515A58" w:rsidTr="001E0A00">
        <w:trPr>
          <w:tblHeader/>
        </w:trPr>
        <w:tc>
          <w:tcPr>
            <w:tcW w:w="1488" w:type="dxa"/>
            <w:vMerge/>
            <w:shd w:val="clear" w:color="auto" w:fill="B8CCE4" w:themeFill="accent1" w:themeFillTint="66"/>
          </w:tcPr>
          <w:p w:rsidR="00C43FAF" w:rsidRPr="00515A58" w:rsidRDefault="00C43FAF">
            <w:pPr>
              <w:pStyle w:val="BHNormal"/>
              <w:autoSpaceDE w:val="0"/>
              <w:autoSpaceDN w:val="0"/>
              <w:rPr>
                <w:rFonts w:eastAsia="Times New Roman"/>
                <w:b/>
                <w:sz w:val="20"/>
                <w:szCs w:val="20"/>
              </w:rPr>
            </w:pPr>
          </w:p>
        </w:tc>
        <w:tc>
          <w:tcPr>
            <w:tcW w:w="1596" w:type="dxa"/>
            <w:vMerge/>
            <w:shd w:val="clear" w:color="auto" w:fill="B8CCE4" w:themeFill="accent1" w:themeFillTint="66"/>
          </w:tcPr>
          <w:p w:rsidR="00C43FAF" w:rsidRPr="00515A58" w:rsidRDefault="00C43FAF">
            <w:pPr>
              <w:pStyle w:val="BHNormal"/>
              <w:autoSpaceDE w:val="0"/>
              <w:autoSpaceDN w:val="0"/>
              <w:rPr>
                <w:rFonts w:eastAsia="Times New Roman"/>
                <w:b/>
                <w:sz w:val="20"/>
                <w:szCs w:val="20"/>
              </w:rPr>
            </w:pPr>
          </w:p>
        </w:tc>
        <w:tc>
          <w:tcPr>
            <w:tcW w:w="1456" w:type="dxa"/>
            <w:vMerge/>
            <w:shd w:val="clear" w:color="auto" w:fill="B8CCE4" w:themeFill="accent1" w:themeFillTint="66"/>
          </w:tcPr>
          <w:p w:rsidR="00C43FAF" w:rsidRPr="00515A58" w:rsidRDefault="00C43FAF">
            <w:pPr>
              <w:pStyle w:val="BHNormal"/>
              <w:autoSpaceDE w:val="0"/>
              <w:autoSpaceDN w:val="0"/>
              <w:rPr>
                <w:rFonts w:eastAsia="Times New Roman"/>
                <w:b/>
                <w:sz w:val="20"/>
                <w:szCs w:val="20"/>
              </w:rPr>
            </w:pPr>
          </w:p>
        </w:tc>
        <w:tc>
          <w:tcPr>
            <w:tcW w:w="1980" w:type="dxa"/>
            <w:shd w:val="clear" w:color="auto" w:fill="B8CCE4" w:themeFill="accent1" w:themeFillTint="66"/>
          </w:tcPr>
          <w:p w:rsidR="00C43FAF" w:rsidRPr="00515A58" w:rsidRDefault="0017080B">
            <w:pPr>
              <w:pStyle w:val="BHNormal"/>
              <w:autoSpaceDE w:val="0"/>
              <w:autoSpaceDN w:val="0"/>
              <w:jc w:val="center"/>
              <w:rPr>
                <w:rFonts w:eastAsia="Times New Roman"/>
                <w:b/>
                <w:sz w:val="20"/>
                <w:szCs w:val="20"/>
              </w:rPr>
            </w:pPr>
            <w:r w:rsidRPr="00515A58">
              <w:rPr>
                <w:rFonts w:eastAsia="Times New Roman"/>
                <w:b/>
                <w:sz w:val="20"/>
                <w:szCs w:val="20"/>
              </w:rPr>
              <w:t>Uniform distribution of program intensity across communities</w:t>
            </w:r>
          </w:p>
        </w:tc>
        <w:tc>
          <w:tcPr>
            <w:tcW w:w="2660" w:type="dxa"/>
            <w:shd w:val="clear" w:color="auto" w:fill="B8CCE4" w:themeFill="accent1" w:themeFillTint="66"/>
          </w:tcPr>
          <w:p w:rsidR="00C43FAF" w:rsidRPr="00515A58" w:rsidRDefault="0017080B">
            <w:pPr>
              <w:pStyle w:val="BHNormal"/>
              <w:autoSpaceDE w:val="0"/>
              <w:autoSpaceDN w:val="0"/>
              <w:jc w:val="center"/>
              <w:rPr>
                <w:rFonts w:eastAsia="Times New Roman"/>
                <w:b/>
                <w:sz w:val="20"/>
                <w:szCs w:val="20"/>
              </w:rPr>
            </w:pPr>
            <w:r w:rsidRPr="00515A58">
              <w:rPr>
                <w:rFonts w:eastAsia="Times New Roman"/>
                <w:b/>
                <w:sz w:val="20"/>
                <w:szCs w:val="20"/>
              </w:rPr>
              <w:t>Few communities implement at full intensity, most communities at low intensity</w:t>
            </w:r>
          </w:p>
        </w:tc>
      </w:tr>
      <w:tr w:rsidR="00243396" w:rsidRPr="00515A58" w:rsidTr="00F259A2">
        <w:tc>
          <w:tcPr>
            <w:tcW w:w="1488" w:type="dxa"/>
            <w:vMerge w:val="restart"/>
            <w:vAlign w:val="center"/>
          </w:tcPr>
          <w:p w:rsidR="00147D9C" w:rsidRPr="00515A58" w:rsidRDefault="00FA2528" w:rsidP="00A76A72">
            <w:pPr>
              <w:pStyle w:val="BHNormal"/>
              <w:jc w:val="center"/>
              <w:rPr>
                <w:rFonts w:eastAsia="Times New Roman"/>
                <w:sz w:val="20"/>
                <w:szCs w:val="20"/>
              </w:rPr>
            </w:pPr>
            <w:r w:rsidRPr="00515A58">
              <w:rPr>
                <w:rFonts w:eastAsia="Times New Roman"/>
                <w:sz w:val="20"/>
                <w:szCs w:val="20"/>
              </w:rPr>
              <w:t>0.8</w:t>
            </w:r>
          </w:p>
        </w:tc>
        <w:tc>
          <w:tcPr>
            <w:tcW w:w="1596" w:type="dxa"/>
            <w:vMerge w:val="restart"/>
            <w:vAlign w:val="center"/>
          </w:tcPr>
          <w:p w:rsidR="00147D9C" w:rsidRPr="00515A58" w:rsidRDefault="00FA2528" w:rsidP="00A76A72">
            <w:pPr>
              <w:pStyle w:val="BHNormal"/>
              <w:jc w:val="center"/>
              <w:rPr>
                <w:rFonts w:eastAsia="Times New Roman"/>
                <w:sz w:val="20"/>
                <w:szCs w:val="20"/>
              </w:rPr>
            </w:pPr>
            <w:r w:rsidRPr="00515A58">
              <w:rPr>
                <w:rFonts w:eastAsia="Times New Roman"/>
                <w:sz w:val="20"/>
                <w:szCs w:val="20"/>
              </w:rPr>
              <w:t>0.05</w:t>
            </w:r>
          </w:p>
        </w:tc>
        <w:tc>
          <w:tcPr>
            <w:tcW w:w="1456" w:type="dxa"/>
          </w:tcPr>
          <w:p w:rsidR="00147D9C" w:rsidRPr="00515A58" w:rsidRDefault="00FA2528" w:rsidP="00A76A72">
            <w:pPr>
              <w:pStyle w:val="BHNormal"/>
              <w:jc w:val="center"/>
              <w:rPr>
                <w:rFonts w:eastAsia="Times New Roman"/>
                <w:sz w:val="20"/>
                <w:szCs w:val="20"/>
              </w:rPr>
            </w:pPr>
            <w:r w:rsidRPr="00515A58">
              <w:rPr>
                <w:rFonts w:eastAsia="Times New Roman"/>
                <w:sz w:val="20"/>
                <w:szCs w:val="20"/>
              </w:rPr>
              <w:t>All ages</w:t>
            </w:r>
          </w:p>
        </w:tc>
        <w:tc>
          <w:tcPr>
            <w:tcW w:w="1980" w:type="dxa"/>
            <w:vAlign w:val="bottom"/>
          </w:tcPr>
          <w:p w:rsidR="00243396" w:rsidRPr="00515A58" w:rsidRDefault="00243396" w:rsidP="00A76A72">
            <w:pPr>
              <w:jc w:val="right"/>
            </w:pPr>
            <w:r w:rsidRPr="00515A58">
              <w:t>3.23%</w:t>
            </w:r>
          </w:p>
        </w:tc>
        <w:tc>
          <w:tcPr>
            <w:tcW w:w="2660" w:type="dxa"/>
            <w:vAlign w:val="bottom"/>
          </w:tcPr>
          <w:p w:rsidR="00C43FAF" w:rsidRPr="00515A58" w:rsidRDefault="0017080B">
            <w:pPr>
              <w:jc w:val="right"/>
            </w:pPr>
            <w:r w:rsidRPr="00515A58">
              <w:t>4.27%</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3-4</w:t>
            </w:r>
          </w:p>
        </w:tc>
        <w:tc>
          <w:tcPr>
            <w:tcW w:w="1980" w:type="dxa"/>
            <w:vAlign w:val="bottom"/>
          </w:tcPr>
          <w:p w:rsidR="00C43FAF" w:rsidRPr="00515A58" w:rsidRDefault="0017080B">
            <w:pPr>
              <w:jc w:val="right"/>
            </w:pPr>
            <w:r w:rsidRPr="00515A58">
              <w:t>4.38%</w:t>
            </w:r>
          </w:p>
        </w:tc>
        <w:tc>
          <w:tcPr>
            <w:tcW w:w="2660" w:type="dxa"/>
            <w:vAlign w:val="bottom"/>
          </w:tcPr>
          <w:p w:rsidR="00C43FAF" w:rsidRPr="00515A58" w:rsidRDefault="0017080B">
            <w:pPr>
              <w:jc w:val="right"/>
            </w:pPr>
            <w:r w:rsidRPr="00515A58">
              <w:t>5.84%</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5-6</w:t>
            </w:r>
          </w:p>
        </w:tc>
        <w:tc>
          <w:tcPr>
            <w:tcW w:w="1980" w:type="dxa"/>
            <w:vAlign w:val="bottom"/>
          </w:tcPr>
          <w:p w:rsidR="00C43FAF" w:rsidRPr="00515A58" w:rsidRDefault="0017080B">
            <w:pPr>
              <w:jc w:val="right"/>
            </w:pPr>
            <w:r w:rsidRPr="00515A58">
              <w:t>4.42%</w:t>
            </w:r>
          </w:p>
        </w:tc>
        <w:tc>
          <w:tcPr>
            <w:tcW w:w="2660" w:type="dxa"/>
            <w:vAlign w:val="bottom"/>
          </w:tcPr>
          <w:p w:rsidR="00C43FAF" w:rsidRPr="00515A58" w:rsidRDefault="0017080B">
            <w:pPr>
              <w:jc w:val="right"/>
            </w:pPr>
            <w:r w:rsidRPr="00515A58">
              <w:t>5.88%</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7-8</w:t>
            </w:r>
          </w:p>
        </w:tc>
        <w:tc>
          <w:tcPr>
            <w:tcW w:w="1980" w:type="dxa"/>
            <w:vAlign w:val="bottom"/>
          </w:tcPr>
          <w:p w:rsidR="00C43FAF" w:rsidRPr="00515A58" w:rsidRDefault="0017080B">
            <w:pPr>
              <w:jc w:val="right"/>
            </w:pPr>
            <w:r w:rsidRPr="00515A58">
              <w:t>4.42%</w:t>
            </w:r>
          </w:p>
        </w:tc>
        <w:tc>
          <w:tcPr>
            <w:tcW w:w="2660" w:type="dxa"/>
            <w:vAlign w:val="bottom"/>
          </w:tcPr>
          <w:p w:rsidR="00C43FAF" w:rsidRPr="00515A58" w:rsidRDefault="0017080B">
            <w:pPr>
              <w:jc w:val="right"/>
            </w:pPr>
            <w:r w:rsidRPr="00515A58">
              <w:t>5.86%</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9-10</w:t>
            </w:r>
          </w:p>
        </w:tc>
        <w:tc>
          <w:tcPr>
            <w:tcW w:w="1980" w:type="dxa"/>
            <w:vAlign w:val="bottom"/>
          </w:tcPr>
          <w:p w:rsidR="00C43FAF" w:rsidRPr="00515A58" w:rsidRDefault="0017080B">
            <w:pPr>
              <w:jc w:val="right"/>
            </w:pPr>
            <w:r w:rsidRPr="00515A58">
              <w:t>4.42%</w:t>
            </w:r>
          </w:p>
        </w:tc>
        <w:tc>
          <w:tcPr>
            <w:tcW w:w="2660" w:type="dxa"/>
            <w:vAlign w:val="bottom"/>
          </w:tcPr>
          <w:p w:rsidR="00C43FAF" w:rsidRPr="00515A58" w:rsidRDefault="0017080B">
            <w:pPr>
              <w:jc w:val="right"/>
            </w:pPr>
            <w:r w:rsidRPr="00515A58">
              <w:t>5.88%</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11-13</w:t>
            </w:r>
          </w:p>
        </w:tc>
        <w:tc>
          <w:tcPr>
            <w:tcW w:w="1980" w:type="dxa"/>
            <w:vAlign w:val="bottom"/>
          </w:tcPr>
          <w:p w:rsidR="00C43FAF" w:rsidRPr="00515A58" w:rsidRDefault="0017080B">
            <w:pPr>
              <w:jc w:val="right"/>
            </w:pPr>
            <w:r w:rsidRPr="00515A58">
              <w:t>4.01%</w:t>
            </w:r>
          </w:p>
        </w:tc>
        <w:tc>
          <w:tcPr>
            <w:tcW w:w="2660" w:type="dxa"/>
            <w:vAlign w:val="bottom"/>
          </w:tcPr>
          <w:p w:rsidR="00C43FAF" w:rsidRPr="00515A58" w:rsidRDefault="0017080B">
            <w:pPr>
              <w:jc w:val="right"/>
            </w:pPr>
            <w:r w:rsidRPr="00515A58">
              <w:t>5.34%</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14-15</w:t>
            </w:r>
          </w:p>
        </w:tc>
        <w:tc>
          <w:tcPr>
            <w:tcW w:w="1980" w:type="dxa"/>
            <w:vAlign w:val="bottom"/>
          </w:tcPr>
          <w:p w:rsidR="00C43FAF" w:rsidRPr="00515A58" w:rsidRDefault="0017080B">
            <w:pPr>
              <w:jc w:val="right"/>
            </w:pPr>
            <w:r w:rsidRPr="00515A58">
              <w:t>4.32%</w:t>
            </w:r>
          </w:p>
        </w:tc>
        <w:tc>
          <w:tcPr>
            <w:tcW w:w="2660" w:type="dxa"/>
            <w:vAlign w:val="bottom"/>
          </w:tcPr>
          <w:p w:rsidR="00C43FAF" w:rsidRPr="00515A58" w:rsidRDefault="0017080B">
            <w:pPr>
              <w:jc w:val="right"/>
            </w:pPr>
            <w:r w:rsidRPr="00515A58">
              <w:t>5.73%</w:t>
            </w:r>
          </w:p>
        </w:tc>
      </w:tr>
      <w:tr w:rsidR="00243396" w:rsidRPr="00515A58" w:rsidTr="00F259A2">
        <w:tc>
          <w:tcPr>
            <w:tcW w:w="1488" w:type="dxa"/>
            <w:vMerge w:val="restart"/>
            <w:vAlign w:val="center"/>
          </w:tcPr>
          <w:p w:rsidR="00147D9C" w:rsidRPr="00515A58" w:rsidRDefault="00FA2528" w:rsidP="00A76A72">
            <w:pPr>
              <w:pStyle w:val="BHNormal"/>
              <w:jc w:val="center"/>
              <w:rPr>
                <w:rFonts w:eastAsia="Times New Roman"/>
                <w:sz w:val="20"/>
                <w:szCs w:val="20"/>
              </w:rPr>
            </w:pPr>
            <w:r w:rsidRPr="00515A58">
              <w:rPr>
                <w:rFonts w:eastAsia="Times New Roman"/>
                <w:sz w:val="20"/>
                <w:szCs w:val="20"/>
              </w:rPr>
              <w:t>0.9</w:t>
            </w:r>
          </w:p>
        </w:tc>
        <w:tc>
          <w:tcPr>
            <w:tcW w:w="1596" w:type="dxa"/>
            <w:vMerge w:val="restart"/>
            <w:vAlign w:val="center"/>
          </w:tcPr>
          <w:p w:rsidR="00147D9C" w:rsidRPr="00515A58" w:rsidRDefault="00FA2528" w:rsidP="00A76A72">
            <w:pPr>
              <w:pStyle w:val="BHNormal"/>
              <w:jc w:val="center"/>
              <w:rPr>
                <w:rFonts w:eastAsia="Times New Roman"/>
                <w:sz w:val="20"/>
                <w:szCs w:val="20"/>
              </w:rPr>
            </w:pPr>
            <w:r w:rsidRPr="00515A58">
              <w:rPr>
                <w:rFonts w:eastAsia="Times New Roman"/>
                <w:sz w:val="20"/>
                <w:szCs w:val="20"/>
              </w:rPr>
              <w:t>0.05</w:t>
            </w:r>
          </w:p>
        </w:tc>
        <w:tc>
          <w:tcPr>
            <w:tcW w:w="1456" w:type="dxa"/>
          </w:tcPr>
          <w:p w:rsidR="00147D9C" w:rsidRPr="00515A58" w:rsidRDefault="00FA2528" w:rsidP="00A76A72">
            <w:pPr>
              <w:pStyle w:val="BHNormal"/>
              <w:jc w:val="center"/>
              <w:rPr>
                <w:rFonts w:eastAsia="Times New Roman"/>
                <w:sz w:val="20"/>
                <w:szCs w:val="20"/>
              </w:rPr>
            </w:pPr>
            <w:r w:rsidRPr="00515A58">
              <w:rPr>
                <w:rFonts w:eastAsia="Times New Roman"/>
                <w:sz w:val="20"/>
                <w:szCs w:val="20"/>
              </w:rPr>
              <w:t>All ages</w:t>
            </w:r>
          </w:p>
        </w:tc>
        <w:tc>
          <w:tcPr>
            <w:tcW w:w="1980" w:type="dxa"/>
            <w:vAlign w:val="bottom"/>
          </w:tcPr>
          <w:p w:rsidR="00243396" w:rsidRPr="00515A58" w:rsidRDefault="00243396" w:rsidP="00A76A72">
            <w:pPr>
              <w:jc w:val="right"/>
            </w:pPr>
            <w:r w:rsidRPr="00515A58">
              <w:t>3.75%</w:t>
            </w:r>
          </w:p>
        </w:tc>
        <w:tc>
          <w:tcPr>
            <w:tcW w:w="2660" w:type="dxa"/>
            <w:vAlign w:val="bottom"/>
          </w:tcPr>
          <w:p w:rsidR="00C43FAF" w:rsidRPr="00515A58" w:rsidRDefault="0017080B">
            <w:pPr>
              <w:jc w:val="right"/>
            </w:pPr>
            <w:r w:rsidRPr="00515A58">
              <w:t>4.96%</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3-4</w:t>
            </w:r>
          </w:p>
        </w:tc>
        <w:tc>
          <w:tcPr>
            <w:tcW w:w="1980" w:type="dxa"/>
            <w:vAlign w:val="bottom"/>
          </w:tcPr>
          <w:p w:rsidR="00C43FAF" w:rsidRPr="00515A58" w:rsidRDefault="0017080B">
            <w:pPr>
              <w:jc w:val="right"/>
            </w:pPr>
            <w:r w:rsidRPr="00515A58">
              <w:t>5.09%</w:t>
            </w:r>
          </w:p>
        </w:tc>
        <w:tc>
          <w:tcPr>
            <w:tcW w:w="2660" w:type="dxa"/>
            <w:vAlign w:val="bottom"/>
          </w:tcPr>
          <w:p w:rsidR="00C43FAF" w:rsidRPr="00515A58" w:rsidRDefault="0017080B">
            <w:pPr>
              <w:jc w:val="right"/>
            </w:pPr>
            <w:r w:rsidRPr="00515A58">
              <w:t>6.78%</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5-6</w:t>
            </w:r>
          </w:p>
        </w:tc>
        <w:tc>
          <w:tcPr>
            <w:tcW w:w="1980" w:type="dxa"/>
            <w:vAlign w:val="bottom"/>
          </w:tcPr>
          <w:p w:rsidR="00C43FAF" w:rsidRPr="00515A58" w:rsidRDefault="0017080B">
            <w:pPr>
              <w:jc w:val="right"/>
            </w:pPr>
            <w:r w:rsidRPr="00515A58">
              <w:t>5.13%</w:t>
            </w:r>
          </w:p>
        </w:tc>
        <w:tc>
          <w:tcPr>
            <w:tcW w:w="2660" w:type="dxa"/>
            <w:vAlign w:val="bottom"/>
          </w:tcPr>
          <w:p w:rsidR="00C43FAF" w:rsidRPr="00515A58" w:rsidRDefault="0017080B">
            <w:pPr>
              <w:jc w:val="right"/>
            </w:pPr>
            <w:r w:rsidRPr="00515A58">
              <w:t>6.83%</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7-8</w:t>
            </w:r>
          </w:p>
        </w:tc>
        <w:tc>
          <w:tcPr>
            <w:tcW w:w="1980" w:type="dxa"/>
            <w:vAlign w:val="bottom"/>
          </w:tcPr>
          <w:p w:rsidR="00C43FAF" w:rsidRPr="00515A58" w:rsidRDefault="0017080B">
            <w:pPr>
              <w:jc w:val="right"/>
            </w:pPr>
            <w:r w:rsidRPr="00515A58">
              <w:t>5.13%</w:t>
            </w:r>
          </w:p>
        </w:tc>
        <w:tc>
          <w:tcPr>
            <w:tcW w:w="2660" w:type="dxa"/>
            <w:vAlign w:val="bottom"/>
          </w:tcPr>
          <w:p w:rsidR="00C43FAF" w:rsidRPr="00515A58" w:rsidRDefault="0017080B">
            <w:pPr>
              <w:jc w:val="right"/>
            </w:pPr>
            <w:r w:rsidRPr="00515A58">
              <w:t>6.81%</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9-10</w:t>
            </w:r>
          </w:p>
        </w:tc>
        <w:tc>
          <w:tcPr>
            <w:tcW w:w="1980" w:type="dxa"/>
            <w:vAlign w:val="bottom"/>
          </w:tcPr>
          <w:p w:rsidR="00C43FAF" w:rsidRPr="00515A58" w:rsidRDefault="0017080B">
            <w:pPr>
              <w:jc w:val="right"/>
            </w:pPr>
            <w:r w:rsidRPr="00515A58">
              <w:t>5.13%</w:t>
            </w:r>
          </w:p>
        </w:tc>
        <w:tc>
          <w:tcPr>
            <w:tcW w:w="2660" w:type="dxa"/>
            <w:vAlign w:val="bottom"/>
          </w:tcPr>
          <w:p w:rsidR="00C43FAF" w:rsidRPr="00515A58" w:rsidRDefault="0017080B">
            <w:pPr>
              <w:jc w:val="right"/>
            </w:pPr>
            <w:r w:rsidRPr="00515A58">
              <w:t>6.84%</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11-13</w:t>
            </w:r>
          </w:p>
        </w:tc>
        <w:tc>
          <w:tcPr>
            <w:tcW w:w="1980" w:type="dxa"/>
            <w:vAlign w:val="bottom"/>
          </w:tcPr>
          <w:p w:rsidR="00C43FAF" w:rsidRPr="00515A58" w:rsidRDefault="0017080B">
            <w:pPr>
              <w:jc w:val="right"/>
            </w:pPr>
            <w:r w:rsidRPr="00515A58">
              <w:t>4.65%</w:t>
            </w:r>
          </w:p>
        </w:tc>
        <w:tc>
          <w:tcPr>
            <w:tcW w:w="2660" w:type="dxa"/>
            <w:vAlign w:val="bottom"/>
          </w:tcPr>
          <w:p w:rsidR="00C43FAF" w:rsidRPr="00515A58" w:rsidRDefault="0017080B">
            <w:pPr>
              <w:jc w:val="right"/>
            </w:pPr>
            <w:r w:rsidRPr="00515A58">
              <w:t>6.20%</w:t>
            </w:r>
          </w:p>
        </w:tc>
      </w:tr>
      <w:tr w:rsidR="00243396" w:rsidRPr="00515A58" w:rsidTr="00F259A2">
        <w:tc>
          <w:tcPr>
            <w:tcW w:w="1488" w:type="dxa"/>
            <w:vMerge/>
            <w:vAlign w:val="center"/>
          </w:tcPr>
          <w:p w:rsidR="004116D2" w:rsidRPr="00515A58" w:rsidRDefault="004116D2">
            <w:pPr>
              <w:pStyle w:val="BHNormal"/>
              <w:jc w:val="center"/>
              <w:rPr>
                <w:rFonts w:eastAsia="Times New Roman"/>
                <w:sz w:val="20"/>
                <w:szCs w:val="20"/>
              </w:rPr>
            </w:pPr>
          </w:p>
        </w:tc>
        <w:tc>
          <w:tcPr>
            <w:tcW w:w="1596" w:type="dxa"/>
            <w:vMerge/>
            <w:vAlign w:val="center"/>
          </w:tcPr>
          <w:p w:rsidR="004116D2" w:rsidRPr="00515A58" w:rsidRDefault="004116D2">
            <w:pPr>
              <w:pStyle w:val="BHNormal"/>
              <w:jc w:val="center"/>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14-15</w:t>
            </w:r>
          </w:p>
        </w:tc>
        <w:tc>
          <w:tcPr>
            <w:tcW w:w="1980" w:type="dxa"/>
            <w:vAlign w:val="bottom"/>
          </w:tcPr>
          <w:p w:rsidR="00C43FAF" w:rsidRPr="00515A58" w:rsidRDefault="0017080B">
            <w:pPr>
              <w:jc w:val="right"/>
            </w:pPr>
            <w:r w:rsidRPr="00515A58">
              <w:t>5.02%</w:t>
            </w:r>
          </w:p>
        </w:tc>
        <w:tc>
          <w:tcPr>
            <w:tcW w:w="2660" w:type="dxa"/>
            <w:vAlign w:val="bottom"/>
          </w:tcPr>
          <w:p w:rsidR="00C43FAF" w:rsidRPr="00515A58" w:rsidRDefault="0017080B">
            <w:pPr>
              <w:jc w:val="right"/>
            </w:pPr>
            <w:r w:rsidRPr="00515A58">
              <w:t>6.66%</w:t>
            </w:r>
          </w:p>
        </w:tc>
      </w:tr>
      <w:tr w:rsidR="00243396" w:rsidRPr="00515A58" w:rsidTr="00F259A2">
        <w:tc>
          <w:tcPr>
            <w:tcW w:w="1488" w:type="dxa"/>
            <w:vMerge w:val="restart"/>
            <w:vAlign w:val="center"/>
          </w:tcPr>
          <w:p w:rsidR="00147D9C" w:rsidRPr="00515A58" w:rsidRDefault="00FA2528" w:rsidP="00A76A72">
            <w:pPr>
              <w:pStyle w:val="BHNormal"/>
              <w:jc w:val="center"/>
              <w:rPr>
                <w:rFonts w:eastAsia="Times New Roman"/>
                <w:sz w:val="20"/>
                <w:szCs w:val="20"/>
              </w:rPr>
            </w:pPr>
            <w:r w:rsidRPr="00515A58">
              <w:rPr>
                <w:rFonts w:eastAsia="Times New Roman"/>
                <w:sz w:val="20"/>
                <w:szCs w:val="20"/>
              </w:rPr>
              <w:t>0.9</w:t>
            </w:r>
          </w:p>
        </w:tc>
        <w:tc>
          <w:tcPr>
            <w:tcW w:w="1596" w:type="dxa"/>
            <w:vMerge w:val="restart"/>
            <w:vAlign w:val="center"/>
          </w:tcPr>
          <w:p w:rsidR="00147D9C" w:rsidRPr="00515A58" w:rsidRDefault="00FA2528" w:rsidP="00A76A72">
            <w:pPr>
              <w:pStyle w:val="BHNormal"/>
              <w:jc w:val="center"/>
              <w:rPr>
                <w:rFonts w:eastAsia="Times New Roman"/>
                <w:sz w:val="20"/>
                <w:szCs w:val="20"/>
              </w:rPr>
            </w:pPr>
            <w:r w:rsidRPr="00515A58">
              <w:rPr>
                <w:rFonts w:eastAsia="Times New Roman"/>
                <w:sz w:val="20"/>
                <w:szCs w:val="20"/>
              </w:rPr>
              <w:t>0.01</w:t>
            </w:r>
          </w:p>
        </w:tc>
        <w:tc>
          <w:tcPr>
            <w:tcW w:w="1456" w:type="dxa"/>
          </w:tcPr>
          <w:p w:rsidR="00147D9C" w:rsidRPr="00515A58" w:rsidRDefault="00FA2528" w:rsidP="00A76A72">
            <w:pPr>
              <w:pStyle w:val="BHNormal"/>
              <w:jc w:val="center"/>
              <w:rPr>
                <w:rFonts w:eastAsia="Times New Roman"/>
                <w:sz w:val="20"/>
                <w:szCs w:val="20"/>
              </w:rPr>
            </w:pPr>
            <w:r w:rsidRPr="00515A58">
              <w:rPr>
                <w:rFonts w:eastAsia="Times New Roman"/>
                <w:sz w:val="20"/>
                <w:szCs w:val="20"/>
              </w:rPr>
              <w:t>All ages</w:t>
            </w:r>
          </w:p>
        </w:tc>
        <w:tc>
          <w:tcPr>
            <w:tcW w:w="1980" w:type="dxa"/>
            <w:vAlign w:val="bottom"/>
          </w:tcPr>
          <w:p w:rsidR="00243396" w:rsidRPr="00515A58" w:rsidRDefault="00243396" w:rsidP="00A76A72">
            <w:pPr>
              <w:jc w:val="right"/>
            </w:pPr>
            <w:r w:rsidRPr="00515A58">
              <w:t>4.48%</w:t>
            </w:r>
          </w:p>
        </w:tc>
        <w:tc>
          <w:tcPr>
            <w:tcW w:w="2660" w:type="dxa"/>
            <w:vAlign w:val="bottom"/>
          </w:tcPr>
          <w:p w:rsidR="00C43FAF" w:rsidRPr="00515A58" w:rsidRDefault="0017080B">
            <w:pPr>
              <w:jc w:val="right"/>
            </w:pPr>
            <w:r w:rsidRPr="00515A58">
              <w:t>5.93%</w:t>
            </w:r>
          </w:p>
        </w:tc>
      </w:tr>
      <w:tr w:rsidR="00243396" w:rsidRPr="00515A58" w:rsidTr="00F259A2">
        <w:tc>
          <w:tcPr>
            <w:tcW w:w="1488" w:type="dxa"/>
            <w:vMerge/>
          </w:tcPr>
          <w:p w:rsidR="00C43FAF" w:rsidRPr="00515A58" w:rsidRDefault="00C43FAF">
            <w:pPr>
              <w:pStyle w:val="BHNormal"/>
              <w:autoSpaceDE w:val="0"/>
              <w:autoSpaceDN w:val="0"/>
              <w:rPr>
                <w:rFonts w:eastAsia="Times New Roman"/>
                <w:sz w:val="20"/>
                <w:szCs w:val="20"/>
              </w:rPr>
            </w:pPr>
          </w:p>
        </w:tc>
        <w:tc>
          <w:tcPr>
            <w:tcW w:w="1596" w:type="dxa"/>
            <w:vMerge/>
          </w:tcPr>
          <w:p w:rsidR="00C43FAF" w:rsidRPr="00515A58" w:rsidRDefault="00C43FAF">
            <w:pPr>
              <w:pStyle w:val="BHNormal"/>
              <w:autoSpaceDE w:val="0"/>
              <w:autoSpaceDN w:val="0"/>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3-4</w:t>
            </w:r>
          </w:p>
        </w:tc>
        <w:tc>
          <w:tcPr>
            <w:tcW w:w="1980" w:type="dxa"/>
            <w:vAlign w:val="bottom"/>
          </w:tcPr>
          <w:p w:rsidR="00C43FAF" w:rsidRPr="00515A58" w:rsidRDefault="0017080B">
            <w:pPr>
              <w:jc w:val="right"/>
            </w:pPr>
            <w:r w:rsidRPr="00515A58">
              <w:t>6.08%</w:t>
            </w:r>
          </w:p>
        </w:tc>
        <w:tc>
          <w:tcPr>
            <w:tcW w:w="2660" w:type="dxa"/>
            <w:vAlign w:val="bottom"/>
          </w:tcPr>
          <w:p w:rsidR="00C43FAF" w:rsidRPr="00515A58" w:rsidRDefault="0017080B">
            <w:pPr>
              <w:jc w:val="right"/>
            </w:pPr>
            <w:r w:rsidRPr="00515A58">
              <w:t>8.12%</w:t>
            </w:r>
          </w:p>
        </w:tc>
      </w:tr>
      <w:tr w:rsidR="00243396" w:rsidRPr="00515A58" w:rsidTr="00F259A2">
        <w:tc>
          <w:tcPr>
            <w:tcW w:w="1488" w:type="dxa"/>
            <w:vMerge/>
          </w:tcPr>
          <w:p w:rsidR="00C43FAF" w:rsidRPr="00515A58" w:rsidRDefault="00C43FAF">
            <w:pPr>
              <w:pStyle w:val="BHNormal"/>
              <w:autoSpaceDE w:val="0"/>
              <w:autoSpaceDN w:val="0"/>
              <w:rPr>
                <w:rFonts w:eastAsia="Times New Roman"/>
                <w:sz w:val="20"/>
                <w:szCs w:val="20"/>
              </w:rPr>
            </w:pPr>
          </w:p>
        </w:tc>
        <w:tc>
          <w:tcPr>
            <w:tcW w:w="1596" w:type="dxa"/>
            <w:vMerge/>
          </w:tcPr>
          <w:p w:rsidR="00C43FAF" w:rsidRPr="00515A58" w:rsidRDefault="00C43FAF">
            <w:pPr>
              <w:pStyle w:val="BHNormal"/>
              <w:autoSpaceDE w:val="0"/>
              <w:autoSpaceDN w:val="0"/>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5-6</w:t>
            </w:r>
          </w:p>
        </w:tc>
        <w:tc>
          <w:tcPr>
            <w:tcW w:w="1980" w:type="dxa"/>
            <w:vAlign w:val="bottom"/>
          </w:tcPr>
          <w:p w:rsidR="00C43FAF" w:rsidRPr="00515A58" w:rsidRDefault="0017080B">
            <w:pPr>
              <w:jc w:val="right"/>
            </w:pPr>
            <w:r w:rsidRPr="00515A58">
              <w:t>6.14%</w:t>
            </w:r>
          </w:p>
        </w:tc>
        <w:tc>
          <w:tcPr>
            <w:tcW w:w="2660" w:type="dxa"/>
            <w:vAlign w:val="bottom"/>
          </w:tcPr>
          <w:p w:rsidR="00C43FAF" w:rsidRPr="00515A58" w:rsidRDefault="0017080B">
            <w:pPr>
              <w:jc w:val="right"/>
            </w:pPr>
            <w:r w:rsidRPr="00515A58">
              <w:t>8.18%</w:t>
            </w:r>
          </w:p>
        </w:tc>
      </w:tr>
      <w:tr w:rsidR="00243396" w:rsidRPr="00515A58" w:rsidTr="00F259A2">
        <w:tc>
          <w:tcPr>
            <w:tcW w:w="1488" w:type="dxa"/>
            <w:vMerge/>
          </w:tcPr>
          <w:p w:rsidR="00C43FAF" w:rsidRPr="00515A58" w:rsidRDefault="00C43FAF">
            <w:pPr>
              <w:pStyle w:val="BHNormal"/>
              <w:autoSpaceDE w:val="0"/>
              <w:autoSpaceDN w:val="0"/>
              <w:rPr>
                <w:rFonts w:eastAsia="Times New Roman"/>
                <w:sz w:val="20"/>
                <w:szCs w:val="20"/>
              </w:rPr>
            </w:pPr>
          </w:p>
        </w:tc>
        <w:tc>
          <w:tcPr>
            <w:tcW w:w="1596" w:type="dxa"/>
            <w:vMerge/>
          </w:tcPr>
          <w:p w:rsidR="00C43FAF" w:rsidRPr="00515A58" w:rsidRDefault="00C43FAF">
            <w:pPr>
              <w:pStyle w:val="BHNormal"/>
              <w:autoSpaceDE w:val="0"/>
              <w:autoSpaceDN w:val="0"/>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7-8</w:t>
            </w:r>
          </w:p>
        </w:tc>
        <w:tc>
          <w:tcPr>
            <w:tcW w:w="1980" w:type="dxa"/>
            <w:vAlign w:val="bottom"/>
          </w:tcPr>
          <w:p w:rsidR="00C43FAF" w:rsidRPr="00515A58" w:rsidRDefault="0017080B">
            <w:pPr>
              <w:jc w:val="right"/>
            </w:pPr>
            <w:r w:rsidRPr="00515A58">
              <w:t>6.14%</w:t>
            </w:r>
          </w:p>
        </w:tc>
        <w:tc>
          <w:tcPr>
            <w:tcW w:w="2660" w:type="dxa"/>
            <w:vAlign w:val="bottom"/>
          </w:tcPr>
          <w:p w:rsidR="00C43FAF" w:rsidRPr="00515A58" w:rsidRDefault="0017080B">
            <w:pPr>
              <w:jc w:val="right"/>
            </w:pPr>
            <w:r w:rsidRPr="00515A58">
              <w:t>8.16%</w:t>
            </w:r>
          </w:p>
        </w:tc>
      </w:tr>
      <w:tr w:rsidR="00243396" w:rsidRPr="00515A58" w:rsidTr="00F259A2">
        <w:tc>
          <w:tcPr>
            <w:tcW w:w="1488" w:type="dxa"/>
            <w:vMerge/>
          </w:tcPr>
          <w:p w:rsidR="00C43FAF" w:rsidRPr="00515A58" w:rsidRDefault="00C43FAF">
            <w:pPr>
              <w:pStyle w:val="BHNormal"/>
              <w:autoSpaceDE w:val="0"/>
              <w:autoSpaceDN w:val="0"/>
              <w:rPr>
                <w:rFonts w:eastAsia="Times New Roman"/>
                <w:sz w:val="20"/>
                <w:szCs w:val="20"/>
              </w:rPr>
            </w:pPr>
          </w:p>
        </w:tc>
        <w:tc>
          <w:tcPr>
            <w:tcW w:w="1596" w:type="dxa"/>
            <w:vMerge/>
          </w:tcPr>
          <w:p w:rsidR="00C43FAF" w:rsidRPr="00515A58" w:rsidRDefault="00C43FAF">
            <w:pPr>
              <w:pStyle w:val="BHNormal"/>
              <w:autoSpaceDE w:val="0"/>
              <w:autoSpaceDN w:val="0"/>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9-10</w:t>
            </w:r>
          </w:p>
        </w:tc>
        <w:tc>
          <w:tcPr>
            <w:tcW w:w="1980" w:type="dxa"/>
            <w:vAlign w:val="bottom"/>
          </w:tcPr>
          <w:p w:rsidR="00C43FAF" w:rsidRPr="00515A58" w:rsidRDefault="0017080B">
            <w:pPr>
              <w:jc w:val="right"/>
            </w:pPr>
            <w:r w:rsidRPr="00515A58">
              <w:t>6.14%</w:t>
            </w:r>
          </w:p>
        </w:tc>
        <w:tc>
          <w:tcPr>
            <w:tcW w:w="2660" w:type="dxa"/>
            <w:vAlign w:val="bottom"/>
          </w:tcPr>
          <w:p w:rsidR="00C43FAF" w:rsidRPr="00515A58" w:rsidRDefault="0017080B">
            <w:pPr>
              <w:jc w:val="right"/>
            </w:pPr>
            <w:r w:rsidRPr="00515A58">
              <w:t>8.19%</w:t>
            </w:r>
          </w:p>
        </w:tc>
      </w:tr>
      <w:tr w:rsidR="00243396" w:rsidRPr="00515A58" w:rsidTr="00F259A2">
        <w:tc>
          <w:tcPr>
            <w:tcW w:w="1488" w:type="dxa"/>
            <w:vMerge/>
          </w:tcPr>
          <w:p w:rsidR="00C43FAF" w:rsidRPr="00515A58" w:rsidRDefault="00C43FAF">
            <w:pPr>
              <w:pStyle w:val="BHNormal"/>
              <w:autoSpaceDE w:val="0"/>
              <w:autoSpaceDN w:val="0"/>
              <w:rPr>
                <w:rFonts w:eastAsia="Times New Roman"/>
                <w:sz w:val="20"/>
                <w:szCs w:val="20"/>
              </w:rPr>
            </w:pPr>
          </w:p>
        </w:tc>
        <w:tc>
          <w:tcPr>
            <w:tcW w:w="1596" w:type="dxa"/>
            <w:vMerge/>
          </w:tcPr>
          <w:p w:rsidR="00C43FAF" w:rsidRPr="00515A58" w:rsidRDefault="00C43FAF">
            <w:pPr>
              <w:pStyle w:val="BHNormal"/>
              <w:autoSpaceDE w:val="0"/>
              <w:autoSpaceDN w:val="0"/>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11-13</w:t>
            </w:r>
          </w:p>
        </w:tc>
        <w:tc>
          <w:tcPr>
            <w:tcW w:w="1980" w:type="dxa"/>
            <w:vAlign w:val="bottom"/>
          </w:tcPr>
          <w:p w:rsidR="00C43FAF" w:rsidRPr="00515A58" w:rsidRDefault="0017080B">
            <w:pPr>
              <w:jc w:val="right"/>
            </w:pPr>
            <w:r w:rsidRPr="00515A58">
              <w:t>5.56%</w:t>
            </w:r>
          </w:p>
        </w:tc>
        <w:tc>
          <w:tcPr>
            <w:tcW w:w="2660" w:type="dxa"/>
            <w:vAlign w:val="bottom"/>
          </w:tcPr>
          <w:p w:rsidR="00C43FAF" w:rsidRPr="00515A58" w:rsidRDefault="0017080B">
            <w:pPr>
              <w:jc w:val="right"/>
            </w:pPr>
            <w:r w:rsidRPr="00515A58">
              <w:t>7.42%</w:t>
            </w:r>
          </w:p>
        </w:tc>
      </w:tr>
      <w:tr w:rsidR="00243396" w:rsidRPr="00515A58" w:rsidTr="00F259A2">
        <w:tc>
          <w:tcPr>
            <w:tcW w:w="1488" w:type="dxa"/>
            <w:vMerge/>
          </w:tcPr>
          <w:p w:rsidR="00C43FAF" w:rsidRPr="00515A58" w:rsidRDefault="00C43FAF">
            <w:pPr>
              <w:pStyle w:val="BHNormal"/>
              <w:autoSpaceDE w:val="0"/>
              <w:autoSpaceDN w:val="0"/>
              <w:rPr>
                <w:rFonts w:eastAsia="Times New Roman"/>
                <w:sz w:val="20"/>
                <w:szCs w:val="20"/>
              </w:rPr>
            </w:pPr>
          </w:p>
        </w:tc>
        <w:tc>
          <w:tcPr>
            <w:tcW w:w="1596" w:type="dxa"/>
            <w:vMerge/>
          </w:tcPr>
          <w:p w:rsidR="00C43FAF" w:rsidRPr="00515A58" w:rsidRDefault="00C43FAF">
            <w:pPr>
              <w:pStyle w:val="BHNormal"/>
              <w:autoSpaceDE w:val="0"/>
              <w:autoSpaceDN w:val="0"/>
              <w:rPr>
                <w:rFonts w:eastAsia="Times New Roman"/>
                <w:sz w:val="20"/>
                <w:szCs w:val="20"/>
              </w:rPr>
            </w:pPr>
          </w:p>
        </w:tc>
        <w:tc>
          <w:tcPr>
            <w:tcW w:w="1456" w:type="dxa"/>
          </w:tcPr>
          <w:p w:rsidR="004116D2" w:rsidRPr="00515A58" w:rsidRDefault="0017080B">
            <w:pPr>
              <w:pStyle w:val="BHNormal"/>
              <w:jc w:val="center"/>
              <w:rPr>
                <w:rFonts w:eastAsia="Times New Roman"/>
                <w:sz w:val="20"/>
                <w:szCs w:val="20"/>
              </w:rPr>
            </w:pPr>
            <w:r w:rsidRPr="00515A58">
              <w:rPr>
                <w:rFonts w:eastAsia="Times New Roman"/>
                <w:sz w:val="20"/>
                <w:szCs w:val="20"/>
              </w:rPr>
              <w:t>14-15</w:t>
            </w:r>
          </w:p>
        </w:tc>
        <w:tc>
          <w:tcPr>
            <w:tcW w:w="1980" w:type="dxa"/>
            <w:vAlign w:val="bottom"/>
          </w:tcPr>
          <w:p w:rsidR="00C43FAF" w:rsidRPr="00515A58" w:rsidRDefault="0017080B">
            <w:pPr>
              <w:jc w:val="right"/>
            </w:pPr>
            <w:r w:rsidRPr="00515A58">
              <w:t>6%</w:t>
            </w:r>
          </w:p>
        </w:tc>
        <w:tc>
          <w:tcPr>
            <w:tcW w:w="2660" w:type="dxa"/>
            <w:vAlign w:val="bottom"/>
          </w:tcPr>
          <w:p w:rsidR="00C43FAF" w:rsidRPr="00515A58" w:rsidRDefault="0017080B">
            <w:pPr>
              <w:jc w:val="right"/>
            </w:pPr>
            <w:r w:rsidRPr="00515A58">
              <w:t>7.98%</w:t>
            </w:r>
          </w:p>
        </w:tc>
      </w:tr>
    </w:tbl>
    <w:p w:rsidR="00243396" w:rsidRPr="00515A58" w:rsidRDefault="00243396" w:rsidP="00A76A72">
      <w:pPr>
        <w:adjustRightInd w:val="0"/>
        <w:rPr>
          <w:sz w:val="24"/>
        </w:rPr>
      </w:pPr>
    </w:p>
    <w:p w:rsidR="00243396" w:rsidRPr="00515A58" w:rsidRDefault="00243396" w:rsidP="00A76A72">
      <w:pPr>
        <w:adjustRightInd w:val="0"/>
        <w:rPr>
          <w:sz w:val="24"/>
        </w:rPr>
      </w:pPr>
    </w:p>
    <w:p w:rsidR="00243396" w:rsidRPr="00B03154" w:rsidRDefault="0017080B" w:rsidP="00A76A72">
      <w:pPr>
        <w:adjustRightInd w:val="0"/>
        <w:rPr>
          <w:sz w:val="24"/>
        </w:rPr>
      </w:pPr>
      <w:r w:rsidRPr="00515A58">
        <w:rPr>
          <w:sz w:val="24"/>
        </w:rPr>
        <w:t xml:space="preserve">Table B.1.7 lists the effect size as a percentage change in BMI that could be detected for a one-unit change </w:t>
      </w:r>
      <w:r w:rsidR="00402875" w:rsidRPr="00515A58">
        <w:rPr>
          <w:rFonts w:cstheme="minorHAnsi"/>
          <w:sz w:val="24"/>
        </w:rPr>
        <w:t xml:space="preserve">(i.e., change in intensity score from </w:t>
      </w:r>
      <w:proofErr w:type="gramStart"/>
      <w:r w:rsidR="00402875" w:rsidRPr="00515A58">
        <w:rPr>
          <w:rFonts w:cstheme="minorHAnsi"/>
          <w:sz w:val="24"/>
        </w:rPr>
        <w:t>0</w:t>
      </w:r>
      <w:proofErr w:type="gramEnd"/>
      <w:r w:rsidR="00402875" w:rsidRPr="00515A58">
        <w:rPr>
          <w:rFonts w:cstheme="minorHAnsi"/>
          <w:sz w:val="24"/>
        </w:rPr>
        <w:t xml:space="preserve"> to 1)</w:t>
      </w:r>
      <w:r w:rsidR="00402875" w:rsidRPr="00515A58">
        <w:rPr>
          <w:rFonts w:cstheme="minorHAnsi"/>
        </w:rPr>
        <w:t xml:space="preserve"> </w:t>
      </w:r>
      <w:r w:rsidRPr="00515A58">
        <w:rPr>
          <w:sz w:val="24"/>
        </w:rPr>
        <w:t xml:space="preserve">in program intensity, assuming a longitudinal analysis.  Our longitudinal designs highlight the utility of the historical height and weight data that </w:t>
      </w:r>
      <w:proofErr w:type="gramStart"/>
      <w:r w:rsidRPr="00515A58">
        <w:rPr>
          <w:sz w:val="24"/>
        </w:rPr>
        <w:t>may be obtained</w:t>
      </w:r>
      <w:proofErr w:type="gramEnd"/>
      <w:r w:rsidRPr="00515A58">
        <w:rPr>
          <w:sz w:val="24"/>
        </w:rPr>
        <w:t xml:space="preserve"> via medical record abstraction.  These designs have much higher power than our cross-sectional designs.  With historic longitudinal data, the study designs</w:t>
      </w:r>
      <w:r w:rsidRPr="0017080B">
        <w:rPr>
          <w:sz w:val="24"/>
        </w:rPr>
        <w:t xml:space="preserve"> </w:t>
      </w:r>
      <w:r w:rsidRPr="0017080B">
        <w:rPr>
          <w:sz w:val="24"/>
        </w:rPr>
        <w:lastRenderedPageBreak/>
        <w:t xml:space="preserve">have more than 90 percent probability of being able to identify programs that reduce BMI by less than one percent, even if those programs/policies </w:t>
      </w:r>
      <w:proofErr w:type="gramStart"/>
      <w:r w:rsidRPr="0017080B">
        <w:rPr>
          <w:sz w:val="24"/>
        </w:rPr>
        <w:t>are only implemented</w:t>
      </w:r>
      <w:proofErr w:type="gramEnd"/>
      <w:r w:rsidRPr="0017080B">
        <w:rPr>
          <w:sz w:val="24"/>
        </w:rPr>
        <w:t xml:space="preserve"> well in a small number of communities.</w:t>
      </w:r>
    </w:p>
    <w:p w:rsidR="00C43FAF" w:rsidRDefault="00C43FAF">
      <w:pPr>
        <w:pStyle w:val="BHNormal"/>
        <w:rPr>
          <w:szCs w:val="24"/>
        </w:rPr>
      </w:pPr>
    </w:p>
    <w:p w:rsidR="00784A66" w:rsidRPr="00756E94" w:rsidRDefault="00784A66">
      <w:pPr>
        <w:pStyle w:val="BHNormal"/>
        <w:rPr>
          <w:szCs w:val="24"/>
        </w:rPr>
      </w:pPr>
    </w:p>
    <w:p w:rsidR="004116D2" w:rsidRDefault="0017080B" w:rsidP="00E94F72">
      <w:pPr>
        <w:pStyle w:val="Style1sub-headings"/>
        <w:spacing w:before="0" w:line="240" w:lineRule="auto"/>
        <w:ind w:hanging="630"/>
      </w:pPr>
      <w:bookmarkStart w:id="53" w:name="_Toc299107940"/>
      <w:bookmarkStart w:id="54" w:name="_Toc301448531"/>
      <w:bookmarkStart w:id="55" w:name="_Toc301448666"/>
      <w:bookmarkStart w:id="56" w:name="_Toc301448755"/>
      <w:bookmarkStart w:id="57" w:name="_Toc301448823"/>
      <w:r w:rsidRPr="0017080B">
        <w:t>Table B.1.7</w:t>
      </w:r>
      <w:r w:rsidR="00E94F72">
        <w:t xml:space="preserve"> </w:t>
      </w:r>
      <w:r w:rsidRPr="0017080B">
        <w:t xml:space="preserve">  Longitudinal Power and Effect Size Results for BMI Response</w:t>
      </w:r>
      <w:bookmarkEnd w:id="53"/>
      <w:bookmarkEnd w:id="54"/>
      <w:bookmarkEnd w:id="55"/>
      <w:bookmarkEnd w:id="56"/>
      <w:bookmarkEnd w:id="57"/>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488"/>
        <w:gridCol w:w="1596"/>
        <w:gridCol w:w="1456"/>
        <w:gridCol w:w="1980"/>
        <w:gridCol w:w="2660"/>
      </w:tblGrid>
      <w:tr w:rsidR="00243396" w:rsidRPr="00B03154" w:rsidTr="001E0A00">
        <w:trPr>
          <w:tblHeader/>
        </w:trPr>
        <w:tc>
          <w:tcPr>
            <w:tcW w:w="1488"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Power</w:t>
            </w:r>
          </w:p>
        </w:tc>
        <w:tc>
          <w:tcPr>
            <w:tcW w:w="1596"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Alpha</w:t>
            </w:r>
          </w:p>
        </w:tc>
        <w:tc>
          <w:tcPr>
            <w:tcW w:w="1456"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Age group</w:t>
            </w:r>
          </w:p>
        </w:tc>
        <w:tc>
          <w:tcPr>
            <w:tcW w:w="4640" w:type="dxa"/>
            <w:gridSpan w:val="2"/>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Effect Size</w:t>
            </w:r>
          </w:p>
          <w:p w:rsidR="00C43FAF" w:rsidRDefault="0017080B">
            <w:pPr>
              <w:pStyle w:val="BHNormal"/>
              <w:autoSpaceDE w:val="0"/>
              <w:autoSpaceDN w:val="0"/>
              <w:jc w:val="center"/>
              <w:rPr>
                <w:rFonts w:eastAsia="Times New Roman"/>
                <w:b/>
                <w:sz w:val="20"/>
                <w:szCs w:val="20"/>
              </w:rPr>
            </w:pPr>
            <w:r w:rsidRPr="0017080B">
              <w:rPr>
                <w:rFonts w:eastAsia="Times New Roman"/>
                <w:sz w:val="20"/>
                <w:szCs w:val="20"/>
              </w:rPr>
              <w:t>(% change in BMI that can be detected)</w:t>
            </w:r>
          </w:p>
        </w:tc>
      </w:tr>
      <w:tr w:rsidR="00243396" w:rsidRPr="00B03154" w:rsidTr="001E0A00">
        <w:trPr>
          <w:tblHeader/>
        </w:trPr>
        <w:tc>
          <w:tcPr>
            <w:tcW w:w="1488"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596"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456"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98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Uniform distribution of program intensity across communities</w:t>
            </w:r>
          </w:p>
        </w:tc>
        <w:tc>
          <w:tcPr>
            <w:tcW w:w="266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Few communities implement at full intensity, most communities at low intensity</w:t>
            </w:r>
          </w:p>
        </w:tc>
      </w:tr>
      <w:tr w:rsidR="00243396" w:rsidRPr="00B03154" w:rsidTr="00F259A2">
        <w:trPr>
          <w:tblHeader/>
        </w:trPr>
        <w:tc>
          <w:tcPr>
            <w:tcW w:w="9180" w:type="dxa"/>
            <w:gridSpan w:val="5"/>
            <w:shd w:val="clear" w:color="auto" w:fill="000000"/>
          </w:tcPr>
          <w:p w:rsidR="00243396" w:rsidRPr="00B03154" w:rsidRDefault="00FA2528" w:rsidP="00A76A72">
            <w:pPr>
              <w:pStyle w:val="BHNormal"/>
              <w:rPr>
                <w:rFonts w:eastAsia="Times New Roman"/>
                <w:b/>
                <w:color w:val="FFFFFF"/>
                <w:sz w:val="20"/>
                <w:szCs w:val="20"/>
              </w:rPr>
            </w:pPr>
            <w:r w:rsidRPr="00B03154">
              <w:rPr>
                <w:rFonts w:eastAsia="Times New Roman"/>
                <w:b/>
                <w:color w:val="FFFFFF"/>
                <w:sz w:val="20"/>
                <w:szCs w:val="20"/>
              </w:rPr>
              <w:t xml:space="preserve">Age group refers to age when measurement recorded </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56" w:type="dxa"/>
          </w:tcPr>
          <w:p w:rsidR="00243396" w:rsidRPr="00B03154" w:rsidRDefault="00FA2528" w:rsidP="00A76A72">
            <w:pPr>
              <w:pStyle w:val="BHNormal"/>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0.37%</w:t>
            </w:r>
          </w:p>
        </w:tc>
        <w:tc>
          <w:tcPr>
            <w:tcW w:w="2660" w:type="dxa"/>
            <w:vAlign w:val="bottom"/>
          </w:tcPr>
          <w:p w:rsidR="00C43FAF" w:rsidRDefault="0017080B">
            <w:pPr>
              <w:jc w:val="right"/>
              <w:rPr>
                <w:color w:val="000000"/>
                <w:szCs w:val="20"/>
              </w:rPr>
            </w:pPr>
            <w:r w:rsidRPr="0017080B">
              <w:rPr>
                <w:color w:val="000000"/>
                <w:szCs w:val="20"/>
              </w:rPr>
              <w:t>0.39%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0.76%</w:t>
            </w:r>
          </w:p>
        </w:tc>
        <w:tc>
          <w:tcPr>
            <w:tcW w:w="2660" w:type="dxa"/>
            <w:vAlign w:val="bottom"/>
          </w:tcPr>
          <w:p w:rsidR="00C43FAF" w:rsidRDefault="0017080B">
            <w:pPr>
              <w:jc w:val="right"/>
              <w:rPr>
                <w:color w:val="000000"/>
                <w:szCs w:val="20"/>
              </w:rPr>
            </w:pPr>
            <w:r w:rsidRPr="0017080B">
              <w:rPr>
                <w:color w:val="000000"/>
                <w:szCs w:val="20"/>
              </w:rPr>
              <w:t>0.83%</w:t>
            </w:r>
          </w:p>
        </w:tc>
      </w:tr>
      <w:tr w:rsidR="00243396" w:rsidRPr="00B03154" w:rsidTr="001E0A00">
        <w:trPr>
          <w:trHeight w:val="332"/>
        </w:trPr>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0.92%</w:t>
            </w:r>
          </w:p>
        </w:tc>
        <w:tc>
          <w:tcPr>
            <w:tcW w:w="2660" w:type="dxa"/>
            <w:vAlign w:val="bottom"/>
          </w:tcPr>
          <w:p w:rsidR="00C43FAF" w:rsidRDefault="0017080B">
            <w:pPr>
              <w:jc w:val="right"/>
              <w:rPr>
                <w:color w:val="000000"/>
                <w:szCs w:val="20"/>
              </w:rPr>
            </w:pPr>
            <w:r w:rsidRPr="0017080B">
              <w:rPr>
                <w:color w:val="000000"/>
                <w:szCs w:val="20"/>
              </w:rPr>
              <w:t>0.99%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0.98%</w:t>
            </w:r>
          </w:p>
        </w:tc>
        <w:tc>
          <w:tcPr>
            <w:tcW w:w="2660" w:type="dxa"/>
            <w:vAlign w:val="bottom"/>
          </w:tcPr>
          <w:p w:rsidR="00C43FAF" w:rsidRDefault="0017080B">
            <w:pPr>
              <w:jc w:val="right"/>
              <w:rPr>
                <w:color w:val="000000"/>
                <w:szCs w:val="20"/>
              </w:rPr>
            </w:pPr>
            <w:r w:rsidRPr="0017080B">
              <w:rPr>
                <w:color w:val="000000"/>
                <w:szCs w:val="20"/>
              </w:rPr>
              <w:t>1.07%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1.07%</w:t>
            </w:r>
          </w:p>
        </w:tc>
        <w:tc>
          <w:tcPr>
            <w:tcW w:w="2660" w:type="dxa"/>
            <w:vAlign w:val="bottom"/>
          </w:tcPr>
          <w:p w:rsidR="00C43FAF" w:rsidRDefault="0017080B">
            <w:pPr>
              <w:jc w:val="right"/>
              <w:rPr>
                <w:color w:val="000000"/>
                <w:szCs w:val="20"/>
              </w:rPr>
            </w:pPr>
            <w:r w:rsidRPr="0017080B">
              <w:rPr>
                <w:color w:val="000000"/>
                <w:szCs w:val="20"/>
              </w:rPr>
              <w:t>1.21%</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0.74%</w:t>
            </w:r>
          </w:p>
        </w:tc>
        <w:tc>
          <w:tcPr>
            <w:tcW w:w="2660" w:type="dxa"/>
            <w:vAlign w:val="bottom"/>
          </w:tcPr>
          <w:p w:rsidR="00C43FAF" w:rsidRDefault="0017080B">
            <w:pPr>
              <w:jc w:val="right"/>
              <w:rPr>
                <w:color w:val="000000"/>
                <w:szCs w:val="20"/>
              </w:rPr>
            </w:pPr>
            <w:r w:rsidRPr="0017080B">
              <w:rPr>
                <w:color w:val="000000"/>
                <w:szCs w:val="20"/>
              </w:rPr>
              <w:t>0.87%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2.70%</w:t>
            </w:r>
          </w:p>
        </w:tc>
        <w:tc>
          <w:tcPr>
            <w:tcW w:w="2660" w:type="dxa"/>
            <w:vAlign w:val="bottom"/>
          </w:tcPr>
          <w:p w:rsidR="00C43FAF" w:rsidRDefault="0017080B">
            <w:pPr>
              <w:jc w:val="right"/>
              <w:rPr>
                <w:color w:val="000000"/>
                <w:szCs w:val="20"/>
              </w:rPr>
            </w:pPr>
            <w:r w:rsidRPr="0017080B">
              <w:rPr>
                <w:color w:val="000000"/>
                <w:szCs w:val="20"/>
              </w:rPr>
              <w:t>3.28%</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56" w:type="dxa"/>
          </w:tcPr>
          <w:p w:rsidR="00243396" w:rsidRPr="00B03154" w:rsidRDefault="00FA2528" w:rsidP="00A76A72">
            <w:pPr>
              <w:pStyle w:val="BHNormal"/>
              <w:autoSpaceDE w:val="0"/>
              <w:autoSpaceDN w:val="0"/>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0.43%</w:t>
            </w:r>
          </w:p>
        </w:tc>
        <w:tc>
          <w:tcPr>
            <w:tcW w:w="2660" w:type="dxa"/>
            <w:vAlign w:val="bottom"/>
          </w:tcPr>
          <w:p w:rsidR="00C43FAF" w:rsidRDefault="0017080B">
            <w:pPr>
              <w:jc w:val="right"/>
              <w:rPr>
                <w:color w:val="000000"/>
                <w:szCs w:val="20"/>
              </w:rPr>
            </w:pPr>
            <w:r w:rsidRPr="0017080B">
              <w:rPr>
                <w:color w:val="000000"/>
                <w:szCs w:val="20"/>
              </w:rPr>
              <w:t>0.46%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0.88%</w:t>
            </w:r>
          </w:p>
        </w:tc>
        <w:tc>
          <w:tcPr>
            <w:tcW w:w="2660" w:type="dxa"/>
            <w:vAlign w:val="bottom"/>
          </w:tcPr>
          <w:p w:rsidR="00C43FAF" w:rsidRDefault="0017080B">
            <w:pPr>
              <w:jc w:val="right"/>
              <w:rPr>
                <w:color w:val="000000"/>
                <w:szCs w:val="20"/>
              </w:rPr>
            </w:pPr>
            <w:r w:rsidRPr="0017080B">
              <w:rPr>
                <w:color w:val="000000"/>
                <w:szCs w:val="20"/>
              </w:rPr>
              <w:t>0.96%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1.06%</w:t>
            </w:r>
          </w:p>
        </w:tc>
        <w:tc>
          <w:tcPr>
            <w:tcW w:w="2660" w:type="dxa"/>
            <w:vAlign w:val="bottom"/>
          </w:tcPr>
          <w:p w:rsidR="00C43FAF" w:rsidRDefault="0017080B">
            <w:pPr>
              <w:jc w:val="right"/>
              <w:rPr>
                <w:color w:val="000000"/>
                <w:szCs w:val="20"/>
              </w:rPr>
            </w:pPr>
            <w:r w:rsidRPr="0017080B">
              <w:rPr>
                <w:color w:val="000000"/>
                <w:szCs w:val="20"/>
              </w:rPr>
              <w:t>1.14%</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1.13%</w:t>
            </w:r>
          </w:p>
        </w:tc>
        <w:tc>
          <w:tcPr>
            <w:tcW w:w="2660" w:type="dxa"/>
            <w:vAlign w:val="bottom"/>
          </w:tcPr>
          <w:p w:rsidR="00C43FAF" w:rsidRDefault="0017080B">
            <w:pPr>
              <w:jc w:val="right"/>
              <w:rPr>
                <w:color w:val="000000"/>
                <w:szCs w:val="20"/>
              </w:rPr>
            </w:pPr>
            <w:r w:rsidRPr="0017080B">
              <w:rPr>
                <w:color w:val="000000"/>
                <w:szCs w:val="20"/>
              </w:rPr>
              <w:t>1.23%</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1.23%</w:t>
            </w:r>
          </w:p>
        </w:tc>
        <w:tc>
          <w:tcPr>
            <w:tcW w:w="2660" w:type="dxa"/>
            <w:vAlign w:val="bottom"/>
          </w:tcPr>
          <w:p w:rsidR="00C43FAF" w:rsidRDefault="0017080B">
            <w:pPr>
              <w:jc w:val="right"/>
              <w:rPr>
                <w:color w:val="000000"/>
                <w:szCs w:val="20"/>
              </w:rPr>
            </w:pPr>
            <w:r w:rsidRPr="0017080B">
              <w:rPr>
                <w:color w:val="000000"/>
                <w:szCs w:val="20"/>
              </w:rPr>
              <w:t>1.40%</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0.86%</w:t>
            </w:r>
          </w:p>
        </w:tc>
        <w:tc>
          <w:tcPr>
            <w:tcW w:w="2660" w:type="dxa"/>
            <w:vAlign w:val="bottom"/>
          </w:tcPr>
          <w:p w:rsidR="00C43FAF" w:rsidRDefault="0017080B">
            <w:pPr>
              <w:jc w:val="right"/>
              <w:rPr>
                <w:color w:val="000000"/>
                <w:szCs w:val="20"/>
              </w:rPr>
            </w:pPr>
            <w:r w:rsidRPr="0017080B">
              <w:rPr>
                <w:color w:val="000000"/>
                <w:szCs w:val="20"/>
              </w:rPr>
              <w:t>1.01%</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3.13%</w:t>
            </w:r>
          </w:p>
        </w:tc>
        <w:tc>
          <w:tcPr>
            <w:tcW w:w="2660" w:type="dxa"/>
            <w:vAlign w:val="bottom"/>
          </w:tcPr>
          <w:p w:rsidR="00C43FAF" w:rsidRDefault="0017080B">
            <w:pPr>
              <w:jc w:val="right"/>
              <w:rPr>
                <w:color w:val="000000"/>
                <w:szCs w:val="20"/>
              </w:rPr>
            </w:pPr>
            <w:r w:rsidRPr="0017080B">
              <w:rPr>
                <w:color w:val="000000"/>
                <w:szCs w:val="20"/>
              </w:rPr>
              <w:t>3.80%</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0.01</w:t>
            </w:r>
          </w:p>
        </w:tc>
        <w:tc>
          <w:tcPr>
            <w:tcW w:w="1456" w:type="dxa"/>
          </w:tcPr>
          <w:p w:rsidR="00243396" w:rsidRPr="00B03154" w:rsidRDefault="00FA2528" w:rsidP="00A76A72">
            <w:pPr>
              <w:pStyle w:val="BHNormal"/>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0.51%</w:t>
            </w:r>
          </w:p>
        </w:tc>
        <w:tc>
          <w:tcPr>
            <w:tcW w:w="2660" w:type="dxa"/>
            <w:vAlign w:val="bottom"/>
          </w:tcPr>
          <w:p w:rsidR="00C43FAF" w:rsidRDefault="0017080B">
            <w:pPr>
              <w:jc w:val="right"/>
              <w:rPr>
                <w:color w:val="000000"/>
                <w:szCs w:val="20"/>
              </w:rPr>
            </w:pPr>
            <w:r w:rsidRPr="0017080B">
              <w:rPr>
                <w:color w:val="000000"/>
                <w:szCs w:val="20"/>
              </w:rPr>
              <w:t>0.54%</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1.05%</w:t>
            </w:r>
          </w:p>
        </w:tc>
        <w:tc>
          <w:tcPr>
            <w:tcW w:w="2660" w:type="dxa"/>
            <w:vAlign w:val="bottom"/>
          </w:tcPr>
          <w:p w:rsidR="00C43FAF" w:rsidRDefault="0017080B">
            <w:pPr>
              <w:jc w:val="right"/>
              <w:rPr>
                <w:color w:val="000000"/>
                <w:szCs w:val="20"/>
              </w:rPr>
            </w:pPr>
            <w:r w:rsidRPr="0017080B">
              <w:rPr>
                <w:color w:val="000000"/>
                <w:szCs w:val="20"/>
              </w:rPr>
              <w:t>1.14%</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1.26%</w:t>
            </w:r>
          </w:p>
        </w:tc>
        <w:tc>
          <w:tcPr>
            <w:tcW w:w="2660" w:type="dxa"/>
            <w:vAlign w:val="bottom"/>
          </w:tcPr>
          <w:p w:rsidR="00C43FAF" w:rsidRDefault="0017080B">
            <w:pPr>
              <w:jc w:val="right"/>
              <w:rPr>
                <w:color w:val="000000"/>
                <w:szCs w:val="20"/>
              </w:rPr>
            </w:pPr>
            <w:r w:rsidRPr="0017080B">
              <w:rPr>
                <w:color w:val="000000"/>
                <w:szCs w:val="20"/>
              </w:rPr>
              <w:t>1.36%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1.35%</w:t>
            </w:r>
          </w:p>
        </w:tc>
        <w:tc>
          <w:tcPr>
            <w:tcW w:w="2660" w:type="dxa"/>
            <w:vAlign w:val="bottom"/>
          </w:tcPr>
          <w:p w:rsidR="00C43FAF" w:rsidRDefault="0017080B">
            <w:pPr>
              <w:jc w:val="right"/>
              <w:rPr>
                <w:color w:val="000000"/>
                <w:szCs w:val="20"/>
              </w:rPr>
            </w:pPr>
            <w:r w:rsidRPr="0017080B">
              <w:rPr>
                <w:color w:val="000000"/>
                <w:szCs w:val="20"/>
              </w:rPr>
              <w:t>1.47%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1.47%</w:t>
            </w:r>
          </w:p>
        </w:tc>
        <w:tc>
          <w:tcPr>
            <w:tcW w:w="2660" w:type="dxa"/>
            <w:vAlign w:val="bottom"/>
          </w:tcPr>
          <w:p w:rsidR="00C43FAF" w:rsidRDefault="0017080B">
            <w:pPr>
              <w:jc w:val="right"/>
              <w:rPr>
                <w:color w:val="000000"/>
                <w:szCs w:val="20"/>
              </w:rPr>
            </w:pPr>
            <w:r w:rsidRPr="0017080B">
              <w:rPr>
                <w:color w:val="000000"/>
                <w:szCs w:val="20"/>
              </w:rPr>
              <w:t>1.67%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1.02%</w:t>
            </w:r>
          </w:p>
        </w:tc>
        <w:tc>
          <w:tcPr>
            <w:tcW w:w="2660" w:type="dxa"/>
            <w:vAlign w:val="bottom"/>
          </w:tcPr>
          <w:p w:rsidR="00C43FAF" w:rsidRDefault="0017080B">
            <w:pPr>
              <w:jc w:val="right"/>
              <w:rPr>
                <w:color w:val="000000"/>
                <w:szCs w:val="20"/>
              </w:rPr>
            </w:pPr>
            <w:r w:rsidRPr="0017080B">
              <w:rPr>
                <w:color w:val="000000"/>
                <w:szCs w:val="20"/>
              </w:rPr>
              <w:t>1.20%</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3.74%</w:t>
            </w:r>
          </w:p>
        </w:tc>
        <w:tc>
          <w:tcPr>
            <w:tcW w:w="2660" w:type="dxa"/>
            <w:vAlign w:val="bottom"/>
          </w:tcPr>
          <w:p w:rsidR="00C43FAF" w:rsidRDefault="0017080B">
            <w:pPr>
              <w:jc w:val="right"/>
              <w:rPr>
                <w:color w:val="000000"/>
                <w:szCs w:val="20"/>
              </w:rPr>
            </w:pPr>
            <w:r w:rsidRPr="0017080B">
              <w:rPr>
                <w:color w:val="000000"/>
                <w:szCs w:val="20"/>
              </w:rPr>
              <w:t>4.54%</w:t>
            </w:r>
          </w:p>
        </w:tc>
      </w:tr>
      <w:tr w:rsidR="00243396" w:rsidRPr="00B03154" w:rsidTr="00F259A2">
        <w:tc>
          <w:tcPr>
            <w:tcW w:w="9180" w:type="dxa"/>
            <w:gridSpan w:val="5"/>
            <w:shd w:val="clear" w:color="auto" w:fill="000000"/>
          </w:tcPr>
          <w:p w:rsidR="00243396" w:rsidRPr="00B03154" w:rsidRDefault="00FA2528" w:rsidP="00A76A72">
            <w:pPr>
              <w:pStyle w:val="BHNormal"/>
              <w:rPr>
                <w:rFonts w:eastAsia="Times New Roman"/>
                <w:b/>
                <w:color w:val="FFFFFF"/>
                <w:sz w:val="20"/>
                <w:szCs w:val="20"/>
              </w:rPr>
            </w:pPr>
            <w:r w:rsidRPr="00B03154">
              <w:rPr>
                <w:rFonts w:eastAsia="Times New Roman"/>
                <w:b/>
                <w:color w:val="FFFFFF"/>
                <w:sz w:val="20"/>
                <w:szCs w:val="20"/>
              </w:rPr>
              <w:t>Age group refers to age at baseline</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56" w:type="dxa"/>
          </w:tcPr>
          <w:p w:rsidR="00243396" w:rsidRPr="00B03154" w:rsidRDefault="00FA2528" w:rsidP="00A76A72">
            <w:pPr>
              <w:pStyle w:val="BHNormal"/>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0.26%</w:t>
            </w:r>
          </w:p>
        </w:tc>
        <w:tc>
          <w:tcPr>
            <w:tcW w:w="2660" w:type="dxa"/>
            <w:vAlign w:val="bottom"/>
          </w:tcPr>
          <w:p w:rsidR="00C43FAF" w:rsidRDefault="0017080B">
            <w:pPr>
              <w:jc w:val="right"/>
              <w:rPr>
                <w:color w:val="000000"/>
                <w:szCs w:val="20"/>
              </w:rPr>
            </w:pPr>
            <w:r w:rsidRPr="0017080B">
              <w:rPr>
                <w:color w:val="000000"/>
                <w:szCs w:val="20"/>
              </w:rPr>
              <w:t>0.27%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0.31%</w:t>
            </w:r>
          </w:p>
        </w:tc>
        <w:tc>
          <w:tcPr>
            <w:tcW w:w="2660" w:type="dxa"/>
            <w:vAlign w:val="bottom"/>
          </w:tcPr>
          <w:p w:rsidR="00C43FAF" w:rsidRDefault="0017080B">
            <w:pPr>
              <w:jc w:val="right"/>
              <w:rPr>
                <w:color w:val="000000"/>
                <w:szCs w:val="20"/>
              </w:rPr>
            </w:pPr>
            <w:r w:rsidRPr="0017080B">
              <w:rPr>
                <w:color w:val="000000"/>
                <w:szCs w:val="20"/>
              </w:rPr>
              <w:t>0.36%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0.39%</w:t>
            </w:r>
          </w:p>
        </w:tc>
        <w:tc>
          <w:tcPr>
            <w:tcW w:w="2660" w:type="dxa"/>
            <w:vAlign w:val="bottom"/>
          </w:tcPr>
          <w:p w:rsidR="00C43FAF" w:rsidRDefault="0017080B">
            <w:pPr>
              <w:jc w:val="right"/>
              <w:rPr>
                <w:color w:val="000000"/>
                <w:szCs w:val="20"/>
              </w:rPr>
            </w:pPr>
            <w:r w:rsidRPr="0017080B">
              <w:rPr>
                <w:color w:val="000000"/>
                <w:szCs w:val="20"/>
              </w:rPr>
              <w:t>0.42%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0.54%</w:t>
            </w:r>
          </w:p>
        </w:tc>
        <w:tc>
          <w:tcPr>
            <w:tcW w:w="2660" w:type="dxa"/>
            <w:vAlign w:val="bottom"/>
          </w:tcPr>
          <w:p w:rsidR="00C43FAF" w:rsidRDefault="0017080B">
            <w:pPr>
              <w:jc w:val="right"/>
              <w:rPr>
                <w:color w:val="000000"/>
                <w:szCs w:val="20"/>
              </w:rPr>
            </w:pPr>
            <w:r w:rsidRPr="0017080B">
              <w:rPr>
                <w:color w:val="000000"/>
                <w:szCs w:val="20"/>
              </w:rPr>
              <w:t>0.57%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0.69%</w:t>
            </w:r>
          </w:p>
        </w:tc>
        <w:tc>
          <w:tcPr>
            <w:tcW w:w="2660" w:type="dxa"/>
            <w:vAlign w:val="bottom"/>
          </w:tcPr>
          <w:p w:rsidR="00C43FAF" w:rsidRDefault="0017080B">
            <w:pPr>
              <w:jc w:val="right"/>
              <w:rPr>
                <w:color w:val="000000"/>
                <w:szCs w:val="20"/>
              </w:rPr>
            </w:pPr>
            <w:r w:rsidRPr="0017080B">
              <w:rPr>
                <w:color w:val="000000"/>
                <w:szCs w:val="20"/>
              </w:rPr>
              <w:t>0.71%</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0.64%</w:t>
            </w:r>
          </w:p>
        </w:tc>
        <w:tc>
          <w:tcPr>
            <w:tcW w:w="2660" w:type="dxa"/>
            <w:vAlign w:val="bottom"/>
          </w:tcPr>
          <w:p w:rsidR="00C43FAF" w:rsidRDefault="0017080B">
            <w:pPr>
              <w:jc w:val="right"/>
              <w:rPr>
                <w:color w:val="000000"/>
                <w:szCs w:val="20"/>
              </w:rPr>
            </w:pPr>
            <w:r w:rsidRPr="0017080B">
              <w:rPr>
                <w:color w:val="000000"/>
                <w:szCs w:val="20"/>
              </w:rPr>
              <w:t>0.65%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0.78%</w:t>
            </w:r>
          </w:p>
        </w:tc>
        <w:tc>
          <w:tcPr>
            <w:tcW w:w="2660" w:type="dxa"/>
            <w:vAlign w:val="bottom"/>
          </w:tcPr>
          <w:p w:rsidR="00C43FAF" w:rsidRDefault="0017080B">
            <w:pPr>
              <w:jc w:val="right"/>
              <w:rPr>
                <w:color w:val="000000"/>
                <w:szCs w:val="20"/>
              </w:rPr>
            </w:pPr>
            <w:r w:rsidRPr="0017080B">
              <w:rPr>
                <w:color w:val="000000"/>
                <w:szCs w:val="20"/>
              </w:rPr>
              <w:t>0.79%</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56" w:type="dxa"/>
          </w:tcPr>
          <w:p w:rsidR="00243396" w:rsidRPr="00B03154" w:rsidRDefault="00FA2528" w:rsidP="00A76A72">
            <w:pPr>
              <w:pStyle w:val="BHNormal"/>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0.30%</w:t>
            </w:r>
          </w:p>
        </w:tc>
        <w:tc>
          <w:tcPr>
            <w:tcW w:w="2660" w:type="dxa"/>
            <w:vAlign w:val="bottom"/>
          </w:tcPr>
          <w:p w:rsidR="00C43FAF" w:rsidRDefault="0017080B">
            <w:pPr>
              <w:jc w:val="right"/>
              <w:rPr>
                <w:color w:val="000000"/>
                <w:szCs w:val="20"/>
              </w:rPr>
            </w:pPr>
            <w:r w:rsidRPr="0017080B">
              <w:rPr>
                <w:color w:val="000000"/>
                <w:szCs w:val="20"/>
              </w:rPr>
              <w:t>0.32%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0.36%</w:t>
            </w:r>
          </w:p>
        </w:tc>
        <w:tc>
          <w:tcPr>
            <w:tcW w:w="2660" w:type="dxa"/>
            <w:vAlign w:val="bottom"/>
          </w:tcPr>
          <w:p w:rsidR="00C43FAF" w:rsidRDefault="0017080B">
            <w:pPr>
              <w:jc w:val="right"/>
              <w:rPr>
                <w:color w:val="000000"/>
                <w:szCs w:val="20"/>
              </w:rPr>
            </w:pPr>
            <w:r w:rsidRPr="0017080B">
              <w:rPr>
                <w:color w:val="000000"/>
                <w:szCs w:val="20"/>
              </w:rPr>
              <w:t>0.42%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0.45%</w:t>
            </w:r>
          </w:p>
        </w:tc>
        <w:tc>
          <w:tcPr>
            <w:tcW w:w="2660" w:type="dxa"/>
            <w:vAlign w:val="bottom"/>
          </w:tcPr>
          <w:p w:rsidR="00C43FAF" w:rsidRDefault="0017080B">
            <w:pPr>
              <w:jc w:val="right"/>
              <w:rPr>
                <w:color w:val="000000"/>
                <w:szCs w:val="20"/>
              </w:rPr>
            </w:pPr>
            <w:r w:rsidRPr="0017080B">
              <w:rPr>
                <w:color w:val="000000"/>
                <w:szCs w:val="20"/>
              </w:rPr>
              <w:t>0.49%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0.62%</w:t>
            </w:r>
          </w:p>
        </w:tc>
        <w:tc>
          <w:tcPr>
            <w:tcW w:w="2660" w:type="dxa"/>
            <w:vAlign w:val="bottom"/>
          </w:tcPr>
          <w:p w:rsidR="00C43FAF" w:rsidRDefault="0017080B">
            <w:pPr>
              <w:jc w:val="right"/>
              <w:rPr>
                <w:color w:val="000000"/>
                <w:szCs w:val="20"/>
              </w:rPr>
            </w:pPr>
            <w:r w:rsidRPr="0017080B">
              <w:rPr>
                <w:color w:val="000000"/>
                <w:szCs w:val="20"/>
              </w:rPr>
              <w:t>0.66%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0.80%</w:t>
            </w:r>
          </w:p>
        </w:tc>
        <w:tc>
          <w:tcPr>
            <w:tcW w:w="2660" w:type="dxa"/>
            <w:vAlign w:val="bottom"/>
          </w:tcPr>
          <w:p w:rsidR="00C43FAF" w:rsidRDefault="0017080B">
            <w:pPr>
              <w:jc w:val="right"/>
              <w:rPr>
                <w:color w:val="000000"/>
                <w:szCs w:val="20"/>
              </w:rPr>
            </w:pPr>
            <w:r w:rsidRPr="0017080B">
              <w:rPr>
                <w:color w:val="000000"/>
                <w:szCs w:val="20"/>
              </w:rPr>
              <w:t>0.82%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0.74%</w:t>
            </w:r>
          </w:p>
        </w:tc>
        <w:tc>
          <w:tcPr>
            <w:tcW w:w="2660" w:type="dxa"/>
            <w:vAlign w:val="bottom"/>
          </w:tcPr>
          <w:p w:rsidR="00C43FAF" w:rsidRDefault="0017080B">
            <w:pPr>
              <w:jc w:val="right"/>
              <w:rPr>
                <w:color w:val="000000"/>
                <w:szCs w:val="20"/>
              </w:rPr>
            </w:pPr>
            <w:r w:rsidRPr="0017080B">
              <w:rPr>
                <w:color w:val="000000"/>
                <w:szCs w:val="20"/>
              </w:rPr>
              <w:t>0.75%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0.90%</w:t>
            </w:r>
          </w:p>
        </w:tc>
        <w:tc>
          <w:tcPr>
            <w:tcW w:w="2660" w:type="dxa"/>
            <w:vAlign w:val="bottom"/>
          </w:tcPr>
          <w:p w:rsidR="00C43FAF" w:rsidRDefault="0017080B">
            <w:pPr>
              <w:jc w:val="right"/>
              <w:rPr>
                <w:color w:val="000000"/>
                <w:szCs w:val="20"/>
              </w:rPr>
            </w:pPr>
            <w:r w:rsidRPr="0017080B">
              <w:rPr>
                <w:color w:val="000000"/>
                <w:szCs w:val="20"/>
              </w:rPr>
              <w:t>0.92%</w:t>
            </w:r>
          </w:p>
        </w:tc>
      </w:tr>
      <w:tr w:rsidR="00243396" w:rsidRPr="00B03154" w:rsidTr="00F259A2">
        <w:tc>
          <w:tcPr>
            <w:tcW w:w="1488" w:type="dxa"/>
            <w:vMerge w:val="restart"/>
          </w:tcPr>
          <w:p w:rsidR="00243396" w:rsidRPr="00B03154" w:rsidRDefault="00FA2528" w:rsidP="00A76A72">
            <w:pPr>
              <w:pStyle w:val="BHNormal"/>
              <w:autoSpaceDE w:val="0"/>
              <w:autoSpaceDN w:val="0"/>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autoSpaceDE w:val="0"/>
              <w:autoSpaceDN w:val="0"/>
              <w:rPr>
                <w:rFonts w:eastAsia="Times New Roman"/>
                <w:sz w:val="20"/>
                <w:szCs w:val="20"/>
              </w:rPr>
            </w:pPr>
            <w:r w:rsidRPr="00B03154">
              <w:rPr>
                <w:rFonts w:eastAsia="Times New Roman"/>
                <w:sz w:val="20"/>
                <w:szCs w:val="20"/>
              </w:rPr>
              <w:t>0.01</w:t>
            </w:r>
          </w:p>
        </w:tc>
        <w:tc>
          <w:tcPr>
            <w:tcW w:w="1456" w:type="dxa"/>
          </w:tcPr>
          <w:p w:rsidR="00243396" w:rsidRPr="00B03154" w:rsidRDefault="00FA2528" w:rsidP="00A76A72">
            <w:pPr>
              <w:pStyle w:val="BHNormal"/>
              <w:autoSpaceDE w:val="0"/>
              <w:autoSpaceDN w:val="0"/>
              <w:rPr>
                <w:rFonts w:eastAsia="Times New Roman"/>
                <w:sz w:val="20"/>
                <w:szCs w:val="20"/>
              </w:rPr>
            </w:pPr>
            <w:r w:rsidRPr="00B03154">
              <w:rPr>
                <w:rFonts w:eastAsia="Times New Roman"/>
                <w:sz w:val="20"/>
                <w:szCs w:val="20"/>
              </w:rPr>
              <w:t>All ages</w:t>
            </w:r>
          </w:p>
        </w:tc>
        <w:tc>
          <w:tcPr>
            <w:tcW w:w="1980" w:type="dxa"/>
            <w:vAlign w:val="bottom"/>
          </w:tcPr>
          <w:p w:rsidR="00243396" w:rsidRPr="00B03154" w:rsidRDefault="00243396" w:rsidP="00A76A72">
            <w:pPr>
              <w:jc w:val="right"/>
              <w:rPr>
                <w:color w:val="000000"/>
                <w:szCs w:val="20"/>
              </w:rPr>
            </w:pPr>
            <w:r w:rsidRPr="00B03154">
              <w:rPr>
                <w:color w:val="000000"/>
                <w:szCs w:val="20"/>
              </w:rPr>
              <w:t>0.36%</w:t>
            </w:r>
          </w:p>
        </w:tc>
        <w:tc>
          <w:tcPr>
            <w:tcW w:w="2660" w:type="dxa"/>
            <w:vAlign w:val="bottom"/>
          </w:tcPr>
          <w:p w:rsidR="00C43FAF" w:rsidRDefault="0017080B">
            <w:pPr>
              <w:jc w:val="right"/>
              <w:rPr>
                <w:color w:val="000000"/>
                <w:szCs w:val="20"/>
              </w:rPr>
            </w:pPr>
            <w:r w:rsidRPr="0017080B">
              <w:rPr>
                <w:color w:val="000000"/>
                <w:szCs w:val="20"/>
              </w:rPr>
              <w:t>0.38%</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3-4</w:t>
            </w:r>
          </w:p>
        </w:tc>
        <w:tc>
          <w:tcPr>
            <w:tcW w:w="1980" w:type="dxa"/>
            <w:vAlign w:val="bottom"/>
          </w:tcPr>
          <w:p w:rsidR="00C43FAF" w:rsidRDefault="0017080B">
            <w:pPr>
              <w:jc w:val="right"/>
              <w:rPr>
                <w:color w:val="000000"/>
                <w:szCs w:val="20"/>
              </w:rPr>
            </w:pPr>
            <w:r w:rsidRPr="0017080B">
              <w:rPr>
                <w:color w:val="000000"/>
                <w:szCs w:val="20"/>
              </w:rPr>
              <w:t>0.43%</w:t>
            </w:r>
          </w:p>
        </w:tc>
        <w:tc>
          <w:tcPr>
            <w:tcW w:w="2660" w:type="dxa"/>
            <w:vAlign w:val="bottom"/>
          </w:tcPr>
          <w:p w:rsidR="00C43FAF" w:rsidRDefault="0017080B">
            <w:pPr>
              <w:jc w:val="right"/>
              <w:rPr>
                <w:color w:val="000000"/>
                <w:szCs w:val="20"/>
              </w:rPr>
            </w:pPr>
            <w:r w:rsidRPr="0017080B">
              <w:rPr>
                <w:color w:val="000000"/>
                <w:szCs w:val="20"/>
              </w:rPr>
              <w:t>0.50%</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5-6</w:t>
            </w:r>
          </w:p>
        </w:tc>
        <w:tc>
          <w:tcPr>
            <w:tcW w:w="1980" w:type="dxa"/>
            <w:vAlign w:val="bottom"/>
          </w:tcPr>
          <w:p w:rsidR="00C43FAF" w:rsidRDefault="0017080B">
            <w:pPr>
              <w:jc w:val="right"/>
              <w:rPr>
                <w:color w:val="000000"/>
                <w:szCs w:val="20"/>
              </w:rPr>
            </w:pPr>
            <w:r w:rsidRPr="0017080B">
              <w:rPr>
                <w:color w:val="000000"/>
                <w:szCs w:val="20"/>
              </w:rPr>
              <w:t>0.53%</w:t>
            </w:r>
          </w:p>
        </w:tc>
        <w:tc>
          <w:tcPr>
            <w:tcW w:w="2660" w:type="dxa"/>
            <w:vAlign w:val="bottom"/>
          </w:tcPr>
          <w:p w:rsidR="00C43FAF" w:rsidRDefault="0017080B">
            <w:pPr>
              <w:jc w:val="right"/>
              <w:rPr>
                <w:color w:val="000000"/>
                <w:szCs w:val="20"/>
              </w:rPr>
            </w:pPr>
            <w:r w:rsidRPr="0017080B">
              <w:rPr>
                <w:color w:val="000000"/>
                <w:szCs w:val="20"/>
              </w:rPr>
              <w:t>0.59%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7-8</w:t>
            </w:r>
          </w:p>
        </w:tc>
        <w:tc>
          <w:tcPr>
            <w:tcW w:w="1980" w:type="dxa"/>
            <w:vAlign w:val="bottom"/>
          </w:tcPr>
          <w:p w:rsidR="00C43FAF" w:rsidRDefault="0017080B">
            <w:pPr>
              <w:jc w:val="right"/>
              <w:rPr>
                <w:color w:val="000000"/>
                <w:szCs w:val="20"/>
              </w:rPr>
            </w:pPr>
            <w:r w:rsidRPr="0017080B">
              <w:rPr>
                <w:color w:val="000000"/>
                <w:szCs w:val="20"/>
              </w:rPr>
              <w:t>0.74%</w:t>
            </w:r>
          </w:p>
        </w:tc>
        <w:tc>
          <w:tcPr>
            <w:tcW w:w="2660" w:type="dxa"/>
            <w:vAlign w:val="bottom"/>
          </w:tcPr>
          <w:p w:rsidR="00C43FAF" w:rsidRDefault="0017080B">
            <w:pPr>
              <w:jc w:val="right"/>
              <w:rPr>
                <w:color w:val="000000"/>
                <w:szCs w:val="20"/>
              </w:rPr>
            </w:pPr>
            <w:r w:rsidRPr="0017080B">
              <w:rPr>
                <w:color w:val="000000"/>
                <w:szCs w:val="20"/>
              </w:rPr>
              <w:t>0.78%</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9-10</w:t>
            </w:r>
          </w:p>
        </w:tc>
        <w:tc>
          <w:tcPr>
            <w:tcW w:w="1980" w:type="dxa"/>
            <w:vAlign w:val="bottom"/>
          </w:tcPr>
          <w:p w:rsidR="00C43FAF" w:rsidRDefault="0017080B">
            <w:pPr>
              <w:jc w:val="right"/>
              <w:rPr>
                <w:color w:val="000000"/>
                <w:szCs w:val="20"/>
              </w:rPr>
            </w:pPr>
            <w:r w:rsidRPr="0017080B">
              <w:rPr>
                <w:color w:val="000000"/>
                <w:szCs w:val="20"/>
              </w:rPr>
              <w:t>0.95%</w:t>
            </w:r>
          </w:p>
        </w:tc>
        <w:tc>
          <w:tcPr>
            <w:tcW w:w="2660" w:type="dxa"/>
            <w:vAlign w:val="bottom"/>
          </w:tcPr>
          <w:p w:rsidR="00C43FAF" w:rsidRDefault="0017080B">
            <w:pPr>
              <w:jc w:val="right"/>
              <w:rPr>
                <w:color w:val="000000"/>
                <w:szCs w:val="20"/>
              </w:rPr>
            </w:pPr>
            <w:r w:rsidRPr="0017080B">
              <w:rPr>
                <w:color w:val="000000"/>
                <w:szCs w:val="20"/>
              </w:rPr>
              <w:t>0.98%</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11-13</w:t>
            </w:r>
          </w:p>
        </w:tc>
        <w:tc>
          <w:tcPr>
            <w:tcW w:w="1980" w:type="dxa"/>
            <w:vAlign w:val="bottom"/>
          </w:tcPr>
          <w:p w:rsidR="00C43FAF" w:rsidRDefault="0017080B">
            <w:pPr>
              <w:jc w:val="right"/>
              <w:rPr>
                <w:color w:val="000000"/>
                <w:szCs w:val="20"/>
              </w:rPr>
            </w:pPr>
            <w:r w:rsidRPr="0017080B">
              <w:rPr>
                <w:color w:val="000000"/>
                <w:szCs w:val="20"/>
              </w:rPr>
              <w:t>0.88%</w:t>
            </w:r>
          </w:p>
        </w:tc>
        <w:tc>
          <w:tcPr>
            <w:tcW w:w="2660" w:type="dxa"/>
            <w:vAlign w:val="bottom"/>
          </w:tcPr>
          <w:p w:rsidR="00C43FAF" w:rsidRDefault="0017080B">
            <w:pPr>
              <w:jc w:val="right"/>
              <w:rPr>
                <w:color w:val="000000"/>
                <w:szCs w:val="20"/>
              </w:rPr>
            </w:pPr>
            <w:r w:rsidRPr="0017080B">
              <w:rPr>
                <w:color w:val="000000"/>
                <w:szCs w:val="20"/>
              </w:rPr>
              <w:t>0.89%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456" w:type="dxa"/>
          </w:tcPr>
          <w:p w:rsidR="00C43FAF" w:rsidRDefault="0017080B">
            <w:pPr>
              <w:pStyle w:val="BHNormal"/>
              <w:autoSpaceDE w:val="0"/>
              <w:autoSpaceDN w:val="0"/>
              <w:rPr>
                <w:rFonts w:eastAsia="Times New Roman"/>
                <w:sz w:val="20"/>
                <w:szCs w:val="20"/>
              </w:rPr>
            </w:pPr>
            <w:r w:rsidRPr="0017080B">
              <w:rPr>
                <w:rFonts w:eastAsia="Times New Roman"/>
                <w:sz w:val="20"/>
                <w:szCs w:val="20"/>
              </w:rPr>
              <w:t>14-15</w:t>
            </w:r>
          </w:p>
        </w:tc>
        <w:tc>
          <w:tcPr>
            <w:tcW w:w="1980" w:type="dxa"/>
            <w:vAlign w:val="bottom"/>
          </w:tcPr>
          <w:p w:rsidR="00C43FAF" w:rsidRDefault="0017080B">
            <w:pPr>
              <w:jc w:val="right"/>
              <w:rPr>
                <w:color w:val="000000"/>
                <w:szCs w:val="20"/>
              </w:rPr>
            </w:pPr>
            <w:r w:rsidRPr="0017080B">
              <w:rPr>
                <w:color w:val="000000"/>
                <w:szCs w:val="20"/>
              </w:rPr>
              <w:t>1.07%</w:t>
            </w:r>
          </w:p>
        </w:tc>
        <w:tc>
          <w:tcPr>
            <w:tcW w:w="2660" w:type="dxa"/>
            <w:vAlign w:val="bottom"/>
          </w:tcPr>
          <w:p w:rsidR="00C43FAF" w:rsidRDefault="0017080B">
            <w:pPr>
              <w:jc w:val="right"/>
              <w:rPr>
                <w:color w:val="000000"/>
                <w:szCs w:val="20"/>
              </w:rPr>
            </w:pPr>
            <w:r w:rsidRPr="0017080B">
              <w:rPr>
                <w:color w:val="000000"/>
                <w:szCs w:val="20"/>
              </w:rPr>
              <w:t>1.09%</w:t>
            </w:r>
          </w:p>
        </w:tc>
      </w:tr>
    </w:tbl>
    <w:p w:rsidR="00243396" w:rsidRDefault="00243396" w:rsidP="00A76A72">
      <w:pPr>
        <w:pStyle w:val="BHNormal"/>
        <w:rPr>
          <w:szCs w:val="24"/>
        </w:rPr>
      </w:pPr>
    </w:p>
    <w:p w:rsidR="00E94F72" w:rsidRPr="00B03154" w:rsidRDefault="00E94F72" w:rsidP="00A76A72">
      <w:pPr>
        <w:pStyle w:val="BHNormal"/>
        <w:rPr>
          <w:szCs w:val="24"/>
        </w:rPr>
      </w:pPr>
    </w:p>
    <w:p w:rsidR="00243396" w:rsidRDefault="00FA2528" w:rsidP="00A76A72">
      <w:pPr>
        <w:adjustRightInd w:val="0"/>
        <w:rPr>
          <w:sz w:val="24"/>
        </w:rPr>
      </w:pPr>
      <w:r w:rsidRPr="00B03154">
        <w:rPr>
          <w:sz w:val="24"/>
        </w:rPr>
        <w:t>We also examined the power design to detect the impact that community programs/policies have on a binary outcome measuring physical activity or nutrition</w:t>
      </w:r>
      <w:r w:rsidR="001B041C" w:rsidRPr="00B03154">
        <w:rPr>
          <w:sz w:val="24"/>
        </w:rPr>
        <w:t xml:space="preserve">.  </w:t>
      </w:r>
      <w:r w:rsidRPr="00B03154">
        <w:rPr>
          <w:sz w:val="24"/>
        </w:rPr>
        <w:t xml:space="preserve">Table </w:t>
      </w:r>
      <w:r w:rsidR="00873462" w:rsidRPr="00B03154">
        <w:rPr>
          <w:sz w:val="24"/>
        </w:rPr>
        <w:t>B.</w:t>
      </w:r>
      <w:r w:rsidR="002E1B49" w:rsidRPr="00B03154">
        <w:rPr>
          <w:sz w:val="24"/>
        </w:rPr>
        <w:t>1.</w:t>
      </w:r>
      <w:r w:rsidR="00873462" w:rsidRPr="00B03154">
        <w:rPr>
          <w:sz w:val="24"/>
        </w:rPr>
        <w:t>8</w:t>
      </w:r>
      <w:r w:rsidRPr="00B03154">
        <w:rPr>
          <w:sz w:val="24"/>
        </w:rPr>
        <w:t xml:space="preserve"> lists the effect size as a percentage change in the probability that a </w:t>
      </w:r>
      <w:r w:rsidR="00143FB2">
        <w:rPr>
          <w:sz w:val="24"/>
        </w:rPr>
        <w:t>participant</w:t>
      </w:r>
      <w:r w:rsidR="00143FB2" w:rsidRPr="00B03154">
        <w:rPr>
          <w:sz w:val="24"/>
        </w:rPr>
        <w:t xml:space="preserve"> </w:t>
      </w:r>
      <w:r w:rsidRPr="00B03154">
        <w:rPr>
          <w:sz w:val="24"/>
        </w:rPr>
        <w:t xml:space="preserve">has the binary outcome that </w:t>
      </w:r>
      <w:proofErr w:type="gramStart"/>
      <w:r w:rsidRPr="00B03154">
        <w:rPr>
          <w:sz w:val="24"/>
        </w:rPr>
        <w:t xml:space="preserve">could </w:t>
      </w:r>
      <w:r w:rsidR="0017080B" w:rsidRPr="0017080B">
        <w:rPr>
          <w:sz w:val="24"/>
        </w:rPr>
        <w:t>be detected</w:t>
      </w:r>
      <w:proofErr w:type="gramEnd"/>
      <w:r w:rsidR="0017080B" w:rsidRPr="0017080B">
        <w:rPr>
          <w:sz w:val="24"/>
        </w:rPr>
        <w:t xml:space="preserve"> for a one-unit change in program intensity, assuming a cross-sectional analysis.  </w:t>
      </w:r>
      <w:proofErr w:type="gramStart"/>
      <w:r w:rsidR="0017080B" w:rsidRPr="0017080B">
        <w:rPr>
          <w:sz w:val="24"/>
        </w:rPr>
        <w:t>The results provided in Table B.1.8 demonstrate that the study will be able to detect less subtle associations between community program/policy intensity scores and the binary physical activity and/or nutritional outcomes measured at baseline (using cross-sectional analyses); the study will be well powered to detect changes of 4-6% attributable to the 1-unit change in community program/policy intensity score across all age-groups combined, and changes of 8-12% across most specific age groups.</w:t>
      </w:r>
      <w:proofErr w:type="gramEnd"/>
    </w:p>
    <w:p w:rsidR="00402875" w:rsidRDefault="00402875" w:rsidP="00A76A72">
      <w:pPr>
        <w:adjustRightInd w:val="0"/>
        <w:rPr>
          <w:sz w:val="24"/>
        </w:rPr>
      </w:pPr>
    </w:p>
    <w:p w:rsidR="00784A66" w:rsidRPr="00B03154" w:rsidRDefault="00784A66" w:rsidP="00A76A72">
      <w:pPr>
        <w:adjustRightInd w:val="0"/>
        <w:rPr>
          <w:sz w:val="24"/>
        </w:rPr>
      </w:pPr>
    </w:p>
    <w:p w:rsidR="004116D2" w:rsidRDefault="00E94F72" w:rsidP="00E94F72">
      <w:pPr>
        <w:pStyle w:val="Style1sub-headings"/>
        <w:spacing w:before="0" w:line="240" w:lineRule="auto"/>
      </w:pPr>
      <w:bookmarkStart w:id="58" w:name="_Toc299107941"/>
      <w:bookmarkStart w:id="59" w:name="_Toc301448532"/>
      <w:bookmarkStart w:id="60" w:name="_Toc301448667"/>
      <w:bookmarkStart w:id="61" w:name="_Toc301448756"/>
      <w:bookmarkStart w:id="62" w:name="_Toc301448824"/>
      <w:r>
        <w:t>Table B.1.8</w:t>
      </w:r>
      <w:r w:rsidR="0017080B" w:rsidRPr="0017080B">
        <w:t xml:space="preserve">  </w:t>
      </w:r>
      <w:r>
        <w:t xml:space="preserve"> </w:t>
      </w:r>
      <w:r w:rsidR="0017080B" w:rsidRPr="0017080B">
        <w:t>Cross-Sectional Power and Effect Size Results for Binary Response</w:t>
      </w:r>
      <w:bookmarkEnd w:id="58"/>
      <w:bookmarkEnd w:id="59"/>
      <w:bookmarkEnd w:id="60"/>
      <w:bookmarkEnd w:id="61"/>
      <w:bookmarkEnd w:id="62"/>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488"/>
        <w:gridCol w:w="1522"/>
        <w:gridCol w:w="1440"/>
        <w:gridCol w:w="2070"/>
        <w:gridCol w:w="2660"/>
      </w:tblGrid>
      <w:tr w:rsidR="00243396" w:rsidRPr="00B03154" w:rsidTr="001E0A00">
        <w:trPr>
          <w:tblHeader/>
        </w:trPr>
        <w:tc>
          <w:tcPr>
            <w:tcW w:w="1488"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Power</w:t>
            </w:r>
          </w:p>
        </w:tc>
        <w:tc>
          <w:tcPr>
            <w:tcW w:w="1522"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Alpha</w:t>
            </w:r>
          </w:p>
        </w:tc>
        <w:tc>
          <w:tcPr>
            <w:tcW w:w="1440"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Age group</w:t>
            </w:r>
          </w:p>
        </w:tc>
        <w:tc>
          <w:tcPr>
            <w:tcW w:w="4730" w:type="dxa"/>
            <w:gridSpan w:val="2"/>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Effect Size</w:t>
            </w:r>
          </w:p>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 Change in a Binary Physical Activity or Nutritional Outcome that can be detected)</w:t>
            </w:r>
          </w:p>
        </w:tc>
      </w:tr>
      <w:tr w:rsidR="00243396" w:rsidRPr="00B03154" w:rsidTr="001E0A00">
        <w:trPr>
          <w:tblHeader/>
        </w:trPr>
        <w:tc>
          <w:tcPr>
            <w:tcW w:w="1488"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522"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440"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207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Uniform distribution of program intensity across communities</w:t>
            </w:r>
          </w:p>
        </w:tc>
        <w:tc>
          <w:tcPr>
            <w:tcW w:w="266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Few communities implement at full intensity, most communities at low intensity</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22"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40"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3.36%</w:t>
            </w:r>
          </w:p>
        </w:tc>
        <w:tc>
          <w:tcPr>
            <w:tcW w:w="2660" w:type="dxa"/>
            <w:vAlign w:val="bottom"/>
          </w:tcPr>
          <w:p w:rsidR="00C43FAF" w:rsidRDefault="0017080B">
            <w:pPr>
              <w:jc w:val="right"/>
              <w:rPr>
                <w:color w:val="000000"/>
                <w:szCs w:val="20"/>
              </w:rPr>
            </w:pPr>
            <w:r w:rsidRPr="0017080B">
              <w:rPr>
                <w:color w:val="000000"/>
                <w:szCs w:val="20"/>
              </w:rPr>
              <w:t>4.46%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8.40%</w:t>
            </w:r>
          </w:p>
        </w:tc>
        <w:tc>
          <w:tcPr>
            <w:tcW w:w="2660" w:type="dxa"/>
            <w:vAlign w:val="bottom"/>
          </w:tcPr>
          <w:p w:rsidR="00C43FAF" w:rsidRDefault="0017080B">
            <w:pPr>
              <w:jc w:val="right"/>
              <w:rPr>
                <w:color w:val="000000"/>
                <w:szCs w:val="20"/>
              </w:rPr>
            </w:pPr>
            <w:r w:rsidRPr="0017080B">
              <w:rPr>
                <w:color w:val="000000"/>
                <w:szCs w:val="20"/>
              </w:rPr>
              <w:t>11.06%</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8.38%</w:t>
            </w:r>
          </w:p>
        </w:tc>
        <w:tc>
          <w:tcPr>
            <w:tcW w:w="2660" w:type="dxa"/>
            <w:vAlign w:val="bottom"/>
          </w:tcPr>
          <w:p w:rsidR="00C43FAF" w:rsidRDefault="0017080B">
            <w:pPr>
              <w:jc w:val="right"/>
              <w:rPr>
                <w:color w:val="000000"/>
                <w:szCs w:val="20"/>
              </w:rPr>
            </w:pPr>
            <w:r w:rsidRPr="0017080B">
              <w:rPr>
                <w:color w:val="000000"/>
                <w:szCs w:val="20"/>
              </w:rPr>
              <w:t>11.03%</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8.38%</w:t>
            </w:r>
          </w:p>
        </w:tc>
        <w:tc>
          <w:tcPr>
            <w:tcW w:w="2660" w:type="dxa"/>
            <w:vAlign w:val="bottom"/>
          </w:tcPr>
          <w:p w:rsidR="00C43FAF" w:rsidRDefault="0017080B">
            <w:pPr>
              <w:jc w:val="right"/>
              <w:rPr>
                <w:color w:val="000000"/>
                <w:szCs w:val="20"/>
              </w:rPr>
            </w:pPr>
            <w:r w:rsidRPr="0017080B">
              <w:rPr>
                <w:color w:val="000000"/>
                <w:szCs w:val="20"/>
              </w:rPr>
              <w:t>11.07%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8.39%</w:t>
            </w:r>
          </w:p>
        </w:tc>
        <w:tc>
          <w:tcPr>
            <w:tcW w:w="2660" w:type="dxa"/>
            <w:vAlign w:val="bottom"/>
          </w:tcPr>
          <w:p w:rsidR="00C43FAF" w:rsidRDefault="0017080B">
            <w:pPr>
              <w:jc w:val="right"/>
              <w:rPr>
                <w:color w:val="000000"/>
                <w:szCs w:val="20"/>
              </w:rPr>
            </w:pPr>
            <w:r w:rsidRPr="0017080B">
              <w:rPr>
                <w:color w:val="000000"/>
                <w:szCs w:val="20"/>
              </w:rPr>
              <w:t>11.05%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6.88%</w:t>
            </w:r>
          </w:p>
        </w:tc>
        <w:tc>
          <w:tcPr>
            <w:tcW w:w="2660" w:type="dxa"/>
            <w:vAlign w:val="bottom"/>
          </w:tcPr>
          <w:p w:rsidR="00C43FAF" w:rsidRDefault="0017080B">
            <w:pPr>
              <w:jc w:val="right"/>
              <w:rPr>
                <w:color w:val="000000"/>
                <w:szCs w:val="20"/>
              </w:rPr>
            </w:pPr>
            <w:r w:rsidRPr="0017080B">
              <w:rPr>
                <w:color w:val="000000"/>
                <w:szCs w:val="20"/>
              </w:rPr>
              <w:t>9.09%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8.38%</w:t>
            </w:r>
          </w:p>
        </w:tc>
        <w:tc>
          <w:tcPr>
            <w:tcW w:w="2660" w:type="dxa"/>
            <w:vAlign w:val="bottom"/>
          </w:tcPr>
          <w:p w:rsidR="00C43FAF" w:rsidRDefault="0017080B">
            <w:pPr>
              <w:jc w:val="right"/>
              <w:rPr>
                <w:color w:val="000000"/>
                <w:szCs w:val="20"/>
              </w:rPr>
            </w:pPr>
            <w:r w:rsidRPr="0017080B">
              <w:rPr>
                <w:color w:val="000000"/>
                <w:szCs w:val="20"/>
              </w:rPr>
              <w:t>11.08%</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22"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440"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3.89%</w:t>
            </w:r>
          </w:p>
        </w:tc>
        <w:tc>
          <w:tcPr>
            <w:tcW w:w="2660" w:type="dxa"/>
            <w:vAlign w:val="bottom"/>
          </w:tcPr>
          <w:p w:rsidR="00C43FAF" w:rsidRDefault="0017080B">
            <w:pPr>
              <w:jc w:val="right"/>
              <w:rPr>
                <w:color w:val="000000"/>
                <w:szCs w:val="20"/>
              </w:rPr>
            </w:pPr>
            <w:r w:rsidRPr="0017080B">
              <w:rPr>
                <w:color w:val="000000"/>
                <w:szCs w:val="20"/>
              </w:rPr>
              <w:t>5.15%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9.69%</w:t>
            </w:r>
          </w:p>
        </w:tc>
        <w:tc>
          <w:tcPr>
            <w:tcW w:w="2660" w:type="dxa"/>
            <w:vAlign w:val="bottom"/>
          </w:tcPr>
          <w:p w:rsidR="00C43FAF" w:rsidRDefault="0017080B">
            <w:pPr>
              <w:jc w:val="right"/>
              <w:rPr>
                <w:color w:val="000000"/>
                <w:szCs w:val="20"/>
              </w:rPr>
            </w:pPr>
            <w:r w:rsidRPr="0017080B">
              <w:rPr>
                <w:color w:val="000000"/>
                <w:szCs w:val="20"/>
              </w:rPr>
              <w:t>12.72%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9.67%</w:t>
            </w:r>
          </w:p>
        </w:tc>
        <w:tc>
          <w:tcPr>
            <w:tcW w:w="2660" w:type="dxa"/>
            <w:vAlign w:val="bottom"/>
          </w:tcPr>
          <w:p w:rsidR="00C43FAF" w:rsidRDefault="0017080B">
            <w:pPr>
              <w:jc w:val="right"/>
              <w:rPr>
                <w:color w:val="000000"/>
                <w:szCs w:val="20"/>
              </w:rPr>
            </w:pPr>
            <w:r w:rsidRPr="0017080B">
              <w:rPr>
                <w:color w:val="000000"/>
                <w:szCs w:val="20"/>
              </w:rPr>
              <w:t>12.70%</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9.67%</w:t>
            </w:r>
          </w:p>
        </w:tc>
        <w:tc>
          <w:tcPr>
            <w:tcW w:w="2660" w:type="dxa"/>
            <w:vAlign w:val="bottom"/>
          </w:tcPr>
          <w:p w:rsidR="00C43FAF" w:rsidRDefault="0017080B">
            <w:pPr>
              <w:jc w:val="right"/>
              <w:rPr>
                <w:color w:val="000000"/>
                <w:szCs w:val="20"/>
              </w:rPr>
            </w:pPr>
            <w:r w:rsidRPr="0017080B">
              <w:rPr>
                <w:color w:val="000000"/>
                <w:szCs w:val="20"/>
              </w:rPr>
              <w:t>12.74%</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9.68%</w:t>
            </w:r>
          </w:p>
        </w:tc>
        <w:tc>
          <w:tcPr>
            <w:tcW w:w="2660" w:type="dxa"/>
            <w:vAlign w:val="bottom"/>
          </w:tcPr>
          <w:p w:rsidR="00C43FAF" w:rsidRDefault="0017080B">
            <w:pPr>
              <w:jc w:val="right"/>
              <w:rPr>
                <w:color w:val="000000"/>
                <w:szCs w:val="20"/>
              </w:rPr>
            </w:pPr>
            <w:r w:rsidRPr="0017080B">
              <w:rPr>
                <w:color w:val="000000"/>
                <w:szCs w:val="20"/>
              </w:rPr>
              <w:t>12.72%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7.94%</w:t>
            </w:r>
          </w:p>
        </w:tc>
        <w:tc>
          <w:tcPr>
            <w:tcW w:w="2660" w:type="dxa"/>
            <w:vAlign w:val="bottom"/>
          </w:tcPr>
          <w:p w:rsidR="00C43FAF" w:rsidRDefault="0017080B">
            <w:pPr>
              <w:jc w:val="right"/>
              <w:rPr>
                <w:color w:val="000000"/>
                <w:szCs w:val="20"/>
              </w:rPr>
            </w:pPr>
            <w:r w:rsidRPr="0017080B">
              <w:rPr>
                <w:color w:val="000000"/>
                <w:szCs w:val="20"/>
              </w:rPr>
              <w:t>10.48%</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9.67%</w:t>
            </w:r>
          </w:p>
        </w:tc>
        <w:tc>
          <w:tcPr>
            <w:tcW w:w="2660" w:type="dxa"/>
            <w:vAlign w:val="bottom"/>
          </w:tcPr>
          <w:p w:rsidR="00C43FAF" w:rsidRDefault="0017080B">
            <w:pPr>
              <w:jc w:val="right"/>
              <w:rPr>
                <w:color w:val="000000"/>
                <w:szCs w:val="20"/>
              </w:rPr>
            </w:pPr>
            <w:r w:rsidRPr="0017080B">
              <w:rPr>
                <w:color w:val="000000"/>
                <w:szCs w:val="20"/>
              </w:rPr>
              <w:t>12.75%</w:t>
            </w:r>
          </w:p>
        </w:tc>
      </w:tr>
      <w:tr w:rsidR="00243396" w:rsidRPr="00B03154" w:rsidTr="00F259A2">
        <w:tc>
          <w:tcPr>
            <w:tcW w:w="148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22"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0.01</w:t>
            </w:r>
          </w:p>
        </w:tc>
        <w:tc>
          <w:tcPr>
            <w:tcW w:w="1440"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4.62%</w:t>
            </w:r>
          </w:p>
        </w:tc>
        <w:tc>
          <w:tcPr>
            <w:tcW w:w="2660" w:type="dxa"/>
            <w:vAlign w:val="bottom"/>
          </w:tcPr>
          <w:p w:rsidR="00C43FAF" w:rsidRDefault="0017080B">
            <w:pPr>
              <w:jc w:val="right"/>
              <w:rPr>
                <w:color w:val="000000"/>
                <w:szCs w:val="20"/>
              </w:rPr>
            </w:pPr>
            <w:r w:rsidRPr="0017080B">
              <w:rPr>
                <w:color w:val="000000"/>
                <w:szCs w:val="20"/>
              </w:rPr>
              <w:t>6.12%</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11.47%</w:t>
            </w:r>
          </w:p>
        </w:tc>
        <w:tc>
          <w:tcPr>
            <w:tcW w:w="2660" w:type="dxa"/>
            <w:vAlign w:val="bottom"/>
          </w:tcPr>
          <w:p w:rsidR="00C43FAF" w:rsidRDefault="0017080B">
            <w:pPr>
              <w:jc w:val="right"/>
              <w:rPr>
                <w:color w:val="000000"/>
                <w:szCs w:val="20"/>
              </w:rPr>
            </w:pPr>
            <w:r w:rsidRPr="0017080B">
              <w:rPr>
                <w:color w:val="000000"/>
                <w:szCs w:val="20"/>
              </w:rPr>
              <w:t>15.01%</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11.45%</w:t>
            </w:r>
          </w:p>
        </w:tc>
        <w:tc>
          <w:tcPr>
            <w:tcW w:w="2660" w:type="dxa"/>
            <w:vAlign w:val="bottom"/>
          </w:tcPr>
          <w:p w:rsidR="00C43FAF" w:rsidRDefault="0017080B">
            <w:pPr>
              <w:jc w:val="right"/>
              <w:rPr>
                <w:color w:val="000000"/>
                <w:szCs w:val="20"/>
              </w:rPr>
            </w:pPr>
            <w:r w:rsidRPr="0017080B">
              <w:rPr>
                <w:color w:val="000000"/>
                <w:szCs w:val="20"/>
              </w:rPr>
              <w:t>14.97%</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11.44%</w:t>
            </w:r>
          </w:p>
        </w:tc>
        <w:tc>
          <w:tcPr>
            <w:tcW w:w="2660" w:type="dxa"/>
            <w:vAlign w:val="bottom"/>
          </w:tcPr>
          <w:p w:rsidR="00C43FAF" w:rsidRDefault="0017080B">
            <w:pPr>
              <w:jc w:val="right"/>
              <w:rPr>
                <w:color w:val="000000"/>
                <w:szCs w:val="20"/>
              </w:rPr>
            </w:pPr>
            <w:r w:rsidRPr="0017080B">
              <w:rPr>
                <w:color w:val="000000"/>
                <w:szCs w:val="20"/>
              </w:rPr>
              <w:t>15.03%</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11.45%</w:t>
            </w:r>
          </w:p>
        </w:tc>
        <w:tc>
          <w:tcPr>
            <w:tcW w:w="2660" w:type="dxa"/>
            <w:vAlign w:val="bottom"/>
          </w:tcPr>
          <w:p w:rsidR="00C43FAF" w:rsidRDefault="0017080B">
            <w:pPr>
              <w:jc w:val="right"/>
              <w:rPr>
                <w:color w:val="000000"/>
                <w:szCs w:val="20"/>
              </w:rPr>
            </w:pPr>
            <w:r w:rsidRPr="0017080B">
              <w:rPr>
                <w:color w:val="000000"/>
                <w:szCs w:val="20"/>
              </w:rPr>
              <w:t>15%</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9.42%</w:t>
            </w:r>
          </w:p>
        </w:tc>
        <w:tc>
          <w:tcPr>
            <w:tcW w:w="2660" w:type="dxa"/>
            <w:vAlign w:val="bottom"/>
          </w:tcPr>
          <w:p w:rsidR="00C43FAF" w:rsidRDefault="0017080B">
            <w:pPr>
              <w:jc w:val="right"/>
              <w:rPr>
                <w:color w:val="000000"/>
                <w:szCs w:val="20"/>
              </w:rPr>
            </w:pPr>
            <w:r w:rsidRPr="0017080B">
              <w:rPr>
                <w:color w:val="000000"/>
                <w:szCs w:val="20"/>
              </w:rPr>
              <w:t>12.39%</w:t>
            </w:r>
          </w:p>
        </w:tc>
      </w:tr>
      <w:tr w:rsidR="00243396" w:rsidRPr="00B03154" w:rsidTr="00F259A2">
        <w:tc>
          <w:tcPr>
            <w:tcW w:w="1488" w:type="dxa"/>
            <w:vMerge/>
          </w:tcPr>
          <w:p w:rsidR="00C43FAF" w:rsidRDefault="00C43FAF">
            <w:pPr>
              <w:pStyle w:val="BHNormal"/>
              <w:autoSpaceDE w:val="0"/>
              <w:autoSpaceDN w:val="0"/>
              <w:rPr>
                <w:rFonts w:eastAsia="Times New Roman"/>
                <w:sz w:val="20"/>
                <w:szCs w:val="20"/>
              </w:rPr>
            </w:pPr>
          </w:p>
        </w:tc>
        <w:tc>
          <w:tcPr>
            <w:tcW w:w="1522" w:type="dxa"/>
            <w:vMerge/>
          </w:tcPr>
          <w:p w:rsidR="00C43FAF" w:rsidRDefault="00C43FAF">
            <w:pPr>
              <w:pStyle w:val="BHNormal"/>
              <w:autoSpaceDE w:val="0"/>
              <w:autoSpaceDN w:val="0"/>
              <w:rPr>
                <w:rFonts w:eastAsia="Times New Roman"/>
                <w:sz w:val="20"/>
                <w:szCs w:val="20"/>
              </w:rPr>
            </w:pPr>
          </w:p>
        </w:tc>
        <w:tc>
          <w:tcPr>
            <w:tcW w:w="1440"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11.45%</w:t>
            </w:r>
          </w:p>
        </w:tc>
        <w:tc>
          <w:tcPr>
            <w:tcW w:w="2660" w:type="dxa"/>
            <w:vAlign w:val="bottom"/>
          </w:tcPr>
          <w:p w:rsidR="00C43FAF" w:rsidRDefault="0017080B">
            <w:pPr>
              <w:jc w:val="right"/>
              <w:rPr>
                <w:color w:val="000000"/>
                <w:szCs w:val="20"/>
              </w:rPr>
            </w:pPr>
            <w:r w:rsidRPr="0017080B">
              <w:rPr>
                <w:color w:val="000000"/>
                <w:szCs w:val="20"/>
              </w:rPr>
              <w:t>15.04%</w:t>
            </w:r>
          </w:p>
        </w:tc>
      </w:tr>
    </w:tbl>
    <w:p w:rsidR="00243396" w:rsidRPr="00B03154" w:rsidRDefault="00243396" w:rsidP="00A76A72">
      <w:pPr>
        <w:adjustRightInd w:val="0"/>
        <w:rPr>
          <w:sz w:val="24"/>
        </w:rPr>
      </w:pPr>
    </w:p>
    <w:p w:rsidR="00D25E9F" w:rsidRPr="00B03154" w:rsidRDefault="00D25E9F" w:rsidP="00A76A72">
      <w:pPr>
        <w:adjustRightInd w:val="0"/>
        <w:rPr>
          <w:sz w:val="24"/>
        </w:rPr>
      </w:pPr>
    </w:p>
    <w:p w:rsidR="00243396" w:rsidRPr="00B03154" w:rsidRDefault="0017080B" w:rsidP="00A76A72">
      <w:pPr>
        <w:adjustRightInd w:val="0"/>
        <w:rPr>
          <w:sz w:val="24"/>
        </w:rPr>
      </w:pPr>
      <w:r w:rsidRPr="0017080B">
        <w:rPr>
          <w:sz w:val="24"/>
        </w:rPr>
        <w:t xml:space="preserve">Table B.1.9 lists the effect size as a percentage change in the probability that a </w:t>
      </w:r>
      <w:r w:rsidR="00143FB2">
        <w:rPr>
          <w:sz w:val="24"/>
        </w:rPr>
        <w:t>participant</w:t>
      </w:r>
      <w:r w:rsidR="00143FB2" w:rsidRPr="0017080B">
        <w:rPr>
          <w:sz w:val="24"/>
        </w:rPr>
        <w:t xml:space="preserve"> </w:t>
      </w:r>
      <w:r w:rsidRPr="0017080B">
        <w:rPr>
          <w:sz w:val="24"/>
        </w:rPr>
        <w:t xml:space="preserve">has the binary outcome that </w:t>
      </w:r>
      <w:proofErr w:type="gramStart"/>
      <w:r w:rsidRPr="0017080B">
        <w:rPr>
          <w:sz w:val="24"/>
        </w:rPr>
        <w:t>could be detected</w:t>
      </w:r>
      <w:proofErr w:type="gramEnd"/>
      <w:r w:rsidRPr="0017080B">
        <w:rPr>
          <w:sz w:val="24"/>
        </w:rPr>
        <w:t xml:space="preserve"> for a one-unit change in program intensity, assuming a longitudinal analysis.  </w:t>
      </w:r>
      <w:proofErr w:type="gramStart"/>
      <w:r w:rsidRPr="0017080B">
        <w:rPr>
          <w:sz w:val="24"/>
        </w:rPr>
        <w:t>The results provided in Table B.1.9 demonstrate reasonably subtle associations can be detected based on longitudinal analyses of binary physical activity or nutritional outcomes from the Standard Protocol (collected at in-person assessments and planned remote follow-ups) – with the study being well powered to detect changes of 3-4% in these physical activity/nutritional outcomes attributable to the 1-unit change in community program/policy intensity score across all age-groups combined, and changes of 6-10% across most specific age groups.</w:t>
      </w:r>
      <w:proofErr w:type="gramEnd"/>
    </w:p>
    <w:p w:rsidR="00243396" w:rsidRDefault="00243396" w:rsidP="00A76A72">
      <w:pPr>
        <w:adjustRightInd w:val="0"/>
        <w:rPr>
          <w:sz w:val="24"/>
        </w:rPr>
      </w:pPr>
    </w:p>
    <w:p w:rsidR="00784A66" w:rsidRPr="00B03154" w:rsidRDefault="00784A66" w:rsidP="00A76A72">
      <w:pPr>
        <w:adjustRightInd w:val="0"/>
        <w:rPr>
          <w:sz w:val="24"/>
        </w:rPr>
      </w:pPr>
    </w:p>
    <w:p w:rsidR="004116D2" w:rsidRDefault="00E94F72" w:rsidP="00E94F72">
      <w:pPr>
        <w:pStyle w:val="Style1sub-headings"/>
        <w:spacing w:before="0" w:line="240" w:lineRule="auto"/>
        <w:ind w:hanging="450"/>
      </w:pPr>
      <w:bookmarkStart w:id="63" w:name="_Toc299107942"/>
      <w:bookmarkStart w:id="64" w:name="_Toc301448533"/>
      <w:bookmarkStart w:id="65" w:name="_Toc301448668"/>
      <w:bookmarkStart w:id="66" w:name="_Toc301448757"/>
      <w:bookmarkStart w:id="67" w:name="_Toc301448825"/>
      <w:r>
        <w:t xml:space="preserve">Table B.1.9 </w:t>
      </w:r>
      <w:r w:rsidR="0017080B" w:rsidRPr="0017080B">
        <w:t xml:space="preserve">  Longitudinal Power and Effect Size Results for Binary Response</w:t>
      </w:r>
      <w:bookmarkEnd w:id="63"/>
      <w:bookmarkEnd w:id="64"/>
      <w:bookmarkEnd w:id="65"/>
      <w:bookmarkEnd w:id="66"/>
      <w:bookmarkEnd w:id="67"/>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308"/>
        <w:gridCol w:w="1596"/>
        <w:gridCol w:w="1366"/>
        <w:gridCol w:w="2070"/>
        <w:gridCol w:w="2660"/>
      </w:tblGrid>
      <w:tr w:rsidR="00243396" w:rsidRPr="00B03154" w:rsidTr="001E0A00">
        <w:trPr>
          <w:tblHeader/>
        </w:trPr>
        <w:tc>
          <w:tcPr>
            <w:tcW w:w="1308"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Power</w:t>
            </w:r>
          </w:p>
        </w:tc>
        <w:tc>
          <w:tcPr>
            <w:tcW w:w="1596"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Alpha</w:t>
            </w:r>
          </w:p>
        </w:tc>
        <w:tc>
          <w:tcPr>
            <w:tcW w:w="1366" w:type="dxa"/>
            <w:vMerge w:val="restart"/>
            <w:shd w:val="clear" w:color="auto" w:fill="B8CCE4" w:themeFill="accent1" w:themeFillTint="66"/>
            <w:vAlign w:val="center"/>
          </w:tcPr>
          <w:p w:rsidR="00147D9C" w:rsidRPr="00B03154" w:rsidRDefault="0017080B" w:rsidP="00A76A72">
            <w:pPr>
              <w:pStyle w:val="BHNormal"/>
              <w:autoSpaceDE w:val="0"/>
              <w:autoSpaceDN w:val="0"/>
              <w:jc w:val="center"/>
              <w:rPr>
                <w:rFonts w:eastAsia="Times New Roman"/>
                <w:b/>
                <w:sz w:val="20"/>
                <w:szCs w:val="20"/>
              </w:rPr>
            </w:pPr>
            <w:r w:rsidRPr="0017080B">
              <w:rPr>
                <w:rFonts w:eastAsia="Times New Roman"/>
                <w:b/>
                <w:sz w:val="20"/>
                <w:szCs w:val="20"/>
              </w:rPr>
              <w:t>Age group</w:t>
            </w:r>
          </w:p>
        </w:tc>
        <w:tc>
          <w:tcPr>
            <w:tcW w:w="4730" w:type="dxa"/>
            <w:gridSpan w:val="2"/>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Effect Size</w:t>
            </w:r>
          </w:p>
          <w:p w:rsidR="00C43FAF" w:rsidRDefault="0017080B">
            <w:pPr>
              <w:pStyle w:val="BHNormal"/>
              <w:autoSpaceDE w:val="0"/>
              <w:autoSpaceDN w:val="0"/>
              <w:jc w:val="center"/>
              <w:rPr>
                <w:rFonts w:eastAsia="Times New Roman"/>
                <w:sz w:val="20"/>
                <w:szCs w:val="20"/>
              </w:rPr>
            </w:pPr>
            <w:r w:rsidRPr="0017080B">
              <w:rPr>
                <w:rFonts w:eastAsia="Times New Roman"/>
                <w:sz w:val="20"/>
                <w:szCs w:val="20"/>
              </w:rPr>
              <w:t>(% Change in a Binary Physical Activity or Nutritional Outcome that can be detected)</w:t>
            </w:r>
          </w:p>
        </w:tc>
      </w:tr>
      <w:tr w:rsidR="00243396" w:rsidRPr="00B03154" w:rsidTr="001E0A00">
        <w:trPr>
          <w:tblHeader/>
        </w:trPr>
        <w:tc>
          <w:tcPr>
            <w:tcW w:w="1308"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596"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1366" w:type="dxa"/>
            <w:vMerge/>
            <w:shd w:val="clear" w:color="auto" w:fill="B8CCE4" w:themeFill="accent1" w:themeFillTint="66"/>
            <w:vAlign w:val="center"/>
          </w:tcPr>
          <w:p w:rsidR="004116D2" w:rsidRDefault="004116D2">
            <w:pPr>
              <w:pStyle w:val="BHNormal"/>
              <w:jc w:val="center"/>
              <w:rPr>
                <w:rFonts w:eastAsia="Times New Roman"/>
                <w:b/>
                <w:sz w:val="20"/>
                <w:szCs w:val="20"/>
              </w:rPr>
            </w:pPr>
          </w:p>
        </w:tc>
        <w:tc>
          <w:tcPr>
            <w:tcW w:w="207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Uniform distribution of program intensity across communities</w:t>
            </w:r>
          </w:p>
        </w:tc>
        <w:tc>
          <w:tcPr>
            <w:tcW w:w="2660" w:type="dxa"/>
            <w:shd w:val="clear" w:color="auto" w:fill="B8CCE4" w:themeFill="accent1" w:themeFillTint="66"/>
            <w:vAlign w:val="center"/>
          </w:tcPr>
          <w:p w:rsidR="00C43FAF" w:rsidRDefault="0017080B">
            <w:pPr>
              <w:pStyle w:val="BHNormal"/>
              <w:autoSpaceDE w:val="0"/>
              <w:autoSpaceDN w:val="0"/>
              <w:jc w:val="center"/>
              <w:rPr>
                <w:rFonts w:eastAsia="Times New Roman"/>
                <w:b/>
                <w:sz w:val="20"/>
                <w:szCs w:val="20"/>
              </w:rPr>
            </w:pPr>
            <w:r w:rsidRPr="0017080B">
              <w:rPr>
                <w:rFonts w:eastAsia="Times New Roman"/>
                <w:b/>
                <w:sz w:val="20"/>
                <w:szCs w:val="20"/>
              </w:rPr>
              <w:t>Few communities implement at full intensity, most communities at low intensity</w:t>
            </w:r>
          </w:p>
        </w:tc>
      </w:tr>
      <w:tr w:rsidR="00243396" w:rsidRPr="00B03154" w:rsidTr="00F259A2">
        <w:trPr>
          <w:tblHeader/>
        </w:trPr>
        <w:tc>
          <w:tcPr>
            <w:tcW w:w="9000" w:type="dxa"/>
            <w:gridSpan w:val="5"/>
            <w:shd w:val="clear" w:color="auto" w:fill="000000"/>
          </w:tcPr>
          <w:p w:rsidR="00243396" w:rsidRPr="00B03154" w:rsidRDefault="00FA2528" w:rsidP="00A76A72">
            <w:pPr>
              <w:pStyle w:val="BHNormal"/>
              <w:rPr>
                <w:rFonts w:eastAsia="Times New Roman"/>
                <w:b/>
                <w:color w:val="FFFFFF"/>
                <w:sz w:val="20"/>
                <w:szCs w:val="20"/>
              </w:rPr>
            </w:pPr>
            <w:r w:rsidRPr="00B03154">
              <w:rPr>
                <w:rFonts w:eastAsia="Times New Roman"/>
                <w:b/>
                <w:color w:val="FFFFFF"/>
                <w:sz w:val="20"/>
                <w:szCs w:val="20"/>
              </w:rPr>
              <w:t>Age group refers to age when measurement recorded</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2.47%</w:t>
            </w:r>
          </w:p>
        </w:tc>
        <w:tc>
          <w:tcPr>
            <w:tcW w:w="2660" w:type="dxa"/>
            <w:vAlign w:val="bottom"/>
          </w:tcPr>
          <w:p w:rsidR="00C43FAF" w:rsidRDefault="0017080B">
            <w:pPr>
              <w:jc w:val="right"/>
              <w:rPr>
                <w:color w:val="000000"/>
                <w:szCs w:val="20"/>
              </w:rPr>
            </w:pPr>
            <w:r w:rsidRPr="0017080B">
              <w:rPr>
                <w:color w:val="000000"/>
                <w:szCs w:val="20"/>
              </w:rPr>
              <w:t>3.16%</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7.72%</w:t>
            </w:r>
          </w:p>
        </w:tc>
        <w:tc>
          <w:tcPr>
            <w:tcW w:w="2660" w:type="dxa"/>
            <w:vAlign w:val="bottom"/>
          </w:tcPr>
          <w:p w:rsidR="00C43FAF" w:rsidRDefault="0017080B">
            <w:pPr>
              <w:jc w:val="right"/>
              <w:rPr>
                <w:color w:val="000000"/>
                <w:szCs w:val="20"/>
              </w:rPr>
            </w:pPr>
            <w:r w:rsidRPr="0017080B">
              <w:rPr>
                <w:color w:val="000000"/>
                <w:szCs w:val="20"/>
              </w:rPr>
              <w:t>10.13%</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6.09%</w:t>
            </w:r>
          </w:p>
        </w:tc>
        <w:tc>
          <w:tcPr>
            <w:tcW w:w="2660" w:type="dxa"/>
            <w:vAlign w:val="bottom"/>
          </w:tcPr>
          <w:p w:rsidR="00C43FAF" w:rsidRDefault="0017080B">
            <w:pPr>
              <w:jc w:val="right"/>
              <w:rPr>
                <w:color w:val="000000"/>
                <w:szCs w:val="20"/>
              </w:rPr>
            </w:pPr>
            <w:r w:rsidRPr="0017080B">
              <w:rPr>
                <w:color w:val="000000"/>
                <w:szCs w:val="20"/>
              </w:rPr>
              <w:t>7.87%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5.90%</w:t>
            </w:r>
          </w:p>
        </w:tc>
        <w:tc>
          <w:tcPr>
            <w:tcW w:w="2660" w:type="dxa"/>
            <w:vAlign w:val="bottom"/>
          </w:tcPr>
          <w:p w:rsidR="00C43FAF" w:rsidRDefault="0017080B">
            <w:pPr>
              <w:jc w:val="right"/>
              <w:rPr>
                <w:color w:val="000000"/>
                <w:szCs w:val="20"/>
              </w:rPr>
            </w:pPr>
            <w:r w:rsidRPr="0017080B">
              <w:rPr>
                <w:color w:val="000000"/>
                <w:szCs w:val="20"/>
              </w:rPr>
              <w:t>7.55%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5.90%</w:t>
            </w:r>
          </w:p>
        </w:tc>
        <w:tc>
          <w:tcPr>
            <w:tcW w:w="2660" w:type="dxa"/>
            <w:vAlign w:val="bottom"/>
          </w:tcPr>
          <w:p w:rsidR="00C43FAF" w:rsidRDefault="0017080B">
            <w:pPr>
              <w:jc w:val="right"/>
              <w:rPr>
                <w:color w:val="000000"/>
                <w:szCs w:val="20"/>
              </w:rPr>
            </w:pPr>
            <w:r w:rsidRPr="0017080B">
              <w:rPr>
                <w:color w:val="000000"/>
                <w:szCs w:val="20"/>
              </w:rPr>
              <w:t>7.55%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4.83%</w:t>
            </w:r>
          </w:p>
        </w:tc>
        <w:tc>
          <w:tcPr>
            <w:tcW w:w="2660" w:type="dxa"/>
            <w:vAlign w:val="bottom"/>
          </w:tcPr>
          <w:p w:rsidR="00C43FAF" w:rsidRDefault="0017080B">
            <w:pPr>
              <w:jc w:val="right"/>
              <w:rPr>
                <w:color w:val="000000"/>
                <w:szCs w:val="20"/>
              </w:rPr>
            </w:pPr>
            <w:r w:rsidRPr="0017080B">
              <w:rPr>
                <w:color w:val="000000"/>
                <w:szCs w:val="20"/>
              </w:rPr>
              <w:t>6.19%</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5.88%</w:t>
            </w:r>
          </w:p>
        </w:tc>
        <w:tc>
          <w:tcPr>
            <w:tcW w:w="2660" w:type="dxa"/>
            <w:vAlign w:val="bottom"/>
          </w:tcPr>
          <w:p w:rsidR="00C43FAF" w:rsidRDefault="0017080B">
            <w:pPr>
              <w:jc w:val="right"/>
              <w:rPr>
                <w:color w:val="000000"/>
                <w:szCs w:val="20"/>
              </w:rPr>
            </w:pPr>
            <w:r w:rsidRPr="0017080B">
              <w:rPr>
                <w:color w:val="000000"/>
                <w:szCs w:val="20"/>
              </w:rPr>
              <w:t>7.55%</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2.85%</w:t>
            </w:r>
          </w:p>
        </w:tc>
        <w:tc>
          <w:tcPr>
            <w:tcW w:w="2660" w:type="dxa"/>
            <w:vAlign w:val="bottom"/>
          </w:tcPr>
          <w:p w:rsidR="00C43FAF" w:rsidRDefault="0017080B">
            <w:pPr>
              <w:jc w:val="right"/>
              <w:rPr>
                <w:color w:val="000000"/>
                <w:szCs w:val="20"/>
              </w:rPr>
            </w:pPr>
            <w:r w:rsidRPr="0017080B">
              <w:rPr>
                <w:color w:val="000000"/>
                <w:szCs w:val="20"/>
              </w:rPr>
              <w:t>3.66%</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8.91%</w:t>
            </w:r>
          </w:p>
        </w:tc>
        <w:tc>
          <w:tcPr>
            <w:tcW w:w="2660" w:type="dxa"/>
            <w:vAlign w:val="bottom"/>
          </w:tcPr>
          <w:p w:rsidR="00C43FAF" w:rsidRDefault="0017080B">
            <w:pPr>
              <w:jc w:val="right"/>
              <w:rPr>
                <w:color w:val="000000"/>
                <w:szCs w:val="20"/>
              </w:rPr>
            </w:pPr>
            <w:r w:rsidRPr="0017080B">
              <w:rPr>
                <w:color w:val="000000"/>
                <w:szCs w:val="20"/>
              </w:rPr>
              <w:t>11.67%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7.04%</w:t>
            </w:r>
          </w:p>
        </w:tc>
        <w:tc>
          <w:tcPr>
            <w:tcW w:w="2660" w:type="dxa"/>
            <w:vAlign w:val="bottom"/>
          </w:tcPr>
          <w:p w:rsidR="00C43FAF" w:rsidRDefault="0017080B">
            <w:pPr>
              <w:jc w:val="right"/>
              <w:rPr>
                <w:color w:val="000000"/>
                <w:szCs w:val="20"/>
              </w:rPr>
            </w:pPr>
            <w:r w:rsidRPr="0017080B">
              <w:rPr>
                <w:color w:val="000000"/>
                <w:szCs w:val="20"/>
              </w:rPr>
              <w:t>9.08%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6.81%</w:t>
            </w:r>
          </w:p>
        </w:tc>
        <w:tc>
          <w:tcPr>
            <w:tcW w:w="2660" w:type="dxa"/>
            <w:vAlign w:val="bottom"/>
          </w:tcPr>
          <w:p w:rsidR="00C43FAF" w:rsidRDefault="0017080B">
            <w:pPr>
              <w:jc w:val="right"/>
              <w:rPr>
                <w:color w:val="000000"/>
                <w:szCs w:val="20"/>
              </w:rPr>
            </w:pPr>
            <w:r w:rsidRPr="0017080B">
              <w:rPr>
                <w:color w:val="000000"/>
                <w:szCs w:val="20"/>
              </w:rPr>
              <w:t>8.71%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6.81%</w:t>
            </w:r>
          </w:p>
        </w:tc>
        <w:tc>
          <w:tcPr>
            <w:tcW w:w="2660" w:type="dxa"/>
            <w:vAlign w:val="bottom"/>
          </w:tcPr>
          <w:p w:rsidR="00C43FAF" w:rsidRDefault="0017080B">
            <w:pPr>
              <w:jc w:val="right"/>
              <w:rPr>
                <w:color w:val="000000"/>
                <w:szCs w:val="20"/>
              </w:rPr>
            </w:pPr>
            <w:r w:rsidRPr="0017080B">
              <w:rPr>
                <w:color w:val="000000"/>
                <w:szCs w:val="20"/>
              </w:rPr>
              <w:t>8.71%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5.59%</w:t>
            </w:r>
          </w:p>
        </w:tc>
        <w:tc>
          <w:tcPr>
            <w:tcW w:w="2660" w:type="dxa"/>
            <w:vAlign w:val="bottom"/>
          </w:tcPr>
          <w:p w:rsidR="00C43FAF" w:rsidRDefault="0017080B">
            <w:pPr>
              <w:jc w:val="right"/>
              <w:rPr>
                <w:color w:val="000000"/>
                <w:szCs w:val="20"/>
              </w:rPr>
            </w:pPr>
            <w:r w:rsidRPr="0017080B">
              <w:rPr>
                <w:color w:val="000000"/>
                <w:szCs w:val="20"/>
              </w:rPr>
              <w:t>7.15%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6.80%</w:t>
            </w:r>
          </w:p>
        </w:tc>
        <w:tc>
          <w:tcPr>
            <w:tcW w:w="2660" w:type="dxa"/>
            <w:vAlign w:val="bottom"/>
          </w:tcPr>
          <w:p w:rsidR="00C43FAF" w:rsidRDefault="0017080B">
            <w:pPr>
              <w:jc w:val="right"/>
              <w:rPr>
                <w:color w:val="000000"/>
                <w:szCs w:val="20"/>
              </w:rPr>
            </w:pPr>
            <w:r w:rsidRPr="0017080B">
              <w:rPr>
                <w:color w:val="000000"/>
                <w:szCs w:val="20"/>
              </w:rPr>
              <w:t>8.72%</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0.01</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3.39%</w:t>
            </w:r>
          </w:p>
        </w:tc>
        <w:tc>
          <w:tcPr>
            <w:tcW w:w="2660" w:type="dxa"/>
            <w:vAlign w:val="bottom"/>
          </w:tcPr>
          <w:p w:rsidR="00C43FAF" w:rsidRDefault="0017080B">
            <w:pPr>
              <w:jc w:val="right"/>
              <w:rPr>
                <w:color w:val="000000"/>
                <w:szCs w:val="20"/>
              </w:rPr>
            </w:pPr>
            <w:r w:rsidRPr="0017080B">
              <w:rPr>
                <w:color w:val="000000"/>
                <w:szCs w:val="20"/>
              </w:rPr>
              <w:t>4.35%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10.56%</w:t>
            </w:r>
          </w:p>
        </w:tc>
        <w:tc>
          <w:tcPr>
            <w:tcW w:w="2660" w:type="dxa"/>
            <w:vAlign w:val="bottom"/>
          </w:tcPr>
          <w:p w:rsidR="00C43FAF" w:rsidRDefault="0017080B">
            <w:pPr>
              <w:jc w:val="right"/>
              <w:rPr>
                <w:color w:val="000000"/>
                <w:szCs w:val="20"/>
              </w:rPr>
            </w:pPr>
            <w:r w:rsidRPr="0017080B">
              <w:rPr>
                <w:color w:val="000000"/>
                <w:szCs w:val="20"/>
              </w:rPr>
              <w:t>13.78%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8.35%</w:t>
            </w:r>
          </w:p>
        </w:tc>
        <w:tc>
          <w:tcPr>
            <w:tcW w:w="2660" w:type="dxa"/>
            <w:vAlign w:val="bottom"/>
          </w:tcPr>
          <w:p w:rsidR="00C43FAF" w:rsidRDefault="0017080B">
            <w:pPr>
              <w:jc w:val="right"/>
              <w:rPr>
                <w:color w:val="000000"/>
                <w:szCs w:val="20"/>
              </w:rPr>
            </w:pPr>
            <w:r w:rsidRPr="0017080B">
              <w:rPr>
                <w:color w:val="000000"/>
                <w:szCs w:val="20"/>
              </w:rPr>
              <w:t>10.75%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8.09%</w:t>
            </w:r>
          </w:p>
        </w:tc>
        <w:tc>
          <w:tcPr>
            <w:tcW w:w="2660" w:type="dxa"/>
            <w:vAlign w:val="bottom"/>
          </w:tcPr>
          <w:p w:rsidR="00C43FAF" w:rsidRDefault="0017080B">
            <w:pPr>
              <w:jc w:val="right"/>
              <w:rPr>
                <w:color w:val="000000"/>
                <w:szCs w:val="20"/>
              </w:rPr>
            </w:pPr>
            <w:r w:rsidRPr="0017080B">
              <w:rPr>
                <w:color w:val="000000"/>
                <w:szCs w:val="20"/>
              </w:rPr>
              <w:t>10.32%</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8.09%</w:t>
            </w:r>
          </w:p>
        </w:tc>
        <w:tc>
          <w:tcPr>
            <w:tcW w:w="2660" w:type="dxa"/>
            <w:vAlign w:val="bottom"/>
          </w:tcPr>
          <w:p w:rsidR="00C43FAF" w:rsidRDefault="0017080B">
            <w:pPr>
              <w:jc w:val="right"/>
              <w:rPr>
                <w:color w:val="000000"/>
                <w:szCs w:val="20"/>
              </w:rPr>
            </w:pPr>
            <w:r w:rsidRPr="0017080B">
              <w:rPr>
                <w:color w:val="000000"/>
                <w:szCs w:val="20"/>
              </w:rPr>
              <w:t>10.33%</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6.64%</w:t>
            </w:r>
          </w:p>
        </w:tc>
        <w:tc>
          <w:tcPr>
            <w:tcW w:w="2660" w:type="dxa"/>
            <w:vAlign w:val="bottom"/>
          </w:tcPr>
          <w:p w:rsidR="00C43FAF" w:rsidRDefault="0017080B">
            <w:pPr>
              <w:jc w:val="right"/>
              <w:rPr>
                <w:color w:val="000000"/>
                <w:szCs w:val="20"/>
              </w:rPr>
            </w:pPr>
            <w:r w:rsidRPr="0017080B">
              <w:rPr>
                <w:color w:val="000000"/>
                <w:szCs w:val="20"/>
              </w:rPr>
              <w:t>8.49%</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8.07%</w:t>
            </w:r>
          </w:p>
        </w:tc>
        <w:tc>
          <w:tcPr>
            <w:tcW w:w="2660" w:type="dxa"/>
            <w:vAlign w:val="bottom"/>
          </w:tcPr>
          <w:p w:rsidR="00C43FAF" w:rsidRDefault="0017080B">
            <w:pPr>
              <w:jc w:val="right"/>
              <w:rPr>
                <w:color w:val="000000"/>
                <w:szCs w:val="20"/>
              </w:rPr>
            </w:pPr>
            <w:r w:rsidRPr="0017080B">
              <w:rPr>
                <w:color w:val="000000"/>
                <w:szCs w:val="20"/>
              </w:rPr>
              <w:t>10.33%</w:t>
            </w:r>
          </w:p>
        </w:tc>
      </w:tr>
      <w:tr w:rsidR="00243396" w:rsidRPr="00B03154" w:rsidTr="00F259A2">
        <w:tc>
          <w:tcPr>
            <w:tcW w:w="9000" w:type="dxa"/>
            <w:gridSpan w:val="5"/>
            <w:shd w:val="clear" w:color="auto" w:fill="000000"/>
          </w:tcPr>
          <w:p w:rsidR="00243396" w:rsidRPr="00B03154" w:rsidRDefault="00FA2528" w:rsidP="00A76A72">
            <w:pPr>
              <w:pStyle w:val="BHNormal"/>
              <w:rPr>
                <w:rFonts w:eastAsia="Times New Roman"/>
                <w:b/>
                <w:color w:val="FFFFFF"/>
                <w:sz w:val="20"/>
                <w:szCs w:val="20"/>
              </w:rPr>
            </w:pPr>
            <w:r w:rsidRPr="00B03154">
              <w:rPr>
                <w:rFonts w:eastAsia="Times New Roman"/>
                <w:b/>
                <w:color w:val="FFFFFF"/>
                <w:sz w:val="20"/>
                <w:szCs w:val="20"/>
              </w:rPr>
              <w:t>Age group refers to age at baseline</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0.8</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2.38%</w:t>
            </w:r>
          </w:p>
        </w:tc>
        <w:tc>
          <w:tcPr>
            <w:tcW w:w="2660" w:type="dxa"/>
            <w:vAlign w:val="bottom"/>
          </w:tcPr>
          <w:p w:rsidR="00C43FAF" w:rsidRDefault="0017080B">
            <w:pPr>
              <w:jc w:val="right"/>
              <w:rPr>
                <w:color w:val="000000"/>
                <w:szCs w:val="20"/>
              </w:rPr>
            </w:pPr>
            <w:r w:rsidRPr="0017080B">
              <w:rPr>
                <w:color w:val="000000"/>
                <w:szCs w:val="20"/>
              </w:rPr>
              <w:t>3.04%</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5.91%</w:t>
            </w:r>
          </w:p>
        </w:tc>
        <w:tc>
          <w:tcPr>
            <w:tcW w:w="2660" w:type="dxa"/>
            <w:vAlign w:val="bottom"/>
          </w:tcPr>
          <w:p w:rsidR="00C43FAF" w:rsidRDefault="0017080B">
            <w:pPr>
              <w:jc w:val="right"/>
              <w:rPr>
                <w:color w:val="000000"/>
                <w:szCs w:val="20"/>
              </w:rPr>
            </w:pPr>
            <w:r w:rsidRPr="0017080B">
              <w:rPr>
                <w:color w:val="000000"/>
                <w:szCs w:val="20"/>
              </w:rPr>
              <w:t>7.58%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5.91%</w:t>
            </w:r>
          </w:p>
        </w:tc>
        <w:tc>
          <w:tcPr>
            <w:tcW w:w="2660" w:type="dxa"/>
            <w:vAlign w:val="bottom"/>
          </w:tcPr>
          <w:p w:rsidR="00C43FAF" w:rsidRDefault="0017080B">
            <w:pPr>
              <w:jc w:val="right"/>
              <w:rPr>
                <w:color w:val="000000"/>
                <w:szCs w:val="20"/>
              </w:rPr>
            </w:pPr>
            <w:r w:rsidRPr="0017080B">
              <w:rPr>
                <w:color w:val="000000"/>
                <w:szCs w:val="20"/>
              </w:rPr>
              <w:t>7.57%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5.91%</w:t>
            </w:r>
          </w:p>
        </w:tc>
        <w:tc>
          <w:tcPr>
            <w:tcW w:w="2660" w:type="dxa"/>
            <w:vAlign w:val="bottom"/>
          </w:tcPr>
          <w:p w:rsidR="00C43FAF" w:rsidRDefault="0017080B">
            <w:pPr>
              <w:jc w:val="right"/>
              <w:rPr>
                <w:color w:val="000000"/>
                <w:szCs w:val="20"/>
              </w:rPr>
            </w:pPr>
            <w:r w:rsidRPr="0017080B">
              <w:rPr>
                <w:color w:val="000000"/>
                <w:szCs w:val="20"/>
              </w:rPr>
              <w:t>7.58%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5.91%</w:t>
            </w:r>
          </w:p>
        </w:tc>
        <w:tc>
          <w:tcPr>
            <w:tcW w:w="2660" w:type="dxa"/>
            <w:vAlign w:val="bottom"/>
          </w:tcPr>
          <w:p w:rsidR="00C43FAF" w:rsidRDefault="0017080B">
            <w:pPr>
              <w:jc w:val="right"/>
              <w:rPr>
                <w:color w:val="000000"/>
                <w:szCs w:val="20"/>
              </w:rPr>
            </w:pPr>
            <w:r w:rsidRPr="0017080B">
              <w:rPr>
                <w:color w:val="000000"/>
                <w:szCs w:val="20"/>
              </w:rPr>
              <w:t>7.57%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4.84%</w:t>
            </w:r>
          </w:p>
        </w:tc>
        <w:tc>
          <w:tcPr>
            <w:tcW w:w="2660" w:type="dxa"/>
            <w:vAlign w:val="bottom"/>
          </w:tcPr>
          <w:p w:rsidR="00C43FAF" w:rsidRDefault="0017080B">
            <w:pPr>
              <w:jc w:val="right"/>
              <w:rPr>
                <w:color w:val="000000"/>
                <w:szCs w:val="20"/>
              </w:rPr>
            </w:pPr>
            <w:r w:rsidRPr="0017080B">
              <w:rPr>
                <w:color w:val="000000"/>
                <w:szCs w:val="20"/>
              </w:rPr>
              <w:t>6.21%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5.90%</w:t>
            </w:r>
          </w:p>
        </w:tc>
        <w:tc>
          <w:tcPr>
            <w:tcW w:w="2660" w:type="dxa"/>
            <w:vAlign w:val="bottom"/>
          </w:tcPr>
          <w:p w:rsidR="00C43FAF" w:rsidRDefault="0017080B">
            <w:pPr>
              <w:jc w:val="right"/>
              <w:rPr>
                <w:color w:val="000000"/>
                <w:szCs w:val="20"/>
              </w:rPr>
            </w:pPr>
            <w:r w:rsidRPr="0017080B">
              <w:rPr>
                <w:color w:val="000000"/>
                <w:szCs w:val="20"/>
              </w:rPr>
              <w:t>7.57%</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0.05</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2.75%</w:t>
            </w:r>
          </w:p>
        </w:tc>
        <w:tc>
          <w:tcPr>
            <w:tcW w:w="2660" w:type="dxa"/>
            <w:vAlign w:val="bottom"/>
          </w:tcPr>
          <w:p w:rsidR="00C43FAF" w:rsidRDefault="0017080B">
            <w:pPr>
              <w:jc w:val="right"/>
              <w:rPr>
                <w:color w:val="000000"/>
                <w:szCs w:val="20"/>
              </w:rPr>
            </w:pPr>
            <w:r w:rsidRPr="0017080B">
              <w:rPr>
                <w:color w:val="000000"/>
                <w:szCs w:val="20"/>
              </w:rPr>
              <w:t>3.51%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6.82%</w:t>
            </w:r>
          </w:p>
        </w:tc>
        <w:tc>
          <w:tcPr>
            <w:tcW w:w="2660" w:type="dxa"/>
            <w:vAlign w:val="bottom"/>
          </w:tcPr>
          <w:p w:rsidR="00C43FAF" w:rsidRDefault="0017080B">
            <w:pPr>
              <w:jc w:val="right"/>
              <w:rPr>
                <w:color w:val="000000"/>
                <w:szCs w:val="20"/>
              </w:rPr>
            </w:pPr>
            <w:r w:rsidRPr="0017080B">
              <w:rPr>
                <w:color w:val="000000"/>
                <w:szCs w:val="20"/>
              </w:rPr>
              <w:t>8.74%</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6.83%</w:t>
            </w:r>
          </w:p>
        </w:tc>
        <w:tc>
          <w:tcPr>
            <w:tcW w:w="2660" w:type="dxa"/>
            <w:vAlign w:val="bottom"/>
          </w:tcPr>
          <w:p w:rsidR="00C43FAF" w:rsidRDefault="0017080B">
            <w:pPr>
              <w:jc w:val="right"/>
              <w:rPr>
                <w:color w:val="000000"/>
                <w:szCs w:val="20"/>
              </w:rPr>
            </w:pPr>
            <w:r w:rsidRPr="0017080B">
              <w:rPr>
                <w:color w:val="000000"/>
                <w:szCs w:val="20"/>
              </w:rPr>
              <w:t>8.73%</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6.83%</w:t>
            </w:r>
          </w:p>
        </w:tc>
        <w:tc>
          <w:tcPr>
            <w:tcW w:w="2660" w:type="dxa"/>
            <w:vAlign w:val="bottom"/>
          </w:tcPr>
          <w:p w:rsidR="00C43FAF" w:rsidRDefault="0017080B">
            <w:pPr>
              <w:jc w:val="right"/>
              <w:rPr>
                <w:color w:val="000000"/>
                <w:szCs w:val="20"/>
              </w:rPr>
            </w:pPr>
            <w:r w:rsidRPr="0017080B">
              <w:rPr>
                <w:color w:val="000000"/>
                <w:szCs w:val="20"/>
              </w:rPr>
              <w:t>8.75%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6.83%</w:t>
            </w:r>
          </w:p>
        </w:tc>
        <w:tc>
          <w:tcPr>
            <w:tcW w:w="2660" w:type="dxa"/>
            <w:vAlign w:val="bottom"/>
          </w:tcPr>
          <w:p w:rsidR="00C43FAF" w:rsidRDefault="0017080B">
            <w:pPr>
              <w:jc w:val="right"/>
              <w:rPr>
                <w:color w:val="000000"/>
                <w:szCs w:val="20"/>
              </w:rPr>
            </w:pPr>
            <w:r w:rsidRPr="0017080B">
              <w:rPr>
                <w:color w:val="000000"/>
                <w:szCs w:val="20"/>
              </w:rPr>
              <w:t>8.73%</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5.59%</w:t>
            </w:r>
          </w:p>
        </w:tc>
        <w:tc>
          <w:tcPr>
            <w:tcW w:w="2660" w:type="dxa"/>
            <w:vAlign w:val="bottom"/>
          </w:tcPr>
          <w:p w:rsidR="00C43FAF" w:rsidRDefault="0017080B">
            <w:pPr>
              <w:jc w:val="right"/>
              <w:rPr>
                <w:color w:val="000000"/>
                <w:szCs w:val="20"/>
              </w:rPr>
            </w:pPr>
            <w:r w:rsidRPr="0017080B">
              <w:rPr>
                <w:color w:val="000000"/>
                <w:szCs w:val="20"/>
              </w:rPr>
              <w:t>7.17%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6.82%</w:t>
            </w:r>
          </w:p>
        </w:tc>
        <w:tc>
          <w:tcPr>
            <w:tcW w:w="2660" w:type="dxa"/>
            <w:vAlign w:val="bottom"/>
          </w:tcPr>
          <w:p w:rsidR="00C43FAF" w:rsidRDefault="0017080B">
            <w:pPr>
              <w:jc w:val="right"/>
              <w:rPr>
                <w:color w:val="000000"/>
                <w:szCs w:val="20"/>
              </w:rPr>
            </w:pPr>
            <w:r w:rsidRPr="0017080B">
              <w:rPr>
                <w:color w:val="000000"/>
                <w:szCs w:val="20"/>
              </w:rPr>
              <w:t>8.74%</w:t>
            </w:r>
          </w:p>
        </w:tc>
      </w:tr>
      <w:tr w:rsidR="00243396" w:rsidRPr="00B03154" w:rsidTr="00F259A2">
        <w:tc>
          <w:tcPr>
            <w:tcW w:w="1308"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0.9</w:t>
            </w:r>
          </w:p>
        </w:tc>
        <w:tc>
          <w:tcPr>
            <w:tcW w:w="1596" w:type="dxa"/>
            <w:vMerge w:val="restart"/>
          </w:tcPr>
          <w:p w:rsidR="00243396" w:rsidRPr="00B03154" w:rsidRDefault="00FA2528" w:rsidP="00A76A72">
            <w:pPr>
              <w:pStyle w:val="BHNormal"/>
              <w:rPr>
                <w:rFonts w:eastAsia="Times New Roman"/>
                <w:sz w:val="20"/>
                <w:szCs w:val="20"/>
              </w:rPr>
            </w:pPr>
            <w:r w:rsidRPr="00B03154">
              <w:rPr>
                <w:rFonts w:eastAsia="Times New Roman"/>
                <w:sz w:val="20"/>
                <w:szCs w:val="20"/>
              </w:rPr>
              <w:t>0.01</w:t>
            </w:r>
          </w:p>
        </w:tc>
        <w:tc>
          <w:tcPr>
            <w:tcW w:w="1366" w:type="dxa"/>
          </w:tcPr>
          <w:p w:rsidR="00147D9C" w:rsidRPr="00B03154" w:rsidRDefault="00FA2528" w:rsidP="00A76A72">
            <w:pPr>
              <w:pStyle w:val="BHNormal"/>
              <w:jc w:val="center"/>
              <w:rPr>
                <w:rFonts w:eastAsia="Times New Roman"/>
                <w:sz w:val="20"/>
                <w:szCs w:val="20"/>
              </w:rPr>
            </w:pPr>
            <w:r w:rsidRPr="00B03154">
              <w:rPr>
                <w:rFonts w:eastAsia="Times New Roman"/>
                <w:sz w:val="20"/>
                <w:szCs w:val="20"/>
              </w:rPr>
              <w:t>All ages</w:t>
            </w:r>
          </w:p>
        </w:tc>
        <w:tc>
          <w:tcPr>
            <w:tcW w:w="2070" w:type="dxa"/>
            <w:vAlign w:val="bottom"/>
          </w:tcPr>
          <w:p w:rsidR="00243396" w:rsidRPr="00B03154" w:rsidRDefault="00243396" w:rsidP="00A76A72">
            <w:pPr>
              <w:jc w:val="right"/>
              <w:rPr>
                <w:color w:val="000000"/>
                <w:szCs w:val="20"/>
              </w:rPr>
            </w:pPr>
            <w:r w:rsidRPr="00B03154">
              <w:rPr>
                <w:color w:val="000000"/>
                <w:szCs w:val="20"/>
              </w:rPr>
              <w:t>3.27%</w:t>
            </w:r>
          </w:p>
        </w:tc>
        <w:tc>
          <w:tcPr>
            <w:tcW w:w="2660" w:type="dxa"/>
            <w:vAlign w:val="bottom"/>
          </w:tcPr>
          <w:p w:rsidR="00C43FAF" w:rsidRDefault="0017080B">
            <w:pPr>
              <w:jc w:val="right"/>
              <w:rPr>
                <w:color w:val="000000"/>
                <w:szCs w:val="20"/>
              </w:rPr>
            </w:pPr>
            <w:r w:rsidRPr="0017080B">
              <w:rPr>
                <w:color w:val="000000"/>
                <w:szCs w:val="20"/>
              </w:rPr>
              <w:t>4.18%</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3-4</w:t>
            </w:r>
          </w:p>
        </w:tc>
        <w:tc>
          <w:tcPr>
            <w:tcW w:w="2070" w:type="dxa"/>
            <w:vAlign w:val="bottom"/>
          </w:tcPr>
          <w:p w:rsidR="00C43FAF" w:rsidRDefault="0017080B">
            <w:pPr>
              <w:jc w:val="right"/>
              <w:rPr>
                <w:color w:val="000000"/>
                <w:szCs w:val="20"/>
              </w:rPr>
            </w:pPr>
            <w:r w:rsidRPr="0017080B">
              <w:rPr>
                <w:color w:val="000000"/>
                <w:szCs w:val="20"/>
              </w:rPr>
              <w:t>8.10%</w:t>
            </w:r>
          </w:p>
        </w:tc>
        <w:tc>
          <w:tcPr>
            <w:tcW w:w="2660" w:type="dxa"/>
            <w:vAlign w:val="bottom"/>
          </w:tcPr>
          <w:p w:rsidR="00C43FAF" w:rsidRDefault="0017080B">
            <w:pPr>
              <w:jc w:val="right"/>
              <w:rPr>
                <w:color w:val="000000"/>
                <w:szCs w:val="20"/>
              </w:rPr>
            </w:pPr>
            <w:r w:rsidRPr="0017080B">
              <w:rPr>
                <w:color w:val="000000"/>
                <w:szCs w:val="20"/>
              </w:rPr>
              <w:t>10.36%</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5-6</w:t>
            </w:r>
          </w:p>
        </w:tc>
        <w:tc>
          <w:tcPr>
            <w:tcW w:w="2070" w:type="dxa"/>
            <w:vAlign w:val="bottom"/>
          </w:tcPr>
          <w:p w:rsidR="00C43FAF" w:rsidRDefault="0017080B">
            <w:pPr>
              <w:jc w:val="right"/>
              <w:rPr>
                <w:color w:val="000000"/>
                <w:szCs w:val="20"/>
              </w:rPr>
            </w:pPr>
            <w:r w:rsidRPr="0017080B">
              <w:rPr>
                <w:color w:val="000000"/>
                <w:szCs w:val="20"/>
              </w:rPr>
              <w:t>8.10%</w:t>
            </w:r>
          </w:p>
        </w:tc>
        <w:tc>
          <w:tcPr>
            <w:tcW w:w="2660" w:type="dxa"/>
            <w:vAlign w:val="bottom"/>
          </w:tcPr>
          <w:p w:rsidR="00C43FAF" w:rsidRDefault="0017080B">
            <w:pPr>
              <w:jc w:val="right"/>
              <w:rPr>
                <w:color w:val="000000"/>
                <w:szCs w:val="20"/>
              </w:rPr>
            </w:pPr>
            <w:r w:rsidRPr="0017080B">
              <w:rPr>
                <w:color w:val="000000"/>
                <w:szCs w:val="20"/>
              </w:rPr>
              <w:t>10.35%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7-8</w:t>
            </w:r>
          </w:p>
        </w:tc>
        <w:tc>
          <w:tcPr>
            <w:tcW w:w="2070" w:type="dxa"/>
            <w:vAlign w:val="bottom"/>
          </w:tcPr>
          <w:p w:rsidR="00C43FAF" w:rsidRDefault="0017080B">
            <w:pPr>
              <w:jc w:val="right"/>
              <w:rPr>
                <w:color w:val="000000"/>
                <w:szCs w:val="20"/>
              </w:rPr>
            </w:pPr>
            <w:r w:rsidRPr="0017080B">
              <w:rPr>
                <w:color w:val="000000"/>
                <w:szCs w:val="20"/>
              </w:rPr>
              <w:t>8.10%</w:t>
            </w:r>
          </w:p>
        </w:tc>
        <w:tc>
          <w:tcPr>
            <w:tcW w:w="2660" w:type="dxa"/>
            <w:vAlign w:val="bottom"/>
          </w:tcPr>
          <w:p w:rsidR="00C43FAF" w:rsidRDefault="0017080B">
            <w:pPr>
              <w:jc w:val="right"/>
              <w:rPr>
                <w:color w:val="000000"/>
                <w:szCs w:val="20"/>
              </w:rPr>
            </w:pPr>
            <w:r w:rsidRPr="0017080B">
              <w:rPr>
                <w:color w:val="000000"/>
                <w:szCs w:val="20"/>
              </w:rPr>
              <w:t>10.37%</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9-10</w:t>
            </w:r>
          </w:p>
        </w:tc>
        <w:tc>
          <w:tcPr>
            <w:tcW w:w="2070" w:type="dxa"/>
            <w:vAlign w:val="bottom"/>
          </w:tcPr>
          <w:p w:rsidR="00C43FAF" w:rsidRDefault="0017080B">
            <w:pPr>
              <w:jc w:val="right"/>
              <w:rPr>
                <w:color w:val="000000"/>
                <w:szCs w:val="20"/>
              </w:rPr>
            </w:pPr>
            <w:r w:rsidRPr="0017080B">
              <w:rPr>
                <w:color w:val="000000"/>
                <w:szCs w:val="20"/>
              </w:rPr>
              <w:t>8.11%</w:t>
            </w:r>
          </w:p>
        </w:tc>
        <w:tc>
          <w:tcPr>
            <w:tcW w:w="2660" w:type="dxa"/>
            <w:vAlign w:val="bottom"/>
          </w:tcPr>
          <w:p w:rsidR="00C43FAF" w:rsidRDefault="0017080B">
            <w:pPr>
              <w:jc w:val="right"/>
              <w:rPr>
                <w:color w:val="000000"/>
                <w:szCs w:val="20"/>
              </w:rPr>
            </w:pPr>
            <w:r w:rsidRPr="0017080B">
              <w:rPr>
                <w:color w:val="000000"/>
                <w:szCs w:val="20"/>
              </w:rPr>
              <w:t>10.35%</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11-13</w:t>
            </w:r>
          </w:p>
        </w:tc>
        <w:tc>
          <w:tcPr>
            <w:tcW w:w="2070" w:type="dxa"/>
            <w:vAlign w:val="bottom"/>
          </w:tcPr>
          <w:p w:rsidR="00C43FAF" w:rsidRDefault="0017080B">
            <w:pPr>
              <w:jc w:val="right"/>
              <w:rPr>
                <w:color w:val="000000"/>
                <w:szCs w:val="20"/>
              </w:rPr>
            </w:pPr>
            <w:r w:rsidRPr="0017080B">
              <w:rPr>
                <w:color w:val="000000"/>
                <w:szCs w:val="20"/>
              </w:rPr>
              <w:t>6.64%</w:t>
            </w:r>
          </w:p>
        </w:tc>
        <w:tc>
          <w:tcPr>
            <w:tcW w:w="2660" w:type="dxa"/>
            <w:vAlign w:val="bottom"/>
          </w:tcPr>
          <w:p w:rsidR="00C43FAF" w:rsidRDefault="0017080B">
            <w:pPr>
              <w:jc w:val="right"/>
              <w:rPr>
                <w:color w:val="000000"/>
                <w:szCs w:val="20"/>
              </w:rPr>
            </w:pPr>
            <w:r w:rsidRPr="0017080B">
              <w:rPr>
                <w:color w:val="000000"/>
                <w:szCs w:val="20"/>
              </w:rPr>
              <w:t>8.51%</w:t>
            </w:r>
          </w:p>
        </w:tc>
      </w:tr>
      <w:tr w:rsidR="00243396" w:rsidRPr="00B03154" w:rsidTr="00F259A2">
        <w:tc>
          <w:tcPr>
            <w:tcW w:w="1308" w:type="dxa"/>
            <w:vMerge/>
          </w:tcPr>
          <w:p w:rsidR="00C43FAF" w:rsidRDefault="00C43FAF">
            <w:pPr>
              <w:pStyle w:val="BHNormal"/>
              <w:autoSpaceDE w:val="0"/>
              <w:autoSpaceDN w:val="0"/>
              <w:rPr>
                <w:rFonts w:eastAsia="Times New Roman"/>
                <w:sz w:val="20"/>
                <w:szCs w:val="20"/>
              </w:rPr>
            </w:pPr>
          </w:p>
        </w:tc>
        <w:tc>
          <w:tcPr>
            <w:tcW w:w="1596" w:type="dxa"/>
            <w:vMerge/>
          </w:tcPr>
          <w:p w:rsidR="00C43FAF" w:rsidRDefault="00C43FAF">
            <w:pPr>
              <w:pStyle w:val="BHNormal"/>
              <w:autoSpaceDE w:val="0"/>
              <w:autoSpaceDN w:val="0"/>
              <w:rPr>
                <w:rFonts w:eastAsia="Times New Roman"/>
                <w:sz w:val="20"/>
                <w:szCs w:val="20"/>
              </w:rPr>
            </w:pPr>
          </w:p>
        </w:tc>
        <w:tc>
          <w:tcPr>
            <w:tcW w:w="1366" w:type="dxa"/>
          </w:tcPr>
          <w:p w:rsidR="004116D2" w:rsidRDefault="0017080B">
            <w:pPr>
              <w:pStyle w:val="BHNormal"/>
              <w:jc w:val="center"/>
              <w:rPr>
                <w:rFonts w:eastAsia="Times New Roman"/>
                <w:sz w:val="20"/>
                <w:szCs w:val="20"/>
              </w:rPr>
            </w:pPr>
            <w:r w:rsidRPr="0017080B">
              <w:rPr>
                <w:rFonts w:eastAsia="Times New Roman"/>
                <w:sz w:val="20"/>
                <w:szCs w:val="20"/>
              </w:rPr>
              <w:t>14-15</w:t>
            </w:r>
          </w:p>
        </w:tc>
        <w:tc>
          <w:tcPr>
            <w:tcW w:w="2070" w:type="dxa"/>
            <w:vAlign w:val="bottom"/>
          </w:tcPr>
          <w:p w:rsidR="00C43FAF" w:rsidRDefault="0017080B">
            <w:pPr>
              <w:jc w:val="right"/>
              <w:rPr>
                <w:color w:val="000000"/>
                <w:szCs w:val="20"/>
              </w:rPr>
            </w:pPr>
            <w:r w:rsidRPr="0017080B">
              <w:rPr>
                <w:color w:val="000000"/>
                <w:szCs w:val="20"/>
              </w:rPr>
              <w:t>8.09%</w:t>
            </w:r>
          </w:p>
        </w:tc>
        <w:tc>
          <w:tcPr>
            <w:tcW w:w="2660" w:type="dxa"/>
            <w:vAlign w:val="bottom"/>
          </w:tcPr>
          <w:p w:rsidR="00C43FAF" w:rsidRDefault="0017080B">
            <w:pPr>
              <w:jc w:val="right"/>
              <w:rPr>
                <w:color w:val="000000"/>
                <w:szCs w:val="20"/>
              </w:rPr>
            </w:pPr>
            <w:r w:rsidRPr="0017080B">
              <w:rPr>
                <w:color w:val="000000"/>
                <w:szCs w:val="20"/>
              </w:rPr>
              <w:t>10.36%</w:t>
            </w:r>
          </w:p>
        </w:tc>
      </w:tr>
    </w:tbl>
    <w:p w:rsidR="00243396" w:rsidRPr="00B03154" w:rsidRDefault="00243396" w:rsidP="00A76A72">
      <w:pPr>
        <w:pStyle w:val="BHNormal"/>
        <w:rPr>
          <w:szCs w:val="24"/>
        </w:rPr>
      </w:pPr>
    </w:p>
    <w:p w:rsidR="00243396" w:rsidRPr="00B03154" w:rsidRDefault="00243396" w:rsidP="00A76A72">
      <w:pPr>
        <w:rPr>
          <w:sz w:val="24"/>
        </w:rPr>
      </w:pPr>
    </w:p>
    <w:p w:rsidR="003D0067" w:rsidRPr="00B03154" w:rsidRDefault="003D0067" w:rsidP="00A76A72">
      <w:pPr>
        <w:adjustRightInd w:val="0"/>
        <w:rPr>
          <w:sz w:val="24"/>
        </w:rPr>
      </w:pPr>
      <w:r w:rsidRPr="00B03154">
        <w:rPr>
          <w:sz w:val="24"/>
        </w:rPr>
        <w:t xml:space="preserve">Based on a number of assumptions, power for this study </w:t>
      </w:r>
      <w:proofErr w:type="gramStart"/>
      <w:r w:rsidRPr="00B03154">
        <w:rPr>
          <w:sz w:val="24"/>
        </w:rPr>
        <w:t>was estimated</w:t>
      </w:r>
      <w:proofErr w:type="gramEnd"/>
      <w:r w:rsidRPr="00B03154">
        <w:rPr>
          <w:sz w:val="24"/>
        </w:rPr>
        <w:t xml:space="preserve"> using Monte Carlo simulations in R (version 2.12.0). </w:t>
      </w:r>
      <w:r w:rsidR="005C43D4" w:rsidRPr="00B03154">
        <w:rPr>
          <w:sz w:val="24"/>
        </w:rPr>
        <w:t xml:space="preserve"> </w:t>
      </w:r>
      <w:r w:rsidRPr="00B03154">
        <w:rPr>
          <w:sz w:val="24"/>
        </w:rPr>
        <w:t xml:space="preserve">Multiple datasets </w:t>
      </w:r>
      <w:proofErr w:type="gramStart"/>
      <w:r w:rsidRPr="00B03154">
        <w:rPr>
          <w:sz w:val="24"/>
        </w:rPr>
        <w:t>were simulated</w:t>
      </w:r>
      <w:proofErr w:type="gramEnd"/>
      <w:r w:rsidRPr="00B03154">
        <w:rPr>
          <w:sz w:val="24"/>
        </w:rPr>
        <w:t xml:space="preserve"> and analyzed using the mixed model routines in the lme4 package. </w:t>
      </w:r>
      <w:r w:rsidR="005C43D4" w:rsidRPr="00B03154">
        <w:rPr>
          <w:sz w:val="24"/>
        </w:rPr>
        <w:t xml:space="preserve"> </w:t>
      </w:r>
      <w:r w:rsidRPr="00B03154">
        <w:rPr>
          <w:sz w:val="24"/>
        </w:rPr>
        <w:t xml:space="preserve">The standard error of the program effectiveness parameter </w:t>
      </w:r>
      <w:proofErr w:type="gramStart"/>
      <w:r w:rsidRPr="00B03154">
        <w:rPr>
          <w:sz w:val="24"/>
        </w:rPr>
        <w:t>was recorded</w:t>
      </w:r>
      <w:proofErr w:type="gramEnd"/>
      <w:r w:rsidRPr="00B03154">
        <w:rPr>
          <w:sz w:val="24"/>
        </w:rPr>
        <w:t xml:space="preserve"> after analyzing each simulated dataset. </w:t>
      </w:r>
      <w:r w:rsidR="005C43D4" w:rsidRPr="00B03154">
        <w:rPr>
          <w:sz w:val="24"/>
        </w:rPr>
        <w:t xml:space="preserve"> </w:t>
      </w:r>
      <w:r w:rsidR="0017080B" w:rsidRPr="0017080B">
        <w:rPr>
          <w:sz w:val="24"/>
        </w:rPr>
        <w:t xml:space="preserve">The average of the standard error over all datasets </w:t>
      </w:r>
      <w:proofErr w:type="gramStart"/>
      <w:r w:rsidR="0017080B" w:rsidRPr="0017080B">
        <w:rPr>
          <w:sz w:val="24"/>
        </w:rPr>
        <w:t>was used</w:t>
      </w:r>
      <w:proofErr w:type="gramEnd"/>
      <w:r w:rsidR="0017080B" w:rsidRPr="0017080B">
        <w:rPr>
          <w:sz w:val="24"/>
        </w:rPr>
        <w:t xml:space="preserve"> to relate power to effect size using the following equation:</w:t>
      </w:r>
    </w:p>
    <w:p w:rsidR="003D0067" w:rsidRPr="00B03154" w:rsidRDefault="003D0067" w:rsidP="00A76A72">
      <w:pPr>
        <w:adjustRightInd w:val="0"/>
        <w:rPr>
          <w:sz w:val="24"/>
        </w:rPr>
      </w:pPr>
    </w:p>
    <w:p w:rsidR="003D0067" w:rsidRPr="00B03154" w:rsidRDefault="0074608C" w:rsidP="00A76A72">
      <w:pPr>
        <w:pStyle w:val="BHNormal"/>
        <w:jc w:val="center"/>
        <w:rPr>
          <w:rFonts w:eastAsia="Times New Roman"/>
          <w:szCs w:val="24"/>
        </w:rPr>
      </w:pPr>
      <m:oMathPara>
        <m:oMath>
          <m:sSub>
            <m:sSubPr>
              <m:ctrlPr>
                <w:rPr>
                  <w:rFonts w:ascii="Cambria Math" w:hAnsi="Cambria Math"/>
                  <w:i/>
                </w:rPr>
              </m:ctrlPr>
            </m:sSubPr>
            <m:e>
              <m:r>
                <w:rPr>
                  <w:rFonts w:ascii="Cambria Math" w:hAnsi="Cambria Math"/>
                </w:rPr>
                <m:t>β</m:t>
              </m:r>
            </m:e>
            <m:sub>
              <m:r>
                <w:rPr>
                  <w:rFonts w:ascii="Cambria Math"/>
                </w:rPr>
                <m:t>1</m:t>
              </m:r>
            </m:sub>
          </m:sSub>
          <m:r>
            <w:rPr>
              <w:rFonts w:ascii="Cambria Math"/>
            </w:rPr>
            <m:t>=</m:t>
          </m:r>
          <m:r>
            <w:rPr>
              <w:rFonts w:ascii="Cambria Math" w:hAnsi="Cambria Math"/>
            </w:rPr>
            <m:t>SE</m:t>
          </m:r>
          <m:r>
            <m:t>×</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P</m:t>
                  </m:r>
                </m:sub>
              </m:sSub>
              <m:r>
                <w:rPr>
                  <w:rFonts w:ascii="Cambria Math"/>
                </w:rPr>
                <m:t>+</m:t>
              </m:r>
              <m:sSub>
                <m:sSubPr>
                  <m:ctrlPr>
                    <w:rPr>
                      <w:rFonts w:ascii="Cambria Math" w:hAnsi="Cambria Math"/>
                      <w:i/>
                    </w:rPr>
                  </m:ctrlPr>
                </m:sSubPr>
                <m:e>
                  <m:r>
                    <w:rPr>
                      <w:rFonts w:ascii="Cambria Math" w:hAnsi="Cambria Math"/>
                    </w:rPr>
                    <m:t>z</m:t>
                  </m:r>
                </m:e>
                <m:sub>
                  <m:r>
                    <w:rPr>
                      <w:rFonts w:ascii="Cambria Math"/>
                    </w:rPr>
                    <m:t>1</m:t>
                  </m:r>
                  <m:r>
                    <m:t>-</m:t>
                  </m:r>
                  <m:r>
                    <w:rPr>
                      <w:rFonts w:ascii="Cambria Math" w:hAnsi="Cambria Math"/>
                    </w:rPr>
                    <m:t>α</m:t>
                  </m:r>
                  <m:r>
                    <w:rPr>
                      <w:rFonts w:ascii="Cambria Math"/>
                    </w:rPr>
                    <m:t>/2</m:t>
                  </m:r>
                </m:sub>
              </m:sSub>
            </m:e>
          </m:d>
        </m:oMath>
      </m:oMathPara>
    </w:p>
    <w:p w:rsidR="00C43FAF" w:rsidRDefault="00C43FAF">
      <w:pPr>
        <w:pStyle w:val="BHNormal"/>
        <w:rPr>
          <w:szCs w:val="24"/>
        </w:rPr>
      </w:pPr>
    </w:p>
    <w:p w:rsidR="00C43FAF" w:rsidRDefault="003D0067">
      <w:pPr>
        <w:pStyle w:val="BHNormal"/>
        <w:rPr>
          <w:rFonts w:eastAsia="Times New Roman"/>
          <w:szCs w:val="24"/>
        </w:rPr>
      </w:pPr>
      <w:r w:rsidRPr="00B03154">
        <w:rPr>
          <w:szCs w:val="24"/>
        </w:rPr>
        <w:t xml:space="preserve">where </w:t>
      </w:r>
      <m:oMath>
        <m:r>
          <w:rPr>
            <w:rFonts w:ascii="Cambria Math" w:hAnsi="Cambria Math"/>
          </w:rPr>
          <m:t>SE</m:t>
        </m:r>
      </m:oMath>
      <w:r w:rsidRPr="00B03154">
        <w:rPr>
          <w:rFonts w:eastAsia="Times New Roman"/>
          <w:szCs w:val="24"/>
        </w:rPr>
        <w:t xml:space="preserve"> is the average standard error estimated from the simulations, </w:t>
      </w:r>
      <m:oMath>
        <m:r>
          <w:rPr>
            <w:rFonts w:ascii="Cambria Math" w:hAnsi="Cambria Math"/>
          </w:rPr>
          <m:t>P</m:t>
        </m:r>
      </m:oMath>
      <w:r w:rsidRPr="00B03154">
        <w:rPr>
          <w:rFonts w:eastAsia="Times New Roman"/>
          <w:szCs w:val="24"/>
        </w:rPr>
        <w:t xml:space="preserve"> is the power, </w:t>
      </w:r>
      <m:oMath>
        <m:r>
          <w:rPr>
            <w:rFonts w:ascii="Cambria Math" w:hAnsi="Cambria Math"/>
          </w:rPr>
          <m:t>α</m:t>
        </m:r>
      </m:oMath>
      <w:r w:rsidRPr="00B03154">
        <w:rPr>
          <w:rFonts w:eastAsia="Times New Roman"/>
          <w:szCs w:val="24"/>
        </w:rPr>
        <w:t xml:space="preserve"> is the significance level of the test, and </w:t>
      </w:r>
      <m:oMath>
        <m:sSub>
          <m:sSubPr>
            <m:ctrlPr>
              <w:rPr>
                <w:rFonts w:ascii="Cambria Math" w:hAnsi="Cambria Math"/>
                <w:i/>
              </w:rPr>
            </m:ctrlPr>
          </m:sSubPr>
          <m:e>
            <m:r>
              <w:rPr>
                <w:rFonts w:ascii="Cambria Math" w:hAnsi="Cambria Math"/>
              </w:rPr>
              <m:t>z</m:t>
            </m:r>
          </m:e>
          <m:sub>
            <m:r>
              <w:rPr>
                <w:rFonts w:ascii="Cambria Math" w:hAnsi="Cambria Math"/>
              </w:rPr>
              <m:t>u</m:t>
            </m:r>
          </m:sub>
        </m:sSub>
      </m:oMath>
      <w:r w:rsidRPr="00B03154">
        <w:rPr>
          <w:rFonts w:eastAsia="Times New Roman"/>
          <w:szCs w:val="24"/>
        </w:rPr>
        <w:t xml:space="preserve"> is the 100*</w:t>
      </w:r>
      <w:proofErr w:type="spellStart"/>
      <w:r w:rsidRPr="00B03154">
        <w:rPr>
          <w:rFonts w:eastAsia="Times New Roman"/>
          <w:i/>
          <w:szCs w:val="24"/>
        </w:rPr>
        <w:t>u</w:t>
      </w:r>
      <w:r w:rsidRPr="00B03154">
        <w:rPr>
          <w:rFonts w:eastAsia="Times New Roman"/>
          <w:szCs w:val="24"/>
          <w:vertAlign w:val="superscript"/>
        </w:rPr>
        <w:t>th</w:t>
      </w:r>
      <w:proofErr w:type="spellEnd"/>
      <w:r w:rsidRPr="00B03154">
        <w:rPr>
          <w:rFonts w:eastAsia="Times New Roman"/>
          <w:i/>
          <w:szCs w:val="24"/>
        </w:rPr>
        <w:t xml:space="preserve"> </w:t>
      </w:r>
      <w:r w:rsidRPr="00B03154">
        <w:rPr>
          <w:rFonts w:eastAsia="Times New Roman"/>
          <w:szCs w:val="24"/>
        </w:rPr>
        <w:t>percentile from a standard normal distribution.</w:t>
      </w:r>
    </w:p>
    <w:p w:rsidR="00C43FAF" w:rsidRDefault="00C43FAF">
      <w:pPr>
        <w:pStyle w:val="BHNormal"/>
        <w:rPr>
          <w:rFonts w:eastAsia="Times New Roman"/>
          <w:szCs w:val="24"/>
        </w:rPr>
      </w:pPr>
    </w:p>
    <w:p w:rsidR="00C43FAF" w:rsidRDefault="003D0067">
      <w:pPr>
        <w:adjustRightInd w:val="0"/>
        <w:rPr>
          <w:sz w:val="24"/>
        </w:rPr>
      </w:pPr>
      <w:r w:rsidRPr="00B03154">
        <w:rPr>
          <w:sz w:val="24"/>
        </w:rPr>
        <w:t xml:space="preserve">In the cross-sectional power studies, we expect </w:t>
      </w:r>
      <w:r w:rsidR="00B60A89" w:rsidRPr="00B03154">
        <w:rPr>
          <w:sz w:val="24"/>
        </w:rPr>
        <w:t xml:space="preserve">to </w:t>
      </w:r>
      <w:r w:rsidRPr="00B03154">
        <w:rPr>
          <w:sz w:val="24"/>
        </w:rPr>
        <w:t xml:space="preserve">utilize </w:t>
      </w:r>
      <w:r w:rsidR="00B60A89" w:rsidRPr="00B03154">
        <w:rPr>
          <w:sz w:val="24"/>
        </w:rPr>
        <w:t xml:space="preserve">only </w:t>
      </w:r>
      <w:r w:rsidRPr="00B03154">
        <w:rPr>
          <w:sz w:val="24"/>
        </w:rPr>
        <w:t xml:space="preserve">the BMI data collected during the baseline home visit. </w:t>
      </w:r>
      <w:r w:rsidR="00212DA0" w:rsidRPr="00B03154">
        <w:rPr>
          <w:sz w:val="24"/>
        </w:rPr>
        <w:t xml:space="preserve"> </w:t>
      </w:r>
      <w:r w:rsidRPr="00B03154">
        <w:rPr>
          <w:sz w:val="24"/>
        </w:rPr>
        <w:t xml:space="preserve">There are no data available to examine changes over time. </w:t>
      </w:r>
      <w:r w:rsidR="00212DA0" w:rsidRPr="00B03154">
        <w:rPr>
          <w:sz w:val="24"/>
        </w:rPr>
        <w:t xml:space="preserve"> </w:t>
      </w:r>
      <w:r w:rsidRPr="00B03154">
        <w:rPr>
          <w:sz w:val="24"/>
        </w:rPr>
        <w:t xml:space="preserve">For the longitudinal study design, we expect 70 percent of the children to have medical records available that contain height and weight information. </w:t>
      </w:r>
      <w:r w:rsidR="0017080B" w:rsidRPr="0017080B">
        <w:rPr>
          <w:sz w:val="24"/>
        </w:rPr>
        <w:t xml:space="preserve"> The number and timing of the previous medical records were simulated from a Poisson process assuming that the average number of medical visits was two per year up until age </w:t>
      </w:r>
      <w:r w:rsidR="0047176E">
        <w:rPr>
          <w:sz w:val="24"/>
        </w:rPr>
        <w:t>three</w:t>
      </w:r>
      <w:r w:rsidR="0017080B" w:rsidRPr="0017080B">
        <w:rPr>
          <w:sz w:val="24"/>
        </w:rPr>
        <w:t xml:space="preserve">, one per year from ages </w:t>
      </w:r>
      <w:r w:rsidR="0047176E">
        <w:rPr>
          <w:sz w:val="24"/>
        </w:rPr>
        <w:t>three</w:t>
      </w:r>
      <w:r w:rsidR="0047176E" w:rsidRPr="0017080B">
        <w:rPr>
          <w:sz w:val="24"/>
        </w:rPr>
        <w:t xml:space="preserve"> </w:t>
      </w:r>
      <w:r w:rsidR="0017080B" w:rsidRPr="0017080B">
        <w:rPr>
          <w:sz w:val="24"/>
        </w:rPr>
        <w:t xml:space="preserve">to 10, and one every two years after age 10.  The pattern of medical visits </w:t>
      </w:r>
      <w:proofErr w:type="gramStart"/>
      <w:r w:rsidR="00402875">
        <w:rPr>
          <w:sz w:val="24"/>
        </w:rPr>
        <w:t>wa</w:t>
      </w:r>
      <w:r w:rsidR="0017080B" w:rsidRPr="0017080B">
        <w:rPr>
          <w:sz w:val="24"/>
        </w:rPr>
        <w:t>s allowed to be interrupted</w:t>
      </w:r>
      <w:proofErr w:type="gramEnd"/>
      <w:r w:rsidR="0017080B" w:rsidRPr="0017080B">
        <w:rPr>
          <w:sz w:val="24"/>
        </w:rPr>
        <w:t xml:space="preserve"> by a randomly drawn change in physician, since the study’s request for medical records will be sent to only one physician</w:t>
      </w:r>
      <w:r w:rsidR="001170AD">
        <w:rPr>
          <w:sz w:val="24"/>
        </w:rPr>
        <w:t xml:space="preserve"> per child participant</w:t>
      </w:r>
      <w:r w:rsidR="0017080B" w:rsidRPr="0017080B">
        <w:rPr>
          <w:sz w:val="24"/>
        </w:rPr>
        <w:t xml:space="preserve">.  For each simulated </w:t>
      </w:r>
      <w:r w:rsidR="00143FB2">
        <w:rPr>
          <w:sz w:val="24"/>
        </w:rPr>
        <w:t>participant</w:t>
      </w:r>
      <w:r w:rsidR="0017080B" w:rsidRPr="0017080B">
        <w:rPr>
          <w:sz w:val="24"/>
        </w:rPr>
        <w:t xml:space="preserve">, we selected the longest sequence of visits between any changes in physician as the data values to </w:t>
      </w:r>
      <w:proofErr w:type="gramStart"/>
      <w:r w:rsidR="0017080B" w:rsidRPr="0017080B">
        <w:rPr>
          <w:sz w:val="24"/>
        </w:rPr>
        <w:t>be analyzed</w:t>
      </w:r>
      <w:proofErr w:type="gramEnd"/>
      <w:r w:rsidR="0017080B" w:rsidRPr="0017080B">
        <w:rPr>
          <w:sz w:val="24"/>
        </w:rPr>
        <w:t>.</w:t>
      </w:r>
    </w:p>
    <w:p w:rsidR="00C43FAF" w:rsidRDefault="00C43FAF">
      <w:pPr>
        <w:adjustRightInd w:val="0"/>
        <w:rPr>
          <w:sz w:val="24"/>
        </w:rPr>
      </w:pPr>
    </w:p>
    <w:p w:rsidR="00C43FAF" w:rsidRDefault="0017080B">
      <w:pPr>
        <w:pStyle w:val="BHNormal"/>
        <w:rPr>
          <w:szCs w:val="24"/>
        </w:rPr>
      </w:pPr>
      <w:r w:rsidRPr="0017080B">
        <w:rPr>
          <w:szCs w:val="24"/>
        </w:rPr>
        <w:t xml:space="preserve">Each child </w:t>
      </w:r>
      <w:proofErr w:type="gramStart"/>
      <w:r w:rsidRPr="0017080B">
        <w:rPr>
          <w:szCs w:val="24"/>
        </w:rPr>
        <w:t>was assumed</w:t>
      </w:r>
      <w:proofErr w:type="gramEnd"/>
      <w:r w:rsidRPr="0017080B">
        <w:rPr>
          <w:szCs w:val="24"/>
        </w:rPr>
        <w:t xml:space="preserve"> to receive a baseline assessment of the binary measure of physical activity or nutrition.  For the cross-sectional analysis, this would be the only data </w:t>
      </w:r>
      <w:r w:rsidR="001170AD">
        <w:rPr>
          <w:szCs w:val="24"/>
        </w:rPr>
        <w:t xml:space="preserve">point </w:t>
      </w:r>
      <w:r w:rsidRPr="0017080B">
        <w:rPr>
          <w:szCs w:val="24"/>
        </w:rPr>
        <w:t xml:space="preserve">available.  For the longitudinal study design, we assumed that 70% of the children in each of the first 200 Wave 2 communities would have a follow-up assessment as planned, the timing and number of which </w:t>
      </w:r>
      <w:proofErr w:type="gramStart"/>
      <w:r w:rsidRPr="0017080B">
        <w:rPr>
          <w:szCs w:val="24"/>
        </w:rPr>
        <w:t>were simulated</w:t>
      </w:r>
      <w:proofErr w:type="gramEnd"/>
      <w:r w:rsidRPr="0017080B">
        <w:rPr>
          <w:szCs w:val="24"/>
        </w:rPr>
        <w:t xml:space="preserve"> exactly as specified in the proposed study design.  For children in the RIPA communities, follow-up assessments occurred two years and three years after the baseline </w:t>
      </w:r>
      <w:r w:rsidRPr="0017080B">
        <w:rPr>
          <w:szCs w:val="24"/>
        </w:rPr>
        <w:lastRenderedPageBreak/>
        <w:t>assessment.  For children in non-RIPA communities</w:t>
      </w:r>
      <w:r w:rsidR="00110B06" w:rsidRPr="00110B06">
        <w:rPr>
          <w:szCs w:val="24"/>
        </w:rPr>
        <w:t xml:space="preserve"> </w:t>
      </w:r>
      <w:r w:rsidR="00110B06">
        <w:rPr>
          <w:szCs w:val="24"/>
        </w:rPr>
        <w:t>sampled during t</w:t>
      </w:r>
      <w:r w:rsidR="00110B06" w:rsidRPr="00E233DC">
        <w:rPr>
          <w:szCs w:val="24"/>
        </w:rPr>
        <w:t>he first year</w:t>
      </w:r>
      <w:r w:rsidR="00110B06">
        <w:rPr>
          <w:szCs w:val="24"/>
        </w:rPr>
        <w:t xml:space="preserve"> of</w:t>
      </w:r>
      <w:r w:rsidR="00402875">
        <w:rPr>
          <w:szCs w:val="24"/>
        </w:rPr>
        <w:t xml:space="preserve"> Wave 2</w:t>
      </w:r>
      <w:r w:rsidR="00110B06">
        <w:rPr>
          <w:szCs w:val="24"/>
        </w:rPr>
        <w:t xml:space="preserve"> data collection</w:t>
      </w:r>
      <w:r w:rsidRPr="0017080B">
        <w:rPr>
          <w:szCs w:val="24"/>
        </w:rPr>
        <w:t xml:space="preserve">, a single follow-up assessment occurred two years after the baseline assessment.  For children in communities sampled in the second year, a single follow-up assessment occurred one year after the baseline assessment.  Children in </w:t>
      </w:r>
      <w:r w:rsidR="00402875">
        <w:rPr>
          <w:szCs w:val="24"/>
        </w:rPr>
        <w:t xml:space="preserve">the 75 </w:t>
      </w:r>
      <w:r w:rsidRPr="0017080B">
        <w:rPr>
          <w:szCs w:val="24"/>
        </w:rPr>
        <w:t xml:space="preserve">communities sampled in the third year </w:t>
      </w:r>
      <w:r w:rsidR="00402875">
        <w:rPr>
          <w:szCs w:val="24"/>
        </w:rPr>
        <w:t xml:space="preserve">of Wave 2 data collection </w:t>
      </w:r>
      <w:r w:rsidRPr="0017080B">
        <w:rPr>
          <w:szCs w:val="24"/>
        </w:rPr>
        <w:t>did not receive any follow-up assessment.</w:t>
      </w:r>
    </w:p>
    <w:p w:rsidR="00C43FAF" w:rsidRDefault="0017080B">
      <w:pPr>
        <w:adjustRightInd w:val="0"/>
        <w:rPr>
          <w:sz w:val="24"/>
        </w:rPr>
      </w:pPr>
      <w:r w:rsidRPr="0017080B">
        <w:rPr>
          <w:sz w:val="24"/>
        </w:rPr>
        <w:t xml:space="preserve"> </w:t>
      </w:r>
    </w:p>
    <w:p w:rsidR="00C43FAF" w:rsidRDefault="0017080B">
      <w:pPr>
        <w:adjustRightInd w:val="0"/>
        <w:rPr>
          <w:sz w:val="24"/>
        </w:rPr>
      </w:pPr>
      <w:r w:rsidRPr="0017080B">
        <w:rPr>
          <w:sz w:val="24"/>
        </w:rPr>
        <w:t xml:space="preserve">For the longitudinal analyses, we needed to develop a model that explains the change in program/policy intensity over time.  Program/policy intensity was assumed to follow a logistic curve with a slope that could be positive (allowing program intensity to increase over time) or negative (allowing program/policy intensity to decrease over time).  Each community’s slope </w:t>
      </w:r>
      <w:proofErr w:type="gramStart"/>
      <w:r w:rsidRPr="0017080B">
        <w:rPr>
          <w:sz w:val="24"/>
        </w:rPr>
        <w:t>was randomly sampled</w:t>
      </w:r>
      <w:proofErr w:type="gramEnd"/>
      <w:r w:rsidRPr="0017080B">
        <w:rPr>
          <w:sz w:val="24"/>
        </w:rPr>
        <w:t xml:space="preserve"> from a normal distribution with a mean of zero and a standard deviation of 1.25.  </w:t>
      </w:r>
    </w:p>
    <w:p w:rsidR="00C43FAF" w:rsidRDefault="00C43FAF">
      <w:pPr>
        <w:rPr>
          <w:sz w:val="24"/>
        </w:rPr>
      </w:pPr>
    </w:p>
    <w:p w:rsidR="00C43FAF" w:rsidRDefault="00C43FAF">
      <w:pPr>
        <w:rPr>
          <w:sz w:val="24"/>
        </w:rPr>
      </w:pPr>
    </w:p>
    <w:p w:rsidR="004116D2" w:rsidRDefault="0017080B" w:rsidP="00756E94">
      <w:pPr>
        <w:pStyle w:val="BHLevel2"/>
      </w:pPr>
      <w:bookmarkStart w:id="68" w:name="_Toc299107943"/>
      <w:bookmarkStart w:id="69" w:name="_Toc301448758"/>
      <w:r w:rsidRPr="0017080B">
        <w:t>B.2</w:t>
      </w:r>
      <w:r w:rsidRPr="0017080B">
        <w:tab/>
        <w:t>Procedures for the Collection of Information</w:t>
      </w:r>
      <w:bookmarkEnd w:id="68"/>
      <w:bookmarkEnd w:id="69"/>
    </w:p>
    <w:p w:rsidR="00AF1735" w:rsidRPr="00B03154" w:rsidRDefault="00AF1735" w:rsidP="00A76A72">
      <w:pPr>
        <w:tabs>
          <w:tab w:val="num" w:pos="630"/>
        </w:tabs>
        <w:rPr>
          <w:b/>
          <w:bCs/>
          <w:sz w:val="24"/>
        </w:rPr>
      </w:pPr>
    </w:p>
    <w:p w:rsidR="004116D2" w:rsidRDefault="00E873BE">
      <w:pPr>
        <w:pStyle w:val="proptext10"/>
        <w:spacing w:after="0"/>
        <w:rPr>
          <w:rFonts w:ascii="Times New Roman" w:hAnsi="Times New Roman" w:cs="Times New Roman"/>
          <w:sz w:val="24"/>
          <w:szCs w:val="24"/>
        </w:rPr>
      </w:pPr>
      <w:proofErr w:type="gramStart"/>
      <w:r w:rsidRPr="00B03154">
        <w:rPr>
          <w:rFonts w:ascii="Times New Roman" w:hAnsi="Times New Roman" w:cs="Times New Roman"/>
          <w:sz w:val="24"/>
          <w:szCs w:val="24"/>
        </w:rPr>
        <w:t xml:space="preserve">Data collection within the selected communities will be hierarchical by nature, and will include two primary components aimed at (1) documenting how childhood obesity programs and policies have evolved within the community over </w:t>
      </w:r>
      <w:r w:rsidR="00154DDF">
        <w:rPr>
          <w:rFonts w:ascii="Times New Roman" w:hAnsi="Times New Roman" w:cs="Times New Roman"/>
          <w:sz w:val="24"/>
          <w:szCs w:val="24"/>
        </w:rPr>
        <w:t>the previous ten years</w:t>
      </w:r>
      <w:r w:rsidRPr="00B03154">
        <w:rPr>
          <w:rFonts w:ascii="Times New Roman" w:hAnsi="Times New Roman" w:cs="Times New Roman"/>
          <w:sz w:val="24"/>
          <w:szCs w:val="24"/>
        </w:rPr>
        <w:t>, and (2) assess</w:t>
      </w:r>
      <w:r w:rsidR="00FD4447" w:rsidRPr="00B03154">
        <w:rPr>
          <w:rFonts w:ascii="Times New Roman" w:hAnsi="Times New Roman" w:cs="Times New Roman"/>
          <w:sz w:val="24"/>
          <w:szCs w:val="24"/>
        </w:rPr>
        <w:t>ing</w:t>
      </w:r>
      <w:r w:rsidRPr="00B03154">
        <w:rPr>
          <w:rFonts w:ascii="Times New Roman" w:hAnsi="Times New Roman" w:cs="Times New Roman"/>
          <w:sz w:val="24"/>
          <w:szCs w:val="24"/>
        </w:rPr>
        <w:t xml:space="preserve"> current anthropometrics (height, weight, BMI), physical activity, </w:t>
      </w:r>
      <w:r w:rsidR="00A6196C" w:rsidRPr="00B03154">
        <w:rPr>
          <w:rFonts w:ascii="Times New Roman" w:hAnsi="Times New Roman" w:cs="Times New Roman"/>
          <w:sz w:val="24"/>
          <w:szCs w:val="24"/>
        </w:rPr>
        <w:t>dietary behaviors</w:t>
      </w:r>
      <w:r w:rsidRPr="00B03154">
        <w:rPr>
          <w:rFonts w:ascii="Times New Roman" w:hAnsi="Times New Roman" w:cs="Times New Roman"/>
          <w:sz w:val="24"/>
          <w:szCs w:val="24"/>
        </w:rPr>
        <w:t xml:space="preserve">, a longitudinal history of BMI </w:t>
      </w:r>
      <w:r w:rsidR="00FD4447" w:rsidRPr="00B03154">
        <w:rPr>
          <w:rFonts w:ascii="Times New Roman" w:hAnsi="Times New Roman" w:cs="Times New Roman"/>
          <w:sz w:val="24"/>
          <w:szCs w:val="24"/>
        </w:rPr>
        <w:t>abstracted from</w:t>
      </w:r>
      <w:r w:rsidRPr="00B03154">
        <w:rPr>
          <w:rFonts w:ascii="Times New Roman" w:hAnsi="Times New Roman" w:cs="Times New Roman"/>
          <w:sz w:val="24"/>
          <w:szCs w:val="24"/>
        </w:rPr>
        <w:t xml:space="preserve"> medical records, and a variety of other important covariates and confounders </w:t>
      </w:r>
      <w:r w:rsidR="00FD4447" w:rsidRPr="00B03154">
        <w:rPr>
          <w:rFonts w:ascii="Times New Roman" w:hAnsi="Times New Roman" w:cs="Times New Roman"/>
          <w:sz w:val="24"/>
          <w:szCs w:val="24"/>
        </w:rPr>
        <w:t>on a representative sample of children from within the community</w:t>
      </w:r>
      <w:r w:rsidRPr="00380D19">
        <w:rPr>
          <w:rFonts w:ascii="Times New Roman" w:hAnsi="Times New Roman" w:cs="Times New Roman"/>
          <w:sz w:val="24"/>
          <w:szCs w:val="24"/>
        </w:rPr>
        <w:t>.</w:t>
      </w:r>
      <w:proofErr w:type="gramEnd"/>
      <w:r w:rsidRPr="00380D19">
        <w:rPr>
          <w:rFonts w:ascii="Times New Roman" w:hAnsi="Times New Roman" w:cs="Times New Roman"/>
          <w:sz w:val="24"/>
          <w:szCs w:val="24"/>
        </w:rPr>
        <w:t xml:space="preserve"> This data collection will occur </w:t>
      </w:r>
      <w:r w:rsidR="0017080B" w:rsidRPr="00380D19">
        <w:rPr>
          <w:rFonts w:ascii="Times New Roman" w:hAnsi="Times New Roman" w:cs="Times New Roman"/>
          <w:sz w:val="24"/>
          <w:szCs w:val="24"/>
        </w:rPr>
        <w:t>over a 3.5</w:t>
      </w:r>
      <w:r w:rsidR="0017080B" w:rsidRPr="00380D19">
        <w:rPr>
          <w:rFonts w:ascii="Times New Roman" w:hAnsi="Times New Roman" w:cs="Times New Roman"/>
          <w:sz w:val="24"/>
          <w:szCs w:val="24"/>
        </w:rPr>
        <w:noBreakHyphen/>
        <w:t>year period.  Figure B.2.1 provides an overview of data collection activities, with additional detail provided in the supporting documentation.</w:t>
      </w:r>
      <w:r w:rsidR="0017080B" w:rsidRPr="0017080B">
        <w:rPr>
          <w:rFonts w:ascii="Times New Roman" w:hAnsi="Times New Roman" w:cs="Times New Roman"/>
          <w:sz w:val="24"/>
          <w:szCs w:val="24"/>
        </w:rPr>
        <w:t xml:space="preserve">  </w:t>
      </w:r>
    </w:p>
    <w:p w:rsidR="00180985" w:rsidRDefault="00180985">
      <w:pPr>
        <w:pStyle w:val="proptext10"/>
        <w:spacing w:after="0"/>
        <w:rPr>
          <w:rFonts w:ascii="Times New Roman" w:hAnsi="Times New Roman" w:cs="Times New Roman"/>
          <w:sz w:val="24"/>
          <w:szCs w:val="24"/>
        </w:rPr>
      </w:pPr>
    </w:p>
    <w:p w:rsidR="004116D2" w:rsidRDefault="0017080B">
      <w:pPr>
        <w:pStyle w:val="Style1sub-headings"/>
        <w:spacing w:before="0" w:line="240" w:lineRule="auto"/>
        <w:ind w:firstLine="0"/>
      </w:pPr>
      <w:bookmarkStart w:id="70" w:name="_Toc299107944"/>
      <w:bookmarkStart w:id="71" w:name="_Toc301448535"/>
      <w:bookmarkStart w:id="72" w:name="_Toc301448670"/>
      <w:bookmarkStart w:id="73" w:name="_Toc301448759"/>
      <w:bookmarkStart w:id="74" w:name="_Toc301448826"/>
      <w:r w:rsidRPr="00180985">
        <w:lastRenderedPageBreak/>
        <w:t>Figure B.2.1</w:t>
      </w:r>
      <w:r w:rsidR="00E94F72" w:rsidRPr="00180985">
        <w:t xml:space="preserve"> </w:t>
      </w:r>
      <w:r w:rsidRPr="00180985">
        <w:t xml:space="preserve">  HCS Primary Data Collection Activities in Wave 2</w:t>
      </w:r>
      <w:bookmarkEnd w:id="70"/>
      <w:bookmarkEnd w:id="71"/>
      <w:bookmarkEnd w:id="72"/>
      <w:bookmarkEnd w:id="73"/>
      <w:bookmarkEnd w:id="74"/>
      <w:r w:rsidR="00180985" w:rsidRPr="00180985">
        <w:t>, 2012-2015</w:t>
      </w:r>
    </w:p>
    <w:p w:rsidR="00180985" w:rsidRDefault="00180985" w:rsidP="00180985">
      <w:pPr>
        <w:pStyle w:val="Style1sub-headings"/>
        <w:spacing w:before="0" w:line="240" w:lineRule="auto"/>
        <w:ind w:left="0" w:firstLine="0"/>
      </w:pPr>
    </w:p>
    <w:p w:rsidR="00E94F72" w:rsidRPr="00B03154" w:rsidRDefault="003957AA" w:rsidP="00A76A72">
      <w:pPr>
        <w:rPr>
          <w:bCs/>
          <w:sz w:val="24"/>
        </w:rPr>
      </w:pPr>
      <w:r w:rsidRPr="003957AA">
        <w:rPr>
          <w:bCs/>
          <w:noProof/>
          <w:sz w:val="24"/>
        </w:rPr>
        <w:drawing>
          <wp:inline distT="0" distB="0" distL="0" distR="0">
            <wp:extent cx="5943600" cy="4570730"/>
            <wp:effectExtent l="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39050" cy="5874514"/>
                      <a:chOff x="1098550" y="910461"/>
                      <a:chExt cx="7639050" cy="5874514"/>
                    </a:xfrm>
                  </a:grpSpPr>
                  <a:sp>
                    <a:nvSpPr>
                      <a:cNvPr id="6147" name="Slide Number Placeholder 3"/>
                      <a:cNvSpPr>
                        <a:spLocks noGrp="1"/>
                      </a:cNvSpPr>
                    </a:nvSpPr>
                    <a:spPr bwMode="auto">
                      <a:xfrm>
                        <a:off x="6553200" y="6451600"/>
                        <a:ext cx="2133600" cy="333375"/>
                      </a:xfrm>
                      <a:prstGeom prst="rect">
                        <a:avLst/>
                      </a:prstGeom>
                      <a:ln>
                        <a:miter lim="800000"/>
                        <a:headEnd/>
                        <a:tailEnd/>
                      </a:ln>
                    </a:spPr>
                    <a:txSp>
                      <a:txBody>
                        <a:bodyPr>
                          <a:prstTxWarp prst="textNoShape">
                            <a:avLst/>
                          </a:prstTxWarp>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algn="r">
                            <a:defRPr/>
                          </a:pPr>
                          <a:fld id="{F4305A46-0FF6-4D51-A795-D8431578774A}" type="slidenum">
                            <a:rPr lang="en-US" sz="900">
                              <a:solidFill>
                                <a:srgbClr val="FFFFFF"/>
                              </a:solidFill>
                              <a:latin typeface="+mn-lt"/>
                              <a:ea typeface="+mn-ea"/>
                              <a:cs typeface="+mn-cs"/>
                            </a:rPr>
                            <a:pPr algn="r">
                              <a:defRPr/>
                            </a:pPr>
                            <a:t>1</a:t>
                          </a:fld>
                          <a:endParaRPr lang="en-US" sz="900">
                            <a:solidFill>
                              <a:srgbClr val="FFFFFF"/>
                            </a:solidFill>
                            <a:latin typeface="+mn-lt"/>
                            <a:ea typeface="+mn-ea"/>
                            <a:cs typeface="+mn-cs"/>
                          </a:endParaRPr>
                        </a:p>
                      </a:txBody>
                      <a:useSpRect/>
                    </a:txSp>
                  </a:sp>
                  <a:sp>
                    <a:nvSpPr>
                      <a:cNvPr id="2" name="Rectangle 6"/>
                      <a:cNvSpPr>
                        <a:spLocks noChangeArrowheads="1"/>
                      </a:cNvSpPr>
                    </a:nvSpPr>
                    <a:spPr bwMode="auto">
                      <a:xfrm>
                        <a:off x="1871663" y="6288088"/>
                        <a:ext cx="184150" cy="457200"/>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endParaRPr lang="en-US"/>
                        </a:p>
                      </a:txBody>
                      <a:useSpRect/>
                    </a:txSp>
                  </a:sp>
                  <a:sp>
                    <a:nvSpPr>
                      <a:cNvPr id="6" name="Rectangle 5"/>
                      <a:cNvSpPr/>
                    </a:nvSpPr>
                    <a:spPr>
                      <a:xfrm>
                        <a:off x="1174750" y="910461"/>
                        <a:ext cx="3505200" cy="242295"/>
                      </a:xfrm>
                      <a:prstGeom prst="rect">
                        <a:avLst/>
                      </a:prstGeom>
                      <a:solidFill>
                        <a:schemeClr val="accent1">
                          <a:lumMod val="75000"/>
                        </a:schemeClr>
                      </a:solidFill>
                    </a:spPr>
                    <a:txSp>
                      <a:txBody>
                        <a:bodyPr wrap="none" anchor="t">
                          <a:no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a:spcAft>
                              <a:spcPts val="0"/>
                            </a:spcAft>
                          </a:pPr>
                          <a:r>
                            <a:rPr lang="en-US" sz="1100" b="1" dirty="0" smtClean="0">
                              <a:solidFill>
                                <a:schemeClr val="bg1"/>
                              </a:solidFill>
                              <a:latin typeface="+mj-lt"/>
                              <a:cs typeface="Verdana"/>
                            </a:rPr>
                            <a:t>﻿Home Interviews </a:t>
                          </a:r>
                        </a:p>
                      </a:txBody>
                      <a:useSpRect/>
                    </a:txSp>
                  </a:sp>
                  <a:sp>
                    <a:nvSpPr>
                      <a:cNvPr id="8" name="Rectangle 7"/>
                      <a:cNvSpPr/>
                    </a:nvSpPr>
                    <a:spPr>
                      <a:xfrm>
                        <a:off x="4973353" y="910461"/>
                        <a:ext cx="3764247" cy="233910"/>
                      </a:xfrm>
                      <a:prstGeom prst="rect">
                        <a:avLst/>
                      </a:prstGeom>
                      <a:solidFill>
                        <a:schemeClr val="accent1">
                          <a:lumMod val="75000"/>
                        </a:schemeClr>
                      </a:solidFill>
                    </a:spPr>
                    <a:txSp>
                      <a:txBody>
                        <a:bodyPr wrap="square" lIns="91440" tIns="18288" anchor="t">
                          <a:sp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a:spcAft>
                              <a:spcPts val="0"/>
                            </a:spcAft>
                          </a:pPr>
                          <a:r>
                            <a:rPr lang="en-US" sz="1100" b="1" dirty="0" smtClean="0">
                              <a:solidFill>
                                <a:schemeClr val="bg1"/>
                              </a:solidFill>
                              <a:latin typeface="+mj-lt"/>
                              <a:cs typeface="Verdana"/>
                            </a:rPr>
                            <a:t>﻿﻿Community and Environmental </a:t>
                          </a:r>
                          <a:r>
                            <a:rPr lang="en-US" sz="1100" b="1" dirty="0" smtClean="0">
                              <a:solidFill>
                                <a:schemeClr val="bg1"/>
                              </a:solidFill>
                              <a:latin typeface="+mj-lt"/>
                              <a:cs typeface="Verdana"/>
                            </a:rPr>
                            <a:t>Assessments</a:t>
                          </a:r>
                          <a:endParaRPr lang="en-US" sz="1100" b="1" dirty="0" smtClean="0">
                            <a:solidFill>
                              <a:schemeClr val="bg1"/>
                            </a:solidFill>
                            <a:latin typeface="+mj-lt"/>
                            <a:cs typeface="Verdana"/>
                          </a:endParaRPr>
                        </a:p>
                      </a:txBody>
                      <a:useSpRect/>
                    </a:txSp>
                  </a:sp>
                  <a:sp>
                    <a:nvSpPr>
                      <a:cNvPr id="9" name="TextBox 8"/>
                      <a:cNvSpPr txBox="1"/>
                    </a:nvSpPr>
                    <a:spPr>
                      <a:xfrm>
                        <a:off x="1198563" y="1334628"/>
                        <a:ext cx="1714500" cy="1856232"/>
                      </a:xfrm>
                      <a:prstGeom prst="rect">
                        <a:avLst/>
                      </a:prstGeom>
                      <a:noFill/>
                      <a:ln w="12700">
                        <a:solidFill>
                          <a:schemeClr val="accent1">
                            <a:lumMod val="75000"/>
                          </a:schemeClr>
                        </a:solidFill>
                      </a:ln>
                    </a:spPr>
                    <a:txSp>
                      <a:txBody>
                        <a:bodyPr wrap="square" lIns="91440" tIns="64008" rtlCol="0" anchor="t" anchorCtr="0">
                          <a:no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a:spcAft>
                              <a:spcPts val="0"/>
                            </a:spcAft>
                          </a:pPr>
                          <a:r>
                            <a:rPr lang="en-US" sz="1000" b="1" dirty="0" smtClean="0">
                              <a:solidFill>
                                <a:schemeClr val="accent1">
                                  <a:lumMod val="75000"/>
                                </a:schemeClr>
                              </a:solidFill>
                              <a:latin typeface="+mj-lt"/>
                              <a:cs typeface="Helvetica"/>
                            </a:rPr>
                            <a:t>Standard Protocol</a:t>
                          </a:r>
                          <a:endParaRPr lang="en-US" sz="1000" dirty="0" smtClean="0">
                            <a:solidFill>
                              <a:schemeClr val="accent1">
                                <a:lumMod val="75000"/>
                              </a:schemeClr>
                            </a:solidFill>
                            <a:latin typeface="+mj-lt"/>
                            <a:cs typeface="Helvetica"/>
                          </a:endParaRPr>
                        </a:p>
                        <a:p>
                          <a:pPr>
                            <a:buFont typeface="Arial"/>
                            <a:buChar char="•"/>
                          </a:pPr>
                          <a:r>
                            <a:rPr lang="en-US" sz="1000" dirty="0" smtClean="0">
                              <a:latin typeface="+mj-lt"/>
                              <a:cs typeface="Helvetica"/>
                            </a:rPr>
                            <a:t>  BMI/anthropometry</a:t>
                          </a:r>
                        </a:p>
                        <a:p>
                          <a:pPr>
                            <a:buFont typeface="Arial"/>
                            <a:buChar char="•"/>
                          </a:pPr>
                          <a:r>
                            <a:rPr lang="en-US" sz="1000" dirty="0" smtClean="0">
                              <a:latin typeface="+mj-lt"/>
                              <a:cs typeface="Helvetica"/>
                            </a:rPr>
                            <a:t>  Diet/PA questions  </a:t>
                          </a:r>
                        </a:p>
                        <a:p>
                          <a:pPr>
                            <a:buFont typeface="Arial"/>
                            <a:buChar char="•"/>
                          </a:pPr>
                          <a:r>
                            <a:rPr lang="en-US" sz="1000" dirty="0" smtClean="0">
                              <a:latin typeface="+mj-lt"/>
                              <a:cs typeface="Helvetica"/>
                            </a:rPr>
                            <a:t>  Medical history</a:t>
                          </a:r>
                        </a:p>
                        <a:p>
                          <a:pPr>
                            <a:buFont typeface="Arial"/>
                            <a:buChar char="•"/>
                          </a:pPr>
                          <a:r>
                            <a:rPr lang="en-US" sz="1000" dirty="0" smtClean="0">
                              <a:latin typeface="+mj-lt"/>
                              <a:cs typeface="Helvetica"/>
                            </a:rPr>
                            <a:t>  Behaviors/attitudes</a:t>
                          </a:r>
                        </a:p>
                        <a:p>
                          <a:pPr>
                            <a:buFont typeface="Arial"/>
                            <a:buChar char="•"/>
                          </a:pPr>
                          <a:r>
                            <a:rPr lang="en-US" sz="1000" dirty="0" smtClean="0">
                              <a:latin typeface="+mj-lt"/>
                              <a:cs typeface="Helvetica"/>
                            </a:rPr>
                            <a:t>  Request for medical </a:t>
                          </a:r>
                          <a:br>
                            <a:rPr lang="en-US" sz="1000" dirty="0" smtClean="0">
                              <a:latin typeface="+mj-lt"/>
                              <a:cs typeface="Helvetica"/>
                            </a:rPr>
                          </a:br>
                          <a:r>
                            <a:rPr lang="en-US" sz="1000" dirty="0" smtClean="0">
                              <a:latin typeface="+mj-lt"/>
                              <a:cs typeface="Helvetica"/>
                            </a:rPr>
                            <a:t>      record </a:t>
                          </a:r>
                          <a:r>
                            <a:rPr lang="en-US" sz="1000" dirty="0" smtClean="0">
                              <a:latin typeface="+mj-lt"/>
                              <a:cs typeface="Helvetica"/>
                            </a:rPr>
                            <a:t>review</a:t>
                          </a:r>
                        </a:p>
                        <a:p>
                          <a:pPr>
                            <a:buFont typeface="Arial"/>
                            <a:buChar char="•"/>
                          </a:pPr>
                          <a:endParaRPr lang="en-US" sz="1000" dirty="0" smtClean="0">
                            <a:latin typeface="+mj-lt"/>
                            <a:cs typeface="Helvetica"/>
                          </a:endParaRPr>
                        </a:p>
                        <a:p>
                          <a:pPr>
                            <a:buFont typeface="Arial"/>
                            <a:buChar char="•"/>
                          </a:pPr>
                          <a:r>
                            <a:rPr lang="en-US" sz="1000" dirty="0" smtClean="0">
                              <a:latin typeface="+mj-lt"/>
                              <a:cs typeface="Helvetica"/>
                            </a:rPr>
                            <a:t>  5 Question Windshield</a:t>
                          </a:r>
                          <a:br>
                            <a:rPr lang="en-US" sz="1000" dirty="0" smtClean="0">
                              <a:latin typeface="+mj-lt"/>
                              <a:cs typeface="Helvetica"/>
                            </a:rPr>
                          </a:br>
                          <a:r>
                            <a:rPr lang="en-US" sz="1000" dirty="0" smtClean="0">
                              <a:latin typeface="+mj-lt"/>
                              <a:cs typeface="Helvetica"/>
                            </a:rPr>
                            <a:t>      Survey just outside</a:t>
                          </a:r>
                          <a:br>
                            <a:rPr lang="en-US" sz="1000" dirty="0" smtClean="0">
                              <a:latin typeface="+mj-lt"/>
                              <a:cs typeface="Helvetica"/>
                            </a:rPr>
                          </a:br>
                          <a:r>
                            <a:rPr lang="en-US" sz="1000" dirty="0" smtClean="0">
                              <a:latin typeface="+mj-lt"/>
                              <a:cs typeface="Helvetica"/>
                            </a:rPr>
                            <a:t>      home</a:t>
                          </a:r>
                          <a:endParaRPr lang="en-US" sz="1000" dirty="0">
                            <a:solidFill>
                              <a:srgbClr val="6A689B"/>
                            </a:solidFill>
                            <a:latin typeface="+mj-lt"/>
                            <a:cs typeface="Helvetica"/>
                          </a:endParaRPr>
                        </a:p>
                      </a:txBody>
                      <a:useSpRect/>
                    </a:txSp>
                  </a:sp>
                  <a:sp>
                    <a:nvSpPr>
                      <a:cNvPr id="11" name="TextBox 10"/>
                      <a:cNvSpPr txBox="1"/>
                    </a:nvSpPr>
                    <a:spPr>
                      <a:xfrm>
                        <a:off x="2965450" y="1334628"/>
                        <a:ext cx="1714500" cy="1856232"/>
                      </a:xfrm>
                      <a:prstGeom prst="rect">
                        <a:avLst/>
                      </a:prstGeom>
                      <a:noFill/>
                      <a:ln w="12700">
                        <a:solidFill>
                          <a:schemeClr val="accent1">
                            <a:lumMod val="75000"/>
                          </a:schemeClr>
                        </a:solidFill>
                      </a:ln>
                    </a:spPr>
                    <a:txSp>
                      <a:txBody>
                        <a:bodyPr wrap="square" lIns="91440" tIns="64008" rtlCol="0" anchor="t" anchorCtr="0">
                          <a:no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a:spcAft>
                              <a:spcPts val="0"/>
                            </a:spcAft>
                          </a:pPr>
                          <a:r>
                            <a:rPr lang="en-US" sz="1000" b="1" dirty="0" smtClean="0">
                              <a:solidFill>
                                <a:schemeClr val="accent1">
                                  <a:lumMod val="75000"/>
                                </a:schemeClr>
                              </a:solidFill>
                              <a:latin typeface="+mj-lt"/>
                              <a:cs typeface="Helvetica"/>
                            </a:rPr>
                            <a:t>Enhanced Protocol</a:t>
                          </a:r>
                        </a:p>
                        <a:p>
                          <a:r>
                            <a:rPr lang="en-US" sz="1000" dirty="0" smtClean="0">
                              <a:latin typeface="+mj-lt"/>
                              <a:cs typeface="Helvetica"/>
                            </a:rPr>
                            <a:t>Standard protocol </a:t>
                          </a:r>
                          <a:r>
                            <a:rPr lang="en-US" sz="1000" i="1" dirty="0" smtClean="0">
                              <a:latin typeface="+mj-lt"/>
                              <a:cs typeface="Helvetica"/>
                            </a:rPr>
                            <a:t>plus</a:t>
                          </a:r>
                        </a:p>
                        <a:p>
                          <a:pPr>
                            <a:buFont typeface="Arial" pitchFamily="34" charset="0"/>
                            <a:buChar char="•"/>
                          </a:pPr>
                          <a:r>
                            <a:rPr lang="en-US" sz="1000" dirty="0" smtClean="0">
                              <a:latin typeface="+mj-lt"/>
                              <a:cs typeface="Helvetica"/>
                            </a:rPr>
                            <a:t>  ASA 24 at first visit and a </a:t>
                          </a:r>
                          <a:br>
                            <a:rPr lang="en-US" sz="1000" dirty="0" smtClean="0">
                              <a:latin typeface="+mj-lt"/>
                              <a:cs typeface="Helvetica"/>
                            </a:rPr>
                          </a:br>
                          <a:r>
                            <a:rPr lang="en-US" sz="1000" dirty="0" smtClean="0">
                              <a:latin typeface="+mj-lt"/>
                              <a:cs typeface="Helvetica"/>
                            </a:rPr>
                            <a:t>      repeat visit 1-week later</a:t>
                          </a:r>
                        </a:p>
                        <a:p>
                          <a:pPr>
                            <a:buFont typeface="Arial" pitchFamily="34" charset="0"/>
                            <a:buChar char="•"/>
                          </a:pPr>
                          <a:r>
                            <a:rPr lang="en-US" sz="1000" dirty="0" smtClean="0">
                              <a:latin typeface="+mj-lt"/>
                              <a:cs typeface="Helvetica"/>
                            </a:rPr>
                            <a:t>  PA recall questions</a:t>
                          </a:r>
                        </a:p>
                        <a:p>
                          <a:pPr>
                            <a:buFont typeface="Arial"/>
                            <a:buChar char="•"/>
                          </a:pPr>
                          <a:r>
                            <a:rPr lang="en-US" sz="1000" dirty="0" smtClean="0">
                              <a:latin typeface="+mj-lt"/>
                              <a:cs typeface="Helvetica"/>
                            </a:rPr>
                            <a:t>  Accelerometers used over </a:t>
                          </a:r>
                          <a:r>
                            <a:rPr lang="en-US" sz="1000" dirty="0" smtClean="0">
                              <a:latin typeface="+mj-lt"/>
                              <a:cs typeface="Helvetica"/>
                            </a:rPr>
                            <a:t>1-week </a:t>
                          </a:r>
                          <a:r>
                            <a:rPr lang="en-US" sz="1000" dirty="0" smtClean="0">
                              <a:latin typeface="+mj-lt"/>
                              <a:cs typeface="Helvetica"/>
                            </a:rPr>
                            <a:t>period</a:t>
                          </a:r>
                        </a:p>
                        <a:p>
                          <a:pPr>
                            <a:buFont typeface="Arial"/>
                            <a:buChar char="•"/>
                          </a:pPr>
                          <a:endParaRPr lang="en-US" sz="950" dirty="0">
                            <a:solidFill>
                              <a:srgbClr val="6A689B"/>
                            </a:solidFill>
                            <a:latin typeface="Helvetica"/>
                            <a:cs typeface="Helvetica"/>
                          </a:endParaRPr>
                        </a:p>
                      </a:txBody>
                      <a:useSpRect/>
                    </a:txSp>
                  </a:sp>
                  <a:sp>
                    <a:nvSpPr>
                      <a:cNvPr id="12" name="TextBox 11"/>
                      <a:cNvSpPr txBox="1"/>
                    </a:nvSpPr>
                    <a:spPr>
                      <a:xfrm>
                        <a:off x="1174750" y="3555711"/>
                        <a:ext cx="7562850" cy="787023"/>
                      </a:xfrm>
                      <a:prstGeom prst="rect">
                        <a:avLst/>
                      </a:prstGeom>
                      <a:noFill/>
                      <a:ln w="12700">
                        <a:solidFill>
                          <a:schemeClr val="accent1">
                            <a:lumMod val="75000"/>
                          </a:schemeClr>
                        </a:solidFill>
                      </a:ln>
                    </a:spPr>
                    <a:txSp>
                      <a:txBody>
                        <a:bodyPr wrap="square" lIns="91440" tIns="91440" numCol="2" spcCol="274320" rtlCol="0" anchor="t" anchorCtr="0">
                          <a:no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a:spcAft>
                              <a:spcPts val="0"/>
                            </a:spcAft>
                          </a:pPr>
                          <a:r>
                            <a:rPr lang="en-US" sz="1000" dirty="0" err="1" smtClean="0">
                              <a:latin typeface="+mj-lt"/>
                              <a:cs typeface="Helvetica"/>
                            </a:rPr>
                            <a:t>﻿</a:t>
                          </a:r>
                          <a:r>
                            <a:rPr lang="en-US" sz="1000" dirty="0" smtClean="0">
                              <a:latin typeface="+mj-lt"/>
                              <a:cs typeface="Helvetica"/>
                            </a:rPr>
                            <a:t>•  Telephone/web-based data collection</a:t>
                          </a:r>
                        </a:p>
                        <a:p>
                          <a:pPr>
                            <a:spcAft>
                              <a:spcPts val="0"/>
                            </a:spcAft>
                          </a:pPr>
                          <a:r>
                            <a:rPr lang="en-US" sz="1000" dirty="0" smtClean="0">
                              <a:latin typeface="+mj-lt"/>
                              <a:cs typeface="Helvetica"/>
                            </a:rPr>
                            <a:t>•  Medical history</a:t>
                          </a:r>
                        </a:p>
                        <a:p>
                          <a:pPr>
                            <a:spcAft>
                              <a:spcPts val="0"/>
                            </a:spcAft>
                            <a:buFont typeface="Arial"/>
                            <a:buChar char="•"/>
                          </a:pPr>
                          <a:r>
                            <a:rPr lang="en-US" sz="1000" dirty="0" smtClean="0">
                              <a:latin typeface="+mj-lt"/>
                              <a:cs typeface="Helvetica"/>
                            </a:rPr>
                            <a:t>  Diet/PA questions</a:t>
                          </a:r>
                        </a:p>
                        <a:p>
                          <a:pPr>
                            <a:spcAft>
                              <a:spcPts val="0"/>
                            </a:spcAft>
                          </a:pPr>
                          <a:r>
                            <a:rPr lang="en-US" sz="1000" dirty="0" smtClean="0">
                              <a:latin typeface="+mj-lt"/>
                              <a:cs typeface="Helvetica"/>
                            </a:rPr>
                            <a:t>•  Behaviors/attitudes</a:t>
                          </a:r>
                        </a:p>
                        <a:p>
                          <a:pPr>
                            <a:spcAft>
                              <a:spcPts val="0"/>
                            </a:spcAft>
                          </a:pPr>
                          <a:r>
                            <a:rPr lang="en-US" sz="1000" dirty="0" smtClean="0">
                              <a:latin typeface="+mj-lt"/>
                              <a:cs typeface="Helvetica"/>
                            </a:rPr>
                            <a:t>•  Key informant interviews</a:t>
                          </a:r>
                        </a:p>
                        <a:p>
                          <a:pPr>
                            <a:spcAft>
                              <a:spcPts val="0"/>
                            </a:spcAft>
                          </a:pPr>
                          <a:r>
                            <a:rPr lang="en-US" sz="1000" dirty="0" smtClean="0">
                              <a:latin typeface="+mj-lt"/>
                              <a:cs typeface="Helvetica"/>
                            </a:rPr>
                            <a:t>•  E-mail of survey to school food personnel</a:t>
                          </a:r>
                        </a:p>
                        <a:p>
                          <a:pPr>
                            <a:spcAft>
                              <a:spcPts val="0"/>
                            </a:spcAft>
                          </a:pPr>
                          <a:endParaRPr lang="en-US" sz="1000" dirty="0" smtClean="0">
                            <a:latin typeface="+mj-lt"/>
                            <a:cs typeface="Helvetica"/>
                          </a:endParaRPr>
                        </a:p>
                        <a:p>
                          <a:pPr>
                            <a:spcAft>
                              <a:spcPts val="0"/>
                            </a:spcAft>
                          </a:pPr>
                          <a:endParaRPr lang="en-US" sz="1000" dirty="0">
                            <a:latin typeface="+mj-lt"/>
                            <a:cs typeface="Helvetica"/>
                          </a:endParaRPr>
                        </a:p>
                      </a:txBody>
                      <a:useSpRect/>
                    </a:txSp>
                  </a:sp>
                  <a:sp>
                    <a:nvSpPr>
                      <a:cNvPr id="15" name="TextBox 14"/>
                      <a:cNvSpPr txBox="1"/>
                    </a:nvSpPr>
                    <a:spPr>
                      <a:xfrm>
                        <a:off x="4978400" y="1334628"/>
                        <a:ext cx="3759200" cy="1856232"/>
                      </a:xfrm>
                      <a:prstGeom prst="rect">
                        <a:avLst/>
                      </a:prstGeom>
                      <a:noFill/>
                      <a:ln w="12700">
                        <a:solidFill>
                          <a:schemeClr val="accent1">
                            <a:lumMod val="75000"/>
                          </a:schemeClr>
                        </a:solidFill>
                      </a:ln>
                    </a:spPr>
                    <a:txSp>
                      <a:txBody>
                        <a:bodyPr wrap="square" rtlCol="0">
                          <a:no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r>
                            <a:rPr lang="en-US" sz="1000" b="1" dirty="0" err="1" smtClean="0">
                              <a:latin typeface="+mj-lt"/>
                              <a:cs typeface="Helvetica"/>
                            </a:rPr>
                            <a:t>﻿Key</a:t>
                          </a:r>
                          <a:r>
                            <a:rPr lang="en-US" sz="1000" b="1" dirty="0" smtClean="0">
                              <a:latin typeface="+mj-lt"/>
                              <a:cs typeface="Helvetica"/>
                            </a:rPr>
                            <a:t> Informant Interviews</a:t>
                          </a:r>
                        </a:p>
                        <a:p>
                          <a:r>
                            <a:rPr lang="en-US" sz="1000" dirty="0" smtClean="0">
                              <a:latin typeface="+mj-lt"/>
                              <a:cs typeface="Helvetica"/>
                            </a:rPr>
                            <a:t>•  10-15 key informants in each community</a:t>
                          </a:r>
                        </a:p>
                        <a:p>
                          <a:r>
                            <a:rPr lang="en-US" sz="1000" dirty="0" smtClean="0">
                              <a:latin typeface="+mj-lt"/>
                              <a:cs typeface="Helvetica"/>
                            </a:rPr>
                            <a:t>•  In-person when possible / CATI otherwise</a:t>
                          </a:r>
                        </a:p>
                        <a:p>
                          <a:r>
                            <a:rPr lang="en-US" sz="1000" dirty="0" smtClean="0">
                              <a:latin typeface="+mj-lt"/>
                              <a:cs typeface="Helvetica"/>
                            </a:rPr>
                            <a:t>•  Document review of schools/community programs/policies</a:t>
                          </a:r>
                        </a:p>
                        <a:p>
                          <a:pPr>
                            <a:spcAft>
                              <a:spcPts val="600"/>
                            </a:spcAft>
                          </a:pPr>
                          <a:r>
                            <a:rPr lang="en-US" sz="1000" dirty="0" smtClean="0">
                              <a:latin typeface="+mj-lt"/>
                              <a:cs typeface="Helvetica"/>
                            </a:rPr>
                            <a:t>•  Assess history of programs/policies collected since </a:t>
                          </a:r>
                          <a:r>
                            <a:rPr lang="en-US" sz="1000" dirty="0" smtClean="0">
                              <a:latin typeface="+mj-lt"/>
                              <a:cs typeface="Helvetica"/>
                            </a:rPr>
                            <a:t>2002 </a:t>
                          </a:r>
                          <a:endParaRPr lang="en-US" sz="1000" dirty="0" smtClean="0">
                            <a:latin typeface="+mj-lt"/>
                            <a:cs typeface="Helvetica"/>
                          </a:endParaRPr>
                        </a:p>
                        <a:p>
                          <a:r>
                            <a:rPr lang="en-US" sz="1000" b="1" dirty="0" smtClean="0">
                              <a:latin typeface="+mj-lt"/>
                              <a:cs typeface="Helvetica"/>
                            </a:rPr>
                            <a:t>Community and Environmental Assessments</a:t>
                          </a:r>
                        </a:p>
                        <a:p>
                          <a:r>
                            <a:rPr lang="en-US" sz="1000" dirty="0" smtClean="0">
                              <a:latin typeface="+mj-lt"/>
                              <a:cs typeface="Helvetica"/>
                            </a:rPr>
                            <a:t>•  Observations in 4 schools (2 Elementary, 2 Middle)</a:t>
                          </a:r>
                        </a:p>
                        <a:p>
                          <a:r>
                            <a:rPr lang="en-US" sz="1000" dirty="0" smtClean="0">
                              <a:latin typeface="+mj-lt"/>
                              <a:cs typeface="Helvetica"/>
                            </a:rPr>
                            <a:t>      •  Lunchrooms observed</a:t>
                          </a:r>
                        </a:p>
                        <a:p>
                          <a:r>
                            <a:rPr lang="en-US" sz="1000" dirty="0" smtClean="0">
                              <a:latin typeface="+mj-lt"/>
                              <a:cs typeface="Helvetica"/>
                            </a:rPr>
                            <a:t>      •  Self-admin survey for school food personnel</a:t>
                          </a:r>
                        </a:p>
                        <a:p>
                          <a:r>
                            <a:rPr lang="en-US" sz="1000" dirty="0" smtClean="0">
                              <a:latin typeface="+mj-lt"/>
                              <a:cs typeface="Helvetica"/>
                            </a:rPr>
                            <a:t>      •  Interview of physical education personnel</a:t>
                          </a:r>
                        </a:p>
                        <a:p>
                          <a:r>
                            <a:rPr lang="en-US" sz="1000" dirty="0" smtClean="0">
                              <a:latin typeface="+mj-lt"/>
                              <a:cs typeface="Helvetica"/>
                            </a:rPr>
                            <a:t>      •  PARA survey administered at school for PA</a:t>
                          </a:r>
                        </a:p>
                        <a:p>
                          <a:endParaRPr lang="en-US" sz="1000" dirty="0">
                            <a:latin typeface="+mj-lt"/>
                            <a:cs typeface="Helvetica"/>
                          </a:endParaRPr>
                        </a:p>
                      </a:txBody>
                      <a:useSpRect/>
                    </a:txSp>
                  </a:sp>
                  <a:sp>
                    <a:nvSpPr>
                      <a:cNvPr id="17" name="TextBox 16"/>
                      <a:cNvSpPr txBox="1"/>
                    </a:nvSpPr>
                    <a:spPr>
                      <a:xfrm>
                        <a:off x="1181099" y="4959304"/>
                        <a:ext cx="3498851" cy="978358"/>
                      </a:xfrm>
                      <a:prstGeom prst="rect">
                        <a:avLst/>
                      </a:prstGeom>
                      <a:noFill/>
                      <a:ln>
                        <a:solidFill>
                          <a:schemeClr val="tx2">
                            <a:lumMod val="50000"/>
                          </a:schemeClr>
                        </a:solidFill>
                      </a:ln>
                    </a:spPr>
                    <a:txSp>
                      <a:txBody>
                        <a:bodyPr wrap="square" lIns="91440" tIns="91440" rtlCol="0" anchor="t" anchorCtr="0">
                          <a:no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a:spcAft>
                              <a:spcPts val="0"/>
                            </a:spcAft>
                            <a:buFont typeface="Arial"/>
                            <a:buChar char="•"/>
                          </a:pPr>
                          <a:r>
                            <a:rPr lang="en-US" sz="1000" dirty="0" err="1" smtClean="0">
                              <a:latin typeface="+mj-lt"/>
                              <a:cs typeface="Helvetica"/>
                            </a:rPr>
                            <a:t>﻿</a:t>
                          </a:r>
                          <a:r>
                            <a:rPr lang="en-US" sz="1000" dirty="0" smtClean="0">
                              <a:latin typeface="+mj-lt"/>
                              <a:cs typeface="Helvetica"/>
                            </a:rPr>
                            <a:t>  Repeat in-person assessment 3-years following baseline</a:t>
                          </a:r>
                        </a:p>
                        <a:p>
                          <a:pPr>
                            <a:spcAft>
                              <a:spcPts val="0"/>
                            </a:spcAft>
                            <a:buFont typeface="Arial"/>
                            <a:buChar char="•"/>
                          </a:pPr>
                          <a:r>
                            <a:rPr lang="en-US" sz="1000" dirty="0" smtClean="0">
                              <a:latin typeface="+mj-lt"/>
                              <a:cs typeface="Helvetica"/>
                            </a:rPr>
                            <a:t>  Standard/enhanced assessments on child/parent     </a:t>
                          </a:r>
                          <a:br>
                            <a:rPr lang="en-US" sz="1000" dirty="0" smtClean="0">
                              <a:latin typeface="+mj-lt"/>
                              <a:cs typeface="Helvetica"/>
                            </a:rPr>
                          </a:br>
                          <a:r>
                            <a:rPr lang="en-US" sz="1000" dirty="0" smtClean="0">
                              <a:latin typeface="+mj-lt"/>
                              <a:cs typeface="Helvetica"/>
                            </a:rPr>
                            <a:t>       participants</a:t>
                          </a:r>
                        </a:p>
                        <a:p>
                          <a:pPr>
                            <a:spcAft>
                              <a:spcPts val="0"/>
                            </a:spcAft>
                            <a:buFont typeface="Arial"/>
                            <a:buChar char="•"/>
                          </a:pPr>
                          <a:r>
                            <a:rPr lang="en-US" sz="1000" dirty="0" smtClean="0">
                              <a:latin typeface="+mj-lt"/>
                              <a:cs typeface="Helvetica"/>
                            </a:rPr>
                            <a:t>  Limited validation of geographic data via direct observation</a:t>
                          </a:r>
                          <a:endParaRPr lang="en-US" sz="1000" dirty="0">
                            <a:solidFill>
                              <a:srgbClr val="6A689B"/>
                            </a:solidFill>
                            <a:latin typeface="+mj-lt"/>
                            <a:cs typeface="Helvetica"/>
                          </a:endParaRPr>
                        </a:p>
                      </a:txBody>
                      <a:useSpRect/>
                    </a:txSp>
                  </a:sp>
                  <a:sp>
                    <a:nvSpPr>
                      <a:cNvPr id="18" name="TextBox 17"/>
                      <a:cNvSpPr txBox="1"/>
                    </a:nvSpPr>
                    <a:spPr>
                      <a:xfrm>
                        <a:off x="5130140" y="4959304"/>
                        <a:ext cx="3607460" cy="978358"/>
                      </a:xfrm>
                      <a:prstGeom prst="rect">
                        <a:avLst/>
                      </a:prstGeom>
                      <a:noFill/>
                      <a:ln>
                        <a:solidFill>
                          <a:schemeClr val="tx2">
                            <a:lumMod val="50000"/>
                          </a:schemeClr>
                        </a:solidFill>
                      </a:ln>
                    </a:spPr>
                    <a:txSp>
                      <a:txBody>
                        <a:bodyPr wrap="square" lIns="91440" tIns="91440" rtlCol="0" anchor="t" anchorCtr="0">
                          <a:no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a:spcAft>
                              <a:spcPts val="0"/>
                            </a:spcAft>
                            <a:buFont typeface="Arial"/>
                            <a:buChar char="•"/>
                          </a:pPr>
                          <a:r>
                            <a:rPr lang="en-US" sz="1000" dirty="0" smtClean="0">
                              <a:latin typeface="+mj-lt"/>
                              <a:cs typeface="Helvetica"/>
                            </a:rPr>
                            <a:t>﻿  PARA on sample of community centers, parks, trails</a:t>
                          </a:r>
                        </a:p>
                        <a:p>
                          <a:pPr>
                            <a:spcAft>
                              <a:spcPts val="0"/>
                            </a:spcAft>
                            <a:buFont typeface="Arial"/>
                            <a:buChar char="•"/>
                          </a:pPr>
                          <a:r>
                            <a:rPr lang="en-US" sz="1000" dirty="0" smtClean="0">
                              <a:latin typeface="+mj-lt"/>
                              <a:cs typeface="Helvetica"/>
                            </a:rPr>
                            <a:t>  Community key Informant interviews/community observations</a:t>
                          </a:r>
                        </a:p>
                        <a:p>
                          <a:pPr>
                            <a:spcAft>
                              <a:spcPts val="0"/>
                            </a:spcAft>
                            <a:buFont typeface="Arial"/>
                            <a:buChar char="•"/>
                          </a:pPr>
                          <a:r>
                            <a:rPr lang="en-US" sz="1000" dirty="0" smtClean="0">
                              <a:latin typeface="+mj-lt"/>
                              <a:cs typeface="Helvetica"/>
                            </a:rPr>
                            <a:t>  Quarterly assessments of community program and policy</a:t>
                          </a:r>
                          <a:br>
                            <a:rPr lang="en-US" sz="1000" dirty="0" smtClean="0">
                              <a:latin typeface="+mj-lt"/>
                              <a:cs typeface="Helvetica"/>
                            </a:rPr>
                          </a:br>
                          <a:r>
                            <a:rPr lang="en-US" sz="1000" dirty="0" smtClean="0">
                              <a:latin typeface="+mj-lt"/>
                              <a:cs typeface="Helvetica"/>
                            </a:rPr>
                            <a:t>       changes</a:t>
                          </a:r>
                          <a:r>
                            <a:rPr lang="en-US" sz="950" dirty="0" smtClean="0">
                              <a:latin typeface="Helvetica"/>
                              <a:cs typeface="Helvetica"/>
                            </a:rPr>
                            <a:t/>
                          </a:r>
                          <a:br>
                            <a:rPr lang="en-US" sz="950" dirty="0" smtClean="0">
                              <a:latin typeface="Helvetica"/>
                              <a:cs typeface="Helvetica"/>
                            </a:rPr>
                          </a:br>
                          <a:endParaRPr lang="en-US" sz="950" dirty="0" smtClean="0">
                            <a:latin typeface="Helvetica"/>
                            <a:cs typeface="Helvetica"/>
                          </a:endParaRPr>
                        </a:p>
                      </a:txBody>
                      <a:useSpRect/>
                    </a:txSp>
                  </a:sp>
                  <a:sp>
                    <a:nvSpPr>
                      <a:cNvPr id="16" name="TextBox 15"/>
                      <a:cNvSpPr txBox="1"/>
                    </a:nvSpPr>
                    <a:spPr>
                      <a:xfrm>
                        <a:off x="1174750" y="4472471"/>
                        <a:ext cx="7562850" cy="292156"/>
                      </a:xfrm>
                      <a:prstGeom prst="rect">
                        <a:avLst/>
                      </a:prstGeom>
                      <a:solidFill>
                        <a:schemeClr val="accent1">
                          <a:lumMod val="75000"/>
                        </a:schemeClr>
                      </a:solidFill>
                    </a:spPr>
                    <a:txSp>
                      <a:txBody>
                        <a:bodyPr wrap="square" rtlCol="0">
                          <a:no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r>
                            <a:rPr lang="en-US" sz="1200" b="1" dirty="0" err="1" smtClean="0">
                              <a:solidFill>
                                <a:schemeClr val="bg1"/>
                              </a:solidFill>
                              <a:latin typeface="Verdana"/>
                              <a:cs typeface="Verdana"/>
                            </a:rPr>
                            <a:t>﻿</a:t>
                          </a:r>
                          <a:r>
                            <a:rPr lang="en-US" sz="1100" b="1" dirty="0" err="1" smtClean="0">
                              <a:solidFill>
                                <a:schemeClr val="bg1"/>
                              </a:solidFill>
                              <a:latin typeface="+mj-lt"/>
                              <a:cs typeface="Verdana"/>
                            </a:rPr>
                            <a:t>Repeat</a:t>
                          </a:r>
                          <a:r>
                            <a:rPr lang="en-US" sz="1100" b="1" dirty="0" smtClean="0">
                              <a:solidFill>
                                <a:schemeClr val="bg1"/>
                              </a:solidFill>
                              <a:latin typeface="+mj-lt"/>
                              <a:cs typeface="Verdana"/>
                            </a:rPr>
                            <a:t> in-person Assessment (RIPA) Communities  </a:t>
                          </a:r>
                          <a:r>
                            <a:rPr lang="en-US" sz="800" b="1" dirty="0" smtClean="0">
                              <a:solidFill>
                                <a:schemeClr val="bg1"/>
                              </a:solidFill>
                              <a:latin typeface="Verdana"/>
                              <a:cs typeface="Verdana"/>
                            </a:rPr>
                            <a:t>First 40 Communities Visited</a:t>
                          </a:r>
                        </a:p>
                      </a:txBody>
                      <a:useSpRect/>
                    </a:txSp>
                  </a:sp>
                  <a:sp>
                    <a:nvSpPr>
                      <a:cNvPr id="23" name="TextBox 22"/>
                      <a:cNvSpPr txBox="1"/>
                    </a:nvSpPr>
                    <a:spPr>
                      <a:xfrm>
                        <a:off x="1098550" y="1143594"/>
                        <a:ext cx="3579813" cy="246221"/>
                      </a:xfrm>
                      <a:prstGeom prst="rect">
                        <a:avLst/>
                      </a:prstGeom>
                      <a:noFill/>
                    </a:spPr>
                    <a:txSp>
                      <a:txBody>
                        <a:bodyPr wrap="square" rtlCol="0">
                          <a:sp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algn="ctr"/>
                          <a:r>
                            <a:rPr lang="en-US" sz="1000" b="1" dirty="0" smtClean="0">
                              <a:solidFill>
                                <a:srgbClr val="2A3473"/>
                              </a:solidFill>
                              <a:latin typeface="+mj-lt"/>
                              <a:cs typeface="Verdana"/>
                            </a:rPr>
                            <a:t>Baseline in all 275 communities</a:t>
                          </a:r>
                          <a:endParaRPr lang="en-US" sz="1000" b="1" dirty="0">
                            <a:solidFill>
                              <a:srgbClr val="2A3473"/>
                            </a:solidFill>
                            <a:latin typeface="+mj-lt"/>
                          </a:endParaRPr>
                        </a:p>
                      </a:txBody>
                      <a:useSpRect/>
                    </a:txSp>
                  </a:sp>
                  <a:sp>
                    <a:nvSpPr>
                      <a:cNvPr id="25" name="TextBox 24"/>
                      <a:cNvSpPr txBox="1"/>
                    </a:nvSpPr>
                    <a:spPr>
                      <a:xfrm>
                        <a:off x="4978400" y="1143593"/>
                        <a:ext cx="3759200" cy="246221"/>
                      </a:xfrm>
                      <a:prstGeom prst="rect">
                        <a:avLst/>
                      </a:prstGeom>
                      <a:noFill/>
                    </a:spPr>
                    <a:txSp>
                      <a:txBody>
                        <a:bodyPr wrap="square" rtlCol="0">
                          <a:sp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lvl="1" algn="ctr"/>
                          <a:r>
                            <a:rPr lang="en-US" sz="1000" b="1" dirty="0" smtClean="0">
                              <a:solidFill>
                                <a:srgbClr val="2A3473"/>
                              </a:solidFill>
                              <a:latin typeface="+mj-lt"/>
                              <a:cs typeface="Verdana"/>
                            </a:rPr>
                            <a:t>Baseline in all 275 communities</a:t>
                          </a:r>
                          <a:endParaRPr lang="en-US" sz="1000" b="1" dirty="0">
                            <a:solidFill>
                              <a:srgbClr val="2A3473"/>
                            </a:solidFill>
                            <a:latin typeface="+mj-lt"/>
                          </a:endParaRPr>
                        </a:p>
                      </a:txBody>
                      <a:useSpRect/>
                    </a:txSp>
                  </a:sp>
                  <a:sp>
                    <a:nvSpPr>
                      <a:cNvPr id="26" name="TextBox 25"/>
                      <a:cNvSpPr txBox="1"/>
                    </a:nvSpPr>
                    <a:spPr>
                      <a:xfrm>
                        <a:off x="1181100" y="3308823"/>
                        <a:ext cx="7556500" cy="246888"/>
                      </a:xfrm>
                      <a:prstGeom prst="rect">
                        <a:avLst/>
                      </a:prstGeom>
                      <a:solidFill>
                        <a:schemeClr val="accent1">
                          <a:lumMod val="75000"/>
                        </a:schemeClr>
                      </a:solidFill>
                    </a:spPr>
                    <a:txSp>
                      <a:txBody>
                        <a:bodyPr wrap="square" tIns="18288" rtlCol="0">
                          <a:no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r>
                            <a:rPr lang="en-US" sz="1100" b="1" dirty="0" err="1" smtClean="0">
                              <a:solidFill>
                                <a:schemeClr val="bg1"/>
                              </a:solidFill>
                              <a:latin typeface="+mj-lt"/>
                              <a:cs typeface="Verdana"/>
                            </a:rPr>
                            <a:t>﻿Remote</a:t>
                          </a:r>
                          <a:r>
                            <a:rPr lang="en-US" sz="1100" b="1" dirty="0" smtClean="0">
                              <a:solidFill>
                                <a:schemeClr val="bg1"/>
                              </a:solidFill>
                              <a:latin typeface="+mj-lt"/>
                              <a:cs typeface="Verdana"/>
                            </a:rPr>
                            <a:t> Follow-up Activities </a:t>
                          </a:r>
                          <a:r>
                            <a:rPr lang="en-US" sz="1000" dirty="0" smtClean="0">
                              <a:solidFill>
                                <a:schemeClr val="bg1"/>
                              </a:solidFill>
                              <a:latin typeface="+mj-lt"/>
                              <a:cs typeface="Verdana"/>
                            </a:rPr>
                            <a:t>First 200 of 275 Communities</a:t>
                          </a:r>
                        </a:p>
                      </a:txBody>
                      <a:useSpRect/>
                    </a:txSp>
                  </a:sp>
                  <a:sp>
                    <a:nvSpPr>
                      <a:cNvPr id="27" name="TextBox 26"/>
                      <a:cNvSpPr txBox="1"/>
                    </a:nvSpPr>
                    <a:spPr>
                      <a:xfrm>
                        <a:off x="1181100" y="4751927"/>
                        <a:ext cx="7556499" cy="246221"/>
                      </a:xfrm>
                      <a:prstGeom prst="rect">
                        <a:avLst/>
                      </a:prstGeom>
                      <a:noFill/>
                    </a:spPr>
                    <a:txSp>
                      <a:txBody>
                        <a:bodyPr wrap="square" rtlCol="0">
                          <a:spAutoFit/>
                        </a:bodyPr>
                        <a:lstStyle>
                          <a:defPPr>
                            <a:defRPr lang="en-US"/>
                          </a:defPPr>
                          <a:lvl1pPr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1pPr>
                          <a:lvl2pPr marL="4572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2pPr>
                          <a:lvl3pPr marL="9144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3pPr>
                          <a:lvl4pPr marL="13716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4pPr>
                          <a:lvl5pPr marL="1828800" algn="l" defTabSz="457200" rtl="0" fontAlgn="base">
                            <a:spcBef>
                              <a:spcPct val="0"/>
                            </a:spcBef>
                            <a:spcAft>
                              <a:spcPct val="0"/>
                            </a:spcAft>
                            <a:defRPr sz="2400" kern="1200">
                              <a:solidFill>
                                <a:schemeClr val="tx1"/>
                              </a:solidFill>
                              <a:latin typeface="Arial" charset="0"/>
                              <a:ea typeface="ＭＳ Ｐゴシック" charset="0"/>
                              <a:cs typeface="ＭＳ Ｐゴシック" charset="0"/>
                            </a:defRPr>
                          </a:lvl5pPr>
                          <a:lvl6pPr marL="2286000" algn="l" defTabSz="457200" rtl="0" eaLnBrk="1" latinLnBrk="0" hangingPunct="1">
                            <a:defRPr sz="2400" kern="1200">
                              <a:solidFill>
                                <a:schemeClr val="tx1"/>
                              </a:solidFill>
                              <a:latin typeface="Arial" charset="0"/>
                              <a:ea typeface="ＭＳ Ｐゴシック" charset="0"/>
                              <a:cs typeface="ＭＳ Ｐゴシック" charset="0"/>
                            </a:defRPr>
                          </a:lvl6pPr>
                          <a:lvl7pPr marL="2743200" algn="l" defTabSz="457200" rtl="0" eaLnBrk="1" latinLnBrk="0" hangingPunct="1">
                            <a:defRPr sz="2400" kern="1200">
                              <a:solidFill>
                                <a:schemeClr val="tx1"/>
                              </a:solidFill>
                              <a:latin typeface="Arial" charset="0"/>
                              <a:ea typeface="ＭＳ Ｐゴシック" charset="0"/>
                              <a:cs typeface="ＭＳ Ｐゴシック" charset="0"/>
                            </a:defRPr>
                          </a:lvl7pPr>
                          <a:lvl8pPr marL="3200400" algn="l" defTabSz="457200" rtl="0" eaLnBrk="1" latinLnBrk="0" hangingPunct="1">
                            <a:defRPr sz="2400" kern="1200">
                              <a:solidFill>
                                <a:schemeClr val="tx1"/>
                              </a:solidFill>
                              <a:latin typeface="Arial" charset="0"/>
                              <a:ea typeface="ＭＳ Ｐゴシック" charset="0"/>
                              <a:cs typeface="ＭＳ Ｐゴシック" charset="0"/>
                            </a:defRPr>
                          </a:lvl8pPr>
                          <a:lvl9pPr marL="3657600" algn="l" defTabSz="457200" rtl="0" eaLnBrk="1" latinLnBrk="0" hangingPunct="1">
                            <a:defRPr sz="2400" kern="1200">
                              <a:solidFill>
                                <a:schemeClr val="tx1"/>
                              </a:solidFill>
                              <a:latin typeface="Arial" charset="0"/>
                              <a:ea typeface="ＭＳ Ｐゴシック" charset="0"/>
                              <a:cs typeface="ＭＳ Ｐゴシック" charset="0"/>
                            </a:defRPr>
                          </a:lvl9pPr>
                        </a:lstStyle>
                        <a:p>
                          <a:pPr lvl="1" algn="ctr"/>
                          <a:r>
                            <a:rPr lang="en-US" sz="1000" b="1" dirty="0" smtClean="0">
                              <a:solidFill>
                                <a:srgbClr val="2A3473"/>
                              </a:solidFill>
                              <a:latin typeface="+mj-lt"/>
                              <a:cs typeface="Verdana"/>
                            </a:rPr>
                            <a:t>Baseline assessment includes all home assessments above </a:t>
                          </a:r>
                          <a:r>
                            <a:rPr lang="en-US" sz="1000" b="1" i="1" dirty="0" smtClean="0">
                              <a:solidFill>
                                <a:srgbClr val="2A3473"/>
                              </a:solidFill>
                              <a:latin typeface="+mj-lt"/>
                              <a:cs typeface="Verdana"/>
                            </a:rPr>
                            <a:t>plus</a:t>
                          </a:r>
                          <a:endParaRPr lang="en-US" sz="1000" b="1" i="1" dirty="0">
                            <a:solidFill>
                              <a:srgbClr val="2A3473"/>
                            </a:solidFill>
                            <a:latin typeface="+mj-lt"/>
                          </a:endParaRPr>
                        </a:p>
                      </a:txBody>
                      <a:useSpRect/>
                    </a:txSp>
                  </a:sp>
                </lc:lockedCanvas>
              </a:graphicData>
            </a:graphic>
          </wp:inline>
        </w:drawing>
      </w:r>
    </w:p>
    <w:p w:rsidR="000E5BF2" w:rsidRDefault="000E5BF2" w:rsidP="00756E94">
      <w:pPr>
        <w:pStyle w:val="BHLevel3"/>
      </w:pPr>
      <w:bookmarkStart w:id="75" w:name="_Toc299107945"/>
      <w:bookmarkStart w:id="76" w:name="_Toc301448671"/>
      <w:bookmarkStart w:id="77" w:name="_Toc301448760"/>
      <w:bookmarkStart w:id="78" w:name="_Toc301448827"/>
    </w:p>
    <w:p w:rsidR="004116D2" w:rsidRDefault="00AD1E7E" w:rsidP="00756E94">
      <w:pPr>
        <w:pStyle w:val="BHLevel3"/>
      </w:pPr>
      <w:r w:rsidRPr="00B03154">
        <w:t>B.2.a</w:t>
      </w:r>
      <w:r w:rsidRPr="00B03154">
        <w:tab/>
        <w:t>Community-Level Data Collection</w:t>
      </w:r>
      <w:bookmarkEnd w:id="75"/>
      <w:bookmarkEnd w:id="76"/>
      <w:bookmarkEnd w:id="77"/>
      <w:bookmarkEnd w:id="78"/>
    </w:p>
    <w:p w:rsidR="004116D2" w:rsidRPr="00756E94" w:rsidRDefault="00AD1E7E" w:rsidP="00756E94">
      <w:pPr>
        <w:adjustRightInd w:val="0"/>
        <w:rPr>
          <w:sz w:val="24"/>
        </w:rPr>
      </w:pPr>
      <w:r w:rsidRPr="00756E94">
        <w:rPr>
          <w:sz w:val="24"/>
        </w:rPr>
        <w:t xml:space="preserve">Data collection at the community level will include a retrospective and prospective review of programs and policies to (1) document </w:t>
      </w:r>
      <w:proofErr w:type="gramStart"/>
      <w:r w:rsidRPr="00756E94">
        <w:rPr>
          <w:sz w:val="24"/>
        </w:rPr>
        <w:t xml:space="preserve">how childhood obesity programs and policies have evolved within the community over </w:t>
      </w:r>
      <w:r w:rsidR="00154DDF" w:rsidRPr="00756E94">
        <w:rPr>
          <w:sz w:val="24"/>
        </w:rPr>
        <w:t>the previous ten years</w:t>
      </w:r>
      <w:r w:rsidRPr="00756E94">
        <w:rPr>
          <w:sz w:val="24"/>
        </w:rPr>
        <w:t>, and (2) how these programs</w:t>
      </w:r>
      <w:proofErr w:type="gramEnd"/>
      <w:r w:rsidRPr="00756E94">
        <w:rPr>
          <w:sz w:val="24"/>
        </w:rPr>
        <w:t xml:space="preserve"> continue to evolve during our study period. </w:t>
      </w:r>
      <w:r w:rsidR="007E00AB" w:rsidRPr="00756E94">
        <w:rPr>
          <w:sz w:val="24"/>
        </w:rPr>
        <w:t xml:space="preserve"> D</w:t>
      </w:r>
      <w:r w:rsidRPr="00756E94">
        <w:rPr>
          <w:sz w:val="24"/>
        </w:rPr>
        <w:t>ocumentation of the evolution of programs and policies within communities will occur via key informant interviews using multiple modes of data collection (telephone</w:t>
      </w:r>
      <w:r w:rsidR="0017080B" w:rsidRPr="00756E94">
        <w:rPr>
          <w:sz w:val="24"/>
        </w:rPr>
        <w:t xml:space="preserve"> interviews, web-based questionnaires, in-person meetings).  In addition, these interviews </w:t>
      </w:r>
      <w:proofErr w:type="gramStart"/>
      <w:r w:rsidR="0017080B" w:rsidRPr="00756E94">
        <w:rPr>
          <w:sz w:val="24"/>
        </w:rPr>
        <w:t>will be supplemented</w:t>
      </w:r>
      <w:proofErr w:type="gramEnd"/>
      <w:r w:rsidR="0017080B" w:rsidRPr="00756E94">
        <w:rPr>
          <w:sz w:val="24"/>
        </w:rPr>
        <w:t xml:space="preserve"> by document retrieval and abstraction by research staff.  Please refer to SSA Attachment 1</w:t>
      </w:r>
      <w:r w:rsidR="00BF2907">
        <w:rPr>
          <w:sz w:val="24"/>
        </w:rPr>
        <w:t>4</w:t>
      </w:r>
      <w:r w:rsidR="0017080B" w:rsidRPr="00756E94">
        <w:rPr>
          <w:sz w:val="24"/>
        </w:rPr>
        <w:t xml:space="preserve"> for the key informant interview </w:t>
      </w:r>
      <w:r w:rsidR="00BF2907">
        <w:rPr>
          <w:sz w:val="24"/>
        </w:rPr>
        <w:t xml:space="preserve">protocol. </w:t>
      </w:r>
      <w:r w:rsidR="0017080B" w:rsidRPr="00756E94">
        <w:rPr>
          <w:sz w:val="24"/>
        </w:rPr>
        <w:t xml:space="preserve"> </w:t>
      </w:r>
    </w:p>
    <w:p w:rsidR="004116D2" w:rsidRPr="00756E94" w:rsidRDefault="004116D2" w:rsidP="00756E94">
      <w:pPr>
        <w:adjustRightInd w:val="0"/>
        <w:rPr>
          <w:sz w:val="24"/>
        </w:rPr>
      </w:pPr>
    </w:p>
    <w:p w:rsidR="004116D2" w:rsidRPr="00756E94" w:rsidRDefault="00AD1E7E" w:rsidP="00756E94">
      <w:pPr>
        <w:pStyle w:val="BHNormal"/>
        <w:rPr>
          <w:szCs w:val="24"/>
        </w:rPr>
      </w:pPr>
      <w:r w:rsidRPr="00756E94">
        <w:rPr>
          <w:szCs w:val="24"/>
        </w:rPr>
        <w:t>Data collection at the community level will also include assessments of the broader community</w:t>
      </w:r>
      <w:r w:rsidR="00D40D5A">
        <w:rPr>
          <w:szCs w:val="24"/>
        </w:rPr>
        <w:t>,</w:t>
      </w:r>
      <w:r w:rsidRPr="00756E94">
        <w:rPr>
          <w:szCs w:val="24"/>
        </w:rPr>
        <w:t xml:space="preserve"> </w:t>
      </w:r>
      <w:r w:rsidR="00B61304" w:rsidRPr="00756E94">
        <w:rPr>
          <w:szCs w:val="24"/>
        </w:rPr>
        <w:t xml:space="preserve">as described in </w:t>
      </w:r>
      <w:r w:rsidR="00607BE8">
        <w:rPr>
          <w:szCs w:val="24"/>
        </w:rPr>
        <w:t>S</w:t>
      </w:r>
      <w:r w:rsidR="00B61304" w:rsidRPr="00756E94">
        <w:rPr>
          <w:szCs w:val="24"/>
        </w:rPr>
        <w:t>ection B.2.a.3 below.</w:t>
      </w:r>
      <w:r w:rsidRPr="00756E94">
        <w:rPr>
          <w:szCs w:val="24"/>
        </w:rPr>
        <w:t xml:space="preserve">  </w:t>
      </w:r>
    </w:p>
    <w:p w:rsidR="004116D2" w:rsidRDefault="00A318C5" w:rsidP="00A318C5">
      <w:pPr>
        <w:pStyle w:val="BHNormal"/>
        <w:tabs>
          <w:tab w:val="left" w:pos="7671"/>
        </w:tabs>
        <w:rPr>
          <w:szCs w:val="24"/>
        </w:rPr>
      </w:pPr>
      <w:r>
        <w:rPr>
          <w:szCs w:val="24"/>
        </w:rPr>
        <w:tab/>
      </w:r>
    </w:p>
    <w:p w:rsidR="00A318C5" w:rsidRDefault="00A318C5" w:rsidP="00A318C5">
      <w:pPr>
        <w:pStyle w:val="BHNormal"/>
        <w:tabs>
          <w:tab w:val="left" w:pos="7671"/>
        </w:tabs>
        <w:rPr>
          <w:szCs w:val="24"/>
        </w:rPr>
      </w:pPr>
    </w:p>
    <w:p w:rsidR="004116D2" w:rsidRPr="00756E94" w:rsidRDefault="00AD1E7E" w:rsidP="00756E94">
      <w:pPr>
        <w:pStyle w:val="BHNormal"/>
        <w:rPr>
          <w:b/>
          <w:i/>
          <w:szCs w:val="24"/>
        </w:rPr>
      </w:pPr>
      <w:bookmarkStart w:id="79" w:name="_Toc299107946"/>
      <w:r w:rsidRPr="00756E94">
        <w:rPr>
          <w:b/>
          <w:i/>
          <w:szCs w:val="24"/>
        </w:rPr>
        <w:t>B.2.a.1   Document Review</w:t>
      </w:r>
      <w:bookmarkEnd w:id="79"/>
    </w:p>
    <w:p w:rsidR="004116D2" w:rsidRPr="00756E94" w:rsidRDefault="00AD1E7E" w:rsidP="00756E94">
      <w:pPr>
        <w:pStyle w:val="BHNormal"/>
        <w:rPr>
          <w:szCs w:val="24"/>
        </w:rPr>
      </w:pPr>
      <w:r w:rsidRPr="00756E94">
        <w:rPr>
          <w:szCs w:val="24"/>
        </w:rPr>
        <w:t xml:space="preserve">One component of this data collection will be the initial gathering and comprehensive review and documentation of program and policy-related information. </w:t>
      </w:r>
      <w:r w:rsidR="001205E1" w:rsidRPr="00756E94">
        <w:rPr>
          <w:szCs w:val="24"/>
        </w:rPr>
        <w:t xml:space="preserve"> </w:t>
      </w:r>
      <w:r w:rsidRPr="00756E94">
        <w:rPr>
          <w:szCs w:val="24"/>
        </w:rPr>
        <w:t xml:space="preserve">During our baseline key informant </w:t>
      </w:r>
      <w:r w:rsidRPr="00756E94">
        <w:rPr>
          <w:szCs w:val="24"/>
        </w:rPr>
        <w:lastRenderedPageBreak/>
        <w:t xml:space="preserve">interviews in all communities, </w:t>
      </w:r>
      <w:r w:rsidR="00402875" w:rsidRPr="00756E94">
        <w:rPr>
          <w:szCs w:val="24"/>
        </w:rPr>
        <w:t xml:space="preserve">a </w:t>
      </w:r>
      <w:r w:rsidR="00925F81" w:rsidRPr="00756E94">
        <w:rPr>
          <w:szCs w:val="24"/>
        </w:rPr>
        <w:t>Battelle community l</w:t>
      </w:r>
      <w:r w:rsidRPr="00756E94">
        <w:rPr>
          <w:szCs w:val="24"/>
        </w:rPr>
        <w:t>iaison</w:t>
      </w:r>
      <w:r w:rsidR="00402875" w:rsidRPr="00756E94">
        <w:rPr>
          <w:szCs w:val="24"/>
        </w:rPr>
        <w:t xml:space="preserve"> – a full-time, </w:t>
      </w:r>
      <w:r w:rsidR="00A318C5">
        <w:rPr>
          <w:szCs w:val="24"/>
        </w:rPr>
        <w:t>trained research staff member -</w:t>
      </w:r>
      <w:r w:rsidR="00402875" w:rsidRPr="00756E94">
        <w:rPr>
          <w:rFonts w:asciiTheme="minorHAnsi" w:hAnsiTheme="minorHAnsi" w:cstheme="minorHAnsi"/>
          <w:szCs w:val="24"/>
        </w:rPr>
        <w:t xml:space="preserve"> </w:t>
      </w:r>
      <w:r w:rsidRPr="00756E94">
        <w:rPr>
          <w:szCs w:val="24"/>
        </w:rPr>
        <w:t xml:space="preserve">will request to review documents developed by or about relevant community programs and policies. </w:t>
      </w:r>
      <w:r w:rsidR="0017080B" w:rsidRPr="00756E94">
        <w:rPr>
          <w:szCs w:val="24"/>
        </w:rPr>
        <w:t xml:space="preserve"> </w:t>
      </w:r>
      <w:proofErr w:type="gramStart"/>
      <w:r w:rsidR="0017080B" w:rsidRPr="00756E94">
        <w:rPr>
          <w:szCs w:val="24"/>
        </w:rPr>
        <w:t>The types of documents we will review include:  publicly available legislative hearing documents; annual program reports; management information system (MIS) reports often used by funders; available and relevant Requests for Proposals (RFPs) and responses to RFPs that may have been prepared within the time frame of interest; agency-wide reports such as Healthy People 2000 and 2010; coalition reports from relevant organizations, schools, and other institutional and community wellness policies.</w:t>
      </w:r>
      <w:proofErr w:type="gramEnd"/>
    </w:p>
    <w:p w:rsidR="004116D2" w:rsidRPr="00756E94" w:rsidRDefault="004116D2" w:rsidP="00756E94">
      <w:pPr>
        <w:pStyle w:val="BHNormal"/>
        <w:rPr>
          <w:szCs w:val="24"/>
        </w:rPr>
      </w:pPr>
    </w:p>
    <w:p w:rsidR="004116D2" w:rsidRPr="00756E94" w:rsidRDefault="00AD1E7E" w:rsidP="00756E94">
      <w:pPr>
        <w:adjustRightInd w:val="0"/>
        <w:rPr>
          <w:sz w:val="24"/>
        </w:rPr>
      </w:pPr>
      <w:r w:rsidRPr="00756E94">
        <w:rPr>
          <w:sz w:val="24"/>
        </w:rPr>
        <w:t xml:space="preserve">Using a field-tested document abstraction instrument, data </w:t>
      </w:r>
      <w:proofErr w:type="gramStart"/>
      <w:r w:rsidRPr="00756E94">
        <w:rPr>
          <w:sz w:val="24"/>
        </w:rPr>
        <w:t>will be reviewed and then entered into an electronic form</w:t>
      </w:r>
      <w:proofErr w:type="gramEnd"/>
      <w:r w:rsidRPr="00756E94">
        <w:rPr>
          <w:sz w:val="24"/>
        </w:rPr>
        <w:t xml:space="preserve">. </w:t>
      </w:r>
      <w:r w:rsidR="001205E1" w:rsidRPr="00756E94">
        <w:rPr>
          <w:sz w:val="24"/>
        </w:rPr>
        <w:t xml:space="preserve"> </w:t>
      </w:r>
      <w:r w:rsidRPr="00756E94">
        <w:rPr>
          <w:sz w:val="24"/>
        </w:rPr>
        <w:t xml:space="preserve">This form </w:t>
      </w:r>
      <w:proofErr w:type="gramStart"/>
      <w:r w:rsidRPr="00756E94">
        <w:rPr>
          <w:sz w:val="24"/>
        </w:rPr>
        <w:t>can then be easily updated</w:t>
      </w:r>
      <w:proofErr w:type="gramEnd"/>
      <w:r w:rsidRPr="00756E94">
        <w:rPr>
          <w:sz w:val="24"/>
        </w:rPr>
        <w:t xml:space="preserve"> during our prospective program/policy review to be conducted in our RIPA communities (as described later).  </w:t>
      </w:r>
    </w:p>
    <w:p w:rsidR="004116D2" w:rsidRPr="00756E94" w:rsidRDefault="004116D2" w:rsidP="00756E94">
      <w:pPr>
        <w:adjustRightInd w:val="0"/>
        <w:rPr>
          <w:sz w:val="24"/>
        </w:rPr>
      </w:pPr>
    </w:p>
    <w:p w:rsidR="004116D2" w:rsidRPr="00756E94" w:rsidRDefault="004A5F44" w:rsidP="00756E94">
      <w:pPr>
        <w:pStyle w:val="BHNormal"/>
        <w:rPr>
          <w:b/>
          <w:i/>
          <w:szCs w:val="24"/>
        </w:rPr>
      </w:pPr>
      <w:bookmarkStart w:id="80" w:name="_Toc299107947"/>
      <w:r w:rsidRPr="00756E94">
        <w:rPr>
          <w:b/>
          <w:i/>
          <w:szCs w:val="24"/>
        </w:rPr>
        <w:t xml:space="preserve">B.2.a.2   Key </w:t>
      </w:r>
      <w:r w:rsidR="00AD1E7E" w:rsidRPr="00756E94">
        <w:rPr>
          <w:b/>
          <w:i/>
          <w:szCs w:val="24"/>
        </w:rPr>
        <w:t>Informant Interviews</w:t>
      </w:r>
      <w:bookmarkEnd w:id="80"/>
    </w:p>
    <w:p w:rsidR="004116D2" w:rsidRPr="00756E94" w:rsidRDefault="00925F81" w:rsidP="00756E94">
      <w:pPr>
        <w:adjustRightInd w:val="0"/>
        <w:rPr>
          <w:sz w:val="24"/>
        </w:rPr>
      </w:pPr>
      <w:r w:rsidRPr="00756E94">
        <w:rPr>
          <w:sz w:val="24"/>
        </w:rPr>
        <w:t>In each community, the Battelle community l</w:t>
      </w:r>
      <w:r w:rsidR="00AD1E7E" w:rsidRPr="00756E94">
        <w:rPr>
          <w:sz w:val="24"/>
        </w:rPr>
        <w:t>iaison will identify and conduct interviews with key informants associated with and/or knowledgeable of relevant community programs and policies</w:t>
      </w:r>
      <w:r w:rsidR="00B60A89" w:rsidRPr="00756E94">
        <w:rPr>
          <w:sz w:val="24"/>
        </w:rPr>
        <w:t xml:space="preserve">.  </w:t>
      </w:r>
      <w:r w:rsidR="0017080B" w:rsidRPr="00756E94">
        <w:rPr>
          <w:sz w:val="24"/>
        </w:rPr>
        <w:t>We will use standardized data collection instruments to gather characteristics for each program and policy operating in the selected communities, such as: target population, including age, sex, location; target focus area; who delivered the program/services; level of funding and how it was funded; date initiated and ended, when applicable; number reached, and who was reached (i.e., providers trained and recipients of service); nature of collaborations; and any outcomes examined.</w:t>
      </w:r>
    </w:p>
    <w:p w:rsidR="00402875" w:rsidRPr="00756E94" w:rsidRDefault="00402875" w:rsidP="00756E94">
      <w:pPr>
        <w:adjustRightInd w:val="0"/>
        <w:rPr>
          <w:sz w:val="24"/>
        </w:rPr>
      </w:pPr>
    </w:p>
    <w:p w:rsidR="004116D2" w:rsidRPr="00756E94" w:rsidRDefault="0017080B" w:rsidP="00756E94">
      <w:pPr>
        <w:adjustRightInd w:val="0"/>
        <w:rPr>
          <w:sz w:val="24"/>
        </w:rPr>
      </w:pPr>
      <w:r w:rsidRPr="00756E94">
        <w:rPr>
          <w:sz w:val="24"/>
        </w:rPr>
        <w:t xml:space="preserve">Key informants will answer a similar set of interview questions for each specific local program and/or policy identified during key informant interviews.  Data </w:t>
      </w:r>
      <w:proofErr w:type="gramStart"/>
      <w:r w:rsidRPr="00756E94">
        <w:rPr>
          <w:sz w:val="24"/>
        </w:rPr>
        <w:t>will be combined</w:t>
      </w:r>
      <w:proofErr w:type="gramEnd"/>
      <w:r w:rsidRPr="00756E94">
        <w:rPr>
          <w:sz w:val="24"/>
        </w:rPr>
        <w:t xml:space="preserve"> from different key informant interviews for the same program or policy. </w:t>
      </w:r>
    </w:p>
    <w:p w:rsidR="004116D2" w:rsidRPr="00756E94" w:rsidRDefault="004116D2" w:rsidP="00756E94">
      <w:pPr>
        <w:adjustRightInd w:val="0"/>
        <w:rPr>
          <w:sz w:val="24"/>
        </w:rPr>
      </w:pPr>
    </w:p>
    <w:p w:rsidR="0039292D" w:rsidRPr="00756E94" w:rsidRDefault="0039292D" w:rsidP="004E3486">
      <w:pPr>
        <w:pStyle w:val="BHNormal"/>
      </w:pPr>
      <w:bookmarkStart w:id="81" w:name="_Toc299107948"/>
      <w:r w:rsidRPr="00756E94">
        <w:rPr>
          <w:b/>
          <w:i/>
          <w:szCs w:val="24"/>
        </w:rPr>
        <w:t>Remote Follow-up among Key Informants</w:t>
      </w:r>
      <w:bookmarkEnd w:id="81"/>
      <w:r w:rsidR="004E3486" w:rsidRPr="00D16FFE">
        <w:rPr>
          <w:b/>
          <w:i/>
          <w:szCs w:val="24"/>
        </w:rPr>
        <w:t xml:space="preserve">:  </w:t>
      </w:r>
      <w:r w:rsidR="00402875" w:rsidRPr="00D16FFE">
        <w:t>K</w:t>
      </w:r>
      <w:r w:rsidRPr="00D16FFE">
        <w:t xml:space="preserve">ey informants that were interviewed during the initial baseline assessment in the first 200 </w:t>
      </w:r>
      <w:r w:rsidR="00B447E3" w:rsidRPr="00D16FFE">
        <w:t xml:space="preserve">Wave 2 </w:t>
      </w:r>
      <w:r w:rsidRPr="00D16FFE">
        <w:t xml:space="preserve">communities will be re-contacted </w:t>
      </w:r>
      <w:r w:rsidR="006E4BFD" w:rsidRPr="00D16FFE">
        <w:t>during the follow-up period (</w:t>
      </w:r>
      <w:r w:rsidR="00402875" w:rsidRPr="00D16FFE">
        <w:t xml:space="preserve">in </w:t>
      </w:r>
      <w:r w:rsidR="006E4BFD" w:rsidRPr="00D16FFE">
        <w:t>Year</w:t>
      </w:r>
      <w:r w:rsidR="0077233F" w:rsidRPr="00D16FFE">
        <w:t>s 2 and</w:t>
      </w:r>
      <w:r w:rsidR="006E4BFD" w:rsidRPr="00D16FFE">
        <w:t xml:space="preserve"> </w:t>
      </w:r>
      <w:r w:rsidR="00402875" w:rsidRPr="00D16FFE">
        <w:t>3</w:t>
      </w:r>
      <w:r w:rsidR="0077233F" w:rsidRPr="00D16FFE">
        <w:t xml:space="preserve"> </w:t>
      </w:r>
      <w:proofErr w:type="gramStart"/>
      <w:r w:rsidR="0077233F" w:rsidRPr="00D16FFE">
        <w:t xml:space="preserve">of </w:t>
      </w:r>
      <w:r w:rsidR="00402875" w:rsidRPr="00D16FFE">
        <w:t xml:space="preserve"> data</w:t>
      </w:r>
      <w:proofErr w:type="gramEnd"/>
      <w:r w:rsidR="00402875" w:rsidRPr="00D16FFE">
        <w:t xml:space="preserve"> collection</w:t>
      </w:r>
      <w:r w:rsidR="006E4BFD" w:rsidRPr="00D16FFE">
        <w:t>) when</w:t>
      </w:r>
      <w:r w:rsidR="0017080B" w:rsidRPr="00756E94">
        <w:t xml:space="preserve"> we re-contact children and parents for remote data collection.  At that time, these key informants </w:t>
      </w:r>
      <w:proofErr w:type="gramStart"/>
      <w:r w:rsidR="0017080B" w:rsidRPr="00756E94">
        <w:t>will be asked</w:t>
      </w:r>
      <w:proofErr w:type="gramEnd"/>
      <w:r w:rsidR="0017080B" w:rsidRPr="00756E94">
        <w:t xml:space="preserve"> to complete about 50 minutes of data collection via a telephone survey.  Key informants in the RIPA communities will be visited in-person a second time three years later to repeat the baseline assessment.  Those key informants in the RIPA communities that </w:t>
      </w:r>
      <w:proofErr w:type="gramStart"/>
      <w:r w:rsidR="0017080B" w:rsidRPr="00756E94">
        <w:t>could not be visited</w:t>
      </w:r>
      <w:proofErr w:type="gramEnd"/>
      <w:r w:rsidR="0017080B" w:rsidRPr="00756E94">
        <w:t xml:space="preserve"> face-to-face will be asked to answer questions by web or telephone (similar to the original baseline assessment).  </w:t>
      </w:r>
    </w:p>
    <w:p w:rsidR="00A76A72" w:rsidRPr="00756E94" w:rsidRDefault="00A76A72" w:rsidP="00756E94">
      <w:pPr>
        <w:rPr>
          <w:sz w:val="24"/>
        </w:rPr>
      </w:pPr>
    </w:p>
    <w:p w:rsidR="004116D2" w:rsidRPr="00756E94" w:rsidRDefault="0039292D" w:rsidP="00756E94">
      <w:pPr>
        <w:pStyle w:val="BHNormal"/>
        <w:rPr>
          <w:szCs w:val="24"/>
        </w:rPr>
      </w:pPr>
      <w:bookmarkStart w:id="82" w:name="_Toc299107949"/>
      <w:r w:rsidRPr="00756E94">
        <w:rPr>
          <w:b/>
          <w:i/>
          <w:szCs w:val="24"/>
        </w:rPr>
        <w:t>Identifying/Recruiting Local Community Documenters in RIPA Communities</w:t>
      </w:r>
      <w:bookmarkEnd w:id="82"/>
      <w:r w:rsidR="004E3486">
        <w:rPr>
          <w:b/>
          <w:i/>
          <w:szCs w:val="24"/>
        </w:rPr>
        <w:t xml:space="preserve">:  </w:t>
      </w:r>
      <w:r w:rsidRPr="00756E94">
        <w:rPr>
          <w:szCs w:val="24"/>
        </w:rPr>
        <w:t>During the interviews of key informants within the RIPA communities, the Battelle</w:t>
      </w:r>
      <w:r w:rsidR="00925F81" w:rsidRPr="00756E94">
        <w:rPr>
          <w:szCs w:val="24"/>
        </w:rPr>
        <w:t xml:space="preserve"> community</w:t>
      </w:r>
      <w:r w:rsidRPr="00756E94">
        <w:rPr>
          <w:szCs w:val="24"/>
        </w:rPr>
        <w:t xml:space="preserve"> liaison will discuss the role of the local community documenter and ask the respondent(s) </w:t>
      </w:r>
      <w:r w:rsidR="00B60A89" w:rsidRPr="00756E94">
        <w:rPr>
          <w:szCs w:val="24"/>
        </w:rPr>
        <w:t xml:space="preserve">to </w:t>
      </w:r>
      <w:r w:rsidR="0017080B" w:rsidRPr="00756E94">
        <w:rPr>
          <w:szCs w:val="24"/>
        </w:rPr>
        <w:t xml:space="preserve">recommend potential community experts to play this role as part of the HCS.  The recruited expert should have broad-based knowledge of the programs and policies that </w:t>
      </w:r>
      <w:proofErr w:type="gramStart"/>
      <w:r w:rsidR="0017080B" w:rsidRPr="00756E94">
        <w:rPr>
          <w:szCs w:val="24"/>
        </w:rPr>
        <w:t>have been implemented</w:t>
      </w:r>
      <w:proofErr w:type="gramEnd"/>
      <w:r w:rsidR="0017080B" w:rsidRPr="00756E94">
        <w:rPr>
          <w:szCs w:val="24"/>
        </w:rPr>
        <w:t xml:space="preserve"> within the community, as well as a willingness to perform the quarterly assessments and other planned assessments of the physical activity and nutritional environment within the community.  The local community documenter could be one of the key informants included in the study as a participant.  Community documenters </w:t>
      </w:r>
      <w:proofErr w:type="gramStart"/>
      <w:r w:rsidR="0017080B" w:rsidRPr="00756E94">
        <w:rPr>
          <w:szCs w:val="24"/>
        </w:rPr>
        <w:t>will be paid</w:t>
      </w:r>
      <w:proofErr w:type="gramEnd"/>
      <w:r w:rsidR="0017080B" w:rsidRPr="00756E94">
        <w:rPr>
          <w:szCs w:val="24"/>
        </w:rPr>
        <w:t xml:space="preserve"> a yearly stipend. </w:t>
      </w:r>
    </w:p>
    <w:p w:rsidR="004116D2" w:rsidRDefault="004116D2">
      <w:pPr>
        <w:pStyle w:val="BHNormal"/>
        <w:rPr>
          <w:szCs w:val="24"/>
        </w:rPr>
      </w:pPr>
    </w:p>
    <w:p w:rsidR="004116D2" w:rsidRPr="00756E94" w:rsidRDefault="00AD1E7E" w:rsidP="00756E94">
      <w:pPr>
        <w:pStyle w:val="BHNormal"/>
        <w:rPr>
          <w:b/>
          <w:i/>
        </w:rPr>
      </w:pPr>
      <w:bookmarkStart w:id="83" w:name="_Toc299107950"/>
      <w:r w:rsidRPr="00756E94">
        <w:rPr>
          <w:b/>
          <w:i/>
        </w:rPr>
        <w:lastRenderedPageBreak/>
        <w:t xml:space="preserve">B.2.a.3   </w:t>
      </w:r>
      <w:r w:rsidR="00C55E43" w:rsidRPr="00756E94">
        <w:rPr>
          <w:b/>
          <w:i/>
        </w:rPr>
        <w:t xml:space="preserve">Other Community </w:t>
      </w:r>
      <w:r w:rsidRPr="00756E94">
        <w:rPr>
          <w:b/>
          <w:i/>
        </w:rPr>
        <w:t>Assessments</w:t>
      </w:r>
      <w:bookmarkEnd w:id="83"/>
    </w:p>
    <w:p w:rsidR="004116D2" w:rsidRPr="00756E94" w:rsidRDefault="00AD1E7E" w:rsidP="00756E94">
      <w:pPr>
        <w:pStyle w:val="BHNormal"/>
        <w:rPr>
          <w:szCs w:val="24"/>
        </w:rPr>
      </w:pPr>
      <w:r w:rsidRPr="00756E94">
        <w:rPr>
          <w:szCs w:val="24"/>
        </w:rPr>
        <w:t xml:space="preserve">Community assessments will include interviews with </w:t>
      </w:r>
      <w:r w:rsidR="00B61304" w:rsidRPr="00756E94">
        <w:rPr>
          <w:szCs w:val="24"/>
        </w:rPr>
        <w:t xml:space="preserve">additional </w:t>
      </w:r>
      <w:r w:rsidRPr="00756E94">
        <w:rPr>
          <w:szCs w:val="24"/>
        </w:rPr>
        <w:t>school administrators/</w:t>
      </w:r>
      <w:r w:rsidR="00925F81" w:rsidRPr="00756E94">
        <w:rPr>
          <w:szCs w:val="24"/>
        </w:rPr>
        <w:t>personnel</w:t>
      </w:r>
      <w:r w:rsidRPr="00756E94">
        <w:rPr>
          <w:szCs w:val="24"/>
        </w:rPr>
        <w:t xml:space="preserve">, community key informants, participant perceptions of the school and home environments, GIS data, and direct observations of communities to collect program/policy and environmental data. </w:t>
      </w:r>
      <w:r w:rsidR="00F36FAC" w:rsidRPr="00756E94">
        <w:rPr>
          <w:szCs w:val="24"/>
        </w:rPr>
        <w:t xml:space="preserve"> </w:t>
      </w:r>
      <w:r w:rsidRPr="00756E94">
        <w:rPr>
          <w:szCs w:val="24"/>
        </w:rPr>
        <w:t>The</w:t>
      </w:r>
      <w:r w:rsidR="001E0A00" w:rsidRPr="00756E94">
        <w:rPr>
          <w:szCs w:val="24"/>
        </w:rPr>
        <w:t xml:space="preserve"> following</w:t>
      </w:r>
      <w:r w:rsidRPr="00756E94">
        <w:rPr>
          <w:szCs w:val="24"/>
        </w:rPr>
        <w:t xml:space="preserve"> assessments </w:t>
      </w:r>
      <w:proofErr w:type="gramStart"/>
      <w:r w:rsidRPr="00756E94">
        <w:rPr>
          <w:szCs w:val="24"/>
        </w:rPr>
        <w:t>will be conducted</w:t>
      </w:r>
      <w:proofErr w:type="gramEnd"/>
      <w:r w:rsidRPr="00756E94">
        <w:rPr>
          <w:szCs w:val="24"/>
        </w:rPr>
        <w:t xml:space="preserve"> in all communities </w:t>
      </w:r>
      <w:r w:rsidR="00641AD5" w:rsidRPr="00756E94">
        <w:rPr>
          <w:szCs w:val="24"/>
        </w:rPr>
        <w:t xml:space="preserve">for </w:t>
      </w:r>
      <w:r w:rsidRPr="00756E94">
        <w:rPr>
          <w:szCs w:val="24"/>
        </w:rPr>
        <w:t>baseline</w:t>
      </w:r>
      <w:r w:rsidR="00641AD5" w:rsidRPr="00756E94">
        <w:rPr>
          <w:szCs w:val="24"/>
        </w:rPr>
        <w:t xml:space="preserve"> and in selected communities for follow up</w:t>
      </w:r>
      <w:r w:rsidRPr="00756E94">
        <w:rPr>
          <w:szCs w:val="24"/>
        </w:rPr>
        <w:t>.</w:t>
      </w:r>
    </w:p>
    <w:p w:rsidR="004116D2" w:rsidRPr="00756E94" w:rsidRDefault="004116D2" w:rsidP="00756E94">
      <w:pPr>
        <w:pStyle w:val="BHNormal"/>
        <w:rPr>
          <w:szCs w:val="24"/>
        </w:rPr>
      </w:pPr>
    </w:p>
    <w:p w:rsidR="0045534F" w:rsidRDefault="00AD1E7E" w:rsidP="00756E94">
      <w:pPr>
        <w:pStyle w:val="BHNormal"/>
        <w:rPr>
          <w:szCs w:val="24"/>
        </w:rPr>
      </w:pPr>
      <w:r w:rsidRPr="00756E94">
        <w:rPr>
          <w:b/>
          <w:i/>
          <w:szCs w:val="24"/>
        </w:rPr>
        <w:t>Nutritional Environment</w:t>
      </w:r>
      <w:r w:rsidR="004E3486">
        <w:rPr>
          <w:b/>
          <w:i/>
          <w:szCs w:val="24"/>
        </w:rPr>
        <w:t xml:space="preserve">:  </w:t>
      </w:r>
      <w:r w:rsidRPr="00756E94">
        <w:rPr>
          <w:szCs w:val="24"/>
        </w:rPr>
        <w:t xml:space="preserve">Baseline observational assessments of the nutritional environment </w:t>
      </w:r>
      <w:proofErr w:type="gramStart"/>
      <w:r w:rsidRPr="00756E94">
        <w:rPr>
          <w:szCs w:val="24"/>
        </w:rPr>
        <w:t>will be conducted</w:t>
      </w:r>
      <w:proofErr w:type="gramEnd"/>
      <w:r w:rsidRPr="00756E94">
        <w:rPr>
          <w:szCs w:val="24"/>
        </w:rPr>
        <w:t xml:space="preserve"> in up to four randomly selected schools (two elementary and two middle schools) per community. </w:t>
      </w:r>
      <w:r w:rsidR="00F36FAC" w:rsidRPr="00756E94">
        <w:rPr>
          <w:szCs w:val="24"/>
        </w:rPr>
        <w:t xml:space="preserve"> </w:t>
      </w:r>
      <w:r w:rsidR="00C55E43" w:rsidRPr="00756E94">
        <w:rPr>
          <w:szCs w:val="24"/>
        </w:rPr>
        <w:t>A</w:t>
      </w:r>
      <w:r w:rsidRPr="00756E94">
        <w:rPr>
          <w:szCs w:val="24"/>
        </w:rPr>
        <w:t xml:space="preserve"> member of the school’s food service staff will complete a </w:t>
      </w:r>
      <w:r w:rsidR="006C7959" w:rsidRPr="00756E94">
        <w:rPr>
          <w:szCs w:val="24"/>
        </w:rPr>
        <w:t xml:space="preserve">brief self-administered </w:t>
      </w:r>
      <w:r w:rsidRPr="00756E94">
        <w:rPr>
          <w:szCs w:val="24"/>
        </w:rPr>
        <w:t>questionnaire</w:t>
      </w:r>
      <w:r w:rsidR="00C55E43" w:rsidRPr="00756E94">
        <w:rPr>
          <w:szCs w:val="24"/>
        </w:rPr>
        <w:t xml:space="preserve">, </w:t>
      </w:r>
      <w:r w:rsidR="008A1FC1" w:rsidRPr="00756E94">
        <w:rPr>
          <w:szCs w:val="24"/>
        </w:rPr>
        <w:t>and the</w:t>
      </w:r>
      <w:r w:rsidR="0017080B" w:rsidRPr="00756E94">
        <w:rPr>
          <w:szCs w:val="24"/>
        </w:rPr>
        <w:t xml:space="preserve"> Battelle community liaison will observe the school’s lunch period and complete an observation form.  In addition, questions </w:t>
      </w:r>
      <w:proofErr w:type="gramStart"/>
      <w:r w:rsidR="0017080B" w:rsidRPr="00756E94">
        <w:rPr>
          <w:szCs w:val="24"/>
        </w:rPr>
        <w:t>will be asked</w:t>
      </w:r>
      <w:proofErr w:type="gramEnd"/>
      <w:r w:rsidR="0017080B" w:rsidRPr="00756E94">
        <w:rPr>
          <w:szCs w:val="24"/>
        </w:rPr>
        <w:t xml:space="preserve"> of the principals of the schools selected for observations during the key informant interview.  </w:t>
      </w:r>
    </w:p>
    <w:p w:rsidR="0045534F" w:rsidRDefault="0045534F" w:rsidP="00756E94">
      <w:pPr>
        <w:pStyle w:val="BHNormal"/>
        <w:rPr>
          <w:szCs w:val="24"/>
        </w:rPr>
      </w:pPr>
    </w:p>
    <w:p w:rsidR="006C7959" w:rsidRPr="00756E94" w:rsidRDefault="006C7959" w:rsidP="00756E94">
      <w:pPr>
        <w:pStyle w:val="BHNormal"/>
        <w:rPr>
          <w:color w:val="000000" w:themeColor="text1"/>
          <w:szCs w:val="24"/>
        </w:rPr>
      </w:pPr>
      <w:r w:rsidRPr="00756E94">
        <w:rPr>
          <w:color w:val="000000" w:themeColor="text1"/>
          <w:szCs w:val="24"/>
        </w:rPr>
        <w:t>Elementary and middle schools were selected for assessment because, given the age range of the subjects of this study, the highest exposure will be to the elementary and middle school environments.  Relatively few subjects will have had exposure to the high school environments.</w:t>
      </w:r>
    </w:p>
    <w:p w:rsidR="004116D2" w:rsidRPr="00756E94" w:rsidRDefault="004116D2" w:rsidP="00756E94">
      <w:pPr>
        <w:pStyle w:val="BHNormal"/>
        <w:rPr>
          <w:szCs w:val="24"/>
        </w:rPr>
      </w:pPr>
    </w:p>
    <w:p w:rsidR="006C7959" w:rsidRPr="00756E94" w:rsidRDefault="00A223EB" w:rsidP="00756E94">
      <w:pPr>
        <w:pStyle w:val="BHNormal"/>
        <w:rPr>
          <w:szCs w:val="24"/>
        </w:rPr>
      </w:pPr>
      <w:r w:rsidRPr="00756E94">
        <w:rPr>
          <w:szCs w:val="24"/>
        </w:rPr>
        <w:t xml:space="preserve">Both the food service </w:t>
      </w:r>
      <w:r w:rsidR="00F36FAC" w:rsidRPr="00756E94">
        <w:rPr>
          <w:szCs w:val="24"/>
        </w:rPr>
        <w:t xml:space="preserve">staff </w:t>
      </w:r>
      <w:r w:rsidR="00B447E3" w:rsidRPr="00756E94">
        <w:rPr>
          <w:szCs w:val="24"/>
        </w:rPr>
        <w:t xml:space="preserve">and the Battelle community liaison </w:t>
      </w:r>
      <w:r w:rsidRPr="00756E94">
        <w:rPr>
          <w:szCs w:val="24"/>
        </w:rPr>
        <w:t>will provide information regarding</w:t>
      </w:r>
      <w:r w:rsidR="006C7959" w:rsidRPr="00756E94">
        <w:rPr>
          <w:szCs w:val="24"/>
        </w:rPr>
        <w:t>:</w:t>
      </w:r>
    </w:p>
    <w:p w:rsidR="006C7959" w:rsidRPr="00756E94" w:rsidRDefault="00A223EB" w:rsidP="00756E94">
      <w:pPr>
        <w:pStyle w:val="BHNormal"/>
        <w:numPr>
          <w:ilvl w:val="0"/>
          <w:numId w:val="21"/>
        </w:numPr>
        <w:ind w:left="720"/>
        <w:rPr>
          <w:szCs w:val="24"/>
        </w:rPr>
      </w:pPr>
      <w:r w:rsidRPr="00756E94">
        <w:rPr>
          <w:szCs w:val="24"/>
        </w:rPr>
        <w:t>school characteristics</w:t>
      </w:r>
      <w:r w:rsidR="006C7959" w:rsidRPr="00756E94">
        <w:rPr>
          <w:szCs w:val="24"/>
        </w:rPr>
        <w:t xml:space="preserve"> -- </w:t>
      </w:r>
      <w:r w:rsidRPr="00756E94">
        <w:rPr>
          <w:szCs w:val="24"/>
        </w:rPr>
        <w:t>meal program participation, free and r</w:t>
      </w:r>
      <w:r w:rsidR="0017080B" w:rsidRPr="00756E94">
        <w:rPr>
          <w:szCs w:val="24"/>
        </w:rPr>
        <w:t xml:space="preserve">educed price meal eligibility, open campus status, </w:t>
      </w:r>
      <w:r w:rsidR="006C7959" w:rsidRPr="00756E94">
        <w:rPr>
          <w:szCs w:val="24"/>
        </w:rPr>
        <w:t xml:space="preserve">participation in </w:t>
      </w:r>
      <w:r w:rsidR="0017080B" w:rsidRPr="00756E94">
        <w:rPr>
          <w:szCs w:val="24"/>
        </w:rPr>
        <w:t xml:space="preserve">key </w:t>
      </w:r>
      <w:r w:rsidR="006C7959" w:rsidRPr="00756E94">
        <w:rPr>
          <w:szCs w:val="24"/>
        </w:rPr>
        <w:t>federal</w:t>
      </w:r>
      <w:r w:rsidR="006C7959" w:rsidRPr="00756E94">
        <w:rPr>
          <w:rFonts w:asciiTheme="minorHAnsi" w:hAnsiTheme="minorHAnsi" w:cstheme="minorHAnsi"/>
          <w:szCs w:val="24"/>
        </w:rPr>
        <w:t xml:space="preserve"> </w:t>
      </w:r>
      <w:r w:rsidR="0017080B" w:rsidRPr="00756E94">
        <w:rPr>
          <w:szCs w:val="24"/>
        </w:rPr>
        <w:t>school nutrition and food program</w:t>
      </w:r>
      <w:r w:rsidR="006C7959" w:rsidRPr="00756E94">
        <w:rPr>
          <w:szCs w:val="24"/>
        </w:rPr>
        <w:t>s</w:t>
      </w:r>
      <w:r w:rsidR="0017080B" w:rsidRPr="00756E94">
        <w:rPr>
          <w:szCs w:val="24"/>
        </w:rPr>
        <w:t xml:space="preserve">, degree and extent of scratch food preparation, extent of wellness policy implementation and how long in place, if and when changes have been made to the school meals, meal facilities and competitive foods; </w:t>
      </w:r>
    </w:p>
    <w:p w:rsidR="006C7959" w:rsidRPr="00756E94" w:rsidRDefault="0017080B" w:rsidP="00756E94">
      <w:pPr>
        <w:pStyle w:val="BHNormal"/>
        <w:numPr>
          <w:ilvl w:val="0"/>
          <w:numId w:val="21"/>
        </w:numPr>
        <w:ind w:left="720"/>
        <w:rPr>
          <w:szCs w:val="24"/>
        </w:rPr>
      </w:pPr>
      <w:r w:rsidRPr="00756E94">
        <w:rPr>
          <w:szCs w:val="24"/>
        </w:rPr>
        <w:t xml:space="preserve">characteristics of reimbursable lunch options </w:t>
      </w:r>
      <w:r w:rsidR="006C7959" w:rsidRPr="00756E94">
        <w:rPr>
          <w:szCs w:val="24"/>
        </w:rPr>
        <w:t xml:space="preserve">-- </w:t>
      </w:r>
      <w:r w:rsidRPr="00756E94">
        <w:rPr>
          <w:szCs w:val="24"/>
        </w:rPr>
        <w:t xml:space="preserve">number and type of entrees, beverages, whole grain vs. refined grain products, fruits, vegetables, dessert, and snack foods; </w:t>
      </w:r>
    </w:p>
    <w:p w:rsidR="006C7959" w:rsidRPr="00756E94" w:rsidRDefault="0017080B" w:rsidP="00756E94">
      <w:pPr>
        <w:pStyle w:val="BHNormal"/>
        <w:numPr>
          <w:ilvl w:val="0"/>
          <w:numId w:val="21"/>
        </w:numPr>
        <w:ind w:left="720"/>
        <w:rPr>
          <w:szCs w:val="24"/>
        </w:rPr>
      </w:pPr>
      <w:r w:rsidRPr="00756E94">
        <w:rPr>
          <w:szCs w:val="24"/>
        </w:rPr>
        <w:t xml:space="preserve">characteristics of dining facilities </w:t>
      </w:r>
      <w:r w:rsidR="006C7959" w:rsidRPr="00756E94">
        <w:rPr>
          <w:szCs w:val="24"/>
        </w:rPr>
        <w:t xml:space="preserve">-- </w:t>
      </w:r>
      <w:r w:rsidRPr="00756E94">
        <w:rPr>
          <w:szCs w:val="24"/>
        </w:rPr>
        <w:t xml:space="preserve">availability, ambiance, size; </w:t>
      </w:r>
    </w:p>
    <w:p w:rsidR="006C7959" w:rsidRPr="00756E94" w:rsidRDefault="0017080B" w:rsidP="00756E94">
      <w:pPr>
        <w:pStyle w:val="BHNormal"/>
        <w:numPr>
          <w:ilvl w:val="0"/>
          <w:numId w:val="21"/>
        </w:numPr>
        <w:ind w:left="720"/>
        <w:rPr>
          <w:szCs w:val="24"/>
        </w:rPr>
      </w:pPr>
      <w:r w:rsidRPr="00756E94">
        <w:rPr>
          <w:szCs w:val="24"/>
        </w:rPr>
        <w:t xml:space="preserve">cafeteria staff interactions with students; </w:t>
      </w:r>
    </w:p>
    <w:p w:rsidR="006C7959" w:rsidRPr="00756E94" w:rsidRDefault="0017080B" w:rsidP="00756E94">
      <w:pPr>
        <w:pStyle w:val="BHNormal"/>
        <w:numPr>
          <w:ilvl w:val="0"/>
          <w:numId w:val="21"/>
        </w:numPr>
        <w:ind w:left="720"/>
        <w:rPr>
          <w:szCs w:val="24"/>
        </w:rPr>
      </w:pPr>
      <w:r w:rsidRPr="00756E94">
        <w:rPr>
          <w:szCs w:val="24"/>
        </w:rPr>
        <w:t xml:space="preserve">meal service line length; </w:t>
      </w:r>
    </w:p>
    <w:p w:rsidR="006C7959" w:rsidRPr="00756E94" w:rsidRDefault="0017080B" w:rsidP="00756E94">
      <w:pPr>
        <w:pStyle w:val="BHNormal"/>
        <w:numPr>
          <w:ilvl w:val="0"/>
          <w:numId w:val="21"/>
        </w:numPr>
        <w:ind w:left="720"/>
        <w:rPr>
          <w:szCs w:val="24"/>
        </w:rPr>
      </w:pPr>
      <w:r w:rsidRPr="00756E94">
        <w:rPr>
          <w:szCs w:val="24"/>
        </w:rPr>
        <w:t xml:space="preserve">time to eat; </w:t>
      </w:r>
    </w:p>
    <w:p w:rsidR="006C7959" w:rsidRPr="00756E94" w:rsidRDefault="0017080B" w:rsidP="00756E94">
      <w:pPr>
        <w:pStyle w:val="BHNormal"/>
        <w:numPr>
          <w:ilvl w:val="0"/>
          <w:numId w:val="21"/>
        </w:numPr>
        <w:ind w:left="720"/>
        <w:rPr>
          <w:szCs w:val="24"/>
        </w:rPr>
      </w:pPr>
      <w:r w:rsidRPr="00756E94">
        <w:rPr>
          <w:szCs w:val="24"/>
        </w:rPr>
        <w:t xml:space="preserve">water availability; and </w:t>
      </w:r>
    </w:p>
    <w:p w:rsidR="006C7959" w:rsidRDefault="0017080B" w:rsidP="00756E94">
      <w:pPr>
        <w:pStyle w:val="BHNormal"/>
        <w:numPr>
          <w:ilvl w:val="0"/>
          <w:numId w:val="21"/>
        </w:numPr>
        <w:ind w:left="720"/>
        <w:rPr>
          <w:szCs w:val="24"/>
        </w:rPr>
      </w:pPr>
      <w:proofErr w:type="gramStart"/>
      <w:r w:rsidRPr="00756E94">
        <w:rPr>
          <w:szCs w:val="24"/>
        </w:rPr>
        <w:t>competitive</w:t>
      </w:r>
      <w:proofErr w:type="gramEnd"/>
      <w:r w:rsidRPr="00756E94">
        <w:rPr>
          <w:szCs w:val="24"/>
        </w:rPr>
        <w:t xml:space="preserve"> foods </w:t>
      </w:r>
      <w:r w:rsidR="006C7959" w:rsidRPr="00756E94">
        <w:rPr>
          <w:szCs w:val="24"/>
        </w:rPr>
        <w:t xml:space="preserve">-- </w:t>
      </w:r>
      <w:r w:rsidRPr="00756E94">
        <w:rPr>
          <w:szCs w:val="24"/>
        </w:rPr>
        <w:t xml:space="preserve">what, where, and how much is offered.  </w:t>
      </w:r>
    </w:p>
    <w:p w:rsidR="0045534F" w:rsidRPr="00756E94" w:rsidRDefault="0045534F" w:rsidP="0045534F">
      <w:pPr>
        <w:pStyle w:val="BHNormal"/>
        <w:ind w:left="720"/>
        <w:rPr>
          <w:szCs w:val="24"/>
        </w:rPr>
      </w:pPr>
    </w:p>
    <w:p w:rsidR="004116D2" w:rsidRPr="00756E94" w:rsidRDefault="0017080B" w:rsidP="00756E94">
      <w:pPr>
        <w:pStyle w:val="BHNormal"/>
        <w:rPr>
          <w:szCs w:val="24"/>
        </w:rPr>
      </w:pPr>
      <w:r w:rsidRPr="00756E94">
        <w:rPr>
          <w:szCs w:val="24"/>
        </w:rPr>
        <w:t xml:space="preserve">These data </w:t>
      </w:r>
      <w:proofErr w:type="gramStart"/>
      <w:r w:rsidRPr="00756E94">
        <w:rPr>
          <w:szCs w:val="24"/>
        </w:rPr>
        <w:t>will be used</w:t>
      </w:r>
      <w:proofErr w:type="gramEnd"/>
      <w:r w:rsidRPr="00756E94">
        <w:rPr>
          <w:szCs w:val="24"/>
        </w:rPr>
        <w:t xml:space="preserve"> to characterize the </w:t>
      </w:r>
      <w:r w:rsidR="006C7959" w:rsidRPr="00756E94">
        <w:rPr>
          <w:szCs w:val="24"/>
        </w:rPr>
        <w:t xml:space="preserve">past ten years of the </w:t>
      </w:r>
      <w:r w:rsidRPr="00756E94">
        <w:rPr>
          <w:szCs w:val="24"/>
        </w:rPr>
        <w:t xml:space="preserve">school food environment and validate and add detail to stakeholder reports of school-based efforts.  Furthermore, the data </w:t>
      </w:r>
      <w:proofErr w:type="gramStart"/>
      <w:r w:rsidRPr="00756E94">
        <w:rPr>
          <w:szCs w:val="24"/>
        </w:rPr>
        <w:t>will be used</w:t>
      </w:r>
      <w:proofErr w:type="gramEnd"/>
      <w:r w:rsidRPr="00756E94">
        <w:rPr>
          <w:szCs w:val="24"/>
        </w:rPr>
        <w:t xml:space="preserve"> for cross-sectional, retrospective, and prospective longitudinal analyses of associations with anthropometric and behavioral measures.  </w:t>
      </w:r>
    </w:p>
    <w:p w:rsidR="004116D2" w:rsidRPr="00756E94" w:rsidRDefault="004116D2" w:rsidP="00756E94">
      <w:pPr>
        <w:pStyle w:val="BHNormal"/>
        <w:rPr>
          <w:szCs w:val="24"/>
        </w:rPr>
      </w:pPr>
    </w:p>
    <w:p w:rsidR="004116D2" w:rsidRPr="00756E94" w:rsidRDefault="00AD1E7E" w:rsidP="00756E94">
      <w:pPr>
        <w:pStyle w:val="BHNormal"/>
        <w:rPr>
          <w:szCs w:val="24"/>
        </w:rPr>
      </w:pPr>
      <w:r w:rsidRPr="00756E94">
        <w:rPr>
          <w:szCs w:val="24"/>
        </w:rPr>
        <w:t>As previously mentioned, the key informants will undergo follow-up interviews</w:t>
      </w:r>
      <w:r w:rsidR="006C7959" w:rsidRPr="00756E94">
        <w:rPr>
          <w:szCs w:val="24"/>
        </w:rPr>
        <w:t xml:space="preserve"> (remotely in the first 200 Wave 2 communities and then again in person in RIPA communities)</w:t>
      </w:r>
      <w:r w:rsidRPr="00756E94">
        <w:rPr>
          <w:szCs w:val="24"/>
        </w:rPr>
        <w:t xml:space="preserve">. </w:t>
      </w:r>
      <w:r w:rsidR="00561131" w:rsidRPr="00756E94">
        <w:rPr>
          <w:szCs w:val="24"/>
        </w:rPr>
        <w:t xml:space="preserve"> </w:t>
      </w:r>
      <w:r w:rsidRPr="00756E94">
        <w:rPr>
          <w:szCs w:val="24"/>
        </w:rPr>
        <w:t xml:space="preserve">The principals of the schools that </w:t>
      </w:r>
      <w:proofErr w:type="gramStart"/>
      <w:r w:rsidRPr="00756E94">
        <w:rPr>
          <w:szCs w:val="24"/>
        </w:rPr>
        <w:t>were randomly selected</w:t>
      </w:r>
      <w:proofErr w:type="gramEnd"/>
      <w:r w:rsidRPr="00756E94">
        <w:rPr>
          <w:szCs w:val="24"/>
        </w:rPr>
        <w:t xml:space="preserve"> for observations, if they consented to be a key informant, will be sent a link to the food service staff questionnaire </w:t>
      </w:r>
      <w:r w:rsidR="00B447E3" w:rsidRPr="00756E94">
        <w:rPr>
          <w:szCs w:val="24"/>
        </w:rPr>
        <w:t xml:space="preserve">during the </w:t>
      </w:r>
      <w:r w:rsidR="0017080B" w:rsidRPr="00756E94">
        <w:rPr>
          <w:szCs w:val="24"/>
        </w:rPr>
        <w:t xml:space="preserve">follow-up period in Year </w:t>
      </w:r>
      <w:r w:rsidR="006C7959" w:rsidRPr="00756E94">
        <w:rPr>
          <w:szCs w:val="24"/>
        </w:rPr>
        <w:t xml:space="preserve">3 </w:t>
      </w:r>
      <w:r w:rsidR="0017080B" w:rsidRPr="00756E94">
        <w:rPr>
          <w:szCs w:val="24"/>
        </w:rPr>
        <w:t>and asked to forward the link to the appropriate food service person for completion.</w:t>
      </w:r>
    </w:p>
    <w:p w:rsidR="004116D2" w:rsidRPr="00756E94" w:rsidRDefault="004116D2" w:rsidP="00756E94">
      <w:pPr>
        <w:pStyle w:val="BHNormal"/>
        <w:rPr>
          <w:szCs w:val="24"/>
        </w:rPr>
      </w:pPr>
    </w:p>
    <w:p w:rsidR="004116D2" w:rsidRPr="00756E94" w:rsidRDefault="00AD1E7E" w:rsidP="00756E94">
      <w:pPr>
        <w:pStyle w:val="BHNormal"/>
        <w:rPr>
          <w:szCs w:val="24"/>
        </w:rPr>
      </w:pPr>
      <w:r w:rsidRPr="00756E94">
        <w:rPr>
          <w:szCs w:val="24"/>
        </w:rPr>
        <w:lastRenderedPageBreak/>
        <w:t xml:space="preserve">GIS mapping and analyses </w:t>
      </w:r>
      <w:proofErr w:type="gramStart"/>
      <w:r w:rsidRPr="00756E94">
        <w:rPr>
          <w:szCs w:val="24"/>
        </w:rPr>
        <w:t>will be conducted</w:t>
      </w:r>
      <w:proofErr w:type="gramEnd"/>
      <w:r w:rsidRPr="00756E94">
        <w:rPr>
          <w:szCs w:val="24"/>
        </w:rPr>
        <w:t xml:space="preserve"> </w:t>
      </w:r>
      <w:r w:rsidR="006C7959" w:rsidRPr="00756E94">
        <w:rPr>
          <w:szCs w:val="24"/>
        </w:rPr>
        <w:t xml:space="preserve">to characterize the community food environment </w:t>
      </w:r>
      <w:r w:rsidRPr="00756E94">
        <w:rPr>
          <w:szCs w:val="24"/>
        </w:rPr>
        <w:t xml:space="preserve">at baseline </w:t>
      </w:r>
      <w:r w:rsidR="006C7959" w:rsidRPr="00756E94">
        <w:rPr>
          <w:szCs w:val="24"/>
        </w:rPr>
        <w:t xml:space="preserve">and retrospectively 10 years prior to coincide to the extent possible with baseline and endpoint BMI data collection.  The GIS data will include the density of various types of retail food establishments in the target community as well as their proximity to schools in the target area </w:t>
      </w:r>
      <w:r w:rsidRPr="00756E94">
        <w:rPr>
          <w:szCs w:val="24"/>
        </w:rPr>
        <w:t xml:space="preserve">to characterize the community nutrition environment. </w:t>
      </w:r>
      <w:r w:rsidR="00561131" w:rsidRPr="00756E94">
        <w:rPr>
          <w:szCs w:val="24"/>
        </w:rPr>
        <w:t xml:space="preserve"> </w:t>
      </w:r>
      <w:r w:rsidRPr="00756E94">
        <w:rPr>
          <w:szCs w:val="24"/>
        </w:rPr>
        <w:t>In the RIPA co</w:t>
      </w:r>
      <w:r w:rsidR="0017080B" w:rsidRPr="00756E94">
        <w:rPr>
          <w:szCs w:val="24"/>
        </w:rPr>
        <w:t>mmunities, the community liaison will return to the community within three months of their baseline visit to conduct limited ground-</w:t>
      </w:r>
      <w:proofErr w:type="spellStart"/>
      <w:r w:rsidR="0017080B" w:rsidRPr="00756E94">
        <w:rPr>
          <w:szCs w:val="24"/>
        </w:rPr>
        <w:t>truthing</w:t>
      </w:r>
      <w:proofErr w:type="spellEnd"/>
      <w:r w:rsidR="0017080B" w:rsidRPr="00756E94">
        <w:rPr>
          <w:szCs w:val="24"/>
        </w:rPr>
        <w:t xml:space="preserve"> of the GIS data that </w:t>
      </w:r>
      <w:proofErr w:type="gramStart"/>
      <w:r w:rsidR="0017080B" w:rsidRPr="00756E94">
        <w:rPr>
          <w:szCs w:val="24"/>
        </w:rPr>
        <w:t>were collected</w:t>
      </w:r>
      <w:proofErr w:type="gramEnd"/>
      <w:r w:rsidR="0017080B" w:rsidRPr="00756E94">
        <w:rPr>
          <w:szCs w:val="24"/>
        </w:rPr>
        <w:t>.  For example, for the nutrition environment, this may entail verifying the existence of commercial food venues identified in the GIS data.</w:t>
      </w:r>
    </w:p>
    <w:p w:rsidR="004116D2" w:rsidRPr="00756E94" w:rsidRDefault="006C7959" w:rsidP="00756E94">
      <w:pPr>
        <w:pStyle w:val="BHNormal"/>
        <w:rPr>
          <w:szCs w:val="24"/>
        </w:rPr>
      </w:pPr>
      <w:r w:rsidRPr="00756E94">
        <w:rPr>
          <w:szCs w:val="24"/>
        </w:rPr>
        <w:t xml:space="preserve"> </w:t>
      </w:r>
    </w:p>
    <w:p w:rsidR="004116D2" w:rsidRPr="00756E94" w:rsidRDefault="00AD1E7E" w:rsidP="00756E94">
      <w:pPr>
        <w:pStyle w:val="BHNormal"/>
        <w:rPr>
          <w:szCs w:val="24"/>
        </w:rPr>
      </w:pPr>
      <w:r w:rsidRPr="00756E94">
        <w:rPr>
          <w:b/>
          <w:i/>
          <w:szCs w:val="24"/>
        </w:rPr>
        <w:t>Physical Activity Environment</w:t>
      </w:r>
      <w:r w:rsidR="004E3486">
        <w:rPr>
          <w:b/>
          <w:i/>
          <w:szCs w:val="24"/>
        </w:rPr>
        <w:t xml:space="preserve">:  </w:t>
      </w:r>
      <w:r w:rsidRPr="00756E94">
        <w:rPr>
          <w:szCs w:val="24"/>
        </w:rPr>
        <w:t xml:space="preserve">Baseline observational assessments of the physical activity environment </w:t>
      </w:r>
      <w:proofErr w:type="gramStart"/>
      <w:r w:rsidRPr="00756E94">
        <w:rPr>
          <w:szCs w:val="24"/>
        </w:rPr>
        <w:t>will be conducted</w:t>
      </w:r>
      <w:proofErr w:type="gramEnd"/>
      <w:r w:rsidRPr="00756E94">
        <w:rPr>
          <w:szCs w:val="24"/>
        </w:rPr>
        <w:t xml:space="preserve"> in up to four randomly selected schools (two elementary and two middle schools) per community. </w:t>
      </w:r>
      <w:r w:rsidR="00E2491A" w:rsidRPr="00756E94">
        <w:rPr>
          <w:szCs w:val="24"/>
        </w:rPr>
        <w:t xml:space="preserve"> </w:t>
      </w:r>
      <w:r w:rsidR="0017080B" w:rsidRPr="00756E94">
        <w:rPr>
          <w:szCs w:val="24"/>
        </w:rPr>
        <w:t xml:space="preserve">The Battelle community liaison will interview a member of the physical education staff at the school, and </w:t>
      </w:r>
      <w:proofErr w:type="gramStart"/>
      <w:r w:rsidR="0017080B" w:rsidRPr="00756E94">
        <w:rPr>
          <w:szCs w:val="24"/>
        </w:rPr>
        <w:t>will also</w:t>
      </w:r>
      <w:proofErr w:type="gramEnd"/>
      <w:r w:rsidR="0017080B" w:rsidRPr="00756E94">
        <w:rPr>
          <w:szCs w:val="24"/>
        </w:rPr>
        <w:t xml:space="preserve"> observe the school’s physical activity resources using the Physical Activity Resource Assessment (School PARA) form.  In addition, questions </w:t>
      </w:r>
      <w:proofErr w:type="gramStart"/>
      <w:r w:rsidR="0017080B" w:rsidRPr="00756E94">
        <w:rPr>
          <w:szCs w:val="24"/>
        </w:rPr>
        <w:t>will be asked</w:t>
      </w:r>
      <w:proofErr w:type="gramEnd"/>
      <w:r w:rsidR="0017080B" w:rsidRPr="00756E94">
        <w:rPr>
          <w:szCs w:val="24"/>
        </w:rPr>
        <w:t xml:space="preserve"> of the principals of the schools selected for observations during the key informant interview.  </w:t>
      </w:r>
    </w:p>
    <w:p w:rsidR="004116D2" w:rsidRPr="00756E94" w:rsidRDefault="004116D2" w:rsidP="00756E94">
      <w:pPr>
        <w:pStyle w:val="BHNormal"/>
        <w:rPr>
          <w:szCs w:val="24"/>
        </w:rPr>
      </w:pPr>
    </w:p>
    <w:p w:rsidR="004116D2" w:rsidRPr="00756E94" w:rsidRDefault="00AD1E7E" w:rsidP="00756E94">
      <w:pPr>
        <w:pStyle w:val="BHNormal"/>
        <w:rPr>
          <w:szCs w:val="24"/>
        </w:rPr>
      </w:pPr>
      <w:r w:rsidRPr="00756E94">
        <w:rPr>
          <w:szCs w:val="24"/>
        </w:rPr>
        <w:t xml:space="preserve">Furthermore, key informants who are particularly knowledgeable about parks and recreation and other physical activity resources in the community will answer additional questions. </w:t>
      </w:r>
      <w:r w:rsidR="00E2491A" w:rsidRPr="00756E94">
        <w:rPr>
          <w:szCs w:val="24"/>
        </w:rPr>
        <w:t xml:space="preserve"> </w:t>
      </w:r>
      <w:r w:rsidR="0017080B" w:rsidRPr="00756E94">
        <w:rPr>
          <w:szCs w:val="24"/>
        </w:rPr>
        <w:t xml:space="preserve">The Battelle community liaison will conduct a </w:t>
      </w:r>
      <w:proofErr w:type="gramStart"/>
      <w:r w:rsidR="0017080B" w:rsidRPr="00756E94">
        <w:rPr>
          <w:szCs w:val="24"/>
        </w:rPr>
        <w:t>15 minute</w:t>
      </w:r>
      <w:proofErr w:type="gramEnd"/>
      <w:r w:rsidR="0017080B" w:rsidRPr="00756E94">
        <w:rPr>
          <w:szCs w:val="24"/>
        </w:rPr>
        <w:t xml:space="preserve"> interview with this individual to gather information about community resource availability and accessibility, physical activity related community collaborations, park and trail use and general features, and other information related to physical activity resources in the community.</w:t>
      </w:r>
    </w:p>
    <w:p w:rsidR="004116D2" w:rsidRPr="00756E94" w:rsidRDefault="004116D2" w:rsidP="00756E94">
      <w:pPr>
        <w:pStyle w:val="BHNormal"/>
        <w:rPr>
          <w:szCs w:val="24"/>
        </w:rPr>
      </w:pPr>
    </w:p>
    <w:p w:rsidR="004116D2" w:rsidRPr="00756E94" w:rsidRDefault="00A223EB" w:rsidP="00756E94">
      <w:pPr>
        <w:pStyle w:val="BHNormal"/>
        <w:rPr>
          <w:szCs w:val="24"/>
          <w:highlight w:val="yellow"/>
        </w:rPr>
      </w:pPr>
      <w:r w:rsidRPr="00756E94">
        <w:rPr>
          <w:rFonts w:eastAsia="Times New Roman"/>
          <w:szCs w:val="24"/>
        </w:rPr>
        <w:t>The physical education interview will gather data about physical activity resources and facilities on school campuses, the provision of physical education, recess, and other physical activity opportunities at schools, the community partnerships established for providing physical activity opportunities, and the norms and culture for physical activity at the schools.</w:t>
      </w:r>
      <w:r w:rsidR="0017080B" w:rsidRPr="00756E94">
        <w:rPr>
          <w:szCs w:val="24"/>
          <w:highlight w:val="yellow"/>
        </w:rPr>
        <w:t xml:space="preserve"> </w:t>
      </w:r>
    </w:p>
    <w:p w:rsidR="004116D2" w:rsidRPr="00756E94" w:rsidRDefault="004116D2" w:rsidP="00756E94">
      <w:pPr>
        <w:pStyle w:val="BHNormal"/>
        <w:rPr>
          <w:szCs w:val="24"/>
          <w:highlight w:val="yellow"/>
        </w:rPr>
      </w:pPr>
    </w:p>
    <w:p w:rsidR="004116D2" w:rsidRPr="00756E94" w:rsidRDefault="00A223EB" w:rsidP="00756E94">
      <w:pPr>
        <w:pStyle w:val="BHNormal"/>
        <w:rPr>
          <w:rFonts w:eastAsia="Times New Roman"/>
          <w:szCs w:val="24"/>
        </w:rPr>
      </w:pPr>
      <w:r w:rsidRPr="00756E94">
        <w:rPr>
          <w:rFonts w:eastAsia="Times New Roman"/>
          <w:szCs w:val="24"/>
        </w:rPr>
        <w:t xml:space="preserve">The School PARA </w:t>
      </w:r>
      <w:proofErr w:type="gramStart"/>
      <w:r w:rsidRPr="00756E94">
        <w:rPr>
          <w:rFonts w:eastAsia="Times New Roman"/>
          <w:szCs w:val="24"/>
        </w:rPr>
        <w:t>will be conducted</w:t>
      </w:r>
      <w:proofErr w:type="gramEnd"/>
      <w:r w:rsidRPr="00756E94">
        <w:rPr>
          <w:rFonts w:eastAsia="Times New Roman"/>
          <w:szCs w:val="24"/>
        </w:rPr>
        <w:t xml:space="preserve"> for both indoor and outdoor features of the environment related to physical activity. </w:t>
      </w:r>
      <w:r w:rsidR="00E2491A" w:rsidRPr="00756E94">
        <w:rPr>
          <w:rFonts w:eastAsia="Times New Roman"/>
          <w:szCs w:val="24"/>
        </w:rPr>
        <w:t xml:space="preserve"> </w:t>
      </w:r>
      <w:r w:rsidRPr="00756E94">
        <w:rPr>
          <w:rFonts w:eastAsia="Times New Roman"/>
          <w:szCs w:val="24"/>
        </w:rPr>
        <w:t>This form characterizes the features, amenities, and incivilities of the physical activity environment(s) in the school, the hours, availab</w:t>
      </w:r>
      <w:r w:rsidR="0017080B" w:rsidRPr="00756E94">
        <w:rPr>
          <w:rFonts w:eastAsia="Times New Roman"/>
          <w:szCs w:val="24"/>
        </w:rPr>
        <w:t>ility, and capacity of the facilities, and size and cost of use of these environments.</w:t>
      </w:r>
    </w:p>
    <w:p w:rsidR="004116D2" w:rsidRPr="00756E94" w:rsidRDefault="004116D2" w:rsidP="00756E94">
      <w:pPr>
        <w:pStyle w:val="BHNormal"/>
        <w:rPr>
          <w:szCs w:val="24"/>
        </w:rPr>
      </w:pPr>
    </w:p>
    <w:p w:rsidR="004116D2" w:rsidRPr="00756E94" w:rsidRDefault="00A32FD6" w:rsidP="00756E94">
      <w:pPr>
        <w:pStyle w:val="BHNormal"/>
        <w:rPr>
          <w:szCs w:val="24"/>
        </w:rPr>
      </w:pPr>
      <w:r w:rsidRPr="00756E94">
        <w:rPr>
          <w:szCs w:val="24"/>
        </w:rPr>
        <w:t>GIS</w:t>
      </w:r>
      <w:r w:rsidR="00AD1E7E" w:rsidRPr="00756E94">
        <w:rPr>
          <w:szCs w:val="24"/>
        </w:rPr>
        <w:t xml:space="preserve"> mapping and analyses conducted at baseline will also provide information related to the physical activity environment.  When the </w:t>
      </w:r>
      <w:r w:rsidR="006C7959" w:rsidRPr="00756E94">
        <w:rPr>
          <w:szCs w:val="24"/>
        </w:rPr>
        <w:t xml:space="preserve">Battelle </w:t>
      </w:r>
      <w:r w:rsidR="00AD1E7E" w:rsidRPr="00756E94">
        <w:rPr>
          <w:szCs w:val="24"/>
        </w:rPr>
        <w:t>community liaison returns to the community within three months of their baseline visit in the RIPA communities, s/he will also conduct limited ground-</w:t>
      </w:r>
      <w:proofErr w:type="spellStart"/>
      <w:r w:rsidR="00AD1E7E" w:rsidRPr="00756E94">
        <w:rPr>
          <w:szCs w:val="24"/>
        </w:rPr>
        <w:t>truthing</w:t>
      </w:r>
      <w:proofErr w:type="spellEnd"/>
      <w:r w:rsidR="00AD1E7E" w:rsidRPr="00756E94">
        <w:rPr>
          <w:szCs w:val="24"/>
        </w:rPr>
        <w:t xml:space="preserve"> of the physical activity GIS data. </w:t>
      </w:r>
      <w:r w:rsidR="0017080B" w:rsidRPr="00756E94">
        <w:rPr>
          <w:szCs w:val="24"/>
        </w:rPr>
        <w:t xml:space="preserve"> For example, for the physical activity environment, this may entail verifying the existence of parks.  The physical activity environment </w:t>
      </w:r>
      <w:proofErr w:type="gramStart"/>
      <w:r w:rsidR="0017080B" w:rsidRPr="00756E94">
        <w:rPr>
          <w:szCs w:val="24"/>
        </w:rPr>
        <w:t>will be further characterized</w:t>
      </w:r>
      <w:proofErr w:type="gramEnd"/>
      <w:r w:rsidR="0017080B" w:rsidRPr="00756E94">
        <w:rPr>
          <w:szCs w:val="24"/>
        </w:rPr>
        <w:t xml:space="preserve"> in the RIPA communities by the completion of the full PARA for schools, parks, and trails identified within the community.  </w:t>
      </w:r>
    </w:p>
    <w:p w:rsidR="004116D2" w:rsidRDefault="004116D2">
      <w:pPr>
        <w:pStyle w:val="BHNormal"/>
        <w:rPr>
          <w:b/>
          <w:bCs/>
          <w:i/>
          <w:sz w:val="20"/>
          <w:szCs w:val="20"/>
        </w:rPr>
      </w:pPr>
    </w:p>
    <w:p w:rsidR="004116D2" w:rsidRPr="00756E94" w:rsidRDefault="004E3486" w:rsidP="00756E94">
      <w:pPr>
        <w:pStyle w:val="BHNormal"/>
        <w:tabs>
          <w:tab w:val="left" w:pos="900"/>
        </w:tabs>
        <w:rPr>
          <w:b/>
          <w:i/>
        </w:rPr>
      </w:pPr>
      <w:bookmarkStart w:id="84" w:name="_Toc299107951"/>
      <w:r>
        <w:rPr>
          <w:b/>
          <w:i/>
        </w:rPr>
        <w:t xml:space="preserve">B.2.a.3    </w:t>
      </w:r>
      <w:r w:rsidR="00AD1E7E" w:rsidRPr="00756E94">
        <w:rPr>
          <w:b/>
          <w:i/>
        </w:rPr>
        <w:t>Prospective Assessments in RIPA Communities</w:t>
      </w:r>
      <w:bookmarkEnd w:id="84"/>
    </w:p>
    <w:p w:rsidR="004116D2" w:rsidRDefault="00AD1E7E">
      <w:pPr>
        <w:adjustRightInd w:val="0"/>
        <w:rPr>
          <w:sz w:val="24"/>
        </w:rPr>
      </w:pPr>
      <w:r w:rsidRPr="00B03154">
        <w:rPr>
          <w:sz w:val="24"/>
        </w:rPr>
        <w:t xml:space="preserve">In RIPA communities, the key informants who </w:t>
      </w:r>
      <w:proofErr w:type="gramStart"/>
      <w:r w:rsidRPr="00B03154">
        <w:rPr>
          <w:sz w:val="24"/>
        </w:rPr>
        <w:t>were interviewed</w:t>
      </w:r>
      <w:proofErr w:type="gramEnd"/>
      <w:r w:rsidRPr="00B03154">
        <w:rPr>
          <w:sz w:val="24"/>
        </w:rPr>
        <w:t xml:space="preserve"> at baseline will be contacted to participate in a follow-up interview with the </w:t>
      </w:r>
      <w:r w:rsidR="009F3F90" w:rsidRPr="00B03154">
        <w:rPr>
          <w:sz w:val="24"/>
        </w:rPr>
        <w:t>Battelle c</w:t>
      </w:r>
      <w:r w:rsidRPr="00B03154">
        <w:rPr>
          <w:sz w:val="24"/>
        </w:rPr>
        <w:t xml:space="preserve">ommunity </w:t>
      </w:r>
      <w:r w:rsidR="009F3F90" w:rsidRPr="00B03154">
        <w:rPr>
          <w:sz w:val="24"/>
        </w:rPr>
        <w:t>l</w:t>
      </w:r>
      <w:r w:rsidRPr="00B03154">
        <w:rPr>
          <w:sz w:val="24"/>
        </w:rPr>
        <w:t xml:space="preserve">iaison. </w:t>
      </w:r>
      <w:r w:rsidR="00970D0B" w:rsidRPr="00B03154">
        <w:rPr>
          <w:sz w:val="24"/>
        </w:rPr>
        <w:t xml:space="preserve"> </w:t>
      </w:r>
      <w:r w:rsidRPr="00B03154">
        <w:rPr>
          <w:sz w:val="24"/>
        </w:rPr>
        <w:t>This interview, in addition to a full program documentation review and abstraction, will serve</w:t>
      </w:r>
      <w:r w:rsidR="0017080B" w:rsidRPr="0017080B">
        <w:rPr>
          <w:sz w:val="24"/>
        </w:rPr>
        <w:t xml:space="preserve"> to document the </w:t>
      </w:r>
      <w:r w:rsidR="0017080B" w:rsidRPr="0017080B">
        <w:rPr>
          <w:sz w:val="24"/>
        </w:rPr>
        <w:lastRenderedPageBreak/>
        <w:t xml:space="preserve">disposition and outcomes of the various programs and policies discussed at baseline (approximately three years prior), which can then be linked to any noted changes in child participant health outcomes (mainly BMI) in that community. </w:t>
      </w:r>
    </w:p>
    <w:p w:rsidR="004116D2" w:rsidRDefault="004116D2">
      <w:pPr>
        <w:adjustRightInd w:val="0"/>
        <w:rPr>
          <w:sz w:val="24"/>
        </w:rPr>
      </w:pPr>
    </w:p>
    <w:p w:rsidR="004116D2" w:rsidRDefault="00AD1E7E">
      <w:pPr>
        <w:adjustRightInd w:val="0"/>
        <w:rPr>
          <w:sz w:val="24"/>
        </w:rPr>
      </w:pPr>
      <w:r w:rsidRPr="00B03154">
        <w:rPr>
          <w:sz w:val="24"/>
        </w:rPr>
        <w:t xml:space="preserve">Contact with key informants in the RIPA communities will also occur through designated </w:t>
      </w:r>
      <w:r w:rsidR="006C7959" w:rsidRPr="00B03154">
        <w:rPr>
          <w:sz w:val="24"/>
        </w:rPr>
        <w:t>community documenters</w:t>
      </w:r>
      <w:r w:rsidR="006C7959">
        <w:rPr>
          <w:sz w:val="24"/>
        </w:rPr>
        <w:t xml:space="preserve"> (as described in </w:t>
      </w:r>
      <w:r w:rsidR="00607BE8">
        <w:rPr>
          <w:sz w:val="24"/>
        </w:rPr>
        <w:t>S</w:t>
      </w:r>
      <w:r w:rsidR="006C7959">
        <w:rPr>
          <w:sz w:val="24"/>
        </w:rPr>
        <w:t>ection B.2.a.2)</w:t>
      </w:r>
      <w:r w:rsidRPr="00B03154">
        <w:rPr>
          <w:sz w:val="24"/>
        </w:rPr>
        <w:t xml:space="preserve">. </w:t>
      </w:r>
      <w:r w:rsidR="00970D0B" w:rsidRPr="00B03154">
        <w:rPr>
          <w:sz w:val="24"/>
        </w:rPr>
        <w:t xml:space="preserve"> </w:t>
      </w:r>
      <w:r w:rsidRPr="00B03154">
        <w:rPr>
          <w:sz w:val="24"/>
        </w:rPr>
        <w:t xml:space="preserve">On an approximate quarterly basis, following the baseline interview, the </w:t>
      </w:r>
      <w:r w:rsidR="006C7959" w:rsidRPr="00B03154">
        <w:rPr>
          <w:sz w:val="24"/>
        </w:rPr>
        <w:t xml:space="preserve">community documenters </w:t>
      </w:r>
      <w:r w:rsidRPr="00B03154">
        <w:rPr>
          <w:sz w:val="24"/>
        </w:rPr>
        <w:t xml:space="preserve">will contact key informants to access and then review </w:t>
      </w:r>
      <w:r w:rsidR="0017080B" w:rsidRPr="0017080B">
        <w:rPr>
          <w:sz w:val="24"/>
        </w:rPr>
        <w:t xml:space="preserve">and document any new or updated program and policy literature.  Upon review and abstraction, the </w:t>
      </w:r>
      <w:r w:rsidR="006C7959" w:rsidRPr="0017080B">
        <w:rPr>
          <w:sz w:val="24"/>
        </w:rPr>
        <w:t xml:space="preserve">community documenter </w:t>
      </w:r>
      <w:r w:rsidR="0017080B" w:rsidRPr="0017080B">
        <w:rPr>
          <w:sz w:val="24"/>
        </w:rPr>
        <w:t xml:space="preserve">will update the electronic program/policy data abstraction form accordingly.  </w:t>
      </w:r>
    </w:p>
    <w:p w:rsidR="004116D2" w:rsidRDefault="004116D2">
      <w:pPr>
        <w:adjustRightInd w:val="0"/>
        <w:rPr>
          <w:sz w:val="24"/>
        </w:rPr>
      </w:pPr>
    </w:p>
    <w:p w:rsidR="004116D2" w:rsidRDefault="00AD1E7E" w:rsidP="00756E94">
      <w:pPr>
        <w:pStyle w:val="BHLevel3"/>
        <w:tabs>
          <w:tab w:val="left" w:pos="720"/>
        </w:tabs>
      </w:pPr>
      <w:bookmarkStart w:id="85" w:name="_Toc299107952"/>
      <w:bookmarkStart w:id="86" w:name="_Toc301448672"/>
      <w:bookmarkStart w:id="87" w:name="_Toc301448761"/>
      <w:bookmarkStart w:id="88" w:name="_Toc301448828"/>
      <w:r w:rsidRPr="00B03154">
        <w:t>B.2.b</w:t>
      </w:r>
      <w:r w:rsidRPr="00B03154">
        <w:tab/>
        <w:t>Data Collected at the Child/Parent Participant Level</w:t>
      </w:r>
      <w:bookmarkEnd w:id="85"/>
      <w:bookmarkEnd w:id="86"/>
      <w:bookmarkEnd w:id="87"/>
      <w:bookmarkEnd w:id="88"/>
    </w:p>
    <w:p w:rsidR="004116D2" w:rsidRPr="00756E94" w:rsidRDefault="004116D2" w:rsidP="00756E94">
      <w:pPr>
        <w:pStyle w:val="BHNormal"/>
      </w:pPr>
    </w:p>
    <w:p w:rsidR="004116D2" w:rsidRPr="00756E94" w:rsidRDefault="004E3486" w:rsidP="00756E94">
      <w:pPr>
        <w:pStyle w:val="BHNormal"/>
        <w:rPr>
          <w:b/>
          <w:i/>
        </w:rPr>
      </w:pPr>
      <w:bookmarkStart w:id="89" w:name="_Toc299107953"/>
      <w:r>
        <w:rPr>
          <w:b/>
          <w:i/>
        </w:rPr>
        <w:t xml:space="preserve">B.2.b.1    </w:t>
      </w:r>
      <w:r w:rsidR="00AD1E7E" w:rsidRPr="00756E94">
        <w:rPr>
          <w:b/>
          <w:i/>
        </w:rPr>
        <w:t>Anthropometrics</w:t>
      </w:r>
      <w:bookmarkEnd w:id="89"/>
    </w:p>
    <w:p w:rsidR="004116D2" w:rsidRDefault="00AD1E7E">
      <w:pPr>
        <w:pStyle w:val="BHNormal"/>
        <w:rPr>
          <w:szCs w:val="24"/>
        </w:rPr>
      </w:pPr>
      <w:r w:rsidRPr="00B03154">
        <w:rPr>
          <w:szCs w:val="24"/>
        </w:rPr>
        <w:t xml:space="preserve">Anthropometric measurements </w:t>
      </w:r>
      <w:proofErr w:type="gramStart"/>
      <w:r w:rsidRPr="00B03154">
        <w:rPr>
          <w:szCs w:val="24"/>
        </w:rPr>
        <w:t>will be taken</w:t>
      </w:r>
      <w:proofErr w:type="gramEnd"/>
      <w:r w:rsidRPr="00B03154">
        <w:rPr>
          <w:szCs w:val="24"/>
        </w:rPr>
        <w:t xml:space="preserve"> at </w:t>
      </w:r>
      <w:r w:rsidR="007E5673">
        <w:rPr>
          <w:szCs w:val="24"/>
        </w:rPr>
        <w:t>the initial household visit</w:t>
      </w:r>
      <w:r w:rsidR="007E5673" w:rsidRPr="00B03154">
        <w:rPr>
          <w:szCs w:val="24"/>
        </w:rPr>
        <w:t xml:space="preserve"> </w:t>
      </w:r>
      <w:r w:rsidRPr="00B03154">
        <w:rPr>
          <w:szCs w:val="24"/>
        </w:rPr>
        <w:t xml:space="preserve">for all participants (and </w:t>
      </w:r>
      <w:r w:rsidR="00055AA0" w:rsidRPr="00B03154">
        <w:rPr>
          <w:szCs w:val="24"/>
        </w:rPr>
        <w:t>repeated</w:t>
      </w:r>
      <w:r w:rsidRPr="00B03154">
        <w:rPr>
          <w:szCs w:val="24"/>
        </w:rPr>
        <w:t xml:space="preserve"> </w:t>
      </w:r>
      <w:r w:rsidR="003F5903" w:rsidRPr="00B03154">
        <w:rPr>
          <w:szCs w:val="24"/>
        </w:rPr>
        <w:t xml:space="preserve">three </w:t>
      </w:r>
      <w:r w:rsidR="0017080B" w:rsidRPr="0017080B">
        <w:rPr>
          <w:szCs w:val="24"/>
        </w:rPr>
        <w:t xml:space="preserve">years after baseline for participants in the RIPA communities).  Anthropometric measurements to be collected include </w:t>
      </w:r>
      <w:r w:rsidR="007E5673">
        <w:rPr>
          <w:szCs w:val="24"/>
        </w:rPr>
        <w:t xml:space="preserve">the </w:t>
      </w:r>
      <w:r w:rsidR="0017080B" w:rsidRPr="0017080B">
        <w:rPr>
          <w:szCs w:val="24"/>
        </w:rPr>
        <w:t xml:space="preserve">height, weight, and waist circumference of the child and </w:t>
      </w:r>
      <w:r w:rsidR="007E5673">
        <w:rPr>
          <w:szCs w:val="24"/>
        </w:rPr>
        <w:t xml:space="preserve">the </w:t>
      </w:r>
      <w:r w:rsidR="0017080B" w:rsidRPr="0017080B">
        <w:rPr>
          <w:szCs w:val="24"/>
        </w:rPr>
        <w:t>height and weight of the biological parent(s) either via measurement (if available during home visit), or self- or proxy-report.  Measurements will be made according to the NHANES protocol, recorded in metric units (centimeters and kilograms), and measured to the nearest .1 cm and .1 kg.  BMI will be calculated by dividing weight in kilograms by height in meters squared (kg/ m</w:t>
      </w:r>
      <w:r w:rsidR="0017080B" w:rsidRPr="0017080B">
        <w:rPr>
          <w:szCs w:val="24"/>
          <w:vertAlign w:val="superscript"/>
        </w:rPr>
        <w:t>2</w:t>
      </w:r>
      <w:r w:rsidR="0017080B" w:rsidRPr="0017080B">
        <w:rPr>
          <w:szCs w:val="24"/>
        </w:rPr>
        <w:t xml:space="preserve">).  Height and weight </w:t>
      </w:r>
      <w:proofErr w:type="gramStart"/>
      <w:r w:rsidR="0017080B" w:rsidRPr="0017080B">
        <w:rPr>
          <w:szCs w:val="24"/>
        </w:rPr>
        <w:t>will be measured</w:t>
      </w:r>
      <w:proofErr w:type="gramEnd"/>
      <w:r w:rsidR="0017080B" w:rsidRPr="0017080B">
        <w:rPr>
          <w:szCs w:val="24"/>
        </w:rPr>
        <w:t xml:space="preserve"> twice during each home visit.  </w:t>
      </w:r>
      <w:r w:rsidR="0017080B" w:rsidRPr="0017080B">
        <w:t xml:space="preserve">For participants who receive the Enhanced Protocol, anthropometry </w:t>
      </w:r>
      <w:proofErr w:type="gramStart"/>
      <w:r w:rsidR="0017080B" w:rsidRPr="0017080B">
        <w:t>will be measured</w:t>
      </w:r>
      <w:proofErr w:type="gramEnd"/>
      <w:r w:rsidR="0017080B" w:rsidRPr="0017080B">
        <w:t xml:space="preserve"> one week later in addition to during the first home visit.</w:t>
      </w:r>
      <w:r w:rsidR="0017080B" w:rsidRPr="0017080B">
        <w:rPr>
          <w:szCs w:val="24"/>
        </w:rPr>
        <w:t xml:space="preserve"> </w:t>
      </w:r>
    </w:p>
    <w:p w:rsidR="004116D2" w:rsidRDefault="004116D2">
      <w:pPr>
        <w:pStyle w:val="BHNormal"/>
        <w:rPr>
          <w:szCs w:val="24"/>
        </w:rPr>
      </w:pPr>
    </w:p>
    <w:p w:rsidR="004116D2" w:rsidRPr="00756E94" w:rsidRDefault="004E3486" w:rsidP="00756E94">
      <w:pPr>
        <w:pStyle w:val="BHNormal"/>
        <w:rPr>
          <w:b/>
          <w:i/>
        </w:rPr>
      </w:pPr>
      <w:bookmarkStart w:id="90" w:name="_Toc299107954"/>
      <w:r>
        <w:rPr>
          <w:b/>
          <w:i/>
        </w:rPr>
        <w:t xml:space="preserve">B.2.b.2    </w:t>
      </w:r>
      <w:r w:rsidR="00AD1E7E" w:rsidRPr="00756E94">
        <w:rPr>
          <w:b/>
          <w:i/>
        </w:rPr>
        <w:t>Medical Record Review</w:t>
      </w:r>
      <w:bookmarkEnd w:id="90"/>
    </w:p>
    <w:p w:rsidR="004116D2" w:rsidRPr="00756E94" w:rsidRDefault="00AD1E7E">
      <w:pPr>
        <w:adjustRightInd w:val="0"/>
        <w:rPr>
          <w:sz w:val="24"/>
        </w:rPr>
      </w:pPr>
      <w:r w:rsidRPr="00756E94">
        <w:rPr>
          <w:sz w:val="24"/>
        </w:rPr>
        <w:t>Medical record</w:t>
      </w:r>
      <w:r w:rsidR="00313806" w:rsidRPr="00756E94">
        <w:rPr>
          <w:sz w:val="24"/>
        </w:rPr>
        <w:t>s</w:t>
      </w:r>
      <w:r w:rsidRPr="00756E94">
        <w:rPr>
          <w:sz w:val="24"/>
        </w:rPr>
        <w:t xml:space="preserve"> </w:t>
      </w:r>
      <w:r w:rsidR="00313806" w:rsidRPr="00756E94">
        <w:rPr>
          <w:sz w:val="24"/>
        </w:rPr>
        <w:t xml:space="preserve">for each child participant </w:t>
      </w:r>
      <w:proofErr w:type="gramStart"/>
      <w:r w:rsidR="00313806" w:rsidRPr="00756E94">
        <w:rPr>
          <w:sz w:val="24"/>
        </w:rPr>
        <w:t xml:space="preserve">will be </w:t>
      </w:r>
      <w:r w:rsidRPr="00756E94">
        <w:rPr>
          <w:sz w:val="24"/>
        </w:rPr>
        <w:t>abstract</w:t>
      </w:r>
      <w:r w:rsidR="00313806" w:rsidRPr="00756E94">
        <w:rPr>
          <w:sz w:val="24"/>
        </w:rPr>
        <w:t>ed</w:t>
      </w:r>
      <w:proofErr w:type="gramEnd"/>
      <w:r w:rsidRPr="00756E94">
        <w:rPr>
          <w:sz w:val="24"/>
        </w:rPr>
        <w:t xml:space="preserve"> to develop</w:t>
      </w:r>
      <w:r w:rsidR="0017378A" w:rsidRPr="00756E94">
        <w:rPr>
          <w:sz w:val="24"/>
        </w:rPr>
        <w:t>, where possible,</w:t>
      </w:r>
      <w:r w:rsidRPr="00756E94">
        <w:rPr>
          <w:sz w:val="24"/>
        </w:rPr>
        <w:t xml:space="preserve"> longitudinal BMI trajectories</w:t>
      </w:r>
      <w:r w:rsidR="0017080B" w:rsidRPr="00756E94">
        <w:rPr>
          <w:sz w:val="24"/>
        </w:rPr>
        <w:t xml:space="preserve"> </w:t>
      </w:r>
      <w:r w:rsidR="00C43FAF" w:rsidRPr="00756E94">
        <w:rPr>
          <w:sz w:val="24"/>
        </w:rPr>
        <w:t xml:space="preserve">for </w:t>
      </w:r>
      <w:r w:rsidR="0017378A" w:rsidRPr="00756E94">
        <w:rPr>
          <w:sz w:val="24"/>
        </w:rPr>
        <w:t xml:space="preserve">the </w:t>
      </w:r>
      <w:r w:rsidR="001E0A00" w:rsidRPr="00756E94">
        <w:rPr>
          <w:sz w:val="24"/>
        </w:rPr>
        <w:t xml:space="preserve">previous </w:t>
      </w:r>
      <w:r w:rsidR="00C43FAF" w:rsidRPr="00756E94">
        <w:rPr>
          <w:sz w:val="24"/>
        </w:rPr>
        <w:t>10 years</w:t>
      </w:r>
      <w:r w:rsidR="0017080B" w:rsidRPr="00756E94">
        <w:rPr>
          <w:sz w:val="24"/>
        </w:rPr>
        <w:t xml:space="preserve">.  Any indication of nutritional, physical </w:t>
      </w:r>
      <w:proofErr w:type="gramStart"/>
      <w:r w:rsidR="0017080B" w:rsidRPr="00756E94">
        <w:rPr>
          <w:sz w:val="24"/>
        </w:rPr>
        <w:t>activity,</w:t>
      </w:r>
      <w:proofErr w:type="gramEnd"/>
      <w:r w:rsidR="0017080B" w:rsidRPr="00756E94">
        <w:rPr>
          <w:sz w:val="24"/>
        </w:rPr>
        <w:t xml:space="preserve"> or sedentary activity counseling will also be abstracted from medical records.  </w:t>
      </w:r>
      <w:r w:rsidR="007E5673" w:rsidRPr="00756E94">
        <w:rPr>
          <w:sz w:val="24"/>
        </w:rPr>
        <w:t xml:space="preserve">The presence of other chronic conditions and prescribed medications for those conditions (e.g. asthma, diabetes) </w:t>
      </w:r>
      <w:proofErr w:type="gramStart"/>
      <w:r w:rsidR="007E5673" w:rsidRPr="00756E94">
        <w:rPr>
          <w:sz w:val="24"/>
        </w:rPr>
        <w:t>will also be abstracted</w:t>
      </w:r>
      <w:proofErr w:type="gramEnd"/>
      <w:r w:rsidR="007E5673" w:rsidRPr="00756E94">
        <w:rPr>
          <w:sz w:val="24"/>
        </w:rPr>
        <w:t xml:space="preserve">.  </w:t>
      </w:r>
      <w:r w:rsidR="0017080B" w:rsidRPr="00756E94">
        <w:rPr>
          <w:sz w:val="24"/>
        </w:rPr>
        <w:t xml:space="preserve">At the conclusion of each community assessment, our subcontractor, EMSI, will contact </w:t>
      </w:r>
      <w:r w:rsidR="007E5673" w:rsidRPr="00756E94">
        <w:rPr>
          <w:sz w:val="24"/>
        </w:rPr>
        <w:t>one</w:t>
      </w:r>
      <w:r w:rsidR="0017080B" w:rsidRPr="00756E94">
        <w:rPr>
          <w:sz w:val="24"/>
        </w:rPr>
        <w:t xml:space="preserve"> medical provider for each participant who provided consent to access medical records.  </w:t>
      </w:r>
      <w:r w:rsidR="007E5673" w:rsidRPr="00756E94">
        <w:rPr>
          <w:sz w:val="24"/>
        </w:rPr>
        <w:t xml:space="preserve">Providers </w:t>
      </w:r>
      <w:proofErr w:type="gramStart"/>
      <w:r w:rsidR="007E5673" w:rsidRPr="00756E94">
        <w:rPr>
          <w:sz w:val="24"/>
        </w:rPr>
        <w:t>will be selected</w:t>
      </w:r>
      <w:proofErr w:type="gramEnd"/>
      <w:r w:rsidR="007E5673" w:rsidRPr="00756E94">
        <w:rPr>
          <w:sz w:val="24"/>
        </w:rPr>
        <w:t xml:space="preserve"> based on being the provider that the child has seen most often.  </w:t>
      </w:r>
      <w:r w:rsidR="0017080B" w:rsidRPr="00756E94">
        <w:rPr>
          <w:sz w:val="24"/>
        </w:rPr>
        <w:t>The EMSI data abstractor will load the information into an electronic form that they will upload to the secure study data repository at the conclusion of the abstraction process.  Based on previous experience, we expect that 70% of parents will consent to review of their child’s medical record.</w:t>
      </w:r>
    </w:p>
    <w:p w:rsidR="004116D2" w:rsidRDefault="004116D2">
      <w:pPr>
        <w:adjustRightInd w:val="0"/>
        <w:rPr>
          <w:sz w:val="24"/>
        </w:rPr>
      </w:pPr>
    </w:p>
    <w:p w:rsidR="004116D2" w:rsidRPr="00756E94" w:rsidRDefault="00E70C68" w:rsidP="00756E94">
      <w:pPr>
        <w:pStyle w:val="BHNormal"/>
        <w:rPr>
          <w:b/>
          <w:i/>
        </w:rPr>
      </w:pPr>
      <w:bookmarkStart w:id="91" w:name="_Toc299107955"/>
      <w:r w:rsidRPr="00756E94">
        <w:rPr>
          <w:b/>
          <w:i/>
        </w:rPr>
        <w:t xml:space="preserve">B.2.b.3   </w:t>
      </w:r>
      <w:r w:rsidR="00AD1E7E" w:rsidRPr="00756E94">
        <w:rPr>
          <w:b/>
          <w:i/>
        </w:rPr>
        <w:t>Nutritional Assessments</w:t>
      </w:r>
      <w:bookmarkEnd w:id="91"/>
    </w:p>
    <w:p w:rsidR="004116D2" w:rsidRPr="00756E94" w:rsidRDefault="004116D2" w:rsidP="00756E94">
      <w:pPr>
        <w:pStyle w:val="BHNormal"/>
      </w:pPr>
    </w:p>
    <w:p w:rsidR="004116D2" w:rsidRDefault="00E70C68">
      <w:pPr>
        <w:pStyle w:val="BHNormal"/>
        <w:rPr>
          <w:szCs w:val="24"/>
        </w:rPr>
      </w:pPr>
      <w:r w:rsidRPr="00756E94">
        <w:rPr>
          <w:b/>
          <w:i/>
        </w:rPr>
        <w:t>Standard Protocol</w:t>
      </w:r>
      <w:r w:rsidR="004E3486">
        <w:rPr>
          <w:b/>
          <w:i/>
        </w:rPr>
        <w:t xml:space="preserve">:  </w:t>
      </w:r>
      <w:r w:rsidR="00AD1E7E" w:rsidRPr="00B03154">
        <w:rPr>
          <w:szCs w:val="24"/>
        </w:rPr>
        <w:t xml:space="preserve">Information on food and beverage intake, food patterns and behaviors, breastfeeding, household food insecurity, and perceived family social support, perceived home environment, and perceived community environment regarding healthy eating </w:t>
      </w:r>
      <w:proofErr w:type="gramStart"/>
      <w:r w:rsidR="00AD1E7E" w:rsidRPr="00B03154">
        <w:rPr>
          <w:szCs w:val="24"/>
        </w:rPr>
        <w:t>will be collected</w:t>
      </w:r>
      <w:proofErr w:type="gramEnd"/>
      <w:r w:rsidR="00AD1E7E" w:rsidRPr="00B03154">
        <w:rPr>
          <w:szCs w:val="24"/>
        </w:rPr>
        <w:t xml:space="preserve"> on children of all ages</w:t>
      </w:r>
      <w:r w:rsidR="007E5673">
        <w:rPr>
          <w:szCs w:val="24"/>
        </w:rPr>
        <w:t xml:space="preserve"> enrolled in the study</w:t>
      </w:r>
      <w:r w:rsidR="00AD1E7E" w:rsidRPr="00B03154">
        <w:rPr>
          <w:szCs w:val="24"/>
        </w:rPr>
        <w:t xml:space="preserve">. </w:t>
      </w:r>
      <w:r w:rsidR="0017080B" w:rsidRPr="0017080B">
        <w:rPr>
          <w:szCs w:val="24"/>
        </w:rPr>
        <w:t xml:space="preserve"> For children </w:t>
      </w:r>
      <w:r w:rsidR="0047176E">
        <w:rPr>
          <w:szCs w:val="24"/>
        </w:rPr>
        <w:t>six</w:t>
      </w:r>
      <w:r w:rsidR="0047176E" w:rsidRPr="0017080B">
        <w:rPr>
          <w:szCs w:val="24"/>
        </w:rPr>
        <w:t xml:space="preserve"> </w:t>
      </w:r>
      <w:r w:rsidR="0017080B" w:rsidRPr="0017080B">
        <w:rPr>
          <w:szCs w:val="24"/>
        </w:rPr>
        <w:t xml:space="preserve">years or older, questions will also be asked about the perceived school environment regarding healthy eating.  For children 12 years and older, additional questions </w:t>
      </w:r>
      <w:proofErr w:type="gramStart"/>
      <w:r w:rsidR="0017080B" w:rsidRPr="0017080B">
        <w:rPr>
          <w:szCs w:val="24"/>
        </w:rPr>
        <w:t>will be asked</w:t>
      </w:r>
      <w:proofErr w:type="gramEnd"/>
      <w:r w:rsidR="0017080B" w:rsidRPr="0017080B">
        <w:rPr>
          <w:szCs w:val="24"/>
        </w:rPr>
        <w:t xml:space="preserve"> regarding self-efficacy, motivation, dieting </w:t>
      </w:r>
      <w:r w:rsidR="0017080B" w:rsidRPr="0017080B">
        <w:rPr>
          <w:szCs w:val="24"/>
        </w:rPr>
        <w:lastRenderedPageBreak/>
        <w:t>behaviors, and perceived social support from friends related to healthy eating.</w:t>
      </w:r>
      <w:r w:rsidR="007E5673">
        <w:rPr>
          <w:szCs w:val="24"/>
        </w:rPr>
        <w:t xml:space="preserve"> </w:t>
      </w:r>
      <w:r w:rsidR="007E5673" w:rsidRPr="007E5673">
        <w:rPr>
          <w:szCs w:val="24"/>
        </w:rPr>
        <w:t xml:space="preserve"> Questions will be age appropriate, and either be self-administered (child and parent questions) or parent assisted, depending on the age of the child.   </w:t>
      </w:r>
    </w:p>
    <w:p w:rsidR="004116D2" w:rsidRDefault="004116D2">
      <w:pPr>
        <w:pStyle w:val="BHNormal"/>
        <w:rPr>
          <w:szCs w:val="24"/>
        </w:rPr>
      </w:pPr>
    </w:p>
    <w:p w:rsidR="007E5673" w:rsidRPr="00380FD6" w:rsidRDefault="00E70C68" w:rsidP="007E5673">
      <w:pPr>
        <w:pStyle w:val="BHNormal"/>
        <w:rPr>
          <w:rFonts w:asciiTheme="minorHAnsi" w:hAnsiTheme="minorHAnsi" w:cstheme="minorHAnsi"/>
          <w:szCs w:val="24"/>
        </w:rPr>
      </w:pPr>
      <w:r w:rsidRPr="00756E94">
        <w:rPr>
          <w:b/>
          <w:i/>
        </w:rPr>
        <w:t>Enhanced Protocol</w:t>
      </w:r>
      <w:r w:rsidR="004E3486">
        <w:rPr>
          <w:b/>
          <w:i/>
        </w:rPr>
        <w:t xml:space="preserve">:  </w:t>
      </w:r>
      <w:r w:rsidR="00AD1E7E" w:rsidRPr="00B03154">
        <w:rPr>
          <w:szCs w:val="24"/>
        </w:rPr>
        <w:t xml:space="preserve">In addition to the </w:t>
      </w:r>
      <w:r w:rsidRPr="00B03154">
        <w:rPr>
          <w:szCs w:val="24"/>
        </w:rPr>
        <w:t>standard</w:t>
      </w:r>
      <w:r w:rsidR="00AD1E7E" w:rsidRPr="00B03154">
        <w:rPr>
          <w:szCs w:val="24"/>
        </w:rPr>
        <w:t xml:space="preserve"> nutritional assessments, participants </w:t>
      </w:r>
      <w:r w:rsidRPr="00B03154">
        <w:rPr>
          <w:szCs w:val="24"/>
        </w:rPr>
        <w:t xml:space="preserve">selected for the </w:t>
      </w:r>
      <w:r w:rsidR="0017080B" w:rsidRPr="0017080B">
        <w:rPr>
          <w:szCs w:val="24"/>
        </w:rPr>
        <w:t xml:space="preserve">Enhanced Protocol will complete two 24-hour dietary recalls </w:t>
      </w:r>
      <w:r w:rsidR="007E5673" w:rsidRPr="007E5673">
        <w:rPr>
          <w:szCs w:val="24"/>
        </w:rPr>
        <w:t>approximately one week apart using</w:t>
      </w:r>
      <w:r w:rsidR="007E5673" w:rsidRPr="00380FD6">
        <w:rPr>
          <w:rFonts w:asciiTheme="minorHAnsi" w:hAnsiTheme="minorHAnsi" w:cstheme="minorHAnsi"/>
          <w:szCs w:val="24"/>
        </w:rPr>
        <w:t xml:space="preserve"> </w:t>
      </w:r>
      <w:r w:rsidR="0017080B" w:rsidRPr="0017080B">
        <w:rPr>
          <w:szCs w:val="24"/>
        </w:rPr>
        <w:t xml:space="preserve">the ASA24 (Automated Self-Administered 24-hour Recall). This </w:t>
      </w:r>
      <w:r w:rsidR="007E5673">
        <w:rPr>
          <w:szCs w:val="24"/>
        </w:rPr>
        <w:t xml:space="preserve">online web-based </w:t>
      </w:r>
      <w:r w:rsidR="0017080B" w:rsidRPr="0017080B">
        <w:rPr>
          <w:szCs w:val="24"/>
        </w:rPr>
        <w:t>24-hour dietary recall is a modified version of the U. S. Department of Agriculture (USDA)’s Automated Multiple Pass Method (AMPM), which utilizes multi-level food probes to obtain estimates of types and amounts of food consumed</w:t>
      </w:r>
      <w:r w:rsidR="007E5673">
        <w:rPr>
          <w:szCs w:val="24"/>
        </w:rPr>
        <w:t xml:space="preserve"> on the day prior to the visit</w:t>
      </w:r>
      <w:r w:rsidR="0017080B" w:rsidRPr="0017080B">
        <w:rPr>
          <w:szCs w:val="24"/>
        </w:rPr>
        <w:t xml:space="preserve">.  </w:t>
      </w:r>
      <w:r w:rsidR="007E0E1B">
        <w:rPr>
          <w:szCs w:val="24"/>
        </w:rPr>
        <w:t xml:space="preserve">The ASA 24 </w:t>
      </w:r>
      <w:proofErr w:type="gramStart"/>
      <w:r w:rsidR="007E0E1B">
        <w:rPr>
          <w:szCs w:val="24"/>
        </w:rPr>
        <w:t>has been developed</w:t>
      </w:r>
      <w:proofErr w:type="gramEnd"/>
      <w:r w:rsidR="007E0E1B">
        <w:rPr>
          <w:szCs w:val="24"/>
        </w:rPr>
        <w:t xml:space="preserve"> f</w:t>
      </w:r>
      <w:r w:rsidR="0017080B" w:rsidRPr="0017080B">
        <w:rPr>
          <w:szCs w:val="24"/>
        </w:rPr>
        <w:t xml:space="preserve">or self-administration, </w:t>
      </w:r>
      <w:r w:rsidR="007E0E1B">
        <w:rPr>
          <w:szCs w:val="24"/>
        </w:rPr>
        <w:t>will be completed at the</w:t>
      </w:r>
      <w:r w:rsidR="0017080B" w:rsidRPr="0017080B">
        <w:rPr>
          <w:szCs w:val="24"/>
        </w:rPr>
        <w:t xml:space="preserve"> first and second home visits for Enhanced Protocol participants at baseline (and </w:t>
      </w:r>
      <w:r w:rsidR="007E5673">
        <w:rPr>
          <w:szCs w:val="24"/>
        </w:rPr>
        <w:t xml:space="preserve">will again be administered twice during </w:t>
      </w:r>
      <w:r w:rsidR="0017080B" w:rsidRPr="0017080B">
        <w:rPr>
          <w:szCs w:val="24"/>
        </w:rPr>
        <w:t xml:space="preserve">the in-person follow-up in the RIPA communities </w:t>
      </w:r>
      <w:r w:rsidR="007E5673">
        <w:rPr>
          <w:szCs w:val="24"/>
        </w:rPr>
        <w:t>for Enhanced Protocol participants</w:t>
      </w:r>
      <w:r w:rsidR="0017080B" w:rsidRPr="0017080B">
        <w:rPr>
          <w:szCs w:val="24"/>
        </w:rPr>
        <w:t>).  Data from the 24-hour dietary recall will provide</w:t>
      </w:r>
      <w:r w:rsidR="007E5673">
        <w:rPr>
          <w:szCs w:val="24"/>
        </w:rPr>
        <w:t xml:space="preserve"> estimates of</w:t>
      </w:r>
      <w:r w:rsidR="0017080B" w:rsidRPr="0017080B">
        <w:rPr>
          <w:szCs w:val="24"/>
        </w:rPr>
        <w:t xml:space="preserve"> total intake for all nutrients available in the Food and Nutrient Database for Dietary Studies (FNDDS), food groups included in the </w:t>
      </w:r>
      <w:r w:rsidR="007E5673">
        <w:rPr>
          <w:szCs w:val="24"/>
        </w:rPr>
        <w:t>Food</w:t>
      </w:r>
      <w:r w:rsidR="0017080B" w:rsidRPr="0017080B">
        <w:rPr>
          <w:szCs w:val="24"/>
        </w:rPr>
        <w:t xml:space="preserve"> Equivalents Database (MPED)</w:t>
      </w:r>
      <w:r w:rsidR="007E5673">
        <w:rPr>
          <w:szCs w:val="24"/>
        </w:rPr>
        <w:t xml:space="preserve"> and selected other food sub-groups such as sugar-sweetened beverages as well as</w:t>
      </w:r>
      <w:r w:rsidR="0017080B" w:rsidRPr="0017080B">
        <w:rPr>
          <w:szCs w:val="24"/>
        </w:rPr>
        <w:t xml:space="preserve"> sufficient information to derive summary scores of dietary quality, such as the Healthy Eating Index</w:t>
      </w:r>
      <w:r w:rsidR="007E5673">
        <w:rPr>
          <w:szCs w:val="24"/>
        </w:rPr>
        <w:t>-2005</w:t>
      </w:r>
      <w:r w:rsidR="0017080B" w:rsidRPr="0017080B">
        <w:rPr>
          <w:szCs w:val="24"/>
        </w:rPr>
        <w:t xml:space="preserve"> (HEI</w:t>
      </w:r>
      <w:r w:rsidR="007E5673">
        <w:rPr>
          <w:szCs w:val="24"/>
        </w:rPr>
        <w:t>-2005</w:t>
      </w:r>
      <w:r w:rsidR="0017080B" w:rsidRPr="0017080B">
        <w:rPr>
          <w:szCs w:val="24"/>
        </w:rPr>
        <w:t>).</w:t>
      </w:r>
      <w:r w:rsidR="007E5673">
        <w:rPr>
          <w:szCs w:val="24"/>
        </w:rPr>
        <w:t xml:space="preserve">  </w:t>
      </w:r>
      <w:r w:rsidR="007E5673" w:rsidRPr="007E5673">
        <w:rPr>
          <w:szCs w:val="24"/>
        </w:rPr>
        <w:t xml:space="preserve">The purpose of collecting two recalls on each child is to enable adjustment for within person variability. The adjusted food and nutrient estimates from the ASA24 </w:t>
      </w:r>
      <w:proofErr w:type="gramStart"/>
      <w:r w:rsidR="007E5673" w:rsidRPr="007E5673">
        <w:rPr>
          <w:szCs w:val="24"/>
        </w:rPr>
        <w:t>will be used</w:t>
      </w:r>
      <w:proofErr w:type="gramEnd"/>
      <w:r w:rsidR="007E5673" w:rsidRPr="007E5673">
        <w:rPr>
          <w:szCs w:val="24"/>
        </w:rPr>
        <w:t xml:space="preserve"> to calibrate estimates on children in the entire sample obtained from the Household Interview dietary screener.</w:t>
      </w:r>
    </w:p>
    <w:p w:rsidR="004116D2" w:rsidRDefault="004116D2">
      <w:pPr>
        <w:pStyle w:val="BHNormal"/>
        <w:rPr>
          <w:szCs w:val="24"/>
        </w:rPr>
      </w:pPr>
    </w:p>
    <w:p w:rsidR="004116D2" w:rsidRPr="00756E94" w:rsidRDefault="00E70C68" w:rsidP="00756E94">
      <w:pPr>
        <w:pStyle w:val="BHNormal"/>
        <w:rPr>
          <w:b/>
          <w:i/>
        </w:rPr>
      </w:pPr>
      <w:bookmarkStart w:id="92" w:name="_Toc299107956"/>
      <w:r w:rsidRPr="00756E94">
        <w:rPr>
          <w:b/>
          <w:i/>
        </w:rPr>
        <w:t xml:space="preserve">B.2.b.4   </w:t>
      </w:r>
      <w:r w:rsidR="00AD1E7E" w:rsidRPr="00756E94">
        <w:rPr>
          <w:b/>
          <w:i/>
        </w:rPr>
        <w:t>Physical Activity and Sedentary Behavior</w:t>
      </w:r>
      <w:bookmarkEnd w:id="92"/>
    </w:p>
    <w:p w:rsidR="004116D2" w:rsidRPr="00756E94" w:rsidRDefault="004116D2" w:rsidP="00756E94">
      <w:pPr>
        <w:pStyle w:val="BHNormal"/>
      </w:pPr>
    </w:p>
    <w:p w:rsidR="00AD1E7E" w:rsidRDefault="00E70C68" w:rsidP="00A76A72">
      <w:pPr>
        <w:pStyle w:val="BHNormal"/>
        <w:rPr>
          <w:szCs w:val="24"/>
        </w:rPr>
      </w:pPr>
      <w:r w:rsidRPr="00756E94">
        <w:rPr>
          <w:b/>
          <w:i/>
        </w:rPr>
        <w:t>Standard Protocol</w:t>
      </w:r>
      <w:r w:rsidR="004E3486">
        <w:rPr>
          <w:b/>
          <w:i/>
        </w:rPr>
        <w:t xml:space="preserve">:  </w:t>
      </w:r>
      <w:r w:rsidRPr="00B03154">
        <w:rPr>
          <w:szCs w:val="24"/>
        </w:rPr>
        <w:t xml:space="preserve">All participants </w:t>
      </w:r>
      <w:r w:rsidR="00AD1E7E" w:rsidRPr="00B03154">
        <w:rPr>
          <w:szCs w:val="24"/>
        </w:rPr>
        <w:t xml:space="preserve">will answer questions related to their physical activity (e.g., types of activities; including intensity, frequency, and duration) at home, at school, and in the community, </w:t>
      </w:r>
      <w:r w:rsidR="0017080B" w:rsidRPr="0017080B">
        <w:rPr>
          <w:i/>
          <w:szCs w:val="24"/>
        </w:rPr>
        <w:t>during the previous week</w:t>
      </w:r>
      <w:r w:rsidR="0017080B" w:rsidRPr="0017080B">
        <w:rPr>
          <w:szCs w:val="24"/>
        </w:rPr>
        <w:t xml:space="preserve">, and their parents </w:t>
      </w:r>
      <w:proofErr w:type="gramStart"/>
      <w:r w:rsidR="0017080B" w:rsidRPr="0017080B">
        <w:rPr>
          <w:szCs w:val="24"/>
        </w:rPr>
        <w:t>will be asked</w:t>
      </w:r>
      <w:proofErr w:type="gramEnd"/>
      <w:r w:rsidR="0017080B" w:rsidRPr="0017080B">
        <w:rPr>
          <w:szCs w:val="24"/>
        </w:rPr>
        <w:t xml:space="preserve"> questions related to their children’s activities as well as physical activity resources available at home and in their community.  Questions will be gender specific and age appropriate, and either be self-administered (child and parent questions) or parent assisted, depending on the age of the child.   </w:t>
      </w:r>
    </w:p>
    <w:p w:rsidR="00A76A72" w:rsidRPr="00B03154" w:rsidRDefault="00A76A72" w:rsidP="00A76A72">
      <w:pPr>
        <w:pStyle w:val="BHNormal"/>
        <w:rPr>
          <w:szCs w:val="24"/>
        </w:rPr>
      </w:pPr>
    </w:p>
    <w:p w:rsidR="002213C9" w:rsidRDefault="00E70C68" w:rsidP="004E3486">
      <w:pPr>
        <w:pStyle w:val="BHNormal"/>
      </w:pPr>
      <w:r w:rsidRPr="00756E94">
        <w:rPr>
          <w:b/>
          <w:i/>
        </w:rPr>
        <w:t>Enhanced Protocol</w:t>
      </w:r>
      <w:r w:rsidR="004E3486">
        <w:rPr>
          <w:b/>
          <w:i/>
        </w:rPr>
        <w:t xml:space="preserve">:  </w:t>
      </w:r>
      <w:r w:rsidR="00052897" w:rsidRPr="00B03154">
        <w:t xml:space="preserve">In addition to the </w:t>
      </w:r>
      <w:r w:rsidR="008072F9" w:rsidRPr="00B03154">
        <w:t>S</w:t>
      </w:r>
      <w:r w:rsidR="00052897" w:rsidRPr="00B03154">
        <w:t xml:space="preserve">tandard </w:t>
      </w:r>
      <w:r w:rsidR="008072F9" w:rsidRPr="00B03154">
        <w:t>P</w:t>
      </w:r>
      <w:r w:rsidR="00052897" w:rsidRPr="00B03154">
        <w:t>rotocol</w:t>
      </w:r>
      <w:r w:rsidR="00AD1E7E" w:rsidRPr="00B03154">
        <w:t xml:space="preserve">, the child participants </w:t>
      </w:r>
      <w:proofErr w:type="gramStart"/>
      <w:r w:rsidR="00AD1E7E" w:rsidRPr="00B03154">
        <w:t>will be asked</w:t>
      </w:r>
      <w:proofErr w:type="gramEnd"/>
      <w:r w:rsidR="00AD1E7E" w:rsidRPr="00B03154">
        <w:t xml:space="preserve"> to recall and describe the activities they participated in at home, at school, and in the community, </w:t>
      </w:r>
      <w:r w:rsidR="00AD1E7E" w:rsidRPr="00B03154">
        <w:rPr>
          <w:i/>
        </w:rPr>
        <w:t xml:space="preserve">the previous </w:t>
      </w:r>
      <w:r w:rsidR="0017080B" w:rsidRPr="0017080B">
        <w:t>day using a similar structured instrument based on gender and age</w:t>
      </w:r>
      <w:r w:rsidR="0017080B" w:rsidRPr="0017080B">
        <w:rPr>
          <w:i/>
        </w:rPr>
        <w:t>.</w:t>
      </w:r>
      <w:r w:rsidR="0017080B" w:rsidRPr="0017080B">
        <w:t xml:space="preserve">  Participants </w:t>
      </w:r>
      <w:proofErr w:type="gramStart"/>
      <w:r w:rsidR="0017080B" w:rsidRPr="0017080B">
        <w:t>will also be given</w:t>
      </w:r>
      <w:proofErr w:type="gramEnd"/>
      <w:r w:rsidR="0017080B" w:rsidRPr="0017080B">
        <w:t xml:space="preserve"> an accelerometer at their first home visit (at baseline).  Accelerometers provide an objective measure of physical activity by detecting movement and intensity of activity.  The device </w:t>
      </w:r>
      <w:proofErr w:type="gramStart"/>
      <w:r w:rsidR="0017080B" w:rsidRPr="0017080B">
        <w:t>will be worn</w:t>
      </w:r>
      <w:proofErr w:type="gramEnd"/>
      <w:r w:rsidR="0017080B" w:rsidRPr="0017080B">
        <w:t xml:space="preserve"> by participants except </w:t>
      </w:r>
      <w:r w:rsidR="00C43FAF">
        <w:t>while</w:t>
      </w:r>
      <w:r w:rsidR="0017080B" w:rsidRPr="0017080B">
        <w:t xml:space="preserve"> bathing, swimming, or sleep</w:t>
      </w:r>
      <w:r w:rsidR="00C43FAF">
        <w:t>ing</w:t>
      </w:r>
      <w:r w:rsidR="0017080B" w:rsidRPr="0017080B">
        <w:t>, for the week in between home visits.</w:t>
      </w:r>
    </w:p>
    <w:p w:rsidR="00A76A72" w:rsidRPr="00B03154" w:rsidRDefault="00A76A72" w:rsidP="00A76A72">
      <w:pPr>
        <w:rPr>
          <w:szCs w:val="20"/>
        </w:rPr>
      </w:pPr>
    </w:p>
    <w:p w:rsidR="004116D2" w:rsidRPr="00756E94" w:rsidRDefault="00E70C68" w:rsidP="00756E94">
      <w:pPr>
        <w:pStyle w:val="BHNormal"/>
        <w:rPr>
          <w:b/>
          <w:i/>
        </w:rPr>
      </w:pPr>
      <w:bookmarkStart w:id="93" w:name="_Toc299107957"/>
      <w:r w:rsidRPr="00756E94">
        <w:rPr>
          <w:b/>
          <w:i/>
        </w:rPr>
        <w:t xml:space="preserve">B.2.b.5   </w:t>
      </w:r>
      <w:r w:rsidR="00AD1E7E" w:rsidRPr="00756E94">
        <w:rPr>
          <w:b/>
          <w:i/>
        </w:rPr>
        <w:t>Demographics, Family Medical History, Direct Observations</w:t>
      </w:r>
      <w:bookmarkEnd w:id="93"/>
    </w:p>
    <w:p w:rsidR="00AD1E7E" w:rsidRPr="00B03154" w:rsidRDefault="00AD1E7E" w:rsidP="00A76A72">
      <w:pPr>
        <w:pStyle w:val="BHNormal"/>
        <w:rPr>
          <w:szCs w:val="24"/>
        </w:rPr>
      </w:pPr>
      <w:r w:rsidRPr="00B03154">
        <w:rPr>
          <w:szCs w:val="24"/>
        </w:rPr>
        <w:t xml:space="preserve">All </w:t>
      </w:r>
      <w:r w:rsidR="00BF6982" w:rsidRPr="00B03154">
        <w:rPr>
          <w:szCs w:val="24"/>
        </w:rPr>
        <w:t xml:space="preserve">parent </w:t>
      </w:r>
      <w:r w:rsidR="0017080B" w:rsidRPr="0017080B">
        <w:rPr>
          <w:szCs w:val="24"/>
        </w:rPr>
        <w:t xml:space="preserve">participants will answer the following demographic questions related to the child and parent:  age, race, ethnicity, </w:t>
      </w:r>
      <w:proofErr w:type="gramStart"/>
      <w:r w:rsidR="0017080B" w:rsidRPr="0017080B">
        <w:rPr>
          <w:szCs w:val="24"/>
        </w:rPr>
        <w:t>marital</w:t>
      </w:r>
      <w:proofErr w:type="gramEnd"/>
      <w:r w:rsidR="0017080B" w:rsidRPr="0017080B">
        <w:rPr>
          <w:szCs w:val="24"/>
        </w:rPr>
        <w:t xml:space="preserve"> status, country of origin, education, language, employment, and family income.  In addition, the child’s biological parents’ height and weight </w:t>
      </w:r>
      <w:proofErr w:type="gramStart"/>
      <w:r w:rsidR="0017080B" w:rsidRPr="0017080B">
        <w:rPr>
          <w:szCs w:val="24"/>
        </w:rPr>
        <w:t>will be measured (or reported if biological parent refuses measurement)</w:t>
      </w:r>
      <w:proofErr w:type="gramEnd"/>
      <w:r w:rsidR="0017080B" w:rsidRPr="0017080B">
        <w:rPr>
          <w:szCs w:val="24"/>
        </w:rPr>
        <w:t xml:space="preserve">. </w:t>
      </w:r>
    </w:p>
    <w:p w:rsidR="00460D91" w:rsidRPr="00B03154" w:rsidRDefault="00460D91" w:rsidP="00A76A72">
      <w:pPr>
        <w:pStyle w:val="BHNormal"/>
        <w:rPr>
          <w:szCs w:val="24"/>
        </w:rPr>
      </w:pPr>
    </w:p>
    <w:p w:rsidR="00AD1E7E" w:rsidRPr="00B03154" w:rsidRDefault="0017080B" w:rsidP="00A76A72">
      <w:pPr>
        <w:pStyle w:val="BHNormal"/>
        <w:rPr>
          <w:szCs w:val="24"/>
        </w:rPr>
      </w:pPr>
      <w:r w:rsidRPr="0017080B">
        <w:rPr>
          <w:szCs w:val="24"/>
        </w:rPr>
        <w:t xml:space="preserve">A series of questions are included in the Standard Protocol, aimed at assessing the medical history for the child participant related </w:t>
      </w:r>
      <w:proofErr w:type="gramStart"/>
      <w:r w:rsidRPr="0017080B">
        <w:rPr>
          <w:szCs w:val="24"/>
        </w:rPr>
        <w:t>to</w:t>
      </w:r>
      <w:proofErr w:type="gramEnd"/>
      <w:r w:rsidRPr="0017080B">
        <w:rPr>
          <w:szCs w:val="24"/>
        </w:rPr>
        <w:t xml:space="preserve">: </w:t>
      </w:r>
    </w:p>
    <w:p w:rsidR="00C43FAF" w:rsidRDefault="0017080B">
      <w:pPr>
        <w:pStyle w:val="ListParagraph"/>
        <w:numPr>
          <w:ilvl w:val="0"/>
          <w:numId w:val="25"/>
        </w:numPr>
        <w:spacing w:after="0" w:line="240" w:lineRule="auto"/>
        <w:contextualSpacing w:val="0"/>
        <w:rPr>
          <w:sz w:val="24"/>
          <w:szCs w:val="24"/>
        </w:rPr>
      </w:pPr>
      <w:r w:rsidRPr="0017080B">
        <w:rPr>
          <w:sz w:val="24"/>
          <w:szCs w:val="24"/>
        </w:rPr>
        <w:lastRenderedPageBreak/>
        <w:t>Issues related to the participant child’s access to healthcare;</w:t>
      </w:r>
    </w:p>
    <w:p w:rsidR="00C43FAF" w:rsidRDefault="0017080B">
      <w:pPr>
        <w:pStyle w:val="ListParagraph"/>
        <w:numPr>
          <w:ilvl w:val="0"/>
          <w:numId w:val="25"/>
        </w:numPr>
        <w:spacing w:after="0" w:line="240" w:lineRule="auto"/>
        <w:contextualSpacing w:val="0"/>
        <w:rPr>
          <w:sz w:val="24"/>
          <w:szCs w:val="24"/>
        </w:rPr>
      </w:pPr>
      <w:r w:rsidRPr="0017080B">
        <w:rPr>
          <w:sz w:val="24"/>
          <w:szCs w:val="24"/>
        </w:rPr>
        <w:t>Medical conditions that may alter diet for the participant child (diabetes, celiac disease, anorexia, bulimia, etc.);</w:t>
      </w:r>
    </w:p>
    <w:p w:rsidR="00C43FAF" w:rsidRDefault="0017080B">
      <w:pPr>
        <w:pStyle w:val="ListParagraph"/>
        <w:numPr>
          <w:ilvl w:val="0"/>
          <w:numId w:val="25"/>
        </w:numPr>
        <w:spacing w:after="0" w:line="240" w:lineRule="auto"/>
        <w:contextualSpacing w:val="0"/>
        <w:rPr>
          <w:sz w:val="24"/>
          <w:szCs w:val="24"/>
        </w:rPr>
      </w:pPr>
      <w:r w:rsidRPr="0017080B">
        <w:rPr>
          <w:sz w:val="24"/>
          <w:szCs w:val="24"/>
        </w:rPr>
        <w:t>Medical conditions that alter physical activity for the participant child (disabilities, recent accidents (e.g., broken ankle), etc.);</w:t>
      </w:r>
    </w:p>
    <w:p w:rsidR="00C43FAF" w:rsidRDefault="0017080B">
      <w:pPr>
        <w:pStyle w:val="ListParagraph"/>
        <w:numPr>
          <w:ilvl w:val="0"/>
          <w:numId w:val="25"/>
        </w:numPr>
        <w:spacing w:after="0" w:line="240" w:lineRule="auto"/>
        <w:contextualSpacing w:val="0"/>
        <w:rPr>
          <w:sz w:val="20"/>
          <w:szCs w:val="20"/>
        </w:rPr>
      </w:pPr>
      <w:proofErr w:type="gramStart"/>
      <w:r w:rsidRPr="0017080B">
        <w:rPr>
          <w:sz w:val="24"/>
          <w:szCs w:val="24"/>
        </w:rPr>
        <w:t>Medical conditions that alter ability for the participant to self-complete aspects of protocol (cognitive deficits, Down’s syndrome, dyslexia, etc.).</w:t>
      </w:r>
      <w:proofErr w:type="gramEnd"/>
      <w:r w:rsidRPr="0017080B">
        <w:rPr>
          <w:sz w:val="24"/>
          <w:szCs w:val="24"/>
        </w:rPr>
        <w:t xml:space="preserve">  </w:t>
      </w:r>
    </w:p>
    <w:p w:rsidR="00756E94" w:rsidRPr="00756E94" w:rsidRDefault="00756E94" w:rsidP="00756E94">
      <w:pPr>
        <w:pStyle w:val="BHNormal"/>
      </w:pPr>
      <w:bookmarkStart w:id="94" w:name="_Toc299107958"/>
    </w:p>
    <w:p w:rsidR="004116D2" w:rsidRPr="00756E94" w:rsidRDefault="00E70C68" w:rsidP="00756E94">
      <w:pPr>
        <w:pStyle w:val="BHNormal"/>
        <w:rPr>
          <w:b/>
          <w:i/>
        </w:rPr>
      </w:pPr>
      <w:r w:rsidRPr="00756E94">
        <w:rPr>
          <w:b/>
          <w:i/>
        </w:rPr>
        <w:t xml:space="preserve">B.2.b.6   </w:t>
      </w:r>
      <w:r w:rsidR="00AD1E7E" w:rsidRPr="00756E94">
        <w:rPr>
          <w:b/>
          <w:i/>
        </w:rPr>
        <w:t>Direct Observations</w:t>
      </w:r>
      <w:r w:rsidR="00EE2253" w:rsidRPr="00756E94">
        <w:rPr>
          <w:b/>
          <w:i/>
        </w:rPr>
        <w:t xml:space="preserve"> of the Child’s/Family’s Neighborhood</w:t>
      </w:r>
      <w:bookmarkEnd w:id="94"/>
    </w:p>
    <w:p w:rsidR="004116D2" w:rsidRDefault="00AD1E7E">
      <w:pPr>
        <w:pStyle w:val="NoSpacing"/>
        <w:rPr>
          <w:rFonts w:ascii="Times New Roman" w:hAnsi="Times New Roman"/>
          <w:sz w:val="24"/>
          <w:szCs w:val="24"/>
        </w:rPr>
      </w:pPr>
      <w:r w:rsidRPr="00B03154">
        <w:rPr>
          <w:rFonts w:ascii="Times New Roman" w:hAnsi="Times New Roman"/>
          <w:sz w:val="24"/>
          <w:szCs w:val="24"/>
        </w:rPr>
        <w:t xml:space="preserve">In all communities, </w:t>
      </w:r>
      <w:proofErr w:type="gramStart"/>
      <w:r w:rsidR="00CD2C6D" w:rsidRPr="00B03154">
        <w:rPr>
          <w:rFonts w:ascii="Times New Roman" w:hAnsi="Times New Roman"/>
          <w:sz w:val="24"/>
          <w:szCs w:val="24"/>
        </w:rPr>
        <w:t xml:space="preserve">direct observations of the child’s home will be completed by </w:t>
      </w:r>
      <w:r w:rsidR="008745CF" w:rsidRPr="00B03154">
        <w:rPr>
          <w:rFonts w:ascii="Times New Roman" w:hAnsi="Times New Roman"/>
          <w:sz w:val="24"/>
          <w:szCs w:val="24"/>
        </w:rPr>
        <w:t>study staff</w:t>
      </w:r>
      <w:proofErr w:type="gramEnd"/>
      <w:r w:rsidR="0017080B" w:rsidRPr="0017080B">
        <w:rPr>
          <w:rFonts w:ascii="Times New Roman" w:hAnsi="Times New Roman"/>
          <w:sz w:val="24"/>
          <w:szCs w:val="24"/>
        </w:rPr>
        <w:t xml:space="preserve">.  For children who receive the Standard Protocol, EMSI field interviewers will complete a five-item modified windshield survey during the baseline visit.  EMSI field interviewers will rate features of the social and physical environment on the street segment associated with each child’s home address.  A street segment </w:t>
      </w:r>
      <w:proofErr w:type="gramStart"/>
      <w:r w:rsidR="0017080B" w:rsidRPr="0017080B">
        <w:rPr>
          <w:rFonts w:ascii="Times New Roman" w:hAnsi="Times New Roman"/>
          <w:sz w:val="24"/>
          <w:szCs w:val="24"/>
        </w:rPr>
        <w:t>is defined</w:t>
      </w:r>
      <w:proofErr w:type="gramEnd"/>
      <w:r w:rsidR="0017080B" w:rsidRPr="0017080B">
        <w:rPr>
          <w:rFonts w:ascii="Times New Roman" w:hAnsi="Times New Roman"/>
          <w:sz w:val="24"/>
          <w:szCs w:val="24"/>
        </w:rPr>
        <w:t xml:space="preserve"> as the street in front of the home, from intersection to intersection, not to exceed 0.5 miles.  In the instances where the street segment exceeds 0.5 miles, the EMSI field interviewers </w:t>
      </w:r>
      <w:proofErr w:type="gramStart"/>
      <w:r w:rsidR="0017080B" w:rsidRPr="0017080B">
        <w:rPr>
          <w:rFonts w:ascii="Times New Roman" w:hAnsi="Times New Roman"/>
          <w:sz w:val="24"/>
          <w:szCs w:val="24"/>
        </w:rPr>
        <w:t>will be instructed</w:t>
      </w:r>
      <w:proofErr w:type="gramEnd"/>
      <w:r w:rsidR="0017080B" w:rsidRPr="0017080B">
        <w:rPr>
          <w:rFonts w:ascii="Times New Roman" w:hAnsi="Times New Roman"/>
          <w:sz w:val="24"/>
          <w:szCs w:val="24"/>
        </w:rPr>
        <w:t xml:space="preserve"> to consider the street segment that is contained within 0.25 miles from the home in either direction or to the nearest intersection, whichever is closer.  A paper form of the modified five-item windshield survey </w:t>
      </w:r>
      <w:proofErr w:type="gramStart"/>
      <w:r w:rsidR="0017080B" w:rsidRPr="0017080B">
        <w:rPr>
          <w:rFonts w:ascii="Times New Roman" w:hAnsi="Times New Roman"/>
          <w:sz w:val="24"/>
          <w:szCs w:val="24"/>
        </w:rPr>
        <w:t>will be completed when the EMSI field interviewer arrives at the child’s home and entered into the study database following the home visit</w:t>
      </w:r>
      <w:proofErr w:type="gramEnd"/>
      <w:r w:rsidR="0017080B" w:rsidRPr="0017080B">
        <w:rPr>
          <w:rFonts w:ascii="Times New Roman" w:hAnsi="Times New Roman"/>
          <w:sz w:val="24"/>
          <w:szCs w:val="24"/>
        </w:rPr>
        <w:t xml:space="preserve">.  This will be done at baseline and at follow up during the in person assessments in the RIPA communities.  The modified five-item survey </w:t>
      </w:r>
      <w:proofErr w:type="gramStart"/>
      <w:r w:rsidR="0017080B" w:rsidRPr="0017080B">
        <w:rPr>
          <w:rFonts w:ascii="Times New Roman" w:hAnsi="Times New Roman"/>
          <w:sz w:val="24"/>
          <w:szCs w:val="24"/>
        </w:rPr>
        <w:t>is expected</w:t>
      </w:r>
      <w:proofErr w:type="gramEnd"/>
      <w:r w:rsidR="0017080B" w:rsidRPr="0017080B">
        <w:rPr>
          <w:rFonts w:ascii="Times New Roman" w:hAnsi="Times New Roman"/>
          <w:sz w:val="24"/>
          <w:szCs w:val="24"/>
        </w:rPr>
        <w:t xml:space="preserve"> to take less than </w:t>
      </w:r>
      <w:r w:rsidR="0047176E">
        <w:rPr>
          <w:rFonts w:ascii="Times New Roman" w:hAnsi="Times New Roman"/>
          <w:sz w:val="24"/>
          <w:szCs w:val="24"/>
        </w:rPr>
        <w:t>five</w:t>
      </w:r>
      <w:r w:rsidR="0047176E" w:rsidRPr="0017080B">
        <w:rPr>
          <w:rFonts w:ascii="Times New Roman" w:hAnsi="Times New Roman"/>
          <w:sz w:val="24"/>
          <w:szCs w:val="24"/>
        </w:rPr>
        <w:t xml:space="preserve"> </w:t>
      </w:r>
      <w:r w:rsidR="0017080B" w:rsidRPr="0017080B">
        <w:rPr>
          <w:rFonts w:ascii="Times New Roman" w:hAnsi="Times New Roman"/>
          <w:sz w:val="24"/>
          <w:szCs w:val="24"/>
        </w:rPr>
        <w:t xml:space="preserve">minutes to complete.  GPS coordinates </w:t>
      </w:r>
      <w:proofErr w:type="gramStart"/>
      <w:r w:rsidR="0017080B" w:rsidRPr="0017080B">
        <w:rPr>
          <w:rFonts w:ascii="Times New Roman" w:hAnsi="Times New Roman"/>
          <w:sz w:val="24"/>
          <w:szCs w:val="24"/>
        </w:rPr>
        <w:t>will also be obtained</w:t>
      </w:r>
      <w:proofErr w:type="gramEnd"/>
      <w:r w:rsidR="0017080B" w:rsidRPr="0017080B">
        <w:rPr>
          <w:rFonts w:ascii="Times New Roman" w:hAnsi="Times New Roman"/>
          <w:sz w:val="24"/>
          <w:szCs w:val="24"/>
        </w:rPr>
        <w:t xml:space="preserve"> for each participant’s household to match to GIS data.  </w:t>
      </w:r>
    </w:p>
    <w:p w:rsidR="004116D2" w:rsidRDefault="004116D2">
      <w:pPr>
        <w:pStyle w:val="NoSpacing"/>
        <w:rPr>
          <w:rFonts w:ascii="Times New Roman" w:hAnsi="Times New Roman"/>
          <w:sz w:val="24"/>
          <w:szCs w:val="24"/>
        </w:rPr>
      </w:pPr>
    </w:p>
    <w:p w:rsidR="00A76A72" w:rsidRPr="00B03154" w:rsidRDefault="00A76A72" w:rsidP="00A76A72">
      <w:pPr>
        <w:autoSpaceDE/>
        <w:autoSpaceDN/>
        <w:rPr>
          <w:b/>
          <w:sz w:val="24"/>
        </w:rPr>
      </w:pPr>
    </w:p>
    <w:p w:rsidR="004116D2" w:rsidRDefault="0017080B" w:rsidP="00756E94">
      <w:pPr>
        <w:pStyle w:val="BHLevel2"/>
      </w:pPr>
      <w:bookmarkStart w:id="95" w:name="_Toc299107959"/>
      <w:bookmarkStart w:id="96" w:name="_Toc301448762"/>
      <w:r w:rsidRPr="0017080B">
        <w:t>B.3</w:t>
      </w:r>
      <w:r w:rsidRPr="0017080B">
        <w:tab/>
        <w:t>Methods for Maximizing Response Rates</w:t>
      </w:r>
      <w:bookmarkEnd w:id="95"/>
      <w:bookmarkEnd w:id="96"/>
    </w:p>
    <w:p w:rsidR="00C43FAF" w:rsidRDefault="00C43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16D2" w:rsidRDefault="00E00A4B">
      <w:pPr>
        <w:rPr>
          <w:sz w:val="24"/>
        </w:rPr>
      </w:pPr>
      <w:r w:rsidRPr="00B03154">
        <w:rPr>
          <w:sz w:val="24"/>
        </w:rPr>
        <w:t xml:space="preserve">All data regarding contact success, refusal to screen and/or enumerate household members, refusal to participate for one or more eligible children (including reasons for non-participation) </w:t>
      </w:r>
      <w:proofErr w:type="gramStart"/>
      <w:r w:rsidRPr="00B03154">
        <w:rPr>
          <w:sz w:val="24"/>
        </w:rPr>
        <w:t>will be maintained</w:t>
      </w:r>
      <w:proofErr w:type="gramEnd"/>
      <w:r w:rsidRPr="00B03154">
        <w:rPr>
          <w:sz w:val="24"/>
        </w:rPr>
        <w:t xml:space="preserve"> to calculat</w:t>
      </w:r>
      <w:r w:rsidR="00F76438" w:rsidRPr="00B03154">
        <w:rPr>
          <w:sz w:val="24"/>
        </w:rPr>
        <w:t>e</w:t>
      </w:r>
      <w:r w:rsidRPr="00B03154">
        <w:rPr>
          <w:sz w:val="24"/>
        </w:rPr>
        <w:t xml:space="preserve"> response rates for the study.</w:t>
      </w:r>
      <w:r w:rsidR="00EA0780" w:rsidRPr="00B03154">
        <w:rPr>
          <w:sz w:val="24"/>
        </w:rPr>
        <w:t xml:space="preserve"> </w:t>
      </w:r>
      <w:r w:rsidRPr="00B03154">
        <w:rPr>
          <w:sz w:val="24"/>
        </w:rPr>
        <w:t xml:space="preserve"> Response rates will </w:t>
      </w:r>
      <w:proofErr w:type="gramStart"/>
      <w:r w:rsidRPr="00B03154">
        <w:rPr>
          <w:sz w:val="24"/>
        </w:rPr>
        <w:t>be calculated</w:t>
      </w:r>
      <w:proofErr w:type="gramEnd"/>
      <w:r w:rsidRPr="00B03154">
        <w:rPr>
          <w:sz w:val="24"/>
        </w:rPr>
        <w:t xml:space="preserve"> as the fraction of eligible participants who elect to complete the data collection protocol, and will be calculated for </w:t>
      </w:r>
      <w:r w:rsidR="007E5673">
        <w:rPr>
          <w:sz w:val="24"/>
        </w:rPr>
        <w:t>c</w:t>
      </w:r>
      <w:r w:rsidRPr="00B03154">
        <w:rPr>
          <w:sz w:val="24"/>
        </w:rPr>
        <w:t>hild/</w:t>
      </w:r>
      <w:r w:rsidR="007E5673">
        <w:rPr>
          <w:sz w:val="24"/>
        </w:rPr>
        <w:t>p</w:t>
      </w:r>
      <w:r w:rsidRPr="00B03154">
        <w:rPr>
          <w:sz w:val="24"/>
        </w:rPr>
        <w:t>arent participants as well as key</w:t>
      </w:r>
      <w:r w:rsidR="007F0286" w:rsidRPr="00B03154">
        <w:rPr>
          <w:sz w:val="24"/>
        </w:rPr>
        <w:t xml:space="preserve"> </w:t>
      </w:r>
      <w:r w:rsidRPr="00B03154">
        <w:rPr>
          <w:sz w:val="24"/>
        </w:rPr>
        <w:t xml:space="preserve">informants.  </w:t>
      </w:r>
    </w:p>
    <w:p w:rsidR="007E5673" w:rsidRDefault="007E5673">
      <w:pPr>
        <w:rPr>
          <w:sz w:val="24"/>
        </w:rPr>
      </w:pPr>
    </w:p>
    <w:p w:rsidR="00924105" w:rsidRPr="00B03154" w:rsidRDefault="00924105"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B03154">
        <w:rPr>
          <w:sz w:val="24"/>
        </w:rPr>
        <w:t xml:space="preserve">Every effort </w:t>
      </w:r>
      <w:proofErr w:type="gramStart"/>
      <w:r w:rsidRPr="00B03154">
        <w:rPr>
          <w:sz w:val="24"/>
        </w:rPr>
        <w:t>will be made</w:t>
      </w:r>
      <w:proofErr w:type="gramEnd"/>
      <w:r w:rsidRPr="00B03154">
        <w:rPr>
          <w:sz w:val="24"/>
        </w:rPr>
        <w:t xml:space="preserve"> to maximize the response rates </w:t>
      </w:r>
      <w:r w:rsidR="0017080B" w:rsidRPr="0017080B">
        <w:rPr>
          <w:sz w:val="24"/>
        </w:rPr>
        <w:t xml:space="preserve">for key informant interviews, parent and child surveys, as well as acquisition of medical records by the participating child’s medical provider.  Based on our review of the current literature as well as our experience in the field with prior studies, the approaches that we will use to maximize the response rates, </w:t>
      </w:r>
      <w:proofErr w:type="gramStart"/>
      <w:r w:rsidR="0017080B" w:rsidRPr="0017080B">
        <w:rPr>
          <w:sz w:val="24"/>
        </w:rPr>
        <w:t>are described</w:t>
      </w:r>
      <w:proofErr w:type="gramEnd"/>
      <w:r w:rsidR="0017080B" w:rsidRPr="0017080B">
        <w:rPr>
          <w:sz w:val="24"/>
        </w:rPr>
        <w:t xml:space="preserve"> below.</w:t>
      </w:r>
    </w:p>
    <w:p w:rsidR="00924105" w:rsidRPr="00B03154" w:rsidRDefault="00924105"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24105" w:rsidRPr="00B03154" w:rsidRDefault="0017080B"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7080B">
        <w:rPr>
          <w:b/>
          <w:i/>
          <w:sz w:val="24"/>
        </w:rPr>
        <w:t>Key Informant Interviews</w:t>
      </w:r>
      <w:r w:rsidR="004E3486">
        <w:rPr>
          <w:b/>
          <w:i/>
          <w:sz w:val="24"/>
        </w:rPr>
        <w:t>:</w:t>
      </w:r>
      <w:r w:rsidR="00924105" w:rsidRPr="00B03154">
        <w:rPr>
          <w:sz w:val="24"/>
        </w:rPr>
        <w:t xml:space="preserve">  Community key informants include, for example, high school principals, directors of programs involved with children health issues, and leaders of local government programs and non-profit community organizations. </w:t>
      </w:r>
      <w:r w:rsidR="00EA0780" w:rsidRPr="00B03154">
        <w:rPr>
          <w:sz w:val="24"/>
        </w:rPr>
        <w:t xml:space="preserve"> </w:t>
      </w:r>
      <w:r w:rsidR="00924105" w:rsidRPr="00B03154">
        <w:rPr>
          <w:sz w:val="24"/>
        </w:rPr>
        <w:t xml:space="preserve">It </w:t>
      </w:r>
      <w:proofErr w:type="gramStart"/>
      <w:r w:rsidR="00924105" w:rsidRPr="00B03154">
        <w:rPr>
          <w:sz w:val="24"/>
        </w:rPr>
        <w:t>is anticipated</w:t>
      </w:r>
      <w:proofErr w:type="gramEnd"/>
      <w:r w:rsidR="00924105" w:rsidRPr="00B03154">
        <w:rPr>
          <w:sz w:val="24"/>
        </w:rPr>
        <w:t xml:space="preserve"> that participation will be relatively high among this group given their a priori interest in helping improve the health and well-being of those living in t</w:t>
      </w:r>
      <w:r w:rsidRPr="0017080B">
        <w:rPr>
          <w:sz w:val="24"/>
        </w:rPr>
        <w:t xml:space="preserve">heir community.  Furthermore, as this group </w:t>
      </w:r>
      <w:proofErr w:type="gramStart"/>
      <w:r w:rsidRPr="0017080B">
        <w:rPr>
          <w:sz w:val="24"/>
        </w:rPr>
        <w:t>will be comprised</w:t>
      </w:r>
      <w:proofErr w:type="gramEnd"/>
      <w:r w:rsidRPr="0017080B">
        <w:rPr>
          <w:sz w:val="24"/>
        </w:rPr>
        <w:t xml:space="preserve"> through a snowball sampling technique, we expect that the referral by one community leader to another will improve succeeding participation rates.  To maximize response rates among this group, upon scheduling the initial appointment, we will maintain </w:t>
      </w:r>
      <w:r w:rsidRPr="0017080B">
        <w:rPr>
          <w:sz w:val="24"/>
        </w:rPr>
        <w:lastRenderedPageBreak/>
        <w:t>contact with a confirmation letter, including printed information about our study (see SSA Attachment 12), and follow-up confirmation telephone calls.  Our protocol calls for conducting interviews with key informants in person, which is likely to improve our response rate, although when necessary due to scheduling or other conflicts, we will complete interviews over the telephone.  All interviews will be conducted by the Battelle community liaison – a qualified and well-trained interviewer, who is well versed on the community and its programs/policies, and who is comfortable speaking with high-level community leaders and able to adeptly answer any study related questions.  As we will also be requesting specific program</w:t>
      </w:r>
      <w:r w:rsidR="00D16FFE">
        <w:rPr>
          <w:sz w:val="24"/>
        </w:rPr>
        <w:t>/policy</w:t>
      </w:r>
      <w:r w:rsidRPr="0017080B">
        <w:rPr>
          <w:sz w:val="24"/>
        </w:rPr>
        <w:t xml:space="preserve"> documentation from this group, we will follow-up on this request through our confirmation letter, subsequent telephone calls, and during our in-person interview meeting as needed.     </w:t>
      </w:r>
    </w:p>
    <w:p w:rsidR="00924105" w:rsidRPr="00B03154" w:rsidRDefault="00924105"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u w:val="single"/>
        </w:rPr>
      </w:pPr>
    </w:p>
    <w:p w:rsidR="00D16FFE" w:rsidRPr="00D16FFE" w:rsidRDefault="0017080B" w:rsidP="00D16FFE">
      <w:pPr>
        <w:pStyle w:val="PlainText"/>
        <w:rPr>
          <w:rFonts w:ascii="Times New Roman" w:hAnsi="Times New Roman"/>
          <w:sz w:val="24"/>
          <w:szCs w:val="24"/>
        </w:rPr>
      </w:pPr>
      <w:r w:rsidRPr="00D16FFE">
        <w:rPr>
          <w:rFonts w:ascii="Times New Roman" w:hAnsi="Times New Roman"/>
          <w:b/>
          <w:i/>
          <w:sz w:val="24"/>
          <w:szCs w:val="24"/>
        </w:rPr>
        <w:t>Parent/Child Surveys</w:t>
      </w:r>
      <w:r w:rsidR="004E3486" w:rsidRPr="00D16FFE">
        <w:rPr>
          <w:rFonts w:ascii="Times New Roman" w:hAnsi="Times New Roman"/>
          <w:b/>
          <w:i/>
          <w:sz w:val="24"/>
          <w:szCs w:val="24"/>
        </w:rPr>
        <w:t>:</w:t>
      </w:r>
      <w:r w:rsidR="00924105" w:rsidRPr="00D16FFE">
        <w:rPr>
          <w:rFonts w:ascii="Times New Roman" w:hAnsi="Times New Roman"/>
          <w:sz w:val="24"/>
          <w:szCs w:val="24"/>
        </w:rPr>
        <w:t xml:space="preserve">  </w:t>
      </w:r>
      <w:r w:rsidR="00D16FFE" w:rsidRPr="00D16FFE">
        <w:rPr>
          <w:rFonts w:ascii="Times New Roman" w:hAnsi="Times New Roman"/>
          <w:sz w:val="24"/>
          <w:szCs w:val="24"/>
        </w:rPr>
        <w:t>Battelle Community Liaison’s will post study-related informational flyers and/or posters in locations most likely to be seen by potential respondents (e.g., within the lobbies of local schools, places of worship, social service agencies) when they first enter a community.  In so doing, we hope to have information about the study seen by potential parent/child participants, thus encouraging participation</w:t>
      </w:r>
      <w:r w:rsidR="003B2EEE">
        <w:rPr>
          <w:rFonts w:ascii="Times New Roman" w:hAnsi="Times New Roman"/>
          <w:sz w:val="24"/>
          <w:szCs w:val="24"/>
        </w:rPr>
        <w:t xml:space="preserve"> and overall response rate.</w:t>
      </w:r>
    </w:p>
    <w:p w:rsidR="00416B5B" w:rsidRPr="00B03154" w:rsidRDefault="0017080B"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7080B">
        <w:rPr>
          <w:sz w:val="24"/>
        </w:rPr>
        <w:t>Following these community wide effor</w:t>
      </w:r>
      <w:r w:rsidR="00BF2907">
        <w:rPr>
          <w:sz w:val="24"/>
        </w:rPr>
        <w:t>ts, a brochure (SSA Attachment 5</w:t>
      </w:r>
      <w:r w:rsidRPr="0017080B">
        <w:rPr>
          <w:sz w:val="24"/>
        </w:rPr>
        <w:t>) and an inform</w:t>
      </w:r>
      <w:r w:rsidR="00BF2907">
        <w:rPr>
          <w:sz w:val="24"/>
        </w:rPr>
        <w:t>ational letter (SSA Attachment 4</w:t>
      </w:r>
      <w:r w:rsidRPr="0017080B">
        <w:rPr>
          <w:sz w:val="24"/>
        </w:rPr>
        <w:t xml:space="preserve">) </w:t>
      </w:r>
      <w:proofErr w:type="gramStart"/>
      <w:r w:rsidRPr="0017080B">
        <w:rPr>
          <w:sz w:val="24"/>
        </w:rPr>
        <w:t>will be sent</w:t>
      </w:r>
      <w:proofErr w:type="gramEnd"/>
      <w:r w:rsidRPr="0017080B">
        <w:rPr>
          <w:sz w:val="24"/>
        </w:rPr>
        <w:t xml:space="preserve"> to targeted households to explain the HCS.  The letter will also provide the household with a unique study code and password, to </w:t>
      </w:r>
      <w:proofErr w:type="gramStart"/>
      <w:r w:rsidRPr="0017080B">
        <w:rPr>
          <w:sz w:val="24"/>
        </w:rPr>
        <w:t>be used</w:t>
      </w:r>
      <w:proofErr w:type="gramEnd"/>
      <w:r w:rsidRPr="0017080B">
        <w:rPr>
          <w:sz w:val="24"/>
        </w:rPr>
        <w:t xml:space="preserve"> in combination with a web address or a toll-free 1-800 number, which will allow them to initiate the process of screening and enrollment into the study.  For households that do not initiate screening through the website or 1-800 number, Battelle’s telephone service center will make repeated telephone contact (up to five) to attempt screening and enrollment.  Once we make contact with a household adult over the telephone, we will identify the age and gender of all children living within the household and the willingness to participate in the HCS (for both the child and parent).   </w:t>
      </w:r>
    </w:p>
    <w:p w:rsidR="00416B5B" w:rsidRPr="00B03154" w:rsidRDefault="00416B5B" w:rsidP="00A76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43FAF" w:rsidRPr="00515A58" w:rsidRDefault="00170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7080B">
        <w:rPr>
          <w:sz w:val="24"/>
        </w:rPr>
        <w:t xml:space="preserve">Completion of parent and child baseline surveys in the home </w:t>
      </w:r>
      <w:r w:rsidR="003B2EEE">
        <w:rPr>
          <w:sz w:val="24"/>
        </w:rPr>
        <w:t xml:space="preserve">administered </w:t>
      </w:r>
      <w:r w:rsidRPr="0017080B">
        <w:rPr>
          <w:sz w:val="24"/>
        </w:rPr>
        <w:t xml:space="preserve">by well-trained </w:t>
      </w:r>
      <w:r w:rsidR="0097010A">
        <w:rPr>
          <w:sz w:val="24"/>
        </w:rPr>
        <w:t xml:space="preserve">EMSI </w:t>
      </w:r>
      <w:r w:rsidR="0097010A" w:rsidRPr="00515A58">
        <w:rPr>
          <w:sz w:val="24"/>
        </w:rPr>
        <w:t>field interviewers</w:t>
      </w:r>
      <w:r w:rsidRPr="00515A58">
        <w:rPr>
          <w:sz w:val="24"/>
        </w:rPr>
        <w:t xml:space="preserve">, rather than having the parents respond to a survey mailed to their home, is likely to result in a high response rate.  </w:t>
      </w:r>
      <w:r w:rsidR="00D27C42" w:rsidRPr="00515A58">
        <w:rPr>
          <w:sz w:val="24"/>
        </w:rPr>
        <w:t xml:space="preserve">In addition, when necessary, interviews will be available to </w:t>
      </w:r>
      <w:proofErr w:type="gramStart"/>
      <w:r w:rsidR="00D27C42" w:rsidRPr="00515A58">
        <w:rPr>
          <w:sz w:val="24"/>
        </w:rPr>
        <w:t>be conducted</w:t>
      </w:r>
      <w:proofErr w:type="gramEnd"/>
      <w:r w:rsidR="00D27C42" w:rsidRPr="00515A58">
        <w:rPr>
          <w:sz w:val="24"/>
        </w:rPr>
        <w:t xml:space="preserve"> in Spanish. S</w:t>
      </w:r>
      <w:r w:rsidR="00871BCA" w:rsidRPr="00515A58">
        <w:rPr>
          <w:sz w:val="24"/>
        </w:rPr>
        <w:t>imilar to the NHANES protocol, s</w:t>
      </w:r>
      <w:r w:rsidR="00D27C42" w:rsidRPr="00515A58">
        <w:rPr>
          <w:sz w:val="24"/>
        </w:rPr>
        <w:t xml:space="preserve">hould neither English nor Spanish be spoken, </w:t>
      </w:r>
      <w:r w:rsidR="007E0E1B" w:rsidRPr="00515A58">
        <w:rPr>
          <w:sz w:val="24"/>
        </w:rPr>
        <w:t>the household member completing the family recruitment process will be asked to identify a family member or neighbor, aged 18 or over, who can be present during the home visit to translate to the interview questions into the necessary language.</w:t>
      </w:r>
      <w:r w:rsidR="00D27C42" w:rsidRPr="00515A58">
        <w:rPr>
          <w:sz w:val="24"/>
        </w:rPr>
        <w:t xml:space="preserve"> This will help</w:t>
      </w:r>
      <w:proofErr w:type="gramStart"/>
      <w:r w:rsidR="00D27C42" w:rsidRPr="00515A58">
        <w:rPr>
          <w:sz w:val="24"/>
        </w:rPr>
        <w:t>  maximize</w:t>
      </w:r>
      <w:proofErr w:type="gramEnd"/>
      <w:r w:rsidR="00D27C42" w:rsidRPr="00515A58">
        <w:rPr>
          <w:sz w:val="24"/>
        </w:rPr>
        <w:t xml:space="preserve"> our initial enrollment and follow-up response rates.</w:t>
      </w:r>
      <w:r w:rsidRPr="00515A58">
        <w:rPr>
          <w:sz w:val="24"/>
        </w:rPr>
        <w:t xml:space="preserve">Furthermore, the offering of an incentive, though small, to both participating parent and child, is anticipated to </w:t>
      </w:r>
      <w:r w:rsidR="004116D2" w:rsidRPr="00515A58">
        <w:rPr>
          <w:sz w:val="24"/>
        </w:rPr>
        <w:t xml:space="preserve">further </w:t>
      </w:r>
      <w:r w:rsidRPr="00515A58">
        <w:rPr>
          <w:sz w:val="24"/>
        </w:rPr>
        <w:t xml:space="preserve">improve the response rate.   </w:t>
      </w:r>
    </w:p>
    <w:p w:rsidR="00C43FAF" w:rsidRPr="00515A58" w:rsidRDefault="00C43FAF">
      <w:pPr>
        <w:autoSpaceDE/>
        <w:autoSpaceDN/>
        <w:rPr>
          <w:sz w:val="24"/>
        </w:rPr>
      </w:pPr>
    </w:p>
    <w:p w:rsidR="00C43FAF" w:rsidRDefault="0017080B">
      <w:pPr>
        <w:autoSpaceDE/>
        <w:autoSpaceDN/>
        <w:rPr>
          <w:sz w:val="24"/>
        </w:rPr>
      </w:pPr>
      <w:r w:rsidRPr="0017080B">
        <w:rPr>
          <w:sz w:val="24"/>
        </w:rPr>
        <w:t xml:space="preserve">The challenge will be achieving a high response rate to the parent/child remote follow-up surveys, to </w:t>
      </w:r>
      <w:proofErr w:type="gramStart"/>
      <w:r w:rsidRPr="0017080B">
        <w:rPr>
          <w:sz w:val="24"/>
        </w:rPr>
        <w:t>be completed</w:t>
      </w:r>
      <w:proofErr w:type="gramEnd"/>
      <w:r w:rsidRPr="0017080B">
        <w:rPr>
          <w:sz w:val="24"/>
        </w:rPr>
        <w:t xml:space="preserve"> in Year </w:t>
      </w:r>
      <w:r w:rsidR="0097010A">
        <w:rPr>
          <w:sz w:val="24"/>
        </w:rPr>
        <w:t>3 of the Wave 2 data collection</w:t>
      </w:r>
      <w:r w:rsidRPr="0017080B">
        <w:rPr>
          <w:sz w:val="24"/>
        </w:rPr>
        <w:t xml:space="preserve">, and the follow-up interviews to be completed in the RIPA communities </w:t>
      </w:r>
      <w:r w:rsidR="0097010A">
        <w:rPr>
          <w:sz w:val="24"/>
        </w:rPr>
        <w:t>three years after the baseline assessment</w:t>
      </w:r>
      <w:r w:rsidRPr="0017080B">
        <w:rPr>
          <w:sz w:val="24"/>
        </w:rPr>
        <w:t>.  The remote follow-up interviews will be conducted over the telephone or through a web-based survey (the ease of which will likely reduce participant burden and improve follow-up response rates)</w:t>
      </w:r>
      <w:proofErr w:type="gramStart"/>
      <w:r w:rsidRPr="0017080B">
        <w:rPr>
          <w:sz w:val="24"/>
        </w:rPr>
        <w:t>,</w:t>
      </w:r>
      <w:proofErr w:type="gramEnd"/>
      <w:r w:rsidRPr="0017080B">
        <w:rPr>
          <w:sz w:val="24"/>
        </w:rPr>
        <w:t xml:space="preserve"> while the follow-up interviews in the RIPA communities will be completed during an in-home visit.  To minimize loss to follow-up, we will obtain contact information for each parent and child to </w:t>
      </w:r>
      <w:proofErr w:type="gramStart"/>
      <w:r w:rsidRPr="0017080B">
        <w:rPr>
          <w:sz w:val="24"/>
        </w:rPr>
        <w:t>be surveyed</w:t>
      </w:r>
      <w:proofErr w:type="gramEnd"/>
      <w:r w:rsidRPr="0017080B">
        <w:rPr>
          <w:sz w:val="24"/>
        </w:rPr>
        <w:t xml:space="preserve"> and will record the information on the participant enrollment form at the baseline </w:t>
      </w:r>
      <w:r w:rsidRPr="0017080B">
        <w:rPr>
          <w:sz w:val="24"/>
        </w:rPr>
        <w:lastRenderedPageBreak/>
        <w:t xml:space="preserve">interview.  In addition, we will ask them to provide the name and telephone number of friends or family members who will always know where to contact them in the future, in case s/he has moved and we are having trouble contacting them.  During the intervening period between baseline and follow-up, we will undertake cohort maintenance efforts, including sending periodic post cards with the study name and design elements, and study-related materials (e.g., newsletters), reminding parents and children of their continued enrollment in the study and our plan to contact them at the designated follow-up time (with bilingual mailings and e-mailings when appropriate).  Mailings </w:t>
      </w:r>
      <w:proofErr w:type="gramStart"/>
      <w:r w:rsidRPr="0017080B">
        <w:rPr>
          <w:sz w:val="24"/>
        </w:rPr>
        <w:t>will be addressed</w:t>
      </w:r>
      <w:proofErr w:type="gramEnd"/>
      <w:r w:rsidRPr="0017080B">
        <w:rPr>
          <w:sz w:val="24"/>
        </w:rPr>
        <w:t xml:space="preserve"> to the parent and/or child, and it will stress the importance of their continued participation with the study.  All mailings will also include a toll-free telephone number for participants to call if they have any questions or want to provide new contact information.  Any items mailed will also include a “Return Service Requested” stamp to help us track families that may have moved.  For those mailings that are undeliverable, we will call the contact numbers provided on the enrollment form in an effort to obtain a current address.  Prior to making follow-up telephone calls, we will mail a postcard to the parent alerting him/her about an upcoming telephone contact by a member of our research staff to schedule a follow-up telephone (or, if appropriate, an in-home) survey; this contact mailing will also remind parents of the additional incentive they will receive for their follow-up participation.  All of these efforts, likely will result in promoting high follow-up response rates.  </w:t>
      </w:r>
    </w:p>
    <w:p w:rsidR="00C43FAF" w:rsidRDefault="00C43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u w:val="single"/>
        </w:rPr>
      </w:pPr>
    </w:p>
    <w:p w:rsidR="00C43FAF" w:rsidRDefault="0017080B">
      <w:pPr>
        <w:rPr>
          <w:sz w:val="24"/>
        </w:rPr>
      </w:pPr>
      <w:r w:rsidRPr="0017080B">
        <w:rPr>
          <w:b/>
          <w:i/>
          <w:sz w:val="24"/>
        </w:rPr>
        <w:t>Medical Provider Records</w:t>
      </w:r>
      <w:r w:rsidR="004E3486">
        <w:rPr>
          <w:b/>
          <w:i/>
          <w:sz w:val="24"/>
        </w:rPr>
        <w:t>:</w:t>
      </w:r>
      <w:r w:rsidR="00924105" w:rsidRPr="00B03154">
        <w:rPr>
          <w:b/>
          <w:sz w:val="24"/>
        </w:rPr>
        <w:t xml:space="preserve"> </w:t>
      </w:r>
      <w:r w:rsidR="00924105" w:rsidRPr="00B03154">
        <w:rPr>
          <w:sz w:val="24"/>
        </w:rPr>
        <w:t xml:space="preserve">It </w:t>
      </w:r>
      <w:proofErr w:type="gramStart"/>
      <w:r w:rsidR="00924105" w:rsidRPr="00B03154">
        <w:rPr>
          <w:sz w:val="24"/>
        </w:rPr>
        <w:t>is anticipated</w:t>
      </w:r>
      <w:proofErr w:type="gramEnd"/>
      <w:r w:rsidR="00924105" w:rsidRPr="00B03154">
        <w:rPr>
          <w:sz w:val="24"/>
        </w:rPr>
        <w:t xml:space="preserve"> that the number of records to be requested of any one provider will be relatively few. </w:t>
      </w:r>
      <w:r w:rsidR="00057574" w:rsidRPr="00B03154">
        <w:rPr>
          <w:sz w:val="24"/>
        </w:rPr>
        <w:t xml:space="preserve"> </w:t>
      </w:r>
      <w:r w:rsidR="00924105" w:rsidRPr="00B03154">
        <w:rPr>
          <w:sz w:val="24"/>
        </w:rPr>
        <w:t xml:space="preserve">In addition, because we have budgeted to </w:t>
      </w:r>
      <w:r w:rsidR="00585F24" w:rsidRPr="00B03154">
        <w:rPr>
          <w:sz w:val="24"/>
        </w:rPr>
        <w:t xml:space="preserve">reimburse </w:t>
      </w:r>
      <w:r w:rsidR="00924105" w:rsidRPr="00B03154">
        <w:rPr>
          <w:sz w:val="24"/>
        </w:rPr>
        <w:t xml:space="preserve">any administrative fees the providers may charge for copying or providing these records, and because </w:t>
      </w:r>
      <w:r w:rsidRPr="0017080B">
        <w:rPr>
          <w:sz w:val="24"/>
        </w:rPr>
        <w:t xml:space="preserve">our partner, EMSI, has a great deal of experience obtaining patient medical records from providers, we anticipate our response rate to this particular data collection effort to be relatively high.    </w:t>
      </w:r>
    </w:p>
    <w:p w:rsidR="00C43FAF" w:rsidRDefault="00BD3E35" w:rsidP="00BD3E35">
      <w:pPr>
        <w:tabs>
          <w:tab w:val="left" w:pos="939"/>
        </w:tabs>
        <w:rPr>
          <w:sz w:val="24"/>
        </w:rPr>
      </w:pPr>
      <w:r>
        <w:rPr>
          <w:sz w:val="24"/>
        </w:rPr>
        <w:tab/>
      </w:r>
    </w:p>
    <w:p w:rsidR="00C43FAF" w:rsidRDefault="00C43FAF">
      <w:pPr>
        <w:rPr>
          <w:sz w:val="24"/>
        </w:rPr>
      </w:pPr>
    </w:p>
    <w:p w:rsidR="004116D2" w:rsidRDefault="0017080B" w:rsidP="00756E94">
      <w:pPr>
        <w:pStyle w:val="BHLevel2"/>
      </w:pPr>
      <w:bookmarkStart w:id="97" w:name="_Toc299107960"/>
      <w:bookmarkStart w:id="98" w:name="_Toc301448763"/>
      <w:r w:rsidRPr="0017080B">
        <w:t>B.4</w:t>
      </w:r>
      <w:r w:rsidRPr="0017080B">
        <w:tab/>
        <w:t>Tests of Procedures or Methods to be Undertaken</w:t>
      </w:r>
      <w:bookmarkEnd w:id="97"/>
      <w:bookmarkEnd w:id="98"/>
    </w:p>
    <w:p w:rsidR="00F4764D" w:rsidRPr="00B03154" w:rsidRDefault="00F4764D" w:rsidP="00A76A72">
      <w:pPr>
        <w:rPr>
          <w:sz w:val="24"/>
        </w:rPr>
      </w:pPr>
    </w:p>
    <w:p w:rsidR="0084218C" w:rsidRPr="00B03154" w:rsidRDefault="00802E1D" w:rsidP="00A76A72">
      <w:pPr>
        <w:adjustRightInd w:val="0"/>
        <w:rPr>
          <w:sz w:val="24"/>
        </w:rPr>
      </w:pPr>
      <w:proofErr w:type="gramStart"/>
      <w:r w:rsidRPr="00B03154">
        <w:rPr>
          <w:sz w:val="24"/>
        </w:rPr>
        <w:t>All data collection instruments will be tested in house by members of the research team to ensure that timing will align with the estimate of respondent burden</w:t>
      </w:r>
      <w:proofErr w:type="gramEnd"/>
      <w:r w:rsidR="001B041C" w:rsidRPr="00B03154">
        <w:rPr>
          <w:sz w:val="24"/>
        </w:rPr>
        <w:t xml:space="preserve">.  </w:t>
      </w:r>
      <w:r w:rsidRPr="00B03154">
        <w:rPr>
          <w:sz w:val="24"/>
        </w:rPr>
        <w:t xml:space="preserve">During </w:t>
      </w:r>
      <w:r w:rsidR="008F1F08" w:rsidRPr="00B03154">
        <w:rPr>
          <w:sz w:val="24"/>
        </w:rPr>
        <w:t>Wave 1</w:t>
      </w:r>
      <w:r w:rsidRPr="00B03154">
        <w:rPr>
          <w:sz w:val="24"/>
        </w:rPr>
        <w:t xml:space="preserve"> of data </w:t>
      </w:r>
      <w:r w:rsidR="00B60A89" w:rsidRPr="00B03154">
        <w:rPr>
          <w:sz w:val="24"/>
        </w:rPr>
        <w:t>collection,</w:t>
      </w:r>
      <w:r w:rsidRPr="00B03154">
        <w:rPr>
          <w:sz w:val="24"/>
        </w:rPr>
        <w:t xml:space="preserve"> we will visit four communities to refine recruitment materials, data collection instruments, and all field procedures. </w:t>
      </w:r>
      <w:r w:rsidR="008F6D90" w:rsidRPr="00B03154">
        <w:rPr>
          <w:sz w:val="24"/>
        </w:rPr>
        <w:t xml:space="preserve"> </w:t>
      </w:r>
      <w:r w:rsidRPr="00B03154">
        <w:rPr>
          <w:sz w:val="24"/>
        </w:rPr>
        <w:t xml:space="preserve">The Wave 1 communities </w:t>
      </w:r>
      <w:proofErr w:type="gramStart"/>
      <w:r w:rsidRPr="00B03154">
        <w:rPr>
          <w:sz w:val="24"/>
        </w:rPr>
        <w:t>will be chosen</w:t>
      </w:r>
      <w:proofErr w:type="gramEnd"/>
      <w:r w:rsidRPr="00B03154">
        <w:rPr>
          <w:sz w:val="24"/>
        </w:rPr>
        <w:t xml:space="preserve"> near existing Battelle offices to allow for observation and </w:t>
      </w:r>
      <w:r w:rsidR="0017080B" w:rsidRPr="0017080B">
        <w:rPr>
          <w:sz w:val="24"/>
        </w:rPr>
        <w:t xml:space="preserve">quality control checks of all protocol methods.  If any refinements to sampling and selection procedures, field protocols, or data collection instruments </w:t>
      </w:r>
      <w:proofErr w:type="gramStart"/>
      <w:r w:rsidR="0017080B" w:rsidRPr="0017080B">
        <w:rPr>
          <w:sz w:val="24"/>
        </w:rPr>
        <w:t>are made</w:t>
      </w:r>
      <w:proofErr w:type="gramEnd"/>
      <w:r w:rsidR="0017080B" w:rsidRPr="0017080B">
        <w:rPr>
          <w:sz w:val="24"/>
        </w:rPr>
        <w:t xml:space="preserve">, we will inform OMB of all changes and provide updated and final documentation and instruments.  </w:t>
      </w:r>
    </w:p>
    <w:p w:rsidR="004E3486" w:rsidRPr="00B03154" w:rsidRDefault="004E3486" w:rsidP="00A76A72">
      <w:pPr>
        <w:adjustRightInd w:val="0"/>
        <w:rPr>
          <w:sz w:val="24"/>
        </w:rPr>
      </w:pPr>
    </w:p>
    <w:p w:rsidR="004116D2" w:rsidRDefault="0017080B" w:rsidP="00756E94">
      <w:pPr>
        <w:pStyle w:val="BHLevel2"/>
      </w:pPr>
      <w:bookmarkStart w:id="99" w:name="_Toc299107961"/>
      <w:bookmarkStart w:id="100" w:name="_Toc301448764"/>
      <w:r w:rsidRPr="0017080B">
        <w:t>B.5</w:t>
      </w:r>
      <w:r w:rsidRPr="0017080B">
        <w:tab/>
        <w:t>Training and QA/QC Methods</w:t>
      </w:r>
      <w:bookmarkEnd w:id="99"/>
      <w:bookmarkEnd w:id="100"/>
    </w:p>
    <w:p w:rsidR="00086ADA" w:rsidRPr="00B03154" w:rsidRDefault="00086ADA" w:rsidP="00A76A72">
      <w:pPr>
        <w:adjustRightInd w:val="0"/>
        <w:rPr>
          <w:b/>
          <w:sz w:val="24"/>
        </w:rPr>
      </w:pPr>
    </w:p>
    <w:p w:rsidR="00586267" w:rsidRPr="00B03154" w:rsidRDefault="00086ADA" w:rsidP="00A76A72">
      <w:pPr>
        <w:adjustRightInd w:val="0"/>
        <w:rPr>
          <w:bCs/>
          <w:sz w:val="24"/>
        </w:rPr>
      </w:pPr>
      <w:r w:rsidRPr="00B03154">
        <w:rPr>
          <w:sz w:val="24"/>
        </w:rPr>
        <w:t xml:space="preserve">Experienced trainers from Battelle and its partners will oversee and/or conduct all staff training, including training of the </w:t>
      </w:r>
      <w:r w:rsidR="00620457" w:rsidRPr="00B03154">
        <w:rPr>
          <w:sz w:val="24"/>
        </w:rPr>
        <w:t>Battelle c</w:t>
      </w:r>
      <w:r w:rsidRPr="00B03154">
        <w:rPr>
          <w:sz w:val="24"/>
        </w:rPr>
        <w:t>ommunity</w:t>
      </w:r>
      <w:r w:rsidR="00620457" w:rsidRPr="00B03154">
        <w:rPr>
          <w:sz w:val="24"/>
        </w:rPr>
        <w:t xml:space="preserve"> liaisons and community d</w:t>
      </w:r>
      <w:r w:rsidRPr="00B03154">
        <w:rPr>
          <w:sz w:val="24"/>
        </w:rPr>
        <w:t xml:space="preserve">ocumenters on conducting face-to-face interviews, document abstraction and community observations.  </w:t>
      </w:r>
      <w:r w:rsidR="00A223EB" w:rsidRPr="00B03154">
        <w:rPr>
          <w:bCs/>
          <w:sz w:val="24"/>
        </w:rPr>
        <w:t xml:space="preserve">The </w:t>
      </w:r>
      <w:r w:rsidR="00620457" w:rsidRPr="00B03154">
        <w:rPr>
          <w:bCs/>
          <w:sz w:val="24"/>
        </w:rPr>
        <w:t>Battelle community l</w:t>
      </w:r>
      <w:r w:rsidR="00A223EB" w:rsidRPr="00B03154">
        <w:rPr>
          <w:bCs/>
          <w:sz w:val="24"/>
        </w:rPr>
        <w:t xml:space="preserve">iaison will also be trained on how to train EMSI </w:t>
      </w:r>
      <w:r w:rsidR="00247CC6" w:rsidRPr="00B03154">
        <w:rPr>
          <w:sz w:val="24"/>
        </w:rPr>
        <w:t xml:space="preserve">field interviewers </w:t>
      </w:r>
      <w:r w:rsidR="0017080B" w:rsidRPr="0017080B">
        <w:rPr>
          <w:bCs/>
          <w:sz w:val="24"/>
        </w:rPr>
        <w:t xml:space="preserve">to accurately use and record measurements from the various anthropometric measurement devices (e.g., scale, accelerometer), and how to conduct quality assurance and control of EMSI </w:t>
      </w:r>
      <w:r w:rsidR="0017080B" w:rsidRPr="0017080B">
        <w:rPr>
          <w:sz w:val="24"/>
        </w:rPr>
        <w:t xml:space="preserve">field interviewers </w:t>
      </w:r>
      <w:r w:rsidR="0017080B" w:rsidRPr="0017080B">
        <w:rPr>
          <w:bCs/>
          <w:sz w:val="24"/>
        </w:rPr>
        <w:t xml:space="preserve">once they begin conducting home visits.  </w:t>
      </w:r>
    </w:p>
    <w:p w:rsidR="00586267" w:rsidRPr="00B03154" w:rsidRDefault="00586267" w:rsidP="00A76A72">
      <w:pPr>
        <w:adjustRightInd w:val="0"/>
        <w:rPr>
          <w:bCs/>
          <w:sz w:val="24"/>
        </w:rPr>
      </w:pPr>
    </w:p>
    <w:p w:rsidR="00C43FAF" w:rsidRDefault="0017080B">
      <w:pPr>
        <w:adjustRightInd w:val="0"/>
        <w:rPr>
          <w:sz w:val="24"/>
        </w:rPr>
      </w:pPr>
      <w:r w:rsidRPr="0017080B">
        <w:rPr>
          <w:sz w:val="24"/>
        </w:rPr>
        <w:t xml:space="preserve">Training sessions </w:t>
      </w:r>
      <w:proofErr w:type="gramStart"/>
      <w:r w:rsidRPr="0017080B">
        <w:rPr>
          <w:sz w:val="24"/>
        </w:rPr>
        <w:t>will be conducted</w:t>
      </w:r>
      <w:proofErr w:type="gramEnd"/>
      <w:r w:rsidRPr="0017080B">
        <w:rPr>
          <w:sz w:val="24"/>
        </w:rPr>
        <w:t xml:space="preserve"> using a number of modalities, including in-person one-to-one and group sessions (particularly for the training on how to conduct face-to-face interviews with </w:t>
      </w:r>
      <w:r w:rsidR="0097010A">
        <w:rPr>
          <w:sz w:val="24"/>
        </w:rPr>
        <w:t>k</w:t>
      </w:r>
      <w:r w:rsidRPr="0017080B">
        <w:rPr>
          <w:sz w:val="24"/>
        </w:rPr>
        <w:t xml:space="preserve">ey </w:t>
      </w:r>
      <w:r w:rsidR="0097010A">
        <w:rPr>
          <w:sz w:val="24"/>
        </w:rPr>
        <w:t>i</w:t>
      </w:r>
      <w:r w:rsidRPr="0017080B">
        <w:rPr>
          <w:sz w:val="24"/>
        </w:rPr>
        <w:t xml:space="preserve">nformants), on-line individual coursework, video viewing, and live webinars.  As part of our training and quality assurance protocol, all study staff will also receive a personal training and reference manual, and will complete human research ethics trainings and confidentiality trainings.  </w:t>
      </w:r>
    </w:p>
    <w:p w:rsidR="00C43FAF" w:rsidRDefault="00C43FAF">
      <w:pPr>
        <w:adjustRightInd w:val="0"/>
        <w:rPr>
          <w:sz w:val="24"/>
        </w:rPr>
      </w:pPr>
    </w:p>
    <w:p w:rsidR="00C43FAF" w:rsidRDefault="00C43FAF">
      <w:pPr>
        <w:adjustRightInd w:val="0"/>
        <w:rPr>
          <w:sz w:val="24"/>
        </w:rPr>
      </w:pPr>
    </w:p>
    <w:p w:rsidR="004116D2" w:rsidRDefault="0017080B" w:rsidP="00756E94">
      <w:pPr>
        <w:pStyle w:val="BHLevel2"/>
      </w:pPr>
      <w:bookmarkStart w:id="101" w:name="_Toc299107962"/>
      <w:bookmarkStart w:id="102" w:name="_Toc301448765"/>
      <w:r w:rsidRPr="0017080B">
        <w:t>B.6</w:t>
      </w:r>
      <w:r w:rsidRPr="0017080B">
        <w:tab/>
        <w:t>Consultations and the Project Team</w:t>
      </w:r>
      <w:bookmarkEnd w:id="101"/>
      <w:bookmarkEnd w:id="102"/>
    </w:p>
    <w:p w:rsidR="00F4764D" w:rsidRPr="00B03154" w:rsidRDefault="00F4764D" w:rsidP="00A76A72">
      <w:pPr>
        <w:rPr>
          <w:sz w:val="24"/>
        </w:rPr>
      </w:pPr>
    </w:p>
    <w:p w:rsidR="00F4764D" w:rsidRPr="004116D2" w:rsidRDefault="00F4764D" w:rsidP="006D6EE6">
      <w:pPr>
        <w:pStyle w:val="Footer"/>
        <w:rPr>
          <w:sz w:val="24"/>
        </w:rPr>
      </w:pPr>
      <w:r w:rsidRPr="004116D2">
        <w:rPr>
          <w:sz w:val="24"/>
        </w:rPr>
        <w:t>Individuals Consulted on Statistical Aspects of the Design:</w:t>
      </w:r>
    </w:p>
    <w:p w:rsidR="00F4764D" w:rsidRPr="004116D2" w:rsidRDefault="00F4764D" w:rsidP="006D6EE6">
      <w:pPr>
        <w:pStyle w:val="Heading2"/>
        <w:numPr>
          <w:ilvl w:val="0"/>
          <w:numId w:val="0"/>
        </w:numPr>
        <w:tabs>
          <w:tab w:val="clear" w:pos="360"/>
        </w:tabs>
        <w:jc w:val="center"/>
        <w:rPr>
          <w:b w:val="0"/>
          <w:bCs w:val="0"/>
          <w:sz w:val="24"/>
        </w:rPr>
      </w:pPr>
    </w:p>
    <w:p w:rsidR="00C43FAF" w:rsidRPr="004116D2" w:rsidRDefault="00F4764D" w:rsidP="006D6EE6">
      <w:pPr>
        <w:pStyle w:val="Footer"/>
        <w:rPr>
          <w:sz w:val="24"/>
        </w:rPr>
      </w:pPr>
      <w:r w:rsidRPr="004116D2">
        <w:rPr>
          <w:sz w:val="24"/>
        </w:rPr>
        <w:t>Warren Strauss</w:t>
      </w:r>
    </w:p>
    <w:p w:rsidR="00C43FAF" w:rsidRPr="004116D2" w:rsidRDefault="00F4764D" w:rsidP="006D6EE6">
      <w:pPr>
        <w:pStyle w:val="Footer"/>
        <w:rPr>
          <w:sz w:val="24"/>
        </w:rPr>
      </w:pPr>
      <w:r w:rsidRPr="004116D2">
        <w:rPr>
          <w:sz w:val="24"/>
        </w:rPr>
        <w:t>Battelle Memorial Institute</w:t>
      </w:r>
    </w:p>
    <w:p w:rsidR="00C43FAF" w:rsidRPr="004116D2" w:rsidRDefault="00F4764D" w:rsidP="006D6EE6">
      <w:pPr>
        <w:pStyle w:val="Footer"/>
        <w:rPr>
          <w:sz w:val="24"/>
        </w:rPr>
      </w:pPr>
      <w:r w:rsidRPr="004116D2">
        <w:rPr>
          <w:sz w:val="24"/>
        </w:rPr>
        <w:t>614</w:t>
      </w:r>
      <w:r w:rsidR="004924FD" w:rsidRPr="004116D2">
        <w:rPr>
          <w:sz w:val="24"/>
        </w:rPr>
        <w:t>-</w:t>
      </w:r>
      <w:r w:rsidR="0017080B" w:rsidRPr="004116D2">
        <w:rPr>
          <w:sz w:val="24"/>
        </w:rPr>
        <w:t>424-4275</w:t>
      </w:r>
    </w:p>
    <w:p w:rsidR="00C43FAF" w:rsidRDefault="00C43FAF" w:rsidP="006D6EE6">
      <w:pPr>
        <w:pStyle w:val="Footer"/>
        <w:rPr>
          <w:sz w:val="24"/>
        </w:rPr>
      </w:pPr>
    </w:p>
    <w:p w:rsidR="00C43FAF" w:rsidRPr="004116D2" w:rsidRDefault="0017080B" w:rsidP="006D6EE6">
      <w:pPr>
        <w:pStyle w:val="Footer"/>
        <w:rPr>
          <w:sz w:val="24"/>
        </w:rPr>
      </w:pPr>
      <w:r w:rsidRPr="004116D2">
        <w:rPr>
          <w:sz w:val="24"/>
        </w:rPr>
        <w:t>Eric Leifer</w:t>
      </w:r>
    </w:p>
    <w:p w:rsidR="00C43FAF" w:rsidRPr="004116D2" w:rsidRDefault="0017080B" w:rsidP="006D6EE6">
      <w:pPr>
        <w:pStyle w:val="Footer"/>
        <w:rPr>
          <w:sz w:val="24"/>
        </w:rPr>
      </w:pPr>
      <w:r w:rsidRPr="004116D2">
        <w:rPr>
          <w:sz w:val="24"/>
        </w:rPr>
        <w:t>National Heart, Lung, and Blood Institute</w:t>
      </w:r>
    </w:p>
    <w:p w:rsidR="00C43FAF" w:rsidRPr="004116D2" w:rsidRDefault="0017080B" w:rsidP="006D6EE6">
      <w:pPr>
        <w:pStyle w:val="Footer"/>
        <w:rPr>
          <w:sz w:val="24"/>
        </w:rPr>
      </w:pPr>
      <w:r w:rsidRPr="004116D2">
        <w:rPr>
          <w:sz w:val="24"/>
        </w:rPr>
        <w:t>301-435-0419</w:t>
      </w:r>
    </w:p>
    <w:p w:rsidR="00C43FAF" w:rsidRPr="004116D2" w:rsidRDefault="00C43FAF" w:rsidP="006D6EE6">
      <w:pPr>
        <w:pStyle w:val="Footer"/>
        <w:rPr>
          <w:sz w:val="24"/>
        </w:rPr>
      </w:pPr>
    </w:p>
    <w:p w:rsidR="00C43FAF" w:rsidRPr="004116D2" w:rsidRDefault="0017080B" w:rsidP="006D6EE6">
      <w:pPr>
        <w:pStyle w:val="Footer"/>
        <w:rPr>
          <w:sz w:val="24"/>
        </w:rPr>
      </w:pPr>
      <w:r w:rsidRPr="004116D2">
        <w:rPr>
          <w:sz w:val="24"/>
        </w:rPr>
        <w:t>Colin Wu</w:t>
      </w:r>
    </w:p>
    <w:p w:rsidR="00C43FAF" w:rsidRPr="004116D2" w:rsidRDefault="0017080B" w:rsidP="006D6EE6">
      <w:pPr>
        <w:pStyle w:val="Footer"/>
        <w:rPr>
          <w:sz w:val="24"/>
        </w:rPr>
      </w:pPr>
      <w:r w:rsidRPr="004116D2">
        <w:rPr>
          <w:sz w:val="24"/>
        </w:rPr>
        <w:t>National Heart, Lung, and Blood Institute</w:t>
      </w:r>
    </w:p>
    <w:p w:rsidR="00C43FAF" w:rsidRPr="004116D2" w:rsidRDefault="0017080B" w:rsidP="006D6EE6">
      <w:pPr>
        <w:pStyle w:val="Footer"/>
        <w:rPr>
          <w:sz w:val="24"/>
        </w:rPr>
      </w:pPr>
      <w:r w:rsidRPr="004116D2">
        <w:rPr>
          <w:sz w:val="24"/>
        </w:rPr>
        <w:t>301-435-0440</w:t>
      </w:r>
    </w:p>
    <w:p w:rsidR="00C43FAF" w:rsidRPr="004116D2" w:rsidRDefault="00C43FAF" w:rsidP="006D6EE6">
      <w:pPr>
        <w:pStyle w:val="Footer"/>
        <w:rPr>
          <w:sz w:val="24"/>
        </w:rPr>
      </w:pPr>
    </w:p>
    <w:p w:rsidR="00C43FAF" w:rsidRPr="004116D2" w:rsidRDefault="0017080B" w:rsidP="006D6EE6">
      <w:pPr>
        <w:pStyle w:val="Footer"/>
        <w:rPr>
          <w:sz w:val="24"/>
        </w:rPr>
      </w:pPr>
      <w:r w:rsidRPr="004116D2">
        <w:rPr>
          <w:sz w:val="24"/>
        </w:rPr>
        <w:t>Kevin Dodd</w:t>
      </w:r>
    </w:p>
    <w:p w:rsidR="00C43FAF" w:rsidRPr="004116D2" w:rsidRDefault="0017080B" w:rsidP="006D6EE6">
      <w:pPr>
        <w:pStyle w:val="Footer"/>
        <w:rPr>
          <w:sz w:val="24"/>
        </w:rPr>
      </w:pPr>
      <w:r w:rsidRPr="004116D2">
        <w:rPr>
          <w:sz w:val="24"/>
        </w:rPr>
        <w:t>National Cancer Institute</w:t>
      </w:r>
    </w:p>
    <w:p w:rsidR="00C43FAF" w:rsidRPr="004116D2" w:rsidRDefault="0017080B" w:rsidP="006D6EE6">
      <w:pPr>
        <w:pStyle w:val="Footer"/>
        <w:rPr>
          <w:sz w:val="24"/>
        </w:rPr>
      </w:pPr>
      <w:r w:rsidRPr="004116D2">
        <w:rPr>
          <w:sz w:val="24"/>
        </w:rPr>
        <w:t>301-496-7461</w:t>
      </w:r>
    </w:p>
    <w:p w:rsidR="00C43FAF" w:rsidRPr="004116D2" w:rsidRDefault="00C43FAF" w:rsidP="006D6EE6">
      <w:pPr>
        <w:pStyle w:val="Footer"/>
        <w:rPr>
          <w:sz w:val="24"/>
        </w:rPr>
      </w:pPr>
    </w:p>
    <w:p w:rsidR="00C43FAF" w:rsidRPr="004116D2" w:rsidRDefault="00C43FAF" w:rsidP="006D6EE6">
      <w:pPr>
        <w:pStyle w:val="BHLevel6"/>
        <w:keepNext/>
        <w:keepLines/>
        <w:spacing w:before="0" w:after="0"/>
        <w:jc w:val="center"/>
        <w:rPr>
          <w:b w:val="0"/>
          <w:bCs w:val="0"/>
          <w:smallCaps w:val="0"/>
          <w:sz w:val="24"/>
        </w:rPr>
      </w:pPr>
    </w:p>
    <w:p w:rsidR="00C43FAF" w:rsidRPr="004116D2" w:rsidRDefault="0017080B" w:rsidP="006D6EE6">
      <w:pPr>
        <w:pStyle w:val="BHLevel6"/>
        <w:keepNext/>
        <w:keepLines/>
        <w:spacing w:before="0" w:after="0"/>
        <w:jc w:val="center"/>
        <w:rPr>
          <w:b w:val="0"/>
          <w:bCs w:val="0"/>
          <w:smallCaps w:val="0"/>
          <w:sz w:val="24"/>
        </w:rPr>
      </w:pPr>
      <w:r w:rsidRPr="004116D2">
        <w:rPr>
          <w:b w:val="0"/>
          <w:bCs w:val="0"/>
          <w:smallCaps w:val="0"/>
          <w:sz w:val="24"/>
        </w:rPr>
        <w:t>Contractors Responsible for Collecting Information for the Agency:</w:t>
      </w:r>
    </w:p>
    <w:p w:rsidR="00C43FAF" w:rsidRPr="004116D2" w:rsidRDefault="00C43FAF" w:rsidP="006D6EE6">
      <w:pPr>
        <w:pStyle w:val="BHLevel6"/>
        <w:keepNext/>
        <w:keepLines/>
        <w:spacing w:before="0" w:after="0"/>
        <w:jc w:val="center"/>
        <w:rPr>
          <w:b w:val="0"/>
          <w:bCs w:val="0"/>
          <w:smallCaps w:val="0"/>
          <w:sz w:val="24"/>
        </w:rPr>
      </w:pP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Battelle Memorial Institute</w:t>
      </w: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505 King Avenue</w:t>
      </w: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Columbus OH, 43201-2693</w:t>
      </w:r>
    </w:p>
    <w:p w:rsidR="00C43FAF" w:rsidRPr="004116D2" w:rsidRDefault="0017080B" w:rsidP="006D6EE6">
      <w:pPr>
        <w:ind w:left="720"/>
        <w:jc w:val="center"/>
        <w:rPr>
          <w:sz w:val="24"/>
        </w:rPr>
      </w:pPr>
      <w:r w:rsidRPr="004116D2">
        <w:rPr>
          <w:sz w:val="24"/>
        </w:rPr>
        <w:t>Contact: Dr. Howard Fishbein</w:t>
      </w:r>
    </w:p>
    <w:p w:rsidR="00C43FAF" w:rsidRDefault="0017080B" w:rsidP="006D6EE6">
      <w:pPr>
        <w:ind w:left="720"/>
        <w:jc w:val="center"/>
      </w:pPr>
      <w:r w:rsidRPr="004116D2">
        <w:rPr>
          <w:sz w:val="24"/>
        </w:rPr>
        <w:t>(703) 248-1647</w:t>
      </w:r>
    </w:p>
    <w:p w:rsidR="004116D2" w:rsidRDefault="004116D2"/>
    <w:sectPr w:rsidR="004116D2" w:rsidSect="00CE0051">
      <w:footerReference w:type="default" r:id="rId17"/>
      <w:footerReference w:type="first" r:id="rId18"/>
      <w:pgSz w:w="12240" w:h="15840"/>
      <w:pgMar w:top="1440" w:right="1440" w:bottom="1440"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AA" w:rsidRDefault="003957AA">
      <w:r>
        <w:separator/>
      </w:r>
    </w:p>
  </w:endnote>
  <w:endnote w:type="continuationSeparator" w:id="0">
    <w:p w:rsidR="003957AA" w:rsidRDefault="00395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18334"/>
      <w:docPartObj>
        <w:docPartGallery w:val="Page Numbers (Bottom of Page)"/>
        <w:docPartUnique/>
      </w:docPartObj>
    </w:sdtPr>
    <w:sdtContent>
      <w:p w:rsidR="003957AA" w:rsidRDefault="0074608C">
        <w:pPr>
          <w:pStyle w:val="Footer"/>
        </w:pPr>
        <w:fldSimple w:instr=" PAGE   \* MERGEFORMAT ">
          <w:r w:rsidR="00515A58">
            <w:rPr>
              <w:noProof/>
            </w:rPr>
            <w:t>iii</w:t>
          </w:r>
        </w:fldSimple>
      </w:p>
    </w:sdtContent>
  </w:sdt>
  <w:p w:rsidR="003957AA" w:rsidRDefault="003957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AA" w:rsidRDefault="003957AA" w:rsidP="00CE0051">
    <w:pPr>
      <w:pStyle w:val="Footer"/>
      <w:rPr>
        <w:rFonts w:ascii="Univers" w:hAnsi="Univers" w:cs="Arial"/>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AA" w:rsidRDefault="0074608C" w:rsidP="00AE63D6">
    <w:pPr>
      <w:pStyle w:val="Footer"/>
      <w:tabs>
        <w:tab w:val="clear" w:pos="4320"/>
        <w:tab w:val="clear" w:pos="8640"/>
        <w:tab w:val="center" w:pos="0"/>
      </w:tabs>
      <w:ind w:left="-90" w:firstLine="90"/>
    </w:pPr>
    <w:fldSimple w:instr=" PAGE  \* roman  \* MERGEFORMAT ">
      <w:r w:rsidR="00515A58">
        <w:rPr>
          <w:noProof/>
        </w:rPr>
        <w:t>ii</w:t>
      </w:r>
    </w:fldSimple>
  </w:p>
  <w:p w:rsidR="003957AA" w:rsidRPr="00CE31DA" w:rsidRDefault="003957AA">
    <w:pPr>
      <w:pStyle w:val="Footer"/>
      <w:tabs>
        <w:tab w:val="clear" w:pos="4320"/>
        <w:tab w:val="clear" w:pos="8640"/>
        <w:tab w:val="center" w:pos="4680"/>
        <w:tab w:val="right" w:pos="9360"/>
      </w:tabs>
      <w:rPr>
        <w:rFonts w:ascii="Calibri" w:hAnsi="Calibri" w:cs="Calibr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771"/>
      <w:docPartObj>
        <w:docPartGallery w:val="Page Numbers (Bottom of Page)"/>
        <w:docPartUnique/>
      </w:docPartObj>
    </w:sdtPr>
    <w:sdtContent>
      <w:p w:rsidR="003957AA" w:rsidRDefault="0074608C">
        <w:pPr>
          <w:pStyle w:val="Footer"/>
        </w:pPr>
        <w:fldSimple w:instr=" PAGE   \* MERGEFORMAT ">
          <w:r w:rsidR="00515A58">
            <w:rPr>
              <w:noProof/>
            </w:rPr>
            <w:t>32</w:t>
          </w:r>
        </w:fldSimple>
      </w:p>
    </w:sdtContent>
  </w:sdt>
  <w:p w:rsidR="003957AA" w:rsidRDefault="003957A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770"/>
      <w:docPartObj>
        <w:docPartGallery w:val="Page Numbers (Bottom of Page)"/>
        <w:docPartUnique/>
      </w:docPartObj>
    </w:sdtPr>
    <w:sdtContent>
      <w:p w:rsidR="003957AA" w:rsidRDefault="0074608C">
        <w:pPr>
          <w:pStyle w:val="Footer"/>
        </w:pPr>
        <w:fldSimple w:instr=" PAGE   \* MERGEFORMAT ">
          <w:r w:rsidR="003957AA">
            <w:rPr>
              <w:noProof/>
            </w:rPr>
            <w:t>1</w:t>
          </w:r>
        </w:fldSimple>
      </w:p>
    </w:sdtContent>
  </w:sdt>
  <w:p w:rsidR="003957AA" w:rsidRPr="00CE31DA" w:rsidRDefault="003957AA">
    <w:pPr>
      <w:pStyle w:val="Footer"/>
      <w:tabs>
        <w:tab w:val="clear" w:pos="4320"/>
        <w:tab w:val="clear" w:pos="8640"/>
        <w:tab w:val="center" w:pos="4680"/>
        <w:tab w:val="right" w:pos="9360"/>
      </w:tabs>
      <w:rPr>
        <w:rFonts w:ascii="Calibri" w:hAnsi="Calibri" w:cs="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AA" w:rsidRDefault="003957AA">
      <w:r>
        <w:separator/>
      </w:r>
    </w:p>
  </w:footnote>
  <w:footnote w:type="continuationSeparator" w:id="0">
    <w:p w:rsidR="003957AA" w:rsidRDefault="00395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A87"/>
    <w:multiLevelType w:val="multilevel"/>
    <w:tmpl w:val="4E28B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A42BD6"/>
    <w:multiLevelType w:val="multilevel"/>
    <w:tmpl w:val="D03AD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CF5D71"/>
    <w:multiLevelType w:val="hybridMultilevel"/>
    <w:tmpl w:val="3C560B3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94CA7"/>
    <w:multiLevelType w:val="hybridMultilevel"/>
    <w:tmpl w:val="731A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62D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5B27398"/>
    <w:multiLevelType w:val="hybridMultilevel"/>
    <w:tmpl w:val="9A42468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945AC"/>
    <w:multiLevelType w:val="hybridMultilevel"/>
    <w:tmpl w:val="E564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332D2"/>
    <w:multiLevelType w:val="hybridMultilevel"/>
    <w:tmpl w:val="A69C4B92"/>
    <w:lvl w:ilvl="0" w:tplc="966A0B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B6C9E"/>
    <w:multiLevelType w:val="hybridMultilevel"/>
    <w:tmpl w:val="86365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9972F1"/>
    <w:multiLevelType w:val="hybridMultilevel"/>
    <w:tmpl w:val="AA0E5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E3D6E"/>
    <w:multiLevelType w:val="hybridMultilevel"/>
    <w:tmpl w:val="CC9C0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773D1"/>
    <w:multiLevelType w:val="singleLevel"/>
    <w:tmpl w:val="FFFFFFFF"/>
    <w:lvl w:ilvl="0">
      <w:numFmt w:val="decimal"/>
      <w:pStyle w:val="Heading2"/>
      <w:lvlText w:val="%1"/>
      <w:legacy w:legacy="1" w:legacySpace="0" w:legacyIndent="0"/>
      <w:lvlJc w:val="left"/>
    </w:lvl>
  </w:abstractNum>
  <w:abstractNum w:abstractNumId="12">
    <w:nsid w:val="2F4B7B19"/>
    <w:multiLevelType w:val="hybridMultilevel"/>
    <w:tmpl w:val="BE881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D1754"/>
    <w:multiLevelType w:val="hybridMultilevel"/>
    <w:tmpl w:val="686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630BC4"/>
    <w:multiLevelType w:val="hybridMultilevel"/>
    <w:tmpl w:val="0B8C3C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8510256"/>
    <w:multiLevelType w:val="hybridMultilevel"/>
    <w:tmpl w:val="E08AC4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FF70F6"/>
    <w:multiLevelType w:val="hybridMultilevel"/>
    <w:tmpl w:val="B1CA2952"/>
    <w:lvl w:ilvl="0" w:tplc="63C044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4B30C8"/>
    <w:multiLevelType w:val="multilevel"/>
    <w:tmpl w:val="5EAC4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9">
    <w:nsid w:val="57522ED9"/>
    <w:multiLevelType w:val="hybridMultilevel"/>
    <w:tmpl w:val="0F56C584"/>
    <w:lvl w:ilvl="0" w:tplc="966A0B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A82D47"/>
    <w:multiLevelType w:val="hybridMultilevel"/>
    <w:tmpl w:val="96A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702DE4"/>
    <w:multiLevelType w:val="hybridMultilevel"/>
    <w:tmpl w:val="63BA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D44A37"/>
    <w:multiLevelType w:val="hybridMultilevel"/>
    <w:tmpl w:val="4DDE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5C1247"/>
    <w:multiLevelType w:val="hybridMultilevel"/>
    <w:tmpl w:val="C18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7571E"/>
    <w:multiLevelType w:val="hybridMultilevel"/>
    <w:tmpl w:val="7E923A0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nsid w:val="72725CF2"/>
    <w:multiLevelType w:val="hybridMultilevel"/>
    <w:tmpl w:val="E818A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22189D"/>
    <w:multiLevelType w:val="hybridMultilevel"/>
    <w:tmpl w:val="DA9E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6162FA"/>
    <w:multiLevelType w:val="hybridMultilevel"/>
    <w:tmpl w:val="E0E69C52"/>
    <w:lvl w:ilvl="0" w:tplc="E5266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B5254D"/>
    <w:multiLevelType w:val="hybridMultilevel"/>
    <w:tmpl w:val="D758F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BA737A"/>
    <w:multiLevelType w:val="hybridMultilevel"/>
    <w:tmpl w:val="D75C99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CA644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1"/>
  </w:num>
  <w:num w:numId="4">
    <w:abstractNumId w:val="2"/>
  </w:num>
  <w:num w:numId="5">
    <w:abstractNumId w:val="6"/>
  </w:num>
  <w:num w:numId="6">
    <w:abstractNumId w:val="18"/>
  </w:num>
  <w:num w:numId="7">
    <w:abstractNumId w:val="9"/>
  </w:num>
  <w:num w:numId="8">
    <w:abstractNumId w:val="10"/>
  </w:num>
  <w:num w:numId="9">
    <w:abstractNumId w:val="21"/>
  </w:num>
  <w:num w:numId="10">
    <w:abstractNumId w:val="3"/>
  </w:num>
  <w:num w:numId="11">
    <w:abstractNumId w:val="20"/>
  </w:num>
  <w:num w:numId="12">
    <w:abstractNumId w:val="12"/>
  </w:num>
  <w:num w:numId="13">
    <w:abstractNumId w:val="13"/>
  </w:num>
  <w:num w:numId="14">
    <w:abstractNumId w:val="25"/>
  </w:num>
  <w:num w:numId="15">
    <w:abstractNumId w:val="22"/>
  </w:num>
  <w:num w:numId="16">
    <w:abstractNumId w:val="24"/>
  </w:num>
  <w:num w:numId="17">
    <w:abstractNumId w:val="32"/>
  </w:num>
  <w:num w:numId="18">
    <w:abstractNumId w:val="28"/>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6"/>
  </w:num>
  <w:num w:numId="22">
    <w:abstractNumId w:val="15"/>
  </w:num>
  <w:num w:numId="23">
    <w:abstractNumId w:val="23"/>
  </w:num>
  <w:num w:numId="24">
    <w:abstractNumId w:val="2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9"/>
  </w:num>
  <w:num w:numId="28">
    <w:abstractNumId w:val="5"/>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8"/>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8" w:nlCheck="1" w:checkStyle="0"/>
  <w:activeWritingStyle w:appName="MSWord" w:lang="fr-FR" w:vendorID="64" w:dllVersion="131078" w:nlCheck="1" w:checkStyle="1"/>
  <w:proofState w:spelling="clean" w:grammar="clean"/>
  <w:defaultTabStop w:val="720"/>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rsids>
    <w:rsidRoot w:val="00F4764D"/>
    <w:rsid w:val="000007B6"/>
    <w:rsid w:val="00001622"/>
    <w:rsid w:val="00002776"/>
    <w:rsid w:val="00004D8B"/>
    <w:rsid w:val="00005B9B"/>
    <w:rsid w:val="00012826"/>
    <w:rsid w:val="000129BE"/>
    <w:rsid w:val="00016244"/>
    <w:rsid w:val="00020172"/>
    <w:rsid w:val="0002196C"/>
    <w:rsid w:val="00022369"/>
    <w:rsid w:val="0004374C"/>
    <w:rsid w:val="00043D10"/>
    <w:rsid w:val="00045A4B"/>
    <w:rsid w:val="00047569"/>
    <w:rsid w:val="00051859"/>
    <w:rsid w:val="0005186F"/>
    <w:rsid w:val="00051EDA"/>
    <w:rsid w:val="00052897"/>
    <w:rsid w:val="000551A1"/>
    <w:rsid w:val="000552C9"/>
    <w:rsid w:val="00055AA0"/>
    <w:rsid w:val="00057574"/>
    <w:rsid w:val="000615ED"/>
    <w:rsid w:val="00063986"/>
    <w:rsid w:val="0006558D"/>
    <w:rsid w:val="00070C36"/>
    <w:rsid w:val="00073625"/>
    <w:rsid w:val="000737D2"/>
    <w:rsid w:val="000754C7"/>
    <w:rsid w:val="00083EB9"/>
    <w:rsid w:val="00086ADA"/>
    <w:rsid w:val="0008776B"/>
    <w:rsid w:val="00091065"/>
    <w:rsid w:val="0009197D"/>
    <w:rsid w:val="00095286"/>
    <w:rsid w:val="000A007B"/>
    <w:rsid w:val="000A1BBA"/>
    <w:rsid w:val="000A3245"/>
    <w:rsid w:val="000B37BB"/>
    <w:rsid w:val="000C1D12"/>
    <w:rsid w:val="000C303E"/>
    <w:rsid w:val="000C33BB"/>
    <w:rsid w:val="000C33FE"/>
    <w:rsid w:val="000C61A3"/>
    <w:rsid w:val="000C74BE"/>
    <w:rsid w:val="000D179B"/>
    <w:rsid w:val="000D382B"/>
    <w:rsid w:val="000D3A44"/>
    <w:rsid w:val="000D3A67"/>
    <w:rsid w:val="000D4415"/>
    <w:rsid w:val="000D7F6A"/>
    <w:rsid w:val="000D7FFC"/>
    <w:rsid w:val="000E16D0"/>
    <w:rsid w:val="000E1C75"/>
    <w:rsid w:val="000E2352"/>
    <w:rsid w:val="000E55A7"/>
    <w:rsid w:val="000E5BF2"/>
    <w:rsid w:val="000E61FB"/>
    <w:rsid w:val="000F1F60"/>
    <w:rsid w:val="000F4031"/>
    <w:rsid w:val="00100918"/>
    <w:rsid w:val="00101993"/>
    <w:rsid w:val="00102324"/>
    <w:rsid w:val="001037B2"/>
    <w:rsid w:val="00103C5B"/>
    <w:rsid w:val="0010764A"/>
    <w:rsid w:val="00110B06"/>
    <w:rsid w:val="00112D51"/>
    <w:rsid w:val="0011514D"/>
    <w:rsid w:val="00115BCD"/>
    <w:rsid w:val="001170AD"/>
    <w:rsid w:val="00117113"/>
    <w:rsid w:val="001205E1"/>
    <w:rsid w:val="0012154B"/>
    <w:rsid w:val="00132531"/>
    <w:rsid w:val="00133A04"/>
    <w:rsid w:val="00133CE4"/>
    <w:rsid w:val="00134792"/>
    <w:rsid w:val="001355CB"/>
    <w:rsid w:val="00136DD0"/>
    <w:rsid w:val="00143FB2"/>
    <w:rsid w:val="00145E6D"/>
    <w:rsid w:val="00146478"/>
    <w:rsid w:val="00147D9C"/>
    <w:rsid w:val="0015007D"/>
    <w:rsid w:val="00154DDF"/>
    <w:rsid w:val="00155862"/>
    <w:rsid w:val="00156C8F"/>
    <w:rsid w:val="001575A8"/>
    <w:rsid w:val="001647D8"/>
    <w:rsid w:val="00167D52"/>
    <w:rsid w:val="00167DF3"/>
    <w:rsid w:val="0017080B"/>
    <w:rsid w:val="001733B2"/>
    <w:rsid w:val="00173428"/>
    <w:rsid w:val="001734B9"/>
    <w:rsid w:val="0017378A"/>
    <w:rsid w:val="00177490"/>
    <w:rsid w:val="00180985"/>
    <w:rsid w:val="00182DC5"/>
    <w:rsid w:val="001904ED"/>
    <w:rsid w:val="00191FA9"/>
    <w:rsid w:val="00196A6C"/>
    <w:rsid w:val="00197603"/>
    <w:rsid w:val="001976AA"/>
    <w:rsid w:val="001A55D5"/>
    <w:rsid w:val="001A5B46"/>
    <w:rsid w:val="001A6F7F"/>
    <w:rsid w:val="001B0309"/>
    <w:rsid w:val="001B041C"/>
    <w:rsid w:val="001B075C"/>
    <w:rsid w:val="001B1A3E"/>
    <w:rsid w:val="001B3E8C"/>
    <w:rsid w:val="001B7ACE"/>
    <w:rsid w:val="001C0BA2"/>
    <w:rsid w:val="001C133A"/>
    <w:rsid w:val="001C26CA"/>
    <w:rsid w:val="001C649D"/>
    <w:rsid w:val="001C677B"/>
    <w:rsid w:val="001D05E6"/>
    <w:rsid w:val="001D0DB7"/>
    <w:rsid w:val="001D1C4F"/>
    <w:rsid w:val="001D35CA"/>
    <w:rsid w:val="001D46AC"/>
    <w:rsid w:val="001D65A5"/>
    <w:rsid w:val="001E0A00"/>
    <w:rsid w:val="001E39BA"/>
    <w:rsid w:val="001E5953"/>
    <w:rsid w:val="001E6FE7"/>
    <w:rsid w:val="001F03E1"/>
    <w:rsid w:val="001F6EFB"/>
    <w:rsid w:val="00201123"/>
    <w:rsid w:val="002011FB"/>
    <w:rsid w:val="00201D1A"/>
    <w:rsid w:val="00205771"/>
    <w:rsid w:val="0020795D"/>
    <w:rsid w:val="00211C00"/>
    <w:rsid w:val="00212DA0"/>
    <w:rsid w:val="00212F38"/>
    <w:rsid w:val="002153BF"/>
    <w:rsid w:val="00215D33"/>
    <w:rsid w:val="002213C9"/>
    <w:rsid w:val="00221EFD"/>
    <w:rsid w:val="00222156"/>
    <w:rsid w:val="002227AA"/>
    <w:rsid w:val="00225ECB"/>
    <w:rsid w:val="002262B9"/>
    <w:rsid w:val="00230C7E"/>
    <w:rsid w:val="00230F15"/>
    <w:rsid w:val="002320A1"/>
    <w:rsid w:val="00233FE4"/>
    <w:rsid w:val="00234184"/>
    <w:rsid w:val="0023430C"/>
    <w:rsid w:val="002352D3"/>
    <w:rsid w:val="002362FA"/>
    <w:rsid w:val="002367F0"/>
    <w:rsid w:val="00243396"/>
    <w:rsid w:val="00246BFC"/>
    <w:rsid w:val="00247CC6"/>
    <w:rsid w:val="00250C45"/>
    <w:rsid w:val="0025200E"/>
    <w:rsid w:val="00254947"/>
    <w:rsid w:val="00254ED0"/>
    <w:rsid w:val="00257314"/>
    <w:rsid w:val="00260A55"/>
    <w:rsid w:val="002627F8"/>
    <w:rsid w:val="00262C46"/>
    <w:rsid w:val="00267193"/>
    <w:rsid w:val="00267FC8"/>
    <w:rsid w:val="002748B4"/>
    <w:rsid w:val="00275B93"/>
    <w:rsid w:val="0028045B"/>
    <w:rsid w:val="00294264"/>
    <w:rsid w:val="00295C29"/>
    <w:rsid w:val="002A0E99"/>
    <w:rsid w:val="002A2B72"/>
    <w:rsid w:val="002A59FA"/>
    <w:rsid w:val="002A613A"/>
    <w:rsid w:val="002A7824"/>
    <w:rsid w:val="002B2F16"/>
    <w:rsid w:val="002B55F5"/>
    <w:rsid w:val="002B76C9"/>
    <w:rsid w:val="002C01C6"/>
    <w:rsid w:val="002C130F"/>
    <w:rsid w:val="002C235F"/>
    <w:rsid w:val="002C27D5"/>
    <w:rsid w:val="002C2C62"/>
    <w:rsid w:val="002D08C9"/>
    <w:rsid w:val="002D0CDD"/>
    <w:rsid w:val="002D29B4"/>
    <w:rsid w:val="002D3872"/>
    <w:rsid w:val="002D6C8E"/>
    <w:rsid w:val="002E1B49"/>
    <w:rsid w:val="002E4698"/>
    <w:rsid w:val="002E55E0"/>
    <w:rsid w:val="002E5F18"/>
    <w:rsid w:val="002E60EC"/>
    <w:rsid w:val="002E7D93"/>
    <w:rsid w:val="002F076A"/>
    <w:rsid w:val="002F0AFD"/>
    <w:rsid w:val="002F1F5D"/>
    <w:rsid w:val="002F39D0"/>
    <w:rsid w:val="00300EB2"/>
    <w:rsid w:val="00305611"/>
    <w:rsid w:val="00311F16"/>
    <w:rsid w:val="0031266B"/>
    <w:rsid w:val="00313806"/>
    <w:rsid w:val="003145E8"/>
    <w:rsid w:val="003146D1"/>
    <w:rsid w:val="0031754D"/>
    <w:rsid w:val="0031774E"/>
    <w:rsid w:val="00320434"/>
    <w:rsid w:val="00321BD8"/>
    <w:rsid w:val="00321CE4"/>
    <w:rsid w:val="00326C40"/>
    <w:rsid w:val="00326FEB"/>
    <w:rsid w:val="003318F3"/>
    <w:rsid w:val="003322CE"/>
    <w:rsid w:val="00335AA5"/>
    <w:rsid w:val="00337FB2"/>
    <w:rsid w:val="003473F9"/>
    <w:rsid w:val="00352F72"/>
    <w:rsid w:val="003530A3"/>
    <w:rsid w:val="00357FBB"/>
    <w:rsid w:val="00363048"/>
    <w:rsid w:val="003649D4"/>
    <w:rsid w:val="00364AA2"/>
    <w:rsid w:val="00365D7F"/>
    <w:rsid w:val="00373874"/>
    <w:rsid w:val="00374732"/>
    <w:rsid w:val="003761E8"/>
    <w:rsid w:val="00376EF7"/>
    <w:rsid w:val="00380D19"/>
    <w:rsid w:val="00380E1C"/>
    <w:rsid w:val="003819A4"/>
    <w:rsid w:val="00382306"/>
    <w:rsid w:val="00382807"/>
    <w:rsid w:val="0039292D"/>
    <w:rsid w:val="00393D59"/>
    <w:rsid w:val="0039489E"/>
    <w:rsid w:val="00394C9D"/>
    <w:rsid w:val="003957AA"/>
    <w:rsid w:val="0039694B"/>
    <w:rsid w:val="0039750C"/>
    <w:rsid w:val="003A5955"/>
    <w:rsid w:val="003A5B29"/>
    <w:rsid w:val="003A7134"/>
    <w:rsid w:val="003B2C0E"/>
    <w:rsid w:val="003B2EEE"/>
    <w:rsid w:val="003B3054"/>
    <w:rsid w:val="003B3F63"/>
    <w:rsid w:val="003B4ABF"/>
    <w:rsid w:val="003C28FB"/>
    <w:rsid w:val="003C50D3"/>
    <w:rsid w:val="003C6934"/>
    <w:rsid w:val="003D0067"/>
    <w:rsid w:val="003D54C1"/>
    <w:rsid w:val="003D7247"/>
    <w:rsid w:val="003E148F"/>
    <w:rsid w:val="003E20E3"/>
    <w:rsid w:val="003E3395"/>
    <w:rsid w:val="003E3B54"/>
    <w:rsid w:val="003F251B"/>
    <w:rsid w:val="003F4CB9"/>
    <w:rsid w:val="003F5903"/>
    <w:rsid w:val="00400133"/>
    <w:rsid w:val="00402875"/>
    <w:rsid w:val="00403BE5"/>
    <w:rsid w:val="00405C75"/>
    <w:rsid w:val="0040751E"/>
    <w:rsid w:val="004116D2"/>
    <w:rsid w:val="00411CD7"/>
    <w:rsid w:val="00416B5B"/>
    <w:rsid w:val="00417F6F"/>
    <w:rsid w:val="004204C7"/>
    <w:rsid w:val="004207AB"/>
    <w:rsid w:val="004208DB"/>
    <w:rsid w:val="00422776"/>
    <w:rsid w:val="0042513A"/>
    <w:rsid w:val="0043469C"/>
    <w:rsid w:val="00436570"/>
    <w:rsid w:val="00437C6E"/>
    <w:rsid w:val="004421CE"/>
    <w:rsid w:val="00443450"/>
    <w:rsid w:val="00446280"/>
    <w:rsid w:val="004467C3"/>
    <w:rsid w:val="00447754"/>
    <w:rsid w:val="00447E54"/>
    <w:rsid w:val="0045110D"/>
    <w:rsid w:val="004521E0"/>
    <w:rsid w:val="004521FE"/>
    <w:rsid w:val="0045226B"/>
    <w:rsid w:val="004539EF"/>
    <w:rsid w:val="00454508"/>
    <w:rsid w:val="00454F36"/>
    <w:rsid w:val="0045534F"/>
    <w:rsid w:val="004562F9"/>
    <w:rsid w:val="00460D91"/>
    <w:rsid w:val="00462CE0"/>
    <w:rsid w:val="00462FA8"/>
    <w:rsid w:val="0046335F"/>
    <w:rsid w:val="004638DD"/>
    <w:rsid w:val="004639AE"/>
    <w:rsid w:val="004645F9"/>
    <w:rsid w:val="00464D49"/>
    <w:rsid w:val="004663D5"/>
    <w:rsid w:val="00466CE4"/>
    <w:rsid w:val="0047176E"/>
    <w:rsid w:val="00472047"/>
    <w:rsid w:val="0047322B"/>
    <w:rsid w:val="00473C96"/>
    <w:rsid w:val="004807F1"/>
    <w:rsid w:val="00484C57"/>
    <w:rsid w:val="00484F77"/>
    <w:rsid w:val="00485C82"/>
    <w:rsid w:val="004878E4"/>
    <w:rsid w:val="00487C9D"/>
    <w:rsid w:val="00487E01"/>
    <w:rsid w:val="004924FD"/>
    <w:rsid w:val="004961D7"/>
    <w:rsid w:val="00496772"/>
    <w:rsid w:val="004A0B64"/>
    <w:rsid w:val="004A2BFF"/>
    <w:rsid w:val="004A3375"/>
    <w:rsid w:val="004A3660"/>
    <w:rsid w:val="004A5742"/>
    <w:rsid w:val="004A5F44"/>
    <w:rsid w:val="004A703F"/>
    <w:rsid w:val="004A7E3A"/>
    <w:rsid w:val="004B0BC0"/>
    <w:rsid w:val="004B3B6F"/>
    <w:rsid w:val="004B5743"/>
    <w:rsid w:val="004B5E68"/>
    <w:rsid w:val="004C44AC"/>
    <w:rsid w:val="004C4843"/>
    <w:rsid w:val="004C6D0B"/>
    <w:rsid w:val="004D151D"/>
    <w:rsid w:val="004D397C"/>
    <w:rsid w:val="004E0E12"/>
    <w:rsid w:val="004E3486"/>
    <w:rsid w:val="004E4A7B"/>
    <w:rsid w:val="004E6CF4"/>
    <w:rsid w:val="00504AE5"/>
    <w:rsid w:val="00507E67"/>
    <w:rsid w:val="00511D8E"/>
    <w:rsid w:val="0051254D"/>
    <w:rsid w:val="00513DB8"/>
    <w:rsid w:val="00514325"/>
    <w:rsid w:val="00515A58"/>
    <w:rsid w:val="0052745C"/>
    <w:rsid w:val="00533C40"/>
    <w:rsid w:val="00534632"/>
    <w:rsid w:val="00535447"/>
    <w:rsid w:val="005365B7"/>
    <w:rsid w:val="00540A5D"/>
    <w:rsid w:val="00541040"/>
    <w:rsid w:val="00541BB0"/>
    <w:rsid w:val="00544370"/>
    <w:rsid w:val="0054692A"/>
    <w:rsid w:val="00554FCA"/>
    <w:rsid w:val="00557984"/>
    <w:rsid w:val="00557B33"/>
    <w:rsid w:val="00557B39"/>
    <w:rsid w:val="00557F86"/>
    <w:rsid w:val="00560181"/>
    <w:rsid w:val="00561131"/>
    <w:rsid w:val="005641A3"/>
    <w:rsid w:val="00566CFE"/>
    <w:rsid w:val="00570674"/>
    <w:rsid w:val="00570B93"/>
    <w:rsid w:val="00570D5E"/>
    <w:rsid w:val="00575910"/>
    <w:rsid w:val="00576370"/>
    <w:rsid w:val="005833EC"/>
    <w:rsid w:val="00583568"/>
    <w:rsid w:val="00585F24"/>
    <w:rsid w:val="00586267"/>
    <w:rsid w:val="00591200"/>
    <w:rsid w:val="00591612"/>
    <w:rsid w:val="00592158"/>
    <w:rsid w:val="00596F4D"/>
    <w:rsid w:val="005A0294"/>
    <w:rsid w:val="005A029F"/>
    <w:rsid w:val="005A0F96"/>
    <w:rsid w:val="005A1A5B"/>
    <w:rsid w:val="005A1B5E"/>
    <w:rsid w:val="005A23F8"/>
    <w:rsid w:val="005A26BC"/>
    <w:rsid w:val="005A33C7"/>
    <w:rsid w:val="005A387B"/>
    <w:rsid w:val="005A526E"/>
    <w:rsid w:val="005A52A2"/>
    <w:rsid w:val="005A537F"/>
    <w:rsid w:val="005A53C2"/>
    <w:rsid w:val="005B6368"/>
    <w:rsid w:val="005C04F3"/>
    <w:rsid w:val="005C10A0"/>
    <w:rsid w:val="005C43D4"/>
    <w:rsid w:val="005C491B"/>
    <w:rsid w:val="005D4837"/>
    <w:rsid w:val="005D6408"/>
    <w:rsid w:val="005E05CD"/>
    <w:rsid w:val="005E3BBE"/>
    <w:rsid w:val="005F0124"/>
    <w:rsid w:val="005F2EA5"/>
    <w:rsid w:val="005F35C3"/>
    <w:rsid w:val="005F363E"/>
    <w:rsid w:val="005F3C74"/>
    <w:rsid w:val="005F6094"/>
    <w:rsid w:val="005F663E"/>
    <w:rsid w:val="005F6839"/>
    <w:rsid w:val="006067A0"/>
    <w:rsid w:val="00607BE8"/>
    <w:rsid w:val="00613AEF"/>
    <w:rsid w:val="00620457"/>
    <w:rsid w:val="00620FEC"/>
    <w:rsid w:val="006214DB"/>
    <w:rsid w:val="00621A16"/>
    <w:rsid w:val="00621F2F"/>
    <w:rsid w:val="00623810"/>
    <w:rsid w:val="006248D6"/>
    <w:rsid w:val="00627116"/>
    <w:rsid w:val="0063061C"/>
    <w:rsid w:val="00635C54"/>
    <w:rsid w:val="006403CA"/>
    <w:rsid w:val="00641AD5"/>
    <w:rsid w:val="00641B07"/>
    <w:rsid w:val="00644130"/>
    <w:rsid w:val="00651791"/>
    <w:rsid w:val="0065233E"/>
    <w:rsid w:val="0065441E"/>
    <w:rsid w:val="006565F5"/>
    <w:rsid w:val="0066055F"/>
    <w:rsid w:val="0066458F"/>
    <w:rsid w:val="00675E29"/>
    <w:rsid w:val="00677137"/>
    <w:rsid w:val="00677D04"/>
    <w:rsid w:val="00677FA8"/>
    <w:rsid w:val="00680378"/>
    <w:rsid w:val="00680E67"/>
    <w:rsid w:val="00683871"/>
    <w:rsid w:val="00685B4B"/>
    <w:rsid w:val="00693F3D"/>
    <w:rsid w:val="0069465A"/>
    <w:rsid w:val="00695F53"/>
    <w:rsid w:val="00697A5D"/>
    <w:rsid w:val="006A2587"/>
    <w:rsid w:val="006A388E"/>
    <w:rsid w:val="006A3BB1"/>
    <w:rsid w:val="006A49F4"/>
    <w:rsid w:val="006A6F36"/>
    <w:rsid w:val="006B0340"/>
    <w:rsid w:val="006B108D"/>
    <w:rsid w:val="006B17D0"/>
    <w:rsid w:val="006B1D1C"/>
    <w:rsid w:val="006B3569"/>
    <w:rsid w:val="006B6A22"/>
    <w:rsid w:val="006C1C6A"/>
    <w:rsid w:val="006C28B7"/>
    <w:rsid w:val="006C4188"/>
    <w:rsid w:val="006C73EE"/>
    <w:rsid w:val="006C7959"/>
    <w:rsid w:val="006D0D6C"/>
    <w:rsid w:val="006D611D"/>
    <w:rsid w:val="006D6EE6"/>
    <w:rsid w:val="006E09F9"/>
    <w:rsid w:val="006E3BC7"/>
    <w:rsid w:val="006E4BFD"/>
    <w:rsid w:val="006E78F0"/>
    <w:rsid w:val="006F2ACD"/>
    <w:rsid w:val="006F6A87"/>
    <w:rsid w:val="00700CBC"/>
    <w:rsid w:val="007065BD"/>
    <w:rsid w:val="007072A1"/>
    <w:rsid w:val="00710FFC"/>
    <w:rsid w:val="0071139E"/>
    <w:rsid w:val="007156C5"/>
    <w:rsid w:val="0072509F"/>
    <w:rsid w:val="00731B40"/>
    <w:rsid w:val="00735B6D"/>
    <w:rsid w:val="00736FB5"/>
    <w:rsid w:val="00740083"/>
    <w:rsid w:val="00744C8E"/>
    <w:rsid w:val="0074608C"/>
    <w:rsid w:val="007528E8"/>
    <w:rsid w:val="0075325E"/>
    <w:rsid w:val="00754219"/>
    <w:rsid w:val="007543C6"/>
    <w:rsid w:val="0075551D"/>
    <w:rsid w:val="00756E94"/>
    <w:rsid w:val="00757838"/>
    <w:rsid w:val="0076381B"/>
    <w:rsid w:val="00764887"/>
    <w:rsid w:val="0077233F"/>
    <w:rsid w:val="0077417E"/>
    <w:rsid w:val="00782673"/>
    <w:rsid w:val="00784A66"/>
    <w:rsid w:val="00785756"/>
    <w:rsid w:val="00790235"/>
    <w:rsid w:val="00790802"/>
    <w:rsid w:val="00791461"/>
    <w:rsid w:val="00793264"/>
    <w:rsid w:val="00796D07"/>
    <w:rsid w:val="007971A9"/>
    <w:rsid w:val="007979A8"/>
    <w:rsid w:val="00797A93"/>
    <w:rsid w:val="007A34A7"/>
    <w:rsid w:val="007A369A"/>
    <w:rsid w:val="007A67A2"/>
    <w:rsid w:val="007A70CB"/>
    <w:rsid w:val="007B1237"/>
    <w:rsid w:val="007C03D5"/>
    <w:rsid w:val="007C094C"/>
    <w:rsid w:val="007C130F"/>
    <w:rsid w:val="007C2591"/>
    <w:rsid w:val="007D3FC9"/>
    <w:rsid w:val="007E00AB"/>
    <w:rsid w:val="007E0399"/>
    <w:rsid w:val="007E0E1B"/>
    <w:rsid w:val="007E219F"/>
    <w:rsid w:val="007E3B22"/>
    <w:rsid w:val="007E5673"/>
    <w:rsid w:val="007E73CC"/>
    <w:rsid w:val="007F0286"/>
    <w:rsid w:val="007F37F0"/>
    <w:rsid w:val="007F6758"/>
    <w:rsid w:val="007F72ED"/>
    <w:rsid w:val="00800061"/>
    <w:rsid w:val="0080074C"/>
    <w:rsid w:val="00800E99"/>
    <w:rsid w:val="00802E1D"/>
    <w:rsid w:val="0080422C"/>
    <w:rsid w:val="008072F9"/>
    <w:rsid w:val="00807536"/>
    <w:rsid w:val="008148D4"/>
    <w:rsid w:val="00814B6E"/>
    <w:rsid w:val="00816B61"/>
    <w:rsid w:val="00817BE0"/>
    <w:rsid w:val="00821321"/>
    <w:rsid w:val="00822916"/>
    <w:rsid w:val="00822F09"/>
    <w:rsid w:val="00825D57"/>
    <w:rsid w:val="0082636C"/>
    <w:rsid w:val="00826775"/>
    <w:rsid w:val="008270E2"/>
    <w:rsid w:val="00830930"/>
    <w:rsid w:val="00830D46"/>
    <w:rsid w:val="00830F7C"/>
    <w:rsid w:val="00841692"/>
    <w:rsid w:val="00841D21"/>
    <w:rsid w:val="0084218C"/>
    <w:rsid w:val="0084374F"/>
    <w:rsid w:val="00847C3B"/>
    <w:rsid w:val="00851177"/>
    <w:rsid w:val="008537C2"/>
    <w:rsid w:val="0085701F"/>
    <w:rsid w:val="00864020"/>
    <w:rsid w:val="00870FFA"/>
    <w:rsid w:val="008714B6"/>
    <w:rsid w:val="00871BCA"/>
    <w:rsid w:val="00873462"/>
    <w:rsid w:val="00873601"/>
    <w:rsid w:val="00873691"/>
    <w:rsid w:val="008745CF"/>
    <w:rsid w:val="00876AB5"/>
    <w:rsid w:val="00877054"/>
    <w:rsid w:val="00877448"/>
    <w:rsid w:val="00877D12"/>
    <w:rsid w:val="00880552"/>
    <w:rsid w:val="00880DE8"/>
    <w:rsid w:val="008816F2"/>
    <w:rsid w:val="008817F3"/>
    <w:rsid w:val="0088297C"/>
    <w:rsid w:val="00883970"/>
    <w:rsid w:val="00883BDB"/>
    <w:rsid w:val="00883E03"/>
    <w:rsid w:val="008861F8"/>
    <w:rsid w:val="00886F1A"/>
    <w:rsid w:val="0089177D"/>
    <w:rsid w:val="008935A2"/>
    <w:rsid w:val="0089458F"/>
    <w:rsid w:val="008A01F4"/>
    <w:rsid w:val="008A1FC1"/>
    <w:rsid w:val="008A2D7F"/>
    <w:rsid w:val="008A4A4A"/>
    <w:rsid w:val="008A62CE"/>
    <w:rsid w:val="008A7D88"/>
    <w:rsid w:val="008B44CC"/>
    <w:rsid w:val="008B6047"/>
    <w:rsid w:val="008B65B1"/>
    <w:rsid w:val="008B6E36"/>
    <w:rsid w:val="008C01F1"/>
    <w:rsid w:val="008C1091"/>
    <w:rsid w:val="008C6D8D"/>
    <w:rsid w:val="008C7532"/>
    <w:rsid w:val="008D0FED"/>
    <w:rsid w:val="008D2C16"/>
    <w:rsid w:val="008D31DB"/>
    <w:rsid w:val="008D41B8"/>
    <w:rsid w:val="008D6F4B"/>
    <w:rsid w:val="008D7068"/>
    <w:rsid w:val="008E1C0C"/>
    <w:rsid w:val="008E290B"/>
    <w:rsid w:val="008E36DD"/>
    <w:rsid w:val="008E40C8"/>
    <w:rsid w:val="008E45A9"/>
    <w:rsid w:val="008E4F9B"/>
    <w:rsid w:val="008F1F08"/>
    <w:rsid w:val="008F292E"/>
    <w:rsid w:val="008F3674"/>
    <w:rsid w:val="008F4014"/>
    <w:rsid w:val="008F4D3A"/>
    <w:rsid w:val="008F6D90"/>
    <w:rsid w:val="008F7DBE"/>
    <w:rsid w:val="00901463"/>
    <w:rsid w:val="00902656"/>
    <w:rsid w:val="00905426"/>
    <w:rsid w:val="00906616"/>
    <w:rsid w:val="00907926"/>
    <w:rsid w:val="00910856"/>
    <w:rsid w:val="00911E2F"/>
    <w:rsid w:val="009135D5"/>
    <w:rsid w:val="00914934"/>
    <w:rsid w:val="00914F97"/>
    <w:rsid w:val="009159EF"/>
    <w:rsid w:val="00922C35"/>
    <w:rsid w:val="00923516"/>
    <w:rsid w:val="00924105"/>
    <w:rsid w:val="0092505E"/>
    <w:rsid w:val="00925F81"/>
    <w:rsid w:val="009330B7"/>
    <w:rsid w:val="009330FD"/>
    <w:rsid w:val="009366A7"/>
    <w:rsid w:val="009370FD"/>
    <w:rsid w:val="00941732"/>
    <w:rsid w:val="00941AF6"/>
    <w:rsid w:val="00942EEE"/>
    <w:rsid w:val="00944F6B"/>
    <w:rsid w:val="00944F8E"/>
    <w:rsid w:val="009544F0"/>
    <w:rsid w:val="00955A3D"/>
    <w:rsid w:val="00956626"/>
    <w:rsid w:val="00960055"/>
    <w:rsid w:val="00960E8F"/>
    <w:rsid w:val="00960F6F"/>
    <w:rsid w:val="0097010A"/>
    <w:rsid w:val="00970D0B"/>
    <w:rsid w:val="009723BF"/>
    <w:rsid w:val="00974145"/>
    <w:rsid w:val="00974EBA"/>
    <w:rsid w:val="009751FE"/>
    <w:rsid w:val="00977652"/>
    <w:rsid w:val="00977B4E"/>
    <w:rsid w:val="0098423D"/>
    <w:rsid w:val="00985FE7"/>
    <w:rsid w:val="00990806"/>
    <w:rsid w:val="0099358A"/>
    <w:rsid w:val="0099430F"/>
    <w:rsid w:val="0099503C"/>
    <w:rsid w:val="00997680"/>
    <w:rsid w:val="009A272B"/>
    <w:rsid w:val="009A2E18"/>
    <w:rsid w:val="009A3B6D"/>
    <w:rsid w:val="009A3D1D"/>
    <w:rsid w:val="009B7034"/>
    <w:rsid w:val="009C01D4"/>
    <w:rsid w:val="009C257A"/>
    <w:rsid w:val="009C288F"/>
    <w:rsid w:val="009C3E6C"/>
    <w:rsid w:val="009C4166"/>
    <w:rsid w:val="009C44D5"/>
    <w:rsid w:val="009C6205"/>
    <w:rsid w:val="009C6259"/>
    <w:rsid w:val="009D1111"/>
    <w:rsid w:val="009D324B"/>
    <w:rsid w:val="009E1DCD"/>
    <w:rsid w:val="009F3A74"/>
    <w:rsid w:val="009F3F90"/>
    <w:rsid w:val="009F42D5"/>
    <w:rsid w:val="009F5E79"/>
    <w:rsid w:val="00A02CBB"/>
    <w:rsid w:val="00A02E25"/>
    <w:rsid w:val="00A0328A"/>
    <w:rsid w:val="00A05DB9"/>
    <w:rsid w:val="00A10C64"/>
    <w:rsid w:val="00A1181D"/>
    <w:rsid w:val="00A138D9"/>
    <w:rsid w:val="00A13AF1"/>
    <w:rsid w:val="00A145C0"/>
    <w:rsid w:val="00A15DAF"/>
    <w:rsid w:val="00A21191"/>
    <w:rsid w:val="00A223EB"/>
    <w:rsid w:val="00A228EE"/>
    <w:rsid w:val="00A24EA8"/>
    <w:rsid w:val="00A26776"/>
    <w:rsid w:val="00A30067"/>
    <w:rsid w:val="00A30F2F"/>
    <w:rsid w:val="00A318C5"/>
    <w:rsid w:val="00A32FD6"/>
    <w:rsid w:val="00A347ED"/>
    <w:rsid w:val="00A36E57"/>
    <w:rsid w:val="00A37092"/>
    <w:rsid w:val="00A3737C"/>
    <w:rsid w:val="00A40585"/>
    <w:rsid w:val="00A472D3"/>
    <w:rsid w:val="00A47727"/>
    <w:rsid w:val="00A547E2"/>
    <w:rsid w:val="00A60618"/>
    <w:rsid w:val="00A6196C"/>
    <w:rsid w:val="00A748EA"/>
    <w:rsid w:val="00A76A72"/>
    <w:rsid w:val="00A87346"/>
    <w:rsid w:val="00A90B78"/>
    <w:rsid w:val="00A92E7B"/>
    <w:rsid w:val="00A96E4F"/>
    <w:rsid w:val="00A977B7"/>
    <w:rsid w:val="00AA24DB"/>
    <w:rsid w:val="00AA5DB2"/>
    <w:rsid w:val="00AB0C69"/>
    <w:rsid w:val="00AB0F43"/>
    <w:rsid w:val="00AC076D"/>
    <w:rsid w:val="00AC4310"/>
    <w:rsid w:val="00AC4F51"/>
    <w:rsid w:val="00AC5E08"/>
    <w:rsid w:val="00AD0516"/>
    <w:rsid w:val="00AD12CD"/>
    <w:rsid w:val="00AD1E7E"/>
    <w:rsid w:val="00AD20D3"/>
    <w:rsid w:val="00AD26EE"/>
    <w:rsid w:val="00AD4829"/>
    <w:rsid w:val="00AD76AC"/>
    <w:rsid w:val="00AD7EF0"/>
    <w:rsid w:val="00AE0206"/>
    <w:rsid w:val="00AE343B"/>
    <w:rsid w:val="00AE3CFE"/>
    <w:rsid w:val="00AE3F72"/>
    <w:rsid w:val="00AE63D6"/>
    <w:rsid w:val="00AF1735"/>
    <w:rsid w:val="00AF3697"/>
    <w:rsid w:val="00AF3F3F"/>
    <w:rsid w:val="00AF5347"/>
    <w:rsid w:val="00AF5D9C"/>
    <w:rsid w:val="00B03154"/>
    <w:rsid w:val="00B05500"/>
    <w:rsid w:val="00B0647D"/>
    <w:rsid w:val="00B13A99"/>
    <w:rsid w:val="00B2018B"/>
    <w:rsid w:val="00B22A6A"/>
    <w:rsid w:val="00B278B3"/>
    <w:rsid w:val="00B42EEF"/>
    <w:rsid w:val="00B4455A"/>
    <w:rsid w:val="00B447E3"/>
    <w:rsid w:val="00B4627F"/>
    <w:rsid w:val="00B477DA"/>
    <w:rsid w:val="00B47E2A"/>
    <w:rsid w:val="00B51F77"/>
    <w:rsid w:val="00B5774B"/>
    <w:rsid w:val="00B57BFB"/>
    <w:rsid w:val="00B60A89"/>
    <w:rsid w:val="00B61304"/>
    <w:rsid w:val="00B638A3"/>
    <w:rsid w:val="00B650CE"/>
    <w:rsid w:val="00B66C04"/>
    <w:rsid w:val="00B7308A"/>
    <w:rsid w:val="00B741AF"/>
    <w:rsid w:val="00B7457B"/>
    <w:rsid w:val="00B7683D"/>
    <w:rsid w:val="00B8172D"/>
    <w:rsid w:val="00B91D17"/>
    <w:rsid w:val="00B96E06"/>
    <w:rsid w:val="00BA001E"/>
    <w:rsid w:val="00BA2355"/>
    <w:rsid w:val="00BA3F6C"/>
    <w:rsid w:val="00BA4CB5"/>
    <w:rsid w:val="00BA5129"/>
    <w:rsid w:val="00BA5A79"/>
    <w:rsid w:val="00BB23EC"/>
    <w:rsid w:val="00BB6BC5"/>
    <w:rsid w:val="00BC1570"/>
    <w:rsid w:val="00BC19AC"/>
    <w:rsid w:val="00BD0BB7"/>
    <w:rsid w:val="00BD3E35"/>
    <w:rsid w:val="00BE06DC"/>
    <w:rsid w:val="00BE2CB3"/>
    <w:rsid w:val="00BE4653"/>
    <w:rsid w:val="00BE5FE3"/>
    <w:rsid w:val="00BF0554"/>
    <w:rsid w:val="00BF2907"/>
    <w:rsid w:val="00BF3A44"/>
    <w:rsid w:val="00BF4225"/>
    <w:rsid w:val="00BF6982"/>
    <w:rsid w:val="00BF7BE0"/>
    <w:rsid w:val="00C01317"/>
    <w:rsid w:val="00C02FC0"/>
    <w:rsid w:val="00C037A9"/>
    <w:rsid w:val="00C03CDC"/>
    <w:rsid w:val="00C05190"/>
    <w:rsid w:val="00C06188"/>
    <w:rsid w:val="00C069E1"/>
    <w:rsid w:val="00C12C9E"/>
    <w:rsid w:val="00C153DB"/>
    <w:rsid w:val="00C229A1"/>
    <w:rsid w:val="00C22E27"/>
    <w:rsid w:val="00C232C6"/>
    <w:rsid w:val="00C278A8"/>
    <w:rsid w:val="00C30A92"/>
    <w:rsid w:val="00C41870"/>
    <w:rsid w:val="00C4197B"/>
    <w:rsid w:val="00C431F9"/>
    <w:rsid w:val="00C43FAF"/>
    <w:rsid w:val="00C5413A"/>
    <w:rsid w:val="00C55E43"/>
    <w:rsid w:val="00C60F43"/>
    <w:rsid w:val="00C66036"/>
    <w:rsid w:val="00C6714C"/>
    <w:rsid w:val="00C67CDC"/>
    <w:rsid w:val="00C77580"/>
    <w:rsid w:val="00C80013"/>
    <w:rsid w:val="00C8083E"/>
    <w:rsid w:val="00C8674E"/>
    <w:rsid w:val="00C9325F"/>
    <w:rsid w:val="00C96A85"/>
    <w:rsid w:val="00CA3842"/>
    <w:rsid w:val="00CB3074"/>
    <w:rsid w:val="00CB5F5D"/>
    <w:rsid w:val="00CC1462"/>
    <w:rsid w:val="00CD2C6D"/>
    <w:rsid w:val="00CE0051"/>
    <w:rsid w:val="00CE0442"/>
    <w:rsid w:val="00CE1089"/>
    <w:rsid w:val="00CE219C"/>
    <w:rsid w:val="00CE31DA"/>
    <w:rsid w:val="00CE4F8B"/>
    <w:rsid w:val="00CF1B51"/>
    <w:rsid w:val="00CF3948"/>
    <w:rsid w:val="00CF4495"/>
    <w:rsid w:val="00CF5535"/>
    <w:rsid w:val="00D005EE"/>
    <w:rsid w:val="00D01A7C"/>
    <w:rsid w:val="00D01D30"/>
    <w:rsid w:val="00D06040"/>
    <w:rsid w:val="00D067BA"/>
    <w:rsid w:val="00D1072D"/>
    <w:rsid w:val="00D114A9"/>
    <w:rsid w:val="00D13790"/>
    <w:rsid w:val="00D145C2"/>
    <w:rsid w:val="00D16FFE"/>
    <w:rsid w:val="00D179A1"/>
    <w:rsid w:val="00D22E67"/>
    <w:rsid w:val="00D24299"/>
    <w:rsid w:val="00D242EE"/>
    <w:rsid w:val="00D2485D"/>
    <w:rsid w:val="00D25E9F"/>
    <w:rsid w:val="00D27869"/>
    <w:rsid w:val="00D27C42"/>
    <w:rsid w:val="00D27E68"/>
    <w:rsid w:val="00D31F44"/>
    <w:rsid w:val="00D40D5A"/>
    <w:rsid w:val="00D4240C"/>
    <w:rsid w:val="00D4404F"/>
    <w:rsid w:val="00D465C6"/>
    <w:rsid w:val="00D52BE9"/>
    <w:rsid w:val="00D55278"/>
    <w:rsid w:val="00D57F64"/>
    <w:rsid w:val="00D60AED"/>
    <w:rsid w:val="00D71677"/>
    <w:rsid w:val="00D720FF"/>
    <w:rsid w:val="00D743BE"/>
    <w:rsid w:val="00D753A8"/>
    <w:rsid w:val="00D75D0D"/>
    <w:rsid w:val="00D83421"/>
    <w:rsid w:val="00D84706"/>
    <w:rsid w:val="00D85A46"/>
    <w:rsid w:val="00D870AE"/>
    <w:rsid w:val="00D94080"/>
    <w:rsid w:val="00DA01B7"/>
    <w:rsid w:val="00DA0358"/>
    <w:rsid w:val="00DA33EE"/>
    <w:rsid w:val="00DA3488"/>
    <w:rsid w:val="00DA46A8"/>
    <w:rsid w:val="00DA6F40"/>
    <w:rsid w:val="00DA725F"/>
    <w:rsid w:val="00DB23E7"/>
    <w:rsid w:val="00DB5866"/>
    <w:rsid w:val="00DC02F2"/>
    <w:rsid w:val="00DC14AF"/>
    <w:rsid w:val="00DC155F"/>
    <w:rsid w:val="00DC2AC4"/>
    <w:rsid w:val="00DC4496"/>
    <w:rsid w:val="00DC45F5"/>
    <w:rsid w:val="00DC68E7"/>
    <w:rsid w:val="00DD4624"/>
    <w:rsid w:val="00DE075F"/>
    <w:rsid w:val="00DE3A65"/>
    <w:rsid w:val="00DE4FB2"/>
    <w:rsid w:val="00DE54C6"/>
    <w:rsid w:val="00DE6475"/>
    <w:rsid w:val="00DF0983"/>
    <w:rsid w:val="00DF0DD4"/>
    <w:rsid w:val="00DF1C56"/>
    <w:rsid w:val="00DF5DE0"/>
    <w:rsid w:val="00DF6546"/>
    <w:rsid w:val="00E00A4B"/>
    <w:rsid w:val="00E00E90"/>
    <w:rsid w:val="00E076E3"/>
    <w:rsid w:val="00E100BB"/>
    <w:rsid w:val="00E10764"/>
    <w:rsid w:val="00E123AC"/>
    <w:rsid w:val="00E15B3D"/>
    <w:rsid w:val="00E21468"/>
    <w:rsid w:val="00E23349"/>
    <w:rsid w:val="00E233DC"/>
    <w:rsid w:val="00E2491A"/>
    <w:rsid w:val="00E25B10"/>
    <w:rsid w:val="00E30C14"/>
    <w:rsid w:val="00E30EF7"/>
    <w:rsid w:val="00E30F1B"/>
    <w:rsid w:val="00E374C0"/>
    <w:rsid w:val="00E41091"/>
    <w:rsid w:val="00E441C7"/>
    <w:rsid w:val="00E45A74"/>
    <w:rsid w:val="00E47848"/>
    <w:rsid w:val="00E47F9B"/>
    <w:rsid w:val="00E51CE0"/>
    <w:rsid w:val="00E61446"/>
    <w:rsid w:val="00E66B26"/>
    <w:rsid w:val="00E679A4"/>
    <w:rsid w:val="00E700BF"/>
    <w:rsid w:val="00E70C68"/>
    <w:rsid w:val="00E74161"/>
    <w:rsid w:val="00E75045"/>
    <w:rsid w:val="00E77567"/>
    <w:rsid w:val="00E80283"/>
    <w:rsid w:val="00E80AB7"/>
    <w:rsid w:val="00E8224A"/>
    <w:rsid w:val="00E83E75"/>
    <w:rsid w:val="00E86187"/>
    <w:rsid w:val="00E873BE"/>
    <w:rsid w:val="00E92983"/>
    <w:rsid w:val="00E94F72"/>
    <w:rsid w:val="00E96700"/>
    <w:rsid w:val="00EA06A6"/>
    <w:rsid w:val="00EA0780"/>
    <w:rsid w:val="00EA2D43"/>
    <w:rsid w:val="00EA5950"/>
    <w:rsid w:val="00EA7176"/>
    <w:rsid w:val="00EB1362"/>
    <w:rsid w:val="00EB4BF5"/>
    <w:rsid w:val="00EB629A"/>
    <w:rsid w:val="00EB7E0D"/>
    <w:rsid w:val="00ED26F5"/>
    <w:rsid w:val="00ED3A41"/>
    <w:rsid w:val="00EE2057"/>
    <w:rsid w:val="00EE2253"/>
    <w:rsid w:val="00EE3065"/>
    <w:rsid w:val="00EE3E4F"/>
    <w:rsid w:val="00EE45E2"/>
    <w:rsid w:val="00EE6CED"/>
    <w:rsid w:val="00EE6E09"/>
    <w:rsid w:val="00EF0978"/>
    <w:rsid w:val="00EF3352"/>
    <w:rsid w:val="00EF4E12"/>
    <w:rsid w:val="00EF5419"/>
    <w:rsid w:val="00F00D2B"/>
    <w:rsid w:val="00F01831"/>
    <w:rsid w:val="00F01EA0"/>
    <w:rsid w:val="00F03656"/>
    <w:rsid w:val="00F079BF"/>
    <w:rsid w:val="00F07EF1"/>
    <w:rsid w:val="00F123F9"/>
    <w:rsid w:val="00F1520B"/>
    <w:rsid w:val="00F15B65"/>
    <w:rsid w:val="00F16D22"/>
    <w:rsid w:val="00F234E7"/>
    <w:rsid w:val="00F24136"/>
    <w:rsid w:val="00F259A2"/>
    <w:rsid w:val="00F27A5B"/>
    <w:rsid w:val="00F315CD"/>
    <w:rsid w:val="00F31A67"/>
    <w:rsid w:val="00F36FAC"/>
    <w:rsid w:val="00F3760C"/>
    <w:rsid w:val="00F41EA2"/>
    <w:rsid w:val="00F4764D"/>
    <w:rsid w:val="00F50FB9"/>
    <w:rsid w:val="00F533DA"/>
    <w:rsid w:val="00F55EC9"/>
    <w:rsid w:val="00F614D6"/>
    <w:rsid w:val="00F6590C"/>
    <w:rsid w:val="00F677F6"/>
    <w:rsid w:val="00F67BC4"/>
    <w:rsid w:val="00F70132"/>
    <w:rsid w:val="00F733CC"/>
    <w:rsid w:val="00F75A67"/>
    <w:rsid w:val="00F76438"/>
    <w:rsid w:val="00F77967"/>
    <w:rsid w:val="00F8084A"/>
    <w:rsid w:val="00F86F1D"/>
    <w:rsid w:val="00F944F3"/>
    <w:rsid w:val="00F954E4"/>
    <w:rsid w:val="00F95982"/>
    <w:rsid w:val="00FA2528"/>
    <w:rsid w:val="00FA329E"/>
    <w:rsid w:val="00FA6011"/>
    <w:rsid w:val="00FA6970"/>
    <w:rsid w:val="00FB598D"/>
    <w:rsid w:val="00FB5D53"/>
    <w:rsid w:val="00FC1404"/>
    <w:rsid w:val="00FC152D"/>
    <w:rsid w:val="00FC15A5"/>
    <w:rsid w:val="00FC2B03"/>
    <w:rsid w:val="00FC2E80"/>
    <w:rsid w:val="00FC4A8B"/>
    <w:rsid w:val="00FC5D99"/>
    <w:rsid w:val="00FC7979"/>
    <w:rsid w:val="00FD4447"/>
    <w:rsid w:val="00FD68D5"/>
    <w:rsid w:val="00FE03EB"/>
    <w:rsid w:val="00FE6806"/>
    <w:rsid w:val="00FF1EB9"/>
    <w:rsid w:val="00FF2049"/>
    <w:rsid w:val="00FF7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4D"/>
    <w:pPr>
      <w:autoSpaceDE w:val="0"/>
      <w:autoSpaceDN w:val="0"/>
    </w:pPr>
    <w:rPr>
      <w:rFonts w:ascii="Times New Roman" w:eastAsia="Times New Roman" w:hAnsi="Times New Roman"/>
      <w:szCs w:val="24"/>
    </w:rPr>
  </w:style>
  <w:style w:type="paragraph" w:styleId="Heading1">
    <w:name w:val="heading 1"/>
    <w:basedOn w:val="Normal"/>
    <w:next w:val="Normal"/>
    <w:link w:val="Heading1Char"/>
    <w:qFormat/>
    <w:rsid w:val="00F4764D"/>
    <w:pPr>
      <w:keepNext/>
      <w:outlineLvl w:val="0"/>
    </w:pPr>
    <w:rPr>
      <w:b/>
      <w:bCs/>
      <w:u w:val="single"/>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64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485C82"/>
    <w:pPr>
      <w:jc w:val="center"/>
    </w:pPr>
    <w:rPr>
      <w:b/>
      <w:bCs/>
      <w:caps/>
      <w:sz w:val="24"/>
      <w:szCs w:val="40"/>
    </w:rPr>
  </w:style>
  <w:style w:type="paragraph" w:customStyle="1" w:styleId="BHLevel2">
    <w:name w:val="BHLevel2"/>
    <w:basedOn w:val="Normal"/>
    <w:next w:val="Normal"/>
    <w:link w:val="BHLevel2Char"/>
    <w:qFormat/>
    <w:rsid w:val="00756E94"/>
    <w:rPr>
      <w:b/>
      <w:bCs/>
      <w:sz w:val="24"/>
      <w:szCs w:val="36"/>
    </w:rPr>
  </w:style>
  <w:style w:type="paragraph" w:customStyle="1" w:styleId="BHLevel3">
    <w:name w:val="BHLevel3"/>
    <w:basedOn w:val="Normal"/>
    <w:next w:val="Normal"/>
    <w:link w:val="BHLevel3Char"/>
    <w:qFormat/>
    <w:rsid w:val="00756E94"/>
    <w:rPr>
      <w:b/>
      <w:bCs/>
      <w:i/>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CE0051"/>
    <w:pPr>
      <w:tabs>
        <w:tab w:val="center" w:pos="4320"/>
        <w:tab w:val="right" w:pos="8640"/>
      </w:tabs>
      <w:jc w:val="center"/>
    </w:pPr>
  </w:style>
  <w:style w:type="character" w:customStyle="1" w:styleId="FooterChar">
    <w:name w:val="Footer Char"/>
    <w:basedOn w:val="DefaultParagraphFont"/>
    <w:link w:val="Footer"/>
    <w:uiPriority w:val="99"/>
    <w:rsid w:val="00CE0051"/>
    <w:rPr>
      <w:rFonts w:ascii="Times New Roman" w:eastAsia="Times New Roman" w:hAnsi="Times New Roman"/>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sz w:val="22"/>
    </w:rPr>
  </w:style>
  <w:style w:type="paragraph" w:customStyle="1" w:styleId="a">
    <w:name w:val="_"/>
    <w:rsid w:val="00F4764D"/>
    <w:pPr>
      <w:widowControl w:val="0"/>
      <w:ind w:left="720"/>
    </w:pPr>
    <w:rPr>
      <w:rFonts w:ascii="Times New Roman" w:eastAsia="Times New Roman" w:hAnsi="Times New Roman"/>
      <w:snapToGrid w:val="0"/>
      <w:sz w:val="24"/>
    </w:rPr>
  </w:style>
  <w:style w:type="table" w:styleId="TableGrid">
    <w:name w:val="Table Grid"/>
    <w:basedOn w:val="TableNormal"/>
    <w:uiPriority w:val="59"/>
    <w:rsid w:val="00F476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semiHidden/>
    <w:unhideWhenUsed/>
    <w:rsid w:val="00F4764D"/>
    <w:rPr>
      <w:sz w:val="24"/>
    </w:rPr>
  </w:style>
  <w:style w:type="paragraph" w:customStyle="1" w:styleId="BHNormal">
    <w:name w:val="BHNormal"/>
    <w:qFormat/>
    <w:rsid w:val="00F4764D"/>
    <w:rPr>
      <w:rFonts w:ascii="Times New Roman" w:hAnsi="Times New Roman"/>
      <w:sz w:val="24"/>
      <w:szCs w:val="22"/>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Calibri" w:eastAsia="Calibri" w:hAnsi="Calibr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rPr>
      <w:sz w:val="22"/>
      <w:szCs w:val="22"/>
    </w:rPr>
  </w:style>
  <w:style w:type="character" w:customStyle="1" w:styleId="BHLevel1Char">
    <w:name w:val="BHLevel1 Char"/>
    <w:basedOn w:val="DefaultParagraphFont"/>
    <w:link w:val="BHLevel1"/>
    <w:rsid w:val="00485C82"/>
    <w:rPr>
      <w:rFonts w:ascii="Times New Roman" w:eastAsia="Times New Roman" w:hAnsi="Times New Roman"/>
      <w:b/>
      <w:bCs/>
      <w:caps/>
      <w:sz w:val="24"/>
      <w:szCs w:val="40"/>
    </w:rPr>
  </w:style>
  <w:style w:type="character" w:customStyle="1" w:styleId="NoSpacingChar">
    <w:name w:val="No Spacing Char"/>
    <w:basedOn w:val="DefaultParagraphFont"/>
    <w:link w:val="NoSpacing"/>
    <w:uiPriority w:val="1"/>
    <w:rsid w:val="00243396"/>
    <w:rPr>
      <w:sz w:val="22"/>
      <w:szCs w:val="22"/>
      <w:lang w:val="en-US" w:eastAsia="en-US" w:bidi="ar-SA"/>
    </w:rPr>
  </w:style>
  <w:style w:type="character" w:customStyle="1" w:styleId="BHLevel2Char">
    <w:name w:val="BHLevel2 Char"/>
    <w:basedOn w:val="NoSpacingChar"/>
    <w:link w:val="BHLevel2"/>
    <w:rsid w:val="00756E94"/>
    <w:rPr>
      <w:rFonts w:ascii="Times New Roman" w:eastAsia="Times New Roman" w:hAnsi="Times New Roman"/>
      <w:b/>
      <w:bCs/>
      <w:sz w:val="24"/>
      <w:szCs w:val="36"/>
    </w:rPr>
  </w:style>
  <w:style w:type="character" w:customStyle="1" w:styleId="BHLevel3Char">
    <w:name w:val="BHLevel3 Char"/>
    <w:basedOn w:val="DefaultParagraphFont"/>
    <w:link w:val="BHLevel3"/>
    <w:rsid w:val="00756E94"/>
    <w:rPr>
      <w:rFonts w:ascii="Times New Roman" w:eastAsia="Times New Roman" w:hAnsi="Times New Roman"/>
      <w:b/>
      <w:bCs/>
      <w:i/>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smallCaps/>
      <w:sz w:val="20"/>
      <w:szCs w:val="24"/>
    </w:rPr>
  </w:style>
  <w:style w:type="paragraph" w:customStyle="1" w:styleId="SqBulletarial10">
    <w:name w:val="SqBullet arial10"/>
    <w:basedOn w:val="Normal"/>
    <w:uiPriority w:val="99"/>
    <w:qFormat/>
    <w:rsid w:val="002011FB"/>
    <w:pPr>
      <w:numPr>
        <w:numId w:val="16"/>
      </w:numPr>
      <w:autoSpaceDE/>
      <w:autoSpaceDN/>
      <w:spacing w:after="120"/>
    </w:pPr>
    <w:rPr>
      <w:rFonts w:ascii="Arial" w:hAnsi="Arial"/>
      <w:szCs w:val="20"/>
    </w:rPr>
  </w:style>
  <w:style w:type="paragraph" w:styleId="Revision">
    <w:name w:val="Revision"/>
    <w:hidden/>
    <w:uiPriority w:val="99"/>
    <w:semiHidden/>
    <w:rsid w:val="003E3395"/>
    <w:rPr>
      <w:rFonts w:ascii="Times New Roman" w:eastAsia="Times New Roman" w:hAnsi="Times New Roman"/>
      <w:szCs w:val="24"/>
    </w:rPr>
  </w:style>
  <w:style w:type="paragraph" w:customStyle="1" w:styleId="Style1sub-headings">
    <w:name w:val="Style1 sub-headings"/>
    <w:basedOn w:val="Heading3"/>
    <w:link w:val="Style1sub-headingsChar"/>
    <w:qFormat/>
    <w:rsid w:val="00380E1C"/>
    <w:pPr>
      <w:keepLines/>
      <w:numPr>
        <w:ilvl w:val="2"/>
      </w:numPr>
      <w:autoSpaceDE/>
      <w:autoSpaceDN/>
      <w:spacing w:before="200" w:line="276" w:lineRule="auto"/>
      <w:ind w:left="720" w:hanging="720"/>
    </w:pPr>
    <w:rPr>
      <w:sz w:val="24"/>
    </w:rPr>
  </w:style>
  <w:style w:type="character" w:customStyle="1" w:styleId="Style1sub-headingsChar">
    <w:name w:val="Style1 sub-headings Char"/>
    <w:basedOn w:val="Heading3Char"/>
    <w:link w:val="Style1sub-headings"/>
    <w:rsid w:val="00380E1C"/>
    <w:rPr>
      <w:b/>
      <w:bCs/>
      <w:i/>
      <w:iCs/>
      <w:sz w:val="24"/>
    </w:rPr>
  </w:style>
  <w:style w:type="paragraph" w:customStyle="1" w:styleId="Default">
    <w:name w:val="Default"/>
    <w:rsid w:val="0075325E"/>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unhideWhenUsed/>
    <w:qFormat/>
    <w:rsid w:val="00A76A72"/>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1">
    <w:name w:val="toc 1"/>
    <w:basedOn w:val="Normal"/>
    <w:next w:val="Normal"/>
    <w:autoRedefine/>
    <w:uiPriority w:val="39"/>
    <w:unhideWhenUsed/>
    <w:rsid w:val="00607BE8"/>
    <w:pPr>
      <w:tabs>
        <w:tab w:val="left" w:pos="880"/>
        <w:tab w:val="right" w:leader="dot" w:pos="9350"/>
      </w:tabs>
      <w:spacing w:before="120" w:after="120"/>
      <w:ind w:left="900" w:hanging="540"/>
    </w:pPr>
    <w:rPr>
      <w:sz w:val="24"/>
    </w:rPr>
  </w:style>
  <w:style w:type="paragraph" w:styleId="TOC3">
    <w:name w:val="toc 3"/>
    <w:basedOn w:val="Normal"/>
    <w:next w:val="Normal"/>
    <w:autoRedefine/>
    <w:uiPriority w:val="39"/>
    <w:unhideWhenUsed/>
    <w:rsid w:val="000C1D12"/>
    <w:pPr>
      <w:tabs>
        <w:tab w:val="left" w:pos="1320"/>
        <w:tab w:val="right" w:leader="dot" w:pos="9350"/>
      </w:tabs>
      <w:spacing w:after="120"/>
      <w:ind w:left="2250" w:hanging="1350"/>
    </w:pPr>
    <w:rPr>
      <w:sz w:val="24"/>
    </w:rPr>
  </w:style>
  <w:style w:type="paragraph" w:styleId="TOC2">
    <w:name w:val="toc 2"/>
    <w:basedOn w:val="Normal"/>
    <w:next w:val="Normal"/>
    <w:autoRedefine/>
    <w:uiPriority w:val="39"/>
    <w:unhideWhenUsed/>
    <w:rsid w:val="000C1D12"/>
    <w:pPr>
      <w:tabs>
        <w:tab w:val="left" w:pos="880"/>
        <w:tab w:val="right" w:leader="dot" w:pos="9350"/>
      </w:tabs>
      <w:spacing w:after="120"/>
      <w:ind w:left="202" w:firstLine="158"/>
    </w:pPr>
    <w:rPr>
      <w:sz w:val="24"/>
    </w:rPr>
  </w:style>
  <w:style w:type="character" w:styleId="FollowedHyperlink">
    <w:name w:val="FollowedHyperlink"/>
    <w:basedOn w:val="DefaultParagraphFont"/>
    <w:uiPriority w:val="99"/>
    <w:semiHidden/>
    <w:unhideWhenUsed/>
    <w:rsid w:val="00E679A4"/>
    <w:rPr>
      <w:color w:val="800080" w:themeColor="followedHyperlink"/>
      <w:u w:val="single"/>
    </w:rPr>
  </w:style>
  <w:style w:type="paragraph" w:styleId="PlainText">
    <w:name w:val="Plain Text"/>
    <w:basedOn w:val="Normal"/>
    <w:link w:val="PlainTextChar"/>
    <w:uiPriority w:val="99"/>
    <w:unhideWhenUsed/>
    <w:rsid w:val="00D16FFE"/>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rsid w:val="00D16FFE"/>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403600477">
      <w:bodyDiv w:val="1"/>
      <w:marLeft w:val="0"/>
      <w:marRight w:val="0"/>
      <w:marTop w:val="0"/>
      <w:marBottom w:val="0"/>
      <w:divBdr>
        <w:top w:val="none" w:sz="0" w:space="0" w:color="auto"/>
        <w:left w:val="none" w:sz="0" w:space="0" w:color="auto"/>
        <w:bottom w:val="none" w:sz="0" w:space="0" w:color="auto"/>
        <w:right w:val="none" w:sz="0" w:space="0" w:color="auto"/>
      </w:divBdr>
    </w:div>
    <w:div w:id="594173572">
      <w:bodyDiv w:val="1"/>
      <w:marLeft w:val="0"/>
      <w:marRight w:val="0"/>
      <w:marTop w:val="0"/>
      <w:marBottom w:val="0"/>
      <w:divBdr>
        <w:top w:val="none" w:sz="0" w:space="0" w:color="auto"/>
        <w:left w:val="none" w:sz="0" w:space="0" w:color="auto"/>
        <w:bottom w:val="none" w:sz="0" w:space="0" w:color="auto"/>
        <w:right w:val="none" w:sz="0" w:space="0" w:color="auto"/>
      </w:divBdr>
    </w:div>
    <w:div w:id="857308704">
      <w:bodyDiv w:val="1"/>
      <w:marLeft w:val="0"/>
      <w:marRight w:val="0"/>
      <w:marTop w:val="0"/>
      <w:marBottom w:val="0"/>
      <w:divBdr>
        <w:top w:val="none" w:sz="0" w:space="0" w:color="auto"/>
        <w:left w:val="none" w:sz="0" w:space="0" w:color="auto"/>
        <w:bottom w:val="none" w:sz="0" w:space="0" w:color="auto"/>
        <w:right w:val="none" w:sz="0" w:space="0" w:color="auto"/>
      </w:divBdr>
    </w:div>
    <w:div w:id="940257395">
      <w:bodyDiv w:val="1"/>
      <w:marLeft w:val="0"/>
      <w:marRight w:val="0"/>
      <w:marTop w:val="0"/>
      <w:marBottom w:val="0"/>
      <w:divBdr>
        <w:top w:val="none" w:sz="0" w:space="0" w:color="auto"/>
        <w:left w:val="none" w:sz="0" w:space="0" w:color="auto"/>
        <w:bottom w:val="none" w:sz="0" w:space="0" w:color="auto"/>
        <w:right w:val="none" w:sz="0" w:space="0" w:color="auto"/>
      </w:divBdr>
    </w:div>
    <w:div w:id="1269854211">
      <w:bodyDiv w:val="1"/>
      <w:marLeft w:val="0"/>
      <w:marRight w:val="0"/>
      <w:marTop w:val="0"/>
      <w:marBottom w:val="0"/>
      <w:divBdr>
        <w:top w:val="none" w:sz="0" w:space="0" w:color="auto"/>
        <w:left w:val="none" w:sz="0" w:space="0" w:color="auto"/>
        <w:bottom w:val="none" w:sz="0" w:space="0" w:color="auto"/>
        <w:right w:val="none" w:sz="0" w:space="0" w:color="auto"/>
      </w:divBdr>
    </w:div>
    <w:div w:id="1466967122">
      <w:bodyDiv w:val="1"/>
      <w:marLeft w:val="0"/>
      <w:marRight w:val="0"/>
      <w:marTop w:val="0"/>
      <w:marBottom w:val="0"/>
      <w:divBdr>
        <w:top w:val="none" w:sz="0" w:space="0" w:color="auto"/>
        <w:left w:val="none" w:sz="0" w:space="0" w:color="auto"/>
        <w:bottom w:val="none" w:sz="0" w:space="0" w:color="auto"/>
        <w:right w:val="none" w:sz="0" w:space="0" w:color="auto"/>
      </w:divBdr>
    </w:div>
    <w:div w:id="1588886372">
      <w:bodyDiv w:val="1"/>
      <w:marLeft w:val="0"/>
      <w:marRight w:val="0"/>
      <w:marTop w:val="0"/>
      <w:marBottom w:val="0"/>
      <w:divBdr>
        <w:top w:val="none" w:sz="0" w:space="0" w:color="auto"/>
        <w:left w:val="none" w:sz="0" w:space="0" w:color="auto"/>
        <w:bottom w:val="none" w:sz="0" w:space="0" w:color="auto"/>
        <w:right w:val="none" w:sz="0" w:space="0" w:color="auto"/>
      </w:divBdr>
    </w:div>
    <w:div w:id="1721057797">
      <w:bodyDiv w:val="1"/>
      <w:marLeft w:val="0"/>
      <w:marRight w:val="0"/>
      <w:marTop w:val="0"/>
      <w:marBottom w:val="0"/>
      <w:divBdr>
        <w:top w:val="none" w:sz="0" w:space="0" w:color="auto"/>
        <w:left w:val="none" w:sz="0" w:space="0" w:color="auto"/>
        <w:bottom w:val="none" w:sz="0" w:space="0" w:color="auto"/>
        <w:right w:val="none" w:sz="0" w:space="0" w:color="auto"/>
      </w:divBdr>
    </w:div>
    <w:div w:id="17654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mchdat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chdata.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D97154-70A4-4387-AA96-4196B1DFC0C2}">
  <ds:schemaRefs>
    <ds:schemaRef ds:uri="http://schemas.microsoft.com/office/2006/metadata/properties"/>
  </ds:schemaRefs>
</ds:datastoreItem>
</file>

<file path=customXml/itemProps2.xml><?xml version="1.0" encoding="utf-8"?>
<ds:datastoreItem xmlns:ds="http://schemas.openxmlformats.org/officeDocument/2006/customXml" ds:itemID="{DF91044E-5641-4AA2-9EC3-9313954B722B}">
  <ds:schemaRefs>
    <ds:schemaRef ds:uri="http://schemas.microsoft.com/sharepoint/v3/contenttype/forms"/>
  </ds:schemaRefs>
</ds:datastoreItem>
</file>

<file path=customXml/itemProps3.xml><?xml version="1.0" encoding="utf-8"?>
<ds:datastoreItem xmlns:ds="http://schemas.openxmlformats.org/officeDocument/2006/customXml" ds:itemID="{1B441F89-9605-45C1-B7AC-5F95A2BC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185C36-4639-484D-84A9-E101902F3347}">
  <ds:schemaRefs>
    <ds:schemaRef ds:uri="http://schemas.openxmlformats.org/officeDocument/2006/bibliography"/>
  </ds:schemaRefs>
</ds:datastoreItem>
</file>

<file path=customXml/itemProps5.xml><?xml version="1.0" encoding="utf-8"?>
<ds:datastoreItem xmlns:ds="http://schemas.openxmlformats.org/officeDocument/2006/customXml" ds:itemID="{23DE603F-4C69-4AE9-945F-B0E571FE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35</Pages>
  <Words>13853</Words>
  <Characters>78963</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92631</CharactersWithSpaces>
  <SharedDoc>false</SharedDoc>
  <HLinks>
    <vt:vector size="6" baseType="variant">
      <vt:variant>
        <vt:i4>2097250</vt:i4>
      </vt:variant>
      <vt:variant>
        <vt:i4>3</vt:i4>
      </vt:variant>
      <vt:variant>
        <vt:i4>0</vt:i4>
      </vt:variant>
      <vt:variant>
        <vt:i4>5</vt:i4>
      </vt:variant>
      <vt:variant>
        <vt:lpwstr>http://www.mchdata.com/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arteagass</cp:lastModifiedBy>
  <cp:revision>10</cp:revision>
  <cp:lastPrinted>2011-04-27T18:40:00Z</cp:lastPrinted>
  <dcterms:created xsi:type="dcterms:W3CDTF">2011-12-28T16:00:00Z</dcterms:created>
  <dcterms:modified xsi:type="dcterms:W3CDTF">2012-01-10T19:46:00Z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-1241241232</vt:i4>
  </property>
  <property fmtid="{D5CDD505-2E9C-101B-9397-08002B2CF9AE}" pid="5" name="_EmailSubject">
    <vt:lpwstr>HCS_Revised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ies>
</file>