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0531" w:rsidRPr="00E96552" w:rsidRDefault="00CB0531" w:rsidP="00CB0531">
      <w:pPr>
        <w:ind w:firstLine="360"/>
        <w:jc w:val="center"/>
        <w:rPr>
          <w:b/>
          <w:sz w:val="24"/>
          <w:szCs w:val="24"/>
        </w:rPr>
      </w:pPr>
      <w:bookmarkStart w:id="0" w:name="_GoBack"/>
      <w:bookmarkEnd w:id="0"/>
    </w:p>
    <w:p w:rsidR="00CB0531" w:rsidRPr="00E96552" w:rsidRDefault="00CB0531" w:rsidP="00CB0531">
      <w:pPr>
        <w:ind w:firstLine="360"/>
        <w:jc w:val="center"/>
        <w:rPr>
          <w:b/>
          <w:sz w:val="24"/>
          <w:szCs w:val="24"/>
        </w:rPr>
      </w:pPr>
    </w:p>
    <w:p w:rsidR="00CB0531" w:rsidRPr="00E96552" w:rsidRDefault="00CB0531" w:rsidP="00CB0531">
      <w:pPr>
        <w:ind w:firstLine="360"/>
        <w:jc w:val="center"/>
        <w:rPr>
          <w:b/>
          <w:sz w:val="24"/>
          <w:szCs w:val="24"/>
        </w:rPr>
      </w:pPr>
    </w:p>
    <w:p w:rsidR="00CB0531" w:rsidRDefault="00CB0531" w:rsidP="00CB0531">
      <w:pPr>
        <w:spacing w:after="0"/>
        <w:ind w:firstLine="360"/>
        <w:jc w:val="center"/>
        <w:rPr>
          <w:b/>
          <w:sz w:val="24"/>
          <w:szCs w:val="24"/>
        </w:rPr>
      </w:pPr>
      <w:r w:rsidRPr="00750A7F">
        <w:rPr>
          <w:b/>
          <w:sz w:val="24"/>
          <w:szCs w:val="24"/>
        </w:rPr>
        <w:t xml:space="preserve">Barriers to occupational injury reporting by workers: </w:t>
      </w:r>
    </w:p>
    <w:p w:rsidR="00CB0531" w:rsidRPr="00750A7F" w:rsidRDefault="00CB0531" w:rsidP="00CB0531">
      <w:pPr>
        <w:spacing w:after="0"/>
        <w:ind w:firstLine="360"/>
        <w:jc w:val="center"/>
        <w:rPr>
          <w:b/>
          <w:sz w:val="24"/>
          <w:szCs w:val="24"/>
        </w:rPr>
      </w:pPr>
      <w:r w:rsidRPr="00750A7F">
        <w:rPr>
          <w:b/>
          <w:sz w:val="24"/>
          <w:szCs w:val="24"/>
        </w:rPr>
        <w:t>A NEISS Telephone Interview Survey</w:t>
      </w:r>
    </w:p>
    <w:p w:rsidR="00CB0531" w:rsidRPr="00E96552" w:rsidRDefault="00CB0531" w:rsidP="00CB0531">
      <w:pPr>
        <w:spacing w:after="0"/>
        <w:ind w:firstLine="360"/>
        <w:jc w:val="center"/>
        <w:rPr>
          <w:b/>
          <w:sz w:val="24"/>
          <w:szCs w:val="24"/>
        </w:rPr>
      </w:pPr>
    </w:p>
    <w:p w:rsidR="00CB0531" w:rsidRPr="00E96552" w:rsidRDefault="00CB0531" w:rsidP="00CB0531">
      <w:pPr>
        <w:spacing w:after="0"/>
        <w:ind w:firstLine="360"/>
        <w:jc w:val="center"/>
        <w:rPr>
          <w:b/>
          <w:sz w:val="24"/>
          <w:szCs w:val="24"/>
        </w:rPr>
      </w:pPr>
    </w:p>
    <w:p w:rsidR="00CB0531" w:rsidRPr="00E96552" w:rsidRDefault="00CB0531" w:rsidP="00CB0531">
      <w:pPr>
        <w:spacing w:after="0"/>
        <w:ind w:firstLine="360"/>
        <w:jc w:val="center"/>
        <w:rPr>
          <w:b/>
          <w:sz w:val="24"/>
          <w:szCs w:val="24"/>
        </w:rPr>
      </w:pPr>
      <w:r w:rsidRPr="00E96552">
        <w:rPr>
          <w:b/>
          <w:sz w:val="24"/>
          <w:szCs w:val="24"/>
        </w:rPr>
        <w:t xml:space="preserve">Request for Office of Management and Budget Review and </w:t>
      </w:r>
    </w:p>
    <w:p w:rsidR="00CB0531" w:rsidRPr="00E96552" w:rsidRDefault="00CB0531" w:rsidP="00CB0531">
      <w:pPr>
        <w:spacing w:after="0"/>
        <w:ind w:firstLine="360"/>
        <w:jc w:val="center"/>
        <w:rPr>
          <w:b/>
          <w:sz w:val="24"/>
          <w:szCs w:val="24"/>
        </w:rPr>
      </w:pPr>
      <w:r w:rsidRPr="00E96552">
        <w:rPr>
          <w:b/>
          <w:sz w:val="24"/>
          <w:szCs w:val="24"/>
        </w:rPr>
        <w:t>Approval for Federally Sponsored Data Collection</w:t>
      </w:r>
    </w:p>
    <w:p w:rsidR="00CB0531" w:rsidRPr="00E96552" w:rsidRDefault="00CB0531" w:rsidP="00CB0531">
      <w:pPr>
        <w:spacing w:after="0"/>
        <w:ind w:firstLine="360"/>
        <w:jc w:val="center"/>
        <w:rPr>
          <w:b/>
          <w:sz w:val="24"/>
          <w:szCs w:val="24"/>
        </w:rPr>
      </w:pPr>
    </w:p>
    <w:p w:rsidR="00CB0531" w:rsidRPr="00E96552" w:rsidRDefault="00CB0531" w:rsidP="00CB0531">
      <w:pPr>
        <w:spacing w:after="0"/>
        <w:ind w:firstLine="360"/>
        <w:jc w:val="center"/>
        <w:rPr>
          <w:b/>
          <w:sz w:val="24"/>
          <w:szCs w:val="24"/>
        </w:rPr>
      </w:pPr>
      <w:r w:rsidRPr="00E96552">
        <w:rPr>
          <w:b/>
          <w:sz w:val="24"/>
          <w:szCs w:val="24"/>
        </w:rPr>
        <w:t>Section A</w:t>
      </w: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r w:rsidRPr="00E96552">
        <w:rPr>
          <w:sz w:val="24"/>
          <w:szCs w:val="24"/>
        </w:rPr>
        <w:t xml:space="preserve">Project officer:  Larry </w:t>
      </w:r>
      <w:r w:rsidR="00550925">
        <w:rPr>
          <w:sz w:val="24"/>
          <w:szCs w:val="24"/>
        </w:rPr>
        <w:t xml:space="preserve">L. </w:t>
      </w:r>
      <w:r w:rsidRPr="00E96552">
        <w:rPr>
          <w:sz w:val="24"/>
          <w:szCs w:val="24"/>
        </w:rPr>
        <w:t>Jackson, Chief, Injury Surveillance Team</w:t>
      </w:r>
    </w:p>
    <w:p w:rsidR="00CB0531" w:rsidRPr="00E96552" w:rsidRDefault="00CB0531" w:rsidP="00CB0531">
      <w:pPr>
        <w:spacing w:after="0"/>
        <w:ind w:firstLine="360"/>
        <w:jc w:val="center"/>
        <w:rPr>
          <w:sz w:val="24"/>
          <w:szCs w:val="24"/>
        </w:rPr>
      </w:pPr>
      <w:r w:rsidRPr="00E96552">
        <w:rPr>
          <w:sz w:val="24"/>
          <w:szCs w:val="24"/>
        </w:rPr>
        <w:t>National Institute for Occupational Safety and Health</w:t>
      </w:r>
    </w:p>
    <w:p w:rsidR="00CB0531" w:rsidRPr="00E96552" w:rsidRDefault="00CB0531" w:rsidP="00CB0531">
      <w:pPr>
        <w:spacing w:after="0"/>
        <w:ind w:firstLine="360"/>
        <w:jc w:val="center"/>
        <w:rPr>
          <w:sz w:val="24"/>
          <w:szCs w:val="24"/>
        </w:rPr>
      </w:pPr>
      <w:r w:rsidRPr="00E96552">
        <w:rPr>
          <w:sz w:val="24"/>
          <w:szCs w:val="24"/>
        </w:rPr>
        <w:t>Division of Safety Research</w:t>
      </w:r>
    </w:p>
    <w:p w:rsidR="00CB0531" w:rsidRPr="00E96552" w:rsidRDefault="00CB0531" w:rsidP="00CB0531">
      <w:pPr>
        <w:spacing w:after="0"/>
        <w:ind w:firstLine="360"/>
        <w:jc w:val="center"/>
        <w:rPr>
          <w:sz w:val="24"/>
          <w:szCs w:val="24"/>
        </w:rPr>
      </w:pPr>
      <w:r w:rsidRPr="00E96552">
        <w:rPr>
          <w:sz w:val="24"/>
          <w:szCs w:val="24"/>
        </w:rPr>
        <w:t>1095 Willowdale Road, MS H1808</w:t>
      </w:r>
    </w:p>
    <w:p w:rsidR="00CB0531" w:rsidRPr="00E96552" w:rsidRDefault="00CB0531" w:rsidP="00CB0531">
      <w:pPr>
        <w:spacing w:after="0"/>
        <w:ind w:firstLine="360"/>
        <w:jc w:val="center"/>
        <w:rPr>
          <w:sz w:val="24"/>
          <w:szCs w:val="24"/>
        </w:rPr>
      </w:pPr>
      <w:r w:rsidRPr="00E96552">
        <w:rPr>
          <w:sz w:val="24"/>
          <w:szCs w:val="24"/>
        </w:rPr>
        <w:t>Morgantown, WV 26505</w:t>
      </w:r>
    </w:p>
    <w:p w:rsidR="00CB0531" w:rsidRPr="00E96552" w:rsidRDefault="00CB0531" w:rsidP="00CB0531">
      <w:pPr>
        <w:spacing w:after="0"/>
        <w:ind w:firstLine="360"/>
        <w:jc w:val="center"/>
        <w:rPr>
          <w:sz w:val="24"/>
          <w:szCs w:val="24"/>
        </w:rPr>
      </w:pPr>
    </w:p>
    <w:p w:rsidR="00CB0531" w:rsidRPr="00E96552" w:rsidRDefault="00CB0531" w:rsidP="00CB0531">
      <w:pPr>
        <w:spacing w:after="0"/>
        <w:ind w:firstLine="360"/>
        <w:jc w:val="center"/>
        <w:rPr>
          <w:sz w:val="24"/>
          <w:szCs w:val="24"/>
        </w:rPr>
      </w:pPr>
      <w:r w:rsidRPr="00E96552">
        <w:rPr>
          <w:sz w:val="24"/>
          <w:szCs w:val="24"/>
        </w:rPr>
        <w:t>Phone: 304-285-5980</w:t>
      </w:r>
    </w:p>
    <w:p w:rsidR="00CB0531" w:rsidRPr="00E96552" w:rsidRDefault="00CB0531" w:rsidP="00CB0531">
      <w:pPr>
        <w:spacing w:after="0"/>
        <w:ind w:firstLine="360"/>
        <w:jc w:val="center"/>
        <w:rPr>
          <w:sz w:val="24"/>
          <w:szCs w:val="24"/>
        </w:rPr>
      </w:pPr>
      <w:r w:rsidRPr="00E96552">
        <w:rPr>
          <w:sz w:val="24"/>
          <w:szCs w:val="24"/>
        </w:rPr>
        <w:t>Fax: 304-285-5774</w:t>
      </w:r>
    </w:p>
    <w:p w:rsidR="00CB0531" w:rsidRPr="00E96552" w:rsidRDefault="00CB0531" w:rsidP="00CB0531">
      <w:pPr>
        <w:spacing w:after="0"/>
        <w:ind w:firstLine="360"/>
        <w:jc w:val="center"/>
        <w:rPr>
          <w:sz w:val="24"/>
          <w:szCs w:val="24"/>
        </w:rPr>
      </w:pPr>
      <w:r w:rsidRPr="00E96552">
        <w:rPr>
          <w:sz w:val="24"/>
          <w:szCs w:val="24"/>
        </w:rPr>
        <w:t xml:space="preserve">E-mail: </w:t>
      </w:r>
      <w:hyperlink r:id="rId9" w:history="1">
        <w:r w:rsidR="00550925" w:rsidRPr="008F3A80">
          <w:rPr>
            <w:rStyle w:val="Hyperlink"/>
            <w:sz w:val="24"/>
            <w:szCs w:val="24"/>
          </w:rPr>
          <w:t>LLJackson@cdc.gov</w:t>
        </w:r>
      </w:hyperlink>
    </w:p>
    <w:p w:rsidR="00CB0531" w:rsidRPr="00E96552" w:rsidRDefault="00CB0531" w:rsidP="00CB0531">
      <w:pPr>
        <w:spacing w:after="0"/>
        <w:ind w:firstLine="360"/>
        <w:jc w:val="center"/>
        <w:rPr>
          <w:sz w:val="24"/>
          <w:szCs w:val="24"/>
        </w:rPr>
      </w:pPr>
    </w:p>
    <w:p w:rsidR="00CB0531" w:rsidRPr="00E96552" w:rsidRDefault="00B729B9" w:rsidP="00CB0531">
      <w:pPr>
        <w:spacing w:after="0"/>
        <w:ind w:firstLine="360"/>
        <w:jc w:val="center"/>
        <w:rPr>
          <w:sz w:val="24"/>
          <w:szCs w:val="24"/>
        </w:rPr>
      </w:pPr>
      <w:r>
        <w:rPr>
          <w:sz w:val="24"/>
          <w:szCs w:val="24"/>
        </w:rPr>
        <w:t xml:space="preserve">May </w:t>
      </w:r>
      <w:r w:rsidR="000B7DA1">
        <w:rPr>
          <w:sz w:val="24"/>
          <w:szCs w:val="24"/>
        </w:rPr>
        <w:t>2</w:t>
      </w:r>
      <w:r>
        <w:rPr>
          <w:sz w:val="24"/>
          <w:szCs w:val="24"/>
        </w:rPr>
        <w:t>1</w:t>
      </w:r>
      <w:r w:rsidR="000B7DA1">
        <w:rPr>
          <w:sz w:val="24"/>
          <w:szCs w:val="24"/>
        </w:rPr>
        <w:t>,</w:t>
      </w:r>
      <w:r w:rsidR="00CB0531" w:rsidRPr="00E96552">
        <w:rPr>
          <w:sz w:val="24"/>
          <w:szCs w:val="24"/>
        </w:rPr>
        <w:t xml:space="preserve"> 201</w:t>
      </w:r>
      <w:r>
        <w:rPr>
          <w:sz w:val="24"/>
          <w:szCs w:val="24"/>
        </w:rPr>
        <w:t>2</w:t>
      </w:r>
    </w:p>
    <w:p w:rsidR="00CB0531" w:rsidRDefault="00CB0531" w:rsidP="00CB0531">
      <w:pPr>
        <w:rPr>
          <w:sz w:val="24"/>
          <w:szCs w:val="24"/>
        </w:rPr>
      </w:pPr>
      <w:r>
        <w:rPr>
          <w:sz w:val="24"/>
          <w:szCs w:val="24"/>
        </w:rPr>
        <w:br w:type="page"/>
      </w:r>
    </w:p>
    <w:sdt>
      <w:sdtPr>
        <w:rPr>
          <w:rFonts w:asciiTheme="minorHAnsi" w:eastAsiaTheme="minorEastAsia" w:hAnsiTheme="minorHAnsi" w:cstheme="minorBidi"/>
          <w:b w:val="0"/>
          <w:bCs w:val="0"/>
          <w:sz w:val="22"/>
          <w:szCs w:val="22"/>
        </w:rPr>
        <w:id w:val="116291803"/>
        <w:docPartObj>
          <w:docPartGallery w:val="Table of Contents"/>
          <w:docPartUnique/>
        </w:docPartObj>
      </w:sdtPr>
      <w:sdtEndPr/>
      <w:sdtContent>
        <w:p w:rsidR="00CB0531" w:rsidRDefault="00CB0531" w:rsidP="00084320">
          <w:pPr>
            <w:pStyle w:val="TOCHeading"/>
            <w:jc w:val="center"/>
          </w:pPr>
          <w:r>
            <w:t>Table of Contents</w:t>
          </w:r>
        </w:p>
        <w:p w:rsidR="00237FF6" w:rsidRDefault="005A100A">
          <w:pPr>
            <w:pStyle w:val="TOC2"/>
            <w:tabs>
              <w:tab w:val="left" w:pos="880"/>
              <w:tab w:val="right" w:leader="dot" w:pos="9350"/>
            </w:tabs>
            <w:rPr>
              <w:noProof/>
            </w:rPr>
          </w:pPr>
          <w:r>
            <w:fldChar w:fldCharType="begin"/>
          </w:r>
          <w:r w:rsidR="00CB0531">
            <w:instrText xml:space="preserve"> TOC \o "1-3" \h \z \u </w:instrText>
          </w:r>
          <w:r>
            <w:fldChar w:fldCharType="separate"/>
          </w:r>
          <w:hyperlink w:anchor="_Toc309647134" w:history="1">
            <w:r w:rsidR="00237FF6" w:rsidRPr="004F35E1">
              <w:rPr>
                <w:rStyle w:val="Hyperlink"/>
                <w:noProof/>
              </w:rPr>
              <w:t xml:space="preserve">A.1. </w:t>
            </w:r>
            <w:r w:rsidR="00237FF6">
              <w:rPr>
                <w:noProof/>
              </w:rPr>
              <w:tab/>
            </w:r>
            <w:r w:rsidR="00237FF6" w:rsidRPr="004F35E1">
              <w:rPr>
                <w:rStyle w:val="Hyperlink"/>
                <w:noProof/>
              </w:rPr>
              <w:t>Circumstances Making the Collection of Information Necessary</w:t>
            </w:r>
            <w:r w:rsidR="00237FF6">
              <w:rPr>
                <w:noProof/>
                <w:webHidden/>
              </w:rPr>
              <w:tab/>
            </w:r>
            <w:r w:rsidR="00237FF6">
              <w:rPr>
                <w:noProof/>
                <w:webHidden/>
              </w:rPr>
              <w:fldChar w:fldCharType="begin"/>
            </w:r>
            <w:r w:rsidR="00237FF6">
              <w:rPr>
                <w:noProof/>
                <w:webHidden/>
              </w:rPr>
              <w:instrText xml:space="preserve"> PAGEREF _Toc309647134 \h </w:instrText>
            </w:r>
            <w:r w:rsidR="00237FF6">
              <w:rPr>
                <w:noProof/>
                <w:webHidden/>
              </w:rPr>
            </w:r>
            <w:r w:rsidR="00237FF6">
              <w:rPr>
                <w:noProof/>
                <w:webHidden/>
              </w:rPr>
              <w:fldChar w:fldCharType="separate"/>
            </w:r>
            <w:r w:rsidR="007C7B4D">
              <w:rPr>
                <w:noProof/>
                <w:webHidden/>
              </w:rPr>
              <w:t>4</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37" w:history="1">
            <w:r w:rsidR="00237FF6" w:rsidRPr="004F35E1">
              <w:rPr>
                <w:rStyle w:val="Hyperlink"/>
                <w:noProof/>
              </w:rPr>
              <w:t xml:space="preserve">A.2. </w:t>
            </w:r>
            <w:r w:rsidR="00237FF6">
              <w:rPr>
                <w:noProof/>
              </w:rPr>
              <w:tab/>
            </w:r>
            <w:r w:rsidR="00237FF6" w:rsidRPr="004F35E1">
              <w:rPr>
                <w:rStyle w:val="Hyperlink"/>
                <w:noProof/>
              </w:rPr>
              <w:t>Purpose and Use of Information Collection</w:t>
            </w:r>
            <w:r w:rsidR="00237FF6">
              <w:rPr>
                <w:noProof/>
                <w:webHidden/>
              </w:rPr>
              <w:tab/>
            </w:r>
            <w:r w:rsidR="00237FF6">
              <w:rPr>
                <w:noProof/>
                <w:webHidden/>
              </w:rPr>
              <w:fldChar w:fldCharType="begin"/>
            </w:r>
            <w:r w:rsidR="00237FF6">
              <w:rPr>
                <w:noProof/>
                <w:webHidden/>
              </w:rPr>
              <w:instrText xml:space="preserve"> PAGEREF _Toc309647137 \h </w:instrText>
            </w:r>
            <w:r w:rsidR="00237FF6">
              <w:rPr>
                <w:noProof/>
                <w:webHidden/>
              </w:rPr>
            </w:r>
            <w:r w:rsidR="00237FF6">
              <w:rPr>
                <w:noProof/>
                <w:webHidden/>
              </w:rPr>
              <w:fldChar w:fldCharType="separate"/>
            </w:r>
            <w:r w:rsidR="007C7B4D">
              <w:rPr>
                <w:noProof/>
                <w:webHidden/>
              </w:rPr>
              <w:t>12</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38" w:history="1">
            <w:r w:rsidR="00237FF6" w:rsidRPr="004F35E1">
              <w:rPr>
                <w:rStyle w:val="Hyperlink"/>
                <w:noProof/>
              </w:rPr>
              <w:t>A.3.</w:t>
            </w:r>
            <w:r w:rsidR="00237FF6">
              <w:rPr>
                <w:noProof/>
              </w:rPr>
              <w:tab/>
            </w:r>
            <w:r w:rsidR="00237FF6" w:rsidRPr="004F35E1">
              <w:rPr>
                <w:rStyle w:val="Hyperlink"/>
                <w:noProof/>
              </w:rPr>
              <w:t>Use of Improved Information Technology and Burden Reduction</w:t>
            </w:r>
            <w:r w:rsidR="00237FF6">
              <w:rPr>
                <w:noProof/>
                <w:webHidden/>
              </w:rPr>
              <w:tab/>
            </w:r>
            <w:r w:rsidR="00237FF6">
              <w:rPr>
                <w:noProof/>
                <w:webHidden/>
              </w:rPr>
              <w:fldChar w:fldCharType="begin"/>
            </w:r>
            <w:r w:rsidR="00237FF6">
              <w:rPr>
                <w:noProof/>
                <w:webHidden/>
              </w:rPr>
              <w:instrText xml:space="preserve"> PAGEREF _Toc309647138 \h </w:instrText>
            </w:r>
            <w:r w:rsidR="00237FF6">
              <w:rPr>
                <w:noProof/>
                <w:webHidden/>
              </w:rPr>
            </w:r>
            <w:r w:rsidR="00237FF6">
              <w:rPr>
                <w:noProof/>
                <w:webHidden/>
              </w:rPr>
              <w:fldChar w:fldCharType="separate"/>
            </w:r>
            <w:r w:rsidR="007C7B4D">
              <w:rPr>
                <w:noProof/>
                <w:webHidden/>
              </w:rPr>
              <w:t>16</w:t>
            </w:r>
            <w:r w:rsidR="00237FF6">
              <w:rPr>
                <w:noProof/>
                <w:webHidden/>
              </w:rPr>
              <w:fldChar w:fldCharType="end"/>
            </w:r>
          </w:hyperlink>
        </w:p>
        <w:p w:rsidR="00237FF6" w:rsidRPr="00237FF6" w:rsidRDefault="001F3F7C">
          <w:pPr>
            <w:pStyle w:val="TOC2"/>
            <w:tabs>
              <w:tab w:val="left" w:pos="880"/>
              <w:tab w:val="right" w:leader="dot" w:pos="9350"/>
            </w:tabs>
            <w:rPr>
              <w:noProof/>
            </w:rPr>
          </w:pPr>
          <w:hyperlink w:anchor="_Toc309647139" w:history="1">
            <w:r w:rsidR="00237FF6" w:rsidRPr="00237FF6">
              <w:rPr>
                <w:rStyle w:val="Hyperlink"/>
                <w:rFonts w:cs="Times New Roman"/>
                <w:noProof/>
              </w:rPr>
              <w:t>A.4.</w:t>
            </w:r>
            <w:r w:rsidR="00237FF6" w:rsidRPr="00237FF6">
              <w:rPr>
                <w:noProof/>
              </w:rPr>
              <w:tab/>
            </w:r>
            <w:r w:rsidR="00237FF6" w:rsidRPr="00237FF6">
              <w:rPr>
                <w:rStyle w:val="Hyperlink"/>
                <w:rFonts w:cs="Times New Roman"/>
                <w:noProof/>
              </w:rPr>
              <w:t>Efforts to Identify Duplication and Use of Similar Information</w:t>
            </w:r>
            <w:r w:rsidR="00237FF6" w:rsidRPr="00237FF6">
              <w:rPr>
                <w:noProof/>
                <w:webHidden/>
              </w:rPr>
              <w:tab/>
            </w:r>
            <w:r w:rsidR="00237FF6" w:rsidRPr="00237FF6">
              <w:rPr>
                <w:noProof/>
                <w:webHidden/>
              </w:rPr>
              <w:fldChar w:fldCharType="begin"/>
            </w:r>
            <w:r w:rsidR="00237FF6" w:rsidRPr="00237FF6">
              <w:rPr>
                <w:noProof/>
                <w:webHidden/>
              </w:rPr>
              <w:instrText xml:space="preserve"> PAGEREF _Toc309647139 \h </w:instrText>
            </w:r>
            <w:r w:rsidR="00237FF6" w:rsidRPr="00237FF6">
              <w:rPr>
                <w:noProof/>
                <w:webHidden/>
              </w:rPr>
            </w:r>
            <w:r w:rsidR="00237FF6" w:rsidRPr="00237FF6">
              <w:rPr>
                <w:noProof/>
                <w:webHidden/>
              </w:rPr>
              <w:fldChar w:fldCharType="separate"/>
            </w:r>
            <w:r w:rsidR="007C7B4D">
              <w:rPr>
                <w:noProof/>
                <w:webHidden/>
              </w:rPr>
              <w:t>17</w:t>
            </w:r>
            <w:r w:rsidR="00237FF6" w:rsidRPr="00237FF6">
              <w:rPr>
                <w:noProof/>
                <w:webHidden/>
              </w:rPr>
              <w:fldChar w:fldCharType="end"/>
            </w:r>
          </w:hyperlink>
        </w:p>
        <w:p w:rsidR="00237FF6" w:rsidRPr="00237FF6" w:rsidRDefault="001F3F7C">
          <w:pPr>
            <w:pStyle w:val="TOC2"/>
            <w:tabs>
              <w:tab w:val="left" w:pos="880"/>
              <w:tab w:val="right" w:leader="dot" w:pos="9350"/>
            </w:tabs>
            <w:rPr>
              <w:noProof/>
            </w:rPr>
          </w:pPr>
          <w:hyperlink w:anchor="_Toc309647140" w:history="1">
            <w:r w:rsidR="00237FF6" w:rsidRPr="00237FF6">
              <w:rPr>
                <w:rStyle w:val="Hyperlink"/>
                <w:rFonts w:cs="Times New Roman"/>
                <w:noProof/>
              </w:rPr>
              <w:t>A.5.</w:t>
            </w:r>
            <w:r w:rsidR="00237FF6" w:rsidRPr="00237FF6">
              <w:rPr>
                <w:noProof/>
              </w:rPr>
              <w:tab/>
            </w:r>
            <w:r w:rsidR="00237FF6" w:rsidRPr="00237FF6">
              <w:rPr>
                <w:rStyle w:val="Hyperlink"/>
                <w:rFonts w:cs="Times New Roman"/>
                <w:noProof/>
              </w:rPr>
              <w:t>Impact on Small Businesses or Other Small Entities</w:t>
            </w:r>
            <w:r w:rsidR="00237FF6" w:rsidRPr="00237FF6">
              <w:rPr>
                <w:noProof/>
                <w:webHidden/>
              </w:rPr>
              <w:tab/>
            </w:r>
            <w:r w:rsidR="00237FF6" w:rsidRPr="00237FF6">
              <w:rPr>
                <w:noProof/>
                <w:webHidden/>
              </w:rPr>
              <w:fldChar w:fldCharType="begin"/>
            </w:r>
            <w:r w:rsidR="00237FF6" w:rsidRPr="00237FF6">
              <w:rPr>
                <w:noProof/>
                <w:webHidden/>
              </w:rPr>
              <w:instrText xml:space="preserve"> PAGEREF _Toc309647140 \h </w:instrText>
            </w:r>
            <w:r w:rsidR="00237FF6" w:rsidRPr="00237FF6">
              <w:rPr>
                <w:noProof/>
                <w:webHidden/>
              </w:rPr>
            </w:r>
            <w:r w:rsidR="00237FF6" w:rsidRPr="00237FF6">
              <w:rPr>
                <w:noProof/>
                <w:webHidden/>
              </w:rPr>
              <w:fldChar w:fldCharType="separate"/>
            </w:r>
            <w:r w:rsidR="007C7B4D">
              <w:rPr>
                <w:noProof/>
                <w:webHidden/>
              </w:rPr>
              <w:t>18</w:t>
            </w:r>
            <w:r w:rsidR="00237FF6" w:rsidRPr="00237FF6">
              <w:rPr>
                <w:noProof/>
                <w:webHidden/>
              </w:rPr>
              <w:fldChar w:fldCharType="end"/>
            </w:r>
          </w:hyperlink>
        </w:p>
        <w:p w:rsidR="00237FF6" w:rsidRPr="00237FF6" w:rsidRDefault="001F3F7C">
          <w:pPr>
            <w:pStyle w:val="TOC2"/>
            <w:tabs>
              <w:tab w:val="left" w:pos="880"/>
              <w:tab w:val="right" w:leader="dot" w:pos="9350"/>
            </w:tabs>
            <w:rPr>
              <w:noProof/>
            </w:rPr>
          </w:pPr>
          <w:hyperlink w:anchor="_Toc309647141" w:history="1">
            <w:r w:rsidR="00237FF6" w:rsidRPr="00237FF6">
              <w:rPr>
                <w:rStyle w:val="Hyperlink"/>
                <w:rFonts w:cs="Times New Roman"/>
                <w:noProof/>
              </w:rPr>
              <w:t xml:space="preserve">A.6. </w:t>
            </w:r>
            <w:r w:rsidR="00237FF6" w:rsidRPr="00237FF6">
              <w:rPr>
                <w:noProof/>
              </w:rPr>
              <w:tab/>
            </w:r>
            <w:r w:rsidR="00237FF6" w:rsidRPr="00237FF6">
              <w:rPr>
                <w:rStyle w:val="Hyperlink"/>
                <w:rFonts w:cs="Times New Roman"/>
                <w:noProof/>
              </w:rPr>
              <w:t>Consequences of Collecting the Information Less Frequently</w:t>
            </w:r>
            <w:r w:rsidR="00237FF6" w:rsidRPr="00237FF6">
              <w:rPr>
                <w:noProof/>
                <w:webHidden/>
              </w:rPr>
              <w:tab/>
            </w:r>
            <w:r w:rsidR="00237FF6" w:rsidRPr="00237FF6">
              <w:rPr>
                <w:noProof/>
                <w:webHidden/>
              </w:rPr>
              <w:fldChar w:fldCharType="begin"/>
            </w:r>
            <w:r w:rsidR="00237FF6" w:rsidRPr="00237FF6">
              <w:rPr>
                <w:noProof/>
                <w:webHidden/>
              </w:rPr>
              <w:instrText xml:space="preserve"> PAGEREF _Toc309647141 \h </w:instrText>
            </w:r>
            <w:r w:rsidR="00237FF6" w:rsidRPr="00237FF6">
              <w:rPr>
                <w:noProof/>
                <w:webHidden/>
              </w:rPr>
            </w:r>
            <w:r w:rsidR="00237FF6" w:rsidRPr="00237FF6">
              <w:rPr>
                <w:noProof/>
                <w:webHidden/>
              </w:rPr>
              <w:fldChar w:fldCharType="separate"/>
            </w:r>
            <w:r w:rsidR="007C7B4D">
              <w:rPr>
                <w:noProof/>
                <w:webHidden/>
              </w:rPr>
              <w:t>18</w:t>
            </w:r>
            <w:r w:rsidR="00237FF6" w:rsidRPr="00237FF6">
              <w:rPr>
                <w:noProof/>
                <w:webHidden/>
              </w:rPr>
              <w:fldChar w:fldCharType="end"/>
            </w:r>
          </w:hyperlink>
        </w:p>
        <w:p w:rsidR="00237FF6" w:rsidRPr="00237FF6" w:rsidRDefault="001F3F7C">
          <w:pPr>
            <w:pStyle w:val="TOC2"/>
            <w:tabs>
              <w:tab w:val="left" w:pos="880"/>
              <w:tab w:val="right" w:leader="dot" w:pos="9350"/>
            </w:tabs>
            <w:rPr>
              <w:noProof/>
            </w:rPr>
          </w:pPr>
          <w:hyperlink w:anchor="_Toc309647142" w:history="1">
            <w:r w:rsidR="00237FF6" w:rsidRPr="00237FF6">
              <w:rPr>
                <w:rStyle w:val="Hyperlink"/>
                <w:rFonts w:cs="Times New Roman"/>
                <w:noProof/>
              </w:rPr>
              <w:t>A.7.</w:t>
            </w:r>
            <w:r w:rsidR="00237FF6" w:rsidRPr="00237FF6">
              <w:rPr>
                <w:noProof/>
              </w:rPr>
              <w:tab/>
            </w:r>
            <w:r w:rsidR="00237FF6" w:rsidRPr="00237FF6">
              <w:rPr>
                <w:rStyle w:val="Hyperlink"/>
                <w:rFonts w:cs="Times New Roman"/>
                <w:noProof/>
              </w:rPr>
              <w:t>Special Circumstances Relating to the Guidelines of 5 CFR 1320.5</w:t>
            </w:r>
            <w:r w:rsidR="00237FF6" w:rsidRPr="00237FF6">
              <w:rPr>
                <w:noProof/>
                <w:webHidden/>
              </w:rPr>
              <w:tab/>
            </w:r>
            <w:r w:rsidR="00237FF6" w:rsidRPr="00237FF6">
              <w:rPr>
                <w:noProof/>
                <w:webHidden/>
              </w:rPr>
              <w:fldChar w:fldCharType="begin"/>
            </w:r>
            <w:r w:rsidR="00237FF6" w:rsidRPr="00237FF6">
              <w:rPr>
                <w:noProof/>
                <w:webHidden/>
              </w:rPr>
              <w:instrText xml:space="preserve"> PAGEREF _Toc309647142 \h </w:instrText>
            </w:r>
            <w:r w:rsidR="00237FF6" w:rsidRPr="00237FF6">
              <w:rPr>
                <w:noProof/>
                <w:webHidden/>
              </w:rPr>
            </w:r>
            <w:r w:rsidR="00237FF6" w:rsidRPr="00237FF6">
              <w:rPr>
                <w:noProof/>
                <w:webHidden/>
              </w:rPr>
              <w:fldChar w:fldCharType="separate"/>
            </w:r>
            <w:r w:rsidR="007C7B4D">
              <w:rPr>
                <w:noProof/>
                <w:webHidden/>
              </w:rPr>
              <w:t>18</w:t>
            </w:r>
            <w:r w:rsidR="00237FF6" w:rsidRPr="00237FF6">
              <w:rPr>
                <w:noProof/>
                <w:webHidden/>
              </w:rPr>
              <w:fldChar w:fldCharType="end"/>
            </w:r>
          </w:hyperlink>
        </w:p>
        <w:p w:rsidR="00237FF6" w:rsidRPr="00237FF6" w:rsidRDefault="001F3F7C">
          <w:pPr>
            <w:pStyle w:val="TOC2"/>
            <w:tabs>
              <w:tab w:val="left" w:pos="880"/>
              <w:tab w:val="right" w:leader="dot" w:pos="9350"/>
            </w:tabs>
            <w:rPr>
              <w:noProof/>
            </w:rPr>
          </w:pPr>
          <w:hyperlink w:anchor="_Toc309647143" w:history="1">
            <w:r w:rsidR="00237FF6" w:rsidRPr="00237FF6">
              <w:rPr>
                <w:rStyle w:val="Hyperlink"/>
                <w:rFonts w:cs="Times New Roman"/>
                <w:noProof/>
                <w:lang w:eastAsia="ja-JP"/>
              </w:rPr>
              <w:t>A.8.</w:t>
            </w:r>
            <w:r w:rsidR="00237FF6" w:rsidRPr="00237FF6">
              <w:rPr>
                <w:noProof/>
              </w:rPr>
              <w:tab/>
            </w:r>
            <w:r w:rsidR="00237FF6" w:rsidRPr="00237FF6">
              <w:rPr>
                <w:rStyle w:val="Hyperlink"/>
                <w:rFonts w:cs="Times New Roman"/>
                <w:noProof/>
                <w:lang w:eastAsia="ja-JP"/>
              </w:rPr>
              <w:t>Comments in Response to the Federal Register Notice and Efforts to Consult Outside the Agency</w:t>
            </w:r>
            <w:r w:rsidR="00237FF6" w:rsidRPr="00237FF6">
              <w:rPr>
                <w:noProof/>
                <w:webHidden/>
              </w:rPr>
              <w:tab/>
            </w:r>
            <w:r w:rsidR="00237FF6">
              <w:rPr>
                <w:noProof/>
                <w:webHidden/>
              </w:rPr>
              <w:t>……………………………………………………………………………………………………………………………………………...</w:t>
            </w:r>
            <w:r w:rsidR="00237FF6" w:rsidRPr="00237FF6">
              <w:rPr>
                <w:noProof/>
                <w:webHidden/>
              </w:rPr>
              <w:fldChar w:fldCharType="begin"/>
            </w:r>
            <w:r w:rsidR="00237FF6" w:rsidRPr="00237FF6">
              <w:rPr>
                <w:noProof/>
                <w:webHidden/>
              </w:rPr>
              <w:instrText xml:space="preserve"> PAGEREF _Toc309647143 \h </w:instrText>
            </w:r>
            <w:r w:rsidR="00237FF6" w:rsidRPr="00237FF6">
              <w:rPr>
                <w:noProof/>
                <w:webHidden/>
              </w:rPr>
            </w:r>
            <w:r w:rsidR="00237FF6" w:rsidRPr="00237FF6">
              <w:rPr>
                <w:noProof/>
                <w:webHidden/>
              </w:rPr>
              <w:fldChar w:fldCharType="separate"/>
            </w:r>
            <w:r w:rsidR="007C7B4D">
              <w:rPr>
                <w:noProof/>
                <w:webHidden/>
              </w:rPr>
              <w:t>19</w:t>
            </w:r>
            <w:r w:rsidR="00237FF6" w:rsidRPr="00237FF6">
              <w:rPr>
                <w:noProof/>
                <w:webHidden/>
              </w:rPr>
              <w:fldChar w:fldCharType="end"/>
            </w:r>
          </w:hyperlink>
        </w:p>
        <w:p w:rsidR="00237FF6" w:rsidRDefault="001F3F7C">
          <w:pPr>
            <w:pStyle w:val="TOC2"/>
            <w:tabs>
              <w:tab w:val="left" w:pos="880"/>
              <w:tab w:val="right" w:leader="dot" w:pos="9350"/>
            </w:tabs>
            <w:rPr>
              <w:noProof/>
            </w:rPr>
          </w:pPr>
          <w:hyperlink w:anchor="_Toc309647146" w:history="1">
            <w:r w:rsidR="00237FF6" w:rsidRPr="004F35E1">
              <w:rPr>
                <w:rStyle w:val="Hyperlink"/>
                <w:rFonts w:cs="Times New Roman"/>
                <w:noProof/>
                <w:lang w:eastAsia="ja-JP"/>
              </w:rPr>
              <w:t>A.9.</w:t>
            </w:r>
            <w:r w:rsidR="00237FF6">
              <w:rPr>
                <w:noProof/>
              </w:rPr>
              <w:tab/>
            </w:r>
            <w:r w:rsidR="00237FF6" w:rsidRPr="004F35E1">
              <w:rPr>
                <w:rStyle w:val="Hyperlink"/>
                <w:rFonts w:cs="Times New Roman"/>
                <w:noProof/>
                <w:lang w:eastAsia="ja-JP"/>
              </w:rPr>
              <w:t>Explanation of Any Payment or Gift to Respondents</w:t>
            </w:r>
            <w:r w:rsidR="00237FF6">
              <w:rPr>
                <w:noProof/>
                <w:webHidden/>
              </w:rPr>
              <w:tab/>
            </w:r>
            <w:r w:rsidR="00237FF6">
              <w:rPr>
                <w:noProof/>
                <w:webHidden/>
              </w:rPr>
              <w:fldChar w:fldCharType="begin"/>
            </w:r>
            <w:r w:rsidR="00237FF6">
              <w:rPr>
                <w:noProof/>
                <w:webHidden/>
              </w:rPr>
              <w:instrText xml:space="preserve"> PAGEREF _Toc309647146 \h </w:instrText>
            </w:r>
            <w:r w:rsidR="00237FF6">
              <w:rPr>
                <w:noProof/>
                <w:webHidden/>
              </w:rPr>
            </w:r>
            <w:r w:rsidR="00237FF6">
              <w:rPr>
                <w:noProof/>
                <w:webHidden/>
              </w:rPr>
              <w:fldChar w:fldCharType="separate"/>
            </w:r>
            <w:r w:rsidR="007C7B4D">
              <w:rPr>
                <w:noProof/>
                <w:webHidden/>
              </w:rPr>
              <w:t>20</w:t>
            </w:r>
            <w:r w:rsidR="00237FF6">
              <w:rPr>
                <w:noProof/>
                <w:webHidden/>
              </w:rPr>
              <w:fldChar w:fldCharType="end"/>
            </w:r>
          </w:hyperlink>
        </w:p>
        <w:p w:rsidR="00237FF6" w:rsidRDefault="001F3F7C">
          <w:pPr>
            <w:pStyle w:val="TOC2"/>
            <w:tabs>
              <w:tab w:val="left" w:pos="1100"/>
              <w:tab w:val="right" w:leader="dot" w:pos="9350"/>
            </w:tabs>
            <w:rPr>
              <w:noProof/>
            </w:rPr>
          </w:pPr>
          <w:hyperlink w:anchor="_Toc309647147" w:history="1">
            <w:r w:rsidR="00237FF6" w:rsidRPr="004F35E1">
              <w:rPr>
                <w:rStyle w:val="Hyperlink"/>
                <w:rFonts w:cs="Times New Roman"/>
                <w:noProof/>
                <w:lang w:eastAsia="ja-JP"/>
              </w:rPr>
              <w:t>A.10.</w:t>
            </w:r>
            <w:r w:rsidR="00237FF6">
              <w:rPr>
                <w:noProof/>
              </w:rPr>
              <w:tab/>
            </w:r>
            <w:r w:rsidR="00237FF6" w:rsidRPr="004F35E1">
              <w:rPr>
                <w:rStyle w:val="Hyperlink"/>
                <w:rFonts w:cs="Times New Roman"/>
                <w:noProof/>
                <w:lang w:eastAsia="ja-JP"/>
              </w:rPr>
              <w:t>Assurance of Confidentiality Provided to Respondents</w:t>
            </w:r>
            <w:r w:rsidR="00237FF6">
              <w:rPr>
                <w:noProof/>
                <w:webHidden/>
              </w:rPr>
              <w:tab/>
            </w:r>
            <w:r w:rsidR="00237FF6">
              <w:rPr>
                <w:noProof/>
                <w:webHidden/>
              </w:rPr>
              <w:fldChar w:fldCharType="begin"/>
            </w:r>
            <w:r w:rsidR="00237FF6">
              <w:rPr>
                <w:noProof/>
                <w:webHidden/>
              </w:rPr>
              <w:instrText xml:space="preserve"> PAGEREF _Toc309647147 \h </w:instrText>
            </w:r>
            <w:r w:rsidR="00237FF6">
              <w:rPr>
                <w:noProof/>
                <w:webHidden/>
              </w:rPr>
            </w:r>
            <w:r w:rsidR="00237FF6">
              <w:rPr>
                <w:noProof/>
                <w:webHidden/>
              </w:rPr>
              <w:fldChar w:fldCharType="separate"/>
            </w:r>
            <w:r w:rsidR="007C7B4D">
              <w:rPr>
                <w:noProof/>
                <w:webHidden/>
              </w:rPr>
              <w:t>20</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2" w:history="1">
            <w:r w:rsidR="00237FF6" w:rsidRPr="004F35E1">
              <w:rPr>
                <w:rStyle w:val="Hyperlink"/>
                <w:noProof/>
              </w:rPr>
              <w:t>A.11</w:t>
            </w:r>
            <w:r w:rsidR="00237FF6">
              <w:rPr>
                <w:noProof/>
              </w:rPr>
              <w:tab/>
            </w:r>
            <w:r w:rsidR="00237FF6" w:rsidRPr="004F35E1">
              <w:rPr>
                <w:rStyle w:val="Hyperlink"/>
                <w:noProof/>
              </w:rPr>
              <w:t>Justification for Sensitive Questions</w:t>
            </w:r>
            <w:r w:rsidR="00237FF6">
              <w:rPr>
                <w:noProof/>
                <w:webHidden/>
              </w:rPr>
              <w:tab/>
            </w:r>
            <w:r w:rsidR="00237FF6">
              <w:rPr>
                <w:noProof/>
                <w:webHidden/>
              </w:rPr>
              <w:fldChar w:fldCharType="begin"/>
            </w:r>
            <w:r w:rsidR="00237FF6">
              <w:rPr>
                <w:noProof/>
                <w:webHidden/>
              </w:rPr>
              <w:instrText xml:space="preserve"> PAGEREF _Toc309647152 \h </w:instrText>
            </w:r>
            <w:r w:rsidR="00237FF6">
              <w:rPr>
                <w:noProof/>
                <w:webHidden/>
              </w:rPr>
            </w:r>
            <w:r w:rsidR="00237FF6">
              <w:rPr>
                <w:noProof/>
                <w:webHidden/>
              </w:rPr>
              <w:fldChar w:fldCharType="separate"/>
            </w:r>
            <w:r w:rsidR="007C7B4D">
              <w:rPr>
                <w:noProof/>
                <w:webHidden/>
              </w:rPr>
              <w:t>23</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3" w:history="1">
            <w:r w:rsidR="00237FF6" w:rsidRPr="004F35E1">
              <w:rPr>
                <w:rStyle w:val="Hyperlink"/>
                <w:noProof/>
              </w:rPr>
              <w:t>A.12</w:t>
            </w:r>
            <w:r w:rsidR="00237FF6">
              <w:rPr>
                <w:noProof/>
              </w:rPr>
              <w:tab/>
            </w:r>
            <w:r w:rsidR="00237FF6" w:rsidRPr="004F35E1">
              <w:rPr>
                <w:rStyle w:val="Hyperlink"/>
                <w:noProof/>
              </w:rPr>
              <w:t>Estimates of Annualized Burden Hours and Costs</w:t>
            </w:r>
            <w:r w:rsidR="00237FF6">
              <w:rPr>
                <w:noProof/>
                <w:webHidden/>
              </w:rPr>
              <w:tab/>
            </w:r>
            <w:r w:rsidR="00237FF6">
              <w:rPr>
                <w:noProof/>
                <w:webHidden/>
              </w:rPr>
              <w:fldChar w:fldCharType="begin"/>
            </w:r>
            <w:r w:rsidR="00237FF6">
              <w:rPr>
                <w:noProof/>
                <w:webHidden/>
              </w:rPr>
              <w:instrText xml:space="preserve"> PAGEREF _Toc309647153 \h </w:instrText>
            </w:r>
            <w:r w:rsidR="00237FF6">
              <w:rPr>
                <w:noProof/>
                <w:webHidden/>
              </w:rPr>
            </w:r>
            <w:r w:rsidR="00237FF6">
              <w:rPr>
                <w:noProof/>
                <w:webHidden/>
              </w:rPr>
              <w:fldChar w:fldCharType="separate"/>
            </w:r>
            <w:r w:rsidR="007C7B4D">
              <w:rPr>
                <w:noProof/>
                <w:webHidden/>
              </w:rPr>
              <w:t>24</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6" w:history="1">
            <w:r w:rsidR="00237FF6" w:rsidRPr="004F35E1">
              <w:rPr>
                <w:rStyle w:val="Hyperlink"/>
                <w:noProof/>
              </w:rPr>
              <w:t>A.13</w:t>
            </w:r>
            <w:r w:rsidR="00237FF6">
              <w:rPr>
                <w:noProof/>
              </w:rPr>
              <w:tab/>
            </w:r>
            <w:r w:rsidR="00237FF6" w:rsidRPr="004F35E1">
              <w:rPr>
                <w:rStyle w:val="Hyperlink"/>
                <w:noProof/>
              </w:rPr>
              <w:t>Estimates of Other Total Annual Cost Burden to Respondents or Record Keepers</w:t>
            </w:r>
            <w:r w:rsidR="00237FF6">
              <w:rPr>
                <w:noProof/>
                <w:webHidden/>
              </w:rPr>
              <w:tab/>
            </w:r>
            <w:r w:rsidR="00237FF6">
              <w:rPr>
                <w:noProof/>
                <w:webHidden/>
              </w:rPr>
              <w:fldChar w:fldCharType="begin"/>
            </w:r>
            <w:r w:rsidR="00237FF6">
              <w:rPr>
                <w:noProof/>
                <w:webHidden/>
              </w:rPr>
              <w:instrText xml:space="preserve"> PAGEREF _Toc309647156 \h </w:instrText>
            </w:r>
            <w:r w:rsidR="00237FF6">
              <w:rPr>
                <w:noProof/>
                <w:webHidden/>
              </w:rPr>
            </w:r>
            <w:r w:rsidR="00237FF6">
              <w:rPr>
                <w:noProof/>
                <w:webHidden/>
              </w:rPr>
              <w:fldChar w:fldCharType="separate"/>
            </w:r>
            <w:r w:rsidR="007C7B4D">
              <w:rPr>
                <w:noProof/>
                <w:webHidden/>
              </w:rPr>
              <w:t>26</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7" w:history="1">
            <w:r w:rsidR="00237FF6" w:rsidRPr="004F35E1">
              <w:rPr>
                <w:rStyle w:val="Hyperlink"/>
                <w:noProof/>
              </w:rPr>
              <w:t>A.14</w:t>
            </w:r>
            <w:r w:rsidR="00237FF6">
              <w:rPr>
                <w:noProof/>
              </w:rPr>
              <w:tab/>
            </w:r>
            <w:r w:rsidR="00237FF6" w:rsidRPr="004F35E1">
              <w:rPr>
                <w:rStyle w:val="Hyperlink"/>
                <w:noProof/>
              </w:rPr>
              <w:t>Annualized Cost to the Government</w:t>
            </w:r>
            <w:r w:rsidR="00237FF6">
              <w:rPr>
                <w:noProof/>
                <w:webHidden/>
              </w:rPr>
              <w:tab/>
            </w:r>
            <w:r w:rsidR="00237FF6">
              <w:rPr>
                <w:noProof/>
                <w:webHidden/>
              </w:rPr>
              <w:fldChar w:fldCharType="begin"/>
            </w:r>
            <w:r w:rsidR="00237FF6">
              <w:rPr>
                <w:noProof/>
                <w:webHidden/>
              </w:rPr>
              <w:instrText xml:space="preserve"> PAGEREF _Toc309647157 \h </w:instrText>
            </w:r>
            <w:r w:rsidR="00237FF6">
              <w:rPr>
                <w:noProof/>
                <w:webHidden/>
              </w:rPr>
            </w:r>
            <w:r w:rsidR="00237FF6">
              <w:rPr>
                <w:noProof/>
                <w:webHidden/>
              </w:rPr>
              <w:fldChar w:fldCharType="separate"/>
            </w:r>
            <w:r w:rsidR="007C7B4D">
              <w:rPr>
                <w:noProof/>
                <w:webHidden/>
              </w:rPr>
              <w:t>26</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8" w:history="1">
            <w:r w:rsidR="00237FF6" w:rsidRPr="004F35E1">
              <w:rPr>
                <w:rStyle w:val="Hyperlink"/>
                <w:noProof/>
              </w:rPr>
              <w:t>A.15</w:t>
            </w:r>
            <w:r w:rsidR="00237FF6">
              <w:rPr>
                <w:noProof/>
              </w:rPr>
              <w:tab/>
            </w:r>
            <w:r w:rsidR="00237FF6" w:rsidRPr="004F35E1">
              <w:rPr>
                <w:rStyle w:val="Hyperlink"/>
                <w:noProof/>
              </w:rPr>
              <w:t>Explanation for Program Changes or Adjustments</w:t>
            </w:r>
            <w:r w:rsidR="00237FF6">
              <w:rPr>
                <w:noProof/>
                <w:webHidden/>
              </w:rPr>
              <w:tab/>
            </w:r>
            <w:r w:rsidR="00237FF6">
              <w:rPr>
                <w:noProof/>
                <w:webHidden/>
              </w:rPr>
              <w:fldChar w:fldCharType="begin"/>
            </w:r>
            <w:r w:rsidR="00237FF6">
              <w:rPr>
                <w:noProof/>
                <w:webHidden/>
              </w:rPr>
              <w:instrText xml:space="preserve"> PAGEREF _Toc309647158 \h </w:instrText>
            </w:r>
            <w:r w:rsidR="00237FF6">
              <w:rPr>
                <w:noProof/>
                <w:webHidden/>
              </w:rPr>
            </w:r>
            <w:r w:rsidR="00237FF6">
              <w:rPr>
                <w:noProof/>
                <w:webHidden/>
              </w:rPr>
              <w:fldChar w:fldCharType="separate"/>
            </w:r>
            <w:r w:rsidR="007C7B4D">
              <w:rPr>
                <w:noProof/>
                <w:webHidden/>
              </w:rPr>
              <w:t>27</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59" w:history="1">
            <w:r w:rsidR="00237FF6" w:rsidRPr="004F35E1">
              <w:rPr>
                <w:rStyle w:val="Hyperlink"/>
                <w:noProof/>
              </w:rPr>
              <w:t>A.16</w:t>
            </w:r>
            <w:r w:rsidR="00237FF6">
              <w:rPr>
                <w:noProof/>
              </w:rPr>
              <w:tab/>
            </w:r>
            <w:r w:rsidR="00237FF6" w:rsidRPr="004F35E1">
              <w:rPr>
                <w:rStyle w:val="Hyperlink"/>
                <w:noProof/>
              </w:rPr>
              <w:t>Plans for Tabulation and Publication and Project Time Schedule</w:t>
            </w:r>
            <w:r w:rsidR="00237FF6">
              <w:rPr>
                <w:noProof/>
                <w:webHidden/>
              </w:rPr>
              <w:tab/>
            </w:r>
            <w:r w:rsidR="00237FF6">
              <w:rPr>
                <w:noProof/>
                <w:webHidden/>
              </w:rPr>
              <w:fldChar w:fldCharType="begin"/>
            </w:r>
            <w:r w:rsidR="00237FF6">
              <w:rPr>
                <w:noProof/>
                <w:webHidden/>
              </w:rPr>
              <w:instrText xml:space="preserve"> PAGEREF _Toc309647159 \h </w:instrText>
            </w:r>
            <w:r w:rsidR="00237FF6">
              <w:rPr>
                <w:noProof/>
                <w:webHidden/>
              </w:rPr>
            </w:r>
            <w:r w:rsidR="00237FF6">
              <w:rPr>
                <w:noProof/>
                <w:webHidden/>
              </w:rPr>
              <w:fldChar w:fldCharType="separate"/>
            </w:r>
            <w:r w:rsidR="007C7B4D">
              <w:rPr>
                <w:noProof/>
                <w:webHidden/>
              </w:rPr>
              <w:t>27</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60" w:history="1">
            <w:r w:rsidR="00237FF6" w:rsidRPr="004F35E1">
              <w:rPr>
                <w:rStyle w:val="Hyperlink"/>
                <w:noProof/>
              </w:rPr>
              <w:t>A.17</w:t>
            </w:r>
            <w:r w:rsidR="00237FF6">
              <w:rPr>
                <w:noProof/>
              </w:rPr>
              <w:tab/>
            </w:r>
            <w:r w:rsidR="00237FF6" w:rsidRPr="004F35E1">
              <w:rPr>
                <w:rStyle w:val="Hyperlink"/>
                <w:noProof/>
              </w:rPr>
              <w:t>Reason(s) Display of OMB Expiration Date is Inappropriate</w:t>
            </w:r>
            <w:r w:rsidR="00237FF6">
              <w:rPr>
                <w:noProof/>
                <w:webHidden/>
              </w:rPr>
              <w:tab/>
            </w:r>
            <w:r w:rsidR="00237FF6">
              <w:rPr>
                <w:noProof/>
                <w:webHidden/>
              </w:rPr>
              <w:fldChar w:fldCharType="begin"/>
            </w:r>
            <w:r w:rsidR="00237FF6">
              <w:rPr>
                <w:noProof/>
                <w:webHidden/>
              </w:rPr>
              <w:instrText xml:space="preserve"> PAGEREF _Toc309647160 \h </w:instrText>
            </w:r>
            <w:r w:rsidR="00237FF6">
              <w:rPr>
                <w:noProof/>
                <w:webHidden/>
              </w:rPr>
            </w:r>
            <w:r w:rsidR="00237FF6">
              <w:rPr>
                <w:noProof/>
                <w:webHidden/>
              </w:rPr>
              <w:fldChar w:fldCharType="separate"/>
            </w:r>
            <w:r w:rsidR="007C7B4D">
              <w:rPr>
                <w:noProof/>
                <w:webHidden/>
              </w:rPr>
              <w:t>28</w:t>
            </w:r>
            <w:r w:rsidR="00237FF6">
              <w:rPr>
                <w:noProof/>
                <w:webHidden/>
              </w:rPr>
              <w:fldChar w:fldCharType="end"/>
            </w:r>
          </w:hyperlink>
        </w:p>
        <w:p w:rsidR="00237FF6" w:rsidRDefault="001F3F7C">
          <w:pPr>
            <w:pStyle w:val="TOC2"/>
            <w:tabs>
              <w:tab w:val="left" w:pos="880"/>
              <w:tab w:val="right" w:leader="dot" w:pos="9350"/>
            </w:tabs>
            <w:rPr>
              <w:noProof/>
            </w:rPr>
          </w:pPr>
          <w:hyperlink w:anchor="_Toc309647161" w:history="1">
            <w:r w:rsidR="00237FF6" w:rsidRPr="004F35E1">
              <w:rPr>
                <w:rStyle w:val="Hyperlink"/>
                <w:noProof/>
              </w:rPr>
              <w:t>A.18</w:t>
            </w:r>
            <w:r w:rsidR="00237FF6">
              <w:rPr>
                <w:noProof/>
              </w:rPr>
              <w:tab/>
            </w:r>
            <w:r w:rsidR="00237FF6" w:rsidRPr="004F35E1">
              <w:rPr>
                <w:rStyle w:val="Hyperlink"/>
                <w:noProof/>
              </w:rPr>
              <w:t>Exceptions to Certification for Paperwork Reduction Act Submissions</w:t>
            </w:r>
            <w:r w:rsidR="00237FF6">
              <w:rPr>
                <w:noProof/>
                <w:webHidden/>
              </w:rPr>
              <w:tab/>
            </w:r>
            <w:r w:rsidR="00237FF6">
              <w:rPr>
                <w:noProof/>
                <w:webHidden/>
              </w:rPr>
              <w:fldChar w:fldCharType="begin"/>
            </w:r>
            <w:r w:rsidR="00237FF6">
              <w:rPr>
                <w:noProof/>
                <w:webHidden/>
              </w:rPr>
              <w:instrText xml:space="preserve"> PAGEREF _Toc309647161 \h </w:instrText>
            </w:r>
            <w:r w:rsidR="00237FF6">
              <w:rPr>
                <w:noProof/>
                <w:webHidden/>
              </w:rPr>
            </w:r>
            <w:r w:rsidR="00237FF6">
              <w:rPr>
                <w:noProof/>
                <w:webHidden/>
              </w:rPr>
              <w:fldChar w:fldCharType="separate"/>
            </w:r>
            <w:r w:rsidR="007C7B4D">
              <w:rPr>
                <w:noProof/>
                <w:webHidden/>
              </w:rPr>
              <w:t>28</w:t>
            </w:r>
            <w:r w:rsidR="00237FF6">
              <w:rPr>
                <w:noProof/>
                <w:webHidden/>
              </w:rPr>
              <w:fldChar w:fldCharType="end"/>
            </w:r>
          </w:hyperlink>
        </w:p>
        <w:p w:rsidR="00237FF6" w:rsidRDefault="001F3F7C">
          <w:pPr>
            <w:pStyle w:val="TOC1"/>
            <w:tabs>
              <w:tab w:val="right" w:leader="dot" w:pos="9350"/>
            </w:tabs>
            <w:rPr>
              <w:noProof/>
            </w:rPr>
          </w:pPr>
          <w:hyperlink w:anchor="_Toc309647162" w:history="1">
            <w:r w:rsidR="00237FF6" w:rsidRPr="004F35E1">
              <w:rPr>
                <w:rStyle w:val="Hyperlink"/>
                <w:noProof/>
              </w:rPr>
              <w:t>Works Cited</w:t>
            </w:r>
            <w:r w:rsidR="00237FF6">
              <w:rPr>
                <w:noProof/>
                <w:webHidden/>
              </w:rPr>
              <w:tab/>
            </w:r>
            <w:r w:rsidR="00237FF6">
              <w:rPr>
                <w:noProof/>
                <w:webHidden/>
              </w:rPr>
              <w:fldChar w:fldCharType="begin"/>
            </w:r>
            <w:r w:rsidR="00237FF6">
              <w:rPr>
                <w:noProof/>
                <w:webHidden/>
              </w:rPr>
              <w:instrText xml:space="preserve"> PAGEREF _Toc309647162 \h </w:instrText>
            </w:r>
            <w:r w:rsidR="00237FF6">
              <w:rPr>
                <w:noProof/>
                <w:webHidden/>
              </w:rPr>
            </w:r>
            <w:r w:rsidR="00237FF6">
              <w:rPr>
                <w:noProof/>
                <w:webHidden/>
              </w:rPr>
              <w:fldChar w:fldCharType="separate"/>
            </w:r>
            <w:r w:rsidR="007C7B4D">
              <w:rPr>
                <w:noProof/>
                <w:webHidden/>
              </w:rPr>
              <w:t>28</w:t>
            </w:r>
            <w:r w:rsidR="00237FF6">
              <w:rPr>
                <w:noProof/>
                <w:webHidden/>
              </w:rPr>
              <w:fldChar w:fldCharType="end"/>
            </w:r>
          </w:hyperlink>
        </w:p>
        <w:p w:rsidR="00CB0531" w:rsidRDefault="005A100A" w:rsidP="00CB6F40">
          <w:pPr>
            <w:tabs>
              <w:tab w:val="left" w:leader="dot" w:pos="9090"/>
            </w:tabs>
          </w:pPr>
          <w:r>
            <w:fldChar w:fldCharType="end"/>
          </w:r>
          <w:r w:rsidR="00237FF6">
            <w:t xml:space="preserve"> </w:t>
          </w:r>
        </w:p>
      </w:sdtContent>
    </w:sdt>
    <w:p w:rsidR="007742DD" w:rsidRPr="000F20D8" w:rsidRDefault="00084320" w:rsidP="007742DD">
      <w:pPr>
        <w:pStyle w:val="TOCHeading"/>
        <w:jc w:val="center"/>
        <w:rPr>
          <w:rFonts w:asciiTheme="minorHAnsi" w:hAnsiTheme="minorHAnsi"/>
        </w:rPr>
      </w:pPr>
      <w:r>
        <w:rPr>
          <w:b w:val="0"/>
          <w:sz w:val="24"/>
          <w:szCs w:val="24"/>
        </w:rPr>
        <w:br w:type="page"/>
      </w:r>
      <w:r w:rsidR="007742DD">
        <w:rPr>
          <w:rFonts w:asciiTheme="minorHAnsi" w:hAnsiTheme="minorHAnsi"/>
        </w:rPr>
        <w:lastRenderedPageBreak/>
        <w:t>List of Appendices</w:t>
      </w:r>
    </w:p>
    <w:p w:rsidR="007742DD" w:rsidRDefault="007742DD" w:rsidP="007742DD">
      <w:pPr>
        <w:rPr>
          <w:sz w:val="24"/>
          <w:szCs w:val="24"/>
        </w:rPr>
      </w:pPr>
    </w:p>
    <w:p w:rsidR="007742DD" w:rsidRPr="00317A3D" w:rsidRDefault="007742DD" w:rsidP="007742DD">
      <w:r w:rsidRPr="00317A3D">
        <w:rPr>
          <w:b/>
        </w:rPr>
        <w:t>Appendix A:</w:t>
      </w:r>
      <w:r w:rsidRPr="00317A3D">
        <w:t xml:space="preserve">  </w:t>
      </w:r>
      <w:r w:rsidRPr="002929F9">
        <w:t>Section 20(a)(1) of the Occupational Safety and Health Act (29 U.S.C. 669)</w:t>
      </w:r>
    </w:p>
    <w:p w:rsidR="007742DD" w:rsidRPr="00317A3D" w:rsidRDefault="007742DD" w:rsidP="007742DD">
      <w:r w:rsidRPr="00317A3D">
        <w:rPr>
          <w:b/>
        </w:rPr>
        <w:t>Appendix B:</w:t>
      </w:r>
      <w:r>
        <w:rPr>
          <w:b/>
        </w:rPr>
        <w:t xml:space="preserve"> </w:t>
      </w:r>
      <w:r w:rsidRPr="00317A3D">
        <w:t xml:space="preserve"> 60-day Federal Register Notice</w:t>
      </w:r>
    </w:p>
    <w:p w:rsidR="007742DD" w:rsidRDefault="007742DD" w:rsidP="007742DD">
      <w:r w:rsidRPr="00317A3D">
        <w:rPr>
          <w:b/>
        </w:rPr>
        <w:t>Appendix C:</w:t>
      </w:r>
      <w:r w:rsidRPr="00317A3D">
        <w:t xml:space="preserve"> </w:t>
      </w:r>
      <w:r>
        <w:t xml:space="preserve"> Pre-interview letter sent to potential respondents</w:t>
      </w:r>
    </w:p>
    <w:p w:rsidR="007742DD" w:rsidRDefault="007742DD" w:rsidP="007742DD">
      <w:r>
        <w:rPr>
          <w:b/>
        </w:rPr>
        <w:t>Appendix D:</w:t>
      </w:r>
      <w:r w:rsidR="00EF4AD1">
        <w:t xml:space="preserve">  Data collection instrument (B</w:t>
      </w:r>
      <w:r>
        <w:t>arriers to reporting questionnaire)</w:t>
      </w:r>
    </w:p>
    <w:p w:rsidR="00C85CF4" w:rsidRDefault="00C85CF4" w:rsidP="007742DD">
      <w:r w:rsidRPr="008F4CA4">
        <w:rPr>
          <w:b/>
        </w:rPr>
        <w:t>Appendix E:</w:t>
      </w:r>
      <w:r>
        <w:t xml:space="preserve"> Topical experts</w:t>
      </w:r>
    </w:p>
    <w:p w:rsidR="007742DD" w:rsidRDefault="007742DD" w:rsidP="007742DD">
      <w:r w:rsidRPr="00C14C2D">
        <w:rPr>
          <w:b/>
        </w:rPr>
        <w:t xml:space="preserve">Appendix </w:t>
      </w:r>
      <w:r w:rsidR="00C85CF4">
        <w:rPr>
          <w:b/>
        </w:rPr>
        <w:t>F</w:t>
      </w:r>
      <w:r w:rsidRPr="00C14C2D">
        <w:rPr>
          <w:b/>
        </w:rPr>
        <w:t>:</w:t>
      </w:r>
      <w:r>
        <w:t xml:space="preserve">  Notice of </w:t>
      </w:r>
      <w:r w:rsidR="00EF4AD1">
        <w:t>IRB</w:t>
      </w:r>
      <w:r>
        <w:t xml:space="preserve"> approval</w:t>
      </w:r>
    </w:p>
    <w:p w:rsidR="007742DD" w:rsidRDefault="007742DD">
      <w:pPr>
        <w:rPr>
          <w:b/>
          <w:sz w:val="24"/>
          <w:szCs w:val="24"/>
        </w:rPr>
      </w:pPr>
      <w:r>
        <w:rPr>
          <w:b/>
          <w:sz w:val="24"/>
          <w:szCs w:val="24"/>
        </w:rPr>
        <w:br w:type="page"/>
      </w:r>
    </w:p>
    <w:p w:rsidR="00CB0531" w:rsidRPr="00D2255B" w:rsidRDefault="00CB0531" w:rsidP="00CB0531">
      <w:pPr>
        <w:rPr>
          <w:b/>
        </w:rPr>
      </w:pPr>
      <w:r w:rsidRPr="00D2255B">
        <w:rPr>
          <w:b/>
          <w:sz w:val="24"/>
          <w:szCs w:val="24"/>
        </w:rPr>
        <w:lastRenderedPageBreak/>
        <w:t xml:space="preserve">A. </w:t>
      </w:r>
      <w:r w:rsidRPr="00D2255B">
        <w:rPr>
          <w:b/>
          <w:sz w:val="24"/>
          <w:szCs w:val="24"/>
        </w:rPr>
        <w:tab/>
        <w:t>Justification</w:t>
      </w:r>
    </w:p>
    <w:p w:rsidR="00CB0531" w:rsidRPr="00084320" w:rsidRDefault="00CB0531" w:rsidP="00CB0531">
      <w:pPr>
        <w:pStyle w:val="Heading2"/>
        <w:rPr>
          <w:rFonts w:asciiTheme="minorHAnsi" w:hAnsiTheme="minorHAnsi"/>
          <w:sz w:val="24"/>
          <w:szCs w:val="24"/>
        </w:rPr>
      </w:pPr>
      <w:bookmarkStart w:id="1" w:name="_Toc309647134"/>
      <w:r w:rsidRPr="00084320">
        <w:rPr>
          <w:rFonts w:asciiTheme="minorHAnsi" w:hAnsiTheme="minorHAnsi"/>
          <w:sz w:val="24"/>
          <w:szCs w:val="24"/>
        </w:rPr>
        <w:t xml:space="preserve">A.1. </w:t>
      </w:r>
      <w:r w:rsidRPr="00084320">
        <w:rPr>
          <w:rFonts w:asciiTheme="minorHAnsi" w:hAnsiTheme="minorHAnsi"/>
          <w:sz w:val="24"/>
          <w:szCs w:val="24"/>
        </w:rPr>
        <w:tab/>
        <w:t>Circumstances Making the Collection of Information Necessary</w:t>
      </w:r>
      <w:bookmarkEnd w:id="1"/>
    </w:p>
    <w:p w:rsidR="00CB0531" w:rsidRDefault="00CB0531" w:rsidP="00CB0531">
      <w:pPr>
        <w:pStyle w:val="Heading3"/>
        <w:rPr>
          <w:rFonts w:asciiTheme="minorHAnsi" w:hAnsiTheme="minorHAnsi"/>
          <w:sz w:val="24"/>
          <w:szCs w:val="24"/>
          <w:u w:val="single"/>
        </w:rPr>
      </w:pPr>
      <w:bookmarkStart w:id="2" w:name="_Toc309647135"/>
      <w:r w:rsidRPr="00237FF6">
        <w:rPr>
          <w:rFonts w:asciiTheme="minorHAnsi" w:hAnsiTheme="minorHAnsi"/>
          <w:sz w:val="24"/>
          <w:szCs w:val="24"/>
          <w:u w:val="single"/>
        </w:rPr>
        <w:t>Background</w:t>
      </w:r>
      <w:bookmarkEnd w:id="2"/>
    </w:p>
    <w:p w:rsidR="00144D9A" w:rsidRDefault="00144D9A" w:rsidP="00CB0531">
      <w:pPr>
        <w:spacing w:after="0"/>
        <w:ind w:firstLine="360"/>
        <w:rPr>
          <w:sz w:val="24"/>
          <w:szCs w:val="24"/>
        </w:rPr>
      </w:pPr>
    </w:p>
    <w:p w:rsidR="00CB7982" w:rsidRPr="00CB7982" w:rsidRDefault="00CB0531" w:rsidP="00CB7982">
      <w:pPr>
        <w:spacing w:after="0"/>
        <w:ind w:firstLine="360"/>
        <w:rPr>
          <w:sz w:val="24"/>
          <w:szCs w:val="24"/>
        </w:rPr>
      </w:pPr>
      <w:r w:rsidRPr="00E96552">
        <w:rPr>
          <w:sz w:val="24"/>
          <w:szCs w:val="24"/>
        </w:rPr>
        <w:t>This is a new Information Collection Request (ICR)</w:t>
      </w:r>
      <w:r w:rsidR="000934C9">
        <w:rPr>
          <w:sz w:val="24"/>
          <w:szCs w:val="24"/>
        </w:rPr>
        <w:t xml:space="preserve"> from the National Institute of Occupational Safety and Health (NIOSH), Centers for Disease Control and Prevention</w:t>
      </w:r>
      <w:r w:rsidRPr="00E96552">
        <w:rPr>
          <w:sz w:val="24"/>
          <w:szCs w:val="24"/>
        </w:rPr>
        <w:t>.</w:t>
      </w:r>
      <w:r w:rsidR="00CB7982">
        <w:rPr>
          <w:sz w:val="24"/>
          <w:szCs w:val="24"/>
        </w:rPr>
        <w:t xml:space="preserve"> </w:t>
      </w:r>
      <w:r w:rsidR="00CB7982" w:rsidRPr="00CB7982">
        <w:rPr>
          <w:sz w:val="24"/>
          <w:szCs w:val="24"/>
        </w:rPr>
        <w:t>We are requesting two years of OMB approval</w:t>
      </w:r>
      <w:r w:rsidR="00CB7982">
        <w:rPr>
          <w:sz w:val="24"/>
          <w:szCs w:val="24"/>
        </w:rPr>
        <w:t xml:space="preserve">. Data collection will occur over 12 months. However, a </w:t>
      </w:r>
      <w:r w:rsidR="00F378B1">
        <w:rPr>
          <w:sz w:val="24"/>
          <w:szCs w:val="24"/>
        </w:rPr>
        <w:t>two-year</w:t>
      </w:r>
      <w:r w:rsidR="00CB7982">
        <w:rPr>
          <w:sz w:val="24"/>
          <w:szCs w:val="24"/>
        </w:rPr>
        <w:t xml:space="preserve"> approval is needed to </w:t>
      </w:r>
      <w:r w:rsidR="00CB7982" w:rsidRPr="00CB7982">
        <w:rPr>
          <w:sz w:val="24"/>
          <w:szCs w:val="24"/>
        </w:rPr>
        <w:t xml:space="preserve">account for </w:t>
      </w:r>
      <w:r w:rsidR="00CB7982">
        <w:rPr>
          <w:sz w:val="24"/>
          <w:szCs w:val="24"/>
        </w:rPr>
        <w:t xml:space="preserve">interviewer training </w:t>
      </w:r>
      <w:r w:rsidR="00CB7982" w:rsidRPr="00CB7982">
        <w:rPr>
          <w:sz w:val="24"/>
          <w:szCs w:val="24"/>
        </w:rPr>
        <w:t xml:space="preserve">and </w:t>
      </w:r>
      <w:r w:rsidR="00CB7982">
        <w:rPr>
          <w:sz w:val="24"/>
          <w:szCs w:val="24"/>
        </w:rPr>
        <w:t xml:space="preserve">other </w:t>
      </w:r>
      <w:r w:rsidR="00CB7982" w:rsidRPr="00CB7982">
        <w:rPr>
          <w:sz w:val="24"/>
          <w:szCs w:val="24"/>
        </w:rPr>
        <w:t xml:space="preserve">potential </w:t>
      </w:r>
      <w:r w:rsidR="00CB7982">
        <w:rPr>
          <w:sz w:val="24"/>
          <w:szCs w:val="24"/>
        </w:rPr>
        <w:t xml:space="preserve">start-up </w:t>
      </w:r>
      <w:r w:rsidR="00CB7982" w:rsidRPr="00CB7982">
        <w:rPr>
          <w:sz w:val="24"/>
          <w:szCs w:val="24"/>
        </w:rPr>
        <w:t>delays.</w:t>
      </w:r>
    </w:p>
    <w:p w:rsidR="00CB0531" w:rsidRDefault="00CB0531" w:rsidP="00CB0531">
      <w:pPr>
        <w:autoSpaceDE w:val="0"/>
        <w:autoSpaceDN w:val="0"/>
        <w:adjustRightInd w:val="0"/>
        <w:spacing w:after="0"/>
        <w:ind w:firstLine="360"/>
        <w:rPr>
          <w:rFonts w:cs="Times New Roman"/>
          <w:sz w:val="24"/>
          <w:szCs w:val="24"/>
        </w:rPr>
      </w:pPr>
      <w:r w:rsidRPr="00677A7E">
        <w:rPr>
          <w:sz w:val="24"/>
          <w:szCs w:val="24"/>
        </w:rPr>
        <w:t xml:space="preserve">Each year about 5,400 workers die from a work-related injury and 4 million private industry workers report a nonfatal injury or illness. Some of those workers make up the 3.4 million workers treated in U.S. hospital emergency departments for a nonfatal injury or illness </w:t>
      </w:r>
      <w:sdt>
        <w:sdtPr>
          <w:rPr>
            <w:sz w:val="24"/>
            <w:szCs w:val="24"/>
          </w:rPr>
          <w:id w:val="116291824"/>
          <w:citation/>
        </w:sdtPr>
        <w:sdtEndPr/>
        <w:sdtContent>
          <w:r w:rsidR="005A100A">
            <w:rPr>
              <w:sz w:val="24"/>
              <w:szCs w:val="24"/>
            </w:rPr>
            <w:fldChar w:fldCharType="begin"/>
          </w:r>
          <w:r w:rsidR="00373F3A">
            <w:rPr>
              <w:sz w:val="24"/>
              <w:szCs w:val="24"/>
            </w:rPr>
            <w:instrText xml:space="preserve"> CITATION CDC11 \l 1033 </w:instrText>
          </w:r>
          <w:r w:rsidR="005A100A">
            <w:rPr>
              <w:sz w:val="24"/>
              <w:szCs w:val="24"/>
            </w:rPr>
            <w:fldChar w:fldCharType="separate"/>
          </w:r>
          <w:r w:rsidR="000D7B19" w:rsidRPr="000D7B19">
            <w:rPr>
              <w:noProof/>
              <w:sz w:val="24"/>
              <w:szCs w:val="24"/>
            </w:rPr>
            <w:t>(CDC 2011)</w:t>
          </w:r>
          <w:r w:rsidR="005A100A">
            <w:rPr>
              <w:sz w:val="24"/>
              <w:szCs w:val="24"/>
            </w:rPr>
            <w:fldChar w:fldCharType="end"/>
          </w:r>
        </w:sdtContent>
      </w:sdt>
      <w:r w:rsidRPr="00677A7E">
        <w:rPr>
          <w:sz w:val="24"/>
          <w:szCs w:val="24"/>
        </w:rPr>
        <w:t xml:space="preserve">. Although </w:t>
      </w:r>
      <w:r>
        <w:rPr>
          <w:sz w:val="24"/>
          <w:szCs w:val="24"/>
        </w:rPr>
        <w:t xml:space="preserve">studies indicate that </w:t>
      </w:r>
      <w:r w:rsidRPr="00677A7E">
        <w:rPr>
          <w:sz w:val="24"/>
          <w:szCs w:val="24"/>
        </w:rPr>
        <w:t xml:space="preserve">we have reduced the number of nonfatal injuries </w:t>
      </w:r>
      <w:r>
        <w:rPr>
          <w:sz w:val="24"/>
          <w:szCs w:val="24"/>
        </w:rPr>
        <w:t>in recent decades,</w:t>
      </w:r>
      <w:r w:rsidRPr="00677A7E">
        <w:rPr>
          <w:sz w:val="24"/>
          <w:szCs w:val="24"/>
        </w:rPr>
        <w:t xml:space="preserve"> there is continuing evidence that our nonfatal occupational surveillance significantly underreports workplace injuries.</w:t>
      </w:r>
      <w:r>
        <w:rPr>
          <w:rFonts w:cs="Times New Roman"/>
          <w:color w:val="000000"/>
          <w:sz w:val="24"/>
          <w:szCs w:val="24"/>
        </w:rPr>
        <w:t xml:space="preserve"> </w:t>
      </w:r>
      <w:r>
        <w:rPr>
          <w:bCs/>
          <w:sz w:val="24"/>
          <w:szCs w:val="24"/>
        </w:rPr>
        <w:t>This</w:t>
      </w:r>
      <w:r w:rsidRPr="00E96552">
        <w:rPr>
          <w:bCs/>
          <w:sz w:val="24"/>
          <w:szCs w:val="24"/>
        </w:rPr>
        <w:t xml:space="preserve"> </w:t>
      </w:r>
      <w:r>
        <w:rPr>
          <w:bCs/>
          <w:sz w:val="24"/>
          <w:szCs w:val="24"/>
        </w:rPr>
        <w:t xml:space="preserve">presumed </w:t>
      </w:r>
      <w:r w:rsidRPr="00E96552">
        <w:rPr>
          <w:bCs/>
          <w:sz w:val="24"/>
          <w:szCs w:val="24"/>
        </w:rPr>
        <w:t xml:space="preserve">undercount </w:t>
      </w:r>
      <w:r>
        <w:rPr>
          <w:bCs/>
          <w:sz w:val="24"/>
          <w:szCs w:val="24"/>
        </w:rPr>
        <w:t>potentially</w:t>
      </w:r>
      <w:r w:rsidRPr="00E96552">
        <w:rPr>
          <w:bCs/>
          <w:sz w:val="24"/>
          <w:szCs w:val="24"/>
        </w:rPr>
        <w:t xml:space="preserve"> </w:t>
      </w:r>
      <w:r>
        <w:rPr>
          <w:bCs/>
          <w:sz w:val="24"/>
          <w:szCs w:val="24"/>
        </w:rPr>
        <w:t xml:space="preserve">decreases </w:t>
      </w:r>
      <w:r w:rsidRPr="00E96552">
        <w:rPr>
          <w:bCs/>
          <w:sz w:val="24"/>
          <w:szCs w:val="24"/>
        </w:rPr>
        <w:t>health and safety funding because of a false sense of improvement</w:t>
      </w:r>
      <w:r>
        <w:rPr>
          <w:bCs/>
          <w:sz w:val="24"/>
          <w:szCs w:val="24"/>
        </w:rPr>
        <w:t xml:space="preserve"> in the occupational injury rates. It also increases the misdirection of scarce safety and health resources because</w:t>
      </w:r>
      <w:r w:rsidRPr="00E96552">
        <w:rPr>
          <w:bCs/>
          <w:sz w:val="24"/>
          <w:szCs w:val="24"/>
        </w:rPr>
        <w:t xml:space="preserve"> hazardous workplaces </w:t>
      </w:r>
      <w:r>
        <w:rPr>
          <w:bCs/>
          <w:sz w:val="24"/>
          <w:szCs w:val="24"/>
        </w:rPr>
        <w:t xml:space="preserve">cannot be </w:t>
      </w:r>
      <w:r w:rsidRPr="00E96552">
        <w:rPr>
          <w:bCs/>
          <w:sz w:val="24"/>
          <w:szCs w:val="24"/>
        </w:rPr>
        <w:t>appropriately assess</w:t>
      </w:r>
      <w:r>
        <w:rPr>
          <w:bCs/>
          <w:sz w:val="24"/>
          <w:szCs w:val="24"/>
        </w:rPr>
        <w:t>ed</w:t>
      </w:r>
      <w:r w:rsidRPr="00E96552">
        <w:rPr>
          <w:bCs/>
          <w:sz w:val="24"/>
          <w:szCs w:val="24"/>
        </w:rPr>
        <w:t xml:space="preserve"> and </w:t>
      </w:r>
      <w:r>
        <w:rPr>
          <w:bCs/>
          <w:sz w:val="24"/>
          <w:szCs w:val="24"/>
        </w:rPr>
        <w:t xml:space="preserve">intervention efforts cannot be properly </w:t>
      </w:r>
      <w:r w:rsidRPr="00E96552">
        <w:rPr>
          <w:bCs/>
          <w:sz w:val="24"/>
          <w:szCs w:val="24"/>
        </w:rPr>
        <w:t>target</w:t>
      </w:r>
      <w:r>
        <w:rPr>
          <w:bCs/>
          <w:sz w:val="24"/>
          <w:szCs w:val="24"/>
        </w:rPr>
        <w:t>ed</w:t>
      </w:r>
      <w:r w:rsidRPr="00E96552">
        <w:rPr>
          <w:bCs/>
          <w:sz w:val="24"/>
          <w:szCs w:val="24"/>
        </w:rPr>
        <w:t xml:space="preserve"> </w:t>
      </w:r>
      <w:r>
        <w:rPr>
          <w:bCs/>
          <w:sz w:val="24"/>
          <w:szCs w:val="24"/>
        </w:rPr>
        <w:t>or</w:t>
      </w:r>
      <w:r w:rsidRPr="00E96552">
        <w:rPr>
          <w:bCs/>
          <w:sz w:val="24"/>
          <w:szCs w:val="24"/>
        </w:rPr>
        <w:t xml:space="preserve"> evaluate</w:t>
      </w:r>
      <w:r>
        <w:rPr>
          <w:bCs/>
          <w:sz w:val="24"/>
          <w:szCs w:val="24"/>
        </w:rPr>
        <w:t>d</w:t>
      </w:r>
      <w:r w:rsidRPr="00E96552">
        <w:rPr>
          <w:bCs/>
          <w:sz w:val="24"/>
          <w:szCs w:val="24"/>
        </w:rPr>
        <w:t xml:space="preserve">. </w:t>
      </w:r>
      <w:r w:rsidRPr="00677A7E">
        <w:rPr>
          <w:rFonts w:cs="Times New Roman"/>
          <w:sz w:val="24"/>
          <w:szCs w:val="24"/>
        </w:rPr>
        <w:t xml:space="preserve">It is this basic need for reliable and comprehensive occupational injury surveillance that led to the 1987 National Academy of Science report </w:t>
      </w:r>
      <w:r w:rsidRPr="00677A7E">
        <w:rPr>
          <w:rFonts w:cs="Times New Roman"/>
          <w:i/>
          <w:iCs/>
          <w:sz w:val="24"/>
          <w:szCs w:val="24"/>
        </w:rPr>
        <w:t xml:space="preserve">Counting Injuries and Illnesses in the Workplace—Proposals for a Better System </w:t>
      </w:r>
      <w:r w:rsidR="000D7B19" w:rsidRPr="000D7B19">
        <w:rPr>
          <w:rFonts w:cs="Times New Roman"/>
          <w:noProof/>
          <w:sz w:val="24"/>
          <w:szCs w:val="24"/>
        </w:rPr>
        <w:t>(Pollack</w:t>
      </w:r>
      <w:r w:rsidR="00D10AB7">
        <w:rPr>
          <w:rFonts w:cs="Times New Roman"/>
          <w:noProof/>
          <w:sz w:val="24"/>
          <w:szCs w:val="24"/>
        </w:rPr>
        <w:t xml:space="preserve"> &amp; Keimig,</w:t>
      </w:r>
      <w:r w:rsidR="000D7B19" w:rsidRPr="000D7B19">
        <w:rPr>
          <w:rFonts w:cs="Times New Roman"/>
          <w:noProof/>
          <w:sz w:val="24"/>
          <w:szCs w:val="24"/>
        </w:rPr>
        <w:t xml:space="preserve"> 1987)</w:t>
      </w:r>
      <w:r w:rsidRPr="00677A7E">
        <w:rPr>
          <w:rFonts w:cs="Times New Roman"/>
          <w:sz w:val="24"/>
          <w:szCs w:val="24"/>
        </w:rPr>
        <w:t xml:space="preserve"> and the 2008 Congressional report </w:t>
      </w:r>
      <w:r w:rsidRPr="00242F10">
        <w:rPr>
          <w:rFonts w:cs="Times New Roman"/>
          <w:i/>
          <w:iCs/>
          <w:sz w:val="24"/>
          <w:szCs w:val="24"/>
        </w:rPr>
        <w:t xml:space="preserve">Hidden Tragedy: Underreporting of Workplace Injuries and Illnesses </w:t>
      </w:r>
      <w:r w:rsidR="000D7B19" w:rsidRPr="000D7B19">
        <w:rPr>
          <w:rFonts w:cs="Times New Roman"/>
          <w:noProof/>
          <w:sz w:val="24"/>
          <w:szCs w:val="24"/>
        </w:rPr>
        <w:t>(Committee on Education and Labor</w:t>
      </w:r>
      <w:r w:rsidR="00D10AB7">
        <w:rPr>
          <w:rFonts w:cs="Times New Roman"/>
          <w:noProof/>
          <w:sz w:val="24"/>
          <w:szCs w:val="24"/>
        </w:rPr>
        <w:t>,</w:t>
      </w:r>
      <w:r w:rsidR="000D7B19" w:rsidRPr="000D7B19">
        <w:rPr>
          <w:rFonts w:cs="Times New Roman"/>
          <w:noProof/>
          <w:sz w:val="24"/>
          <w:szCs w:val="24"/>
        </w:rPr>
        <w:t xml:space="preserve"> 2008)</w:t>
      </w:r>
      <w:r w:rsidRPr="00242F10">
        <w:rPr>
          <w:rFonts w:cs="Times New Roman"/>
          <w:sz w:val="24"/>
          <w:szCs w:val="24"/>
        </w:rPr>
        <w:t xml:space="preserve">. </w:t>
      </w:r>
    </w:p>
    <w:p w:rsidR="00CB0531" w:rsidRDefault="00CB0531" w:rsidP="00CB0531">
      <w:pPr>
        <w:autoSpaceDE w:val="0"/>
        <w:autoSpaceDN w:val="0"/>
        <w:adjustRightInd w:val="0"/>
        <w:spacing w:after="0"/>
        <w:ind w:firstLine="360"/>
        <w:rPr>
          <w:sz w:val="24"/>
          <w:szCs w:val="24"/>
          <w:lang w:eastAsia="ja-JP"/>
        </w:rPr>
      </w:pPr>
      <w:r w:rsidRPr="00242F10">
        <w:rPr>
          <w:rFonts w:cs="Times New Roman"/>
          <w:sz w:val="24"/>
          <w:szCs w:val="24"/>
        </w:rPr>
        <w:t>Our proposed research addresses two facets noted in these reports</w:t>
      </w:r>
      <w:r>
        <w:rPr>
          <w:rFonts w:cs="Times New Roman"/>
          <w:sz w:val="24"/>
          <w:szCs w:val="24"/>
        </w:rPr>
        <w:t>–</w:t>
      </w:r>
      <w:r w:rsidRPr="00242F10">
        <w:rPr>
          <w:rFonts w:cs="Times New Roman"/>
          <w:sz w:val="24"/>
          <w:szCs w:val="24"/>
        </w:rPr>
        <w:t>we must thoroughly understand</w:t>
      </w:r>
      <w:r>
        <w:rPr>
          <w:rFonts w:cs="Times New Roman"/>
          <w:sz w:val="24"/>
          <w:szCs w:val="24"/>
        </w:rPr>
        <w:t xml:space="preserve"> both</w:t>
      </w:r>
      <w:r w:rsidRPr="00242F10">
        <w:rPr>
          <w:rFonts w:cs="Times New Roman"/>
          <w:sz w:val="24"/>
          <w:szCs w:val="24"/>
        </w:rPr>
        <w:t xml:space="preserve"> barriers </w:t>
      </w:r>
      <w:r>
        <w:rPr>
          <w:rFonts w:cs="Times New Roman"/>
          <w:sz w:val="24"/>
          <w:szCs w:val="24"/>
        </w:rPr>
        <w:t xml:space="preserve">and incentives to reporting occupational injuries </w:t>
      </w:r>
      <w:r w:rsidRPr="00242F10">
        <w:rPr>
          <w:rFonts w:cs="Times New Roman"/>
          <w:sz w:val="24"/>
          <w:szCs w:val="24"/>
        </w:rPr>
        <w:t xml:space="preserve">and </w:t>
      </w:r>
      <w:r>
        <w:rPr>
          <w:rFonts w:cs="Times New Roman"/>
          <w:sz w:val="24"/>
          <w:szCs w:val="24"/>
        </w:rPr>
        <w:t xml:space="preserve">we must </w:t>
      </w:r>
      <w:r w:rsidRPr="00242F10">
        <w:rPr>
          <w:rFonts w:cs="Times New Roman"/>
          <w:sz w:val="24"/>
          <w:szCs w:val="24"/>
        </w:rPr>
        <w:t xml:space="preserve">use this knowledge to assess and improve our surveillance activities. </w:t>
      </w:r>
      <w:r>
        <w:rPr>
          <w:rFonts w:cs="Times New Roman"/>
          <w:sz w:val="24"/>
          <w:szCs w:val="24"/>
        </w:rPr>
        <w:t>In particular, o</w:t>
      </w:r>
      <w:r w:rsidRPr="00242F10">
        <w:rPr>
          <w:rFonts w:cs="Times New Roman"/>
          <w:sz w:val="24"/>
          <w:szCs w:val="24"/>
        </w:rPr>
        <w:t xml:space="preserve">ur proposed research offers access on a national </w:t>
      </w:r>
      <w:r>
        <w:rPr>
          <w:rFonts w:cs="Times New Roman"/>
          <w:sz w:val="24"/>
          <w:szCs w:val="24"/>
        </w:rPr>
        <w:t>level</w:t>
      </w:r>
      <w:r w:rsidRPr="00242F10">
        <w:rPr>
          <w:rFonts w:cs="Times New Roman"/>
          <w:sz w:val="24"/>
          <w:szCs w:val="24"/>
        </w:rPr>
        <w:t xml:space="preserve"> to workers’ perspectives on barriers to reporting in conjunction with </w:t>
      </w:r>
      <w:r w:rsidRPr="0044508B">
        <w:rPr>
          <w:rFonts w:cs="Times New Roman"/>
          <w:sz w:val="24"/>
          <w:szCs w:val="24"/>
        </w:rPr>
        <w:t>their recent reporting behavior</w:t>
      </w:r>
      <w:r>
        <w:rPr>
          <w:rFonts w:cs="Times New Roman"/>
          <w:sz w:val="24"/>
          <w:szCs w:val="24"/>
        </w:rPr>
        <w:t>. This information for a nationwide sample is not available elsewhere.</w:t>
      </w:r>
      <w:r w:rsidRPr="0044508B">
        <w:rPr>
          <w:rFonts w:cs="Times New Roman"/>
          <w:sz w:val="24"/>
          <w:szCs w:val="24"/>
        </w:rPr>
        <w:t xml:space="preserve"> </w:t>
      </w:r>
      <w:r w:rsidRPr="00E96552">
        <w:rPr>
          <w:bCs/>
          <w:sz w:val="24"/>
          <w:szCs w:val="24"/>
        </w:rPr>
        <w:t xml:space="preserve">Agencies responsible for occupational injury surveillance, </w:t>
      </w:r>
      <w:r>
        <w:rPr>
          <w:bCs/>
          <w:sz w:val="24"/>
          <w:szCs w:val="24"/>
        </w:rPr>
        <w:t>the National Institute for Occupational Safety and Health (</w:t>
      </w:r>
      <w:r w:rsidRPr="00E96552">
        <w:rPr>
          <w:bCs/>
          <w:sz w:val="24"/>
          <w:szCs w:val="24"/>
        </w:rPr>
        <w:t>NIOSH</w:t>
      </w:r>
      <w:r>
        <w:rPr>
          <w:bCs/>
          <w:sz w:val="24"/>
          <w:szCs w:val="24"/>
        </w:rPr>
        <w:t>)</w:t>
      </w:r>
      <w:r w:rsidRPr="00E96552">
        <w:rPr>
          <w:bCs/>
          <w:sz w:val="24"/>
          <w:szCs w:val="24"/>
        </w:rPr>
        <w:t xml:space="preserve"> in particular, will benefit from </w:t>
      </w:r>
      <w:r>
        <w:rPr>
          <w:bCs/>
          <w:sz w:val="24"/>
          <w:szCs w:val="24"/>
        </w:rPr>
        <w:t xml:space="preserve">an improved </w:t>
      </w:r>
      <w:r w:rsidRPr="00E96552">
        <w:rPr>
          <w:bCs/>
          <w:sz w:val="24"/>
          <w:szCs w:val="24"/>
        </w:rPr>
        <w:t>understanding of reporting behaviors</w:t>
      </w:r>
      <w:r>
        <w:rPr>
          <w:bCs/>
          <w:sz w:val="24"/>
          <w:szCs w:val="24"/>
        </w:rPr>
        <w:t xml:space="preserve"> obtained through the proposed project</w:t>
      </w:r>
      <w:r w:rsidRPr="00E96552">
        <w:rPr>
          <w:bCs/>
          <w:sz w:val="24"/>
          <w:szCs w:val="24"/>
        </w:rPr>
        <w:t>.</w:t>
      </w:r>
      <w:r w:rsidRPr="00E96552">
        <w:rPr>
          <w:sz w:val="24"/>
          <w:szCs w:val="24"/>
          <w:lang w:eastAsia="ja-JP"/>
        </w:rPr>
        <w:t xml:space="preserve"> </w:t>
      </w:r>
    </w:p>
    <w:p w:rsidR="00CB0531" w:rsidRDefault="00CB0531" w:rsidP="00CB0531">
      <w:pPr>
        <w:autoSpaceDE w:val="0"/>
        <w:autoSpaceDN w:val="0"/>
        <w:adjustRightInd w:val="0"/>
        <w:spacing w:after="0"/>
        <w:ind w:firstLine="360"/>
        <w:rPr>
          <w:rFonts w:cs="Times New Roman"/>
          <w:sz w:val="24"/>
          <w:szCs w:val="24"/>
        </w:rPr>
      </w:pPr>
      <w:r w:rsidRPr="00237FF6">
        <w:rPr>
          <w:rFonts w:cs="Times New Roman"/>
          <w:bCs/>
          <w:i/>
          <w:sz w:val="24"/>
          <w:szCs w:val="24"/>
          <w:u w:val="single"/>
        </w:rPr>
        <w:t>Overview of nonfatal occupational injury surveillance</w:t>
      </w:r>
      <w:r w:rsidRPr="00237FF6">
        <w:rPr>
          <w:rFonts w:cs="Times New Roman"/>
          <w:bCs/>
          <w:i/>
          <w:sz w:val="24"/>
          <w:szCs w:val="24"/>
        </w:rPr>
        <w:t>:</w:t>
      </w:r>
      <w:r w:rsidRPr="00242F10">
        <w:rPr>
          <w:rFonts w:cs="Times New Roman"/>
          <w:b/>
          <w:bCs/>
          <w:sz w:val="24"/>
          <w:szCs w:val="24"/>
        </w:rPr>
        <w:t xml:space="preserve"> </w:t>
      </w:r>
      <w:r w:rsidRPr="00242F10">
        <w:rPr>
          <w:rFonts w:cs="Times New Roman"/>
          <w:sz w:val="24"/>
          <w:szCs w:val="24"/>
        </w:rPr>
        <w:t xml:space="preserve">Two national surveillance systems focus on nonfatal occupational injuries: the </w:t>
      </w:r>
      <w:r w:rsidR="00E12F23">
        <w:rPr>
          <w:rFonts w:cs="Times New Roman"/>
          <w:sz w:val="24"/>
          <w:szCs w:val="24"/>
        </w:rPr>
        <w:t>Bureau of Labor Statistics (</w:t>
      </w:r>
      <w:r w:rsidRPr="00242F10">
        <w:rPr>
          <w:rFonts w:cs="Times New Roman"/>
          <w:sz w:val="24"/>
          <w:szCs w:val="24"/>
        </w:rPr>
        <w:t>BLS</w:t>
      </w:r>
      <w:r w:rsidR="00E12F23">
        <w:rPr>
          <w:rFonts w:cs="Times New Roman"/>
          <w:sz w:val="24"/>
          <w:szCs w:val="24"/>
        </w:rPr>
        <w:t>)</w:t>
      </w:r>
      <w:r w:rsidRPr="00242F10">
        <w:rPr>
          <w:rFonts w:cs="Times New Roman"/>
          <w:sz w:val="24"/>
          <w:szCs w:val="24"/>
        </w:rPr>
        <w:t xml:space="preserve"> Survey of Occupational Injuries and Illness</w:t>
      </w:r>
      <w:r w:rsidR="00E12F23">
        <w:rPr>
          <w:rFonts w:cs="Times New Roman"/>
          <w:sz w:val="24"/>
          <w:szCs w:val="24"/>
        </w:rPr>
        <w:t>es</w:t>
      </w:r>
      <w:r w:rsidRPr="00242F10">
        <w:rPr>
          <w:rFonts w:cs="Times New Roman"/>
          <w:sz w:val="24"/>
          <w:szCs w:val="24"/>
        </w:rPr>
        <w:t xml:space="preserve"> (SOII), commonly referred to as the “annual survey,” and the NIOSH National Electronic Injury Surveillance System—Work-Related Injury/Illness Supplement (NEISS-Work). The SOII is based on employer rep</w:t>
      </w:r>
      <w:r>
        <w:rPr>
          <w:rFonts w:cs="Times New Roman"/>
          <w:sz w:val="24"/>
          <w:szCs w:val="24"/>
        </w:rPr>
        <w:t xml:space="preserve">orting of work-related injuries </w:t>
      </w:r>
      <w:r w:rsidRPr="00242F10">
        <w:rPr>
          <w:rFonts w:cs="Times New Roman"/>
          <w:sz w:val="24"/>
          <w:szCs w:val="24"/>
        </w:rPr>
        <w:t xml:space="preserve">whereas NEISS-Work is primarily based on employee self-declaration </w:t>
      </w:r>
      <w:r>
        <w:rPr>
          <w:rFonts w:cs="Times New Roman"/>
          <w:sz w:val="24"/>
          <w:szCs w:val="24"/>
        </w:rPr>
        <w:t xml:space="preserve">of work-relatedness </w:t>
      </w:r>
      <w:r w:rsidRPr="00242F10">
        <w:rPr>
          <w:rFonts w:cs="Times New Roman"/>
          <w:sz w:val="24"/>
          <w:szCs w:val="24"/>
        </w:rPr>
        <w:t xml:space="preserve">at the time of </w:t>
      </w:r>
      <w:r w:rsidR="00E12F23">
        <w:rPr>
          <w:rFonts w:cs="Times New Roman"/>
          <w:sz w:val="24"/>
          <w:szCs w:val="24"/>
        </w:rPr>
        <w:t>emergency department (</w:t>
      </w:r>
      <w:r w:rsidRPr="00242F10">
        <w:rPr>
          <w:rFonts w:cs="Times New Roman"/>
          <w:sz w:val="24"/>
          <w:szCs w:val="24"/>
        </w:rPr>
        <w:t>ED</w:t>
      </w:r>
      <w:r w:rsidR="00E12F23">
        <w:rPr>
          <w:rFonts w:cs="Times New Roman"/>
          <w:sz w:val="24"/>
          <w:szCs w:val="24"/>
        </w:rPr>
        <w:t>)</w:t>
      </w:r>
      <w:r w:rsidRPr="00242F10">
        <w:rPr>
          <w:rFonts w:cs="Times New Roman"/>
          <w:sz w:val="24"/>
          <w:szCs w:val="24"/>
        </w:rPr>
        <w:t xml:space="preserve"> treatment. </w:t>
      </w:r>
    </w:p>
    <w:p w:rsidR="00CB0531" w:rsidRDefault="00CB0531" w:rsidP="00CB0531">
      <w:pPr>
        <w:autoSpaceDE w:val="0"/>
        <w:autoSpaceDN w:val="0"/>
        <w:adjustRightInd w:val="0"/>
        <w:spacing w:after="0"/>
        <w:ind w:firstLine="360"/>
        <w:rPr>
          <w:sz w:val="23"/>
          <w:szCs w:val="23"/>
          <w:u w:val="single"/>
        </w:rPr>
      </w:pPr>
      <w:r w:rsidRPr="0044508B">
        <w:rPr>
          <w:sz w:val="24"/>
          <w:szCs w:val="24"/>
          <w:u w:val="single"/>
        </w:rPr>
        <w:lastRenderedPageBreak/>
        <w:t xml:space="preserve">Employer-based reporting: </w:t>
      </w:r>
      <w:r w:rsidRPr="0044508B">
        <w:rPr>
          <w:sz w:val="24"/>
          <w:szCs w:val="24"/>
        </w:rPr>
        <w:t xml:space="preserve">The BLS SOII is an establishment survey </w:t>
      </w:r>
      <w:r>
        <w:rPr>
          <w:sz w:val="24"/>
          <w:szCs w:val="24"/>
        </w:rPr>
        <w:t>that depends on</w:t>
      </w:r>
      <w:r w:rsidRPr="0044508B">
        <w:rPr>
          <w:sz w:val="24"/>
          <w:szCs w:val="24"/>
        </w:rPr>
        <w:t xml:space="preserve"> employer reporting of workplace injuries and illnesses based on Occupational Safety and Health Administration (OSHA) recordkeeping rules </w:t>
      </w:r>
      <w:sdt>
        <w:sdtPr>
          <w:rPr>
            <w:sz w:val="24"/>
            <w:szCs w:val="24"/>
          </w:rPr>
          <w:id w:val="116291821"/>
          <w:citation/>
        </w:sdtPr>
        <w:sdtEndPr/>
        <w:sdtContent>
          <w:r w:rsidR="005A100A">
            <w:rPr>
              <w:sz w:val="24"/>
              <w:szCs w:val="24"/>
            </w:rPr>
            <w:fldChar w:fldCharType="begin"/>
          </w:r>
          <w:r w:rsidR="00A57DD0">
            <w:rPr>
              <w:sz w:val="24"/>
              <w:szCs w:val="24"/>
            </w:rPr>
            <w:instrText xml:space="preserve"> CITATION Rus08 \l 1033 </w:instrText>
          </w:r>
          <w:r w:rsidR="005A100A">
            <w:rPr>
              <w:sz w:val="24"/>
              <w:szCs w:val="24"/>
            </w:rPr>
            <w:fldChar w:fldCharType="separate"/>
          </w:r>
          <w:r w:rsidR="000D7B19" w:rsidRPr="000D7B19">
            <w:rPr>
              <w:noProof/>
              <w:sz w:val="24"/>
              <w:szCs w:val="24"/>
            </w:rPr>
            <w:t>(Ruser 2008)</w:t>
          </w:r>
          <w:r w:rsidR="005A100A">
            <w:rPr>
              <w:sz w:val="24"/>
              <w:szCs w:val="24"/>
            </w:rPr>
            <w:fldChar w:fldCharType="end"/>
          </w:r>
        </w:sdtContent>
      </w:sdt>
      <w:r w:rsidRPr="0044508B">
        <w:rPr>
          <w:sz w:val="24"/>
          <w:szCs w:val="24"/>
        </w:rPr>
        <w:t xml:space="preserve">. Each of the selected employers in the sample (176,000 establishments) reports information from their OSHA injury and illness logs and their labor force characteristics </w:t>
      </w:r>
      <w:sdt>
        <w:sdtPr>
          <w:rPr>
            <w:sz w:val="24"/>
            <w:szCs w:val="24"/>
          </w:rPr>
          <w:id w:val="116291822"/>
          <w:citation/>
        </w:sdtPr>
        <w:sdtEndPr/>
        <w:sdtContent>
          <w:r w:rsidR="005A100A">
            <w:rPr>
              <w:sz w:val="24"/>
              <w:szCs w:val="24"/>
            </w:rPr>
            <w:fldChar w:fldCharType="begin"/>
          </w:r>
          <w:r w:rsidR="00A57DD0">
            <w:rPr>
              <w:sz w:val="24"/>
              <w:szCs w:val="24"/>
            </w:rPr>
            <w:instrText xml:space="preserve"> CITATION Rus08 \l 1033 </w:instrText>
          </w:r>
          <w:r w:rsidR="005A100A">
            <w:rPr>
              <w:sz w:val="24"/>
              <w:szCs w:val="24"/>
            </w:rPr>
            <w:fldChar w:fldCharType="separate"/>
          </w:r>
          <w:r w:rsidR="000D7B19" w:rsidRPr="000D7B19">
            <w:rPr>
              <w:noProof/>
              <w:sz w:val="24"/>
              <w:szCs w:val="24"/>
            </w:rPr>
            <w:t>(Ruser 2008)</w:t>
          </w:r>
          <w:r w:rsidR="005A100A">
            <w:rPr>
              <w:sz w:val="24"/>
              <w:szCs w:val="24"/>
            </w:rPr>
            <w:fldChar w:fldCharType="end"/>
          </w:r>
        </w:sdtContent>
      </w:sdt>
      <w:r w:rsidRPr="0044508B">
        <w:rPr>
          <w:sz w:val="24"/>
          <w:szCs w:val="24"/>
        </w:rPr>
        <w:t xml:space="preserve">. </w:t>
      </w:r>
      <w:r>
        <w:rPr>
          <w:sz w:val="24"/>
          <w:szCs w:val="24"/>
        </w:rPr>
        <w:t>T</w:t>
      </w:r>
      <w:r w:rsidRPr="0044508B">
        <w:rPr>
          <w:sz w:val="24"/>
          <w:szCs w:val="24"/>
        </w:rPr>
        <w:t xml:space="preserve">he survey </w:t>
      </w:r>
      <w:r>
        <w:rPr>
          <w:sz w:val="24"/>
          <w:szCs w:val="24"/>
        </w:rPr>
        <w:t>currently excludes f</w:t>
      </w:r>
      <w:r w:rsidRPr="0044508B">
        <w:rPr>
          <w:sz w:val="24"/>
          <w:szCs w:val="24"/>
        </w:rPr>
        <w:t>ederal</w:t>
      </w:r>
      <w:r>
        <w:rPr>
          <w:sz w:val="24"/>
          <w:szCs w:val="24"/>
        </w:rPr>
        <w:t xml:space="preserve"> workers, the</w:t>
      </w:r>
      <w:r w:rsidRPr="0044508B">
        <w:rPr>
          <w:sz w:val="24"/>
          <w:szCs w:val="24"/>
        </w:rPr>
        <w:t xml:space="preserve"> self-employed, private household workers, and workers on farms with fewer than 11 employees. These worker exclusions </w:t>
      </w:r>
      <w:r>
        <w:rPr>
          <w:sz w:val="24"/>
          <w:szCs w:val="24"/>
        </w:rPr>
        <w:t>result</w:t>
      </w:r>
      <w:r w:rsidRPr="0044508B">
        <w:rPr>
          <w:sz w:val="24"/>
          <w:szCs w:val="24"/>
        </w:rPr>
        <w:t xml:space="preserve"> in injuries and illnesses among more than 22% of U.S. workers not being counted </w:t>
      </w:r>
      <w:sdt>
        <w:sdtPr>
          <w:rPr>
            <w:sz w:val="24"/>
            <w:szCs w:val="24"/>
          </w:rPr>
          <w:id w:val="116291834"/>
          <w:citation/>
        </w:sdtPr>
        <w:sdtEndPr/>
        <w:sdtContent>
          <w:r w:rsidR="005A100A">
            <w:rPr>
              <w:sz w:val="24"/>
              <w:szCs w:val="24"/>
            </w:rPr>
            <w:fldChar w:fldCharType="begin"/>
          </w:r>
          <w:r w:rsidR="00DB0E76">
            <w:rPr>
              <w:sz w:val="24"/>
              <w:szCs w:val="24"/>
            </w:rPr>
            <w:instrText xml:space="preserve"> CITATION Bur06 \l 1033 </w:instrText>
          </w:r>
          <w:r w:rsidR="005A100A">
            <w:rPr>
              <w:sz w:val="24"/>
              <w:szCs w:val="24"/>
            </w:rPr>
            <w:fldChar w:fldCharType="separate"/>
          </w:r>
          <w:r w:rsidR="000D7B19" w:rsidRPr="000D7B19">
            <w:rPr>
              <w:noProof/>
              <w:sz w:val="24"/>
              <w:szCs w:val="24"/>
            </w:rPr>
            <w:t>(Bureau of Labor Statistics 2006)</w:t>
          </w:r>
          <w:r w:rsidR="005A100A">
            <w:rPr>
              <w:sz w:val="24"/>
              <w:szCs w:val="24"/>
            </w:rPr>
            <w:fldChar w:fldCharType="end"/>
          </w:r>
        </w:sdtContent>
      </w:sdt>
      <w:r w:rsidRPr="0044508B">
        <w:rPr>
          <w:sz w:val="24"/>
          <w:szCs w:val="24"/>
        </w:rPr>
        <w:t xml:space="preserve">. </w:t>
      </w:r>
      <w:r>
        <w:rPr>
          <w:sz w:val="24"/>
          <w:szCs w:val="24"/>
        </w:rPr>
        <w:t>Overall, research suggests that SOII may undercount injuries and illnesses by as much as 70%</w:t>
      </w:r>
      <w:r w:rsidR="000D7B19">
        <w:rPr>
          <w:sz w:val="24"/>
          <w:szCs w:val="24"/>
        </w:rPr>
        <w:t xml:space="preserve"> </w:t>
      </w:r>
      <w:r>
        <w:rPr>
          <w:sz w:val="24"/>
          <w:szCs w:val="24"/>
        </w:rPr>
        <w:t>(Boden &amp; Ozonoff, 2008; Glazner et al., 1998; Jackson, 2001; Leigh, Marcin, &amp; Miller, 2004; Rosenman et al., 2008).</w:t>
      </w:r>
      <w:r w:rsidRPr="0044508B">
        <w:rPr>
          <w:sz w:val="23"/>
          <w:szCs w:val="23"/>
          <w:u w:val="single"/>
        </w:rPr>
        <w:t xml:space="preserve"> </w:t>
      </w:r>
    </w:p>
    <w:p w:rsidR="00CB0531" w:rsidRPr="006B1384" w:rsidRDefault="00CB0531" w:rsidP="00CB0531">
      <w:pPr>
        <w:autoSpaceDE w:val="0"/>
        <w:autoSpaceDN w:val="0"/>
        <w:adjustRightInd w:val="0"/>
        <w:spacing w:after="0"/>
        <w:ind w:firstLine="360"/>
        <w:rPr>
          <w:rFonts w:cs="Times New Roman"/>
          <w:sz w:val="24"/>
          <w:szCs w:val="24"/>
        </w:rPr>
      </w:pPr>
      <w:r w:rsidRPr="0044508B">
        <w:rPr>
          <w:sz w:val="24"/>
          <w:szCs w:val="24"/>
          <w:u w:val="single"/>
        </w:rPr>
        <w:t xml:space="preserve">Worker-based reporting: </w:t>
      </w:r>
      <w:r w:rsidRPr="0044508B">
        <w:rPr>
          <w:sz w:val="24"/>
          <w:szCs w:val="24"/>
        </w:rPr>
        <w:t xml:space="preserve">At the time of medical treatment, workers may self-declare their injury/illness to be work-related, independent of employer confirmation or workers’ compensation </w:t>
      </w:r>
      <w:r>
        <w:rPr>
          <w:sz w:val="24"/>
          <w:szCs w:val="24"/>
        </w:rPr>
        <w:t>coverage</w:t>
      </w:r>
      <w:r w:rsidRPr="0044508B">
        <w:rPr>
          <w:sz w:val="24"/>
          <w:szCs w:val="24"/>
        </w:rPr>
        <w:t xml:space="preserve">. It is this self-declaration and/or potential work-related recognition by the attending physician at the time of ED treatment on which NEISS-Work is based. NEISS-Work uses a </w:t>
      </w:r>
      <w:r w:rsidR="00B729B9">
        <w:rPr>
          <w:sz w:val="24"/>
          <w:szCs w:val="24"/>
        </w:rPr>
        <w:t>statistically valid</w:t>
      </w:r>
      <w:r w:rsidR="001B2773">
        <w:rPr>
          <w:sz w:val="24"/>
          <w:szCs w:val="24"/>
        </w:rPr>
        <w:t>,</w:t>
      </w:r>
      <w:r w:rsidR="00B729B9">
        <w:rPr>
          <w:sz w:val="24"/>
          <w:szCs w:val="24"/>
        </w:rPr>
        <w:t xml:space="preserve"> </w:t>
      </w:r>
      <w:r w:rsidRPr="0044508B">
        <w:rPr>
          <w:sz w:val="24"/>
          <w:szCs w:val="24"/>
        </w:rPr>
        <w:t xml:space="preserve">national stratified probability sample of </w:t>
      </w:r>
      <w:r>
        <w:rPr>
          <w:sz w:val="24"/>
          <w:szCs w:val="24"/>
        </w:rPr>
        <w:t>6</w:t>
      </w:r>
      <w:r w:rsidR="00E12F23">
        <w:rPr>
          <w:sz w:val="24"/>
          <w:szCs w:val="24"/>
        </w:rPr>
        <w:t>7</w:t>
      </w:r>
      <w:r w:rsidRPr="0044508B">
        <w:rPr>
          <w:sz w:val="24"/>
          <w:szCs w:val="24"/>
        </w:rPr>
        <w:t xml:space="preserve"> U.S. hospitals with 24-hour EDs.</w:t>
      </w:r>
      <w:r w:rsidR="00E12F23">
        <w:rPr>
          <w:rStyle w:val="FootnoteReference"/>
          <w:sz w:val="24"/>
          <w:szCs w:val="24"/>
        </w:rPr>
        <w:footnoteReference w:id="1"/>
      </w:r>
      <w:r w:rsidRPr="0044508B">
        <w:rPr>
          <w:sz w:val="24"/>
          <w:szCs w:val="24"/>
        </w:rPr>
        <w:t xml:space="preserve"> In NEISS-Work, work-related injuries</w:t>
      </w:r>
      <w:r>
        <w:rPr>
          <w:sz w:val="24"/>
          <w:szCs w:val="24"/>
        </w:rPr>
        <w:t xml:space="preserve"> and </w:t>
      </w:r>
      <w:r w:rsidRPr="0044508B">
        <w:rPr>
          <w:sz w:val="24"/>
          <w:szCs w:val="24"/>
        </w:rPr>
        <w:t xml:space="preserve">illnesses are identified from ED chart review (an indirect form of worker-based reporting). A case is defined as work related if the injury or illness was sustained by a civilian non-institutionalized worker while working for pay or other compensation, working on a farm, or volunteering for an organization (e.g., volunteer fire department), without regard to self-employment and full- or part-time work </w:t>
      </w:r>
      <w:r>
        <w:rPr>
          <w:sz w:val="24"/>
          <w:szCs w:val="24"/>
        </w:rPr>
        <w:t>(Derk, Marsh, &amp; Jackson, 2007; Jackson, 2001)</w:t>
      </w:r>
      <w:r w:rsidRPr="0044508B">
        <w:rPr>
          <w:sz w:val="24"/>
          <w:szCs w:val="24"/>
        </w:rPr>
        <w:t xml:space="preserve">. NIOSH uses the OSHA recordkeeping rules as guidelines for identifying specific injuries and illnesses for inclusion. NEISS-Work is only able to produce estimates for injuries/illnesses that were treated in an </w:t>
      </w:r>
      <w:r>
        <w:rPr>
          <w:sz w:val="24"/>
          <w:szCs w:val="24"/>
        </w:rPr>
        <w:t>ED</w:t>
      </w:r>
      <w:r w:rsidRPr="0044508B">
        <w:rPr>
          <w:sz w:val="24"/>
          <w:szCs w:val="24"/>
        </w:rPr>
        <w:t xml:space="preserve">; and only for those cases where there was sufficient information in the medical record to identify a work relationship. Current national estimates of ED </w:t>
      </w:r>
      <w:r>
        <w:rPr>
          <w:sz w:val="24"/>
          <w:szCs w:val="24"/>
        </w:rPr>
        <w:t xml:space="preserve">versus other medical venue </w:t>
      </w:r>
      <w:r w:rsidRPr="0044508B">
        <w:rPr>
          <w:sz w:val="24"/>
          <w:szCs w:val="24"/>
        </w:rPr>
        <w:t xml:space="preserve">usage by </w:t>
      </w:r>
      <w:r>
        <w:rPr>
          <w:sz w:val="24"/>
          <w:szCs w:val="24"/>
        </w:rPr>
        <w:t xml:space="preserve">injured or ill </w:t>
      </w:r>
      <w:r w:rsidRPr="0044508B">
        <w:rPr>
          <w:sz w:val="24"/>
          <w:szCs w:val="24"/>
        </w:rPr>
        <w:t xml:space="preserve">workers are not available, but prior research has indicated that about one third of </w:t>
      </w:r>
      <w:r w:rsidRPr="006B1384">
        <w:rPr>
          <w:sz w:val="24"/>
          <w:szCs w:val="24"/>
        </w:rPr>
        <w:t xml:space="preserve">all medically treated occupational injuries and illnesses are treated in an ED </w:t>
      </w:r>
      <w:r>
        <w:rPr>
          <w:sz w:val="24"/>
          <w:szCs w:val="24"/>
        </w:rPr>
        <w:t>(Derk, Marsh, &amp; Jackson, 2007; Jackson, 2001; “Surveillance for nonfatal,” 1998)</w:t>
      </w:r>
      <w:r w:rsidRPr="006B1384">
        <w:rPr>
          <w:sz w:val="24"/>
          <w:szCs w:val="24"/>
        </w:rPr>
        <w:t>.</w:t>
      </w:r>
    </w:p>
    <w:p w:rsidR="00CB0531" w:rsidRPr="00AD0C40" w:rsidRDefault="00CB0531" w:rsidP="00CB0531">
      <w:pPr>
        <w:autoSpaceDE w:val="0"/>
        <w:autoSpaceDN w:val="0"/>
        <w:adjustRightInd w:val="0"/>
        <w:spacing w:after="0"/>
        <w:ind w:firstLine="360"/>
        <w:rPr>
          <w:sz w:val="24"/>
          <w:szCs w:val="24"/>
        </w:rPr>
      </w:pPr>
      <w:r w:rsidRPr="00237FF6">
        <w:rPr>
          <w:bCs/>
          <w:i/>
          <w:sz w:val="24"/>
          <w:szCs w:val="24"/>
          <w:u w:val="single"/>
        </w:rPr>
        <w:t>Occupational injury and illness reporting issues</w:t>
      </w:r>
      <w:r w:rsidRPr="00237FF6">
        <w:rPr>
          <w:bCs/>
          <w:i/>
          <w:sz w:val="24"/>
          <w:szCs w:val="24"/>
        </w:rPr>
        <w:t>:</w:t>
      </w:r>
      <w:r w:rsidRPr="006B1384">
        <w:rPr>
          <w:b/>
          <w:bCs/>
          <w:sz w:val="24"/>
          <w:szCs w:val="24"/>
        </w:rPr>
        <w:t xml:space="preserve"> </w:t>
      </w:r>
      <w:r>
        <w:rPr>
          <w:sz w:val="24"/>
          <w:szCs w:val="24"/>
        </w:rPr>
        <w:t>As can be seen above, s</w:t>
      </w:r>
      <w:r w:rsidRPr="006B1384">
        <w:rPr>
          <w:sz w:val="24"/>
          <w:szCs w:val="24"/>
        </w:rPr>
        <w:t xml:space="preserve">urveillance data systems are intrinsically defined by their case definitions, the nature and representativeness of their data sources, and the extent of their inclusivity for a given population. The practicality of conducting surveillance; limitations in available data, access to data, legal basis for collecting data, </w:t>
      </w:r>
      <w:r>
        <w:rPr>
          <w:sz w:val="24"/>
          <w:szCs w:val="24"/>
        </w:rPr>
        <w:t xml:space="preserve">and </w:t>
      </w:r>
      <w:r w:rsidRPr="006B1384">
        <w:rPr>
          <w:sz w:val="24"/>
          <w:szCs w:val="24"/>
        </w:rPr>
        <w:t xml:space="preserve">fiscal resources; various incentives and disincentives to reporting; and a myriad of other factors significantly influence the quality and representativeness of any surveillance system. Issues with the reporting of occupational injury and illness have been noted for a century. Most recent critiques of nonfatal occupational injury and illness surveillance in the U.S. have continued to focus on </w:t>
      </w:r>
      <w:r>
        <w:rPr>
          <w:sz w:val="24"/>
          <w:szCs w:val="24"/>
        </w:rPr>
        <w:t>the</w:t>
      </w:r>
      <w:r w:rsidRPr="006B1384">
        <w:rPr>
          <w:sz w:val="24"/>
          <w:szCs w:val="24"/>
        </w:rPr>
        <w:t xml:space="preserve"> lack of inclusivity </w:t>
      </w:r>
      <w:r>
        <w:rPr>
          <w:sz w:val="24"/>
          <w:szCs w:val="24"/>
        </w:rPr>
        <w:t xml:space="preserve">of all worker types. Numerous other reasons for underreporting have been studied as well. Azaroff, Levenstein, and Wegman (2002), </w:t>
      </w:r>
      <w:r w:rsidRPr="0036700E">
        <w:rPr>
          <w:sz w:val="24"/>
          <w:szCs w:val="24"/>
        </w:rPr>
        <w:lastRenderedPageBreak/>
        <w:t xml:space="preserve">summarized scores of studies and created a conceptual framework </w:t>
      </w:r>
      <w:r>
        <w:rPr>
          <w:sz w:val="24"/>
          <w:szCs w:val="24"/>
        </w:rPr>
        <w:t>of</w:t>
      </w:r>
      <w:r w:rsidRPr="0036700E">
        <w:rPr>
          <w:sz w:val="24"/>
          <w:szCs w:val="24"/>
        </w:rPr>
        <w:t xml:space="preserve"> the filters to reporting. </w:t>
      </w:r>
      <w:r>
        <w:rPr>
          <w:sz w:val="24"/>
          <w:szCs w:val="24"/>
        </w:rPr>
        <w:t>These include failure on the part of the employee to recognize an injury as work-related, disincentives to reporting injuries on OSHA logs for employers, and disincentives for employees to report workplace injuries to their supervisors and/or health care providers. Evidence that employees do not always report their occupational injuries to supervisors was found when t</w:t>
      </w:r>
      <w:r w:rsidRPr="0036700E">
        <w:rPr>
          <w:sz w:val="24"/>
          <w:szCs w:val="24"/>
        </w:rPr>
        <w:t xml:space="preserve">he BLS </w:t>
      </w:r>
      <w:r>
        <w:rPr>
          <w:sz w:val="24"/>
          <w:szCs w:val="24"/>
        </w:rPr>
        <w:t>investigated</w:t>
      </w:r>
      <w:r w:rsidRPr="0036700E">
        <w:rPr>
          <w:sz w:val="24"/>
          <w:szCs w:val="24"/>
        </w:rPr>
        <w:t xml:space="preserve"> the SOII survey process and found that employers were providing </w:t>
      </w:r>
      <w:r>
        <w:rPr>
          <w:sz w:val="24"/>
          <w:szCs w:val="24"/>
        </w:rPr>
        <w:t xml:space="preserve">accurate </w:t>
      </w:r>
      <w:r w:rsidRPr="0036700E">
        <w:rPr>
          <w:sz w:val="24"/>
          <w:szCs w:val="24"/>
        </w:rPr>
        <w:t xml:space="preserve">OSHA log information to the BLS </w:t>
      </w:r>
      <w:sdt>
        <w:sdtPr>
          <w:rPr>
            <w:sz w:val="24"/>
            <w:szCs w:val="24"/>
          </w:rPr>
          <w:id w:val="116291823"/>
          <w:citation/>
        </w:sdtPr>
        <w:sdtEndPr/>
        <w:sdtContent>
          <w:r w:rsidR="005A100A">
            <w:rPr>
              <w:sz w:val="24"/>
              <w:szCs w:val="24"/>
            </w:rPr>
            <w:fldChar w:fldCharType="begin"/>
          </w:r>
          <w:r w:rsidR="00A57DD0">
            <w:rPr>
              <w:sz w:val="24"/>
              <w:szCs w:val="24"/>
            </w:rPr>
            <w:instrText xml:space="preserve"> CITATION Rus08 \l 1033 </w:instrText>
          </w:r>
          <w:r w:rsidR="005A100A">
            <w:rPr>
              <w:sz w:val="24"/>
              <w:szCs w:val="24"/>
            </w:rPr>
            <w:fldChar w:fldCharType="separate"/>
          </w:r>
          <w:r w:rsidR="000D7B19" w:rsidRPr="000D7B19">
            <w:rPr>
              <w:noProof/>
              <w:sz w:val="24"/>
              <w:szCs w:val="24"/>
            </w:rPr>
            <w:t>(Ruser 2008)</w:t>
          </w:r>
          <w:r w:rsidR="005A100A">
            <w:rPr>
              <w:sz w:val="24"/>
              <w:szCs w:val="24"/>
            </w:rPr>
            <w:fldChar w:fldCharType="end"/>
          </w:r>
        </w:sdtContent>
      </w:sdt>
      <w:r w:rsidRPr="0036700E">
        <w:rPr>
          <w:sz w:val="24"/>
          <w:szCs w:val="24"/>
        </w:rPr>
        <w:t xml:space="preserve">. Similarly, OSHA </w:t>
      </w:r>
      <w:r w:rsidRPr="00AD0C40">
        <w:rPr>
          <w:sz w:val="24"/>
          <w:szCs w:val="24"/>
        </w:rPr>
        <w:t xml:space="preserve">conducted audits of various employer logs and generally found that employers were correctly including and recording their workers’ injuries and illnesses on the establishment log </w:t>
      </w:r>
      <w:r>
        <w:rPr>
          <w:sz w:val="24"/>
          <w:szCs w:val="24"/>
        </w:rPr>
        <w:t>(Ruser, 2008)</w:t>
      </w:r>
      <w:r w:rsidRPr="00AD0C40">
        <w:rPr>
          <w:sz w:val="24"/>
          <w:szCs w:val="24"/>
        </w:rPr>
        <w:t xml:space="preserve">. </w:t>
      </w:r>
    </w:p>
    <w:p w:rsidR="00CB0531" w:rsidRDefault="00CB0531" w:rsidP="00CB0531">
      <w:pPr>
        <w:autoSpaceDE w:val="0"/>
        <w:autoSpaceDN w:val="0"/>
        <w:adjustRightInd w:val="0"/>
        <w:spacing w:after="0"/>
        <w:ind w:firstLine="360"/>
        <w:rPr>
          <w:sz w:val="24"/>
          <w:szCs w:val="24"/>
        </w:rPr>
      </w:pPr>
      <w:r>
        <w:rPr>
          <w:sz w:val="24"/>
          <w:szCs w:val="24"/>
        </w:rPr>
        <w:t>If</w:t>
      </w:r>
      <w:r w:rsidRPr="00AD0C40">
        <w:rPr>
          <w:sz w:val="24"/>
          <w:szCs w:val="24"/>
        </w:rPr>
        <w:t xml:space="preserve"> employers are </w:t>
      </w:r>
      <w:r>
        <w:rPr>
          <w:sz w:val="24"/>
          <w:szCs w:val="24"/>
        </w:rPr>
        <w:t>accurately recording the injuries or illnesses of which they are aware,</w:t>
      </w:r>
      <w:r w:rsidRPr="00AD0C40">
        <w:rPr>
          <w:sz w:val="24"/>
          <w:szCs w:val="24"/>
        </w:rPr>
        <w:t xml:space="preserve"> then</w:t>
      </w:r>
      <w:r>
        <w:rPr>
          <w:sz w:val="24"/>
          <w:szCs w:val="24"/>
        </w:rPr>
        <w:t>,</w:t>
      </w:r>
      <w:r w:rsidRPr="00AD0C40">
        <w:rPr>
          <w:sz w:val="24"/>
          <w:szCs w:val="24"/>
        </w:rPr>
        <w:t xml:space="preserve"> for a multiplicity of reasons</w:t>
      </w:r>
      <w:r>
        <w:rPr>
          <w:sz w:val="24"/>
          <w:szCs w:val="24"/>
        </w:rPr>
        <w:t>,</w:t>
      </w:r>
      <w:r w:rsidRPr="00AD0C40">
        <w:rPr>
          <w:sz w:val="24"/>
          <w:szCs w:val="24"/>
        </w:rPr>
        <w:t xml:space="preserve"> workers must not be reporting a significant number of injuries and illnesses to their employer or filing workers’ compensation claims which would presumably trigger the recording of the injury/illness. Disincentives to reporting for employees can take multiple forms including relatively subtle employer policies of “what I don’t know about I can’t </w:t>
      </w:r>
      <w:r>
        <w:rPr>
          <w:sz w:val="24"/>
          <w:szCs w:val="24"/>
        </w:rPr>
        <w:t>record” to overt intimidation</w:t>
      </w:r>
      <w:r w:rsidRPr="00AD0C40">
        <w:rPr>
          <w:sz w:val="24"/>
          <w:szCs w:val="24"/>
        </w:rPr>
        <w:t xml:space="preserve">. </w:t>
      </w:r>
      <w:r>
        <w:rPr>
          <w:sz w:val="24"/>
          <w:szCs w:val="24"/>
        </w:rPr>
        <w:t>R</w:t>
      </w:r>
      <w:r w:rsidRPr="00AD0C40">
        <w:rPr>
          <w:sz w:val="24"/>
          <w:szCs w:val="24"/>
        </w:rPr>
        <w:t>ecent studies have focused on abusive conditions and the failure of social and safety</w:t>
      </w:r>
      <w:r w:rsidRPr="0036700E">
        <w:rPr>
          <w:sz w:val="24"/>
          <w:szCs w:val="24"/>
        </w:rPr>
        <w:t xml:space="preserve"> networks</w:t>
      </w:r>
      <w:r>
        <w:rPr>
          <w:sz w:val="24"/>
          <w:szCs w:val="24"/>
        </w:rPr>
        <w:t xml:space="preserve"> to encourage reporting</w:t>
      </w:r>
      <w:r w:rsidRPr="0036700E">
        <w:rPr>
          <w:sz w:val="24"/>
          <w:szCs w:val="24"/>
        </w:rPr>
        <w:t xml:space="preserve"> </w:t>
      </w:r>
      <w:r>
        <w:rPr>
          <w:sz w:val="24"/>
          <w:szCs w:val="24"/>
        </w:rPr>
        <w:t>by workers (Lipscomb, McDonald, Dement, Schoenfisch, &amp; Epling, 2007; Martin et al., 2009)</w:t>
      </w:r>
      <w:r w:rsidRPr="0036700E">
        <w:rPr>
          <w:sz w:val="24"/>
          <w:szCs w:val="24"/>
        </w:rPr>
        <w:t xml:space="preserve">. </w:t>
      </w:r>
      <w:r>
        <w:rPr>
          <w:sz w:val="24"/>
          <w:szCs w:val="24"/>
        </w:rPr>
        <w:t>E</w:t>
      </w:r>
      <w:r w:rsidRPr="00456A60">
        <w:rPr>
          <w:sz w:val="24"/>
          <w:szCs w:val="24"/>
        </w:rPr>
        <w:t xml:space="preserve">vidence </w:t>
      </w:r>
      <w:r>
        <w:rPr>
          <w:sz w:val="24"/>
          <w:szCs w:val="24"/>
        </w:rPr>
        <w:t xml:space="preserve">also </w:t>
      </w:r>
      <w:r w:rsidRPr="00456A60">
        <w:rPr>
          <w:sz w:val="24"/>
          <w:szCs w:val="24"/>
        </w:rPr>
        <w:t>suggests that economic disincentives for employees to report</w:t>
      </w:r>
      <w:r w:rsidRPr="002F4375">
        <w:rPr>
          <w:sz w:val="24"/>
          <w:szCs w:val="24"/>
        </w:rPr>
        <w:t xml:space="preserve"> injuries to their employers and for employers to maintain comprehensive records play a major role in the undercounting </w:t>
      </w:r>
      <w:r>
        <w:rPr>
          <w:sz w:val="24"/>
          <w:szCs w:val="24"/>
        </w:rPr>
        <w:t>(Azaroff, Levenstein, &amp; Wegman, 2002; Conway &amp; Svenson, 1998; Leigh, Marcin, &amp; Miller, 2004; Rosenman et al., 2006)</w:t>
      </w:r>
      <w:r w:rsidRPr="002F4375">
        <w:rPr>
          <w:sz w:val="24"/>
          <w:szCs w:val="24"/>
        </w:rPr>
        <w:t xml:space="preserve">. </w:t>
      </w:r>
      <w:r>
        <w:rPr>
          <w:sz w:val="24"/>
          <w:szCs w:val="24"/>
        </w:rPr>
        <w:t xml:space="preserve">These economic </w:t>
      </w:r>
      <w:r w:rsidR="00342F44">
        <w:rPr>
          <w:sz w:val="24"/>
          <w:szCs w:val="24"/>
        </w:rPr>
        <w:t>dis</w:t>
      </w:r>
      <w:r>
        <w:rPr>
          <w:sz w:val="24"/>
          <w:szCs w:val="24"/>
        </w:rPr>
        <w:t>incentives include</w:t>
      </w:r>
      <w:r w:rsidRPr="002F4375">
        <w:rPr>
          <w:sz w:val="24"/>
          <w:szCs w:val="24"/>
        </w:rPr>
        <w:t xml:space="preserve"> increases in workers’ compensation costs incurred by businesses</w:t>
      </w:r>
      <w:r>
        <w:rPr>
          <w:sz w:val="24"/>
          <w:szCs w:val="24"/>
        </w:rPr>
        <w:t xml:space="preserve"> and the current US economic downturn (Conway &amp; Svenson, 1998). Economic pressures </w:t>
      </w:r>
      <w:r w:rsidRPr="00634EE9">
        <w:rPr>
          <w:sz w:val="24"/>
          <w:szCs w:val="24"/>
        </w:rPr>
        <w:t xml:space="preserve">may influence the nature and relative importance of reporting incentives and disincentives among various worker or employer groups </w:t>
      </w:r>
      <w:r>
        <w:rPr>
          <w:sz w:val="24"/>
          <w:szCs w:val="24"/>
        </w:rPr>
        <w:t>(Conway &amp; Svenson, 1998)</w:t>
      </w:r>
      <w:r w:rsidRPr="00634EE9">
        <w:rPr>
          <w:sz w:val="24"/>
          <w:szCs w:val="24"/>
        </w:rPr>
        <w:t xml:space="preserve">. </w:t>
      </w:r>
    </w:p>
    <w:p w:rsidR="00CB0531" w:rsidRDefault="00CB0531" w:rsidP="00CB0531">
      <w:pPr>
        <w:autoSpaceDE w:val="0"/>
        <w:autoSpaceDN w:val="0"/>
        <w:adjustRightInd w:val="0"/>
        <w:spacing w:after="0"/>
        <w:ind w:firstLine="360"/>
        <w:rPr>
          <w:sz w:val="24"/>
          <w:szCs w:val="24"/>
        </w:rPr>
      </w:pPr>
      <w:r>
        <w:rPr>
          <w:sz w:val="24"/>
          <w:szCs w:val="24"/>
        </w:rPr>
        <w:t>There are also barriers to capturing the occupational origin of injuries at hospital EDs</w:t>
      </w:r>
      <w:r w:rsidRPr="005B2AE2">
        <w:rPr>
          <w:sz w:val="24"/>
          <w:szCs w:val="24"/>
        </w:rPr>
        <w:t xml:space="preserve">. </w:t>
      </w:r>
      <w:r>
        <w:rPr>
          <w:sz w:val="24"/>
          <w:szCs w:val="24"/>
        </w:rPr>
        <w:t>ED staff may be so focused on</w:t>
      </w:r>
      <w:r w:rsidRPr="005B2AE2">
        <w:rPr>
          <w:sz w:val="24"/>
          <w:szCs w:val="24"/>
        </w:rPr>
        <w:t xml:space="preserve"> providing medical treatment </w:t>
      </w:r>
      <w:r>
        <w:rPr>
          <w:sz w:val="24"/>
          <w:szCs w:val="24"/>
        </w:rPr>
        <w:t>that they do</w:t>
      </w:r>
      <w:r w:rsidRPr="005B2AE2">
        <w:rPr>
          <w:sz w:val="24"/>
          <w:szCs w:val="24"/>
        </w:rPr>
        <w:t xml:space="preserve"> </w:t>
      </w:r>
      <w:r>
        <w:rPr>
          <w:sz w:val="24"/>
          <w:szCs w:val="24"/>
        </w:rPr>
        <w:t xml:space="preserve">not ask about or record the work-related aspects of an injury. </w:t>
      </w:r>
      <w:r w:rsidRPr="005B2AE2">
        <w:rPr>
          <w:sz w:val="24"/>
          <w:szCs w:val="24"/>
        </w:rPr>
        <w:t xml:space="preserve">Equally important, if not more so, the injured patient may not recognize the work association of the event or exposure. This </w:t>
      </w:r>
      <w:r>
        <w:rPr>
          <w:sz w:val="24"/>
          <w:szCs w:val="24"/>
        </w:rPr>
        <w:t>can</w:t>
      </w:r>
      <w:r w:rsidRPr="005B2AE2">
        <w:rPr>
          <w:sz w:val="24"/>
          <w:szCs w:val="24"/>
        </w:rPr>
        <w:t xml:space="preserve"> occur when the patient does not identify their activity at the time of injury as work (e.g., a farm chore or volunteer effort vs. paid work); the patient does not recognize the cause as being affiliated with work (e.g. occupational asthma); or the patient conceptualizes the injury as their fault (i.e., not that of the employer or work setting). </w:t>
      </w:r>
      <w:r>
        <w:rPr>
          <w:sz w:val="24"/>
          <w:szCs w:val="24"/>
        </w:rPr>
        <w:t>H</w:t>
      </w:r>
      <w:r w:rsidRPr="005B2AE2">
        <w:rPr>
          <w:sz w:val="24"/>
          <w:szCs w:val="24"/>
        </w:rPr>
        <w:t>ospital records abstractors</w:t>
      </w:r>
      <w:r>
        <w:rPr>
          <w:sz w:val="24"/>
          <w:szCs w:val="24"/>
        </w:rPr>
        <w:t>,</w:t>
      </w:r>
      <w:r w:rsidRPr="005B2AE2">
        <w:rPr>
          <w:sz w:val="24"/>
          <w:szCs w:val="24"/>
        </w:rPr>
        <w:t xml:space="preserve"> </w:t>
      </w:r>
      <w:r>
        <w:rPr>
          <w:sz w:val="24"/>
          <w:szCs w:val="24"/>
        </w:rPr>
        <w:t xml:space="preserve">who </w:t>
      </w:r>
      <w:r w:rsidRPr="005B2AE2">
        <w:rPr>
          <w:sz w:val="24"/>
          <w:szCs w:val="24"/>
        </w:rPr>
        <w:t xml:space="preserve">play a critical role in identifying work-related cases based on the information </w:t>
      </w:r>
      <w:r>
        <w:rPr>
          <w:sz w:val="24"/>
          <w:szCs w:val="24"/>
        </w:rPr>
        <w:t xml:space="preserve">available in the medical record, may also </w:t>
      </w:r>
      <w:r w:rsidRPr="005B2AE2">
        <w:rPr>
          <w:sz w:val="24"/>
          <w:szCs w:val="24"/>
        </w:rPr>
        <w:t>miss</w:t>
      </w:r>
      <w:r>
        <w:rPr>
          <w:sz w:val="24"/>
          <w:szCs w:val="24"/>
        </w:rPr>
        <w:t xml:space="preserve"> </w:t>
      </w:r>
      <w:r w:rsidRPr="005B2AE2">
        <w:rPr>
          <w:sz w:val="24"/>
          <w:szCs w:val="24"/>
        </w:rPr>
        <w:t xml:space="preserve">cases. These filters likely contribute to underreporting in NEISS-Work </w:t>
      </w:r>
      <w:r>
        <w:rPr>
          <w:sz w:val="24"/>
          <w:szCs w:val="24"/>
        </w:rPr>
        <w:t>and</w:t>
      </w:r>
      <w:r w:rsidRPr="005B2AE2">
        <w:rPr>
          <w:sz w:val="24"/>
          <w:szCs w:val="24"/>
        </w:rPr>
        <w:t xml:space="preserve"> other medical-based surveillance. </w:t>
      </w:r>
    </w:p>
    <w:p w:rsidR="00CB0531" w:rsidRDefault="00CB0531" w:rsidP="00CB0531">
      <w:pPr>
        <w:autoSpaceDE w:val="0"/>
        <w:autoSpaceDN w:val="0"/>
        <w:adjustRightInd w:val="0"/>
        <w:spacing w:after="0"/>
        <w:ind w:firstLine="360"/>
        <w:rPr>
          <w:sz w:val="24"/>
          <w:szCs w:val="24"/>
        </w:rPr>
      </w:pPr>
      <w:r>
        <w:rPr>
          <w:sz w:val="24"/>
          <w:szCs w:val="24"/>
        </w:rPr>
        <w:t>In general, u</w:t>
      </w:r>
      <w:r w:rsidRPr="005B2AE2">
        <w:rPr>
          <w:sz w:val="24"/>
          <w:szCs w:val="24"/>
        </w:rPr>
        <w:t xml:space="preserve">nderstanding the portion of injured workers who notify their employer </w:t>
      </w:r>
      <w:r w:rsidRPr="00936771">
        <w:rPr>
          <w:sz w:val="24"/>
          <w:szCs w:val="24"/>
        </w:rPr>
        <w:t xml:space="preserve">or health care provider, </w:t>
      </w:r>
      <w:r>
        <w:rPr>
          <w:sz w:val="24"/>
          <w:szCs w:val="24"/>
        </w:rPr>
        <w:t xml:space="preserve">the </w:t>
      </w:r>
      <w:r w:rsidRPr="00936771">
        <w:rPr>
          <w:sz w:val="24"/>
          <w:szCs w:val="24"/>
        </w:rPr>
        <w:t xml:space="preserve">injury circumstances, and the barriers </w:t>
      </w:r>
      <w:r>
        <w:rPr>
          <w:sz w:val="24"/>
          <w:szCs w:val="24"/>
        </w:rPr>
        <w:t xml:space="preserve">and incentives </w:t>
      </w:r>
      <w:r w:rsidRPr="00936771">
        <w:rPr>
          <w:sz w:val="24"/>
          <w:szCs w:val="24"/>
        </w:rPr>
        <w:t xml:space="preserve">to </w:t>
      </w:r>
      <w:r>
        <w:rPr>
          <w:sz w:val="24"/>
          <w:szCs w:val="24"/>
        </w:rPr>
        <w:t xml:space="preserve">reporting </w:t>
      </w:r>
      <w:r w:rsidRPr="00936771">
        <w:rPr>
          <w:sz w:val="24"/>
          <w:szCs w:val="24"/>
        </w:rPr>
        <w:t xml:space="preserve">—information that will be gained from this project—will </w:t>
      </w:r>
      <w:r>
        <w:rPr>
          <w:sz w:val="24"/>
          <w:szCs w:val="24"/>
        </w:rPr>
        <w:t xml:space="preserve">improve our understanding of the extent of </w:t>
      </w:r>
      <w:r w:rsidRPr="00936771">
        <w:rPr>
          <w:sz w:val="24"/>
          <w:szCs w:val="24"/>
        </w:rPr>
        <w:t xml:space="preserve">underreporting </w:t>
      </w:r>
      <w:r>
        <w:rPr>
          <w:sz w:val="24"/>
          <w:szCs w:val="24"/>
        </w:rPr>
        <w:t xml:space="preserve">and facilitate additional reporting </w:t>
      </w:r>
      <w:r w:rsidRPr="00936771">
        <w:rPr>
          <w:sz w:val="24"/>
          <w:szCs w:val="24"/>
        </w:rPr>
        <w:t xml:space="preserve">research for both the SOII and NEISS-Work. </w:t>
      </w:r>
      <w:r w:rsidRPr="00936771">
        <w:rPr>
          <w:sz w:val="24"/>
          <w:szCs w:val="24"/>
        </w:rPr>
        <w:lastRenderedPageBreak/>
        <w:t xml:space="preserve">To </w:t>
      </w:r>
      <w:r>
        <w:rPr>
          <w:sz w:val="24"/>
          <w:szCs w:val="24"/>
        </w:rPr>
        <w:t>better understand underreporting</w:t>
      </w:r>
      <w:r w:rsidRPr="00936771">
        <w:rPr>
          <w:sz w:val="24"/>
          <w:szCs w:val="24"/>
        </w:rPr>
        <w:t>, we will interview two subpopulations of employed persons treated in a probability-based sample of U.S. emergency departments (EDs) identified through the National Electronic Injury Surveillance System (NEISS</w:t>
      </w:r>
      <w:r>
        <w:rPr>
          <w:sz w:val="24"/>
          <w:szCs w:val="24"/>
        </w:rPr>
        <w:t>) and its supplemental programs—NEISS-Work and the All Injury Program supplement, NEISS-AIP</w:t>
      </w:r>
      <w:r w:rsidRPr="00936771">
        <w:rPr>
          <w:sz w:val="24"/>
          <w:szCs w:val="24"/>
        </w:rPr>
        <w:t xml:space="preserve">. The respondents will represent individuals who were treated in the ED for an </w:t>
      </w:r>
      <w:r w:rsidRPr="00237FF6">
        <w:rPr>
          <w:sz w:val="24"/>
          <w:szCs w:val="24"/>
        </w:rPr>
        <w:t>apparent work-related</w:t>
      </w:r>
      <w:r w:rsidRPr="00936771">
        <w:rPr>
          <w:sz w:val="24"/>
          <w:szCs w:val="24"/>
          <w:u w:val="single"/>
        </w:rPr>
        <w:t xml:space="preserve"> </w:t>
      </w:r>
      <w:r w:rsidRPr="00936771">
        <w:rPr>
          <w:sz w:val="24"/>
          <w:szCs w:val="24"/>
        </w:rPr>
        <w:t xml:space="preserve">injury and individuals who were treated for an </w:t>
      </w:r>
      <w:r w:rsidRPr="00237FF6">
        <w:rPr>
          <w:sz w:val="24"/>
          <w:szCs w:val="24"/>
        </w:rPr>
        <w:t>apparent non-work-related</w:t>
      </w:r>
      <w:r w:rsidRPr="00936771">
        <w:rPr>
          <w:sz w:val="24"/>
          <w:szCs w:val="24"/>
          <w:u w:val="single"/>
        </w:rPr>
        <w:t xml:space="preserve"> </w:t>
      </w:r>
      <w:r w:rsidRPr="00936771">
        <w:rPr>
          <w:sz w:val="24"/>
          <w:szCs w:val="24"/>
        </w:rPr>
        <w:t>injury</w:t>
      </w:r>
      <w:r>
        <w:rPr>
          <w:sz w:val="24"/>
          <w:szCs w:val="24"/>
        </w:rPr>
        <w:t xml:space="preserve"> but who were employed at the time they were injured</w:t>
      </w:r>
      <w:r w:rsidRPr="00936771">
        <w:rPr>
          <w:sz w:val="24"/>
          <w:szCs w:val="24"/>
        </w:rPr>
        <w:t xml:space="preserve">. </w:t>
      </w:r>
      <w:r>
        <w:rPr>
          <w:sz w:val="24"/>
          <w:szCs w:val="24"/>
        </w:rPr>
        <w:t xml:space="preserve">Additional information on how and from whom the information will be collected is provided below, on page </w:t>
      </w:r>
      <w:r w:rsidR="00342F44">
        <w:rPr>
          <w:sz w:val="24"/>
          <w:szCs w:val="24"/>
        </w:rPr>
        <w:t>9</w:t>
      </w:r>
      <w:r>
        <w:rPr>
          <w:sz w:val="24"/>
          <w:szCs w:val="24"/>
        </w:rPr>
        <w:t>, and in Section B of this ICR.</w:t>
      </w:r>
    </w:p>
    <w:p w:rsidR="00CB0531" w:rsidRDefault="00CB0531" w:rsidP="00CB0531">
      <w:pPr>
        <w:spacing w:after="0"/>
        <w:ind w:firstLine="360"/>
        <w:rPr>
          <w:sz w:val="24"/>
          <w:szCs w:val="24"/>
        </w:rPr>
      </w:pPr>
      <w:r>
        <w:rPr>
          <w:sz w:val="24"/>
          <w:szCs w:val="24"/>
        </w:rPr>
        <w:t>In conducting the proposed project, NIOSH will be acting under P.L. 91-596 Section 20 (Appendix A). This law tasks NIOSH with conducting research involving innovative methods, techniques, and approaches for dealing with occupational safety and health problems. Under this law, this project will use a routine surveillance system and its supplements, all of which have a statistically sound sampling methodology, to obtain a sample of individuals. These individuals will have a known probability of selection from this surveillance system. Telephone interviews will be completed with the identified individuals. The NEISS system is one of only a few surveillance systems capable of collecting this information, and it is the only surveillance system receiving funding in order to implement such an effort.</w:t>
      </w:r>
    </w:p>
    <w:p w:rsidR="00CB0531" w:rsidRDefault="00CB0531" w:rsidP="00CB0531">
      <w:pPr>
        <w:spacing w:after="0"/>
        <w:ind w:firstLine="360"/>
        <w:rPr>
          <w:sz w:val="24"/>
          <w:szCs w:val="24"/>
        </w:rPr>
      </w:pPr>
      <w:r>
        <w:rPr>
          <w:sz w:val="24"/>
          <w:szCs w:val="24"/>
        </w:rPr>
        <w:t xml:space="preserve">The mission of NIOSH is to “generate new knowledge in the field of occupational safety and health and to transfer that knowledge into practice for the betterment of workers” [http://www.cdc.gov/niosh/about.html]. Surveillance is an important tool in monitoring and improving worker safety and health. This project will provide needed information for addressing this goal by elucidating the barriers and incentives to occupational injury reporting. The availability of this information will allow for the development and refinement of surveillance activities and initiatives to promote reporting of occupational injuries. </w:t>
      </w:r>
    </w:p>
    <w:p w:rsidR="00CB0531" w:rsidRDefault="00CB0531" w:rsidP="00CB0531">
      <w:pPr>
        <w:pStyle w:val="Heading3"/>
        <w:rPr>
          <w:rFonts w:asciiTheme="minorHAnsi" w:hAnsiTheme="minorHAnsi"/>
          <w:sz w:val="24"/>
          <w:szCs w:val="24"/>
          <w:u w:val="single"/>
        </w:rPr>
      </w:pPr>
      <w:bookmarkStart w:id="3" w:name="_Toc309647136"/>
      <w:r w:rsidRPr="00237FF6">
        <w:rPr>
          <w:rFonts w:asciiTheme="minorHAnsi" w:hAnsiTheme="minorHAnsi"/>
          <w:sz w:val="24"/>
          <w:szCs w:val="24"/>
          <w:u w:val="single"/>
        </w:rPr>
        <w:t>Privacy Impact Assessment</w:t>
      </w:r>
      <w:bookmarkEnd w:id="3"/>
    </w:p>
    <w:p w:rsidR="00144D9A" w:rsidRDefault="00144D9A" w:rsidP="00144D9A">
      <w:pPr>
        <w:spacing w:after="0"/>
        <w:rPr>
          <w:i/>
          <w:sz w:val="24"/>
          <w:szCs w:val="24"/>
          <w:u w:val="single"/>
        </w:rPr>
      </w:pPr>
    </w:p>
    <w:p w:rsidR="00CB0531" w:rsidRPr="00237FF6" w:rsidRDefault="00CB0531" w:rsidP="00144D9A">
      <w:pPr>
        <w:spacing w:after="0"/>
        <w:rPr>
          <w:i/>
          <w:sz w:val="24"/>
          <w:szCs w:val="24"/>
          <w:u w:val="single"/>
        </w:rPr>
      </w:pPr>
      <w:r w:rsidRPr="00237FF6">
        <w:rPr>
          <w:i/>
          <w:sz w:val="24"/>
          <w:szCs w:val="24"/>
          <w:u w:val="single"/>
        </w:rPr>
        <w:t>Overview of the Data Collection System</w:t>
      </w:r>
    </w:p>
    <w:p w:rsidR="00CB0531" w:rsidRDefault="00CB0531" w:rsidP="00CB0531">
      <w:pPr>
        <w:spacing w:after="0"/>
        <w:ind w:firstLine="360"/>
        <w:rPr>
          <w:sz w:val="24"/>
          <w:szCs w:val="24"/>
        </w:rPr>
      </w:pPr>
      <w:r>
        <w:rPr>
          <w:sz w:val="24"/>
          <w:szCs w:val="24"/>
        </w:rPr>
        <w:t xml:space="preserve">The sampling frame for this study involves cases routinely collected through NEISS-Work and NEISS-AIP. To be eligible for this study, subjects must (1) be between 20 and 64 years of age; (2) must speak English; (3) must not be employed on a farm or ranch; (4) must not be self-employed, an independent contractor, or a day laborer; (5) must have experienced an acute physical injury; (6) must not have missed more than three days from work because of the injury; and (7) must have been employed during the time period that the injury occurred. Cases will be pre-screened prior to sampling for age, type of health problem treated during the ED visit (i.e., injury, illness, or exposure), and work status when available. Further screening will take place during the telephone interview. Data collection for NEISS-Work, NEISS-AIP, and the proposed telephone interview follow-up study will be completed by the Consumer Product Safety Commission (CPSC). The NEISS-Work and NEISS-AIP data are collected in an ongoing, supplemental effort to the core National Electronic Injury Surveillance System (NEISS), which is </w:t>
      </w:r>
      <w:r>
        <w:rPr>
          <w:sz w:val="24"/>
          <w:szCs w:val="24"/>
        </w:rPr>
        <w:lastRenderedPageBreak/>
        <w:t xml:space="preserve">used </w:t>
      </w:r>
      <w:r w:rsidR="00D57B50">
        <w:rPr>
          <w:sz w:val="24"/>
          <w:szCs w:val="24"/>
        </w:rPr>
        <w:t xml:space="preserve">by CPSC </w:t>
      </w:r>
      <w:r>
        <w:rPr>
          <w:sz w:val="24"/>
          <w:szCs w:val="24"/>
        </w:rPr>
        <w:t>to capture and report product-related injuries. The telephone interviews will be a new data collection effort, enhancing the information available through NEISS-Work and NEISS-AIP.</w:t>
      </w:r>
    </w:p>
    <w:p w:rsidR="00CB0531" w:rsidRPr="00144D9A" w:rsidRDefault="00CB0531" w:rsidP="00144D9A">
      <w:pPr>
        <w:spacing w:after="0"/>
        <w:rPr>
          <w:i/>
          <w:sz w:val="24"/>
          <w:szCs w:val="24"/>
        </w:rPr>
      </w:pPr>
      <w:r w:rsidRPr="00144D9A">
        <w:rPr>
          <w:i/>
          <w:sz w:val="24"/>
          <w:szCs w:val="24"/>
          <w:u w:val="single"/>
        </w:rPr>
        <w:t>Background on NEISS, NEISS-Work, and NEISS-AIP</w:t>
      </w:r>
    </w:p>
    <w:p w:rsidR="00CB0531" w:rsidRDefault="00CB0531" w:rsidP="00CB0531">
      <w:pPr>
        <w:spacing w:after="0"/>
        <w:ind w:firstLine="360"/>
        <w:rPr>
          <w:sz w:val="24"/>
          <w:szCs w:val="24"/>
        </w:rPr>
      </w:pPr>
      <w:r>
        <w:rPr>
          <w:sz w:val="24"/>
          <w:szCs w:val="24"/>
        </w:rPr>
        <w:t>In 1972, as authorized by statute (the Consumer Product Safety Act Sec. 5. [15 U.S.C. § 2054]), CPSC initiated the collection of consumer product-related injury and illness information through a surveillance system that uses a national probability-based sample of hospital emergency departments—the National Electronic Injury and Illness System (NEISS). Although the CPSC maintains a Privacy Act System of Records CPSC-1 (</w:t>
      </w:r>
      <w:r w:rsidR="008633DC" w:rsidRPr="008633DC">
        <w:rPr>
          <w:sz w:val="24"/>
          <w:szCs w:val="24"/>
        </w:rPr>
        <w:t>http://www.ofr.gov/privacy/2009/ cpsc.aspx#cpsc1</w:t>
      </w:r>
      <w:r>
        <w:rPr>
          <w:sz w:val="24"/>
          <w:szCs w:val="24"/>
        </w:rPr>
        <w:t>) for its Injury Investigation Files, the NEISS records are not retrievable by personal identifiers and hence are excluded from the CPSC system of records. These records may be provided to another Federal, State, or local agency or authority engaged in activities relating to health, safety, or consumer protection in accordance with section 29(e) of the Consumer Product Safety Act. The NEISS data are abstractions of existing information from ED medical records as collected by contract hospitals and paid records abstractors. Informed consent of the injured or ill patient is not required and data sharing by the hospital with CPSC and other federal agencies is allowed under the Health Insurance Portability and Accountability Act of 1996. With OMB approval for both the initial data collection and follow-up studies (OMB Control No: 3041-0029), CPSC regularly uses information attained through NEISS to conduct in-depth follow-up investigations; information collection extension requests are submitted every three years (</w:t>
      </w:r>
      <w:r w:rsidR="00B96A61" w:rsidRPr="004255DC">
        <w:rPr>
          <w:sz w:val="24"/>
          <w:szCs w:val="24"/>
        </w:rPr>
        <w:t>e.g., Federal Register: Vol. 7</w:t>
      </w:r>
      <w:r w:rsidR="00B96A61">
        <w:rPr>
          <w:sz w:val="24"/>
          <w:szCs w:val="24"/>
        </w:rPr>
        <w:t>5</w:t>
      </w:r>
      <w:r w:rsidR="00B96A61" w:rsidRPr="004255DC">
        <w:rPr>
          <w:sz w:val="24"/>
          <w:szCs w:val="24"/>
        </w:rPr>
        <w:t xml:space="preserve">, No. </w:t>
      </w:r>
      <w:r w:rsidR="00B96A61">
        <w:rPr>
          <w:sz w:val="24"/>
          <w:szCs w:val="24"/>
        </w:rPr>
        <w:t>65</w:t>
      </w:r>
      <w:r w:rsidR="00B96A61" w:rsidRPr="004255DC">
        <w:rPr>
          <w:sz w:val="24"/>
          <w:szCs w:val="24"/>
        </w:rPr>
        <w:t xml:space="preserve">; </w:t>
      </w:r>
      <w:r w:rsidR="00B96A61">
        <w:rPr>
          <w:sz w:val="24"/>
          <w:szCs w:val="24"/>
        </w:rPr>
        <w:t>Tuesday</w:t>
      </w:r>
      <w:r w:rsidR="00B96A61" w:rsidRPr="004255DC">
        <w:rPr>
          <w:sz w:val="24"/>
          <w:szCs w:val="24"/>
        </w:rPr>
        <w:t xml:space="preserve">, </w:t>
      </w:r>
      <w:r w:rsidR="00B96A61">
        <w:rPr>
          <w:sz w:val="24"/>
          <w:szCs w:val="24"/>
        </w:rPr>
        <w:t>April</w:t>
      </w:r>
      <w:r w:rsidR="00B96A61" w:rsidRPr="004255DC">
        <w:rPr>
          <w:sz w:val="24"/>
          <w:szCs w:val="24"/>
        </w:rPr>
        <w:t xml:space="preserve"> </w:t>
      </w:r>
      <w:r w:rsidR="00B96A61">
        <w:rPr>
          <w:sz w:val="24"/>
          <w:szCs w:val="24"/>
        </w:rPr>
        <w:t>6</w:t>
      </w:r>
      <w:r w:rsidR="00B96A61" w:rsidRPr="004255DC">
        <w:rPr>
          <w:sz w:val="24"/>
          <w:szCs w:val="24"/>
        </w:rPr>
        <w:t>, 20</w:t>
      </w:r>
      <w:r w:rsidR="00B96A61">
        <w:rPr>
          <w:sz w:val="24"/>
          <w:szCs w:val="24"/>
        </w:rPr>
        <w:t>10</w:t>
      </w:r>
      <w:r w:rsidR="00B96A61" w:rsidRPr="004255DC">
        <w:rPr>
          <w:sz w:val="24"/>
          <w:szCs w:val="24"/>
        </w:rPr>
        <w:t xml:space="preserve">; </w:t>
      </w:r>
      <w:r w:rsidR="00B96A61">
        <w:rPr>
          <w:sz w:val="24"/>
          <w:szCs w:val="24"/>
        </w:rPr>
        <w:t>17391</w:t>
      </w:r>
      <w:r w:rsidR="00B96A61" w:rsidRPr="004255DC">
        <w:rPr>
          <w:sz w:val="24"/>
          <w:szCs w:val="24"/>
        </w:rPr>
        <w:t>-</w:t>
      </w:r>
      <w:r w:rsidR="00B96A61">
        <w:rPr>
          <w:sz w:val="24"/>
          <w:szCs w:val="24"/>
        </w:rPr>
        <w:t>17393</w:t>
      </w:r>
      <w:r>
        <w:rPr>
          <w:sz w:val="24"/>
          <w:szCs w:val="24"/>
        </w:rPr>
        <w:t xml:space="preserve">). </w:t>
      </w:r>
    </w:p>
    <w:p w:rsidR="00CB0531" w:rsidRDefault="00CB0531" w:rsidP="00CB0531">
      <w:pPr>
        <w:spacing w:after="0"/>
        <w:ind w:firstLine="360"/>
        <w:rPr>
          <w:sz w:val="24"/>
          <w:szCs w:val="24"/>
        </w:rPr>
      </w:pPr>
      <w:r>
        <w:rPr>
          <w:sz w:val="24"/>
          <w:szCs w:val="24"/>
        </w:rPr>
        <w:t>Beginning in 1981, NIOSH began conducting research using NEISS data as authorized by the Occupational Safety and Health Act, Section 20, “Research and Related Activities” and Section 22(d), “Authority of Director, National Institute for Occupational Safety and Health” (29 U.S.C. 669, 671 (d)). The work-related injury data attained by NIOSH from CPSC through what is now referred to as NEISS-Work, do not contain direct personal identifiers such as name, social security number, or contact information. In the year 2000, NEISS was further expanded to collect information on all injuries rather than just consumer product-related injuries. This expansion was jointly funded by both CPSC and the National Center for Injury Prevention and Control of the Centers for Disease Control and Prevention (CDC). As is true for the regular collection of NEISS-Work, the information that will be provided to NIOSH for the proposed study will not contain direct personal identifiers, but will be obtained from the participating hospitals and retained by CPSC only for the purposes of conducting the intended follow-up interviews.</w:t>
      </w:r>
    </w:p>
    <w:p w:rsidR="00CB0531" w:rsidRDefault="00CB0531" w:rsidP="00CB0531">
      <w:pPr>
        <w:spacing w:after="0"/>
        <w:ind w:firstLine="360"/>
        <w:rPr>
          <w:sz w:val="24"/>
          <w:szCs w:val="24"/>
        </w:rPr>
      </w:pPr>
      <w:r>
        <w:rPr>
          <w:sz w:val="24"/>
          <w:szCs w:val="24"/>
        </w:rPr>
        <w:t xml:space="preserve">NIOSH used NEISS in 1981-1987 and again in 1991 through the present. In the 1990’s, NIOSH conducted several follow-up telephone interview studies in collaboration with CPSC under their approval to collect information. OMB was regularly informed of these. Beginning in approximately 2002, CPSC requested that all federal agencies using NEISS for follow-up </w:t>
      </w:r>
      <w:r>
        <w:rPr>
          <w:sz w:val="24"/>
          <w:szCs w:val="24"/>
        </w:rPr>
        <w:lastRenderedPageBreak/>
        <w:t>investigations seek their own OMB approval for the specific follow-up study (as is being done herein).</w:t>
      </w:r>
    </w:p>
    <w:p w:rsidR="00144D9A" w:rsidRDefault="00144D9A" w:rsidP="00144D9A">
      <w:pPr>
        <w:spacing w:after="0"/>
        <w:rPr>
          <w:i/>
          <w:sz w:val="24"/>
          <w:szCs w:val="24"/>
          <w:u w:val="single"/>
        </w:rPr>
      </w:pPr>
    </w:p>
    <w:p w:rsidR="00144D9A" w:rsidRDefault="00144D9A" w:rsidP="00144D9A">
      <w:pPr>
        <w:spacing w:after="0"/>
        <w:rPr>
          <w:i/>
          <w:sz w:val="24"/>
          <w:szCs w:val="24"/>
          <w:u w:val="single"/>
        </w:rPr>
      </w:pPr>
    </w:p>
    <w:p w:rsidR="00CB0531" w:rsidRPr="00144D9A" w:rsidRDefault="00CB0531" w:rsidP="00144D9A">
      <w:pPr>
        <w:spacing w:after="0"/>
        <w:rPr>
          <w:i/>
          <w:sz w:val="24"/>
          <w:szCs w:val="24"/>
        </w:rPr>
      </w:pPr>
      <w:r w:rsidRPr="00144D9A">
        <w:rPr>
          <w:i/>
          <w:sz w:val="24"/>
          <w:szCs w:val="24"/>
          <w:u w:val="single"/>
        </w:rPr>
        <w:t>NEISS-Work and NEISS-AIP</w:t>
      </w:r>
    </w:p>
    <w:p w:rsidR="00B96A61" w:rsidRDefault="00CB0531" w:rsidP="00CB0531">
      <w:pPr>
        <w:spacing w:after="0"/>
        <w:ind w:firstLine="360"/>
        <w:rPr>
          <w:sz w:val="24"/>
          <w:szCs w:val="24"/>
        </w:rPr>
      </w:pPr>
      <w:r>
        <w:rPr>
          <w:sz w:val="24"/>
          <w:szCs w:val="24"/>
        </w:rPr>
        <w:t xml:space="preserve">Routinely collected NEISS-Work and NEISS-AIP data are captured from a national stratified probability sample of </w:t>
      </w:r>
      <w:r w:rsidR="00E12F23">
        <w:rPr>
          <w:sz w:val="24"/>
          <w:szCs w:val="24"/>
        </w:rPr>
        <w:t>67</w:t>
      </w:r>
      <w:r>
        <w:rPr>
          <w:sz w:val="24"/>
          <w:szCs w:val="24"/>
        </w:rPr>
        <w:t xml:space="preserve"> of the approximately 5,400 rural and urban hospitals in the U.S. and its territories. At each of these hospitals, a coder employed by CPSC abstracts standardized </w:t>
      </w:r>
    </w:p>
    <w:p w:rsidR="00CB0531" w:rsidRDefault="00CB0531" w:rsidP="00B96A61">
      <w:pPr>
        <w:spacing w:after="0"/>
        <w:rPr>
          <w:sz w:val="24"/>
          <w:szCs w:val="24"/>
        </w:rPr>
      </w:pPr>
      <w:r>
        <w:rPr>
          <w:sz w:val="24"/>
          <w:szCs w:val="24"/>
        </w:rPr>
        <w:t>information from the ED record. According to the NEISS coder training manuals, cases should be captured if they are a first visit to that hospital’s ED for (a) an injury, regardless of product involvement and regardless of intent; or (b) an illness causally linked to a civilian work activity. For the purposes of NEISS, an injury is defined as a medical condition resulting from contact with an external force, including chemicals or poisons, temperature extremes, or self harm, and typically involves a single, instantaneous event (e.g., sprain or fracture). “Work” is defined as performing an activity for pay or other compensation, volunteering for an organized group such as an EMS squad or fire department, or unremunerated work on a family farm or business.</w:t>
      </w:r>
    </w:p>
    <w:p w:rsidR="00CB0531" w:rsidRDefault="00CB0531" w:rsidP="00CB0531">
      <w:pPr>
        <w:spacing w:after="0"/>
        <w:ind w:firstLine="360"/>
        <w:rPr>
          <w:sz w:val="24"/>
          <w:szCs w:val="24"/>
        </w:rPr>
      </w:pPr>
      <w:r>
        <w:rPr>
          <w:sz w:val="24"/>
          <w:szCs w:val="24"/>
        </w:rPr>
        <w:t xml:space="preserve">For NEISS-Work, emergency department records are abstracted without restriction by age, type of employer or industry, or employer size. Work-relatedness is determined by the hospital abstractor based on the information provided in the ED chart at the time of treatment. Indication or filing of a Workers’ Compensation claim is not required. NEISS-Work guidelines for defining a work-related injury or illness generally follow the Occupational Safety and Health Administration’s (OSHA) requirements for recordable injuries and illnesses (e.g., all incidents resulting in a loss of consciousness and heart attacks that occur at work are included). Commuting to or from work and non-professional sports or recreational-related injuries are normally excluded. Common illnesses are not reportable within NEISS-Work unless a causal link to work activities can be established (e.g., </w:t>
      </w:r>
      <w:r w:rsidR="00400297">
        <w:rPr>
          <w:sz w:val="24"/>
          <w:szCs w:val="24"/>
        </w:rPr>
        <w:t>tuberculosis</w:t>
      </w:r>
      <w:r>
        <w:rPr>
          <w:sz w:val="24"/>
          <w:szCs w:val="24"/>
        </w:rPr>
        <w:t xml:space="preserve"> exposure at work). Routine visits for drug and alcohol screening or treatment are also not reportable within NEISS-Work.</w:t>
      </w:r>
    </w:p>
    <w:p w:rsidR="00CB0531" w:rsidRDefault="00CB0531" w:rsidP="00CB0531">
      <w:pPr>
        <w:spacing w:after="0"/>
        <w:ind w:firstLine="360"/>
        <w:rPr>
          <w:sz w:val="24"/>
          <w:szCs w:val="24"/>
        </w:rPr>
      </w:pPr>
      <w:r>
        <w:rPr>
          <w:sz w:val="24"/>
          <w:szCs w:val="24"/>
        </w:rPr>
        <w:t>The NEISS-Work data are the property of NIOSH and are used for a variety of projects. They are maintained on password-protected computers and in secure files in locked NIOSH offices. NEISS-AIP records used for this project will be maintained in the same manner. NEISS data will be archived on a secure network drive accessible only by those persons who have completed required annual confidentiality training. The archived NEISS files will be maintained for a minimum of 20 years after the study is completed or becomes inactive in accordance with the CDC Records Control Schedule.</w:t>
      </w:r>
    </w:p>
    <w:p w:rsidR="0042235B" w:rsidRDefault="0042235B" w:rsidP="0042235B">
      <w:pPr>
        <w:spacing w:after="0"/>
        <w:rPr>
          <w:i/>
          <w:sz w:val="24"/>
          <w:szCs w:val="24"/>
          <w:u w:val="single"/>
        </w:rPr>
      </w:pPr>
    </w:p>
    <w:p w:rsidR="00CB0531" w:rsidRPr="00144D9A" w:rsidRDefault="00CB0531" w:rsidP="0042235B">
      <w:pPr>
        <w:spacing w:after="0"/>
        <w:rPr>
          <w:i/>
          <w:sz w:val="24"/>
          <w:szCs w:val="24"/>
        </w:rPr>
      </w:pPr>
      <w:r w:rsidRPr="00144D9A">
        <w:rPr>
          <w:i/>
          <w:sz w:val="24"/>
          <w:szCs w:val="24"/>
          <w:u w:val="single"/>
        </w:rPr>
        <w:t>Telephone interview survey</w:t>
      </w:r>
    </w:p>
    <w:p w:rsidR="00CB0531" w:rsidRDefault="00CB0531" w:rsidP="00CB0531">
      <w:pPr>
        <w:spacing w:after="0"/>
        <w:ind w:firstLine="360"/>
        <w:rPr>
          <w:sz w:val="24"/>
          <w:szCs w:val="24"/>
        </w:rPr>
      </w:pPr>
      <w:r>
        <w:rPr>
          <w:sz w:val="24"/>
          <w:szCs w:val="24"/>
        </w:rPr>
        <w:t xml:space="preserve">CPSC routinely uses telephone interview survey methods to collect data related to injury incidents. CPSC maintains OMB approval “for a collection of information obtained from persons who have been involved in or have witnessed incidents associated with consumer products” </w:t>
      </w:r>
      <w:r>
        <w:rPr>
          <w:sz w:val="24"/>
          <w:szCs w:val="24"/>
        </w:rPr>
        <w:lastRenderedPageBreak/>
        <w:t>(OMB control number 3041-0029). The proposed study practices will follow those used by CPSC in their follow-up activities for consumer product-related activities. Additionally, NIOSH has received past OMB approval (OMB Control No.: 0920-</w:t>
      </w:r>
      <w:r w:rsidR="003C5FC4">
        <w:rPr>
          <w:sz w:val="24"/>
          <w:szCs w:val="24"/>
        </w:rPr>
        <w:t>0834, expiration 12/31/2012</w:t>
      </w:r>
      <w:r>
        <w:rPr>
          <w:sz w:val="24"/>
          <w:szCs w:val="24"/>
        </w:rPr>
        <w:t>) for a separate study of emergency medical services (EMS) workers based on the same study practices.</w:t>
      </w:r>
    </w:p>
    <w:p w:rsidR="00CB0531" w:rsidRDefault="00CB0531" w:rsidP="00CB0531">
      <w:pPr>
        <w:spacing w:after="0"/>
        <w:ind w:firstLine="360"/>
        <w:rPr>
          <w:sz w:val="24"/>
          <w:szCs w:val="24"/>
        </w:rPr>
      </w:pPr>
      <w:r>
        <w:rPr>
          <w:sz w:val="24"/>
          <w:szCs w:val="24"/>
        </w:rPr>
        <w:t xml:space="preserve">For the proposed study, CPSC will attempt to obtain contact information for every sampled NEISS-Work and NEISS-AIP case from the treating hospital. While hospitals are generally cooperative in releasing this information, a few hospitals decline to participate owing to individual hospital privacy rules, or require that a letter be sent to the patient providing them the option of having their contact information withheld. Usually in the latter instance, if a response is not received from the patient within approximately 10 days, the hospital releases the information to CPSC. There are also instances where the contact information released by the hospital is incorrect or out-of-date. </w:t>
      </w:r>
    </w:p>
    <w:p w:rsidR="00CB0531" w:rsidRDefault="00CB0531" w:rsidP="00CB0531">
      <w:pPr>
        <w:spacing w:after="0"/>
        <w:ind w:firstLine="360"/>
        <w:rPr>
          <w:sz w:val="24"/>
          <w:szCs w:val="24"/>
        </w:rPr>
      </w:pPr>
      <w:r>
        <w:rPr>
          <w:sz w:val="24"/>
          <w:szCs w:val="24"/>
        </w:rPr>
        <w:t xml:space="preserve">When contact information is obtained by CPSC, potential respondents will be sent a letter describing the study, informing them of their rights as a participant, and giving them the option to opt out of the study by calling a toll-free number (Appendix </w:t>
      </w:r>
      <w:r w:rsidR="002B3AFE">
        <w:rPr>
          <w:sz w:val="24"/>
          <w:szCs w:val="24"/>
        </w:rPr>
        <w:t>C</w:t>
      </w:r>
      <w:r>
        <w:rPr>
          <w:sz w:val="24"/>
          <w:szCs w:val="24"/>
        </w:rPr>
        <w:t xml:space="preserve">). Once sufficient time has passed to allow the participant to receive the letter and voluntarily opt out, the contact information is given to telephone interviewers under contract with CPSC to complete the interviews. The telephone interviewers are required to make at least ten attempts to contact each potential respondent. These attempts are made at varying, but reasonable, hours of the day and on varying days of the week. When no personal contact is made after a number of attempts, the interview is set aside and contact attempts are made later as time permits to maximize the response rate while minimizing recall bias issues. Interviewers are trained to be considerate of respondents and their families, leaving a minimal number of messages or speaking with the respondent or another individual of the residence to arrange a convenient interview time. Messages include a toll-free response number so that the respondent may call at their convenience. When no personal contact is made, no message system is available, or there is no indicator of an incorrect number, the interviewer typically spreads their call attempts over a longer time period and commonly makes more than 10 contact attempts over the initial contact attempt period and the subsequent missed interview follow-ups. The interviewers comply with CPSC contract requirements as approved by OMB. If contact is made with a potential respondent, they are offered the options to participate in the survey at the time of contact, participate in the survey later, or they may refuse to participate. The current response rate for CPSC telephone interviews is approximately 40-45%. We anticipate that the response rate for this project will be similar. </w:t>
      </w:r>
    </w:p>
    <w:p w:rsidR="00CB0531" w:rsidRDefault="00CB0531" w:rsidP="00CB0531">
      <w:pPr>
        <w:spacing w:after="0"/>
        <w:ind w:firstLine="360"/>
        <w:rPr>
          <w:sz w:val="24"/>
          <w:szCs w:val="24"/>
        </w:rPr>
      </w:pPr>
      <w:r>
        <w:rPr>
          <w:sz w:val="24"/>
          <w:szCs w:val="24"/>
        </w:rPr>
        <w:t xml:space="preserve">Because of the inherent cost of the telephone interview data and their intrinsic value to researchers, upon completion of the proposed research, the data will be maintained by the </w:t>
      </w:r>
      <w:r w:rsidR="00E12F23">
        <w:rPr>
          <w:sz w:val="24"/>
          <w:szCs w:val="24"/>
        </w:rPr>
        <w:t xml:space="preserve">NIOSH </w:t>
      </w:r>
      <w:r>
        <w:rPr>
          <w:sz w:val="24"/>
          <w:szCs w:val="24"/>
        </w:rPr>
        <w:t xml:space="preserve">Division of Safety Research (DSR) as “active” files for a period of up to five years. </w:t>
      </w:r>
      <w:r>
        <w:rPr>
          <w:sz w:val="24"/>
          <w:szCs w:val="24"/>
        </w:rPr>
        <w:lastRenderedPageBreak/>
        <w:t>Subsequently, the data will be maintained as archived protected data files for a period of up to 20 years in accordance with the CDC Records Control Schedule.</w:t>
      </w:r>
    </w:p>
    <w:p w:rsidR="00E3042F" w:rsidRDefault="00E3042F" w:rsidP="00CB0531">
      <w:pPr>
        <w:spacing w:after="0"/>
        <w:rPr>
          <w:b/>
          <w:sz w:val="24"/>
          <w:szCs w:val="24"/>
          <w:u w:val="single"/>
        </w:rPr>
      </w:pPr>
    </w:p>
    <w:p w:rsidR="00CB0531" w:rsidRPr="00144D9A" w:rsidRDefault="00CB0531" w:rsidP="00CB0531">
      <w:pPr>
        <w:spacing w:after="0"/>
        <w:rPr>
          <w:b/>
          <w:sz w:val="24"/>
          <w:szCs w:val="24"/>
          <w:u w:val="single"/>
        </w:rPr>
      </w:pPr>
      <w:r w:rsidRPr="00144D9A">
        <w:rPr>
          <w:b/>
          <w:sz w:val="24"/>
          <w:szCs w:val="24"/>
          <w:u w:val="single"/>
        </w:rPr>
        <w:t>Items of Information to be Collected</w:t>
      </w:r>
    </w:p>
    <w:p w:rsidR="00CB0531" w:rsidRDefault="00CB0531" w:rsidP="00CB0531">
      <w:pPr>
        <w:spacing w:after="0"/>
        <w:rPr>
          <w:sz w:val="24"/>
          <w:szCs w:val="24"/>
          <w:u w:val="single"/>
        </w:rPr>
      </w:pPr>
    </w:p>
    <w:p w:rsidR="00CB0531" w:rsidRPr="00144D9A" w:rsidRDefault="00CB0531" w:rsidP="00CB0531">
      <w:pPr>
        <w:spacing w:after="0"/>
        <w:rPr>
          <w:i/>
          <w:sz w:val="24"/>
          <w:szCs w:val="24"/>
        </w:rPr>
      </w:pPr>
      <w:r w:rsidRPr="00144D9A">
        <w:rPr>
          <w:i/>
          <w:sz w:val="24"/>
          <w:szCs w:val="24"/>
          <w:u w:val="single"/>
        </w:rPr>
        <w:t>NEISS-Work and NEISS-AIP</w:t>
      </w:r>
    </w:p>
    <w:p w:rsidR="00CB0531" w:rsidRDefault="00CB0531" w:rsidP="00CB0531">
      <w:pPr>
        <w:spacing w:after="0"/>
        <w:ind w:firstLine="360"/>
        <w:rPr>
          <w:sz w:val="24"/>
          <w:szCs w:val="24"/>
        </w:rPr>
      </w:pPr>
      <w:r>
        <w:rPr>
          <w:sz w:val="24"/>
          <w:szCs w:val="24"/>
        </w:rPr>
        <w:t xml:space="preserve">Routine NEISS supplement data collection includes: demographics (age, sex, and race/ethnicity); medical characteristics (treatment date, diagnosis, body part affected, and disposition (e.g., treated and released or hospitalized)), and incident characteristics (locale, fire or motor vehicle involvement, and a brief narrative description). NEISS-Work additionally routinely obtains employment information such as job title, industry, and employer name. </w:t>
      </w:r>
    </w:p>
    <w:p w:rsidR="00CB0531" w:rsidRDefault="00CB0531" w:rsidP="00CB0531">
      <w:pPr>
        <w:spacing w:after="0"/>
        <w:rPr>
          <w:sz w:val="24"/>
          <w:szCs w:val="24"/>
        </w:rPr>
      </w:pPr>
    </w:p>
    <w:p w:rsidR="00CB0531" w:rsidRPr="00144D9A" w:rsidRDefault="00CB0531" w:rsidP="00CB0531">
      <w:pPr>
        <w:spacing w:after="0"/>
        <w:rPr>
          <w:i/>
          <w:sz w:val="24"/>
          <w:szCs w:val="24"/>
        </w:rPr>
      </w:pPr>
      <w:r w:rsidRPr="00144D9A">
        <w:rPr>
          <w:i/>
          <w:sz w:val="24"/>
          <w:szCs w:val="24"/>
          <w:u w:val="single"/>
        </w:rPr>
        <w:t>Telephone interview survey</w:t>
      </w:r>
    </w:p>
    <w:p w:rsidR="00CB0531" w:rsidRPr="00D1345F" w:rsidRDefault="00CB0531" w:rsidP="00CB0531">
      <w:pPr>
        <w:spacing w:after="0"/>
        <w:ind w:firstLine="360"/>
        <w:rPr>
          <w:rFonts w:cs="Times New Roman"/>
          <w:sz w:val="24"/>
          <w:szCs w:val="24"/>
          <w:lang w:eastAsia="ja-JP"/>
        </w:rPr>
      </w:pPr>
      <w:r w:rsidRPr="00D1345F">
        <w:rPr>
          <w:sz w:val="24"/>
          <w:szCs w:val="24"/>
        </w:rPr>
        <w:t xml:space="preserve">The data collected via the telephone interviews (Appendix </w:t>
      </w:r>
      <w:r w:rsidR="00ED77CE">
        <w:rPr>
          <w:sz w:val="24"/>
          <w:szCs w:val="24"/>
        </w:rPr>
        <w:t>D</w:t>
      </w:r>
      <w:r w:rsidRPr="00D1345F">
        <w:rPr>
          <w:sz w:val="24"/>
          <w:szCs w:val="24"/>
        </w:rPr>
        <w:t>) will capture valuable, detailed information to supplement the routine data collected in NEISS</w:t>
      </w:r>
      <w:r>
        <w:rPr>
          <w:sz w:val="24"/>
          <w:szCs w:val="24"/>
        </w:rPr>
        <w:t>-Work and NEISS-AIP.</w:t>
      </w:r>
      <w:r w:rsidRPr="00D1345F">
        <w:rPr>
          <w:sz w:val="24"/>
          <w:szCs w:val="24"/>
        </w:rPr>
        <w:t xml:space="preserve"> </w:t>
      </w:r>
      <w:r w:rsidRPr="00D1345F">
        <w:rPr>
          <w:rFonts w:cs="Times New Roman"/>
          <w:sz w:val="24"/>
          <w:szCs w:val="24"/>
          <w:lang w:eastAsia="ja-JP"/>
        </w:rPr>
        <w:t>The interview</w:t>
      </w:r>
      <w:r>
        <w:rPr>
          <w:rFonts w:cs="Times New Roman"/>
          <w:sz w:val="24"/>
          <w:szCs w:val="24"/>
          <w:lang w:eastAsia="ja-JP"/>
        </w:rPr>
        <w:t>, including the introductory materials,</w:t>
      </w:r>
      <w:r w:rsidRPr="00D1345F">
        <w:rPr>
          <w:rFonts w:cs="Times New Roman"/>
          <w:sz w:val="24"/>
          <w:szCs w:val="24"/>
          <w:lang w:eastAsia="ja-JP"/>
        </w:rPr>
        <w:t xml:space="preserve"> will be about 30 minutes or less in length</w:t>
      </w:r>
      <w:r>
        <w:rPr>
          <w:rFonts w:cs="Times New Roman"/>
          <w:sz w:val="24"/>
          <w:szCs w:val="24"/>
          <w:lang w:eastAsia="ja-JP"/>
        </w:rPr>
        <w:t>. A reduced number of questions will be asked of respondents with non-work related injuries.</w:t>
      </w:r>
      <w:r w:rsidRPr="00D1345F">
        <w:rPr>
          <w:rFonts w:cs="Times New Roman"/>
          <w:sz w:val="24"/>
          <w:szCs w:val="24"/>
          <w:lang w:eastAsia="ja-JP"/>
        </w:rPr>
        <w:t xml:space="preserve"> </w:t>
      </w:r>
      <w:r>
        <w:rPr>
          <w:rFonts w:cs="Times New Roman"/>
          <w:sz w:val="24"/>
          <w:szCs w:val="24"/>
          <w:lang w:eastAsia="ja-JP"/>
        </w:rPr>
        <w:t>The interview</w:t>
      </w:r>
      <w:r w:rsidRPr="00D1345F">
        <w:rPr>
          <w:rFonts w:cs="Times New Roman"/>
          <w:sz w:val="24"/>
          <w:szCs w:val="24"/>
          <w:lang w:eastAsia="ja-JP"/>
        </w:rPr>
        <w:t xml:space="preserve"> will begin with an explanation of the study purpose and provide the information needed for </w:t>
      </w:r>
      <w:r>
        <w:rPr>
          <w:rFonts w:cs="Times New Roman"/>
          <w:sz w:val="24"/>
          <w:szCs w:val="24"/>
          <w:lang w:eastAsia="ja-JP"/>
        </w:rPr>
        <w:t xml:space="preserve">verbal </w:t>
      </w:r>
      <w:r w:rsidRPr="00D1345F">
        <w:rPr>
          <w:rFonts w:cs="Times New Roman"/>
          <w:sz w:val="24"/>
          <w:szCs w:val="24"/>
          <w:lang w:eastAsia="ja-JP"/>
        </w:rPr>
        <w:t xml:space="preserve">informed consent. The subsequent questionnaire will begin with a brief series of qualifying questions, followed by an opportunity for the respondent to give a free form narrative statement of the recent injury event. The remainder of the questionnaire will consist of separate modules that address </w:t>
      </w:r>
      <w:r>
        <w:rPr>
          <w:rFonts w:cs="Times New Roman"/>
          <w:sz w:val="24"/>
          <w:szCs w:val="24"/>
          <w:lang w:eastAsia="ja-JP"/>
        </w:rPr>
        <w:t xml:space="preserve">workplace, personal, and injury characteristics; beliefs and reporting behaviors with respect to one’s employer and ED staff; and elements of the Theory of Planned Behavior in response to a hypothetical vignette. </w:t>
      </w:r>
      <w:r w:rsidRPr="00D1345F">
        <w:rPr>
          <w:rFonts w:cs="Times New Roman"/>
          <w:sz w:val="24"/>
          <w:szCs w:val="24"/>
          <w:lang w:eastAsia="ja-JP"/>
        </w:rPr>
        <w:t xml:space="preserve">The specific modules included are: (1) </w:t>
      </w:r>
      <w:r>
        <w:rPr>
          <w:rFonts w:cs="Times New Roman"/>
          <w:sz w:val="24"/>
          <w:szCs w:val="24"/>
          <w:lang w:eastAsia="ja-JP"/>
        </w:rPr>
        <w:t>qualifying section (screening for those who do not meet sample criteria and are ineligible to participate)</w:t>
      </w:r>
      <w:r w:rsidRPr="00D1345F">
        <w:rPr>
          <w:rFonts w:cs="Times New Roman"/>
          <w:sz w:val="24"/>
          <w:szCs w:val="24"/>
          <w:lang w:eastAsia="ja-JP"/>
        </w:rPr>
        <w:t xml:space="preserve">; (2) </w:t>
      </w:r>
      <w:r>
        <w:rPr>
          <w:rFonts w:cs="Times New Roman"/>
          <w:sz w:val="24"/>
          <w:szCs w:val="24"/>
          <w:lang w:eastAsia="ja-JP"/>
        </w:rPr>
        <w:t>ED reporting</w:t>
      </w:r>
      <w:r w:rsidRPr="00D1345F">
        <w:rPr>
          <w:rFonts w:cs="Times New Roman"/>
          <w:sz w:val="24"/>
          <w:szCs w:val="24"/>
          <w:lang w:eastAsia="ja-JP"/>
        </w:rPr>
        <w:t xml:space="preserve">; (3) </w:t>
      </w:r>
      <w:r>
        <w:rPr>
          <w:rFonts w:cs="Times New Roman"/>
          <w:sz w:val="24"/>
          <w:szCs w:val="24"/>
          <w:lang w:eastAsia="ja-JP"/>
        </w:rPr>
        <w:t>reporting a work-related injury (this section is only given to those whose injury occurred or was made worse at work)</w:t>
      </w:r>
      <w:r w:rsidRPr="00D1345F">
        <w:rPr>
          <w:rFonts w:cs="Times New Roman"/>
          <w:sz w:val="24"/>
          <w:szCs w:val="24"/>
          <w:lang w:eastAsia="ja-JP"/>
        </w:rPr>
        <w:t xml:space="preserve">; (4) </w:t>
      </w:r>
      <w:r>
        <w:rPr>
          <w:rFonts w:cs="Times New Roman"/>
          <w:sz w:val="24"/>
          <w:szCs w:val="24"/>
          <w:lang w:eastAsia="ja-JP"/>
        </w:rPr>
        <w:t>medical coverage and state of recovery</w:t>
      </w:r>
      <w:r w:rsidRPr="00D1345F">
        <w:rPr>
          <w:rFonts w:cs="Times New Roman"/>
          <w:sz w:val="24"/>
          <w:szCs w:val="24"/>
          <w:lang w:eastAsia="ja-JP"/>
        </w:rPr>
        <w:t xml:space="preserve">; (5) </w:t>
      </w:r>
      <w:r>
        <w:rPr>
          <w:rFonts w:cs="Times New Roman"/>
          <w:sz w:val="24"/>
          <w:szCs w:val="24"/>
          <w:lang w:eastAsia="ja-JP"/>
        </w:rPr>
        <w:t>occupational data</w:t>
      </w:r>
      <w:r w:rsidRPr="00D1345F">
        <w:rPr>
          <w:rFonts w:cs="Times New Roman"/>
          <w:sz w:val="24"/>
          <w:szCs w:val="24"/>
          <w:lang w:eastAsia="ja-JP"/>
        </w:rPr>
        <w:t xml:space="preserve">; (6) </w:t>
      </w:r>
      <w:r>
        <w:rPr>
          <w:rFonts w:cs="Times New Roman"/>
          <w:sz w:val="24"/>
          <w:szCs w:val="24"/>
          <w:lang w:eastAsia="ja-JP"/>
        </w:rPr>
        <w:t>Theory of Planned Behavior questions</w:t>
      </w:r>
      <w:r w:rsidRPr="00D1345F">
        <w:rPr>
          <w:rFonts w:cs="Times New Roman"/>
          <w:sz w:val="24"/>
          <w:szCs w:val="24"/>
          <w:lang w:eastAsia="ja-JP"/>
        </w:rPr>
        <w:t xml:space="preserve">; (7) </w:t>
      </w:r>
      <w:r>
        <w:rPr>
          <w:rFonts w:cs="Times New Roman"/>
          <w:sz w:val="24"/>
          <w:szCs w:val="24"/>
          <w:lang w:eastAsia="ja-JP"/>
        </w:rPr>
        <w:t>demographic and sensitive occupational information</w:t>
      </w:r>
      <w:r w:rsidRPr="00D1345F">
        <w:rPr>
          <w:rFonts w:cs="Times New Roman"/>
          <w:sz w:val="24"/>
          <w:szCs w:val="24"/>
          <w:lang w:eastAsia="ja-JP"/>
        </w:rPr>
        <w:t xml:space="preserve">; </w:t>
      </w:r>
      <w:r>
        <w:rPr>
          <w:rFonts w:cs="Times New Roman"/>
          <w:sz w:val="24"/>
          <w:szCs w:val="24"/>
          <w:lang w:eastAsia="ja-JP"/>
        </w:rPr>
        <w:t xml:space="preserve">and </w:t>
      </w:r>
      <w:r w:rsidRPr="00D1345F">
        <w:rPr>
          <w:rFonts w:cs="Times New Roman"/>
          <w:sz w:val="24"/>
          <w:szCs w:val="24"/>
          <w:lang w:eastAsia="ja-JP"/>
        </w:rPr>
        <w:t xml:space="preserve">(8) </w:t>
      </w:r>
      <w:r>
        <w:rPr>
          <w:rFonts w:cs="Times New Roman"/>
          <w:sz w:val="24"/>
          <w:szCs w:val="24"/>
          <w:lang w:eastAsia="ja-JP"/>
        </w:rPr>
        <w:t>debriefing/summary</w:t>
      </w:r>
      <w:r w:rsidRPr="00D1345F">
        <w:rPr>
          <w:rFonts w:cs="Times New Roman"/>
          <w:sz w:val="24"/>
          <w:szCs w:val="24"/>
          <w:lang w:eastAsia="ja-JP"/>
        </w:rPr>
        <w:t xml:space="preserve">. </w:t>
      </w:r>
      <w:r>
        <w:rPr>
          <w:rFonts w:cs="Times New Roman"/>
          <w:sz w:val="24"/>
          <w:szCs w:val="24"/>
          <w:lang w:eastAsia="ja-JP"/>
        </w:rPr>
        <w:t xml:space="preserve">Information that could be used to directly identify an individual will not be collected. However, it is possible that the combination of injury narrative and other job-related and demographic indicators collected by the interview may be used to indirectly identify individuals. As a result, strict policies, as detailed above, will be followed to ensure that this information remains </w:t>
      </w:r>
      <w:r w:rsidR="00987961">
        <w:rPr>
          <w:rFonts w:cs="Times New Roman"/>
          <w:sz w:val="24"/>
          <w:szCs w:val="24"/>
          <w:lang w:eastAsia="ja-JP"/>
        </w:rPr>
        <w:t>secure</w:t>
      </w:r>
      <w:r>
        <w:rPr>
          <w:rFonts w:cs="Times New Roman"/>
          <w:sz w:val="24"/>
          <w:szCs w:val="24"/>
          <w:lang w:eastAsia="ja-JP"/>
        </w:rPr>
        <w:t>.</w:t>
      </w:r>
    </w:p>
    <w:p w:rsidR="00CB0531" w:rsidRPr="00D1345F" w:rsidRDefault="00CB0531" w:rsidP="00CB0531">
      <w:pPr>
        <w:spacing w:after="0"/>
        <w:ind w:firstLine="360"/>
        <w:rPr>
          <w:rFonts w:cs="Times New Roman"/>
          <w:sz w:val="24"/>
          <w:szCs w:val="24"/>
          <w:lang w:eastAsia="ja-JP"/>
        </w:rPr>
      </w:pPr>
      <w:r w:rsidRPr="00D1345F">
        <w:rPr>
          <w:rFonts w:cs="Times New Roman"/>
          <w:sz w:val="24"/>
          <w:szCs w:val="24"/>
          <w:lang w:eastAsia="ja-JP"/>
        </w:rPr>
        <w:t xml:space="preserve">The initial draft questionnaire was developed by </w:t>
      </w:r>
      <w:r>
        <w:rPr>
          <w:rFonts w:cs="Times New Roman"/>
          <w:sz w:val="24"/>
          <w:szCs w:val="24"/>
          <w:lang w:eastAsia="ja-JP"/>
        </w:rPr>
        <w:t>NIOSH staff in collaboration with outside experts in the field</w:t>
      </w:r>
      <w:r w:rsidRPr="00D1345F">
        <w:rPr>
          <w:rFonts w:cs="Times New Roman"/>
          <w:sz w:val="24"/>
          <w:szCs w:val="24"/>
          <w:lang w:eastAsia="ja-JP"/>
        </w:rPr>
        <w:t xml:space="preserve">. NIOSH staff </w:t>
      </w:r>
      <w:r>
        <w:rPr>
          <w:rFonts w:cs="Times New Roman"/>
          <w:sz w:val="24"/>
          <w:szCs w:val="24"/>
          <w:lang w:eastAsia="ja-JP"/>
        </w:rPr>
        <w:t>solicited comments from both experiential and topical experts</w:t>
      </w:r>
      <w:r w:rsidRPr="00D1345F">
        <w:rPr>
          <w:rFonts w:cs="Times New Roman"/>
          <w:sz w:val="24"/>
          <w:szCs w:val="24"/>
          <w:lang w:eastAsia="ja-JP"/>
        </w:rPr>
        <w:t>.</w:t>
      </w:r>
      <w:r>
        <w:rPr>
          <w:rFonts w:cs="Times New Roman"/>
          <w:sz w:val="24"/>
          <w:szCs w:val="24"/>
          <w:lang w:eastAsia="ja-JP"/>
        </w:rPr>
        <w:t xml:space="preserve"> Experiential experts consisted of several workers (e.g., nurses and construction workers) who were asked to review the Theory of Planned Behavior questions and to provide feedback on ease of comprehension and relevance to their work situation. Topical experts reviewed and provided feedback on the questionnaire in its entirety. </w:t>
      </w:r>
      <w:r w:rsidRPr="00D1345F">
        <w:rPr>
          <w:rFonts w:cs="Times New Roman"/>
          <w:sz w:val="24"/>
          <w:szCs w:val="24"/>
          <w:lang w:eastAsia="ja-JP"/>
        </w:rPr>
        <w:t xml:space="preserve">Revisions were made to the instrument </w:t>
      </w:r>
      <w:r>
        <w:rPr>
          <w:rFonts w:cs="Times New Roman"/>
          <w:sz w:val="24"/>
          <w:szCs w:val="24"/>
          <w:lang w:eastAsia="ja-JP"/>
        </w:rPr>
        <w:lastRenderedPageBreak/>
        <w:t>to incorporate reviewers’</w:t>
      </w:r>
      <w:r w:rsidRPr="00D1345F">
        <w:rPr>
          <w:rFonts w:cs="Times New Roman"/>
          <w:sz w:val="24"/>
          <w:szCs w:val="24"/>
          <w:lang w:eastAsia="ja-JP"/>
        </w:rPr>
        <w:t xml:space="preserve"> comments </w:t>
      </w:r>
      <w:r>
        <w:rPr>
          <w:rFonts w:cs="Times New Roman"/>
          <w:sz w:val="24"/>
          <w:szCs w:val="24"/>
          <w:lang w:eastAsia="ja-JP"/>
        </w:rPr>
        <w:t xml:space="preserve">and to </w:t>
      </w:r>
      <w:r w:rsidRPr="00D1345F">
        <w:rPr>
          <w:rFonts w:cs="Times New Roman"/>
          <w:sz w:val="24"/>
          <w:szCs w:val="24"/>
          <w:lang w:eastAsia="ja-JP"/>
        </w:rPr>
        <w:t>harmonize the questionnaire with another underreporting survey being conducted by NIOSH.</w:t>
      </w:r>
      <w:r>
        <w:rPr>
          <w:rFonts w:cs="Times New Roman"/>
          <w:sz w:val="24"/>
          <w:szCs w:val="24"/>
          <w:lang w:eastAsia="ja-JP"/>
        </w:rPr>
        <w:t xml:space="preserve"> </w:t>
      </w:r>
      <w:r w:rsidRPr="00D1345F">
        <w:rPr>
          <w:rFonts w:cs="Times New Roman"/>
          <w:sz w:val="24"/>
          <w:szCs w:val="24"/>
          <w:lang w:eastAsia="ja-JP"/>
        </w:rPr>
        <w:t xml:space="preserve">The revised questionnaire was </w:t>
      </w:r>
      <w:r>
        <w:rPr>
          <w:rFonts w:cs="Times New Roman"/>
          <w:sz w:val="24"/>
          <w:szCs w:val="24"/>
          <w:lang w:eastAsia="ja-JP"/>
        </w:rPr>
        <w:t xml:space="preserve">pilot </w:t>
      </w:r>
      <w:r w:rsidRPr="00D1345F">
        <w:rPr>
          <w:rFonts w:cs="Times New Roman"/>
          <w:sz w:val="24"/>
          <w:szCs w:val="24"/>
          <w:lang w:eastAsia="ja-JP"/>
        </w:rPr>
        <w:t xml:space="preserve">tested on a small number of employees at the NIOSH Morgantown branch who </w:t>
      </w:r>
      <w:r>
        <w:rPr>
          <w:rFonts w:cs="Times New Roman"/>
          <w:sz w:val="24"/>
          <w:szCs w:val="24"/>
          <w:lang w:eastAsia="ja-JP"/>
        </w:rPr>
        <w:t>used</w:t>
      </w:r>
      <w:r w:rsidRPr="00D1345F">
        <w:rPr>
          <w:rFonts w:cs="Times New Roman"/>
          <w:sz w:val="24"/>
          <w:szCs w:val="24"/>
          <w:lang w:eastAsia="ja-JP"/>
        </w:rPr>
        <w:t xml:space="preserve"> constructed scenarios in order to test the skip pattern, flow, understandability, and comprehensiveness of the questions and their answer choices. Subsequently, survey experts from R</w:t>
      </w:r>
      <w:r w:rsidR="00490B72">
        <w:rPr>
          <w:rFonts w:cs="Times New Roman"/>
          <w:sz w:val="24"/>
          <w:szCs w:val="24"/>
          <w:lang w:eastAsia="ja-JP"/>
        </w:rPr>
        <w:t>esearch Triangle Institute (RTI</w:t>
      </w:r>
      <w:r w:rsidRPr="00D1345F">
        <w:rPr>
          <w:rFonts w:cs="Times New Roman"/>
          <w:sz w:val="24"/>
          <w:szCs w:val="24"/>
          <w:lang w:eastAsia="ja-JP"/>
        </w:rPr>
        <w:t>), an independent, nonprofit research institution with more than 45 years of experience in survey methodology, reviewed and commented on the questionnaire</w:t>
      </w:r>
      <w:r>
        <w:rPr>
          <w:rFonts w:cs="Times New Roman"/>
          <w:sz w:val="24"/>
          <w:szCs w:val="24"/>
          <w:lang w:eastAsia="ja-JP"/>
        </w:rPr>
        <w:t xml:space="preserve"> and conducted cognitive interviews on nine participants</w:t>
      </w:r>
      <w:r w:rsidRPr="00D1345F">
        <w:rPr>
          <w:rFonts w:cs="Times New Roman"/>
          <w:sz w:val="24"/>
          <w:szCs w:val="24"/>
          <w:lang w:eastAsia="ja-JP"/>
        </w:rPr>
        <w:t xml:space="preserve">. </w:t>
      </w:r>
      <w:r>
        <w:rPr>
          <w:rFonts w:cs="Times New Roman"/>
          <w:sz w:val="24"/>
          <w:szCs w:val="24"/>
          <w:lang w:eastAsia="ja-JP"/>
        </w:rPr>
        <w:t>Finally, N</w:t>
      </w:r>
      <w:r w:rsidRPr="00D1345F">
        <w:rPr>
          <w:rFonts w:cs="Times New Roman"/>
          <w:sz w:val="24"/>
          <w:szCs w:val="24"/>
          <w:lang w:eastAsia="ja-JP"/>
        </w:rPr>
        <w:t>IOSH staff work</w:t>
      </w:r>
      <w:r>
        <w:rPr>
          <w:rFonts w:cs="Times New Roman"/>
          <w:sz w:val="24"/>
          <w:szCs w:val="24"/>
          <w:lang w:eastAsia="ja-JP"/>
        </w:rPr>
        <w:t>ed</w:t>
      </w:r>
      <w:r w:rsidRPr="00D1345F">
        <w:rPr>
          <w:rFonts w:cs="Times New Roman"/>
          <w:sz w:val="24"/>
          <w:szCs w:val="24"/>
          <w:lang w:eastAsia="ja-JP"/>
        </w:rPr>
        <w:t xml:space="preserve"> with RTI staff to revise the questionnaire (Appendix </w:t>
      </w:r>
      <w:r w:rsidR="00ED77CE">
        <w:rPr>
          <w:rFonts w:cs="Times New Roman"/>
          <w:sz w:val="24"/>
          <w:szCs w:val="24"/>
          <w:lang w:eastAsia="ja-JP"/>
        </w:rPr>
        <w:t>D</w:t>
      </w:r>
      <w:r w:rsidRPr="00D1345F">
        <w:rPr>
          <w:rFonts w:cs="Times New Roman"/>
          <w:sz w:val="24"/>
          <w:szCs w:val="24"/>
          <w:lang w:eastAsia="ja-JP"/>
        </w:rPr>
        <w:t xml:space="preserve">) </w:t>
      </w:r>
      <w:r>
        <w:rPr>
          <w:rFonts w:cs="Times New Roman"/>
          <w:sz w:val="24"/>
          <w:szCs w:val="24"/>
          <w:lang w:eastAsia="ja-JP"/>
        </w:rPr>
        <w:t>based on the results of</w:t>
      </w:r>
      <w:r w:rsidRPr="00D1345F">
        <w:rPr>
          <w:rFonts w:cs="Times New Roman"/>
          <w:sz w:val="24"/>
          <w:szCs w:val="24"/>
          <w:lang w:eastAsia="ja-JP"/>
        </w:rPr>
        <w:t xml:space="preserve"> cognitive testing. </w:t>
      </w:r>
    </w:p>
    <w:p w:rsidR="000934C9" w:rsidRDefault="000934C9" w:rsidP="00CB0531">
      <w:pPr>
        <w:spacing w:after="0"/>
        <w:rPr>
          <w:sz w:val="24"/>
          <w:szCs w:val="24"/>
          <w:u w:val="single"/>
        </w:rPr>
      </w:pPr>
    </w:p>
    <w:p w:rsidR="00CB0531" w:rsidRPr="00144D9A" w:rsidRDefault="00CB0531" w:rsidP="00CB0531">
      <w:pPr>
        <w:spacing w:after="0"/>
        <w:rPr>
          <w:i/>
          <w:sz w:val="24"/>
          <w:szCs w:val="24"/>
        </w:rPr>
      </w:pPr>
      <w:r w:rsidRPr="00144D9A">
        <w:rPr>
          <w:i/>
          <w:sz w:val="24"/>
          <w:szCs w:val="24"/>
          <w:u w:val="single"/>
        </w:rPr>
        <w:t>Identification of Website(s) and Website Content directed at Children Under 13 Years of Age</w:t>
      </w:r>
    </w:p>
    <w:p w:rsidR="00CB0531" w:rsidRPr="00BB0625" w:rsidRDefault="00CB0531" w:rsidP="0042235B">
      <w:pPr>
        <w:spacing w:after="0"/>
        <w:ind w:firstLine="360"/>
        <w:rPr>
          <w:sz w:val="24"/>
          <w:szCs w:val="24"/>
        </w:rPr>
      </w:pPr>
      <w:r>
        <w:rPr>
          <w:sz w:val="24"/>
          <w:szCs w:val="24"/>
        </w:rPr>
        <w:t xml:space="preserve">The proposed project does not involve any web-based data collection methods nor is it </w:t>
      </w:r>
      <w:r w:rsidRPr="00BB0625">
        <w:rPr>
          <w:sz w:val="24"/>
          <w:szCs w:val="24"/>
        </w:rPr>
        <w:t xml:space="preserve">associated with any websites with content directed at </w:t>
      </w:r>
      <w:r w:rsidR="0042235B">
        <w:rPr>
          <w:sz w:val="24"/>
          <w:szCs w:val="24"/>
        </w:rPr>
        <w:t>children under 13 years of age.</w:t>
      </w:r>
    </w:p>
    <w:p w:rsidR="00CB0531" w:rsidRPr="00084320" w:rsidRDefault="00CB0531" w:rsidP="00CB0531">
      <w:pPr>
        <w:pStyle w:val="Heading2"/>
        <w:rPr>
          <w:rFonts w:asciiTheme="minorHAnsi" w:hAnsiTheme="minorHAnsi"/>
          <w:sz w:val="24"/>
          <w:szCs w:val="24"/>
        </w:rPr>
      </w:pPr>
      <w:bookmarkStart w:id="4" w:name="_Toc309647137"/>
      <w:r w:rsidRPr="00084320">
        <w:rPr>
          <w:rFonts w:asciiTheme="minorHAnsi" w:hAnsiTheme="minorHAnsi"/>
          <w:sz w:val="24"/>
          <w:szCs w:val="24"/>
        </w:rPr>
        <w:t xml:space="preserve">A.2. </w:t>
      </w:r>
      <w:r w:rsidRPr="00084320">
        <w:rPr>
          <w:rFonts w:asciiTheme="minorHAnsi" w:hAnsiTheme="minorHAnsi"/>
          <w:sz w:val="24"/>
          <w:szCs w:val="24"/>
        </w:rPr>
        <w:tab/>
        <w:t>Purpose and Use of Information Collection</w:t>
      </w:r>
      <w:bookmarkEnd w:id="4"/>
    </w:p>
    <w:p w:rsidR="00CB0531" w:rsidRPr="00BB0625" w:rsidRDefault="00CB0531" w:rsidP="00CB0531">
      <w:pPr>
        <w:spacing w:after="0"/>
        <w:ind w:firstLine="360"/>
        <w:rPr>
          <w:sz w:val="24"/>
          <w:szCs w:val="24"/>
        </w:rPr>
      </w:pPr>
      <w:r w:rsidRPr="00BB0625">
        <w:rPr>
          <w:sz w:val="24"/>
          <w:szCs w:val="24"/>
        </w:rPr>
        <w:t xml:space="preserve">The data for this project are being collected to: (1) characterize and quantify the relative importance of incentives and disincentives to self-identifying work-relatedness at the time of medical treatment and to </w:t>
      </w:r>
      <w:r>
        <w:rPr>
          <w:sz w:val="24"/>
          <w:szCs w:val="24"/>
        </w:rPr>
        <w:t>one’s</w:t>
      </w:r>
      <w:r w:rsidRPr="00BB0625">
        <w:rPr>
          <w:sz w:val="24"/>
          <w:szCs w:val="24"/>
        </w:rPr>
        <w:t xml:space="preserve"> employer; (2) characterize individual and employment characteristics that are associated with non-reporting of workplace injuries and incentives and disincentives to reporting; (3) test the reliability of  hospital abstractors  to properly distinguish between work-related and non-work-related injuries; </w:t>
      </w:r>
      <w:r>
        <w:rPr>
          <w:sz w:val="24"/>
          <w:szCs w:val="24"/>
        </w:rPr>
        <w:t xml:space="preserve">and </w:t>
      </w:r>
      <w:r w:rsidRPr="00BB0625">
        <w:rPr>
          <w:sz w:val="24"/>
          <w:szCs w:val="24"/>
        </w:rPr>
        <w:t>(4) use study results to evaluate the feasibility, need, and requirements for a future larger study.</w:t>
      </w:r>
    </w:p>
    <w:p w:rsidR="00CB0531" w:rsidRPr="00BB0625" w:rsidRDefault="00CB0531" w:rsidP="00CB0531">
      <w:pPr>
        <w:spacing w:after="0"/>
        <w:ind w:firstLine="360"/>
        <w:rPr>
          <w:sz w:val="24"/>
          <w:szCs w:val="24"/>
        </w:rPr>
      </w:pPr>
      <w:r>
        <w:rPr>
          <w:sz w:val="24"/>
          <w:szCs w:val="24"/>
        </w:rPr>
        <w:t>T</w:t>
      </w:r>
      <w:r w:rsidRPr="00BB0625">
        <w:rPr>
          <w:sz w:val="24"/>
          <w:szCs w:val="24"/>
        </w:rPr>
        <w:t xml:space="preserve">he data collected for this project fulfill </w:t>
      </w:r>
      <w:r>
        <w:rPr>
          <w:sz w:val="24"/>
          <w:szCs w:val="24"/>
        </w:rPr>
        <w:t>several needs</w:t>
      </w:r>
      <w:r w:rsidRPr="00BB0625">
        <w:rPr>
          <w:sz w:val="24"/>
          <w:szCs w:val="24"/>
        </w:rPr>
        <w:t>:</w:t>
      </w:r>
    </w:p>
    <w:p w:rsidR="00CB0531" w:rsidRDefault="00CB0531" w:rsidP="00CB0531">
      <w:pPr>
        <w:pStyle w:val="ListParagraph"/>
        <w:numPr>
          <w:ilvl w:val="0"/>
          <w:numId w:val="4"/>
        </w:numPr>
        <w:spacing w:after="0"/>
        <w:rPr>
          <w:sz w:val="24"/>
          <w:szCs w:val="24"/>
        </w:rPr>
      </w:pPr>
      <w:r>
        <w:rPr>
          <w:sz w:val="24"/>
          <w:szCs w:val="24"/>
        </w:rPr>
        <w:t>The information obtained through this study will be used to aid NIOSH and the Bureau of Labor Statistics (BLS) in improving the statistics that inform Federal enforcement and compliance efforts related to workplace safety and prevention of injuries. This is important because currently, according to a 2008 report from Congress, “work-related injuries and illnesses in the United States are chronically and even grossly underreported” (Committee on Education and Labor, 2008).</w:t>
      </w:r>
    </w:p>
    <w:p w:rsidR="00CB0531" w:rsidRPr="00394A81" w:rsidRDefault="00CB0531" w:rsidP="00CB0531">
      <w:pPr>
        <w:pStyle w:val="ListParagraph"/>
        <w:numPr>
          <w:ilvl w:val="0"/>
          <w:numId w:val="4"/>
        </w:numPr>
        <w:spacing w:after="0"/>
        <w:rPr>
          <w:sz w:val="24"/>
          <w:szCs w:val="24"/>
        </w:rPr>
      </w:pPr>
      <w:r>
        <w:rPr>
          <w:sz w:val="24"/>
          <w:szCs w:val="24"/>
        </w:rPr>
        <w:t xml:space="preserve">This project will provide important information on </w:t>
      </w:r>
      <w:r w:rsidRPr="00394A81">
        <w:rPr>
          <w:sz w:val="24"/>
          <w:szCs w:val="24"/>
        </w:rPr>
        <w:t xml:space="preserve">the </w:t>
      </w:r>
      <w:r>
        <w:rPr>
          <w:sz w:val="24"/>
          <w:szCs w:val="24"/>
        </w:rPr>
        <w:t xml:space="preserve">individual, job, and injury </w:t>
      </w:r>
      <w:r w:rsidRPr="00394A81">
        <w:rPr>
          <w:sz w:val="24"/>
          <w:szCs w:val="24"/>
        </w:rPr>
        <w:t xml:space="preserve">characteristics </w:t>
      </w:r>
      <w:r>
        <w:rPr>
          <w:sz w:val="24"/>
          <w:szCs w:val="24"/>
        </w:rPr>
        <w:t>that are associated with underreporting as well as the various barriers and/or incentives associated with reporting an injury to one’s employer. This information can be used to better target programs whose objectives are to increase reporting of occupational injuries.</w:t>
      </w:r>
    </w:p>
    <w:p w:rsidR="00CB0531" w:rsidRPr="00AF4A7F" w:rsidRDefault="00CB0531" w:rsidP="00CB0531">
      <w:pPr>
        <w:pStyle w:val="ListParagraph"/>
        <w:numPr>
          <w:ilvl w:val="0"/>
          <w:numId w:val="4"/>
        </w:numPr>
        <w:spacing w:after="0"/>
        <w:rPr>
          <w:sz w:val="24"/>
          <w:szCs w:val="24"/>
        </w:rPr>
      </w:pPr>
      <w:r w:rsidRPr="00AF4A7F">
        <w:rPr>
          <w:bCs/>
          <w:sz w:val="24"/>
          <w:szCs w:val="24"/>
        </w:rPr>
        <w:t>N</w:t>
      </w:r>
      <w:r w:rsidRPr="00AF4A7F">
        <w:rPr>
          <w:sz w:val="24"/>
          <w:szCs w:val="24"/>
        </w:rPr>
        <w:t>EISS-Work national estimates are dependent on the work relationship of an injury being identified by the patient or provider, recorded in the medical record, and captured by the records abstractors.</w:t>
      </w:r>
      <w:r>
        <w:rPr>
          <w:sz w:val="24"/>
          <w:szCs w:val="24"/>
        </w:rPr>
        <w:t xml:space="preserve"> </w:t>
      </w:r>
      <w:r w:rsidRPr="00AF4A7F">
        <w:rPr>
          <w:bCs/>
          <w:sz w:val="24"/>
          <w:szCs w:val="24"/>
        </w:rPr>
        <w:t xml:space="preserve">The proposed project will </w:t>
      </w:r>
      <w:r>
        <w:rPr>
          <w:bCs/>
          <w:sz w:val="24"/>
          <w:szCs w:val="24"/>
        </w:rPr>
        <w:t>contribute to an assessment of</w:t>
      </w:r>
      <w:r w:rsidRPr="00AF4A7F">
        <w:rPr>
          <w:bCs/>
          <w:sz w:val="24"/>
          <w:szCs w:val="24"/>
        </w:rPr>
        <w:t xml:space="preserve"> </w:t>
      </w:r>
      <w:r>
        <w:rPr>
          <w:bCs/>
          <w:sz w:val="24"/>
          <w:szCs w:val="24"/>
        </w:rPr>
        <w:t xml:space="preserve">both </w:t>
      </w:r>
      <w:r w:rsidRPr="00AF4A7F">
        <w:rPr>
          <w:bCs/>
          <w:sz w:val="24"/>
          <w:szCs w:val="24"/>
        </w:rPr>
        <w:t xml:space="preserve">the validity </w:t>
      </w:r>
      <w:r>
        <w:rPr>
          <w:bCs/>
          <w:sz w:val="24"/>
          <w:szCs w:val="24"/>
        </w:rPr>
        <w:t xml:space="preserve">and specificity </w:t>
      </w:r>
      <w:r w:rsidRPr="00AF4A7F">
        <w:rPr>
          <w:bCs/>
          <w:sz w:val="24"/>
          <w:szCs w:val="24"/>
        </w:rPr>
        <w:t>of NEISS-Work cases</w:t>
      </w:r>
      <w:r>
        <w:rPr>
          <w:bCs/>
          <w:sz w:val="24"/>
          <w:szCs w:val="24"/>
        </w:rPr>
        <w:t xml:space="preserve"> by asking ED-treated individuals directly if their injury occurred at work. The project will also</w:t>
      </w:r>
      <w:r w:rsidRPr="00AF4A7F">
        <w:rPr>
          <w:bCs/>
          <w:sz w:val="24"/>
          <w:szCs w:val="24"/>
        </w:rPr>
        <w:t xml:space="preserve"> allow us to assess the quality of </w:t>
      </w:r>
      <w:r>
        <w:rPr>
          <w:bCs/>
          <w:sz w:val="24"/>
          <w:szCs w:val="24"/>
        </w:rPr>
        <w:t>other</w:t>
      </w:r>
      <w:r w:rsidRPr="00AF4A7F">
        <w:rPr>
          <w:bCs/>
          <w:sz w:val="24"/>
          <w:szCs w:val="24"/>
        </w:rPr>
        <w:t xml:space="preserve"> data obtained through record abstraction</w:t>
      </w:r>
      <w:r>
        <w:rPr>
          <w:bCs/>
          <w:sz w:val="24"/>
          <w:szCs w:val="24"/>
        </w:rPr>
        <w:t xml:space="preserve"> such as the ED </w:t>
      </w:r>
      <w:r>
        <w:rPr>
          <w:bCs/>
          <w:sz w:val="24"/>
          <w:szCs w:val="24"/>
        </w:rPr>
        <w:lastRenderedPageBreak/>
        <w:t xml:space="preserve">diagnosis, injured body part, and demographic details. </w:t>
      </w:r>
      <w:r>
        <w:rPr>
          <w:sz w:val="24"/>
          <w:szCs w:val="24"/>
        </w:rPr>
        <w:t>This information</w:t>
      </w:r>
      <w:r w:rsidRPr="00AF4A7F">
        <w:rPr>
          <w:sz w:val="24"/>
          <w:szCs w:val="24"/>
        </w:rPr>
        <w:t xml:space="preserve"> will be used to explore ways that the abstraction process </w:t>
      </w:r>
      <w:r>
        <w:rPr>
          <w:sz w:val="24"/>
          <w:szCs w:val="24"/>
        </w:rPr>
        <w:t xml:space="preserve">can be improved </w:t>
      </w:r>
      <w:r w:rsidRPr="00AF4A7F">
        <w:rPr>
          <w:sz w:val="24"/>
          <w:szCs w:val="24"/>
        </w:rPr>
        <w:t xml:space="preserve">to </w:t>
      </w:r>
      <w:r>
        <w:rPr>
          <w:sz w:val="24"/>
          <w:szCs w:val="24"/>
        </w:rPr>
        <w:t xml:space="preserve">better </w:t>
      </w:r>
      <w:r w:rsidRPr="00AF4A7F">
        <w:rPr>
          <w:sz w:val="24"/>
          <w:szCs w:val="24"/>
        </w:rPr>
        <w:t xml:space="preserve">identify work-related cases at NEISS-Work hospital ED’s </w:t>
      </w:r>
      <w:r>
        <w:rPr>
          <w:sz w:val="24"/>
          <w:szCs w:val="24"/>
        </w:rPr>
        <w:t>and to record information more accurately</w:t>
      </w:r>
      <w:r w:rsidRPr="00AF4A7F">
        <w:rPr>
          <w:sz w:val="24"/>
          <w:szCs w:val="24"/>
        </w:rPr>
        <w:t>.</w:t>
      </w:r>
    </w:p>
    <w:p w:rsidR="00CB0531" w:rsidRPr="00AF4A7F" w:rsidRDefault="00CB0531" w:rsidP="00CB0531">
      <w:pPr>
        <w:pStyle w:val="Default"/>
        <w:numPr>
          <w:ilvl w:val="0"/>
          <w:numId w:val="4"/>
        </w:numPr>
        <w:spacing w:line="276" w:lineRule="auto"/>
        <w:rPr>
          <w:rFonts w:asciiTheme="minorHAnsi" w:hAnsiTheme="minorHAnsi"/>
        </w:rPr>
      </w:pPr>
      <w:r>
        <w:rPr>
          <w:rFonts w:asciiTheme="minorHAnsi" w:hAnsiTheme="minorHAnsi"/>
        </w:rPr>
        <w:t xml:space="preserve">The proposed project </w:t>
      </w:r>
      <w:r w:rsidRPr="00AF4A7F">
        <w:rPr>
          <w:rFonts w:asciiTheme="minorHAnsi" w:hAnsiTheme="minorHAnsi"/>
        </w:rPr>
        <w:t xml:space="preserve">will ask respondents whether they were asked by ED staff </w:t>
      </w:r>
      <w:r>
        <w:rPr>
          <w:rFonts w:asciiTheme="minorHAnsi" w:hAnsiTheme="minorHAnsi"/>
        </w:rPr>
        <w:t xml:space="preserve">while checking in or being examined </w:t>
      </w:r>
      <w:r w:rsidRPr="00AF4A7F">
        <w:rPr>
          <w:rFonts w:asciiTheme="minorHAnsi" w:hAnsiTheme="minorHAnsi"/>
        </w:rPr>
        <w:t>if their injury was work-related. This will give us information on the ability of record abstraction to pick up work-related cases that were not spontaneously self-reported in the ED</w:t>
      </w:r>
      <w:r>
        <w:rPr>
          <w:rFonts w:asciiTheme="minorHAnsi" w:hAnsiTheme="minorHAnsi"/>
        </w:rPr>
        <w:t>.</w:t>
      </w:r>
    </w:p>
    <w:p w:rsidR="00CB0531" w:rsidRDefault="00CB0531" w:rsidP="00CB0531">
      <w:pPr>
        <w:pStyle w:val="ListParagraph"/>
        <w:numPr>
          <w:ilvl w:val="0"/>
          <w:numId w:val="4"/>
        </w:numPr>
        <w:spacing w:after="0"/>
        <w:rPr>
          <w:sz w:val="24"/>
          <w:szCs w:val="24"/>
        </w:rPr>
      </w:pPr>
      <w:r>
        <w:rPr>
          <w:sz w:val="24"/>
          <w:szCs w:val="24"/>
        </w:rPr>
        <w:t>Study results will be used to ascertain the feasibility of a larger Phase 2 study based on this pilot research. A larger research study would potentially include a wider range of employee types (e.g., farm or ranch workers), incorporate individuals with occupational illnesses, and be translated into Spanish. If judged to be useful and affordable, the Phase 2 study could incorporate information learned during this pilot study in order to make Phase 2 more successful.</w:t>
      </w:r>
    </w:p>
    <w:p w:rsidR="00CB0531" w:rsidRDefault="00CB0531" w:rsidP="00CB0531">
      <w:pPr>
        <w:pStyle w:val="ListParagraph"/>
        <w:numPr>
          <w:ilvl w:val="0"/>
          <w:numId w:val="4"/>
        </w:numPr>
        <w:spacing w:after="0"/>
        <w:rPr>
          <w:sz w:val="24"/>
          <w:szCs w:val="24"/>
        </w:rPr>
      </w:pPr>
      <w:r>
        <w:rPr>
          <w:sz w:val="24"/>
          <w:szCs w:val="24"/>
        </w:rPr>
        <w:t xml:space="preserve">Over time, </w:t>
      </w:r>
      <w:r w:rsidRPr="00AF4A7F">
        <w:rPr>
          <w:sz w:val="24"/>
          <w:szCs w:val="24"/>
        </w:rPr>
        <w:t xml:space="preserve">the study results will be incorporated into new abstractor training, data processes, and routine NEISS-Work data reports such that a </w:t>
      </w:r>
      <w:r>
        <w:rPr>
          <w:sz w:val="24"/>
          <w:szCs w:val="24"/>
        </w:rPr>
        <w:t>diverse</w:t>
      </w:r>
      <w:r w:rsidRPr="00AF4A7F">
        <w:rPr>
          <w:sz w:val="24"/>
          <w:szCs w:val="24"/>
        </w:rPr>
        <w:t xml:space="preserve"> dissemination of results occurs. More importantly, we will disseminate the findings from the proposed research through four primary communications channels: traditional scientific journal publications; a NIOSH summary document; surveillance-focused meetings such as the</w:t>
      </w:r>
      <w:r>
        <w:rPr>
          <w:sz w:val="24"/>
          <w:szCs w:val="24"/>
        </w:rPr>
        <w:t xml:space="preserve"> Council of State and Territorial Epidemiologists’</w:t>
      </w:r>
      <w:r w:rsidRPr="00AF4A7F">
        <w:rPr>
          <w:sz w:val="24"/>
          <w:szCs w:val="24"/>
        </w:rPr>
        <w:t xml:space="preserve"> </w:t>
      </w:r>
      <w:r>
        <w:rPr>
          <w:sz w:val="24"/>
          <w:szCs w:val="24"/>
        </w:rPr>
        <w:t>(</w:t>
      </w:r>
      <w:r w:rsidRPr="00AF4A7F">
        <w:rPr>
          <w:sz w:val="24"/>
          <w:szCs w:val="24"/>
        </w:rPr>
        <w:t>CSTE</w:t>
      </w:r>
      <w:r>
        <w:rPr>
          <w:sz w:val="24"/>
          <w:szCs w:val="24"/>
        </w:rPr>
        <w:t>)</w:t>
      </w:r>
      <w:r w:rsidRPr="00AF4A7F">
        <w:rPr>
          <w:sz w:val="24"/>
          <w:szCs w:val="24"/>
        </w:rPr>
        <w:t xml:space="preserve"> annual meeting; and a final project closeout workshop. NIOSH will not publicly release micro-data from this study because of confidentiality requirements.</w:t>
      </w:r>
    </w:p>
    <w:p w:rsidR="00CB0531" w:rsidRDefault="00CB0531" w:rsidP="00CB0531">
      <w:pPr>
        <w:spacing w:after="0"/>
        <w:ind w:firstLine="360"/>
        <w:rPr>
          <w:sz w:val="24"/>
          <w:szCs w:val="24"/>
        </w:rPr>
      </w:pPr>
      <w:r>
        <w:rPr>
          <w:sz w:val="24"/>
          <w:szCs w:val="24"/>
        </w:rPr>
        <w:t>This project has much practical utility in that it will produce and disseminate products that alert employers, workers, and others vested in worker health and safety to the barriers and incentives associated with underreporting of occupational injuries and the individual and employment characteristics associated with these barriers and incentives to reporting. It will also help define actual reporting practices. Consequently, it will provide important information to develop and target campaigns to reduce barriers and promote incentives to occupational injury reporting. It will also provide information on the quality of the NEISS-Work data and issues that should be addressed in future abstractor trainings. Without this information, surveillance systems may continue to greatly undercount the number of occupational injuries and illnesses that occur to US workers. Finally, it will provide information on the feasibility of a larger Phase 2 study and provide a blueprint to study design should Phase 2 be pursued.</w:t>
      </w:r>
    </w:p>
    <w:p w:rsidR="00CB0531" w:rsidRPr="00E671A5" w:rsidRDefault="00CB0531" w:rsidP="00CB0531">
      <w:pPr>
        <w:spacing w:after="0"/>
        <w:ind w:firstLine="360"/>
        <w:rPr>
          <w:sz w:val="24"/>
          <w:szCs w:val="24"/>
        </w:rPr>
      </w:pPr>
      <w:r>
        <w:rPr>
          <w:sz w:val="24"/>
          <w:szCs w:val="24"/>
        </w:rPr>
        <w:t xml:space="preserve">Collecting detailed data that will lead to improved surveillance of occupational injuries has direct benefit to NIOSH, addressing the agency’s mission to “generate new knowledge in the field of occupational safety and health and to transfer that knowledge into practice for the betterment of workers” [http://www.cdc.gov/niosh/about.html]. Specifically, this project will contribute to the surveillance program at NIOSH, helping to bridge existing data gaps. Surveillance activities have been an integral part of NIOSH’s work since it was created by the Occupational Safety and Health Act in 1970. Furthermore, this project addresses several of </w:t>
      </w:r>
      <w:r>
        <w:rPr>
          <w:sz w:val="24"/>
          <w:szCs w:val="24"/>
        </w:rPr>
        <w:lastRenderedPageBreak/>
        <w:t xml:space="preserve">NIOSH’s surveillance strategic goals to (1) increase the utility of surveillance information for prevention of occupational illnesses, injuries, and hazards; (2) promote successful occupational safety and health surveillance conducted by employers, unions, and other non-governmental </w:t>
      </w:r>
      <w:r w:rsidRPr="00E671A5">
        <w:rPr>
          <w:sz w:val="24"/>
          <w:szCs w:val="24"/>
        </w:rPr>
        <w:t>organizations; and (3) increase research to improve surveillance.</w:t>
      </w:r>
    </w:p>
    <w:p w:rsidR="00CB0531" w:rsidRPr="00C64723" w:rsidRDefault="00847437" w:rsidP="00CB0531">
      <w:pPr>
        <w:spacing w:after="0"/>
        <w:ind w:firstLine="360"/>
        <w:rPr>
          <w:sz w:val="24"/>
          <w:szCs w:val="24"/>
        </w:rPr>
      </w:pPr>
      <w:r>
        <w:rPr>
          <w:sz w:val="24"/>
          <w:szCs w:val="24"/>
        </w:rPr>
        <w:t>Whereas this project will collect data from a national sample of hospital EDs, and provide weighted estimates and confidence intervals representative of national numbers of those admitted to EDs, t</w:t>
      </w:r>
      <w:r w:rsidR="005E4E36">
        <w:rPr>
          <w:sz w:val="24"/>
          <w:szCs w:val="24"/>
        </w:rPr>
        <w:t>he resulting sample will not be representative of the national workforce nor all worker injuries for the workers covered in the catchment areas of the EDs in the sample. Of particular note,</w:t>
      </w:r>
      <w:r w:rsidR="005E4E36" w:rsidRPr="005E4E36">
        <w:rPr>
          <w:sz w:val="24"/>
          <w:szCs w:val="24"/>
        </w:rPr>
        <w:t xml:space="preserve"> </w:t>
      </w:r>
      <w:r w:rsidR="005E4E36">
        <w:rPr>
          <w:sz w:val="24"/>
          <w:szCs w:val="24"/>
        </w:rPr>
        <w:t xml:space="preserve">the sample is limited in that it only provides numbers based on ED-treated injuries. </w:t>
      </w:r>
      <w:r w:rsidR="00CB0531">
        <w:rPr>
          <w:sz w:val="24"/>
          <w:szCs w:val="24"/>
        </w:rPr>
        <w:t>Consequently, the injuries captured are those that need immediate medical care. These injuries do not frequently result in hospitalization. However, currently, this surveillance system offers the best potential for capturing details regarding occupational injuries from a national perspective</w:t>
      </w:r>
      <w:r w:rsidR="00CB0531" w:rsidRPr="00C64723">
        <w:rPr>
          <w:sz w:val="24"/>
          <w:szCs w:val="24"/>
        </w:rPr>
        <w:t>. All products from this project will explicitly acknowledge that the scope is limited to ED-treated injuries</w:t>
      </w:r>
      <w:r w:rsidR="005E4E36">
        <w:rPr>
          <w:sz w:val="24"/>
          <w:szCs w:val="24"/>
        </w:rPr>
        <w:t>.</w:t>
      </w:r>
      <w:r w:rsidR="00351F9E">
        <w:rPr>
          <w:sz w:val="24"/>
          <w:szCs w:val="24"/>
        </w:rPr>
        <w:t xml:space="preserve"> Furthermore, we will clarify in all reports that although the </w:t>
      </w:r>
      <w:r w:rsidR="00351F9E" w:rsidRPr="004505A3">
        <w:rPr>
          <w:sz w:val="24"/>
          <w:szCs w:val="24"/>
        </w:rPr>
        <w:t xml:space="preserve">data </w:t>
      </w:r>
      <w:r w:rsidR="00351F9E">
        <w:rPr>
          <w:sz w:val="24"/>
          <w:szCs w:val="24"/>
        </w:rPr>
        <w:t>are not</w:t>
      </w:r>
      <w:r w:rsidR="00351F9E" w:rsidRPr="004505A3">
        <w:rPr>
          <w:sz w:val="24"/>
          <w:szCs w:val="24"/>
        </w:rPr>
        <w:t xml:space="preserve"> nationally representative of the workforce,</w:t>
      </w:r>
      <w:r w:rsidR="00351F9E">
        <w:rPr>
          <w:sz w:val="24"/>
          <w:szCs w:val="24"/>
        </w:rPr>
        <w:t xml:space="preserve"> they </w:t>
      </w:r>
      <w:r w:rsidR="00351F9E" w:rsidRPr="004505A3">
        <w:rPr>
          <w:sz w:val="24"/>
          <w:szCs w:val="24"/>
        </w:rPr>
        <w:t>will g</w:t>
      </w:r>
      <w:r w:rsidR="00351F9E">
        <w:rPr>
          <w:sz w:val="24"/>
          <w:szCs w:val="24"/>
        </w:rPr>
        <w:t xml:space="preserve">ive an important picture of incentives and disincentives </w:t>
      </w:r>
      <w:r w:rsidR="00BE283A">
        <w:rPr>
          <w:sz w:val="24"/>
          <w:szCs w:val="24"/>
        </w:rPr>
        <w:t>for</w:t>
      </w:r>
      <w:r w:rsidR="00F378B1">
        <w:rPr>
          <w:sz w:val="24"/>
          <w:szCs w:val="24"/>
        </w:rPr>
        <w:t xml:space="preserve"> </w:t>
      </w:r>
      <w:r w:rsidR="00351F9E" w:rsidRPr="004505A3">
        <w:rPr>
          <w:sz w:val="24"/>
          <w:szCs w:val="24"/>
        </w:rPr>
        <w:t xml:space="preserve">reporting </w:t>
      </w:r>
      <w:r w:rsidR="00351F9E">
        <w:rPr>
          <w:sz w:val="24"/>
          <w:szCs w:val="24"/>
        </w:rPr>
        <w:t xml:space="preserve">of work-related injuries.  </w:t>
      </w:r>
      <w:r w:rsidR="00351F9E" w:rsidRPr="00C64723">
        <w:rPr>
          <w:rFonts w:cs="Times New Roman"/>
          <w:bCs/>
          <w:color w:val="000000"/>
          <w:sz w:val="24"/>
          <w:szCs w:val="24"/>
        </w:rPr>
        <w:t>Prior research has indicated that</w:t>
      </w:r>
      <w:r w:rsidR="00CB0531">
        <w:rPr>
          <w:sz w:val="24"/>
          <w:szCs w:val="24"/>
        </w:rPr>
        <w:t xml:space="preserve"> </w:t>
      </w:r>
      <w:r w:rsidR="00CB0531">
        <w:rPr>
          <w:rFonts w:cs="Times New Roman"/>
          <w:bCs/>
          <w:color w:val="000000"/>
          <w:sz w:val="24"/>
          <w:szCs w:val="24"/>
        </w:rPr>
        <w:t xml:space="preserve">approximately one third of </w:t>
      </w:r>
      <w:r w:rsidR="00CB0531" w:rsidRPr="00C64723">
        <w:rPr>
          <w:rFonts w:cs="Times New Roman"/>
          <w:bCs/>
          <w:color w:val="000000"/>
          <w:sz w:val="24"/>
          <w:szCs w:val="24"/>
        </w:rPr>
        <w:t xml:space="preserve">all medically treated occupational injuries and illnesses </w:t>
      </w:r>
      <w:r w:rsidR="00CB0531">
        <w:rPr>
          <w:rFonts w:cs="Times New Roman"/>
          <w:bCs/>
          <w:color w:val="000000"/>
          <w:sz w:val="24"/>
          <w:szCs w:val="24"/>
        </w:rPr>
        <w:t>in the United States</w:t>
      </w:r>
      <w:r w:rsidR="00CB0531" w:rsidRPr="00C64723">
        <w:rPr>
          <w:rFonts w:cs="Times New Roman"/>
          <w:bCs/>
          <w:color w:val="000000"/>
          <w:sz w:val="24"/>
          <w:szCs w:val="24"/>
        </w:rPr>
        <w:t xml:space="preserve"> </w:t>
      </w:r>
      <w:r w:rsidR="00BE283A">
        <w:rPr>
          <w:rFonts w:cs="Times New Roman"/>
          <w:bCs/>
          <w:color w:val="000000"/>
          <w:sz w:val="24"/>
          <w:szCs w:val="24"/>
        </w:rPr>
        <w:t xml:space="preserve">are seen in </w:t>
      </w:r>
      <w:r w:rsidR="006A3574">
        <w:rPr>
          <w:rFonts w:cs="Times New Roman"/>
          <w:bCs/>
          <w:color w:val="000000"/>
          <w:sz w:val="24"/>
          <w:szCs w:val="24"/>
        </w:rPr>
        <w:t>EDs</w:t>
      </w:r>
      <w:r w:rsidR="00BE283A">
        <w:rPr>
          <w:rFonts w:cs="Times New Roman"/>
          <w:bCs/>
          <w:color w:val="000000"/>
          <w:sz w:val="24"/>
          <w:szCs w:val="24"/>
        </w:rPr>
        <w:t xml:space="preserve">. </w:t>
      </w:r>
      <w:r w:rsidR="005A100A" w:rsidRPr="00C64723">
        <w:rPr>
          <w:rFonts w:cs="Times New Roman"/>
          <w:bCs/>
          <w:color w:val="000000"/>
          <w:sz w:val="24"/>
          <w:szCs w:val="24"/>
        </w:rPr>
        <w:fldChar w:fldCharType="begin"/>
      </w:r>
      <w:r w:rsidR="00CB0531" w:rsidRPr="00C64723">
        <w:rPr>
          <w:rFonts w:cs="Times New Roman"/>
          <w:bCs/>
          <w:color w:val="000000"/>
          <w:sz w:val="24"/>
          <w:szCs w:val="24"/>
        </w:rPr>
        <w:instrText xml:space="preserve"> ADDIN EN.CITE &lt;EndNote&gt;&lt;Cite&gt;&lt;Author&gt;Jackson&lt;/Author&gt;&lt;Year&gt;2001&lt;/Year&gt;&lt;RecNum&gt;79&lt;/RecNum&gt;&lt;DisplayText&gt;(Jackson, 2001)&lt;/DisplayText&gt;&lt;record&gt;&lt;rec-number&gt;79&lt;/rec-number&gt;&lt;foreign-keys&gt;&lt;key app="EN" db-id="rstt2sre7spewzefwrp5rdx8datv0txddvrv"&gt;79&lt;/key&gt;&lt;/foreign-keys&gt;&lt;ref-type name="Journal Article"&gt;17&lt;/ref-type&gt;&lt;contributors&gt;&lt;authors&gt;&lt;author&gt;Jackson, L. L.&lt;/author&gt;&lt;/authors&gt;&lt;/contributors&gt;&lt;auth-address&gt;National Institute for Occupational Safety and Health, Division of Safety Research, Morgantown, WV 26505, USA. LLJackson@cdc.gov&lt;/auth-address&gt;&lt;titles&gt;&lt;title&gt;Non-fatal occupational injuries and illnesses treated in hospital emergency departments in the United States&lt;/title&gt;&lt;secondary-title&gt;Inj Prev&lt;/secondary-title&gt;&lt;/titles&gt;&lt;periodical&gt;&lt;full-title&gt;Inj Prev&lt;/full-title&gt;&lt;/periodical&gt;&lt;pages&gt;i21-6&lt;/pages&gt;&lt;volume&gt;7 Suppl 1&lt;/volume&gt;&lt;edition&gt;2001/09/22&lt;/edition&gt;&lt;keywords&gt;&lt;keyword&gt;Accidents, Occupational/*statistics &amp;amp; numerical data&lt;/keyword&gt;&lt;keyword&gt;Adolescent&lt;/keyword&gt;&lt;keyword&gt;Adult&lt;/keyword&gt;&lt;keyword&gt;Age Distribution&lt;/keyword&gt;&lt;keyword&gt;Emergency Service, Hospital/*utilization&lt;/keyword&gt;&lt;keyword&gt;Female&lt;/keyword&gt;&lt;keyword&gt;Humans&lt;/keyword&gt;&lt;keyword&gt;Incidence&lt;/keyword&gt;&lt;keyword&gt;Injury Severity Score&lt;/keyword&gt;&lt;keyword&gt;Male&lt;/keyword&gt;&lt;keyword&gt;Middle Aged&lt;/keyword&gt;&lt;keyword&gt;Occupational Diseases/diagnosis/*epidemiology/therapy&lt;/keyword&gt;&lt;keyword&gt;Population Surveillance&lt;/keyword&gt;&lt;keyword&gt;Registries&lt;/keyword&gt;&lt;keyword&gt;Risk Factors&lt;/keyword&gt;&lt;keyword&gt;Sex Distribution&lt;/keyword&gt;&lt;keyword&gt;United States/epidemiology&lt;/keyword&gt;&lt;keyword&gt;Wounds and Injuries/diagnosis/*epidemiology/therapy&lt;/keyword&gt;&lt;/keywords&gt;&lt;dates&gt;&lt;year&gt;2001&lt;/year&gt;&lt;pub-dates&gt;&lt;date&gt;Sep&lt;/date&gt;&lt;/pub-dates&gt;&lt;/dates&gt;&lt;isbn&gt;1353-8047 (Print)&amp;#xD;1353-8047 (Linking)&lt;/isbn&gt;&lt;accession-num&gt;11565966&lt;/accession-num&gt;&lt;urls&gt;&lt;related-urls&gt;&lt;url&gt;http://www.ncbi.nlm.nih.gov/entrez/query.fcgi?cmd=Retrieve&amp;amp;db=PubMed&amp;amp;dopt=Citation&amp;amp;list_uids=11565966&lt;/url&gt;&lt;/related-urls&gt;&lt;/urls&gt;&lt;custom2&gt;1765409&lt;/custom2&gt;&lt;language&gt;eng&lt;/language&gt;&lt;/record&gt;&lt;/Cite&gt;&lt;/EndNote&gt;</w:instrText>
      </w:r>
      <w:r w:rsidR="005A100A" w:rsidRPr="00C64723">
        <w:rPr>
          <w:rFonts w:cs="Times New Roman"/>
          <w:bCs/>
          <w:color w:val="000000"/>
          <w:sz w:val="24"/>
          <w:szCs w:val="24"/>
        </w:rPr>
        <w:fldChar w:fldCharType="separate"/>
      </w:r>
      <w:r w:rsidR="00CB0531" w:rsidRPr="00C64723">
        <w:rPr>
          <w:rFonts w:cs="Times New Roman"/>
          <w:bCs/>
          <w:noProof/>
          <w:color w:val="000000"/>
          <w:sz w:val="24"/>
          <w:szCs w:val="24"/>
        </w:rPr>
        <w:t>(Jackson, 2001)</w:t>
      </w:r>
      <w:r w:rsidR="005A100A" w:rsidRPr="00C64723">
        <w:rPr>
          <w:rFonts w:cs="Times New Roman"/>
          <w:bCs/>
          <w:color w:val="000000"/>
          <w:sz w:val="24"/>
          <w:szCs w:val="24"/>
        </w:rPr>
        <w:fldChar w:fldCharType="end"/>
      </w:r>
      <w:r w:rsidR="00CB0531" w:rsidRPr="00C64723">
        <w:rPr>
          <w:rFonts w:cs="Times New Roman"/>
          <w:bCs/>
          <w:color w:val="000000"/>
          <w:sz w:val="24"/>
          <w:szCs w:val="24"/>
        </w:rPr>
        <w:t>.</w:t>
      </w:r>
      <w:r w:rsidR="00CB0531" w:rsidRPr="00C64723">
        <w:rPr>
          <w:sz w:val="24"/>
          <w:szCs w:val="24"/>
        </w:rPr>
        <w:t xml:space="preserve"> </w:t>
      </w:r>
    </w:p>
    <w:p w:rsidR="00CB0531" w:rsidRDefault="00CB0531" w:rsidP="00CB0531">
      <w:pPr>
        <w:spacing w:after="0"/>
        <w:ind w:firstLine="360"/>
        <w:rPr>
          <w:sz w:val="24"/>
          <w:szCs w:val="24"/>
        </w:rPr>
      </w:pPr>
      <w:r w:rsidRPr="00E671A5">
        <w:rPr>
          <w:sz w:val="24"/>
          <w:szCs w:val="24"/>
        </w:rPr>
        <w:t xml:space="preserve">Funds for this project are primarily provided by </w:t>
      </w:r>
      <w:r>
        <w:rPr>
          <w:sz w:val="24"/>
          <w:szCs w:val="24"/>
        </w:rPr>
        <w:t>NIOSH through the National Occupational Research Agenda (NORA) funding mechanism</w:t>
      </w:r>
      <w:r w:rsidRPr="00E671A5">
        <w:rPr>
          <w:sz w:val="24"/>
          <w:szCs w:val="24"/>
        </w:rPr>
        <w:t>. Supplemental funding will come from DSR, NIOSH, as DSR consistently funds routine collection of NEISS-Work data.</w:t>
      </w:r>
    </w:p>
    <w:p w:rsidR="00CB0531" w:rsidRDefault="00CB0531" w:rsidP="00CB0531">
      <w:pPr>
        <w:spacing w:after="0"/>
        <w:rPr>
          <w:sz w:val="24"/>
          <w:szCs w:val="24"/>
        </w:rPr>
      </w:pPr>
    </w:p>
    <w:p w:rsidR="00CB0531" w:rsidRPr="00144D9A" w:rsidRDefault="00CB0531" w:rsidP="00CB0531">
      <w:pPr>
        <w:spacing w:after="0"/>
        <w:rPr>
          <w:sz w:val="24"/>
          <w:szCs w:val="24"/>
          <w:u w:val="single"/>
        </w:rPr>
      </w:pPr>
      <w:r w:rsidRPr="00144D9A">
        <w:rPr>
          <w:b/>
          <w:sz w:val="24"/>
          <w:szCs w:val="24"/>
          <w:u w:val="single"/>
        </w:rPr>
        <w:t>Privacy Impact Assessment Information</w:t>
      </w:r>
    </w:p>
    <w:p w:rsidR="00CB0531" w:rsidRDefault="00CB0531" w:rsidP="00CB0531">
      <w:pPr>
        <w:spacing w:after="0"/>
        <w:rPr>
          <w:sz w:val="24"/>
          <w:szCs w:val="24"/>
        </w:rPr>
      </w:pPr>
    </w:p>
    <w:p w:rsidR="00CB0531" w:rsidRPr="00144D9A" w:rsidRDefault="00CB0531" w:rsidP="00CB0531">
      <w:pPr>
        <w:spacing w:after="0"/>
        <w:rPr>
          <w:i/>
          <w:sz w:val="24"/>
          <w:szCs w:val="24"/>
        </w:rPr>
      </w:pPr>
      <w:r w:rsidRPr="00144D9A">
        <w:rPr>
          <w:i/>
          <w:sz w:val="24"/>
          <w:szCs w:val="24"/>
          <w:u w:val="single"/>
        </w:rPr>
        <w:t>Reason for collection of the information</w:t>
      </w:r>
    </w:p>
    <w:p w:rsidR="00CB0531" w:rsidRDefault="00CB0531" w:rsidP="00CB0531">
      <w:pPr>
        <w:spacing w:after="0"/>
        <w:ind w:firstLine="360"/>
        <w:rPr>
          <w:sz w:val="24"/>
          <w:szCs w:val="24"/>
        </w:rPr>
      </w:pPr>
      <w:r w:rsidRPr="002B7287">
        <w:rPr>
          <w:sz w:val="24"/>
          <w:szCs w:val="24"/>
        </w:rPr>
        <w:t>The Underreporting project objectives include use of the National Institute for Occupational Safety and Health’s (NIOSH) occupational supplement to the National Electronic Injury Surveillance System (NEISS-Work) as the basis for telephone interview surveys to (1) characterize and quantify the relative importance of incentives and disincentives to self-identifying work-relatedness at the time of medical treatment and to employer</w:t>
      </w:r>
      <w:r>
        <w:rPr>
          <w:sz w:val="24"/>
          <w:szCs w:val="24"/>
        </w:rPr>
        <w:t>s</w:t>
      </w:r>
      <w:r w:rsidRPr="002B7287">
        <w:rPr>
          <w:sz w:val="24"/>
          <w:szCs w:val="24"/>
        </w:rPr>
        <w:t xml:space="preserve">; (2) characterize individual and employment characteristics that are associated with non-reporting of workplace injuries and incentives and disincentives to reporting; (3) test the reliability of  hospital abstractors  to properly distinguish between work-related and non-work-related injuries; </w:t>
      </w:r>
      <w:r>
        <w:rPr>
          <w:sz w:val="24"/>
          <w:szCs w:val="24"/>
        </w:rPr>
        <w:t xml:space="preserve">and </w:t>
      </w:r>
      <w:r w:rsidRPr="002B7287">
        <w:rPr>
          <w:sz w:val="24"/>
          <w:szCs w:val="24"/>
        </w:rPr>
        <w:t xml:space="preserve">(4) evaluate the feasibility, need, and requirements for a future larger study.  </w:t>
      </w:r>
      <w:r>
        <w:rPr>
          <w:sz w:val="24"/>
          <w:szCs w:val="24"/>
        </w:rPr>
        <w:t>Results will be disseminated in multiple forms to reach a variety of occupational health and safety stakeholders.</w:t>
      </w:r>
    </w:p>
    <w:p w:rsidR="00CB0531" w:rsidRDefault="00CB0531" w:rsidP="00CB0531">
      <w:pPr>
        <w:spacing w:after="0"/>
        <w:rPr>
          <w:sz w:val="24"/>
          <w:szCs w:val="24"/>
        </w:rPr>
      </w:pPr>
    </w:p>
    <w:p w:rsidR="00E3042F" w:rsidRDefault="00E3042F">
      <w:pPr>
        <w:rPr>
          <w:i/>
          <w:sz w:val="24"/>
          <w:szCs w:val="24"/>
          <w:u w:val="single"/>
        </w:rPr>
      </w:pPr>
      <w:r>
        <w:rPr>
          <w:i/>
          <w:sz w:val="24"/>
          <w:szCs w:val="24"/>
          <w:u w:val="single"/>
        </w:rPr>
        <w:br w:type="page"/>
      </w:r>
    </w:p>
    <w:p w:rsidR="00CB0531" w:rsidRPr="00144D9A" w:rsidRDefault="00CB0531" w:rsidP="00CB0531">
      <w:pPr>
        <w:spacing w:after="0"/>
        <w:rPr>
          <w:i/>
          <w:sz w:val="24"/>
          <w:szCs w:val="24"/>
        </w:rPr>
      </w:pPr>
      <w:r w:rsidRPr="00144D9A">
        <w:rPr>
          <w:i/>
          <w:sz w:val="24"/>
          <w:szCs w:val="24"/>
          <w:u w:val="single"/>
        </w:rPr>
        <w:lastRenderedPageBreak/>
        <w:t>Intended use of the information</w:t>
      </w:r>
    </w:p>
    <w:p w:rsidR="00CB0531" w:rsidRPr="00053D31" w:rsidRDefault="00CB0531" w:rsidP="00CB0531">
      <w:pPr>
        <w:spacing w:after="0"/>
        <w:ind w:firstLine="360"/>
        <w:rPr>
          <w:sz w:val="24"/>
          <w:szCs w:val="24"/>
        </w:rPr>
      </w:pPr>
      <w:r w:rsidRPr="00053D31">
        <w:rPr>
          <w:sz w:val="24"/>
          <w:szCs w:val="24"/>
        </w:rPr>
        <w:t xml:space="preserve">The study results will be incorporated into new abstractor training, data processes, and routine NEISS-Work data reports such that a </w:t>
      </w:r>
      <w:r>
        <w:rPr>
          <w:sz w:val="24"/>
          <w:szCs w:val="24"/>
        </w:rPr>
        <w:t>diverse</w:t>
      </w:r>
      <w:r w:rsidRPr="00053D31">
        <w:rPr>
          <w:sz w:val="24"/>
          <w:szCs w:val="24"/>
        </w:rPr>
        <w:t xml:space="preserve"> dissemination of results occurs. </w:t>
      </w:r>
      <w:r>
        <w:rPr>
          <w:sz w:val="24"/>
          <w:szCs w:val="24"/>
        </w:rPr>
        <w:t>We</w:t>
      </w:r>
      <w:r w:rsidRPr="00053D31">
        <w:rPr>
          <w:sz w:val="24"/>
          <w:szCs w:val="24"/>
        </w:rPr>
        <w:t xml:space="preserve"> will specifically disseminate findings from the proposed research through four primary communications channels: traditional scientific journal publications; a NIOSH summary document; surveillance-focused meetings such as the CSTE annual meeting; and a final project cl</w:t>
      </w:r>
      <w:r>
        <w:rPr>
          <w:sz w:val="24"/>
          <w:szCs w:val="24"/>
        </w:rPr>
        <w:t>oseout-underreporting workshop. Results will also be used to judge the feasibility and need for a larger Phase 2 study that would include individuals in a wider range of job types (e.g., self-employed), incorporate individuals with occupational illnesses, and be translated into Spanish.</w:t>
      </w:r>
    </w:p>
    <w:p w:rsidR="00CB0531" w:rsidRPr="00053D31" w:rsidRDefault="00CB0531" w:rsidP="00CB0531">
      <w:pPr>
        <w:spacing w:after="0"/>
        <w:rPr>
          <w:sz w:val="24"/>
          <w:szCs w:val="24"/>
        </w:rPr>
      </w:pPr>
    </w:p>
    <w:p w:rsidR="00CB0531" w:rsidRPr="00144D9A" w:rsidRDefault="00CB0531" w:rsidP="00CB0531">
      <w:pPr>
        <w:spacing w:after="0"/>
        <w:rPr>
          <w:i/>
          <w:sz w:val="24"/>
          <w:szCs w:val="24"/>
        </w:rPr>
      </w:pPr>
      <w:r w:rsidRPr="00144D9A">
        <w:rPr>
          <w:i/>
          <w:sz w:val="24"/>
          <w:szCs w:val="24"/>
          <w:u w:val="single"/>
        </w:rPr>
        <w:t>Information in Identifiable Form (IIF)</w:t>
      </w:r>
    </w:p>
    <w:p w:rsidR="00CB0531" w:rsidRDefault="00CB0531" w:rsidP="00CB0531">
      <w:pPr>
        <w:spacing w:after="0"/>
        <w:ind w:firstLine="360"/>
        <w:rPr>
          <w:sz w:val="24"/>
          <w:szCs w:val="24"/>
        </w:rPr>
      </w:pPr>
      <w:r>
        <w:rPr>
          <w:sz w:val="24"/>
          <w:szCs w:val="24"/>
        </w:rPr>
        <w:t>The name, phone number, and address of potential telephone interview respondents will be collected by CPSC-contracted medical records coders and given to CPSC-contracted telephone interviewers. This information will be destroyed upon completion of the telephone interview or a declaration by the telephone interviewer that the potential respondent is not reachable, does not meet the case criteria defined within this study, or has refused participation. This information will never be released to NIOSH.</w:t>
      </w:r>
    </w:p>
    <w:p w:rsidR="00CB0531" w:rsidRDefault="00CB0531" w:rsidP="00CB0531">
      <w:pPr>
        <w:spacing w:after="0"/>
        <w:ind w:firstLine="360"/>
        <w:rPr>
          <w:sz w:val="24"/>
          <w:szCs w:val="24"/>
        </w:rPr>
      </w:pPr>
      <w:r>
        <w:rPr>
          <w:sz w:val="24"/>
          <w:szCs w:val="24"/>
        </w:rPr>
        <w:t>The data collected for this study will capture basic demographic information, such as age, education level, and race/ethnicity. It also will include details about the respondent’s employment at the time of the injury or illness, including the name of their employer and the state in which they work. This information will only be used to determine the industry in which the respondent was working. Additional employment status information collected from each respondent will include: (1)  job title and duties; (2) the type of company for which one worked at the time of injury (e.g., private-for-profit, family-owned business, or government); (3) the type of job held (e.g., temporary, contract, or permanent employee); (4) number of hours worked in an average week; (5) number of years or months employed by that employer; (6) labor union status; (7) workers’ comp coverage; and (8) reporting policies of both the employer and, where applicable, the employees’ union. Collecting this additional information is necessary to better understand factors associated with the barriers and incentives to reporting occupational injuries. In turn, understanding these factors will improve programs aimed at increasing workplace reporting. This information will be accessible to NIOSH staff and will be disseminated to stakeholders and the general public in aggregate form only, following NIOSH DSR reporting requirements that were established to ensure protection</w:t>
      </w:r>
      <w:r w:rsidR="002B4C55">
        <w:rPr>
          <w:sz w:val="24"/>
          <w:szCs w:val="24"/>
        </w:rPr>
        <w:t xml:space="preserve"> of the respondents</w:t>
      </w:r>
      <w:r w:rsidR="00A33A88">
        <w:rPr>
          <w:sz w:val="24"/>
          <w:szCs w:val="24"/>
        </w:rPr>
        <w:t>’</w:t>
      </w:r>
      <w:r w:rsidR="002B4C55">
        <w:rPr>
          <w:sz w:val="24"/>
          <w:szCs w:val="24"/>
        </w:rPr>
        <w:t xml:space="preserve"> identities and</w:t>
      </w:r>
      <w:r>
        <w:rPr>
          <w:sz w:val="24"/>
          <w:szCs w:val="24"/>
        </w:rPr>
        <w:t xml:space="preserve"> the reporting of stable estimates. </w:t>
      </w:r>
    </w:p>
    <w:p w:rsidR="0042235B" w:rsidRDefault="00CB0531" w:rsidP="0042235B">
      <w:pPr>
        <w:spacing w:after="0"/>
        <w:ind w:firstLine="360"/>
        <w:rPr>
          <w:sz w:val="24"/>
          <w:szCs w:val="24"/>
        </w:rPr>
      </w:pPr>
      <w:r>
        <w:rPr>
          <w:sz w:val="24"/>
          <w:szCs w:val="24"/>
        </w:rPr>
        <w:t xml:space="preserve">CPSC and NIOSH both have extensive safeguards to protect against release of individual level data. Aggregated data </w:t>
      </w:r>
      <w:r w:rsidR="00351F9E">
        <w:rPr>
          <w:sz w:val="24"/>
          <w:szCs w:val="24"/>
        </w:rPr>
        <w:t xml:space="preserve">are </w:t>
      </w:r>
      <w:r>
        <w:rPr>
          <w:sz w:val="24"/>
          <w:szCs w:val="24"/>
        </w:rPr>
        <w:t xml:space="preserve">required to be screened by NIOSH DSR staff intimately familiar with NEISS-Work data. This adherence to data reporting requirements prior to release prevents a recipient of the data results from being able to separate identifiable individual level data from aggregate results. The largest potential for an adverse event would be related to a breach in </w:t>
      </w:r>
      <w:r>
        <w:rPr>
          <w:sz w:val="24"/>
          <w:szCs w:val="24"/>
        </w:rPr>
        <w:lastRenderedPageBreak/>
        <w:t xml:space="preserve">confidentiality from either NIOSH project staff or CPSC contracted telephone interviewers. The NIOSH project staff will notify CPSC immediately upon: (1) discovering any breach or suspected breach of security; (2) discovering any unauthorized disclosure of the </w:t>
      </w:r>
      <w:r w:rsidR="00D94561">
        <w:rPr>
          <w:sz w:val="24"/>
          <w:szCs w:val="24"/>
        </w:rPr>
        <w:t>project data</w:t>
      </w:r>
      <w:r>
        <w:rPr>
          <w:sz w:val="24"/>
          <w:szCs w:val="24"/>
        </w:rPr>
        <w:t xml:space="preserve">; or (3) receipt of any legal, investigatory, or other demand for access to the </w:t>
      </w:r>
      <w:r w:rsidR="008172F2">
        <w:rPr>
          <w:sz w:val="24"/>
          <w:szCs w:val="24"/>
        </w:rPr>
        <w:t>project data</w:t>
      </w:r>
      <w:r>
        <w:rPr>
          <w:sz w:val="24"/>
          <w:szCs w:val="24"/>
        </w:rPr>
        <w:t xml:space="preserve"> in any form. Should any of these issues occur, project progress will be halted until approval is received from CPSC to resume project activities. In addition, the </w:t>
      </w:r>
      <w:r w:rsidR="00A51BF8">
        <w:rPr>
          <w:sz w:val="24"/>
          <w:szCs w:val="24"/>
        </w:rPr>
        <w:t xml:space="preserve">NIOSH </w:t>
      </w:r>
      <w:r>
        <w:rPr>
          <w:sz w:val="24"/>
          <w:szCs w:val="24"/>
        </w:rPr>
        <w:t>Human Subjects Review Board will be informally notified of any potential breach of confidentiality within two working days of an incident and formally notified within two weeks of an incident. Proven violation of confidential information procedures related to or obtained from the data is cause for immediate termination of access to any data. The violation will be examined and additional safeguarding procedures implemented to decrease the likelihood of a similar incident happening durin</w:t>
      </w:r>
      <w:r w:rsidR="0042235B">
        <w:rPr>
          <w:sz w:val="24"/>
          <w:szCs w:val="24"/>
        </w:rPr>
        <w:t>g the remainder of the project.</w:t>
      </w:r>
    </w:p>
    <w:p w:rsidR="00CB0531" w:rsidRPr="00084320" w:rsidRDefault="00CB0531" w:rsidP="00CB0531">
      <w:pPr>
        <w:pStyle w:val="Heading2"/>
        <w:rPr>
          <w:rFonts w:asciiTheme="minorHAnsi" w:hAnsiTheme="minorHAnsi"/>
          <w:sz w:val="24"/>
          <w:szCs w:val="24"/>
        </w:rPr>
      </w:pPr>
      <w:bookmarkStart w:id="5" w:name="_Toc309647138"/>
      <w:r w:rsidRPr="00084320">
        <w:rPr>
          <w:rFonts w:asciiTheme="minorHAnsi" w:hAnsiTheme="minorHAnsi"/>
          <w:sz w:val="24"/>
          <w:szCs w:val="24"/>
        </w:rPr>
        <w:t>A.3.</w:t>
      </w:r>
      <w:r w:rsidRPr="00084320">
        <w:rPr>
          <w:rFonts w:asciiTheme="minorHAnsi" w:hAnsiTheme="minorHAnsi"/>
          <w:sz w:val="24"/>
          <w:szCs w:val="24"/>
        </w:rPr>
        <w:tab/>
        <w:t>Use of Improved Information Technology and Burden Reduction</w:t>
      </w:r>
      <w:bookmarkEnd w:id="5"/>
    </w:p>
    <w:p w:rsidR="00CB0531" w:rsidRDefault="00CB0531" w:rsidP="00CB0531">
      <w:pPr>
        <w:spacing w:after="0"/>
        <w:rPr>
          <w:sz w:val="24"/>
          <w:szCs w:val="24"/>
        </w:rPr>
      </w:pPr>
    </w:p>
    <w:p w:rsidR="00CB0531" w:rsidRDefault="00E07109" w:rsidP="00CB0531">
      <w:pPr>
        <w:spacing w:after="0"/>
        <w:rPr>
          <w:b/>
          <w:sz w:val="24"/>
          <w:szCs w:val="24"/>
          <w:u w:val="single"/>
        </w:rPr>
      </w:pPr>
      <w:r w:rsidRPr="00144D9A">
        <w:rPr>
          <w:b/>
          <w:sz w:val="24"/>
          <w:szCs w:val="24"/>
          <w:u w:val="single"/>
        </w:rPr>
        <w:t xml:space="preserve">NEISS and </w:t>
      </w:r>
      <w:r w:rsidR="00CB0531" w:rsidRPr="00144D9A">
        <w:rPr>
          <w:b/>
          <w:sz w:val="24"/>
          <w:szCs w:val="24"/>
          <w:u w:val="single"/>
        </w:rPr>
        <w:t>NEISS-Work</w:t>
      </w:r>
    </w:p>
    <w:p w:rsidR="00144D9A" w:rsidRPr="00144D9A" w:rsidRDefault="00144D9A" w:rsidP="00CB0531">
      <w:pPr>
        <w:spacing w:after="0"/>
        <w:rPr>
          <w:b/>
          <w:sz w:val="24"/>
          <w:szCs w:val="24"/>
          <w:u w:val="single"/>
        </w:rPr>
      </w:pPr>
    </w:p>
    <w:p w:rsidR="0014601A" w:rsidRDefault="00CB0531" w:rsidP="00CB0531">
      <w:pPr>
        <w:spacing w:after="0"/>
        <w:ind w:firstLine="360"/>
        <w:rPr>
          <w:sz w:val="24"/>
          <w:szCs w:val="24"/>
        </w:rPr>
      </w:pPr>
      <w:r>
        <w:rPr>
          <w:sz w:val="24"/>
          <w:szCs w:val="24"/>
        </w:rPr>
        <w:t xml:space="preserve">Routine NEISS data are collected by coders </w:t>
      </w:r>
      <w:r w:rsidR="0014601A">
        <w:rPr>
          <w:sz w:val="24"/>
          <w:szCs w:val="24"/>
        </w:rPr>
        <w:t xml:space="preserve">in </w:t>
      </w:r>
      <w:r w:rsidR="00E07109">
        <w:rPr>
          <w:sz w:val="24"/>
          <w:szCs w:val="24"/>
        </w:rPr>
        <w:t>approximately 100</w:t>
      </w:r>
      <w:r w:rsidR="0014601A">
        <w:rPr>
          <w:sz w:val="24"/>
          <w:szCs w:val="24"/>
        </w:rPr>
        <w:t xml:space="preserve"> hospitals </w:t>
      </w:r>
      <w:r>
        <w:rPr>
          <w:sz w:val="24"/>
          <w:szCs w:val="24"/>
        </w:rPr>
        <w:t xml:space="preserve">via abstraction of the information found in ED records. </w:t>
      </w:r>
      <w:r w:rsidR="00E07109">
        <w:rPr>
          <w:sz w:val="24"/>
          <w:szCs w:val="24"/>
        </w:rPr>
        <w:t>Respondents to NEISS include hospitals that directly report information to NEISS and hospitals that allow access to a CPSC contractor who collects the data. In FY2008, there were 157 NEISS respondents (total hospitals and CPSC contractors). These NEISS respondents reviewed approximately 3.4 million emergency department records</w:t>
      </w:r>
      <w:r w:rsidR="000F546E">
        <w:rPr>
          <w:sz w:val="24"/>
          <w:szCs w:val="24"/>
        </w:rPr>
        <w:t xml:space="preserve"> and abstracted over 350,000 consumer product-related injuries</w:t>
      </w:r>
      <w:r w:rsidR="00E07109">
        <w:rPr>
          <w:sz w:val="24"/>
          <w:szCs w:val="24"/>
        </w:rPr>
        <w:t xml:space="preserve">. Thus, based on FY2008 data, the total burden hours to respondents are estimated to be 41,497 hours. </w:t>
      </w:r>
      <w:r w:rsidR="000F546E">
        <w:rPr>
          <w:sz w:val="24"/>
          <w:szCs w:val="24"/>
        </w:rPr>
        <w:t xml:space="preserve">Per hospital, the average number of burden hours is 415. In actuality, the total burden hour per hospital varies by the size and location of the hospital. Estimated burden hours per hospital range from 100 to 1,300. </w:t>
      </w:r>
    </w:p>
    <w:p w:rsidR="000F546E" w:rsidRDefault="000F546E" w:rsidP="00CB0531">
      <w:pPr>
        <w:spacing w:after="0"/>
        <w:ind w:firstLine="360"/>
        <w:rPr>
          <w:sz w:val="24"/>
          <w:szCs w:val="24"/>
        </w:rPr>
      </w:pPr>
      <w:r>
        <w:rPr>
          <w:sz w:val="24"/>
          <w:szCs w:val="24"/>
        </w:rPr>
        <w:t>The total costs to NEISS respondents based on FY2008 data are approximately $1.5 million per year. NEISS respondents are compensated for these costs by CPSC. The average cost per respondent is estimated to be about $15,000; the estimated cost per burden hour is estimated to be $36 per hour (including wages and overhead) (Bureau of Labor Statistics, June 2009, Total Compensation Civilian workers, Hospitals). The actual cost to each respondent varies due to type of respondent (hospital versus CPSC contractor), size of hospital, and regional differences in wages and overhead. The cost per respondent is estimated to vary from $2,600 at a small rural hospital to $75,000 at a large metrop</w:t>
      </w:r>
      <w:r w:rsidR="006870C6">
        <w:rPr>
          <w:sz w:val="24"/>
          <w:szCs w:val="24"/>
        </w:rPr>
        <w:t>olitan hospital.</w:t>
      </w:r>
    </w:p>
    <w:p w:rsidR="00A93373" w:rsidRDefault="00A93373" w:rsidP="00A93373">
      <w:pPr>
        <w:spacing w:after="0"/>
        <w:ind w:firstLine="360"/>
        <w:rPr>
          <w:sz w:val="24"/>
          <w:szCs w:val="24"/>
        </w:rPr>
      </w:pPr>
      <w:r>
        <w:rPr>
          <w:sz w:val="24"/>
          <w:szCs w:val="24"/>
        </w:rPr>
        <w:t xml:space="preserve">The collection of NEISS-Work and NEISS-AIP supplemental program data occurs at a 67-hospital subset of the 100 NEISS hospitals used by CPSC for product-related injury data (described above). Because CPSC reviews all ED records as a part of the basic NEISS product-related injury data collection, the burden associated with NEISS-Work and NEISS-AIP is the respondent burden associated with the abstraction of the occupational and all injury program </w:t>
      </w:r>
      <w:r>
        <w:rPr>
          <w:sz w:val="24"/>
          <w:szCs w:val="24"/>
        </w:rPr>
        <w:lastRenderedPageBreak/>
        <w:t>cases not already collected by CPSC. Respondent hospitals abstract approximately 240,000 additional injury cases per year for the NEISS-Work and NEISS-AIP supplemental programs. The supplemental program costs are approximately $1.1 million per year representing approximately 31,400 burden hours among the subset of NEISS-Work and NEISS-AIP hospitals.</w:t>
      </w:r>
      <w:r w:rsidRPr="00841CD9">
        <w:rPr>
          <w:sz w:val="24"/>
          <w:szCs w:val="24"/>
        </w:rPr>
        <w:t xml:space="preserve"> </w:t>
      </w:r>
      <w:r>
        <w:rPr>
          <w:sz w:val="24"/>
          <w:szCs w:val="24"/>
        </w:rPr>
        <w:t xml:space="preserve">Approximately 41,000 of the supplemental cases are occupational injuries and illnesses and account for an estimated 5,400 hours of the total supplemental hours and $0.26 million of the total supplemental program costs paid to respondent hospitals. As noted above for CPSC, the actual cost per respondent hospital varies considerably based on the hospital size and other hospital specific factors. </w:t>
      </w:r>
    </w:p>
    <w:p w:rsidR="00CB0531" w:rsidRDefault="00CB0531" w:rsidP="00CB0531">
      <w:pPr>
        <w:spacing w:after="0"/>
        <w:rPr>
          <w:sz w:val="24"/>
          <w:szCs w:val="24"/>
        </w:rPr>
      </w:pPr>
    </w:p>
    <w:p w:rsidR="00CB0531" w:rsidRDefault="00CB0531" w:rsidP="00CB0531">
      <w:pPr>
        <w:spacing w:after="0"/>
        <w:rPr>
          <w:b/>
          <w:sz w:val="24"/>
          <w:szCs w:val="24"/>
          <w:u w:val="single"/>
        </w:rPr>
      </w:pPr>
      <w:r w:rsidRPr="00144D9A">
        <w:rPr>
          <w:b/>
          <w:sz w:val="24"/>
          <w:szCs w:val="24"/>
          <w:u w:val="single"/>
        </w:rPr>
        <w:t>Telephone Interview Survey</w:t>
      </w:r>
    </w:p>
    <w:p w:rsidR="00144D9A" w:rsidRPr="00144D9A" w:rsidRDefault="00144D9A" w:rsidP="00CB0531">
      <w:pPr>
        <w:spacing w:after="0"/>
        <w:rPr>
          <w:b/>
          <w:sz w:val="24"/>
          <w:szCs w:val="24"/>
        </w:rPr>
      </w:pPr>
    </w:p>
    <w:p w:rsidR="00CB0531" w:rsidRPr="00093737" w:rsidRDefault="00CB0531" w:rsidP="00CB0531">
      <w:pPr>
        <w:spacing w:after="0"/>
        <w:ind w:firstLine="360"/>
        <w:rPr>
          <w:sz w:val="24"/>
          <w:szCs w:val="24"/>
        </w:rPr>
      </w:pPr>
      <w:r>
        <w:rPr>
          <w:sz w:val="24"/>
          <w:szCs w:val="24"/>
        </w:rPr>
        <w:t xml:space="preserve">All follow-up studies performed by CPSC, collecting data directly from the injured person, are done via telephone interview surveys. The data collection process will be guided by and entered into a Computer Assisted Telephone Interview (CATI) system. This CATI system is used by CPSC for other follow-up studies and required for new follow-up studies. Use of the CATI will facilitate administration of the questionnaire as skip patterns will be automated, lessening the time the respondent will need to wait for the interviewer to find the correct question and </w:t>
      </w:r>
      <w:r w:rsidRPr="00093737">
        <w:rPr>
          <w:sz w:val="24"/>
          <w:szCs w:val="24"/>
        </w:rPr>
        <w:t>eliminating concerns with inaccuracy due to incorrectly following skip patterns.</w:t>
      </w:r>
    </w:p>
    <w:p w:rsidR="00CB0531" w:rsidRDefault="00CB0531" w:rsidP="00CB0531">
      <w:pPr>
        <w:pStyle w:val="L1-FlLSp12"/>
        <w:tabs>
          <w:tab w:val="clear" w:pos="1152"/>
          <w:tab w:val="left" w:pos="720"/>
        </w:tabs>
        <w:spacing w:after="0" w:line="276" w:lineRule="auto"/>
        <w:ind w:firstLine="360"/>
        <w:rPr>
          <w:rFonts w:asciiTheme="minorHAnsi" w:hAnsiTheme="minorHAnsi" w:cs="Times New Roman"/>
          <w:szCs w:val="24"/>
        </w:rPr>
      </w:pPr>
      <w:r>
        <w:rPr>
          <w:rFonts w:asciiTheme="minorHAnsi" w:hAnsiTheme="minorHAnsi"/>
          <w:szCs w:val="24"/>
        </w:rPr>
        <w:t>T</w:t>
      </w:r>
      <w:r w:rsidRPr="00DF14FC">
        <w:rPr>
          <w:rFonts w:asciiTheme="minorHAnsi" w:hAnsiTheme="minorHAnsi"/>
          <w:szCs w:val="24"/>
        </w:rPr>
        <w:t xml:space="preserve">o ensure that </w:t>
      </w:r>
      <w:r>
        <w:rPr>
          <w:rFonts w:asciiTheme="minorHAnsi" w:hAnsiTheme="minorHAnsi"/>
          <w:szCs w:val="24"/>
        </w:rPr>
        <w:t>the</w:t>
      </w:r>
      <w:r w:rsidRPr="00DF14FC">
        <w:rPr>
          <w:rFonts w:asciiTheme="minorHAnsi" w:hAnsiTheme="minorHAnsi"/>
          <w:szCs w:val="24"/>
        </w:rPr>
        <w:t xml:space="preserve"> data collected </w:t>
      </w:r>
      <w:r>
        <w:rPr>
          <w:rFonts w:asciiTheme="minorHAnsi" w:hAnsiTheme="minorHAnsi"/>
          <w:szCs w:val="24"/>
        </w:rPr>
        <w:t>will</w:t>
      </w:r>
      <w:r w:rsidRPr="00DF14FC">
        <w:rPr>
          <w:rFonts w:asciiTheme="minorHAnsi" w:hAnsiTheme="minorHAnsi"/>
          <w:szCs w:val="24"/>
        </w:rPr>
        <w:t xml:space="preserve"> meet reporting requirements</w:t>
      </w:r>
      <w:r>
        <w:rPr>
          <w:rFonts w:asciiTheme="minorHAnsi" w:hAnsiTheme="minorHAnsi"/>
          <w:szCs w:val="24"/>
        </w:rPr>
        <w:t xml:space="preserve"> and provide an accurate national picture</w:t>
      </w:r>
      <w:r w:rsidRPr="00DF14FC">
        <w:rPr>
          <w:rFonts w:asciiTheme="minorHAnsi" w:hAnsiTheme="minorHAnsi"/>
          <w:szCs w:val="24"/>
        </w:rPr>
        <w:t xml:space="preserve">, </w:t>
      </w:r>
      <w:r>
        <w:rPr>
          <w:rFonts w:asciiTheme="minorHAnsi" w:hAnsiTheme="minorHAnsi" w:cs="Times New Roman"/>
          <w:szCs w:val="24"/>
        </w:rPr>
        <w:t>NIOSH contracted with</w:t>
      </w:r>
      <w:r w:rsidRPr="00DF14FC">
        <w:rPr>
          <w:rFonts w:asciiTheme="minorHAnsi" w:hAnsiTheme="minorHAnsi" w:cs="Times New Roman"/>
          <w:szCs w:val="24"/>
        </w:rPr>
        <w:t xml:space="preserve"> Westat, a research services company that provides services to the United States government, among other entities</w:t>
      </w:r>
      <w:r>
        <w:rPr>
          <w:rFonts w:asciiTheme="minorHAnsi" w:hAnsiTheme="minorHAnsi" w:cs="Times New Roman"/>
          <w:szCs w:val="24"/>
        </w:rPr>
        <w:t xml:space="preserve">, to design the sampling </w:t>
      </w:r>
      <w:r w:rsidRPr="00EB6CCE">
        <w:rPr>
          <w:rFonts w:asciiTheme="minorHAnsi" w:hAnsiTheme="minorHAnsi" w:cs="Times New Roman"/>
          <w:szCs w:val="24"/>
        </w:rPr>
        <w:t xml:space="preserve">procedures. Westat has extensive experience in all aspects of survey design and analysis and its staff includes internationally recognized experts in research methodology, sample design, and estimation. </w:t>
      </w:r>
      <w:r>
        <w:rPr>
          <w:rFonts w:asciiTheme="minorHAnsi" w:hAnsiTheme="minorHAnsi" w:cs="Times New Roman"/>
          <w:szCs w:val="24"/>
        </w:rPr>
        <w:t>T</w:t>
      </w:r>
      <w:r w:rsidRPr="00EB6CCE">
        <w:rPr>
          <w:rFonts w:asciiTheme="minorHAnsi" w:hAnsiTheme="minorHAnsi" w:cs="Times New Roman"/>
          <w:szCs w:val="24"/>
        </w:rPr>
        <w:t xml:space="preserve">he sample design for selecting interview participants takes into account the underlying stratified hospital sample design for the NEISS-Work </w:t>
      </w:r>
      <w:r>
        <w:rPr>
          <w:rFonts w:asciiTheme="minorHAnsi" w:hAnsiTheme="minorHAnsi" w:cs="Times New Roman"/>
          <w:szCs w:val="24"/>
        </w:rPr>
        <w:t xml:space="preserve">and NEISS-AIP </w:t>
      </w:r>
      <w:r w:rsidRPr="00EB6CCE">
        <w:rPr>
          <w:rFonts w:asciiTheme="minorHAnsi" w:hAnsiTheme="minorHAnsi" w:cs="Times New Roman"/>
          <w:szCs w:val="24"/>
        </w:rPr>
        <w:t xml:space="preserve">surveillance. It maintains the nationally representative aspects of the hospital sample design while maximizing </w:t>
      </w:r>
      <w:r>
        <w:rPr>
          <w:rFonts w:asciiTheme="minorHAnsi" w:hAnsiTheme="minorHAnsi" w:cs="Times New Roman"/>
          <w:szCs w:val="24"/>
        </w:rPr>
        <w:t>NIOSH’s</w:t>
      </w:r>
      <w:r w:rsidRPr="00EB6CCE">
        <w:rPr>
          <w:rFonts w:asciiTheme="minorHAnsi" w:hAnsiTheme="minorHAnsi" w:cs="Times New Roman"/>
          <w:szCs w:val="24"/>
        </w:rPr>
        <w:t xml:space="preserve"> ability to detect significant differences among the study population (e.g., minimize variance issues). Finally, the sample design lends itself to a robust data analysis plan. </w:t>
      </w:r>
    </w:p>
    <w:p w:rsidR="00CB0531" w:rsidRDefault="00CB0531" w:rsidP="00CB0531">
      <w:pPr>
        <w:pStyle w:val="L1-FlLSp12"/>
        <w:tabs>
          <w:tab w:val="clear" w:pos="1152"/>
          <w:tab w:val="left" w:pos="720"/>
        </w:tabs>
        <w:spacing w:after="0" w:line="276" w:lineRule="auto"/>
        <w:rPr>
          <w:rFonts w:asciiTheme="minorHAnsi" w:hAnsiTheme="minorHAnsi" w:cs="Times New Roman"/>
          <w:szCs w:val="24"/>
        </w:rPr>
      </w:pPr>
    </w:p>
    <w:p w:rsidR="00CB0531" w:rsidRDefault="00CB0531" w:rsidP="00CB0531">
      <w:pPr>
        <w:pStyle w:val="L1-FlLSp12"/>
        <w:tabs>
          <w:tab w:val="clear" w:pos="1152"/>
          <w:tab w:val="left" w:pos="720"/>
        </w:tabs>
        <w:spacing w:after="0" w:line="276" w:lineRule="auto"/>
        <w:outlineLvl w:val="1"/>
        <w:rPr>
          <w:rFonts w:asciiTheme="minorHAnsi" w:hAnsiTheme="minorHAnsi" w:cs="Times New Roman"/>
          <w:b/>
          <w:szCs w:val="24"/>
        </w:rPr>
      </w:pPr>
      <w:bookmarkStart w:id="6" w:name="_Toc309647139"/>
      <w:r>
        <w:rPr>
          <w:rFonts w:asciiTheme="minorHAnsi" w:hAnsiTheme="minorHAnsi" w:cs="Times New Roman"/>
          <w:b/>
          <w:szCs w:val="24"/>
        </w:rPr>
        <w:t>A.4.</w:t>
      </w:r>
      <w:r>
        <w:rPr>
          <w:rFonts w:asciiTheme="minorHAnsi" w:hAnsiTheme="minorHAnsi" w:cs="Times New Roman"/>
          <w:b/>
          <w:szCs w:val="24"/>
        </w:rPr>
        <w:tab/>
        <w:t>Efforts to Identify Duplication and Use of Similar Information</w:t>
      </w:r>
      <w:bookmarkEnd w:id="6"/>
    </w:p>
    <w:p w:rsidR="0042235B" w:rsidRDefault="0042235B" w:rsidP="00CB0531">
      <w:pPr>
        <w:pStyle w:val="L1-FlLSp12"/>
        <w:tabs>
          <w:tab w:val="clear" w:pos="1152"/>
          <w:tab w:val="left" w:pos="720"/>
        </w:tabs>
        <w:spacing w:after="0" w:line="276" w:lineRule="auto"/>
        <w:outlineLvl w:val="1"/>
        <w:rPr>
          <w:rFonts w:asciiTheme="minorHAnsi" w:hAnsiTheme="minorHAnsi" w:cs="Times New Roman"/>
          <w:szCs w:val="24"/>
        </w:rPr>
      </w:pPr>
    </w:p>
    <w:p w:rsidR="00CB0531" w:rsidRDefault="00CB0531" w:rsidP="00E3042F">
      <w:pPr>
        <w:spacing w:after="0"/>
        <w:ind w:firstLine="360"/>
        <w:rPr>
          <w:rFonts w:cs="Times New Roman"/>
        </w:rPr>
      </w:pPr>
      <w:r>
        <w:rPr>
          <w:rFonts w:cs="Times New Roman"/>
          <w:szCs w:val="24"/>
        </w:rPr>
        <w:t xml:space="preserve">The project was developed based on governmental and independent reports that indicated that occupational injury and illness surveillance systems in the United States significantly undercount work-related injuries and illnesses (Committee on Education and Labor, 2008; Pollack &amp; Keimig, 1987). </w:t>
      </w:r>
      <w:r>
        <w:rPr>
          <w:rFonts w:cs="Times New Roman"/>
        </w:rPr>
        <w:t xml:space="preserve">NEISS and its supplements are unique from other surveillance systems in that they have the option to collect data directly from the worker using telephone interviews, providing greater detail and insight than can be obtained from abstracting data from written records (e.g., medical records or worker’s compensation records) alone. Consequently, much of the data proposed for collection is available only via NEISS and its supplements. In addition, </w:t>
      </w:r>
      <w:r w:rsidR="00351F9E">
        <w:rPr>
          <w:rFonts w:cs="Times New Roman"/>
        </w:rPr>
        <w:t>NEISS supplements capture</w:t>
      </w:r>
      <w:r>
        <w:rPr>
          <w:rFonts w:cs="Times New Roman"/>
        </w:rPr>
        <w:t xml:space="preserve"> cases from multiple industries and job types</w:t>
      </w:r>
      <w:r w:rsidR="00351F9E">
        <w:rPr>
          <w:rFonts w:cs="Times New Roman"/>
        </w:rPr>
        <w:t xml:space="preserve"> </w:t>
      </w:r>
      <w:r w:rsidR="00351F9E">
        <w:rPr>
          <w:rFonts w:cs="Times New Roman"/>
        </w:rPr>
        <w:lastRenderedPageBreak/>
        <w:t>without employment restrictions inherent in other national data systems.</w:t>
      </w:r>
      <w:r w:rsidR="00351F9E" w:rsidDel="00351F9E">
        <w:rPr>
          <w:rFonts w:cs="Times New Roman"/>
        </w:rPr>
        <w:t xml:space="preserve"> </w:t>
      </w:r>
      <w:r>
        <w:rPr>
          <w:rFonts w:cs="Times New Roman"/>
        </w:rPr>
        <w:t xml:space="preserve">NIOSH is currently working on a second underreporting project using NEISS-Work to obtain data on </w:t>
      </w:r>
      <w:r w:rsidR="00B729B9" w:rsidRPr="005520B3">
        <w:rPr>
          <w:sz w:val="24"/>
          <w:szCs w:val="24"/>
        </w:rPr>
        <w:t>the number of ED-treated injuries and il</w:t>
      </w:r>
      <w:r w:rsidR="00B729B9" w:rsidRPr="00CF2CF6">
        <w:rPr>
          <w:sz w:val="24"/>
          <w:szCs w:val="24"/>
        </w:rPr>
        <w:t xml:space="preserve">lnesses by the worker’s employment status; the reporting behaviors of injured or ill workers who were treated in a NEISS-Work hospital; </w:t>
      </w:r>
      <w:r w:rsidR="00B729B9" w:rsidRPr="005F1964">
        <w:rPr>
          <w:sz w:val="24"/>
          <w:szCs w:val="24"/>
        </w:rPr>
        <w:t>and factors that may have influenced the worker’s injury/illness reporting behavior.</w:t>
      </w:r>
      <w:r w:rsidR="00E3042F">
        <w:rPr>
          <w:sz w:val="24"/>
          <w:szCs w:val="24"/>
        </w:rPr>
        <w:t xml:space="preserve"> </w:t>
      </w:r>
      <w:r w:rsidR="00273383">
        <w:rPr>
          <w:rFonts w:cs="Times New Roman"/>
        </w:rPr>
        <w:t>T</w:t>
      </w:r>
      <w:r>
        <w:rPr>
          <w:rFonts w:cs="Times New Roman"/>
        </w:rPr>
        <w:t xml:space="preserve">his second project </w:t>
      </w:r>
      <w:r w:rsidR="00B729B9">
        <w:rPr>
          <w:rFonts w:cs="Times New Roman"/>
        </w:rPr>
        <w:t>is</w:t>
      </w:r>
      <w:r>
        <w:rPr>
          <w:rFonts w:cs="Times New Roman"/>
        </w:rPr>
        <w:t xml:space="preserve"> referred to as the Underreporting project</w:t>
      </w:r>
      <w:r w:rsidR="00273383">
        <w:rPr>
          <w:rFonts w:cs="Times New Roman"/>
        </w:rPr>
        <w:t xml:space="preserve"> (OMB 0920-11JZ</w:t>
      </w:r>
      <w:r>
        <w:rPr>
          <w:rFonts w:cs="Times New Roman"/>
        </w:rPr>
        <w:t xml:space="preserve">). These studies are different in several important ways. First, </w:t>
      </w:r>
      <w:r w:rsidR="007B2DBD">
        <w:rPr>
          <w:rFonts w:cs="Times New Roman"/>
        </w:rPr>
        <w:t xml:space="preserve">this project, </w:t>
      </w:r>
      <w:r>
        <w:rPr>
          <w:rFonts w:cs="Times New Roman"/>
        </w:rPr>
        <w:t>the Barriers project</w:t>
      </w:r>
      <w:r w:rsidR="007B2DBD">
        <w:rPr>
          <w:rFonts w:cs="Times New Roman"/>
        </w:rPr>
        <w:t>,</w:t>
      </w:r>
      <w:r>
        <w:rPr>
          <w:rFonts w:cs="Times New Roman"/>
        </w:rPr>
        <w:t xml:space="preserve"> is primarily concerned with the barriers and incentives to reporting work-related injuries, while the Underreporting project focuses on reporting behaviors and the existence of work-related chronic health problems. Additionally, because the Underreporting project does not serve as a pilot project in anticipation of a future larger study, it includes a larger range of worker types (e.g., ranch or farm workers and the self-employed) and incorporates ED visits due to illnesses and exposures. Finally, the Barriers project incorporates individuals treated in the ED for both work-related and non-work-related injuries. This will allow researchers to explore if the barriers and incentives to reporting work-related injuries differ based on ED visit type. </w:t>
      </w:r>
    </w:p>
    <w:p w:rsidR="00CB0531" w:rsidRDefault="00CB0531" w:rsidP="00CB0531">
      <w:pPr>
        <w:pStyle w:val="L1-FlLSp12"/>
        <w:tabs>
          <w:tab w:val="clear" w:pos="1152"/>
          <w:tab w:val="left" w:pos="720"/>
        </w:tabs>
        <w:spacing w:after="0" w:line="276" w:lineRule="auto"/>
        <w:rPr>
          <w:rFonts w:asciiTheme="minorHAnsi" w:hAnsiTheme="minorHAnsi" w:cs="Times New Roman"/>
        </w:rPr>
      </w:pPr>
    </w:p>
    <w:p w:rsidR="00CB0531" w:rsidRDefault="00CB0531" w:rsidP="00CB0531">
      <w:pPr>
        <w:pStyle w:val="L1-FlLSp12"/>
        <w:tabs>
          <w:tab w:val="clear" w:pos="1152"/>
          <w:tab w:val="left" w:pos="720"/>
        </w:tabs>
        <w:spacing w:after="0" w:line="276" w:lineRule="auto"/>
        <w:outlineLvl w:val="1"/>
        <w:rPr>
          <w:rFonts w:asciiTheme="minorHAnsi" w:hAnsiTheme="minorHAnsi" w:cs="Times New Roman"/>
          <w:b/>
        </w:rPr>
      </w:pPr>
      <w:bookmarkStart w:id="7" w:name="_Toc309647140"/>
      <w:r>
        <w:rPr>
          <w:rFonts w:asciiTheme="minorHAnsi" w:hAnsiTheme="minorHAnsi" w:cs="Times New Roman"/>
          <w:b/>
        </w:rPr>
        <w:t>A.5.</w:t>
      </w:r>
      <w:r>
        <w:rPr>
          <w:rFonts w:asciiTheme="minorHAnsi" w:hAnsiTheme="minorHAnsi" w:cs="Times New Roman"/>
          <w:b/>
        </w:rPr>
        <w:tab/>
        <w:t>Impact on Small Businesses or Other Small Entities</w:t>
      </w:r>
      <w:bookmarkEnd w:id="7"/>
    </w:p>
    <w:p w:rsidR="0042235B" w:rsidRDefault="0042235B" w:rsidP="00CB0531">
      <w:pPr>
        <w:pStyle w:val="L1-FlLSp12"/>
        <w:tabs>
          <w:tab w:val="clear" w:pos="1152"/>
          <w:tab w:val="left" w:pos="720"/>
        </w:tabs>
        <w:spacing w:after="0" w:line="276" w:lineRule="auto"/>
        <w:outlineLvl w:val="1"/>
        <w:rPr>
          <w:rFonts w:asciiTheme="minorHAnsi" w:hAnsiTheme="minorHAnsi" w:cs="Times New Roman"/>
        </w:rPr>
      </w:pPr>
    </w:p>
    <w:p w:rsidR="00CB0531" w:rsidRDefault="00CB0531" w:rsidP="00CB0531">
      <w:pPr>
        <w:pStyle w:val="L1-FlLSp12"/>
        <w:tabs>
          <w:tab w:val="clear" w:pos="1152"/>
          <w:tab w:val="left" w:pos="720"/>
        </w:tabs>
        <w:spacing w:after="0" w:line="276" w:lineRule="auto"/>
        <w:ind w:firstLine="360"/>
        <w:rPr>
          <w:rFonts w:asciiTheme="minorHAnsi" w:hAnsiTheme="minorHAnsi" w:cs="Times New Roman"/>
        </w:rPr>
      </w:pPr>
      <w:r>
        <w:rPr>
          <w:rFonts w:asciiTheme="minorHAnsi" w:hAnsiTheme="minorHAnsi" w:cs="Times New Roman"/>
        </w:rPr>
        <w:t>No small businesses will be involved in this data collection.</w:t>
      </w:r>
    </w:p>
    <w:p w:rsidR="00CB0531" w:rsidRPr="004C4C43" w:rsidRDefault="00CB0531" w:rsidP="00CB0531">
      <w:pPr>
        <w:pStyle w:val="L1-FlLSp12"/>
        <w:tabs>
          <w:tab w:val="clear" w:pos="1152"/>
          <w:tab w:val="left" w:pos="720"/>
        </w:tabs>
        <w:spacing w:after="0" w:line="276" w:lineRule="auto"/>
        <w:rPr>
          <w:rFonts w:asciiTheme="minorHAnsi" w:hAnsiTheme="minorHAnsi" w:cs="Times New Roman"/>
        </w:rPr>
      </w:pPr>
    </w:p>
    <w:p w:rsidR="00CB0531" w:rsidRDefault="00CB0531" w:rsidP="00CB0531">
      <w:pPr>
        <w:pStyle w:val="L1-FlLSp12"/>
        <w:tabs>
          <w:tab w:val="clear" w:pos="1152"/>
          <w:tab w:val="left" w:pos="720"/>
        </w:tabs>
        <w:spacing w:after="0" w:line="276" w:lineRule="auto"/>
        <w:outlineLvl w:val="1"/>
        <w:rPr>
          <w:rFonts w:asciiTheme="minorHAnsi" w:hAnsiTheme="minorHAnsi" w:cs="Times New Roman"/>
          <w:b/>
        </w:rPr>
      </w:pPr>
      <w:bookmarkStart w:id="8" w:name="_Toc309647141"/>
      <w:r>
        <w:rPr>
          <w:rFonts w:asciiTheme="minorHAnsi" w:hAnsiTheme="minorHAnsi" w:cs="Times New Roman"/>
          <w:b/>
        </w:rPr>
        <w:t xml:space="preserve">A.6. </w:t>
      </w:r>
      <w:r>
        <w:rPr>
          <w:rFonts w:asciiTheme="minorHAnsi" w:hAnsiTheme="minorHAnsi" w:cs="Times New Roman"/>
          <w:b/>
        </w:rPr>
        <w:tab/>
        <w:t>Consequences of Collecting the Information Less Frequently</w:t>
      </w:r>
      <w:bookmarkEnd w:id="8"/>
    </w:p>
    <w:p w:rsidR="0042235B" w:rsidRDefault="0042235B" w:rsidP="00CB0531">
      <w:pPr>
        <w:pStyle w:val="L1-FlLSp12"/>
        <w:tabs>
          <w:tab w:val="clear" w:pos="1152"/>
          <w:tab w:val="left" w:pos="720"/>
        </w:tabs>
        <w:spacing w:after="0" w:line="276" w:lineRule="auto"/>
        <w:outlineLvl w:val="1"/>
        <w:rPr>
          <w:rFonts w:asciiTheme="minorHAnsi" w:hAnsiTheme="minorHAnsi" w:cs="Times New Roman"/>
        </w:rPr>
      </w:pPr>
    </w:p>
    <w:p w:rsidR="00CB0531" w:rsidRPr="00FF4699" w:rsidRDefault="00CB0531" w:rsidP="00CB0531">
      <w:pPr>
        <w:pStyle w:val="L1-FlLSp12"/>
        <w:tabs>
          <w:tab w:val="clear" w:pos="1152"/>
          <w:tab w:val="left" w:pos="720"/>
        </w:tabs>
        <w:spacing w:after="0" w:line="276" w:lineRule="auto"/>
        <w:ind w:firstLine="360"/>
        <w:rPr>
          <w:rFonts w:asciiTheme="minorHAnsi" w:hAnsiTheme="minorHAnsi" w:cs="Times New Roman"/>
        </w:rPr>
      </w:pPr>
      <w:r>
        <w:rPr>
          <w:rFonts w:asciiTheme="minorHAnsi" w:hAnsiTheme="minorHAnsi" w:cs="Times New Roman"/>
        </w:rPr>
        <w:t>Without collection of these data, NIOSH and others involved in occupational safety research will not be able to benefit from increased knowledge about the characteristics of non-reporters and the incentives and/or barriers they face when injured while working. Furthermore, NIOSH will not be able to judge the feasibility of a larger Phase 2 study that includes a more diverse set of workers. Consequently, the probable undercounting of workplace injuries will persist at current levels and programs to increase reporting of workplace injuries will continue to lack the data needed to appropriately target program activities. Each respondent will be asked to complete the questionnaire one time for a designated ED-treated injury</w:t>
      </w:r>
      <w:r w:rsidRPr="00FF4699">
        <w:rPr>
          <w:rFonts w:asciiTheme="minorHAnsi" w:hAnsiTheme="minorHAnsi" w:cs="Times New Roman"/>
        </w:rPr>
        <w:t>. There are no legal obstacles to reduce the burden.</w:t>
      </w:r>
    </w:p>
    <w:p w:rsidR="00CB0531" w:rsidRPr="004C4C43" w:rsidRDefault="00CB0531" w:rsidP="00CB0531">
      <w:pPr>
        <w:pStyle w:val="L1-FlLSp12"/>
        <w:tabs>
          <w:tab w:val="clear" w:pos="1152"/>
          <w:tab w:val="left" w:pos="720"/>
        </w:tabs>
        <w:spacing w:after="0" w:line="276" w:lineRule="auto"/>
        <w:rPr>
          <w:rFonts w:asciiTheme="minorHAnsi" w:hAnsiTheme="minorHAnsi" w:cs="Times New Roman"/>
        </w:rPr>
      </w:pPr>
    </w:p>
    <w:p w:rsidR="00CB0531" w:rsidRDefault="00CB0531" w:rsidP="00CB0531">
      <w:pPr>
        <w:pStyle w:val="L1-FlLSp12"/>
        <w:tabs>
          <w:tab w:val="clear" w:pos="1152"/>
          <w:tab w:val="left" w:pos="720"/>
        </w:tabs>
        <w:spacing w:after="0" w:line="276" w:lineRule="auto"/>
        <w:outlineLvl w:val="1"/>
        <w:rPr>
          <w:rFonts w:asciiTheme="minorHAnsi" w:hAnsiTheme="minorHAnsi" w:cs="Times New Roman"/>
          <w:b/>
        </w:rPr>
      </w:pPr>
      <w:bookmarkStart w:id="9" w:name="_Toc309647142"/>
      <w:r>
        <w:rPr>
          <w:rFonts w:asciiTheme="minorHAnsi" w:hAnsiTheme="minorHAnsi" w:cs="Times New Roman"/>
          <w:b/>
        </w:rPr>
        <w:t>A.7.</w:t>
      </w:r>
      <w:r>
        <w:rPr>
          <w:rFonts w:asciiTheme="minorHAnsi" w:hAnsiTheme="minorHAnsi" w:cs="Times New Roman"/>
          <w:b/>
        </w:rPr>
        <w:tab/>
        <w:t>Special Circumstances Relating to the Guidelines of 5 CFR 1320.5</w:t>
      </w:r>
      <w:bookmarkEnd w:id="9"/>
    </w:p>
    <w:p w:rsidR="0042235B" w:rsidRPr="004C4C43" w:rsidRDefault="0042235B" w:rsidP="00CB0531">
      <w:pPr>
        <w:pStyle w:val="L1-FlLSp12"/>
        <w:tabs>
          <w:tab w:val="clear" w:pos="1152"/>
          <w:tab w:val="left" w:pos="720"/>
        </w:tabs>
        <w:spacing w:after="0" w:line="276" w:lineRule="auto"/>
        <w:outlineLvl w:val="1"/>
        <w:rPr>
          <w:rFonts w:asciiTheme="minorHAnsi" w:hAnsiTheme="minorHAnsi" w:cs="Times New Roman"/>
          <w:b/>
          <w:szCs w:val="24"/>
        </w:rPr>
      </w:pPr>
    </w:p>
    <w:p w:rsidR="00CB0531" w:rsidRDefault="00CB0531" w:rsidP="00CB0531">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Having reviewed all specific circumstances related to the guidelines of 5 CFR 1320.5, we believe that this request fully complies with the regulation 5 CFR 1320.5.</w:t>
      </w:r>
    </w:p>
    <w:p w:rsidR="00CB0531" w:rsidRDefault="00CB0531" w:rsidP="00CB0531">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 xml:space="preserve">There is a very small possibility that a worker could be sampled twice because they incurred two or more injuries that were treated in a NEISS-Work- or NEISS-AIP-associated ED on multiple dates within one year. Should this happen, the respondent would be offered the chance to complete the telephone interview for each of the separate injuries, but would not be required to do so as the respondent will always maintain the right to refuse participation. We suspect </w:t>
      </w:r>
      <w:r>
        <w:rPr>
          <w:rFonts w:asciiTheme="minorHAnsi" w:hAnsiTheme="minorHAnsi" w:cs="Times New Roman"/>
          <w:szCs w:val="24"/>
          <w:lang w:eastAsia="ja-JP"/>
        </w:rPr>
        <w:lastRenderedPageBreak/>
        <w:t>that the likelihood of a respondent participating twice is very small given that NEISS-Work and NEISS-AIP do not capture cases seen in the ED that are deemed to be follow-up related to the original injury.</w:t>
      </w:r>
    </w:p>
    <w:p w:rsidR="00CB0531" w:rsidRDefault="00CB0531" w:rsidP="00CB0531">
      <w:pPr>
        <w:pStyle w:val="L1-FlLSp12"/>
        <w:tabs>
          <w:tab w:val="clear" w:pos="1152"/>
          <w:tab w:val="left" w:pos="720"/>
        </w:tabs>
        <w:spacing w:after="0" w:line="276" w:lineRule="auto"/>
        <w:rPr>
          <w:rFonts w:asciiTheme="minorHAnsi" w:hAnsiTheme="minorHAnsi" w:cs="Times New Roman"/>
          <w:szCs w:val="24"/>
          <w:lang w:eastAsia="ja-JP"/>
        </w:rPr>
      </w:pPr>
    </w:p>
    <w:p w:rsidR="00CB0531" w:rsidRDefault="00CB0531" w:rsidP="00CB0531">
      <w:pPr>
        <w:pStyle w:val="L1-FlLSp12"/>
        <w:tabs>
          <w:tab w:val="clear" w:pos="1152"/>
          <w:tab w:val="left" w:pos="720"/>
        </w:tabs>
        <w:spacing w:after="0" w:line="276" w:lineRule="auto"/>
        <w:outlineLvl w:val="1"/>
        <w:rPr>
          <w:rFonts w:asciiTheme="minorHAnsi" w:hAnsiTheme="minorHAnsi" w:cs="Times New Roman"/>
          <w:b/>
          <w:szCs w:val="24"/>
          <w:lang w:eastAsia="ja-JP"/>
        </w:rPr>
      </w:pPr>
      <w:bookmarkStart w:id="10" w:name="_Toc309647143"/>
      <w:r>
        <w:rPr>
          <w:rFonts w:asciiTheme="minorHAnsi" w:hAnsiTheme="minorHAnsi" w:cs="Times New Roman"/>
          <w:b/>
          <w:szCs w:val="24"/>
          <w:lang w:eastAsia="ja-JP"/>
        </w:rPr>
        <w:t>A.8.</w:t>
      </w:r>
      <w:r>
        <w:rPr>
          <w:rFonts w:asciiTheme="minorHAnsi" w:hAnsiTheme="minorHAnsi" w:cs="Times New Roman"/>
          <w:b/>
          <w:szCs w:val="24"/>
          <w:lang w:eastAsia="ja-JP"/>
        </w:rPr>
        <w:tab/>
        <w:t>Comments in Response to the Federal Register Notice and Efforts to Consult Outside the Agency</w:t>
      </w:r>
      <w:bookmarkEnd w:id="10"/>
    </w:p>
    <w:p w:rsidR="00CB0531" w:rsidRDefault="00CB0531" w:rsidP="00CB0531">
      <w:pPr>
        <w:pStyle w:val="L1-FlLSp12"/>
        <w:tabs>
          <w:tab w:val="clear" w:pos="1152"/>
          <w:tab w:val="left" w:pos="720"/>
        </w:tabs>
        <w:spacing w:after="0" w:line="276" w:lineRule="auto"/>
        <w:rPr>
          <w:rFonts w:asciiTheme="minorHAnsi" w:hAnsiTheme="minorHAnsi" w:cs="Times New Roman"/>
          <w:b/>
          <w:szCs w:val="24"/>
          <w:lang w:eastAsia="ja-JP"/>
        </w:rPr>
      </w:pPr>
    </w:p>
    <w:p w:rsidR="00CB0531" w:rsidRPr="00144D9A" w:rsidRDefault="00CB0531" w:rsidP="00CB0531">
      <w:pPr>
        <w:pStyle w:val="L1-FlLSp12"/>
        <w:tabs>
          <w:tab w:val="clear" w:pos="1152"/>
          <w:tab w:val="left" w:pos="720"/>
        </w:tabs>
        <w:spacing w:after="0" w:line="276" w:lineRule="auto"/>
        <w:outlineLvl w:val="2"/>
        <w:rPr>
          <w:rFonts w:asciiTheme="minorHAnsi" w:hAnsiTheme="minorHAnsi" w:cs="Times New Roman"/>
          <w:b/>
          <w:szCs w:val="24"/>
          <w:u w:val="single"/>
          <w:lang w:eastAsia="ja-JP"/>
        </w:rPr>
      </w:pPr>
      <w:bookmarkStart w:id="11" w:name="_Toc309647144"/>
      <w:r w:rsidRPr="00144D9A">
        <w:rPr>
          <w:rFonts w:asciiTheme="minorHAnsi" w:hAnsiTheme="minorHAnsi" w:cs="Times New Roman"/>
          <w:b/>
          <w:szCs w:val="24"/>
          <w:u w:val="single"/>
          <w:lang w:eastAsia="ja-JP"/>
        </w:rPr>
        <w:t>60-Day Federal Register Notice Information</w:t>
      </w:r>
      <w:bookmarkEnd w:id="11"/>
    </w:p>
    <w:p w:rsidR="00CB0531" w:rsidRDefault="00917921" w:rsidP="00CB0531">
      <w:pPr>
        <w:pStyle w:val="L1-FlLSp12"/>
        <w:tabs>
          <w:tab w:val="clear" w:pos="1152"/>
          <w:tab w:val="left" w:pos="720"/>
        </w:tabs>
        <w:spacing w:after="0" w:line="276" w:lineRule="auto"/>
        <w:ind w:firstLine="360"/>
        <w:rPr>
          <w:rFonts w:asciiTheme="minorHAnsi" w:hAnsiTheme="minorHAnsi" w:cs="Times New Roman"/>
          <w:szCs w:val="24"/>
          <w:lang w:eastAsia="ja-JP"/>
        </w:rPr>
      </w:pPr>
      <w:r>
        <w:rPr>
          <w:rFonts w:asciiTheme="minorHAnsi" w:hAnsiTheme="minorHAnsi" w:cs="Times New Roman"/>
          <w:szCs w:val="24"/>
          <w:lang w:eastAsia="ja-JP"/>
        </w:rPr>
        <w:t>The</w:t>
      </w:r>
      <w:r w:rsidR="00CB0531">
        <w:rPr>
          <w:rFonts w:asciiTheme="minorHAnsi" w:hAnsiTheme="minorHAnsi" w:cs="Times New Roman"/>
          <w:szCs w:val="24"/>
          <w:lang w:eastAsia="ja-JP"/>
        </w:rPr>
        <w:t xml:space="preserve"> 60-Day Federal Register Notice (see Appendix </w:t>
      </w:r>
      <w:r w:rsidR="00ED77CE">
        <w:rPr>
          <w:rFonts w:asciiTheme="minorHAnsi" w:hAnsiTheme="minorHAnsi" w:cs="Times New Roman"/>
          <w:szCs w:val="24"/>
          <w:lang w:eastAsia="ja-JP"/>
        </w:rPr>
        <w:t>B</w:t>
      </w:r>
      <w:r w:rsidR="00CB0531">
        <w:rPr>
          <w:rFonts w:asciiTheme="minorHAnsi" w:hAnsiTheme="minorHAnsi" w:cs="Times New Roman"/>
          <w:szCs w:val="24"/>
          <w:lang w:eastAsia="ja-JP"/>
        </w:rPr>
        <w:t>) is included in this application packet</w:t>
      </w:r>
      <w:r w:rsidR="000E3AD6">
        <w:rPr>
          <w:rFonts w:asciiTheme="minorHAnsi" w:hAnsiTheme="minorHAnsi" w:cs="Times New Roman"/>
          <w:szCs w:val="24"/>
          <w:lang w:eastAsia="ja-JP"/>
        </w:rPr>
        <w:t>.</w:t>
      </w:r>
      <w:r>
        <w:rPr>
          <w:rFonts w:asciiTheme="minorHAnsi" w:hAnsiTheme="minorHAnsi" w:cs="Times New Roman"/>
          <w:szCs w:val="24"/>
          <w:lang w:eastAsia="ja-JP"/>
        </w:rPr>
        <w:t xml:space="preserve"> </w:t>
      </w:r>
      <w:r w:rsidR="002C3E31">
        <w:rPr>
          <w:rFonts w:asciiTheme="minorHAnsi" w:hAnsiTheme="minorHAnsi" w:cs="Times New Roman"/>
          <w:szCs w:val="24"/>
          <w:lang w:eastAsia="ja-JP"/>
        </w:rPr>
        <w:t xml:space="preserve">It was published on August 19, 2011 in Volume 76, Number 161, pages 51981-51982. </w:t>
      </w:r>
      <w:r>
        <w:rPr>
          <w:rFonts w:asciiTheme="minorHAnsi" w:hAnsiTheme="minorHAnsi" w:cs="Times New Roman"/>
          <w:szCs w:val="24"/>
          <w:lang w:eastAsia="ja-JP"/>
        </w:rPr>
        <w:t>One comment was received. This comment and the NIOSH response are also included in Appendix B.</w:t>
      </w:r>
      <w:r w:rsidR="00CB0531">
        <w:rPr>
          <w:rFonts w:asciiTheme="minorHAnsi" w:hAnsiTheme="minorHAnsi" w:cs="Times New Roman"/>
          <w:szCs w:val="24"/>
          <w:lang w:eastAsia="ja-JP"/>
        </w:rPr>
        <w:t xml:space="preserve"> </w:t>
      </w:r>
    </w:p>
    <w:p w:rsidR="00CB0531" w:rsidRDefault="00CB0531" w:rsidP="00CB0531">
      <w:pPr>
        <w:pStyle w:val="L1-FlLSp12"/>
        <w:tabs>
          <w:tab w:val="clear" w:pos="1152"/>
          <w:tab w:val="left" w:pos="720"/>
        </w:tabs>
        <w:spacing w:after="0" w:line="276" w:lineRule="auto"/>
        <w:rPr>
          <w:rFonts w:asciiTheme="minorHAnsi" w:hAnsiTheme="minorHAnsi" w:cs="Times New Roman"/>
          <w:szCs w:val="24"/>
          <w:lang w:eastAsia="ja-JP"/>
        </w:rPr>
      </w:pPr>
    </w:p>
    <w:p w:rsidR="00CB0531" w:rsidRPr="00144D9A" w:rsidRDefault="00CB0531" w:rsidP="00CB0531">
      <w:pPr>
        <w:pStyle w:val="L1-FlLSp12"/>
        <w:tabs>
          <w:tab w:val="clear" w:pos="1152"/>
          <w:tab w:val="left" w:pos="720"/>
        </w:tabs>
        <w:spacing w:after="0" w:line="276" w:lineRule="auto"/>
        <w:outlineLvl w:val="2"/>
        <w:rPr>
          <w:rFonts w:asciiTheme="minorHAnsi" w:hAnsiTheme="minorHAnsi" w:cs="Times New Roman"/>
          <w:b/>
          <w:szCs w:val="24"/>
          <w:lang w:eastAsia="ja-JP"/>
        </w:rPr>
      </w:pPr>
      <w:bookmarkStart w:id="12" w:name="_Toc309647145"/>
      <w:r w:rsidRPr="00144D9A">
        <w:rPr>
          <w:rFonts w:asciiTheme="minorHAnsi" w:hAnsiTheme="minorHAnsi" w:cs="Times New Roman"/>
          <w:b/>
          <w:szCs w:val="24"/>
          <w:u w:val="single"/>
          <w:lang w:eastAsia="ja-JP"/>
        </w:rPr>
        <w:t>Consultation with Persons Outside the Agency</w:t>
      </w:r>
      <w:bookmarkEnd w:id="12"/>
    </w:p>
    <w:p w:rsidR="00CB0531" w:rsidRDefault="00CB0531" w:rsidP="00CB0531">
      <w:pPr>
        <w:spacing w:after="0"/>
        <w:ind w:firstLine="360"/>
        <w:rPr>
          <w:sz w:val="24"/>
          <w:szCs w:val="24"/>
          <w:lang w:eastAsia="ja-JP"/>
        </w:rPr>
      </w:pPr>
      <w:r>
        <w:rPr>
          <w:sz w:val="24"/>
          <w:szCs w:val="24"/>
          <w:lang w:eastAsia="ja-JP"/>
        </w:rPr>
        <w:t xml:space="preserve">The proposed project is part of a proposal that was submitted for funding via the NIOSH  FY10 NORA  Intramural Project Opportunity. All applications submitted under this funding mechanism were reviewed by three external peer reviewers who provided written critiques. Specifically, they evaluated the proposal for six criteria:  </w:t>
      </w:r>
      <w:r w:rsidRPr="008A6CC4">
        <w:rPr>
          <w:sz w:val="24"/>
          <w:szCs w:val="24"/>
          <w:lang w:eastAsia="ja-JP"/>
        </w:rPr>
        <w:t xml:space="preserve">Significance, Project Officer and Key Personnel, Innovation, Approach, Impact, </w:t>
      </w:r>
      <w:r>
        <w:rPr>
          <w:sz w:val="24"/>
          <w:szCs w:val="24"/>
          <w:lang w:eastAsia="ja-JP"/>
        </w:rPr>
        <w:t xml:space="preserve">and </w:t>
      </w:r>
      <w:r w:rsidRPr="008A6CC4">
        <w:rPr>
          <w:sz w:val="24"/>
          <w:szCs w:val="24"/>
          <w:lang w:eastAsia="ja-JP"/>
        </w:rPr>
        <w:t>Environment</w:t>
      </w:r>
      <w:r>
        <w:rPr>
          <w:sz w:val="24"/>
          <w:szCs w:val="24"/>
          <w:lang w:eastAsia="ja-JP"/>
        </w:rPr>
        <w:t>.</w:t>
      </w:r>
      <w:r w:rsidRPr="008A6CC4">
        <w:rPr>
          <w:sz w:val="24"/>
          <w:szCs w:val="24"/>
          <w:lang w:eastAsia="ja-JP"/>
        </w:rPr>
        <w:t xml:space="preserve"> </w:t>
      </w:r>
      <w:r>
        <w:rPr>
          <w:sz w:val="24"/>
          <w:szCs w:val="24"/>
          <w:lang w:eastAsia="ja-JP"/>
        </w:rPr>
        <w:t>In the end, each proposal is assigned a merit score based on the strengths and weaknesses noted by the peer reviewers. These scores and additional NIOSH programmatic input served as the basis for determining which projects submitted to this process were funded.</w:t>
      </w:r>
    </w:p>
    <w:p w:rsidR="00CB0531" w:rsidRDefault="00CB0531" w:rsidP="00CB0531">
      <w:pPr>
        <w:spacing w:after="0"/>
        <w:ind w:firstLine="360"/>
        <w:rPr>
          <w:rFonts w:cs="Times New Roman"/>
          <w:sz w:val="24"/>
          <w:szCs w:val="24"/>
          <w:lang w:eastAsia="ja-JP"/>
        </w:rPr>
      </w:pPr>
      <w:r w:rsidRPr="00093737">
        <w:rPr>
          <w:sz w:val="24"/>
          <w:szCs w:val="24"/>
        </w:rPr>
        <w:t xml:space="preserve">The telephone interview survey </w:t>
      </w:r>
      <w:r>
        <w:rPr>
          <w:sz w:val="24"/>
          <w:szCs w:val="24"/>
        </w:rPr>
        <w:t xml:space="preserve">instrument has been reviewed and/or tested by several persons outside the agency. </w:t>
      </w:r>
      <w:r w:rsidRPr="00D1345F">
        <w:rPr>
          <w:rFonts w:cs="Times New Roman"/>
          <w:sz w:val="24"/>
          <w:szCs w:val="24"/>
          <w:lang w:eastAsia="ja-JP"/>
        </w:rPr>
        <w:t xml:space="preserve">The initial draft questionnaire was developed by </w:t>
      </w:r>
      <w:r>
        <w:rPr>
          <w:rFonts w:cs="Times New Roman"/>
          <w:sz w:val="24"/>
          <w:szCs w:val="24"/>
          <w:lang w:eastAsia="ja-JP"/>
        </w:rPr>
        <w:t>NIOSH staff in collaboration with outside experts in the field</w:t>
      </w:r>
      <w:r w:rsidRPr="00D1345F">
        <w:rPr>
          <w:rFonts w:cs="Times New Roman"/>
          <w:sz w:val="24"/>
          <w:szCs w:val="24"/>
          <w:lang w:eastAsia="ja-JP"/>
        </w:rPr>
        <w:t xml:space="preserve">. </w:t>
      </w:r>
      <w:r w:rsidR="007910D2">
        <w:rPr>
          <w:rFonts w:cs="Times New Roman"/>
          <w:sz w:val="24"/>
          <w:szCs w:val="24"/>
          <w:lang w:eastAsia="ja-JP"/>
        </w:rPr>
        <w:t xml:space="preserve">Refer to Appendix E for a list of topical experts, their affiliations, and their contact information. Also </w:t>
      </w:r>
      <w:r w:rsidRPr="00D1345F">
        <w:rPr>
          <w:rFonts w:cs="Times New Roman"/>
          <w:sz w:val="24"/>
          <w:szCs w:val="24"/>
          <w:lang w:eastAsia="ja-JP"/>
        </w:rPr>
        <w:t xml:space="preserve">NIOSH staff </w:t>
      </w:r>
      <w:r>
        <w:rPr>
          <w:rFonts w:cs="Times New Roman"/>
          <w:sz w:val="24"/>
          <w:szCs w:val="24"/>
          <w:lang w:eastAsia="ja-JP"/>
        </w:rPr>
        <w:t>solicited comments from experiential experts  consist</w:t>
      </w:r>
      <w:r w:rsidR="007910D2">
        <w:rPr>
          <w:rFonts w:cs="Times New Roman"/>
          <w:sz w:val="24"/>
          <w:szCs w:val="24"/>
          <w:lang w:eastAsia="ja-JP"/>
        </w:rPr>
        <w:t>ing</w:t>
      </w:r>
      <w:r>
        <w:rPr>
          <w:rFonts w:cs="Times New Roman"/>
          <w:sz w:val="24"/>
          <w:szCs w:val="24"/>
          <w:lang w:eastAsia="ja-JP"/>
        </w:rPr>
        <w:t xml:space="preserve"> of several workers (e.g., nurses and construction workers) who review</w:t>
      </w:r>
      <w:r w:rsidR="007910D2">
        <w:rPr>
          <w:rFonts w:cs="Times New Roman"/>
          <w:sz w:val="24"/>
          <w:szCs w:val="24"/>
          <w:lang w:eastAsia="ja-JP"/>
        </w:rPr>
        <w:t>ed</w:t>
      </w:r>
      <w:r>
        <w:rPr>
          <w:rFonts w:cs="Times New Roman"/>
          <w:sz w:val="24"/>
          <w:szCs w:val="24"/>
          <w:lang w:eastAsia="ja-JP"/>
        </w:rPr>
        <w:t xml:space="preserve"> the Theory of Planned Behavior questions</w:t>
      </w:r>
      <w:r w:rsidR="007910D2">
        <w:rPr>
          <w:rFonts w:cs="Times New Roman"/>
          <w:sz w:val="24"/>
          <w:szCs w:val="24"/>
          <w:lang w:eastAsia="ja-JP"/>
        </w:rPr>
        <w:t>. The experiential</w:t>
      </w:r>
      <w:r w:rsidR="00DC4C86">
        <w:rPr>
          <w:rFonts w:cs="Times New Roman"/>
          <w:sz w:val="24"/>
          <w:szCs w:val="24"/>
          <w:lang w:eastAsia="ja-JP"/>
        </w:rPr>
        <w:t xml:space="preserve"> experts</w:t>
      </w:r>
      <w:r w:rsidR="007910D2">
        <w:rPr>
          <w:rFonts w:cs="Times New Roman"/>
          <w:sz w:val="24"/>
          <w:szCs w:val="24"/>
          <w:lang w:eastAsia="ja-JP"/>
        </w:rPr>
        <w:t xml:space="preserve"> were asked</w:t>
      </w:r>
      <w:r>
        <w:rPr>
          <w:rFonts w:cs="Times New Roman"/>
          <w:sz w:val="24"/>
          <w:szCs w:val="24"/>
          <w:lang w:eastAsia="ja-JP"/>
        </w:rPr>
        <w:t xml:space="preserve"> to provide feedback on ease of comprehension and relevance to their work situation. Topical experts reviewed and provided feedback on the questionnaire in its entirety. </w:t>
      </w:r>
      <w:r w:rsidRPr="00D1345F">
        <w:rPr>
          <w:rFonts w:cs="Times New Roman"/>
          <w:sz w:val="24"/>
          <w:szCs w:val="24"/>
          <w:lang w:eastAsia="ja-JP"/>
        </w:rPr>
        <w:t xml:space="preserve">Revisions were made to the instrument </w:t>
      </w:r>
      <w:r>
        <w:rPr>
          <w:rFonts w:cs="Times New Roman"/>
          <w:sz w:val="24"/>
          <w:szCs w:val="24"/>
          <w:lang w:eastAsia="ja-JP"/>
        </w:rPr>
        <w:t>to incorporate reviewers’</w:t>
      </w:r>
      <w:r w:rsidRPr="00D1345F">
        <w:rPr>
          <w:rFonts w:cs="Times New Roman"/>
          <w:sz w:val="24"/>
          <w:szCs w:val="24"/>
          <w:lang w:eastAsia="ja-JP"/>
        </w:rPr>
        <w:t xml:space="preserve"> comments </w:t>
      </w:r>
      <w:r>
        <w:rPr>
          <w:rFonts w:cs="Times New Roman"/>
          <w:sz w:val="24"/>
          <w:szCs w:val="24"/>
          <w:lang w:eastAsia="ja-JP"/>
        </w:rPr>
        <w:t xml:space="preserve">and to </w:t>
      </w:r>
      <w:r w:rsidRPr="00D1345F">
        <w:rPr>
          <w:rFonts w:cs="Times New Roman"/>
          <w:sz w:val="24"/>
          <w:szCs w:val="24"/>
          <w:lang w:eastAsia="ja-JP"/>
        </w:rPr>
        <w:t>harmonize the questionnaire with another underreporting survey being conducted by NIOSH.</w:t>
      </w:r>
      <w:r>
        <w:rPr>
          <w:rFonts w:cs="Times New Roman"/>
          <w:sz w:val="24"/>
          <w:szCs w:val="24"/>
          <w:lang w:eastAsia="ja-JP"/>
        </w:rPr>
        <w:t xml:space="preserve"> </w:t>
      </w:r>
      <w:r w:rsidRPr="00D1345F">
        <w:rPr>
          <w:rFonts w:cs="Times New Roman"/>
          <w:sz w:val="24"/>
          <w:szCs w:val="24"/>
          <w:lang w:eastAsia="ja-JP"/>
        </w:rPr>
        <w:t xml:space="preserve">The revised questionnaire was </w:t>
      </w:r>
      <w:r>
        <w:rPr>
          <w:rFonts w:cs="Times New Roman"/>
          <w:sz w:val="24"/>
          <w:szCs w:val="24"/>
          <w:lang w:eastAsia="ja-JP"/>
        </w:rPr>
        <w:t xml:space="preserve">pilot </w:t>
      </w:r>
      <w:r w:rsidRPr="00D1345F">
        <w:rPr>
          <w:rFonts w:cs="Times New Roman"/>
          <w:sz w:val="24"/>
          <w:szCs w:val="24"/>
          <w:lang w:eastAsia="ja-JP"/>
        </w:rPr>
        <w:t xml:space="preserve">tested on a small number of employees at the NIOSH Morgantown branch who </w:t>
      </w:r>
      <w:r>
        <w:rPr>
          <w:rFonts w:cs="Times New Roman"/>
          <w:sz w:val="24"/>
          <w:szCs w:val="24"/>
          <w:lang w:eastAsia="ja-JP"/>
        </w:rPr>
        <w:t>used</w:t>
      </w:r>
      <w:r w:rsidRPr="00D1345F">
        <w:rPr>
          <w:rFonts w:cs="Times New Roman"/>
          <w:sz w:val="24"/>
          <w:szCs w:val="24"/>
          <w:lang w:eastAsia="ja-JP"/>
        </w:rPr>
        <w:t xml:space="preserve"> constructed scenarios in order to test the skip pattern, flow, understandability, and comprehensiveness of the questions and their answer choices.  Subsequently, survey experts from Re</w:t>
      </w:r>
      <w:r w:rsidR="006A7DB8">
        <w:rPr>
          <w:rFonts w:cs="Times New Roman"/>
          <w:sz w:val="24"/>
          <w:szCs w:val="24"/>
          <w:lang w:eastAsia="ja-JP"/>
        </w:rPr>
        <w:t>search Triangle Institute (RTI)</w:t>
      </w:r>
      <w:r w:rsidRPr="00D1345F">
        <w:rPr>
          <w:rFonts w:cs="Times New Roman"/>
          <w:sz w:val="24"/>
          <w:szCs w:val="24"/>
          <w:lang w:eastAsia="ja-JP"/>
        </w:rPr>
        <w:t>, an independent, nonprofit research institution with more than 45 years of experience in survey methodology, reviewed and commented on the questionnaire</w:t>
      </w:r>
      <w:r>
        <w:rPr>
          <w:rFonts w:cs="Times New Roman"/>
          <w:sz w:val="24"/>
          <w:szCs w:val="24"/>
          <w:lang w:eastAsia="ja-JP"/>
        </w:rPr>
        <w:t xml:space="preserve">. </w:t>
      </w:r>
      <w:r w:rsidRPr="00093737">
        <w:rPr>
          <w:rFonts w:cs="Times New Roman"/>
          <w:sz w:val="24"/>
          <w:szCs w:val="24"/>
          <w:lang w:eastAsia="ja-JP"/>
        </w:rPr>
        <w:t xml:space="preserve">Under contract to NIOSH, RTI </w:t>
      </w:r>
      <w:r>
        <w:rPr>
          <w:rFonts w:cs="Times New Roman"/>
          <w:sz w:val="24"/>
          <w:szCs w:val="24"/>
          <w:lang w:eastAsia="ja-JP"/>
        </w:rPr>
        <w:t>also</w:t>
      </w:r>
      <w:r w:rsidRPr="00093737">
        <w:rPr>
          <w:rFonts w:cs="Times New Roman"/>
          <w:sz w:val="24"/>
          <w:szCs w:val="24"/>
          <w:lang w:eastAsia="ja-JP"/>
        </w:rPr>
        <w:t xml:space="preserve"> conduct</w:t>
      </w:r>
      <w:r>
        <w:rPr>
          <w:rFonts w:cs="Times New Roman"/>
          <w:sz w:val="24"/>
          <w:szCs w:val="24"/>
          <w:lang w:eastAsia="ja-JP"/>
        </w:rPr>
        <w:t>ed</w:t>
      </w:r>
      <w:r w:rsidRPr="00093737">
        <w:rPr>
          <w:rFonts w:cs="Times New Roman"/>
          <w:sz w:val="24"/>
          <w:szCs w:val="24"/>
          <w:lang w:eastAsia="ja-JP"/>
        </w:rPr>
        <w:t xml:space="preserve"> cognitive testing </w:t>
      </w:r>
      <w:r>
        <w:rPr>
          <w:rFonts w:cs="Times New Roman"/>
          <w:sz w:val="24"/>
          <w:szCs w:val="24"/>
          <w:lang w:eastAsia="ja-JP"/>
        </w:rPr>
        <w:t xml:space="preserve">in early 2011 </w:t>
      </w:r>
      <w:r w:rsidRPr="00093737">
        <w:rPr>
          <w:rFonts w:cs="Times New Roman"/>
          <w:sz w:val="24"/>
          <w:szCs w:val="24"/>
          <w:lang w:eastAsia="ja-JP"/>
        </w:rPr>
        <w:t>of the questionnaire</w:t>
      </w:r>
      <w:r>
        <w:rPr>
          <w:rFonts w:cs="Times New Roman"/>
          <w:sz w:val="24"/>
          <w:szCs w:val="24"/>
          <w:lang w:eastAsia="ja-JP"/>
        </w:rPr>
        <w:t xml:space="preserve"> to increase its reliability and validity</w:t>
      </w:r>
      <w:r w:rsidRPr="00093737">
        <w:rPr>
          <w:rFonts w:cs="Times New Roman"/>
          <w:sz w:val="24"/>
          <w:szCs w:val="24"/>
          <w:lang w:eastAsia="ja-JP"/>
        </w:rPr>
        <w:t xml:space="preserve">. Revisions based on the cognitive testing </w:t>
      </w:r>
      <w:r>
        <w:rPr>
          <w:rFonts w:cs="Times New Roman"/>
          <w:sz w:val="24"/>
          <w:szCs w:val="24"/>
          <w:lang w:eastAsia="ja-JP"/>
        </w:rPr>
        <w:t>resulted in the</w:t>
      </w:r>
      <w:r w:rsidRPr="00093737">
        <w:rPr>
          <w:rFonts w:cs="Times New Roman"/>
          <w:sz w:val="24"/>
          <w:szCs w:val="24"/>
          <w:lang w:eastAsia="ja-JP"/>
        </w:rPr>
        <w:t xml:space="preserve"> final questionnaire for interviewer administration.</w:t>
      </w:r>
    </w:p>
    <w:p w:rsidR="00512F9D" w:rsidRDefault="004333D4" w:rsidP="00144D9A">
      <w:pPr>
        <w:spacing w:after="0"/>
        <w:ind w:firstLine="360"/>
        <w:rPr>
          <w:rFonts w:cs="Times New Roman"/>
          <w:sz w:val="24"/>
          <w:szCs w:val="24"/>
          <w:lang w:eastAsia="ja-JP"/>
        </w:rPr>
      </w:pPr>
      <w:r>
        <w:rPr>
          <w:rFonts w:cs="Times New Roman"/>
          <w:sz w:val="24"/>
          <w:szCs w:val="24"/>
          <w:lang w:eastAsia="ja-JP"/>
        </w:rPr>
        <w:lastRenderedPageBreak/>
        <w:t>Once OMB approval is received</w:t>
      </w:r>
      <w:r w:rsidR="00CB0531">
        <w:rPr>
          <w:rFonts w:cs="Times New Roman"/>
          <w:sz w:val="24"/>
          <w:szCs w:val="24"/>
          <w:lang w:eastAsia="ja-JP"/>
        </w:rPr>
        <w:t>, NIOSH will have the opportunity to explain this study and provide training to the telephone interviewers responsible for conducting the survey. Collection of the telephone interview data will be monitored by both CPSC and NIOSH. If any concerns arise during the data collection process, CPSC can address the issues with the telephone interviewers. CPSC maintains regular contact with the cont</w:t>
      </w:r>
      <w:r w:rsidR="00144D9A">
        <w:rPr>
          <w:rFonts w:cs="Times New Roman"/>
          <w:sz w:val="24"/>
          <w:szCs w:val="24"/>
          <w:lang w:eastAsia="ja-JP"/>
        </w:rPr>
        <w:t xml:space="preserve">racted telephone interviewers. </w:t>
      </w:r>
    </w:p>
    <w:p w:rsidR="00CB0531" w:rsidRDefault="00CB0531" w:rsidP="00CB0531">
      <w:pPr>
        <w:pStyle w:val="Heading2"/>
        <w:rPr>
          <w:rFonts w:asciiTheme="minorHAnsi" w:hAnsiTheme="minorHAnsi" w:cs="Times New Roman"/>
          <w:sz w:val="24"/>
          <w:szCs w:val="24"/>
          <w:lang w:eastAsia="ja-JP"/>
        </w:rPr>
      </w:pPr>
      <w:bookmarkStart w:id="13" w:name="_Toc309647146"/>
      <w:r w:rsidRPr="00084320">
        <w:rPr>
          <w:rFonts w:asciiTheme="minorHAnsi" w:hAnsiTheme="minorHAnsi" w:cs="Times New Roman"/>
          <w:sz w:val="24"/>
          <w:szCs w:val="24"/>
          <w:lang w:eastAsia="ja-JP"/>
        </w:rPr>
        <w:t>A.9.</w:t>
      </w:r>
      <w:r w:rsidRPr="00084320">
        <w:rPr>
          <w:rFonts w:asciiTheme="minorHAnsi" w:hAnsiTheme="minorHAnsi" w:cs="Times New Roman"/>
          <w:sz w:val="24"/>
          <w:szCs w:val="24"/>
          <w:lang w:eastAsia="ja-JP"/>
        </w:rPr>
        <w:tab/>
        <w:t>Explanation of Any Payment or Gift to Respondents</w:t>
      </w:r>
      <w:bookmarkEnd w:id="13"/>
    </w:p>
    <w:p w:rsidR="00E3042F" w:rsidRDefault="00E3042F" w:rsidP="00144D9A">
      <w:pPr>
        <w:spacing w:after="0"/>
        <w:ind w:firstLine="360"/>
        <w:rPr>
          <w:rFonts w:cs="Times New Roman"/>
          <w:sz w:val="24"/>
          <w:szCs w:val="24"/>
          <w:lang w:eastAsia="ja-JP"/>
        </w:rPr>
      </w:pPr>
    </w:p>
    <w:p w:rsidR="00CB0531" w:rsidRPr="006957E0" w:rsidRDefault="00CB0531" w:rsidP="00144D9A">
      <w:pPr>
        <w:spacing w:after="0"/>
        <w:ind w:firstLine="360"/>
        <w:rPr>
          <w:rFonts w:cs="Times New Roman"/>
          <w:sz w:val="24"/>
          <w:szCs w:val="24"/>
          <w:lang w:eastAsia="ja-JP"/>
        </w:rPr>
      </w:pPr>
      <w:r>
        <w:rPr>
          <w:rFonts w:cs="Times New Roman"/>
          <w:sz w:val="24"/>
          <w:szCs w:val="24"/>
          <w:lang w:eastAsia="ja-JP"/>
        </w:rPr>
        <w:t>This study does not provide a paym</w:t>
      </w:r>
      <w:r w:rsidR="00144D9A">
        <w:rPr>
          <w:rFonts w:cs="Times New Roman"/>
          <w:sz w:val="24"/>
          <w:szCs w:val="24"/>
          <w:lang w:eastAsia="ja-JP"/>
        </w:rPr>
        <w:t>ent or gift to the respondents.</w:t>
      </w:r>
    </w:p>
    <w:p w:rsidR="00CB0531" w:rsidRDefault="00CB0531" w:rsidP="00CB0531">
      <w:pPr>
        <w:pStyle w:val="Heading2"/>
        <w:rPr>
          <w:rFonts w:asciiTheme="minorHAnsi" w:hAnsiTheme="minorHAnsi" w:cs="Times New Roman"/>
          <w:sz w:val="24"/>
          <w:szCs w:val="24"/>
          <w:lang w:eastAsia="ja-JP"/>
        </w:rPr>
      </w:pPr>
      <w:bookmarkStart w:id="14" w:name="_Toc309647147"/>
      <w:r w:rsidRPr="00084320">
        <w:rPr>
          <w:rFonts w:asciiTheme="minorHAnsi" w:hAnsiTheme="minorHAnsi" w:cs="Times New Roman"/>
          <w:sz w:val="24"/>
          <w:szCs w:val="24"/>
          <w:lang w:eastAsia="ja-JP"/>
        </w:rPr>
        <w:t>A.10.</w:t>
      </w:r>
      <w:r w:rsidRPr="00084320">
        <w:rPr>
          <w:rFonts w:asciiTheme="minorHAnsi" w:hAnsiTheme="minorHAnsi" w:cs="Times New Roman"/>
          <w:sz w:val="24"/>
          <w:szCs w:val="24"/>
          <w:lang w:eastAsia="ja-JP"/>
        </w:rPr>
        <w:tab/>
        <w:t>Assurance of Confidentiality Provided to Respondents</w:t>
      </w:r>
      <w:bookmarkEnd w:id="14"/>
    </w:p>
    <w:p w:rsidR="00E3042F" w:rsidRDefault="00E3042F" w:rsidP="00CB0531">
      <w:pPr>
        <w:spacing w:after="0"/>
        <w:ind w:firstLine="360"/>
        <w:rPr>
          <w:sz w:val="24"/>
          <w:szCs w:val="24"/>
        </w:rPr>
      </w:pPr>
    </w:p>
    <w:p w:rsidR="00CB0531" w:rsidRPr="0080211B" w:rsidRDefault="00CB0531" w:rsidP="00CB0531">
      <w:pPr>
        <w:spacing w:after="0"/>
        <w:ind w:firstLine="360"/>
        <w:rPr>
          <w:sz w:val="24"/>
          <w:szCs w:val="24"/>
        </w:rPr>
      </w:pPr>
      <w:r w:rsidRPr="0080211B">
        <w:rPr>
          <w:sz w:val="24"/>
          <w:szCs w:val="24"/>
        </w:rPr>
        <w:t xml:space="preserve">In order to contact respondents for participation in the telephone interview survey, the names, addresses, and telephone numbers of </w:t>
      </w:r>
      <w:r>
        <w:rPr>
          <w:sz w:val="24"/>
          <w:szCs w:val="24"/>
        </w:rPr>
        <w:t>cases</w:t>
      </w:r>
      <w:r w:rsidRPr="0080211B">
        <w:rPr>
          <w:sz w:val="24"/>
          <w:szCs w:val="24"/>
        </w:rPr>
        <w:t xml:space="preserve"> identified in the NEISS-Work </w:t>
      </w:r>
      <w:r>
        <w:rPr>
          <w:sz w:val="24"/>
          <w:szCs w:val="24"/>
        </w:rPr>
        <w:t xml:space="preserve">and NEISS-AIP </w:t>
      </w:r>
      <w:r w:rsidRPr="0080211B">
        <w:rPr>
          <w:sz w:val="24"/>
          <w:szCs w:val="24"/>
        </w:rPr>
        <w:t>data will be collected from th</w:t>
      </w:r>
      <w:r>
        <w:rPr>
          <w:sz w:val="24"/>
          <w:szCs w:val="24"/>
        </w:rPr>
        <w:t>eir medical records by the CPSC-</w:t>
      </w:r>
      <w:r w:rsidRPr="0080211B">
        <w:rPr>
          <w:sz w:val="24"/>
          <w:szCs w:val="24"/>
        </w:rPr>
        <w:t xml:space="preserve">supervised hospital coders who abstract routine NEISS data. CPSC will attempt to obtain contact information for every </w:t>
      </w:r>
      <w:r>
        <w:rPr>
          <w:sz w:val="24"/>
          <w:szCs w:val="24"/>
        </w:rPr>
        <w:t xml:space="preserve">sampled </w:t>
      </w:r>
      <w:r w:rsidRPr="0080211B">
        <w:rPr>
          <w:sz w:val="24"/>
          <w:szCs w:val="24"/>
        </w:rPr>
        <w:t xml:space="preserve">case from the treating hospital. While hospitals are generally cooperative in releasing this information, a few hospitals decline to participate </w:t>
      </w:r>
      <w:r>
        <w:rPr>
          <w:sz w:val="24"/>
          <w:szCs w:val="24"/>
        </w:rPr>
        <w:t>due</w:t>
      </w:r>
      <w:r w:rsidRPr="0080211B">
        <w:rPr>
          <w:sz w:val="24"/>
          <w:szCs w:val="24"/>
        </w:rPr>
        <w:t xml:space="preserve"> to individual hospital privacy rules or require that a letter be sent to the patient providing them the option of having their contact information withheld. </w:t>
      </w:r>
      <w:r w:rsidR="00772DEC">
        <w:rPr>
          <w:sz w:val="24"/>
          <w:szCs w:val="24"/>
        </w:rPr>
        <w:t>These letters are drafted and sent independently by select hospitals. Neither CPSC nor NIOSH has any involvement in this activity. If a hospital chooses to send a letter and</w:t>
      </w:r>
      <w:r w:rsidRPr="0080211B">
        <w:rPr>
          <w:sz w:val="24"/>
          <w:szCs w:val="24"/>
        </w:rPr>
        <w:t xml:space="preserve"> </w:t>
      </w:r>
      <w:r>
        <w:rPr>
          <w:sz w:val="24"/>
          <w:szCs w:val="24"/>
        </w:rPr>
        <w:t>a</w:t>
      </w:r>
      <w:r w:rsidRPr="0080211B">
        <w:rPr>
          <w:sz w:val="24"/>
          <w:szCs w:val="24"/>
        </w:rPr>
        <w:t xml:space="preserve"> response is </w:t>
      </w:r>
      <w:r>
        <w:rPr>
          <w:sz w:val="24"/>
          <w:szCs w:val="24"/>
        </w:rPr>
        <w:t xml:space="preserve">not </w:t>
      </w:r>
      <w:r w:rsidRPr="0080211B">
        <w:rPr>
          <w:sz w:val="24"/>
          <w:szCs w:val="24"/>
        </w:rPr>
        <w:t xml:space="preserve">received from the patient within approximately 10 days, the hospital releases the information to CPSC. Once contact information is obtained by CPSC, the contact information is then given to telephone interviewers under contract to CPSC to complete the interviews.  </w:t>
      </w:r>
    </w:p>
    <w:p w:rsidR="00CB0531" w:rsidRDefault="00CB0531" w:rsidP="00CB0531">
      <w:pPr>
        <w:spacing w:after="0"/>
        <w:ind w:firstLine="360"/>
        <w:rPr>
          <w:sz w:val="24"/>
          <w:szCs w:val="24"/>
        </w:rPr>
      </w:pPr>
      <w:r w:rsidRPr="0080211B">
        <w:rPr>
          <w:sz w:val="24"/>
          <w:szCs w:val="24"/>
        </w:rPr>
        <w:t xml:space="preserve">At least five business days prior to calling </w:t>
      </w:r>
      <w:r>
        <w:rPr>
          <w:sz w:val="24"/>
          <w:szCs w:val="24"/>
        </w:rPr>
        <w:t>a case</w:t>
      </w:r>
      <w:r w:rsidRPr="0080211B">
        <w:rPr>
          <w:sz w:val="24"/>
          <w:szCs w:val="24"/>
        </w:rPr>
        <w:t xml:space="preserve"> identified in the NEISS-Work </w:t>
      </w:r>
      <w:r>
        <w:rPr>
          <w:sz w:val="24"/>
          <w:szCs w:val="24"/>
        </w:rPr>
        <w:t xml:space="preserve">or NEISS-AIP </w:t>
      </w:r>
      <w:r w:rsidRPr="0080211B">
        <w:rPr>
          <w:sz w:val="24"/>
          <w:szCs w:val="24"/>
        </w:rPr>
        <w:t xml:space="preserve">data, the </w:t>
      </w:r>
      <w:r>
        <w:rPr>
          <w:sz w:val="24"/>
          <w:szCs w:val="24"/>
        </w:rPr>
        <w:t>worker</w:t>
      </w:r>
      <w:r w:rsidRPr="0080211B">
        <w:rPr>
          <w:sz w:val="24"/>
          <w:szCs w:val="24"/>
        </w:rPr>
        <w:t xml:space="preserve"> will be sent a letter describing the study and the measures that will be taken to protect their privacy should they choose to participate in the study (Appendix </w:t>
      </w:r>
      <w:r w:rsidR="00ED77CE">
        <w:rPr>
          <w:sz w:val="24"/>
          <w:szCs w:val="24"/>
        </w:rPr>
        <w:t>C</w:t>
      </w:r>
      <w:r w:rsidRPr="0080211B">
        <w:rPr>
          <w:sz w:val="24"/>
          <w:szCs w:val="24"/>
        </w:rPr>
        <w:t xml:space="preserve">). The letter being mailed to potential participants has been written to provide them with the information required in an informed consent. A waiver of written informed consent has been granted by the </w:t>
      </w:r>
      <w:r w:rsidR="006A7DB8">
        <w:rPr>
          <w:sz w:val="24"/>
          <w:szCs w:val="24"/>
        </w:rPr>
        <w:t xml:space="preserve">NIOSH </w:t>
      </w:r>
      <w:r w:rsidR="009F0A24">
        <w:rPr>
          <w:sz w:val="24"/>
          <w:szCs w:val="24"/>
        </w:rPr>
        <w:t>Institutional Review Board</w:t>
      </w:r>
      <w:r>
        <w:rPr>
          <w:sz w:val="24"/>
          <w:szCs w:val="24"/>
        </w:rPr>
        <w:t xml:space="preserve"> </w:t>
      </w:r>
      <w:r w:rsidR="009F0A24">
        <w:rPr>
          <w:sz w:val="24"/>
          <w:szCs w:val="24"/>
        </w:rPr>
        <w:t xml:space="preserve">(IRB) </w:t>
      </w:r>
      <w:r>
        <w:rPr>
          <w:sz w:val="24"/>
          <w:szCs w:val="24"/>
        </w:rPr>
        <w:t xml:space="preserve">(see Appendix </w:t>
      </w:r>
      <w:r w:rsidR="00675CFC">
        <w:rPr>
          <w:sz w:val="24"/>
          <w:szCs w:val="24"/>
        </w:rPr>
        <w:t xml:space="preserve">F </w:t>
      </w:r>
      <w:r>
        <w:rPr>
          <w:sz w:val="24"/>
          <w:szCs w:val="24"/>
        </w:rPr>
        <w:t xml:space="preserve">for the notification of </w:t>
      </w:r>
      <w:r w:rsidR="009F0A24">
        <w:rPr>
          <w:sz w:val="24"/>
          <w:szCs w:val="24"/>
        </w:rPr>
        <w:t>IRB</w:t>
      </w:r>
      <w:r>
        <w:rPr>
          <w:sz w:val="24"/>
          <w:szCs w:val="24"/>
        </w:rPr>
        <w:t xml:space="preserve"> approval),</w:t>
      </w:r>
      <w:r w:rsidRPr="0080211B">
        <w:rPr>
          <w:sz w:val="24"/>
          <w:szCs w:val="24"/>
        </w:rPr>
        <w:t xml:space="preserve"> as collecting written informed consent would likely be detrimental to the response rate of the study. It would also increase the study cost and the time lapse between the treatment date and interview date. </w:t>
      </w:r>
    </w:p>
    <w:p w:rsidR="00CB0531" w:rsidRDefault="00CB0531" w:rsidP="00CB0531">
      <w:pPr>
        <w:spacing w:after="0"/>
        <w:ind w:firstLine="360"/>
        <w:rPr>
          <w:sz w:val="24"/>
          <w:szCs w:val="24"/>
        </w:rPr>
      </w:pPr>
      <w:r w:rsidRPr="00810A94">
        <w:rPr>
          <w:sz w:val="24"/>
          <w:szCs w:val="24"/>
        </w:rPr>
        <w:t xml:space="preserve">The letter </w:t>
      </w:r>
      <w:r>
        <w:rPr>
          <w:sz w:val="24"/>
          <w:szCs w:val="24"/>
        </w:rPr>
        <w:t>that will be sent</w:t>
      </w:r>
      <w:r w:rsidRPr="00810A94">
        <w:rPr>
          <w:sz w:val="24"/>
          <w:szCs w:val="24"/>
        </w:rPr>
        <w:t xml:space="preserve"> prior to the interview and the script read at the beginning of the telephone interview (included in Appendix </w:t>
      </w:r>
      <w:r w:rsidR="00ED77CE">
        <w:rPr>
          <w:sz w:val="24"/>
          <w:szCs w:val="24"/>
        </w:rPr>
        <w:t>D</w:t>
      </w:r>
      <w:r w:rsidRPr="00810A94">
        <w:rPr>
          <w:sz w:val="24"/>
          <w:szCs w:val="24"/>
        </w:rPr>
        <w:t xml:space="preserve">) both emphasize that participation is voluntary and explain the protections that will apply should they choose to participate. The letter provides the potential respondents an option to opt out of the telephone interview study by calling a toll-free number. If they do not opt out, the telephone script confirms their willingness </w:t>
      </w:r>
      <w:r w:rsidRPr="00810A94">
        <w:rPr>
          <w:sz w:val="24"/>
          <w:szCs w:val="24"/>
        </w:rPr>
        <w:lastRenderedPageBreak/>
        <w:t xml:space="preserve">to participate by asking, “Would you please help us by answering some questions?” A positive response to this question will be deemed </w:t>
      </w:r>
      <w:r>
        <w:rPr>
          <w:sz w:val="24"/>
          <w:szCs w:val="24"/>
        </w:rPr>
        <w:t>as</w:t>
      </w:r>
      <w:r w:rsidRPr="00810A94">
        <w:rPr>
          <w:sz w:val="24"/>
          <w:szCs w:val="24"/>
        </w:rPr>
        <w:t xml:space="preserve"> the subject’s verbal consent to participate.</w:t>
      </w:r>
      <w:r>
        <w:rPr>
          <w:sz w:val="24"/>
          <w:szCs w:val="24"/>
        </w:rPr>
        <w:t xml:space="preserve"> </w:t>
      </w:r>
    </w:p>
    <w:p w:rsidR="00CB0531" w:rsidRDefault="00CB0531" w:rsidP="00CB0531">
      <w:pPr>
        <w:spacing w:after="0"/>
        <w:ind w:firstLine="360"/>
        <w:rPr>
          <w:sz w:val="24"/>
          <w:szCs w:val="24"/>
        </w:rPr>
      </w:pPr>
      <w:r w:rsidRPr="00810A94">
        <w:rPr>
          <w:sz w:val="24"/>
          <w:szCs w:val="24"/>
        </w:rPr>
        <w:t xml:space="preserve">Completion of contact with a subject will </w:t>
      </w:r>
      <w:r>
        <w:rPr>
          <w:sz w:val="24"/>
          <w:szCs w:val="24"/>
        </w:rPr>
        <w:t>occur when</w:t>
      </w:r>
      <w:r w:rsidRPr="00810A94">
        <w:rPr>
          <w:sz w:val="24"/>
          <w:szCs w:val="24"/>
        </w:rPr>
        <w:t xml:space="preserve"> a potential respondent </w:t>
      </w:r>
      <w:r>
        <w:rPr>
          <w:sz w:val="24"/>
          <w:szCs w:val="24"/>
        </w:rPr>
        <w:t>declines</w:t>
      </w:r>
      <w:r w:rsidRPr="00810A94">
        <w:rPr>
          <w:sz w:val="24"/>
          <w:szCs w:val="24"/>
        </w:rPr>
        <w:t xml:space="preserve"> to participate, a potential respondent</w:t>
      </w:r>
      <w:r>
        <w:rPr>
          <w:sz w:val="24"/>
          <w:szCs w:val="24"/>
        </w:rPr>
        <w:t xml:space="preserve"> cannot be contacted</w:t>
      </w:r>
      <w:r w:rsidRPr="00810A94">
        <w:rPr>
          <w:sz w:val="24"/>
          <w:szCs w:val="24"/>
        </w:rPr>
        <w:t xml:space="preserve">, </w:t>
      </w:r>
      <w:r>
        <w:rPr>
          <w:sz w:val="24"/>
          <w:szCs w:val="24"/>
        </w:rPr>
        <w:t>a</w:t>
      </w:r>
      <w:r w:rsidRPr="00810A94">
        <w:rPr>
          <w:sz w:val="24"/>
          <w:szCs w:val="24"/>
        </w:rPr>
        <w:t xml:space="preserve"> potential respondent does not meet the study eligibility criteria, or a respondent </w:t>
      </w:r>
      <w:r>
        <w:rPr>
          <w:sz w:val="24"/>
          <w:szCs w:val="24"/>
        </w:rPr>
        <w:t>completes</w:t>
      </w:r>
      <w:r w:rsidRPr="00810A94">
        <w:rPr>
          <w:sz w:val="24"/>
          <w:szCs w:val="24"/>
        </w:rPr>
        <w:t xml:space="preserve"> the telephone interview survey. Once contact is completed, the subject’s name, phone, and address information will be </w:t>
      </w:r>
      <w:r>
        <w:rPr>
          <w:sz w:val="24"/>
          <w:szCs w:val="24"/>
        </w:rPr>
        <w:t>removed</w:t>
      </w:r>
      <w:r w:rsidRPr="00810A94">
        <w:rPr>
          <w:sz w:val="24"/>
          <w:szCs w:val="24"/>
        </w:rPr>
        <w:t xml:space="preserve"> from the database. CPSC completes quality assurance checks on all data submitted and takes precautions to insure that this information is never transmitted to NIOSH. Contact information will be destroyed following </w:t>
      </w:r>
      <w:r>
        <w:rPr>
          <w:sz w:val="24"/>
          <w:szCs w:val="24"/>
        </w:rPr>
        <w:t xml:space="preserve">a case’s </w:t>
      </w:r>
      <w:r w:rsidRPr="00810A94">
        <w:rPr>
          <w:sz w:val="24"/>
          <w:szCs w:val="24"/>
        </w:rPr>
        <w:t xml:space="preserve">removal from </w:t>
      </w:r>
      <w:r w:rsidRPr="00555B17">
        <w:rPr>
          <w:sz w:val="24"/>
          <w:szCs w:val="24"/>
        </w:rPr>
        <w:t>the database, as there is no need to maintain this information.</w:t>
      </w:r>
    </w:p>
    <w:p w:rsidR="00CB0531" w:rsidRDefault="00CB0531" w:rsidP="00CB0531">
      <w:pPr>
        <w:spacing w:after="0"/>
        <w:ind w:firstLine="360"/>
        <w:rPr>
          <w:sz w:val="24"/>
          <w:szCs w:val="24"/>
        </w:rPr>
      </w:pPr>
      <w:r w:rsidRPr="00555B17">
        <w:rPr>
          <w:sz w:val="24"/>
          <w:szCs w:val="24"/>
        </w:rPr>
        <w:t xml:space="preserve">Routinely collected NEISS-Work </w:t>
      </w:r>
      <w:r>
        <w:rPr>
          <w:sz w:val="24"/>
          <w:szCs w:val="24"/>
        </w:rPr>
        <w:t xml:space="preserve">and NEISS-AIP </w:t>
      </w:r>
      <w:r w:rsidRPr="00555B17">
        <w:rPr>
          <w:sz w:val="24"/>
          <w:szCs w:val="24"/>
        </w:rPr>
        <w:t xml:space="preserve">surveillance data include </w:t>
      </w:r>
      <w:r w:rsidR="00F24EF1">
        <w:rPr>
          <w:sz w:val="24"/>
          <w:szCs w:val="24"/>
        </w:rPr>
        <w:t xml:space="preserve">indirectly </w:t>
      </w:r>
      <w:r w:rsidRPr="00555B17">
        <w:rPr>
          <w:sz w:val="24"/>
          <w:szCs w:val="24"/>
        </w:rPr>
        <w:t>identifiable information involving demographic data (not including birth date), employment status data</w:t>
      </w:r>
      <w:r>
        <w:rPr>
          <w:sz w:val="24"/>
          <w:szCs w:val="24"/>
        </w:rPr>
        <w:t xml:space="preserve"> (NEISS-Work only)</w:t>
      </w:r>
      <w:r w:rsidRPr="00555B17">
        <w:rPr>
          <w:sz w:val="24"/>
          <w:szCs w:val="24"/>
        </w:rPr>
        <w:t>, and a short narrative describing the injury incident. Analyses of these data will be used to provide a general overview of injuries</w:t>
      </w:r>
      <w:r>
        <w:rPr>
          <w:sz w:val="24"/>
          <w:szCs w:val="24"/>
        </w:rPr>
        <w:t xml:space="preserve"> </w:t>
      </w:r>
      <w:r w:rsidRPr="00555B17">
        <w:rPr>
          <w:sz w:val="24"/>
          <w:szCs w:val="24"/>
        </w:rPr>
        <w:t xml:space="preserve">to workers in the surveillance system and to compare telephone interview respondents with non-respondents to </w:t>
      </w:r>
      <w:r>
        <w:rPr>
          <w:sz w:val="24"/>
          <w:szCs w:val="24"/>
        </w:rPr>
        <w:t>examine</w:t>
      </w:r>
      <w:r w:rsidRPr="00555B17">
        <w:rPr>
          <w:sz w:val="24"/>
          <w:szCs w:val="24"/>
        </w:rPr>
        <w:t xml:space="preserve"> any potential response biases. </w:t>
      </w:r>
      <w:r w:rsidR="00CE317B">
        <w:rPr>
          <w:sz w:val="24"/>
          <w:szCs w:val="24"/>
        </w:rPr>
        <w:t>Using CPSC’s unique case identification number, t</w:t>
      </w:r>
      <w:r w:rsidRPr="00555B17">
        <w:rPr>
          <w:sz w:val="24"/>
          <w:szCs w:val="24"/>
        </w:rPr>
        <w:t xml:space="preserve">he </w:t>
      </w:r>
      <w:r w:rsidR="00CE317B">
        <w:rPr>
          <w:sz w:val="24"/>
          <w:szCs w:val="24"/>
        </w:rPr>
        <w:t xml:space="preserve">routine </w:t>
      </w:r>
      <w:r w:rsidRPr="00555B17">
        <w:rPr>
          <w:sz w:val="24"/>
          <w:szCs w:val="24"/>
        </w:rPr>
        <w:t>surveillance data will be linked to the individual case data captured via telephone interviews for purposes of validating the information received.</w:t>
      </w:r>
    </w:p>
    <w:p w:rsidR="00CB0531" w:rsidRPr="00555B17" w:rsidRDefault="00CB0531" w:rsidP="00CB0531">
      <w:pPr>
        <w:spacing w:after="0"/>
        <w:ind w:firstLine="360"/>
        <w:rPr>
          <w:sz w:val="24"/>
          <w:szCs w:val="24"/>
        </w:rPr>
      </w:pPr>
      <w:r w:rsidRPr="00555B17">
        <w:rPr>
          <w:sz w:val="24"/>
          <w:szCs w:val="24"/>
        </w:rPr>
        <w:t xml:space="preserve">The data proposed for collection during the telephone interview survey (Appendix </w:t>
      </w:r>
      <w:r w:rsidR="00ED77CE">
        <w:rPr>
          <w:sz w:val="24"/>
          <w:szCs w:val="24"/>
        </w:rPr>
        <w:t>D</w:t>
      </w:r>
      <w:r w:rsidRPr="00555B17">
        <w:rPr>
          <w:sz w:val="24"/>
          <w:szCs w:val="24"/>
        </w:rPr>
        <w:t>) also contain information on employment and demographics (</w:t>
      </w:r>
      <w:r>
        <w:rPr>
          <w:sz w:val="24"/>
          <w:szCs w:val="24"/>
        </w:rPr>
        <w:t xml:space="preserve">e.g., </w:t>
      </w:r>
      <w:r w:rsidRPr="00555B17">
        <w:rPr>
          <w:sz w:val="24"/>
          <w:szCs w:val="24"/>
        </w:rPr>
        <w:t>sex</w:t>
      </w:r>
      <w:r>
        <w:rPr>
          <w:sz w:val="24"/>
          <w:szCs w:val="24"/>
        </w:rPr>
        <w:t xml:space="preserve"> and race/ethnicity</w:t>
      </w:r>
      <w:r w:rsidRPr="00555B17">
        <w:rPr>
          <w:sz w:val="24"/>
          <w:szCs w:val="24"/>
        </w:rPr>
        <w:t xml:space="preserve">). This information is necessary to define the target population of greatest need when </w:t>
      </w:r>
      <w:r>
        <w:rPr>
          <w:sz w:val="24"/>
          <w:szCs w:val="24"/>
        </w:rPr>
        <w:t>targeting</w:t>
      </w:r>
      <w:r w:rsidRPr="00555B17">
        <w:rPr>
          <w:sz w:val="24"/>
          <w:szCs w:val="24"/>
        </w:rPr>
        <w:t xml:space="preserve"> </w:t>
      </w:r>
      <w:r>
        <w:rPr>
          <w:sz w:val="24"/>
          <w:szCs w:val="24"/>
        </w:rPr>
        <w:t>programs that encourage reporting of occupational injuries, reduc</w:t>
      </w:r>
      <w:r w:rsidR="006A7DB8">
        <w:rPr>
          <w:sz w:val="24"/>
          <w:szCs w:val="24"/>
        </w:rPr>
        <w:t>e</w:t>
      </w:r>
      <w:r>
        <w:rPr>
          <w:sz w:val="24"/>
          <w:szCs w:val="24"/>
        </w:rPr>
        <w:t xml:space="preserve"> barriers to reporting, or enhance available </w:t>
      </w:r>
      <w:r w:rsidR="006A7DB8">
        <w:rPr>
          <w:sz w:val="24"/>
          <w:szCs w:val="24"/>
        </w:rPr>
        <w:t xml:space="preserve">reporting </w:t>
      </w:r>
      <w:r>
        <w:rPr>
          <w:sz w:val="24"/>
          <w:szCs w:val="24"/>
        </w:rPr>
        <w:t>incentives</w:t>
      </w:r>
      <w:r w:rsidRPr="00555B17">
        <w:rPr>
          <w:sz w:val="24"/>
          <w:szCs w:val="24"/>
        </w:rPr>
        <w:t>. All data collected for this project will only be presented in aggregate form. Even in aggregate form, the data will need to meet NIOSH NE</w:t>
      </w:r>
      <w:r>
        <w:rPr>
          <w:sz w:val="24"/>
          <w:szCs w:val="24"/>
        </w:rPr>
        <w:t xml:space="preserve">ISS reporting requirements </w:t>
      </w:r>
      <w:r w:rsidRPr="00555B17">
        <w:rPr>
          <w:sz w:val="24"/>
          <w:szCs w:val="24"/>
        </w:rPr>
        <w:t xml:space="preserve">designed to insure data stability and </w:t>
      </w:r>
      <w:r>
        <w:rPr>
          <w:sz w:val="24"/>
          <w:szCs w:val="24"/>
        </w:rPr>
        <w:t xml:space="preserve">to </w:t>
      </w:r>
      <w:r w:rsidRPr="00555B17">
        <w:rPr>
          <w:sz w:val="24"/>
          <w:szCs w:val="24"/>
        </w:rPr>
        <w:t>help protect wo</w:t>
      </w:r>
      <w:r>
        <w:rPr>
          <w:sz w:val="24"/>
          <w:szCs w:val="24"/>
        </w:rPr>
        <w:t xml:space="preserve">rker privacy, prior to release. </w:t>
      </w:r>
      <w:r w:rsidRPr="00555B17">
        <w:rPr>
          <w:sz w:val="24"/>
          <w:szCs w:val="24"/>
        </w:rPr>
        <w:t>NIOSH has three criteria for determining reportability of NEISS-Work data results:</w:t>
      </w:r>
    </w:p>
    <w:p w:rsidR="00CB0531" w:rsidRPr="00555B17" w:rsidRDefault="00CB0531" w:rsidP="00CB0531">
      <w:pPr>
        <w:spacing w:after="0"/>
        <w:ind w:left="360"/>
        <w:rPr>
          <w:sz w:val="24"/>
          <w:szCs w:val="24"/>
        </w:rPr>
      </w:pPr>
      <w:r w:rsidRPr="00555B17">
        <w:rPr>
          <w:sz w:val="24"/>
          <w:szCs w:val="24"/>
        </w:rPr>
        <w:t>1.</w:t>
      </w:r>
      <w:r w:rsidRPr="00555B17">
        <w:rPr>
          <w:sz w:val="24"/>
          <w:szCs w:val="24"/>
        </w:rPr>
        <w:tab/>
        <w:t>Number of cases treated within the hospital sample must exceed a specified value;</w:t>
      </w:r>
    </w:p>
    <w:p w:rsidR="00CB0531" w:rsidRPr="00555B17" w:rsidRDefault="00CB0531" w:rsidP="00CB0531">
      <w:pPr>
        <w:spacing w:after="0"/>
        <w:ind w:left="360"/>
        <w:rPr>
          <w:sz w:val="24"/>
          <w:szCs w:val="24"/>
        </w:rPr>
      </w:pPr>
      <w:r w:rsidRPr="00555B17">
        <w:rPr>
          <w:sz w:val="24"/>
          <w:szCs w:val="24"/>
        </w:rPr>
        <w:t>2.</w:t>
      </w:r>
      <w:r w:rsidRPr="00555B17">
        <w:rPr>
          <w:sz w:val="24"/>
          <w:szCs w:val="24"/>
        </w:rPr>
        <w:tab/>
        <w:t>The extrapolated national estimates must exceed a specified value; and</w:t>
      </w:r>
    </w:p>
    <w:p w:rsidR="00CB0531" w:rsidRPr="00555B17" w:rsidRDefault="00CB0531" w:rsidP="00CB0531">
      <w:pPr>
        <w:spacing w:after="0"/>
        <w:ind w:left="360"/>
        <w:rPr>
          <w:sz w:val="24"/>
          <w:szCs w:val="24"/>
        </w:rPr>
      </w:pPr>
      <w:r w:rsidRPr="00555B17">
        <w:rPr>
          <w:sz w:val="24"/>
          <w:szCs w:val="24"/>
        </w:rPr>
        <w:t>3.</w:t>
      </w:r>
      <w:r w:rsidRPr="00555B17">
        <w:rPr>
          <w:sz w:val="24"/>
          <w:szCs w:val="24"/>
        </w:rPr>
        <w:tab/>
        <w:t>The coefficient of variation must be less than or equal to 33%.</w:t>
      </w:r>
    </w:p>
    <w:p w:rsidR="00CB0531" w:rsidRDefault="00CB0531" w:rsidP="00CB0531">
      <w:pPr>
        <w:spacing w:after="0"/>
        <w:rPr>
          <w:sz w:val="24"/>
          <w:szCs w:val="24"/>
        </w:rPr>
      </w:pPr>
      <w:r w:rsidRPr="00555B17">
        <w:rPr>
          <w:sz w:val="24"/>
          <w:szCs w:val="24"/>
        </w:rPr>
        <w:t xml:space="preserve">Because of confidentiality restrictions, NIOSH does not publicly release the minimum sample </w:t>
      </w:r>
      <w:r>
        <w:rPr>
          <w:sz w:val="24"/>
          <w:szCs w:val="24"/>
        </w:rPr>
        <w:t>size</w:t>
      </w:r>
      <w:r w:rsidRPr="003B1F4D">
        <w:rPr>
          <w:sz w:val="24"/>
          <w:szCs w:val="24"/>
        </w:rPr>
        <w:t xml:space="preserve"> or national estimate requirements. Variance requirements are released.</w:t>
      </w:r>
    </w:p>
    <w:p w:rsidR="00CB0531" w:rsidRDefault="00CB0531" w:rsidP="00CB0531">
      <w:pPr>
        <w:spacing w:after="0"/>
        <w:ind w:firstLine="360"/>
        <w:rPr>
          <w:sz w:val="24"/>
          <w:szCs w:val="24"/>
        </w:rPr>
      </w:pPr>
      <w:r w:rsidRPr="00851843">
        <w:rPr>
          <w:sz w:val="24"/>
          <w:szCs w:val="24"/>
        </w:rPr>
        <w:t xml:space="preserve">The protocol for this study has been </w:t>
      </w:r>
      <w:r>
        <w:rPr>
          <w:sz w:val="24"/>
          <w:szCs w:val="24"/>
        </w:rPr>
        <w:t>submitted for review and approval</w:t>
      </w:r>
      <w:r w:rsidRPr="00851843">
        <w:rPr>
          <w:sz w:val="24"/>
          <w:szCs w:val="24"/>
        </w:rPr>
        <w:t xml:space="preserve"> by the NIOSH </w:t>
      </w:r>
      <w:r w:rsidR="009F0A24">
        <w:rPr>
          <w:sz w:val="24"/>
          <w:szCs w:val="24"/>
        </w:rPr>
        <w:t>IRB</w:t>
      </w:r>
      <w:r w:rsidRPr="00851843">
        <w:rPr>
          <w:sz w:val="24"/>
          <w:szCs w:val="24"/>
        </w:rPr>
        <w:t xml:space="preserve"> under an expedited review.</w:t>
      </w:r>
      <w:r w:rsidRPr="003B1F4D">
        <w:rPr>
          <w:sz w:val="24"/>
          <w:szCs w:val="24"/>
        </w:rPr>
        <w:t xml:space="preserve"> </w:t>
      </w:r>
      <w:r>
        <w:rPr>
          <w:sz w:val="24"/>
          <w:szCs w:val="24"/>
        </w:rPr>
        <w:t>[</w:t>
      </w:r>
      <w:r w:rsidRPr="003B1F4D">
        <w:rPr>
          <w:sz w:val="24"/>
          <w:szCs w:val="24"/>
        </w:rPr>
        <w:t>See</w:t>
      </w:r>
      <w:r>
        <w:rPr>
          <w:sz w:val="24"/>
          <w:szCs w:val="24"/>
        </w:rPr>
        <w:t xml:space="preserve"> </w:t>
      </w:r>
      <w:r w:rsidRPr="003B1F4D">
        <w:rPr>
          <w:sz w:val="24"/>
          <w:szCs w:val="24"/>
        </w:rPr>
        <w:t xml:space="preserve">Appendix </w:t>
      </w:r>
      <w:r w:rsidR="00675CFC">
        <w:rPr>
          <w:sz w:val="24"/>
          <w:szCs w:val="24"/>
        </w:rPr>
        <w:t>F</w:t>
      </w:r>
      <w:r w:rsidR="00675CFC" w:rsidRPr="003B1F4D">
        <w:rPr>
          <w:sz w:val="24"/>
          <w:szCs w:val="24"/>
        </w:rPr>
        <w:t xml:space="preserve"> </w:t>
      </w:r>
      <w:r w:rsidRPr="003B1F4D">
        <w:rPr>
          <w:sz w:val="24"/>
          <w:szCs w:val="24"/>
        </w:rPr>
        <w:t xml:space="preserve">for a copy of the </w:t>
      </w:r>
      <w:r w:rsidR="009F0A24">
        <w:rPr>
          <w:sz w:val="24"/>
          <w:szCs w:val="24"/>
        </w:rPr>
        <w:t>IRB</w:t>
      </w:r>
      <w:r w:rsidRPr="003B1F4D">
        <w:rPr>
          <w:sz w:val="24"/>
          <w:szCs w:val="24"/>
        </w:rPr>
        <w:t xml:space="preserve"> approval.</w:t>
      </w:r>
      <w:r>
        <w:rPr>
          <w:sz w:val="24"/>
          <w:szCs w:val="24"/>
        </w:rPr>
        <w:t>]</w:t>
      </w:r>
      <w:r w:rsidRPr="003B1F4D">
        <w:rPr>
          <w:sz w:val="24"/>
          <w:szCs w:val="24"/>
        </w:rPr>
        <w:t xml:space="preserve"> CPSC </w:t>
      </w:r>
      <w:r>
        <w:rPr>
          <w:sz w:val="24"/>
          <w:szCs w:val="24"/>
        </w:rPr>
        <w:t xml:space="preserve">does not have its own </w:t>
      </w:r>
      <w:r w:rsidR="00CE317B">
        <w:rPr>
          <w:sz w:val="24"/>
          <w:szCs w:val="24"/>
        </w:rPr>
        <w:t>Institutional Review Board</w:t>
      </w:r>
      <w:r>
        <w:rPr>
          <w:sz w:val="24"/>
          <w:szCs w:val="24"/>
        </w:rPr>
        <w:t xml:space="preserve"> and will instead </w:t>
      </w:r>
      <w:r w:rsidRPr="003B1F4D">
        <w:rPr>
          <w:sz w:val="24"/>
          <w:szCs w:val="24"/>
        </w:rPr>
        <w:t xml:space="preserve">link an organizational FWA to NIOSH to enable them to defer to the NIOSH </w:t>
      </w:r>
      <w:r w:rsidR="009F0A24">
        <w:rPr>
          <w:sz w:val="24"/>
          <w:szCs w:val="24"/>
        </w:rPr>
        <w:t>IRB</w:t>
      </w:r>
      <w:r w:rsidRPr="003B1F4D">
        <w:rPr>
          <w:sz w:val="24"/>
          <w:szCs w:val="24"/>
        </w:rPr>
        <w:t>.</w:t>
      </w:r>
      <w:r>
        <w:rPr>
          <w:sz w:val="24"/>
          <w:szCs w:val="24"/>
        </w:rPr>
        <w:t xml:space="preserve"> Data that result from the proposed project will be owned by NIOSH.</w:t>
      </w:r>
    </w:p>
    <w:p w:rsidR="00CB0531" w:rsidRDefault="00CB0531" w:rsidP="00CB0531">
      <w:pPr>
        <w:spacing w:after="0"/>
        <w:rPr>
          <w:sz w:val="24"/>
          <w:szCs w:val="24"/>
        </w:rPr>
      </w:pPr>
    </w:p>
    <w:p w:rsidR="00E3042F" w:rsidRDefault="00E3042F">
      <w:pPr>
        <w:rPr>
          <w:b/>
          <w:sz w:val="24"/>
          <w:szCs w:val="24"/>
          <w:u w:val="single"/>
        </w:rPr>
      </w:pPr>
      <w:r>
        <w:rPr>
          <w:b/>
          <w:sz w:val="24"/>
          <w:szCs w:val="24"/>
          <w:u w:val="single"/>
        </w:rPr>
        <w:br w:type="page"/>
      </w:r>
    </w:p>
    <w:p w:rsidR="00CB0531" w:rsidRPr="00144D9A" w:rsidRDefault="00CB0531" w:rsidP="00CB0531">
      <w:pPr>
        <w:spacing w:after="0"/>
        <w:rPr>
          <w:b/>
          <w:sz w:val="24"/>
          <w:szCs w:val="24"/>
          <w:u w:val="single"/>
        </w:rPr>
      </w:pPr>
      <w:r w:rsidRPr="00144D9A">
        <w:rPr>
          <w:b/>
          <w:sz w:val="24"/>
          <w:szCs w:val="24"/>
          <w:u w:val="single"/>
        </w:rPr>
        <w:lastRenderedPageBreak/>
        <w:t>Privacy Impact Assessment</w:t>
      </w:r>
    </w:p>
    <w:p w:rsidR="00CB0531" w:rsidRPr="00144D9A" w:rsidRDefault="00CB0531" w:rsidP="00CB0531">
      <w:pPr>
        <w:pStyle w:val="Heading3"/>
        <w:rPr>
          <w:rFonts w:asciiTheme="minorHAnsi" w:hAnsiTheme="minorHAnsi"/>
          <w:b w:val="0"/>
          <w:i/>
          <w:sz w:val="24"/>
          <w:szCs w:val="24"/>
          <w:u w:val="single"/>
        </w:rPr>
      </w:pPr>
      <w:bookmarkStart w:id="15" w:name="_Toc309647148"/>
      <w:r w:rsidRPr="00144D9A">
        <w:rPr>
          <w:rFonts w:asciiTheme="minorHAnsi" w:hAnsiTheme="minorHAnsi"/>
          <w:b w:val="0"/>
          <w:i/>
          <w:sz w:val="24"/>
          <w:szCs w:val="24"/>
          <w:u w:val="single"/>
        </w:rPr>
        <w:t>Subject to the Privacy Act</w:t>
      </w:r>
      <w:bookmarkEnd w:id="15"/>
    </w:p>
    <w:p w:rsidR="00CB0531" w:rsidRPr="00432B9B" w:rsidRDefault="00CB0531" w:rsidP="00CB0531">
      <w:pPr>
        <w:spacing w:after="0"/>
        <w:ind w:firstLine="360"/>
        <w:rPr>
          <w:sz w:val="24"/>
          <w:szCs w:val="24"/>
        </w:rPr>
      </w:pPr>
      <w:r w:rsidRPr="00432B9B">
        <w:rPr>
          <w:sz w:val="24"/>
          <w:szCs w:val="24"/>
        </w:rPr>
        <w:t xml:space="preserve">This submission has been reviewed by </w:t>
      </w:r>
      <w:r w:rsidR="001927C2">
        <w:rPr>
          <w:sz w:val="24"/>
          <w:szCs w:val="24"/>
        </w:rPr>
        <w:t>the NIOSH PRA contact</w:t>
      </w:r>
      <w:r>
        <w:rPr>
          <w:sz w:val="24"/>
          <w:szCs w:val="24"/>
        </w:rPr>
        <w:t xml:space="preserve"> who</w:t>
      </w:r>
      <w:r w:rsidRPr="00432B9B">
        <w:rPr>
          <w:sz w:val="24"/>
          <w:szCs w:val="24"/>
        </w:rPr>
        <w:t xml:space="preserve"> determined that the Privacy Act </w:t>
      </w:r>
      <w:r>
        <w:rPr>
          <w:sz w:val="24"/>
          <w:szCs w:val="24"/>
        </w:rPr>
        <w:t>does apply</w:t>
      </w:r>
      <w:r w:rsidRPr="00432B9B">
        <w:rPr>
          <w:sz w:val="24"/>
          <w:szCs w:val="24"/>
        </w:rPr>
        <w:t>. The applicable Systems of Records Notice is 09-20-0136, “Epidemiologic Studies of Surveillance of Disease Problems.” The data are also protected by the Consumer Product Safety Act.</w:t>
      </w:r>
    </w:p>
    <w:p w:rsidR="00CB0531" w:rsidRPr="00144D9A" w:rsidRDefault="00CB0531" w:rsidP="00CB0531">
      <w:pPr>
        <w:pStyle w:val="Heading3"/>
        <w:rPr>
          <w:rFonts w:asciiTheme="minorHAnsi" w:hAnsiTheme="minorHAnsi"/>
          <w:b w:val="0"/>
          <w:i/>
          <w:sz w:val="24"/>
          <w:szCs w:val="24"/>
          <w:u w:val="single"/>
        </w:rPr>
      </w:pPr>
      <w:bookmarkStart w:id="16" w:name="_Toc309647149"/>
      <w:r w:rsidRPr="00144D9A">
        <w:rPr>
          <w:rFonts w:asciiTheme="minorHAnsi" w:hAnsiTheme="minorHAnsi"/>
          <w:b w:val="0"/>
          <w:i/>
          <w:sz w:val="24"/>
          <w:szCs w:val="24"/>
          <w:u w:val="single"/>
        </w:rPr>
        <w:t>Securing information</w:t>
      </w:r>
      <w:bookmarkEnd w:id="16"/>
      <w:r w:rsidRPr="00144D9A">
        <w:rPr>
          <w:rFonts w:asciiTheme="minorHAnsi" w:hAnsiTheme="minorHAnsi"/>
          <w:b w:val="0"/>
          <w:i/>
          <w:sz w:val="24"/>
          <w:szCs w:val="24"/>
          <w:u w:val="single"/>
        </w:rPr>
        <w:t xml:space="preserve"> </w:t>
      </w:r>
    </w:p>
    <w:p w:rsidR="00CB0531" w:rsidRPr="00432B9B" w:rsidRDefault="00CB0531" w:rsidP="00CB0531">
      <w:pPr>
        <w:spacing w:after="0"/>
        <w:ind w:firstLine="360"/>
        <w:rPr>
          <w:sz w:val="24"/>
          <w:szCs w:val="24"/>
        </w:rPr>
      </w:pPr>
      <w:r w:rsidRPr="00432B9B">
        <w:rPr>
          <w:sz w:val="24"/>
          <w:szCs w:val="24"/>
        </w:rPr>
        <w:t>Unless otherwise specified</w:t>
      </w:r>
      <w:r>
        <w:rPr>
          <w:sz w:val="24"/>
          <w:szCs w:val="24"/>
        </w:rPr>
        <w:t>,</w:t>
      </w:r>
      <w:r w:rsidRPr="00432B9B">
        <w:rPr>
          <w:sz w:val="24"/>
          <w:szCs w:val="24"/>
        </w:rPr>
        <w:t xml:space="preserve"> the information on access controls described below </w:t>
      </w:r>
      <w:r>
        <w:rPr>
          <w:sz w:val="24"/>
          <w:szCs w:val="24"/>
        </w:rPr>
        <w:t>applies</w:t>
      </w:r>
      <w:r w:rsidRPr="00432B9B">
        <w:rPr>
          <w:sz w:val="24"/>
          <w:szCs w:val="24"/>
        </w:rPr>
        <w:t xml:space="preserve"> to </w:t>
      </w:r>
      <w:r>
        <w:rPr>
          <w:sz w:val="24"/>
          <w:szCs w:val="24"/>
        </w:rPr>
        <w:t>both</w:t>
      </w:r>
      <w:r w:rsidRPr="00432B9B">
        <w:rPr>
          <w:sz w:val="24"/>
          <w:szCs w:val="24"/>
        </w:rPr>
        <w:t xml:space="preserve"> collaborating agencies</w:t>
      </w:r>
      <w:r>
        <w:rPr>
          <w:sz w:val="24"/>
          <w:szCs w:val="24"/>
        </w:rPr>
        <w:t>—NIOSH and CPSC</w:t>
      </w:r>
      <w:r w:rsidRPr="00432B9B">
        <w:rPr>
          <w:sz w:val="24"/>
          <w:szCs w:val="24"/>
        </w:rPr>
        <w:t>.</w:t>
      </w:r>
    </w:p>
    <w:p w:rsidR="00CB0531" w:rsidRDefault="00CB0531" w:rsidP="00CB0531">
      <w:pPr>
        <w:spacing w:after="0"/>
        <w:ind w:firstLine="360"/>
        <w:rPr>
          <w:sz w:val="24"/>
          <w:szCs w:val="24"/>
        </w:rPr>
      </w:pPr>
      <w:r w:rsidRPr="00144D9A">
        <w:rPr>
          <w:i/>
          <w:sz w:val="24"/>
          <w:szCs w:val="24"/>
        </w:rPr>
        <w:t>Technical Controls</w:t>
      </w:r>
      <w:r w:rsidRPr="00432B9B">
        <w:rPr>
          <w:b/>
          <w:sz w:val="24"/>
          <w:szCs w:val="24"/>
        </w:rPr>
        <w:t>:</w:t>
      </w:r>
      <w:r w:rsidRPr="00432B9B">
        <w:rPr>
          <w:sz w:val="24"/>
          <w:szCs w:val="24"/>
        </w:rPr>
        <w:t xml:space="preserve"> CPSC telephone interview contractors will use individual access and firewall protected laptop computers. For added safety, the laptops are also encrypted and password protected. The contractors will adher</w:t>
      </w:r>
      <w:r w:rsidR="002C48B0">
        <w:rPr>
          <w:sz w:val="24"/>
          <w:szCs w:val="24"/>
        </w:rPr>
        <w:t>e to the privacy protections pre</w:t>
      </w:r>
      <w:r w:rsidRPr="00432B9B">
        <w:rPr>
          <w:sz w:val="24"/>
          <w:szCs w:val="24"/>
        </w:rPr>
        <w:t>scribed in the CPSC interview contracts. Personal identifiers are provided to the interviewers to complete the interviews. Once the interview is completed the personal identifiers are removed from the data by CPSC and only de-identified data will be provided to NIOSH.</w:t>
      </w:r>
    </w:p>
    <w:p w:rsidR="00CB0531" w:rsidRDefault="00CB0531" w:rsidP="00CB0531">
      <w:pPr>
        <w:spacing w:after="0"/>
        <w:ind w:firstLine="360"/>
        <w:rPr>
          <w:sz w:val="24"/>
          <w:szCs w:val="24"/>
        </w:rPr>
      </w:pPr>
      <w:r w:rsidRPr="00432B9B">
        <w:rPr>
          <w:sz w:val="24"/>
          <w:szCs w:val="24"/>
        </w:rPr>
        <w:t xml:space="preserve">Once collected, all data are stored on access-controlled agency computers. User authentication and robust passwords are required for data access within the agency firewalls. Data access from outside the firewall or offsite locations is not permitted. Within the firewall on agency servers, data files are located in access-controlled directories so that only individuals </w:t>
      </w:r>
      <w:r w:rsidRPr="002550AE">
        <w:rPr>
          <w:sz w:val="24"/>
          <w:szCs w:val="24"/>
        </w:rPr>
        <w:t xml:space="preserve">specifically authorized to access the project data may have read and/or write privileges. </w:t>
      </w:r>
    </w:p>
    <w:p w:rsidR="00CB0531" w:rsidRDefault="00CB0531" w:rsidP="00CB0531">
      <w:pPr>
        <w:spacing w:after="0"/>
        <w:ind w:firstLine="360"/>
        <w:rPr>
          <w:sz w:val="24"/>
          <w:szCs w:val="24"/>
        </w:rPr>
      </w:pPr>
      <w:r w:rsidRPr="00144D9A">
        <w:rPr>
          <w:i/>
          <w:sz w:val="24"/>
          <w:szCs w:val="24"/>
        </w:rPr>
        <w:t>Physical Controls</w:t>
      </w:r>
      <w:r w:rsidRPr="002550AE">
        <w:rPr>
          <w:b/>
          <w:sz w:val="24"/>
          <w:szCs w:val="24"/>
        </w:rPr>
        <w:t>:</w:t>
      </w:r>
      <w:r w:rsidRPr="002550AE">
        <w:rPr>
          <w:sz w:val="24"/>
          <w:szCs w:val="24"/>
        </w:rPr>
        <w:t xml:space="preserve"> Each agency maintains a secure, guarded facility requiring employee identification badges and individual key cards. Visitors are restricted and require on-site escort. Security monitoring</w:t>
      </w:r>
      <w:r>
        <w:rPr>
          <w:sz w:val="24"/>
          <w:szCs w:val="24"/>
        </w:rPr>
        <w:t>,</w:t>
      </w:r>
      <w:r w:rsidRPr="002550AE">
        <w:rPr>
          <w:sz w:val="24"/>
          <w:szCs w:val="24"/>
        </w:rPr>
        <w:t xml:space="preserve"> including closed circuit TV</w:t>
      </w:r>
      <w:r>
        <w:rPr>
          <w:sz w:val="24"/>
          <w:szCs w:val="24"/>
        </w:rPr>
        <w:t>,</w:t>
      </w:r>
      <w:r w:rsidRPr="002550AE">
        <w:rPr>
          <w:sz w:val="24"/>
          <w:szCs w:val="24"/>
        </w:rPr>
        <w:t xml:space="preserve"> is in use.</w:t>
      </w:r>
    </w:p>
    <w:p w:rsidR="00CB0531" w:rsidRDefault="00CB0531" w:rsidP="00CB0531">
      <w:pPr>
        <w:spacing w:after="0"/>
        <w:ind w:firstLine="360"/>
        <w:rPr>
          <w:sz w:val="24"/>
          <w:szCs w:val="24"/>
        </w:rPr>
      </w:pPr>
      <w:r w:rsidRPr="00144D9A">
        <w:rPr>
          <w:i/>
          <w:sz w:val="24"/>
          <w:szCs w:val="24"/>
        </w:rPr>
        <w:t>Administrative Controls</w:t>
      </w:r>
      <w:r w:rsidRPr="002550AE">
        <w:rPr>
          <w:b/>
          <w:sz w:val="24"/>
          <w:szCs w:val="24"/>
        </w:rPr>
        <w:t xml:space="preserve">: </w:t>
      </w:r>
      <w:r w:rsidRPr="002550AE">
        <w:rPr>
          <w:sz w:val="24"/>
          <w:szCs w:val="24"/>
        </w:rPr>
        <w:t xml:space="preserve">CPSC has standard security protocols for acquiring the personal identifiers and providing the identifiers to the contract telephone interviewers. Similarly, NIOSH </w:t>
      </w:r>
      <w:r>
        <w:rPr>
          <w:sz w:val="24"/>
          <w:szCs w:val="24"/>
        </w:rPr>
        <w:t>has</w:t>
      </w:r>
      <w:r w:rsidRPr="002550AE">
        <w:rPr>
          <w:sz w:val="24"/>
          <w:szCs w:val="24"/>
        </w:rPr>
        <w:t xml:space="preserve"> in place standard processes for securing conf</w:t>
      </w:r>
      <w:r>
        <w:rPr>
          <w:sz w:val="24"/>
          <w:szCs w:val="24"/>
        </w:rPr>
        <w:t>idential data. Thus, no project-</w:t>
      </w:r>
      <w:r w:rsidRPr="002550AE">
        <w:rPr>
          <w:sz w:val="24"/>
          <w:szCs w:val="24"/>
        </w:rPr>
        <w:t xml:space="preserve">specific data security plan is required. All project data users will </w:t>
      </w:r>
      <w:r>
        <w:rPr>
          <w:sz w:val="24"/>
          <w:szCs w:val="24"/>
        </w:rPr>
        <w:t>have confidential data training,</w:t>
      </w:r>
      <w:r w:rsidRPr="002550AE">
        <w:rPr>
          <w:sz w:val="24"/>
          <w:szCs w:val="24"/>
        </w:rPr>
        <w:t xml:space="preserve"> </w:t>
      </w:r>
      <w:r>
        <w:rPr>
          <w:sz w:val="24"/>
          <w:szCs w:val="24"/>
        </w:rPr>
        <w:t>sign data use agreements,</w:t>
      </w:r>
      <w:r w:rsidRPr="002315DE">
        <w:rPr>
          <w:sz w:val="24"/>
          <w:szCs w:val="24"/>
        </w:rPr>
        <w:t xml:space="preserve"> and have role-based data access as described below.</w:t>
      </w:r>
    </w:p>
    <w:p w:rsidR="00CB0531" w:rsidRDefault="00CB0531" w:rsidP="00CB0531">
      <w:pPr>
        <w:spacing w:after="0"/>
        <w:ind w:firstLine="360"/>
        <w:rPr>
          <w:sz w:val="24"/>
          <w:szCs w:val="24"/>
        </w:rPr>
      </w:pPr>
      <w:r w:rsidRPr="002315DE">
        <w:rPr>
          <w:sz w:val="24"/>
          <w:szCs w:val="24"/>
        </w:rPr>
        <w:t>The routine NEISS-Work surveillance data and the interview data are protected under the U.S. Consumer Product Safety Act and the Privacy Act. Once the personal identifiers are removed by CPSC prior to NIOSH receiving the data, the data are considered low to moderate sensitivity. NIOSH maintains an interagency agreement with CPSC ensuring protection of the NEISS data per applicable law</w:t>
      </w:r>
      <w:r>
        <w:rPr>
          <w:sz w:val="24"/>
          <w:szCs w:val="24"/>
        </w:rPr>
        <w:t>,</w:t>
      </w:r>
      <w:r w:rsidRPr="002315DE">
        <w:rPr>
          <w:sz w:val="24"/>
          <w:szCs w:val="24"/>
        </w:rPr>
        <w:t xml:space="preserve"> with additional stipulations to enhance the overall data protection. In addition, NIOSH requires that all NIOSH staff and/or contractors sign NEISS data use agreements, comply with specific confidential data practices, and take annual confidential data </w:t>
      </w:r>
      <w:r>
        <w:rPr>
          <w:sz w:val="24"/>
          <w:szCs w:val="24"/>
        </w:rPr>
        <w:t>stewardship training.</w:t>
      </w:r>
      <w:r w:rsidRPr="002315DE">
        <w:rPr>
          <w:sz w:val="24"/>
          <w:szCs w:val="24"/>
        </w:rPr>
        <w:t xml:space="preserve"> NIOSH requires that all contracts led by NIOSH staff that involve access to NEISS data include confidentiality provisions in the contract language</w:t>
      </w:r>
      <w:r>
        <w:rPr>
          <w:sz w:val="24"/>
          <w:szCs w:val="24"/>
        </w:rPr>
        <w:t>,</w:t>
      </w:r>
      <w:r w:rsidRPr="002315DE">
        <w:rPr>
          <w:sz w:val="24"/>
          <w:szCs w:val="24"/>
        </w:rPr>
        <w:t xml:space="preserve"> including the requirements for individual data use agreements, training, and so on. Quarterly, NIOSH reviews </w:t>
      </w:r>
      <w:r w:rsidRPr="002315DE">
        <w:rPr>
          <w:sz w:val="24"/>
          <w:szCs w:val="24"/>
        </w:rPr>
        <w:lastRenderedPageBreak/>
        <w:t xml:space="preserve">individual data access needs. On an as needed basis, NIOSH removes access and conducts a data clearance process for departing employees and/or contractors or individuals </w:t>
      </w:r>
      <w:r w:rsidRPr="006A6A7C">
        <w:rPr>
          <w:sz w:val="24"/>
          <w:szCs w:val="24"/>
        </w:rPr>
        <w:t xml:space="preserve">who no longer have a demonstrated need for data access. </w:t>
      </w:r>
    </w:p>
    <w:p w:rsidR="00CB0531" w:rsidRPr="006A6A7C" w:rsidRDefault="00CB0531" w:rsidP="00CB0531">
      <w:pPr>
        <w:spacing w:after="0"/>
        <w:ind w:firstLine="360"/>
        <w:rPr>
          <w:sz w:val="24"/>
          <w:szCs w:val="24"/>
        </w:rPr>
      </w:pPr>
      <w:r w:rsidRPr="006A6A7C">
        <w:rPr>
          <w:sz w:val="24"/>
          <w:szCs w:val="24"/>
        </w:rPr>
        <w:t xml:space="preserve">As the primary data steward for the NEISS-Work data including interview results, NIOSH follows CDC-wide backup protocols and maintains these data on a protected server that is backed up nightly. </w:t>
      </w:r>
      <w:r>
        <w:rPr>
          <w:sz w:val="24"/>
          <w:szCs w:val="24"/>
        </w:rPr>
        <w:t xml:space="preserve">The same procedure will be followed for NEISS-AIP data. </w:t>
      </w:r>
      <w:r w:rsidRPr="006A6A7C">
        <w:rPr>
          <w:sz w:val="24"/>
          <w:szCs w:val="24"/>
        </w:rPr>
        <w:t>For this project the NIOSH staff directly involved in the data collection and analyses will have full data access. All other NIOSH staff will have access to aggregated data only in a review capacity. NIOSH will maintain the files for a minimum of 20 years to allow for re-analyses and comparison with potential future surveys. In compliance with Federal Records Retention regulations, at the end of the retention period all individual interview data files will be destroyed. Because of the remote possibility for indirect identification of an individual respondent, no individual records will be transmitted to the National Archives.</w:t>
      </w:r>
    </w:p>
    <w:p w:rsidR="00CB0531" w:rsidRPr="00144D9A" w:rsidRDefault="00CB0531" w:rsidP="00CB0531">
      <w:pPr>
        <w:pStyle w:val="Heading3"/>
        <w:rPr>
          <w:rFonts w:asciiTheme="minorHAnsi" w:hAnsiTheme="minorHAnsi"/>
          <w:b w:val="0"/>
          <w:i/>
          <w:sz w:val="24"/>
          <w:szCs w:val="24"/>
          <w:u w:val="single"/>
        </w:rPr>
      </w:pPr>
      <w:bookmarkStart w:id="17" w:name="_Toc309647150"/>
      <w:bookmarkStart w:id="18" w:name="OLE_LINK13"/>
      <w:bookmarkStart w:id="19" w:name="OLE_LINK14"/>
      <w:r w:rsidRPr="00144D9A">
        <w:rPr>
          <w:rFonts w:asciiTheme="minorHAnsi" w:hAnsiTheme="minorHAnsi"/>
          <w:b w:val="0"/>
          <w:i/>
          <w:sz w:val="24"/>
          <w:szCs w:val="24"/>
          <w:u w:val="single"/>
        </w:rPr>
        <w:t>Obtaining respondent consent</w:t>
      </w:r>
      <w:bookmarkEnd w:id="17"/>
    </w:p>
    <w:bookmarkEnd w:id="18"/>
    <w:bookmarkEnd w:id="19"/>
    <w:p w:rsidR="00CB0531" w:rsidRPr="007D6DDA" w:rsidRDefault="00CB0531" w:rsidP="00CB0531">
      <w:pPr>
        <w:spacing w:after="0"/>
        <w:ind w:firstLine="360"/>
        <w:rPr>
          <w:sz w:val="24"/>
          <w:szCs w:val="24"/>
        </w:rPr>
      </w:pPr>
      <w:r w:rsidRPr="007D6DDA">
        <w:rPr>
          <w:sz w:val="24"/>
          <w:szCs w:val="24"/>
        </w:rPr>
        <w:t xml:space="preserve">Prior to receiving a telephone call, respondents will </w:t>
      </w:r>
      <w:r>
        <w:rPr>
          <w:sz w:val="24"/>
          <w:szCs w:val="24"/>
        </w:rPr>
        <w:t>receive</w:t>
      </w:r>
      <w:r w:rsidRPr="007D6DDA">
        <w:rPr>
          <w:sz w:val="24"/>
          <w:szCs w:val="24"/>
        </w:rPr>
        <w:t xml:space="preserve"> a letter inviting them to participate in the study (Appendix </w:t>
      </w:r>
      <w:r w:rsidR="00615C15">
        <w:rPr>
          <w:sz w:val="24"/>
          <w:szCs w:val="24"/>
        </w:rPr>
        <w:t>C</w:t>
      </w:r>
      <w:r w:rsidRPr="007D6DDA">
        <w:rPr>
          <w:sz w:val="24"/>
          <w:szCs w:val="24"/>
        </w:rPr>
        <w:t xml:space="preserve">). This letter will explain the study to them and cover the required </w:t>
      </w:r>
      <w:r>
        <w:rPr>
          <w:sz w:val="24"/>
          <w:szCs w:val="24"/>
        </w:rPr>
        <w:t>elements</w:t>
      </w:r>
      <w:r w:rsidRPr="007D6DDA">
        <w:rPr>
          <w:sz w:val="24"/>
          <w:szCs w:val="24"/>
        </w:rPr>
        <w:t xml:space="preserve"> </w:t>
      </w:r>
      <w:r>
        <w:rPr>
          <w:sz w:val="24"/>
          <w:szCs w:val="24"/>
        </w:rPr>
        <w:t>of</w:t>
      </w:r>
      <w:r w:rsidRPr="007D6DDA">
        <w:rPr>
          <w:sz w:val="24"/>
          <w:szCs w:val="24"/>
        </w:rPr>
        <w:t xml:space="preserve"> informed consent, including the purpose of the project and the protection of their individual responses during the release of the information. In addition to the letter, a written script will be read to potential respondents when they are called for the telephone interview</w:t>
      </w:r>
      <w:r>
        <w:rPr>
          <w:sz w:val="24"/>
          <w:szCs w:val="24"/>
        </w:rPr>
        <w:t xml:space="preserve"> (Appendix </w:t>
      </w:r>
      <w:r w:rsidR="00615C15">
        <w:rPr>
          <w:sz w:val="24"/>
          <w:szCs w:val="24"/>
        </w:rPr>
        <w:t>D</w:t>
      </w:r>
      <w:r>
        <w:rPr>
          <w:sz w:val="24"/>
          <w:szCs w:val="24"/>
        </w:rPr>
        <w:t>)</w:t>
      </w:r>
      <w:r w:rsidRPr="007D6DDA">
        <w:rPr>
          <w:sz w:val="24"/>
          <w:szCs w:val="24"/>
        </w:rPr>
        <w:t xml:space="preserve">. This script also explains the purpose of the study and the privacy protections that will be taken. Following these verbal explanations, the potential respondent </w:t>
      </w:r>
      <w:r>
        <w:rPr>
          <w:sz w:val="24"/>
          <w:szCs w:val="24"/>
        </w:rPr>
        <w:t xml:space="preserve">will be </w:t>
      </w:r>
      <w:r w:rsidRPr="007D6DDA">
        <w:rPr>
          <w:sz w:val="24"/>
          <w:szCs w:val="24"/>
        </w:rPr>
        <w:t xml:space="preserve">asked whether they are willing to participate. A positive response to this question will be deemed </w:t>
      </w:r>
      <w:r>
        <w:rPr>
          <w:sz w:val="24"/>
          <w:szCs w:val="24"/>
        </w:rPr>
        <w:t>as a</w:t>
      </w:r>
      <w:r w:rsidRPr="007D6DDA">
        <w:rPr>
          <w:sz w:val="24"/>
          <w:szCs w:val="24"/>
        </w:rPr>
        <w:t xml:space="preserve"> verbal consent of the respondent. </w:t>
      </w:r>
    </w:p>
    <w:p w:rsidR="00CB0531" w:rsidRPr="00144D9A" w:rsidRDefault="00CB0531" w:rsidP="00CB0531">
      <w:pPr>
        <w:pStyle w:val="Heading3"/>
        <w:rPr>
          <w:rFonts w:asciiTheme="minorHAnsi" w:hAnsiTheme="minorHAnsi"/>
          <w:b w:val="0"/>
          <w:i/>
          <w:sz w:val="24"/>
          <w:szCs w:val="24"/>
          <w:u w:val="single"/>
        </w:rPr>
      </w:pPr>
      <w:bookmarkStart w:id="20" w:name="_Toc309647151"/>
      <w:r w:rsidRPr="00144D9A">
        <w:rPr>
          <w:rFonts w:asciiTheme="minorHAnsi" w:hAnsiTheme="minorHAnsi"/>
          <w:b w:val="0"/>
          <w:i/>
          <w:sz w:val="24"/>
          <w:szCs w:val="24"/>
          <w:u w:val="single"/>
        </w:rPr>
        <w:t>Informing respondents of the voluntary nature of the survey</w:t>
      </w:r>
      <w:bookmarkEnd w:id="20"/>
    </w:p>
    <w:p w:rsidR="00CB0531" w:rsidRPr="007D6DDA" w:rsidRDefault="00CB0531" w:rsidP="00CB0531">
      <w:pPr>
        <w:spacing w:after="0"/>
        <w:ind w:firstLine="360"/>
        <w:rPr>
          <w:sz w:val="24"/>
          <w:szCs w:val="24"/>
        </w:rPr>
      </w:pPr>
      <w:r w:rsidRPr="007D6DDA">
        <w:rPr>
          <w:sz w:val="24"/>
          <w:szCs w:val="24"/>
        </w:rPr>
        <w:t xml:space="preserve">The introductory letter sent to respondents and the script read prior to </w:t>
      </w:r>
      <w:r>
        <w:rPr>
          <w:sz w:val="24"/>
          <w:szCs w:val="24"/>
        </w:rPr>
        <w:t>the interview</w:t>
      </w:r>
      <w:r w:rsidRPr="007D6DDA">
        <w:rPr>
          <w:sz w:val="24"/>
          <w:szCs w:val="24"/>
        </w:rPr>
        <w:t xml:space="preserve"> inform respondents that participation in this study is voluntary. Potential respondents are given the option to not participate by calling a toll-free number printed on the introductory letter prior to the telephone interview or by verbally declining participation at the time of the phone call.</w:t>
      </w:r>
      <w:r>
        <w:rPr>
          <w:sz w:val="24"/>
          <w:szCs w:val="24"/>
        </w:rPr>
        <w:t xml:space="preserve"> They are also given the option to refuse answering specific questions of their choosing.</w:t>
      </w:r>
    </w:p>
    <w:p w:rsidR="00CB0531" w:rsidRPr="00084320" w:rsidRDefault="00CB0531" w:rsidP="00CB0531">
      <w:pPr>
        <w:pStyle w:val="Heading2"/>
        <w:rPr>
          <w:rFonts w:asciiTheme="minorHAnsi" w:hAnsiTheme="minorHAnsi"/>
          <w:sz w:val="24"/>
          <w:szCs w:val="24"/>
        </w:rPr>
      </w:pPr>
      <w:bookmarkStart w:id="21" w:name="_Toc309647152"/>
      <w:bookmarkStart w:id="22" w:name="OLE_LINK16"/>
      <w:bookmarkStart w:id="23" w:name="OLE_LINK17"/>
      <w:r w:rsidRPr="00084320">
        <w:rPr>
          <w:rFonts w:asciiTheme="minorHAnsi" w:hAnsiTheme="minorHAnsi"/>
          <w:sz w:val="24"/>
          <w:szCs w:val="24"/>
        </w:rPr>
        <w:t>A.11</w:t>
      </w:r>
      <w:r w:rsidRPr="00084320">
        <w:rPr>
          <w:rFonts w:asciiTheme="minorHAnsi" w:hAnsiTheme="minorHAnsi"/>
          <w:sz w:val="24"/>
          <w:szCs w:val="24"/>
        </w:rPr>
        <w:tab/>
        <w:t>Justification for Sensitive Questions</w:t>
      </w:r>
      <w:bookmarkEnd w:id="21"/>
    </w:p>
    <w:bookmarkEnd w:id="22"/>
    <w:bookmarkEnd w:id="23"/>
    <w:p w:rsidR="00CB0531" w:rsidRPr="00C9378D" w:rsidRDefault="00CB0531" w:rsidP="00CB0531">
      <w:pPr>
        <w:spacing w:after="0"/>
        <w:ind w:firstLine="360"/>
        <w:rPr>
          <w:sz w:val="24"/>
          <w:szCs w:val="24"/>
        </w:rPr>
      </w:pPr>
      <w:r w:rsidRPr="00C9378D">
        <w:rPr>
          <w:sz w:val="24"/>
          <w:szCs w:val="24"/>
        </w:rPr>
        <w:t xml:space="preserve">The telephone interview survey will ask for the respondent’s primary diagnosis </w:t>
      </w:r>
      <w:r>
        <w:rPr>
          <w:sz w:val="24"/>
          <w:szCs w:val="24"/>
        </w:rPr>
        <w:t>from their ED visit as well as a narrative account of the injury and how it occurred</w:t>
      </w:r>
      <w:r w:rsidRPr="00C9378D">
        <w:rPr>
          <w:sz w:val="24"/>
          <w:szCs w:val="24"/>
        </w:rPr>
        <w:t>. This information is necessary for understan</w:t>
      </w:r>
      <w:r>
        <w:rPr>
          <w:sz w:val="24"/>
          <w:szCs w:val="24"/>
        </w:rPr>
        <w:t>ding the nature of the injury that was treated in the ED</w:t>
      </w:r>
      <w:r w:rsidRPr="00C9378D">
        <w:rPr>
          <w:sz w:val="24"/>
          <w:szCs w:val="24"/>
        </w:rPr>
        <w:t xml:space="preserve">. </w:t>
      </w:r>
      <w:r>
        <w:rPr>
          <w:sz w:val="24"/>
          <w:szCs w:val="24"/>
        </w:rPr>
        <w:t xml:space="preserve">The telephone interview survey also asks for the name and location of the company for which </w:t>
      </w:r>
      <w:r w:rsidR="003A79CF">
        <w:rPr>
          <w:sz w:val="24"/>
          <w:szCs w:val="24"/>
        </w:rPr>
        <w:t xml:space="preserve">the </w:t>
      </w:r>
      <w:r>
        <w:rPr>
          <w:sz w:val="24"/>
          <w:szCs w:val="24"/>
        </w:rPr>
        <w:t>respondent w</w:t>
      </w:r>
      <w:r w:rsidR="003A79CF">
        <w:rPr>
          <w:sz w:val="24"/>
          <w:szCs w:val="24"/>
        </w:rPr>
        <w:t>as</w:t>
      </w:r>
      <w:r>
        <w:rPr>
          <w:sz w:val="24"/>
          <w:szCs w:val="24"/>
        </w:rPr>
        <w:t xml:space="preserve"> working at the time </w:t>
      </w:r>
      <w:r w:rsidR="003A79CF">
        <w:rPr>
          <w:sz w:val="24"/>
          <w:szCs w:val="24"/>
        </w:rPr>
        <w:t>of the injury</w:t>
      </w:r>
      <w:r w:rsidRPr="00C9378D">
        <w:rPr>
          <w:sz w:val="24"/>
          <w:szCs w:val="24"/>
        </w:rPr>
        <w:t xml:space="preserve">. </w:t>
      </w:r>
      <w:r>
        <w:rPr>
          <w:sz w:val="24"/>
          <w:szCs w:val="24"/>
        </w:rPr>
        <w:t xml:space="preserve">This information is needed in order to help classify the industry of the company that employed the respondent. If respondents hesitate or ask, they are informed of the reason for collection of this information and assured that their employer will </w:t>
      </w:r>
      <w:r>
        <w:rPr>
          <w:sz w:val="24"/>
          <w:szCs w:val="24"/>
        </w:rPr>
        <w:lastRenderedPageBreak/>
        <w:t xml:space="preserve">not be contacted for any reason. Other questions that may be considered sensitive by the respondent are demographic in nature (e.g., educational attainment and family income). This information is needed in order to better understand the characteristics of individuals that are associated with various barriers and incentives to reporting, and the behaviors associated with these barriers and incentives. </w:t>
      </w:r>
      <w:r w:rsidRPr="00C9378D">
        <w:rPr>
          <w:sz w:val="24"/>
          <w:szCs w:val="24"/>
        </w:rPr>
        <w:t xml:space="preserve">As the survey is voluntary, respondents may refuse to answer any questions. Respondents are informed of their right to refuse participation and their right to refuse to answer individual questions in the introductory letter (Appendix </w:t>
      </w:r>
      <w:r w:rsidR="00615C15">
        <w:rPr>
          <w:sz w:val="24"/>
          <w:szCs w:val="24"/>
        </w:rPr>
        <w:t>C</w:t>
      </w:r>
      <w:r w:rsidRPr="00C9378D">
        <w:rPr>
          <w:sz w:val="24"/>
          <w:szCs w:val="24"/>
        </w:rPr>
        <w:t xml:space="preserve">) and in the script that is read to them at the beginning of the telephone interview (Appendix </w:t>
      </w:r>
      <w:r w:rsidR="00615C15">
        <w:rPr>
          <w:sz w:val="24"/>
          <w:szCs w:val="24"/>
        </w:rPr>
        <w:t>D</w:t>
      </w:r>
      <w:r w:rsidRPr="00C9378D">
        <w:rPr>
          <w:sz w:val="24"/>
          <w:szCs w:val="24"/>
        </w:rPr>
        <w:t xml:space="preserve">). The verbal consent of the respondent is obtained at the time of telephone interview. Consent for completion of the telephone interview survey will be described in the introductory letter and then confirmed in the written script at the beginning of the telephone interview. </w:t>
      </w:r>
    </w:p>
    <w:p w:rsidR="00CB0531" w:rsidRPr="00084320" w:rsidRDefault="00CB0531" w:rsidP="00CB0531">
      <w:pPr>
        <w:pStyle w:val="Heading2"/>
        <w:rPr>
          <w:rFonts w:asciiTheme="minorHAnsi" w:hAnsiTheme="minorHAnsi"/>
          <w:sz w:val="24"/>
          <w:szCs w:val="24"/>
        </w:rPr>
      </w:pPr>
      <w:bookmarkStart w:id="24" w:name="_Toc309647153"/>
      <w:bookmarkStart w:id="25" w:name="OLE_LINK18"/>
      <w:bookmarkStart w:id="26" w:name="OLE_LINK19"/>
      <w:r w:rsidRPr="00084320">
        <w:rPr>
          <w:rFonts w:asciiTheme="minorHAnsi" w:hAnsiTheme="minorHAnsi"/>
          <w:sz w:val="24"/>
          <w:szCs w:val="24"/>
        </w:rPr>
        <w:t>A.12</w:t>
      </w:r>
      <w:r w:rsidRPr="00084320">
        <w:rPr>
          <w:rFonts w:asciiTheme="minorHAnsi" w:hAnsiTheme="minorHAnsi"/>
          <w:sz w:val="24"/>
          <w:szCs w:val="24"/>
        </w:rPr>
        <w:tab/>
        <w:t>Estimates of Annualized Burden Hours and Costs</w:t>
      </w:r>
      <w:bookmarkEnd w:id="24"/>
    </w:p>
    <w:p w:rsidR="00CB0531" w:rsidRPr="0042235B" w:rsidRDefault="00CB0531" w:rsidP="00CB0531">
      <w:pPr>
        <w:pStyle w:val="Heading3"/>
        <w:rPr>
          <w:rFonts w:asciiTheme="minorHAnsi" w:hAnsiTheme="minorHAnsi"/>
          <w:sz w:val="24"/>
          <w:szCs w:val="24"/>
          <w:u w:val="single"/>
        </w:rPr>
      </w:pPr>
      <w:bookmarkStart w:id="27" w:name="_Toc309647154"/>
      <w:bookmarkEnd w:id="25"/>
      <w:bookmarkEnd w:id="26"/>
      <w:r w:rsidRPr="0042235B">
        <w:rPr>
          <w:rFonts w:asciiTheme="minorHAnsi" w:hAnsiTheme="minorHAnsi"/>
          <w:sz w:val="24"/>
          <w:szCs w:val="24"/>
          <w:u w:val="single"/>
        </w:rPr>
        <w:t>Estimates of Annualized Burden Hours</w:t>
      </w:r>
      <w:bookmarkEnd w:id="27"/>
    </w:p>
    <w:p w:rsidR="00CB0531" w:rsidRPr="00926A52" w:rsidRDefault="00CB0531" w:rsidP="00CB0531">
      <w:pPr>
        <w:pStyle w:val="L1-FlLSp12"/>
        <w:tabs>
          <w:tab w:val="clear" w:pos="1152"/>
          <w:tab w:val="left" w:pos="720"/>
        </w:tabs>
        <w:spacing w:after="0" w:line="276" w:lineRule="auto"/>
        <w:ind w:firstLine="360"/>
        <w:rPr>
          <w:rFonts w:asciiTheme="minorHAnsi" w:hAnsiTheme="minorHAnsi" w:cs="Times New Roman"/>
          <w:szCs w:val="24"/>
        </w:rPr>
      </w:pPr>
      <w:r w:rsidRPr="00F52F05">
        <w:rPr>
          <w:rFonts w:asciiTheme="minorHAnsi" w:hAnsiTheme="minorHAnsi" w:cs="Times New Roman"/>
          <w:szCs w:val="24"/>
          <w:lang w:eastAsia="ja-JP"/>
        </w:rPr>
        <w:t>For th</w:t>
      </w:r>
      <w:r w:rsidR="00B729B9">
        <w:rPr>
          <w:rFonts w:asciiTheme="minorHAnsi" w:hAnsiTheme="minorHAnsi" w:cs="Times New Roman"/>
          <w:szCs w:val="24"/>
          <w:lang w:eastAsia="ja-JP"/>
        </w:rPr>
        <w:t>is</w:t>
      </w:r>
      <w:r w:rsidRPr="00F52F05">
        <w:rPr>
          <w:rFonts w:asciiTheme="minorHAnsi" w:hAnsiTheme="minorHAnsi" w:cs="Times New Roman"/>
          <w:szCs w:val="24"/>
          <w:lang w:eastAsia="ja-JP"/>
        </w:rPr>
        <w:t xml:space="preserve"> survey we are us</w:t>
      </w:r>
      <w:r>
        <w:rPr>
          <w:rFonts w:asciiTheme="minorHAnsi" w:hAnsiTheme="minorHAnsi" w:cs="Times New Roman"/>
          <w:szCs w:val="24"/>
          <w:lang w:eastAsia="ja-JP"/>
        </w:rPr>
        <w:t xml:space="preserve">ing a statistical sampling method designed by Westat, under contract to NIOSH. </w:t>
      </w:r>
      <w:r w:rsidRPr="00F52F05">
        <w:rPr>
          <w:rFonts w:asciiTheme="minorHAnsi" w:hAnsiTheme="minorHAnsi" w:cs="Times New Roman"/>
          <w:szCs w:val="24"/>
        </w:rPr>
        <w:t xml:space="preserve">Approximately </w:t>
      </w:r>
      <w:r>
        <w:rPr>
          <w:rFonts w:asciiTheme="minorHAnsi" w:hAnsiTheme="minorHAnsi" w:cs="Times New Roman"/>
          <w:szCs w:val="24"/>
        </w:rPr>
        <w:t>600</w:t>
      </w:r>
      <w:r w:rsidR="005932EC">
        <w:rPr>
          <w:rFonts w:asciiTheme="minorHAnsi" w:hAnsiTheme="minorHAnsi" w:cs="Times New Roman"/>
          <w:szCs w:val="24"/>
        </w:rPr>
        <w:t xml:space="preserve"> to 1,200</w:t>
      </w:r>
      <w:r w:rsidRPr="00F52F05">
        <w:rPr>
          <w:rFonts w:asciiTheme="minorHAnsi" w:hAnsiTheme="minorHAnsi" w:cs="Times New Roman"/>
          <w:szCs w:val="24"/>
        </w:rPr>
        <w:t xml:space="preserve"> completed interviews</w:t>
      </w:r>
      <w:r>
        <w:rPr>
          <w:rFonts w:asciiTheme="minorHAnsi" w:hAnsiTheme="minorHAnsi" w:cs="Times New Roman"/>
          <w:szCs w:val="24"/>
        </w:rPr>
        <w:t>—300</w:t>
      </w:r>
      <w:r w:rsidR="005932EC">
        <w:rPr>
          <w:rFonts w:asciiTheme="minorHAnsi" w:hAnsiTheme="minorHAnsi" w:cs="Times New Roman"/>
          <w:szCs w:val="24"/>
        </w:rPr>
        <w:t xml:space="preserve"> to 600</w:t>
      </w:r>
      <w:r>
        <w:rPr>
          <w:rFonts w:asciiTheme="minorHAnsi" w:hAnsiTheme="minorHAnsi" w:cs="Times New Roman"/>
          <w:szCs w:val="24"/>
        </w:rPr>
        <w:t xml:space="preserve"> with individuals whose injury is work-related and 300</w:t>
      </w:r>
      <w:r w:rsidR="005932EC">
        <w:rPr>
          <w:rFonts w:asciiTheme="minorHAnsi" w:hAnsiTheme="minorHAnsi" w:cs="Times New Roman"/>
          <w:szCs w:val="24"/>
        </w:rPr>
        <w:t xml:space="preserve"> to 600</w:t>
      </w:r>
      <w:r>
        <w:rPr>
          <w:rFonts w:asciiTheme="minorHAnsi" w:hAnsiTheme="minorHAnsi" w:cs="Times New Roman"/>
          <w:szCs w:val="24"/>
        </w:rPr>
        <w:t xml:space="preserve"> with those whose injury is not work-related—a</w:t>
      </w:r>
      <w:r w:rsidRPr="00F52F05">
        <w:rPr>
          <w:rFonts w:asciiTheme="minorHAnsi" w:hAnsiTheme="minorHAnsi" w:cs="Times New Roman"/>
          <w:szCs w:val="24"/>
        </w:rPr>
        <w:t xml:space="preserve">re anticipated pending funding limitations and other operational constraints in place at the time of interview. </w:t>
      </w:r>
      <w:r w:rsidR="00DC4C86">
        <w:rPr>
          <w:rFonts w:asciiTheme="minorHAnsi" w:hAnsiTheme="minorHAnsi" w:cs="Times New Roman"/>
          <w:szCs w:val="24"/>
        </w:rPr>
        <w:t xml:space="preserve">At the minimum, </w:t>
      </w:r>
      <w:r w:rsidR="001B443F">
        <w:rPr>
          <w:rFonts w:asciiTheme="minorHAnsi" w:hAnsiTheme="minorHAnsi" w:cs="Times New Roman"/>
          <w:szCs w:val="24"/>
        </w:rPr>
        <w:t xml:space="preserve">in this pilot project </w:t>
      </w:r>
      <w:r w:rsidR="00DC4C86">
        <w:rPr>
          <w:rFonts w:asciiTheme="minorHAnsi" w:hAnsiTheme="minorHAnsi" w:cs="Times New Roman"/>
          <w:szCs w:val="24"/>
        </w:rPr>
        <w:t>we will complete 600 interviews</w:t>
      </w:r>
      <w:r w:rsidR="001B443F">
        <w:rPr>
          <w:rFonts w:asciiTheme="minorHAnsi" w:hAnsiTheme="minorHAnsi" w:cs="Times New Roman"/>
          <w:szCs w:val="24"/>
        </w:rPr>
        <w:t xml:space="preserve">. These </w:t>
      </w:r>
      <w:r w:rsidR="00866BBF">
        <w:rPr>
          <w:rFonts w:asciiTheme="minorHAnsi" w:hAnsiTheme="minorHAnsi" w:cs="Times New Roman"/>
          <w:szCs w:val="24"/>
        </w:rPr>
        <w:t>interviews will</w:t>
      </w:r>
      <w:r w:rsidR="000E05EC">
        <w:rPr>
          <w:rFonts w:asciiTheme="minorHAnsi" w:hAnsiTheme="minorHAnsi" w:cs="Times New Roman"/>
          <w:szCs w:val="24"/>
        </w:rPr>
        <w:t xml:space="preserve"> allow us to </w:t>
      </w:r>
      <w:r w:rsidR="005E6779">
        <w:rPr>
          <w:rFonts w:asciiTheme="minorHAnsi" w:hAnsiTheme="minorHAnsi" w:cs="Times New Roman"/>
          <w:szCs w:val="24"/>
        </w:rPr>
        <w:t xml:space="preserve">run simple descriptive analyses and </w:t>
      </w:r>
      <w:r w:rsidR="000E05EC">
        <w:rPr>
          <w:rFonts w:asciiTheme="minorHAnsi" w:hAnsiTheme="minorHAnsi" w:cs="Times New Roman"/>
          <w:szCs w:val="24"/>
        </w:rPr>
        <w:t>provide basic information</w:t>
      </w:r>
      <w:r w:rsidR="00DC4C86">
        <w:rPr>
          <w:rFonts w:asciiTheme="minorHAnsi" w:hAnsiTheme="minorHAnsi" w:cs="Times New Roman"/>
          <w:szCs w:val="24"/>
        </w:rPr>
        <w:t xml:space="preserve"> on perceived incentives and disincentives to reporting occupational injuries.</w:t>
      </w:r>
      <w:r w:rsidR="00164257">
        <w:rPr>
          <w:rFonts w:asciiTheme="minorHAnsi" w:hAnsiTheme="minorHAnsi" w:cs="Times New Roman"/>
          <w:szCs w:val="24"/>
        </w:rPr>
        <w:t xml:space="preserve"> </w:t>
      </w:r>
      <w:r w:rsidR="001B443F">
        <w:rPr>
          <w:rFonts w:asciiTheme="minorHAnsi" w:hAnsiTheme="minorHAnsi" w:cs="Times New Roman"/>
          <w:szCs w:val="24"/>
        </w:rPr>
        <w:t>In particular, this is the minimum number of interviews required to reasonably guide</w:t>
      </w:r>
      <w:r w:rsidR="00164257">
        <w:rPr>
          <w:rFonts w:asciiTheme="minorHAnsi" w:hAnsiTheme="minorHAnsi" w:cs="Times New Roman"/>
          <w:szCs w:val="24"/>
        </w:rPr>
        <w:t xml:space="preserve"> whether or not this pilot project would be feasible as a larger study</w:t>
      </w:r>
      <w:r w:rsidR="001B443F">
        <w:rPr>
          <w:rFonts w:asciiTheme="minorHAnsi" w:hAnsiTheme="minorHAnsi" w:cs="Times New Roman"/>
          <w:szCs w:val="24"/>
        </w:rPr>
        <w:t>—a major goal of the study</w:t>
      </w:r>
      <w:r w:rsidR="000E05EC">
        <w:rPr>
          <w:rFonts w:asciiTheme="minorHAnsi" w:hAnsiTheme="minorHAnsi" w:cs="Times New Roman"/>
          <w:szCs w:val="24"/>
        </w:rPr>
        <w:t>.</w:t>
      </w:r>
      <w:r w:rsidR="009C65FA">
        <w:rPr>
          <w:rFonts w:asciiTheme="minorHAnsi" w:hAnsiTheme="minorHAnsi" w:cs="Times New Roman"/>
          <w:szCs w:val="24"/>
        </w:rPr>
        <w:t xml:space="preserve"> C</w:t>
      </w:r>
      <w:r w:rsidR="000E05EC">
        <w:rPr>
          <w:rFonts w:asciiTheme="minorHAnsi" w:hAnsiTheme="minorHAnsi" w:cs="Times New Roman"/>
          <w:szCs w:val="24"/>
        </w:rPr>
        <w:t xml:space="preserve">ompleting </w:t>
      </w:r>
      <w:r w:rsidR="001B443F">
        <w:rPr>
          <w:rFonts w:asciiTheme="minorHAnsi" w:hAnsiTheme="minorHAnsi" w:cs="Times New Roman"/>
          <w:szCs w:val="24"/>
        </w:rPr>
        <w:t xml:space="preserve">an additional 600 </w:t>
      </w:r>
      <w:r w:rsidR="005E6779">
        <w:rPr>
          <w:rFonts w:asciiTheme="minorHAnsi" w:hAnsiTheme="minorHAnsi" w:cs="Times New Roman"/>
          <w:szCs w:val="24"/>
        </w:rPr>
        <w:t>interviews</w:t>
      </w:r>
      <w:r w:rsidR="000E05EC">
        <w:rPr>
          <w:rFonts w:asciiTheme="minorHAnsi" w:hAnsiTheme="minorHAnsi" w:cs="Times New Roman"/>
          <w:szCs w:val="24"/>
        </w:rPr>
        <w:t xml:space="preserve"> </w:t>
      </w:r>
      <w:r w:rsidR="001B443F">
        <w:rPr>
          <w:rFonts w:asciiTheme="minorHAnsi" w:hAnsiTheme="minorHAnsi" w:cs="Times New Roman"/>
          <w:szCs w:val="24"/>
        </w:rPr>
        <w:t xml:space="preserve">(i.e., a total of 1,200) </w:t>
      </w:r>
      <w:r w:rsidR="000E05EC">
        <w:rPr>
          <w:rFonts w:asciiTheme="minorHAnsi" w:hAnsiTheme="minorHAnsi" w:cs="Times New Roman"/>
          <w:szCs w:val="24"/>
        </w:rPr>
        <w:t xml:space="preserve">will allow </w:t>
      </w:r>
      <w:r w:rsidR="00D30A4A">
        <w:rPr>
          <w:rFonts w:asciiTheme="minorHAnsi" w:hAnsiTheme="minorHAnsi" w:cs="Times New Roman"/>
          <w:szCs w:val="24"/>
        </w:rPr>
        <w:t>us to perform analyses that are more complex</w:t>
      </w:r>
      <w:r w:rsidR="000E05EC">
        <w:rPr>
          <w:rFonts w:asciiTheme="minorHAnsi" w:hAnsiTheme="minorHAnsi" w:cs="Times New Roman"/>
          <w:szCs w:val="24"/>
        </w:rPr>
        <w:t xml:space="preserve"> </w:t>
      </w:r>
      <w:r w:rsidR="00D30A4A">
        <w:rPr>
          <w:rFonts w:asciiTheme="minorHAnsi" w:hAnsiTheme="minorHAnsi" w:cs="Times New Roman"/>
          <w:szCs w:val="24"/>
        </w:rPr>
        <w:t>and provide more in-depth insight</w:t>
      </w:r>
      <w:r w:rsidR="001B443F">
        <w:rPr>
          <w:rFonts w:asciiTheme="minorHAnsi" w:hAnsiTheme="minorHAnsi" w:cs="Times New Roman"/>
          <w:szCs w:val="24"/>
        </w:rPr>
        <w:t xml:space="preserve"> into injury reporting.</w:t>
      </w:r>
      <w:r w:rsidR="000E05EC">
        <w:rPr>
          <w:rFonts w:asciiTheme="minorHAnsi" w:hAnsiTheme="minorHAnsi" w:cs="Times New Roman"/>
          <w:szCs w:val="24"/>
        </w:rPr>
        <w:t xml:space="preserve"> </w:t>
      </w:r>
      <w:r w:rsidR="001B443F">
        <w:rPr>
          <w:rFonts w:asciiTheme="minorHAnsi" w:hAnsiTheme="minorHAnsi" w:cs="Times New Roman"/>
          <w:szCs w:val="24"/>
        </w:rPr>
        <w:t xml:space="preserve">There is substantial benefit to the additional interviews. </w:t>
      </w:r>
      <w:r w:rsidR="00B71534">
        <w:rPr>
          <w:rFonts w:asciiTheme="minorHAnsi" w:hAnsiTheme="minorHAnsi" w:cs="Times New Roman"/>
          <w:szCs w:val="24"/>
        </w:rPr>
        <w:t xml:space="preserve">However, </w:t>
      </w:r>
      <w:r w:rsidR="001B443F">
        <w:rPr>
          <w:rFonts w:asciiTheme="minorHAnsi" w:hAnsiTheme="minorHAnsi" w:cs="Times New Roman"/>
          <w:szCs w:val="24"/>
        </w:rPr>
        <w:t xml:space="preserve">at this time, </w:t>
      </w:r>
      <w:r w:rsidR="00B71534">
        <w:rPr>
          <w:rFonts w:asciiTheme="minorHAnsi" w:hAnsiTheme="minorHAnsi" w:cs="Times New Roman"/>
          <w:szCs w:val="24"/>
        </w:rPr>
        <w:t>funding for more than 600 interviews is not assured</w:t>
      </w:r>
      <w:r w:rsidR="00DC4C86">
        <w:rPr>
          <w:rFonts w:asciiTheme="minorHAnsi" w:hAnsiTheme="minorHAnsi" w:cs="Times New Roman"/>
          <w:szCs w:val="24"/>
        </w:rPr>
        <w:t>.</w:t>
      </w:r>
      <w:r w:rsidR="00B71534">
        <w:rPr>
          <w:rFonts w:asciiTheme="minorHAnsi" w:hAnsiTheme="minorHAnsi" w:cs="Times New Roman"/>
          <w:szCs w:val="24"/>
        </w:rPr>
        <w:t xml:space="preserve"> </w:t>
      </w:r>
      <w:r w:rsidRPr="008C5F26">
        <w:rPr>
          <w:rFonts w:asciiTheme="minorHAnsi" w:hAnsiTheme="minorHAnsi" w:cs="Times New Roman"/>
          <w:szCs w:val="24"/>
        </w:rPr>
        <w:t xml:space="preserve">The sampling frame excludes patients who </w:t>
      </w:r>
      <w:r>
        <w:rPr>
          <w:rFonts w:asciiTheme="minorHAnsi" w:hAnsiTheme="minorHAnsi" w:cs="Times New Roman"/>
          <w:szCs w:val="24"/>
        </w:rPr>
        <w:t>(1) are under the age of 20 or over the age of 64; (2) are employed on a farm or ranch; (3) are self-employed, an independent contractor, or a day laborer; (4) presented to the ED with an illness; or (5) missed more than three days from work due to the injury. At the beginning of the interview, individuals will be screened out of the study if they were, in addition to the already stated exclusions, unemployed during the time period that the injury occurred or they do not speak English</w:t>
      </w:r>
      <w:r w:rsidRPr="008C5F26">
        <w:rPr>
          <w:rFonts w:asciiTheme="minorHAnsi" w:hAnsiTheme="minorHAnsi" w:cs="Times New Roman"/>
          <w:szCs w:val="24"/>
        </w:rPr>
        <w:t xml:space="preserve">. For sample design purposes, the prevalence of </w:t>
      </w:r>
      <w:r>
        <w:rPr>
          <w:rFonts w:asciiTheme="minorHAnsi" w:hAnsiTheme="minorHAnsi" w:cs="Times New Roman"/>
          <w:szCs w:val="24"/>
        </w:rPr>
        <w:t>specific</w:t>
      </w:r>
      <w:r w:rsidRPr="008C5F26">
        <w:rPr>
          <w:rFonts w:asciiTheme="minorHAnsi" w:hAnsiTheme="minorHAnsi" w:cs="Times New Roman"/>
          <w:szCs w:val="24"/>
        </w:rPr>
        <w:t xml:space="preserve"> groups was estimated using NEISS-Work </w:t>
      </w:r>
      <w:r>
        <w:rPr>
          <w:rFonts w:asciiTheme="minorHAnsi" w:hAnsiTheme="minorHAnsi" w:cs="Times New Roman"/>
          <w:szCs w:val="24"/>
        </w:rPr>
        <w:t xml:space="preserve">and NEISS-AIP </w:t>
      </w:r>
      <w:r w:rsidRPr="008C5F26">
        <w:rPr>
          <w:rFonts w:asciiTheme="minorHAnsi" w:hAnsiTheme="minorHAnsi" w:cs="Times New Roman"/>
          <w:szCs w:val="24"/>
        </w:rPr>
        <w:t xml:space="preserve">2009 second and third quarter </w:t>
      </w:r>
      <w:r>
        <w:rPr>
          <w:rFonts w:asciiTheme="minorHAnsi" w:hAnsiTheme="minorHAnsi" w:cs="Times New Roman"/>
          <w:szCs w:val="24"/>
        </w:rPr>
        <w:t xml:space="preserve">data with the hospital weights. </w:t>
      </w:r>
    </w:p>
    <w:p w:rsidR="00CB0531" w:rsidRDefault="00CB0531" w:rsidP="00CB0531">
      <w:pPr>
        <w:spacing w:after="0"/>
        <w:ind w:firstLine="360"/>
        <w:rPr>
          <w:rFonts w:cs="Times New Roman"/>
          <w:sz w:val="24"/>
          <w:szCs w:val="24"/>
        </w:rPr>
      </w:pPr>
      <w:r>
        <w:rPr>
          <w:rFonts w:cs="Times New Roman"/>
          <w:sz w:val="24"/>
          <w:szCs w:val="24"/>
        </w:rPr>
        <w:t>T</w:t>
      </w:r>
      <w:r w:rsidRPr="00926A52">
        <w:rPr>
          <w:rFonts w:cs="Times New Roman"/>
          <w:sz w:val="24"/>
          <w:szCs w:val="24"/>
        </w:rPr>
        <w:t xml:space="preserve">he sampling rate for the remaining eligible patients at each hospital ED </w:t>
      </w:r>
      <w:r>
        <w:rPr>
          <w:rFonts w:cs="Times New Roman"/>
          <w:sz w:val="24"/>
          <w:szCs w:val="24"/>
        </w:rPr>
        <w:t>were calculated</w:t>
      </w:r>
      <w:r w:rsidRPr="00926A52">
        <w:rPr>
          <w:rFonts w:cs="Times New Roman"/>
          <w:sz w:val="24"/>
          <w:szCs w:val="24"/>
        </w:rPr>
        <w:t xml:space="preserve"> to produce </w:t>
      </w:r>
      <w:r w:rsidR="00FB279F">
        <w:rPr>
          <w:rFonts w:cs="Times New Roman"/>
          <w:sz w:val="24"/>
          <w:szCs w:val="24"/>
        </w:rPr>
        <w:t xml:space="preserve">between </w:t>
      </w:r>
      <w:r>
        <w:rPr>
          <w:rFonts w:cs="Times New Roman"/>
          <w:sz w:val="24"/>
          <w:szCs w:val="24"/>
        </w:rPr>
        <w:t>600</w:t>
      </w:r>
      <w:r w:rsidRPr="00926A52">
        <w:rPr>
          <w:rFonts w:cs="Times New Roman"/>
          <w:sz w:val="24"/>
          <w:szCs w:val="24"/>
        </w:rPr>
        <w:t xml:space="preserve"> </w:t>
      </w:r>
      <w:r w:rsidR="00FB279F">
        <w:rPr>
          <w:rFonts w:cs="Times New Roman"/>
          <w:sz w:val="24"/>
          <w:szCs w:val="24"/>
        </w:rPr>
        <w:t xml:space="preserve">and 1,200 </w:t>
      </w:r>
      <w:r w:rsidRPr="00926A52">
        <w:rPr>
          <w:rFonts w:cs="Times New Roman"/>
          <w:sz w:val="24"/>
          <w:szCs w:val="24"/>
        </w:rPr>
        <w:t>completed interviews per year</w:t>
      </w:r>
      <w:r>
        <w:rPr>
          <w:rFonts w:cs="Times New Roman"/>
          <w:sz w:val="24"/>
          <w:szCs w:val="24"/>
        </w:rPr>
        <w:t>, 300</w:t>
      </w:r>
      <w:r w:rsidR="00C15ED1">
        <w:rPr>
          <w:rFonts w:cs="Times New Roman"/>
          <w:sz w:val="24"/>
          <w:szCs w:val="24"/>
        </w:rPr>
        <w:t xml:space="preserve"> to 600</w:t>
      </w:r>
      <w:r>
        <w:rPr>
          <w:rFonts w:cs="Times New Roman"/>
          <w:sz w:val="24"/>
          <w:szCs w:val="24"/>
        </w:rPr>
        <w:t xml:space="preserve"> from each NEISS supplement</w:t>
      </w:r>
      <w:r w:rsidRPr="00926A52">
        <w:rPr>
          <w:rFonts w:cs="Times New Roman"/>
          <w:sz w:val="24"/>
          <w:szCs w:val="24"/>
        </w:rPr>
        <w:t xml:space="preserve">. </w:t>
      </w:r>
      <w:r>
        <w:rPr>
          <w:rFonts w:cs="Times New Roman"/>
          <w:sz w:val="24"/>
          <w:szCs w:val="24"/>
        </w:rPr>
        <w:t>S</w:t>
      </w:r>
      <w:r w:rsidRPr="00926A52">
        <w:rPr>
          <w:rFonts w:cs="Times New Roman"/>
          <w:sz w:val="24"/>
          <w:szCs w:val="24"/>
        </w:rPr>
        <w:t xml:space="preserve">ampling will occur throughout the entire 12 month </w:t>
      </w:r>
      <w:r>
        <w:rPr>
          <w:rFonts w:cs="Times New Roman"/>
          <w:sz w:val="24"/>
          <w:szCs w:val="24"/>
        </w:rPr>
        <w:t xml:space="preserve">data collection </w:t>
      </w:r>
      <w:r w:rsidRPr="00926A52">
        <w:rPr>
          <w:rFonts w:cs="Times New Roman"/>
          <w:sz w:val="24"/>
          <w:szCs w:val="24"/>
        </w:rPr>
        <w:t xml:space="preserve">period to avoid seasonal effects bias. Every eligible case will be given one (and only one) chance of selection. </w:t>
      </w:r>
      <w:r>
        <w:rPr>
          <w:rFonts w:cs="Times New Roman"/>
          <w:sz w:val="24"/>
          <w:szCs w:val="24"/>
        </w:rPr>
        <w:t xml:space="preserve">Sampling rates also assume an </w:t>
      </w:r>
      <w:r w:rsidRPr="00926A52">
        <w:rPr>
          <w:rFonts w:cs="Times New Roman"/>
          <w:sz w:val="24"/>
          <w:szCs w:val="24"/>
        </w:rPr>
        <w:t xml:space="preserve">overall completion rate of 40 percent for sampled ED </w:t>
      </w:r>
      <w:r w:rsidRPr="00926A52">
        <w:rPr>
          <w:rFonts w:cs="Times New Roman"/>
          <w:sz w:val="24"/>
          <w:szCs w:val="24"/>
        </w:rPr>
        <w:lastRenderedPageBreak/>
        <w:t>patients</w:t>
      </w:r>
      <w:r>
        <w:rPr>
          <w:rFonts w:cs="Times New Roman"/>
          <w:sz w:val="24"/>
          <w:szCs w:val="24"/>
        </w:rPr>
        <w:t xml:space="preserve"> based on NEISS-Work 2009 second and third quarter data</w:t>
      </w:r>
      <w:r w:rsidRPr="00926A52">
        <w:rPr>
          <w:rFonts w:cs="Times New Roman"/>
          <w:sz w:val="24"/>
          <w:szCs w:val="24"/>
        </w:rPr>
        <w:t xml:space="preserve">. </w:t>
      </w:r>
      <w:r>
        <w:rPr>
          <w:rFonts w:cs="Times New Roman"/>
          <w:sz w:val="24"/>
          <w:szCs w:val="24"/>
        </w:rPr>
        <w:t xml:space="preserve">These completion rates account for non-response, loss-to-follow-up, and refusals. </w:t>
      </w:r>
      <w:r w:rsidRPr="00926A52">
        <w:rPr>
          <w:rFonts w:cs="Times New Roman"/>
          <w:sz w:val="24"/>
          <w:szCs w:val="24"/>
        </w:rPr>
        <w:t xml:space="preserve">The rates </w:t>
      </w:r>
      <w:r>
        <w:rPr>
          <w:rFonts w:cs="Times New Roman"/>
          <w:sz w:val="24"/>
          <w:szCs w:val="24"/>
        </w:rPr>
        <w:t>for each hospital may be a</w:t>
      </w:r>
      <w:r w:rsidRPr="00926A52">
        <w:rPr>
          <w:rFonts w:cs="Times New Roman"/>
          <w:sz w:val="24"/>
          <w:szCs w:val="24"/>
        </w:rPr>
        <w:t xml:space="preserve">djusted periodically to keep the sample yields on target should the response rate and contact assumptions prove to be inaccurate. </w:t>
      </w:r>
    </w:p>
    <w:p w:rsidR="00CB0531" w:rsidRDefault="00CB0531" w:rsidP="00224BCC">
      <w:pPr>
        <w:spacing w:after="0"/>
        <w:ind w:firstLine="360"/>
        <w:rPr>
          <w:sz w:val="24"/>
          <w:szCs w:val="24"/>
        </w:rPr>
      </w:pPr>
      <w:r w:rsidRPr="00C9378D">
        <w:rPr>
          <w:sz w:val="24"/>
          <w:szCs w:val="24"/>
        </w:rPr>
        <w:t xml:space="preserve">The telephone interview survey is a </w:t>
      </w:r>
      <w:r w:rsidRPr="00725C0F">
        <w:rPr>
          <w:sz w:val="24"/>
          <w:szCs w:val="24"/>
        </w:rPr>
        <w:t>one-time response survey</w:t>
      </w:r>
      <w:r>
        <w:rPr>
          <w:sz w:val="24"/>
          <w:szCs w:val="24"/>
        </w:rPr>
        <w:t>,</w:t>
      </w:r>
      <w:r w:rsidRPr="00C9378D">
        <w:rPr>
          <w:sz w:val="24"/>
          <w:szCs w:val="24"/>
        </w:rPr>
        <w:t xml:space="preserve"> with each telephone interview taking approximately </w:t>
      </w:r>
      <w:r>
        <w:rPr>
          <w:sz w:val="24"/>
          <w:szCs w:val="24"/>
        </w:rPr>
        <w:t>3</w:t>
      </w:r>
      <w:r w:rsidRPr="00C9378D">
        <w:rPr>
          <w:sz w:val="24"/>
          <w:szCs w:val="24"/>
        </w:rPr>
        <w:t xml:space="preserve">0 minutes to complete, resulting in </w:t>
      </w:r>
      <w:r>
        <w:rPr>
          <w:sz w:val="24"/>
          <w:szCs w:val="24"/>
        </w:rPr>
        <w:t>a one-year</w:t>
      </w:r>
      <w:r w:rsidRPr="00C9378D">
        <w:rPr>
          <w:sz w:val="24"/>
          <w:szCs w:val="24"/>
        </w:rPr>
        <w:t xml:space="preserve"> burden estimate of </w:t>
      </w:r>
      <w:r>
        <w:rPr>
          <w:sz w:val="24"/>
          <w:szCs w:val="24"/>
        </w:rPr>
        <w:t xml:space="preserve">300 </w:t>
      </w:r>
      <w:r w:rsidR="00D5036E">
        <w:rPr>
          <w:sz w:val="24"/>
          <w:szCs w:val="24"/>
        </w:rPr>
        <w:t xml:space="preserve">to 600 </w:t>
      </w:r>
      <w:r>
        <w:rPr>
          <w:sz w:val="24"/>
          <w:szCs w:val="24"/>
        </w:rPr>
        <w:t xml:space="preserve">hours (or 37.5 </w:t>
      </w:r>
      <w:r w:rsidR="00D5036E">
        <w:rPr>
          <w:sz w:val="24"/>
          <w:szCs w:val="24"/>
        </w:rPr>
        <w:t xml:space="preserve">to 75 </w:t>
      </w:r>
      <w:r>
        <w:rPr>
          <w:sz w:val="24"/>
          <w:szCs w:val="24"/>
        </w:rPr>
        <w:t>person-days)</w:t>
      </w:r>
      <w:r w:rsidRPr="00C9378D">
        <w:rPr>
          <w:sz w:val="24"/>
          <w:szCs w:val="24"/>
        </w:rPr>
        <w:t xml:space="preserve">. </w:t>
      </w:r>
      <w:r>
        <w:rPr>
          <w:sz w:val="24"/>
          <w:szCs w:val="24"/>
        </w:rPr>
        <w:t xml:space="preserve">The data </w:t>
      </w:r>
      <w:r w:rsidRPr="00CC147A">
        <w:rPr>
          <w:sz w:val="24"/>
          <w:szCs w:val="24"/>
        </w:rPr>
        <w:t>collection phase of this project is expected to last only one year.</w:t>
      </w:r>
      <w:r w:rsidR="00866BBF">
        <w:rPr>
          <w:sz w:val="24"/>
          <w:szCs w:val="24"/>
        </w:rPr>
        <w:t xml:space="preserve"> However, a </w:t>
      </w:r>
      <w:r w:rsidR="00F378B1">
        <w:rPr>
          <w:sz w:val="24"/>
          <w:szCs w:val="24"/>
        </w:rPr>
        <w:t>two-year</w:t>
      </w:r>
      <w:r w:rsidR="00866BBF">
        <w:rPr>
          <w:sz w:val="24"/>
          <w:szCs w:val="24"/>
        </w:rPr>
        <w:t xml:space="preserve"> OMB approval is being requested to account for start-up time needed to train interviewers, select the sample, and manage other potential project needs prior to initiating interviews.</w:t>
      </w:r>
      <w:r w:rsidR="00E17C45">
        <w:rPr>
          <w:sz w:val="24"/>
          <w:szCs w:val="24"/>
        </w:rPr>
        <w:t xml:space="preserve"> </w:t>
      </w:r>
    </w:p>
    <w:p w:rsidR="00FB7EF6" w:rsidRDefault="00FB7EF6" w:rsidP="00224BCC">
      <w:pPr>
        <w:spacing w:after="0"/>
        <w:ind w:firstLine="360"/>
        <w:rPr>
          <w:b/>
          <w:sz w:val="24"/>
          <w:szCs w:val="24"/>
          <w:u w:val="single"/>
        </w:rPr>
      </w:pPr>
    </w:p>
    <w:p w:rsidR="00CB0531" w:rsidRPr="00E404C4" w:rsidRDefault="00CB0531" w:rsidP="00FB7EF6">
      <w:pPr>
        <w:rPr>
          <w:b/>
          <w:sz w:val="24"/>
          <w:szCs w:val="24"/>
        </w:rPr>
      </w:pPr>
      <w:r>
        <w:rPr>
          <w:b/>
          <w:sz w:val="24"/>
          <w:szCs w:val="24"/>
        </w:rPr>
        <w:t>Estimated Annualized Burden Hours</w:t>
      </w:r>
    </w:p>
    <w:tbl>
      <w:tblPr>
        <w:tblW w:w="0" w:type="auto"/>
        <w:tblInd w:w="10" w:type="dxa"/>
        <w:tblLook w:val="0000" w:firstRow="0" w:lastRow="0" w:firstColumn="0" w:lastColumn="0" w:noHBand="0" w:noVBand="0"/>
      </w:tblPr>
      <w:tblGrid>
        <w:gridCol w:w="3878"/>
        <w:gridCol w:w="1800"/>
        <w:gridCol w:w="2340"/>
        <w:gridCol w:w="1548"/>
      </w:tblGrid>
      <w:tr w:rsidR="00CB0531" w:rsidRPr="00E404C4" w:rsidTr="00CB0531">
        <w:trPr>
          <w:trHeight w:val="790"/>
        </w:trPr>
        <w:tc>
          <w:tcPr>
            <w:tcW w:w="3878" w:type="dxa"/>
            <w:tcBorders>
              <w:top w:val="single" w:sz="8" w:space="0" w:color="000000"/>
              <w:left w:val="single" w:sz="8" w:space="0" w:color="000000"/>
              <w:bottom w:val="single" w:sz="8" w:space="0" w:color="000000"/>
              <w:right w:val="single" w:sz="8" w:space="0" w:color="000000"/>
            </w:tcBorders>
          </w:tcPr>
          <w:p w:rsidR="00CB0531" w:rsidRPr="00E404C4" w:rsidRDefault="00CB0531" w:rsidP="00CB0531">
            <w:pPr>
              <w:spacing w:after="0"/>
              <w:jc w:val="center"/>
              <w:rPr>
                <w:b/>
                <w:sz w:val="24"/>
                <w:szCs w:val="24"/>
              </w:rPr>
            </w:pPr>
            <w:r w:rsidRPr="00E404C4">
              <w:rPr>
                <w:b/>
                <w:sz w:val="24"/>
                <w:szCs w:val="24"/>
              </w:rPr>
              <w:t>Type of Respondent</w:t>
            </w:r>
          </w:p>
        </w:tc>
        <w:tc>
          <w:tcPr>
            <w:tcW w:w="1800" w:type="dxa"/>
            <w:tcBorders>
              <w:top w:val="single" w:sz="8" w:space="0" w:color="000000"/>
              <w:left w:val="single" w:sz="8" w:space="0" w:color="000000"/>
              <w:bottom w:val="single" w:sz="8" w:space="0" w:color="000000"/>
              <w:right w:val="single" w:sz="8" w:space="0" w:color="000000"/>
            </w:tcBorders>
          </w:tcPr>
          <w:p w:rsidR="00CB0531" w:rsidRPr="00E404C4" w:rsidRDefault="00CB0531" w:rsidP="00CB0531">
            <w:pPr>
              <w:spacing w:after="0"/>
              <w:jc w:val="center"/>
              <w:rPr>
                <w:b/>
                <w:sz w:val="24"/>
                <w:szCs w:val="24"/>
              </w:rPr>
            </w:pPr>
            <w:r>
              <w:rPr>
                <w:b/>
                <w:sz w:val="24"/>
                <w:szCs w:val="24"/>
              </w:rPr>
              <w:t>No. of Respondents</w:t>
            </w:r>
          </w:p>
        </w:tc>
        <w:tc>
          <w:tcPr>
            <w:tcW w:w="2340" w:type="dxa"/>
            <w:tcBorders>
              <w:top w:val="single" w:sz="8" w:space="0" w:color="000000"/>
              <w:left w:val="single" w:sz="8" w:space="0" w:color="000000"/>
              <w:bottom w:val="single" w:sz="8" w:space="0" w:color="000000"/>
              <w:right w:val="single" w:sz="8" w:space="0" w:color="000000"/>
            </w:tcBorders>
          </w:tcPr>
          <w:p w:rsidR="00CB0531" w:rsidRPr="00E404C4" w:rsidRDefault="00CB0531" w:rsidP="00CB0531">
            <w:pPr>
              <w:spacing w:after="0"/>
              <w:jc w:val="center"/>
              <w:rPr>
                <w:b/>
                <w:sz w:val="24"/>
                <w:szCs w:val="24"/>
              </w:rPr>
            </w:pPr>
            <w:r>
              <w:rPr>
                <w:b/>
                <w:sz w:val="24"/>
                <w:szCs w:val="24"/>
              </w:rPr>
              <w:t>Average Burden per Response (in hours)</w:t>
            </w:r>
          </w:p>
        </w:tc>
        <w:tc>
          <w:tcPr>
            <w:tcW w:w="1548" w:type="dxa"/>
            <w:tcBorders>
              <w:top w:val="single" w:sz="8" w:space="0" w:color="000000"/>
              <w:left w:val="single" w:sz="8" w:space="0" w:color="000000"/>
              <w:bottom w:val="single" w:sz="8" w:space="0" w:color="000000"/>
              <w:right w:val="single" w:sz="8" w:space="0" w:color="000000"/>
            </w:tcBorders>
          </w:tcPr>
          <w:p w:rsidR="00CB0531" w:rsidRPr="00E404C4" w:rsidRDefault="00CB0531" w:rsidP="00CB0531">
            <w:pPr>
              <w:spacing w:after="0"/>
              <w:jc w:val="center"/>
              <w:rPr>
                <w:b/>
                <w:sz w:val="24"/>
                <w:szCs w:val="24"/>
              </w:rPr>
            </w:pPr>
            <w:r>
              <w:rPr>
                <w:b/>
                <w:sz w:val="24"/>
                <w:szCs w:val="24"/>
              </w:rPr>
              <w:t>Total Burden Hours</w:t>
            </w:r>
          </w:p>
        </w:tc>
      </w:tr>
      <w:tr w:rsidR="00CB0531" w:rsidRPr="00E404C4" w:rsidTr="00CB0531">
        <w:trPr>
          <w:trHeight w:val="253"/>
        </w:trPr>
        <w:tc>
          <w:tcPr>
            <w:tcW w:w="3878" w:type="dxa"/>
            <w:tcBorders>
              <w:top w:val="single" w:sz="8" w:space="0" w:color="000000"/>
              <w:left w:val="single" w:sz="8" w:space="0" w:color="000000"/>
              <w:bottom w:val="single" w:sz="8" w:space="0" w:color="000000"/>
              <w:right w:val="single" w:sz="8" w:space="0" w:color="000000"/>
            </w:tcBorders>
          </w:tcPr>
          <w:p w:rsidR="00CB0531" w:rsidRPr="00E404C4" w:rsidRDefault="00CB0531" w:rsidP="0074252D">
            <w:pPr>
              <w:spacing w:after="0"/>
              <w:rPr>
                <w:b/>
                <w:sz w:val="24"/>
                <w:szCs w:val="24"/>
              </w:rPr>
            </w:pPr>
            <w:r>
              <w:rPr>
                <w:b/>
                <w:sz w:val="24"/>
                <w:szCs w:val="24"/>
              </w:rPr>
              <w:t xml:space="preserve">US workers </w:t>
            </w:r>
            <w:r w:rsidR="009F50F3">
              <w:rPr>
                <w:b/>
                <w:sz w:val="24"/>
                <w:szCs w:val="24"/>
              </w:rPr>
              <w:t xml:space="preserve">presenting to </w:t>
            </w:r>
            <w:r w:rsidR="008345F8">
              <w:rPr>
                <w:b/>
                <w:sz w:val="24"/>
                <w:szCs w:val="24"/>
              </w:rPr>
              <w:t xml:space="preserve">an </w:t>
            </w:r>
            <w:r w:rsidR="009F50F3">
              <w:rPr>
                <w:b/>
                <w:sz w:val="24"/>
                <w:szCs w:val="24"/>
              </w:rPr>
              <w:t xml:space="preserve">emergency department </w:t>
            </w:r>
          </w:p>
        </w:tc>
        <w:tc>
          <w:tcPr>
            <w:tcW w:w="1800" w:type="dxa"/>
            <w:tcBorders>
              <w:top w:val="single" w:sz="8" w:space="0" w:color="000000"/>
              <w:left w:val="single" w:sz="8" w:space="0" w:color="000000"/>
              <w:bottom w:val="single" w:sz="8" w:space="0" w:color="000000"/>
              <w:right w:val="single" w:sz="8" w:space="0" w:color="000000"/>
            </w:tcBorders>
          </w:tcPr>
          <w:p w:rsidR="00CB0531" w:rsidRPr="00E404C4" w:rsidRDefault="00FB7EF6" w:rsidP="00CB0531">
            <w:pPr>
              <w:spacing w:after="0"/>
              <w:jc w:val="center"/>
              <w:rPr>
                <w:b/>
                <w:sz w:val="24"/>
                <w:szCs w:val="24"/>
              </w:rPr>
            </w:pPr>
            <w:r>
              <w:rPr>
                <w:b/>
                <w:sz w:val="24"/>
                <w:szCs w:val="24"/>
              </w:rPr>
              <w:t>600</w:t>
            </w:r>
          </w:p>
        </w:tc>
        <w:tc>
          <w:tcPr>
            <w:tcW w:w="2340" w:type="dxa"/>
            <w:tcBorders>
              <w:top w:val="single" w:sz="8" w:space="0" w:color="000000"/>
              <w:left w:val="single" w:sz="8" w:space="0" w:color="000000"/>
              <w:bottom w:val="single" w:sz="8" w:space="0" w:color="000000"/>
              <w:right w:val="single" w:sz="8" w:space="0" w:color="000000"/>
            </w:tcBorders>
          </w:tcPr>
          <w:p w:rsidR="00CB0531" w:rsidRPr="00E404C4" w:rsidRDefault="0074252D" w:rsidP="00CB0531">
            <w:pPr>
              <w:spacing w:after="0"/>
              <w:jc w:val="center"/>
              <w:rPr>
                <w:b/>
                <w:sz w:val="24"/>
                <w:szCs w:val="24"/>
              </w:rPr>
            </w:pPr>
            <w:r>
              <w:rPr>
                <w:b/>
                <w:sz w:val="24"/>
                <w:szCs w:val="24"/>
              </w:rPr>
              <w:t>30/60</w:t>
            </w:r>
          </w:p>
        </w:tc>
        <w:tc>
          <w:tcPr>
            <w:tcW w:w="1548" w:type="dxa"/>
            <w:tcBorders>
              <w:top w:val="single" w:sz="8" w:space="0" w:color="000000"/>
              <w:left w:val="single" w:sz="8" w:space="0" w:color="000000"/>
              <w:bottom w:val="single" w:sz="8" w:space="0" w:color="000000"/>
              <w:right w:val="single" w:sz="8" w:space="0" w:color="000000"/>
            </w:tcBorders>
          </w:tcPr>
          <w:p w:rsidR="00CB0531" w:rsidRPr="00E404C4" w:rsidRDefault="00FB7EF6" w:rsidP="0074252D">
            <w:pPr>
              <w:spacing w:after="0"/>
              <w:jc w:val="right"/>
              <w:rPr>
                <w:b/>
                <w:sz w:val="24"/>
                <w:szCs w:val="24"/>
              </w:rPr>
            </w:pPr>
            <w:r>
              <w:rPr>
                <w:b/>
                <w:sz w:val="24"/>
                <w:szCs w:val="24"/>
              </w:rPr>
              <w:t>300</w:t>
            </w:r>
          </w:p>
        </w:tc>
      </w:tr>
      <w:tr w:rsidR="00CB0531" w:rsidRPr="00E404C4" w:rsidTr="00CB0531">
        <w:trPr>
          <w:trHeight w:val="253"/>
        </w:trPr>
        <w:tc>
          <w:tcPr>
            <w:tcW w:w="3878" w:type="dxa"/>
            <w:tcBorders>
              <w:top w:val="single" w:sz="8" w:space="0" w:color="000000"/>
              <w:left w:val="single" w:sz="8" w:space="0" w:color="000000"/>
              <w:bottom w:val="single" w:sz="8" w:space="0" w:color="000000"/>
              <w:right w:val="single" w:sz="8" w:space="0" w:color="000000"/>
            </w:tcBorders>
          </w:tcPr>
          <w:p w:rsidR="00CB0531" w:rsidRDefault="00CB0531" w:rsidP="0074252D">
            <w:pPr>
              <w:spacing w:after="0"/>
              <w:rPr>
                <w:b/>
                <w:sz w:val="24"/>
                <w:szCs w:val="24"/>
              </w:rPr>
            </w:pPr>
          </w:p>
        </w:tc>
        <w:tc>
          <w:tcPr>
            <w:tcW w:w="1800" w:type="dxa"/>
            <w:tcBorders>
              <w:top w:val="single" w:sz="8" w:space="0" w:color="000000"/>
              <w:left w:val="single" w:sz="8" w:space="0" w:color="000000"/>
              <w:bottom w:val="single" w:sz="8" w:space="0" w:color="000000"/>
              <w:right w:val="single" w:sz="8" w:space="0" w:color="000000"/>
            </w:tcBorders>
          </w:tcPr>
          <w:p w:rsidR="00CB0531" w:rsidRDefault="00CB0531" w:rsidP="00CB0531">
            <w:pPr>
              <w:spacing w:after="0"/>
              <w:jc w:val="center"/>
              <w:rPr>
                <w:b/>
                <w:sz w:val="24"/>
                <w:szCs w:val="24"/>
              </w:rPr>
            </w:pPr>
          </w:p>
        </w:tc>
        <w:tc>
          <w:tcPr>
            <w:tcW w:w="2340" w:type="dxa"/>
            <w:tcBorders>
              <w:top w:val="single" w:sz="8" w:space="0" w:color="000000"/>
              <w:left w:val="single" w:sz="8" w:space="0" w:color="000000"/>
              <w:bottom w:val="single" w:sz="8" w:space="0" w:color="000000"/>
              <w:right w:val="single" w:sz="8" w:space="0" w:color="000000"/>
            </w:tcBorders>
          </w:tcPr>
          <w:p w:rsidR="00CB0531" w:rsidRDefault="00CB0531" w:rsidP="00CB0531">
            <w:pPr>
              <w:spacing w:after="0"/>
              <w:jc w:val="center"/>
              <w:rPr>
                <w:b/>
                <w:sz w:val="24"/>
                <w:szCs w:val="24"/>
              </w:rPr>
            </w:pPr>
          </w:p>
        </w:tc>
        <w:tc>
          <w:tcPr>
            <w:tcW w:w="1548" w:type="dxa"/>
            <w:tcBorders>
              <w:top w:val="single" w:sz="8" w:space="0" w:color="000000"/>
              <w:left w:val="single" w:sz="8" w:space="0" w:color="000000"/>
              <w:bottom w:val="single" w:sz="8" w:space="0" w:color="000000"/>
              <w:right w:val="single" w:sz="8" w:space="0" w:color="000000"/>
            </w:tcBorders>
          </w:tcPr>
          <w:p w:rsidR="00CB0531" w:rsidRDefault="00CB0531" w:rsidP="0074252D">
            <w:pPr>
              <w:spacing w:after="0"/>
              <w:jc w:val="right"/>
              <w:rPr>
                <w:b/>
                <w:sz w:val="24"/>
                <w:szCs w:val="24"/>
              </w:rPr>
            </w:pPr>
          </w:p>
        </w:tc>
      </w:tr>
      <w:tr w:rsidR="00CB0531" w:rsidRPr="00E404C4" w:rsidTr="00CB0531">
        <w:trPr>
          <w:trHeight w:val="253"/>
        </w:trPr>
        <w:tc>
          <w:tcPr>
            <w:tcW w:w="3878" w:type="dxa"/>
            <w:tcBorders>
              <w:top w:val="single" w:sz="8" w:space="0" w:color="000000"/>
              <w:left w:val="single" w:sz="8" w:space="0" w:color="000000"/>
              <w:bottom w:val="single" w:sz="8" w:space="0" w:color="000000"/>
              <w:right w:val="single" w:sz="8" w:space="0" w:color="000000"/>
            </w:tcBorders>
          </w:tcPr>
          <w:p w:rsidR="00CB0531" w:rsidRPr="00E404C4" w:rsidRDefault="00CB0531" w:rsidP="00CB0531">
            <w:pPr>
              <w:spacing w:after="0"/>
              <w:rPr>
                <w:b/>
                <w:sz w:val="24"/>
                <w:szCs w:val="24"/>
              </w:rPr>
            </w:pPr>
            <w:r w:rsidRPr="00E404C4">
              <w:rPr>
                <w:b/>
                <w:sz w:val="24"/>
                <w:szCs w:val="24"/>
              </w:rPr>
              <w:t xml:space="preserve">Total </w:t>
            </w:r>
          </w:p>
        </w:tc>
        <w:tc>
          <w:tcPr>
            <w:tcW w:w="5688" w:type="dxa"/>
            <w:gridSpan w:val="3"/>
            <w:tcBorders>
              <w:top w:val="single" w:sz="8" w:space="0" w:color="000000"/>
              <w:left w:val="single" w:sz="8" w:space="0" w:color="000000"/>
              <w:bottom w:val="single" w:sz="8" w:space="0" w:color="000000"/>
              <w:right w:val="single" w:sz="8" w:space="0" w:color="000000"/>
            </w:tcBorders>
          </w:tcPr>
          <w:p w:rsidR="00CB0531" w:rsidRPr="00E404C4" w:rsidRDefault="00FB7EF6" w:rsidP="00FB7EF6">
            <w:pPr>
              <w:spacing w:after="0"/>
              <w:jc w:val="right"/>
              <w:rPr>
                <w:b/>
                <w:sz w:val="24"/>
                <w:szCs w:val="24"/>
              </w:rPr>
            </w:pPr>
            <w:r>
              <w:rPr>
                <w:b/>
                <w:sz w:val="24"/>
                <w:szCs w:val="24"/>
              </w:rPr>
              <w:t>600                                                                  300</w:t>
            </w:r>
          </w:p>
        </w:tc>
      </w:tr>
    </w:tbl>
    <w:p w:rsidR="003A79CF" w:rsidRDefault="003A79CF">
      <w:pPr>
        <w:rPr>
          <w:i/>
          <w:sz w:val="24"/>
          <w:szCs w:val="24"/>
        </w:rPr>
      </w:pPr>
    </w:p>
    <w:p w:rsidR="00CB0531" w:rsidRPr="0042235B" w:rsidRDefault="00CB0531" w:rsidP="00CB0531">
      <w:pPr>
        <w:pStyle w:val="Heading3"/>
        <w:rPr>
          <w:sz w:val="24"/>
          <w:szCs w:val="24"/>
          <w:u w:val="single"/>
        </w:rPr>
      </w:pPr>
      <w:bookmarkStart w:id="28" w:name="_Toc309647155"/>
      <w:r w:rsidRPr="0042235B">
        <w:rPr>
          <w:sz w:val="24"/>
          <w:szCs w:val="24"/>
          <w:u w:val="single"/>
        </w:rPr>
        <w:t>Estimates of Annualized Burden Costs</w:t>
      </w:r>
      <w:bookmarkEnd w:id="28"/>
    </w:p>
    <w:p w:rsidR="00CB0531" w:rsidRPr="00CC147A" w:rsidRDefault="00CB0531" w:rsidP="00CB0531">
      <w:pPr>
        <w:spacing w:after="0"/>
        <w:ind w:firstLine="360"/>
        <w:rPr>
          <w:sz w:val="24"/>
          <w:szCs w:val="24"/>
        </w:rPr>
      </w:pPr>
      <w:r w:rsidRPr="00CC147A">
        <w:rPr>
          <w:sz w:val="24"/>
          <w:szCs w:val="24"/>
        </w:rPr>
        <w:t xml:space="preserve">Based on the U.S. </w:t>
      </w:r>
      <w:r>
        <w:rPr>
          <w:sz w:val="24"/>
          <w:szCs w:val="24"/>
        </w:rPr>
        <w:t>Bureau of Labor Statistics, the average hourly earnings of all US employees in 2010 was approximately $22.61</w:t>
      </w:r>
      <w:r w:rsidRPr="00CC147A">
        <w:rPr>
          <w:sz w:val="24"/>
          <w:szCs w:val="24"/>
        </w:rPr>
        <w:t xml:space="preserve">. </w:t>
      </w:r>
      <w:r>
        <w:rPr>
          <w:sz w:val="24"/>
          <w:szCs w:val="24"/>
        </w:rPr>
        <w:t xml:space="preserve">Because NEISS and its supplements do not collect household income, </w:t>
      </w:r>
      <w:r w:rsidR="00E30DA9">
        <w:rPr>
          <w:sz w:val="24"/>
          <w:szCs w:val="24"/>
        </w:rPr>
        <w:t xml:space="preserve">the average hourly </w:t>
      </w:r>
      <w:r w:rsidR="00855C30">
        <w:rPr>
          <w:sz w:val="24"/>
          <w:szCs w:val="24"/>
        </w:rPr>
        <w:t>earnings rate</w:t>
      </w:r>
      <w:r w:rsidR="00E30DA9">
        <w:rPr>
          <w:sz w:val="24"/>
          <w:szCs w:val="24"/>
        </w:rPr>
        <w:t xml:space="preserve"> is used</w:t>
      </w:r>
      <w:r>
        <w:rPr>
          <w:sz w:val="24"/>
          <w:szCs w:val="24"/>
        </w:rPr>
        <w:t xml:space="preserve"> for determining the annualized burden costs.</w:t>
      </w:r>
    </w:p>
    <w:p w:rsidR="00855C30" w:rsidRDefault="00855C30" w:rsidP="00CB0531">
      <w:pPr>
        <w:spacing w:after="0"/>
        <w:rPr>
          <w:b/>
          <w:sz w:val="24"/>
          <w:szCs w:val="24"/>
        </w:rPr>
      </w:pPr>
    </w:p>
    <w:p w:rsidR="00CB0531" w:rsidRPr="008A3F30" w:rsidRDefault="00CB0531" w:rsidP="00CB0531">
      <w:pPr>
        <w:spacing w:after="0"/>
        <w:rPr>
          <w:b/>
          <w:sz w:val="24"/>
          <w:szCs w:val="24"/>
        </w:rPr>
      </w:pPr>
      <w:r w:rsidRPr="008A3F30">
        <w:rPr>
          <w:b/>
          <w:sz w:val="24"/>
          <w:szCs w:val="24"/>
        </w:rPr>
        <w:t>Estimated Annualized Burden Hours</w:t>
      </w:r>
    </w:p>
    <w:tbl>
      <w:tblPr>
        <w:tblW w:w="0" w:type="auto"/>
        <w:tblInd w:w="10" w:type="dxa"/>
        <w:tblLook w:val="0000" w:firstRow="0" w:lastRow="0" w:firstColumn="0" w:lastColumn="0" w:noHBand="0" w:noVBand="0"/>
      </w:tblPr>
      <w:tblGrid>
        <w:gridCol w:w="4328"/>
        <w:gridCol w:w="1620"/>
        <w:gridCol w:w="1514"/>
        <w:gridCol w:w="2104"/>
      </w:tblGrid>
      <w:tr w:rsidR="00CB0531" w:rsidRPr="008A3F30" w:rsidTr="00CB0531">
        <w:trPr>
          <w:trHeight w:val="973"/>
        </w:trPr>
        <w:tc>
          <w:tcPr>
            <w:tcW w:w="4328"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r w:rsidRPr="008A3F30">
              <w:rPr>
                <w:b/>
                <w:sz w:val="24"/>
                <w:szCs w:val="24"/>
              </w:rPr>
              <w:t>Type of Respondent</w:t>
            </w:r>
          </w:p>
        </w:tc>
        <w:tc>
          <w:tcPr>
            <w:tcW w:w="1620"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r w:rsidRPr="008A3F30">
              <w:rPr>
                <w:b/>
                <w:sz w:val="24"/>
                <w:szCs w:val="24"/>
              </w:rPr>
              <w:t>Total Burden Hours</w:t>
            </w:r>
          </w:p>
        </w:tc>
        <w:tc>
          <w:tcPr>
            <w:tcW w:w="1514"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r w:rsidRPr="008A3F30">
              <w:rPr>
                <w:b/>
                <w:sz w:val="24"/>
                <w:szCs w:val="24"/>
              </w:rPr>
              <w:t>Hourly Wage Rate</w:t>
            </w:r>
          </w:p>
        </w:tc>
        <w:tc>
          <w:tcPr>
            <w:tcW w:w="2104"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r w:rsidRPr="008A3F30">
              <w:rPr>
                <w:b/>
                <w:sz w:val="24"/>
                <w:szCs w:val="24"/>
              </w:rPr>
              <w:t>Total Respondent Costs</w:t>
            </w:r>
          </w:p>
          <w:p w:rsidR="00CB0531" w:rsidRPr="008A3F30" w:rsidRDefault="00CB0531" w:rsidP="00CB0531">
            <w:pPr>
              <w:spacing w:after="0"/>
              <w:jc w:val="center"/>
              <w:rPr>
                <w:b/>
                <w:sz w:val="24"/>
                <w:szCs w:val="24"/>
              </w:rPr>
            </w:pPr>
          </w:p>
        </w:tc>
      </w:tr>
      <w:tr w:rsidR="00CB0531" w:rsidRPr="008A3F30" w:rsidTr="00CB0531">
        <w:trPr>
          <w:trHeight w:val="253"/>
        </w:trPr>
        <w:tc>
          <w:tcPr>
            <w:tcW w:w="4328" w:type="dxa"/>
            <w:tcBorders>
              <w:top w:val="single" w:sz="8" w:space="0" w:color="000000"/>
              <w:left w:val="single" w:sz="8" w:space="0" w:color="000000"/>
              <w:bottom w:val="single" w:sz="8" w:space="0" w:color="000000"/>
              <w:right w:val="single" w:sz="8" w:space="0" w:color="000000"/>
            </w:tcBorders>
          </w:tcPr>
          <w:p w:rsidR="00CB0531" w:rsidRPr="00E404C4" w:rsidRDefault="00CB0531" w:rsidP="009F50F3">
            <w:pPr>
              <w:spacing w:after="0"/>
              <w:rPr>
                <w:b/>
                <w:sz w:val="24"/>
                <w:szCs w:val="24"/>
              </w:rPr>
            </w:pPr>
            <w:r>
              <w:rPr>
                <w:b/>
                <w:sz w:val="24"/>
                <w:szCs w:val="24"/>
              </w:rPr>
              <w:t xml:space="preserve">US workers </w:t>
            </w:r>
          </w:p>
        </w:tc>
        <w:tc>
          <w:tcPr>
            <w:tcW w:w="1620" w:type="dxa"/>
            <w:tcBorders>
              <w:top w:val="single" w:sz="8" w:space="0" w:color="000000"/>
              <w:left w:val="single" w:sz="8" w:space="0" w:color="000000"/>
              <w:bottom w:val="single" w:sz="8" w:space="0" w:color="000000"/>
              <w:right w:val="single" w:sz="8" w:space="0" w:color="000000"/>
            </w:tcBorders>
          </w:tcPr>
          <w:p w:rsidR="00CB0531" w:rsidRPr="008A3F30" w:rsidRDefault="00FB7EF6" w:rsidP="009F50F3">
            <w:pPr>
              <w:spacing w:after="0"/>
              <w:jc w:val="center"/>
              <w:rPr>
                <w:b/>
                <w:sz w:val="24"/>
                <w:szCs w:val="24"/>
              </w:rPr>
            </w:pPr>
            <w:r>
              <w:rPr>
                <w:b/>
                <w:sz w:val="24"/>
                <w:szCs w:val="24"/>
              </w:rPr>
              <w:t xml:space="preserve">300 </w:t>
            </w:r>
            <w:r w:rsidR="00CB0531">
              <w:rPr>
                <w:b/>
                <w:sz w:val="24"/>
                <w:szCs w:val="24"/>
              </w:rPr>
              <w:t>hrs</w:t>
            </w:r>
          </w:p>
        </w:tc>
        <w:tc>
          <w:tcPr>
            <w:tcW w:w="1514"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r w:rsidRPr="008A3F30">
              <w:rPr>
                <w:b/>
                <w:sz w:val="24"/>
                <w:szCs w:val="24"/>
              </w:rPr>
              <w:t>$</w:t>
            </w:r>
            <w:r>
              <w:rPr>
                <w:b/>
                <w:sz w:val="24"/>
                <w:szCs w:val="24"/>
              </w:rPr>
              <w:t>22.61</w:t>
            </w:r>
          </w:p>
        </w:tc>
        <w:tc>
          <w:tcPr>
            <w:tcW w:w="2104" w:type="dxa"/>
            <w:tcBorders>
              <w:top w:val="single" w:sz="8" w:space="0" w:color="000000"/>
              <w:left w:val="single" w:sz="8" w:space="0" w:color="000000"/>
              <w:bottom w:val="single" w:sz="8" w:space="0" w:color="000000"/>
              <w:right w:val="single" w:sz="8" w:space="0" w:color="000000"/>
            </w:tcBorders>
          </w:tcPr>
          <w:p w:rsidR="00CB0531" w:rsidRPr="008A3F30" w:rsidRDefault="00CB0531" w:rsidP="00FB7EF6">
            <w:pPr>
              <w:spacing w:after="0"/>
              <w:jc w:val="right"/>
              <w:rPr>
                <w:b/>
                <w:sz w:val="24"/>
                <w:szCs w:val="24"/>
              </w:rPr>
            </w:pPr>
            <w:r>
              <w:rPr>
                <w:b/>
                <w:sz w:val="24"/>
                <w:szCs w:val="24"/>
              </w:rPr>
              <w:t>$</w:t>
            </w:r>
            <w:r w:rsidR="00FB7EF6">
              <w:rPr>
                <w:b/>
                <w:sz w:val="24"/>
                <w:szCs w:val="24"/>
              </w:rPr>
              <w:t>6,783</w:t>
            </w:r>
          </w:p>
        </w:tc>
      </w:tr>
      <w:tr w:rsidR="00CB0531" w:rsidRPr="008A3F30" w:rsidTr="00CB0531">
        <w:trPr>
          <w:trHeight w:val="253"/>
        </w:trPr>
        <w:tc>
          <w:tcPr>
            <w:tcW w:w="4328" w:type="dxa"/>
            <w:tcBorders>
              <w:top w:val="single" w:sz="8" w:space="0" w:color="000000"/>
              <w:left w:val="single" w:sz="8" w:space="0" w:color="000000"/>
              <w:bottom w:val="single" w:sz="8" w:space="0" w:color="000000"/>
              <w:right w:val="single" w:sz="8" w:space="0" w:color="000000"/>
            </w:tcBorders>
          </w:tcPr>
          <w:p w:rsidR="00CB0531" w:rsidRDefault="00CB0531" w:rsidP="00CB0531">
            <w:pPr>
              <w:spacing w:after="0"/>
              <w:rPr>
                <w:b/>
                <w:sz w:val="24"/>
                <w:szCs w:val="24"/>
              </w:rPr>
            </w:pPr>
          </w:p>
        </w:tc>
        <w:tc>
          <w:tcPr>
            <w:tcW w:w="1620" w:type="dxa"/>
            <w:tcBorders>
              <w:top w:val="single" w:sz="8" w:space="0" w:color="000000"/>
              <w:left w:val="single" w:sz="8" w:space="0" w:color="000000"/>
              <w:bottom w:val="single" w:sz="8" w:space="0" w:color="000000"/>
              <w:right w:val="single" w:sz="8" w:space="0" w:color="000000"/>
            </w:tcBorders>
          </w:tcPr>
          <w:p w:rsidR="00CB0531" w:rsidRDefault="00CB0531" w:rsidP="00CB0531">
            <w:pPr>
              <w:spacing w:after="0"/>
              <w:jc w:val="center"/>
              <w:rPr>
                <w:b/>
                <w:sz w:val="24"/>
                <w:szCs w:val="24"/>
              </w:rPr>
            </w:pPr>
          </w:p>
        </w:tc>
        <w:tc>
          <w:tcPr>
            <w:tcW w:w="1514"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center"/>
              <w:rPr>
                <w:b/>
                <w:sz w:val="24"/>
                <w:szCs w:val="24"/>
              </w:rPr>
            </w:pPr>
          </w:p>
        </w:tc>
        <w:tc>
          <w:tcPr>
            <w:tcW w:w="2104"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jc w:val="right"/>
              <w:rPr>
                <w:b/>
                <w:sz w:val="24"/>
                <w:szCs w:val="24"/>
              </w:rPr>
            </w:pPr>
          </w:p>
        </w:tc>
      </w:tr>
      <w:tr w:rsidR="00CB0531" w:rsidRPr="008A3F30" w:rsidTr="00CB0531">
        <w:trPr>
          <w:trHeight w:val="253"/>
        </w:trPr>
        <w:tc>
          <w:tcPr>
            <w:tcW w:w="4328" w:type="dxa"/>
            <w:tcBorders>
              <w:top w:val="single" w:sz="8" w:space="0" w:color="000000"/>
              <w:left w:val="single" w:sz="8" w:space="0" w:color="000000"/>
              <w:bottom w:val="single" w:sz="8" w:space="0" w:color="000000"/>
              <w:right w:val="single" w:sz="8" w:space="0" w:color="000000"/>
            </w:tcBorders>
          </w:tcPr>
          <w:p w:rsidR="00CB0531" w:rsidRPr="008A3F30" w:rsidRDefault="00CB0531" w:rsidP="00CB0531">
            <w:pPr>
              <w:spacing w:after="0"/>
              <w:rPr>
                <w:b/>
                <w:sz w:val="24"/>
                <w:szCs w:val="24"/>
              </w:rPr>
            </w:pPr>
            <w:r w:rsidRPr="008A3F30">
              <w:rPr>
                <w:b/>
                <w:sz w:val="24"/>
                <w:szCs w:val="24"/>
              </w:rPr>
              <w:t xml:space="preserve">Total </w:t>
            </w:r>
          </w:p>
        </w:tc>
        <w:tc>
          <w:tcPr>
            <w:tcW w:w="5238" w:type="dxa"/>
            <w:gridSpan w:val="3"/>
            <w:tcBorders>
              <w:top w:val="single" w:sz="8" w:space="0" w:color="000000"/>
              <w:left w:val="single" w:sz="8" w:space="0" w:color="000000"/>
              <w:bottom w:val="single" w:sz="8" w:space="0" w:color="000000"/>
              <w:right w:val="single" w:sz="8" w:space="0" w:color="000000"/>
            </w:tcBorders>
          </w:tcPr>
          <w:p w:rsidR="00CB0531" w:rsidRPr="008A3F30" w:rsidRDefault="00CB0531" w:rsidP="00FB7EF6">
            <w:pPr>
              <w:spacing w:after="0"/>
              <w:jc w:val="right"/>
              <w:rPr>
                <w:b/>
                <w:sz w:val="24"/>
                <w:szCs w:val="24"/>
              </w:rPr>
            </w:pPr>
            <w:r>
              <w:rPr>
                <w:b/>
                <w:sz w:val="24"/>
                <w:szCs w:val="24"/>
              </w:rPr>
              <w:t>$</w:t>
            </w:r>
            <w:r w:rsidR="00FB7EF6">
              <w:rPr>
                <w:b/>
                <w:sz w:val="24"/>
                <w:szCs w:val="24"/>
              </w:rPr>
              <w:t>6,783</w:t>
            </w:r>
          </w:p>
        </w:tc>
      </w:tr>
    </w:tbl>
    <w:p w:rsidR="00CB0531" w:rsidRPr="008A3F30" w:rsidRDefault="00CB0531" w:rsidP="00CB0531">
      <w:pPr>
        <w:spacing w:after="0"/>
        <w:rPr>
          <w:sz w:val="24"/>
          <w:szCs w:val="24"/>
        </w:rPr>
      </w:pPr>
    </w:p>
    <w:p w:rsidR="00E3042F" w:rsidRDefault="00E3042F">
      <w:pPr>
        <w:rPr>
          <w:rFonts w:eastAsiaTheme="majorEastAsia" w:cstheme="majorBidi"/>
          <w:b/>
          <w:bCs/>
          <w:sz w:val="24"/>
          <w:szCs w:val="24"/>
        </w:rPr>
      </w:pPr>
      <w:bookmarkStart w:id="29" w:name="OLE_LINK20"/>
      <w:bookmarkStart w:id="30" w:name="OLE_LINK21"/>
      <w:bookmarkStart w:id="31" w:name="_Toc309647156"/>
      <w:r>
        <w:rPr>
          <w:sz w:val="24"/>
          <w:szCs w:val="24"/>
        </w:rPr>
        <w:br w:type="page"/>
      </w:r>
    </w:p>
    <w:p w:rsidR="00CB0531" w:rsidRDefault="00CB0531" w:rsidP="00CB0531">
      <w:pPr>
        <w:pStyle w:val="Heading2"/>
        <w:rPr>
          <w:rFonts w:asciiTheme="minorHAnsi" w:hAnsiTheme="minorHAnsi"/>
          <w:sz w:val="24"/>
          <w:szCs w:val="24"/>
        </w:rPr>
      </w:pPr>
      <w:r w:rsidRPr="00084320">
        <w:rPr>
          <w:rFonts w:asciiTheme="minorHAnsi" w:hAnsiTheme="minorHAnsi"/>
          <w:sz w:val="24"/>
          <w:szCs w:val="24"/>
        </w:rPr>
        <w:lastRenderedPageBreak/>
        <w:t>A.13</w:t>
      </w:r>
      <w:r w:rsidRPr="00084320">
        <w:rPr>
          <w:rFonts w:asciiTheme="minorHAnsi" w:hAnsiTheme="minorHAnsi"/>
          <w:sz w:val="24"/>
          <w:szCs w:val="24"/>
        </w:rPr>
        <w:tab/>
        <w:t>Estimates of Other Total Annual Cost Burden to Respondents or Record Keepers</w:t>
      </w:r>
      <w:bookmarkEnd w:id="29"/>
      <w:bookmarkEnd w:id="30"/>
      <w:bookmarkEnd w:id="31"/>
    </w:p>
    <w:p w:rsidR="0042235B" w:rsidRPr="0042235B" w:rsidRDefault="0042235B" w:rsidP="0042235B"/>
    <w:p w:rsidR="00CB0531" w:rsidRPr="008A3F30" w:rsidRDefault="00CB0531" w:rsidP="00CB0531">
      <w:pPr>
        <w:spacing w:after="0"/>
        <w:ind w:firstLine="360"/>
        <w:rPr>
          <w:sz w:val="24"/>
          <w:szCs w:val="24"/>
        </w:rPr>
      </w:pPr>
      <w:r w:rsidRPr="008A3F30">
        <w:rPr>
          <w:sz w:val="24"/>
          <w:szCs w:val="24"/>
        </w:rPr>
        <w:t>There are no additional cost burdens for respondents. All record keepers are contractors of the federal government. Thus, estimated cost burden to them is included in section A.14 describing the annualized cost to the government.</w:t>
      </w:r>
    </w:p>
    <w:p w:rsidR="00CB0531" w:rsidRPr="008A3F30" w:rsidRDefault="00CB0531" w:rsidP="00CB0531">
      <w:pPr>
        <w:spacing w:after="0"/>
        <w:rPr>
          <w:sz w:val="24"/>
          <w:szCs w:val="24"/>
        </w:rPr>
      </w:pPr>
    </w:p>
    <w:p w:rsidR="00CB0531" w:rsidRDefault="00CB0531" w:rsidP="00CB0531">
      <w:pPr>
        <w:pStyle w:val="Heading2"/>
        <w:rPr>
          <w:rFonts w:asciiTheme="minorHAnsi" w:hAnsiTheme="minorHAnsi"/>
          <w:sz w:val="24"/>
          <w:szCs w:val="24"/>
        </w:rPr>
      </w:pPr>
      <w:bookmarkStart w:id="32" w:name="_Toc309647157"/>
      <w:r w:rsidRPr="00084320">
        <w:rPr>
          <w:rFonts w:asciiTheme="minorHAnsi" w:hAnsiTheme="minorHAnsi"/>
          <w:sz w:val="24"/>
          <w:szCs w:val="24"/>
        </w:rPr>
        <w:t>A.14</w:t>
      </w:r>
      <w:r w:rsidRPr="00084320">
        <w:rPr>
          <w:rFonts w:asciiTheme="minorHAnsi" w:hAnsiTheme="minorHAnsi"/>
          <w:sz w:val="24"/>
          <w:szCs w:val="24"/>
        </w:rPr>
        <w:tab/>
        <w:t>Annualized Cost to the Government</w:t>
      </w:r>
      <w:bookmarkEnd w:id="32"/>
    </w:p>
    <w:p w:rsidR="0042235B" w:rsidRPr="0042235B" w:rsidRDefault="0042235B" w:rsidP="0042235B"/>
    <w:p w:rsidR="00E37028" w:rsidRPr="00A11E5F" w:rsidRDefault="00E37028" w:rsidP="001F3B91">
      <w:pPr>
        <w:ind w:firstLine="720"/>
        <w:rPr>
          <w:sz w:val="24"/>
          <w:szCs w:val="24"/>
        </w:rPr>
      </w:pPr>
      <w:r w:rsidRPr="00A11E5F">
        <w:rPr>
          <w:sz w:val="24"/>
          <w:szCs w:val="24"/>
        </w:rPr>
        <w:t>The annualized cost to the government for this project is estimated to be $</w:t>
      </w:r>
      <w:r w:rsidR="00E17C45">
        <w:rPr>
          <w:sz w:val="24"/>
          <w:szCs w:val="24"/>
        </w:rPr>
        <w:t>77,350</w:t>
      </w:r>
      <w:r w:rsidRPr="00A11E5F">
        <w:rPr>
          <w:sz w:val="24"/>
          <w:szCs w:val="24"/>
        </w:rPr>
        <w:t xml:space="preserve"> - $</w:t>
      </w:r>
      <w:r w:rsidR="00E17C45">
        <w:rPr>
          <w:sz w:val="24"/>
          <w:szCs w:val="24"/>
        </w:rPr>
        <w:t>84,850</w:t>
      </w:r>
      <w:r w:rsidRPr="00A11E5F">
        <w:rPr>
          <w:sz w:val="24"/>
          <w:szCs w:val="24"/>
        </w:rPr>
        <w:t xml:space="preserve">. This range is based on the number of potential completed interviews ranging from 600 to 1200. The table below summarizes a breakdown of the estimated costs. To arrive at this estimate, the project costs for </w:t>
      </w:r>
      <w:r w:rsidR="004F503F">
        <w:rPr>
          <w:sz w:val="24"/>
          <w:szCs w:val="24"/>
        </w:rPr>
        <w:t>the</w:t>
      </w:r>
      <w:r w:rsidR="004F503F" w:rsidRPr="00A11E5F">
        <w:rPr>
          <w:sz w:val="24"/>
          <w:szCs w:val="24"/>
        </w:rPr>
        <w:t xml:space="preserve"> </w:t>
      </w:r>
      <w:r w:rsidRPr="00A11E5F">
        <w:rPr>
          <w:sz w:val="24"/>
          <w:szCs w:val="24"/>
        </w:rPr>
        <w:t>year were estimated in a detailed</w:t>
      </w:r>
      <w:r w:rsidR="00C10E7F">
        <w:rPr>
          <w:sz w:val="24"/>
          <w:szCs w:val="24"/>
        </w:rPr>
        <w:t>.</w:t>
      </w:r>
      <w:r w:rsidRPr="00A11E5F">
        <w:rPr>
          <w:sz w:val="24"/>
          <w:szCs w:val="24"/>
        </w:rPr>
        <w:t xml:space="preserve"> Labor costs were computed based on staff salary, benefit costs, and promotions. Costs for miscellaneous expenses include </w:t>
      </w:r>
      <w:r w:rsidR="00C10E7F">
        <w:rPr>
          <w:sz w:val="24"/>
          <w:szCs w:val="24"/>
        </w:rPr>
        <w:t>costs for software upgrades and miscellaneous supplies</w:t>
      </w:r>
      <w:r w:rsidRPr="00A11E5F">
        <w:rPr>
          <w:sz w:val="24"/>
          <w:szCs w:val="24"/>
        </w:rPr>
        <w:t>. Cost of interviews includes all money given to CPSC to hire contracted telephone interviewers who will perform the telephone interviews, input responses, and submit the data to CPSC.</w:t>
      </w:r>
    </w:p>
    <w:p w:rsidR="00E37028" w:rsidRPr="00A11E5F" w:rsidRDefault="00E37028" w:rsidP="001F3B91">
      <w:pPr>
        <w:ind w:firstLine="720"/>
        <w:rPr>
          <w:sz w:val="24"/>
          <w:szCs w:val="24"/>
        </w:rPr>
      </w:pPr>
      <w:r w:rsidRPr="00A11E5F">
        <w:rPr>
          <w:sz w:val="24"/>
          <w:szCs w:val="24"/>
        </w:rPr>
        <w:t xml:space="preserve">The annualized cost includes </w:t>
      </w:r>
      <w:r w:rsidR="00130B5C">
        <w:rPr>
          <w:sz w:val="24"/>
          <w:szCs w:val="24"/>
        </w:rPr>
        <w:t xml:space="preserve">only </w:t>
      </w:r>
      <w:r w:rsidRPr="00A11E5F">
        <w:rPr>
          <w:sz w:val="24"/>
          <w:szCs w:val="24"/>
        </w:rPr>
        <w:t>the cost of capturing the telephone interview data</w:t>
      </w:r>
      <w:r w:rsidR="007E75F6">
        <w:rPr>
          <w:sz w:val="24"/>
          <w:szCs w:val="24"/>
        </w:rPr>
        <w:t xml:space="preserve"> and</w:t>
      </w:r>
      <w:r w:rsidRPr="00A11E5F">
        <w:rPr>
          <w:sz w:val="24"/>
          <w:szCs w:val="24"/>
        </w:rPr>
        <w:t xml:space="preserve">the costs of </w:t>
      </w:r>
      <w:r w:rsidR="007E75F6">
        <w:rPr>
          <w:sz w:val="24"/>
          <w:szCs w:val="24"/>
        </w:rPr>
        <w:t>monitoring incoming</w:t>
      </w:r>
      <w:r w:rsidR="007E75F6" w:rsidRPr="00A11E5F">
        <w:rPr>
          <w:sz w:val="24"/>
          <w:szCs w:val="24"/>
        </w:rPr>
        <w:t xml:space="preserve"> </w:t>
      </w:r>
      <w:r w:rsidRPr="00A11E5F">
        <w:rPr>
          <w:sz w:val="24"/>
          <w:szCs w:val="24"/>
        </w:rPr>
        <w:t>NEISS-Work data and the telephone interview data. The cost of collecting NEISS-Work data is not included as those data are not collected exclusively for this project</w:t>
      </w:r>
      <w:r w:rsidR="00940393">
        <w:rPr>
          <w:sz w:val="24"/>
          <w:szCs w:val="24"/>
        </w:rPr>
        <w:t>, although the basic data collection burden hours are described in Section A3</w:t>
      </w:r>
      <w:r w:rsidRPr="00A11E5F">
        <w:rPr>
          <w:sz w:val="24"/>
          <w:szCs w:val="24"/>
        </w:rPr>
        <w:t>. They are historically collected and maintained under their own project allocation within NIOSH.</w:t>
      </w:r>
    </w:p>
    <w:p w:rsidR="00E37028" w:rsidRPr="00A11E5F" w:rsidRDefault="00E37028" w:rsidP="00E37028">
      <w:pPr>
        <w:jc w:val="center"/>
        <w:rPr>
          <w:sz w:val="24"/>
          <w:szCs w:val="24"/>
        </w:rPr>
      </w:pPr>
      <w:r w:rsidRPr="00A11E5F">
        <w:rPr>
          <w:b/>
          <w:sz w:val="24"/>
          <w:szCs w:val="24"/>
        </w:rPr>
        <w:t xml:space="preserve">Budget for </w:t>
      </w:r>
      <w:r w:rsidR="004F503F">
        <w:rPr>
          <w:b/>
          <w:sz w:val="24"/>
          <w:szCs w:val="24"/>
        </w:rPr>
        <w:t>One Year of Data Collection</w:t>
      </w:r>
    </w:p>
    <w:tbl>
      <w:tblPr>
        <w:tblStyle w:val="TableGrid"/>
        <w:tblW w:w="0" w:type="auto"/>
        <w:tblInd w:w="2718" w:type="dxa"/>
        <w:tblLook w:val="04A0" w:firstRow="1" w:lastRow="0" w:firstColumn="1" w:lastColumn="0" w:noHBand="0" w:noVBand="1"/>
      </w:tblPr>
      <w:tblGrid>
        <w:gridCol w:w="2070"/>
        <w:gridCol w:w="2250"/>
      </w:tblGrid>
      <w:tr w:rsidR="00E37028" w:rsidRPr="00A11E5F" w:rsidTr="0014601A">
        <w:tc>
          <w:tcPr>
            <w:tcW w:w="2070" w:type="dxa"/>
          </w:tcPr>
          <w:p w:rsidR="00E37028" w:rsidRPr="00A11E5F" w:rsidRDefault="00E37028" w:rsidP="0014601A">
            <w:pPr>
              <w:jc w:val="center"/>
              <w:rPr>
                <w:b/>
                <w:sz w:val="24"/>
                <w:szCs w:val="24"/>
              </w:rPr>
            </w:pPr>
            <w:r w:rsidRPr="00A11E5F">
              <w:rPr>
                <w:b/>
                <w:sz w:val="24"/>
                <w:szCs w:val="24"/>
              </w:rPr>
              <w:t>Budget Category</w:t>
            </w:r>
          </w:p>
        </w:tc>
        <w:tc>
          <w:tcPr>
            <w:tcW w:w="2250" w:type="dxa"/>
          </w:tcPr>
          <w:p w:rsidR="00E37028" w:rsidRPr="00A11E5F" w:rsidRDefault="00E37028" w:rsidP="0014601A">
            <w:pPr>
              <w:jc w:val="center"/>
              <w:rPr>
                <w:b/>
                <w:sz w:val="24"/>
                <w:szCs w:val="24"/>
              </w:rPr>
            </w:pPr>
            <w:r w:rsidRPr="00A11E5F">
              <w:rPr>
                <w:b/>
                <w:sz w:val="24"/>
                <w:szCs w:val="24"/>
              </w:rPr>
              <w:t>Annual Cost</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Labor</w:t>
            </w:r>
          </w:p>
        </w:tc>
        <w:tc>
          <w:tcPr>
            <w:tcW w:w="2250" w:type="dxa"/>
          </w:tcPr>
          <w:p w:rsidR="00E37028" w:rsidRPr="00A11E5F" w:rsidRDefault="00E37028" w:rsidP="00E17C45">
            <w:pPr>
              <w:jc w:val="center"/>
              <w:rPr>
                <w:sz w:val="24"/>
                <w:szCs w:val="24"/>
              </w:rPr>
            </w:pPr>
            <w:r w:rsidRPr="00A11E5F">
              <w:rPr>
                <w:sz w:val="24"/>
                <w:szCs w:val="24"/>
              </w:rPr>
              <w:t>$</w:t>
            </w:r>
            <w:r w:rsidR="00E17C45">
              <w:rPr>
                <w:sz w:val="24"/>
                <w:szCs w:val="24"/>
              </w:rPr>
              <w:t>68,600</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Travel</w:t>
            </w:r>
          </w:p>
        </w:tc>
        <w:tc>
          <w:tcPr>
            <w:tcW w:w="2250" w:type="dxa"/>
          </w:tcPr>
          <w:p w:rsidR="00E37028" w:rsidRPr="00A11E5F" w:rsidRDefault="00E37028" w:rsidP="00130B5C">
            <w:pPr>
              <w:jc w:val="center"/>
              <w:rPr>
                <w:sz w:val="24"/>
                <w:szCs w:val="24"/>
              </w:rPr>
            </w:pPr>
            <w:r w:rsidRPr="00A11E5F">
              <w:rPr>
                <w:sz w:val="24"/>
                <w:szCs w:val="24"/>
              </w:rPr>
              <w:t>$</w:t>
            </w:r>
            <w:r w:rsidR="00130B5C">
              <w:rPr>
                <w:sz w:val="24"/>
                <w:szCs w:val="24"/>
              </w:rPr>
              <w:t>0</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Contracts</w:t>
            </w:r>
          </w:p>
        </w:tc>
        <w:tc>
          <w:tcPr>
            <w:tcW w:w="2250" w:type="dxa"/>
          </w:tcPr>
          <w:p w:rsidR="00E37028" w:rsidRPr="00A11E5F" w:rsidRDefault="00E37028" w:rsidP="00130B5C">
            <w:pPr>
              <w:jc w:val="center"/>
              <w:rPr>
                <w:sz w:val="24"/>
                <w:szCs w:val="24"/>
              </w:rPr>
            </w:pPr>
            <w:r w:rsidRPr="00A11E5F">
              <w:rPr>
                <w:sz w:val="24"/>
                <w:szCs w:val="24"/>
              </w:rPr>
              <w:t>$</w:t>
            </w:r>
            <w:r w:rsidR="00130B5C">
              <w:rPr>
                <w:sz w:val="24"/>
                <w:szCs w:val="24"/>
              </w:rPr>
              <w:t>0</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Interviews</w:t>
            </w:r>
          </w:p>
        </w:tc>
        <w:tc>
          <w:tcPr>
            <w:tcW w:w="2250" w:type="dxa"/>
          </w:tcPr>
          <w:p w:rsidR="00E37028" w:rsidRPr="00A11E5F" w:rsidRDefault="00E37028" w:rsidP="00E17C45">
            <w:pPr>
              <w:jc w:val="center"/>
              <w:rPr>
                <w:sz w:val="24"/>
                <w:szCs w:val="24"/>
              </w:rPr>
            </w:pPr>
            <w:r w:rsidRPr="00A11E5F">
              <w:rPr>
                <w:sz w:val="24"/>
                <w:szCs w:val="24"/>
              </w:rPr>
              <w:t>$</w:t>
            </w:r>
            <w:r w:rsidR="00E17C45">
              <w:rPr>
                <w:sz w:val="24"/>
                <w:szCs w:val="24"/>
              </w:rPr>
              <w:t>7,500</w:t>
            </w:r>
            <w:r w:rsidRPr="00A11E5F">
              <w:rPr>
                <w:sz w:val="24"/>
                <w:szCs w:val="24"/>
              </w:rPr>
              <w:t xml:space="preserve"> - $</w:t>
            </w:r>
            <w:r w:rsidR="00E17C45">
              <w:rPr>
                <w:sz w:val="24"/>
                <w:szCs w:val="24"/>
              </w:rPr>
              <w:t>15,000</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Miscellaneous</w:t>
            </w:r>
          </w:p>
        </w:tc>
        <w:tc>
          <w:tcPr>
            <w:tcW w:w="2250" w:type="dxa"/>
          </w:tcPr>
          <w:p w:rsidR="00E37028" w:rsidRPr="00A11E5F" w:rsidRDefault="00E37028" w:rsidP="00E17C45">
            <w:pPr>
              <w:jc w:val="center"/>
              <w:rPr>
                <w:sz w:val="24"/>
                <w:szCs w:val="24"/>
              </w:rPr>
            </w:pPr>
            <w:r w:rsidRPr="00A11E5F">
              <w:rPr>
                <w:sz w:val="24"/>
                <w:szCs w:val="24"/>
              </w:rPr>
              <w:t>$</w:t>
            </w:r>
            <w:r w:rsidR="00E17C45">
              <w:rPr>
                <w:sz w:val="24"/>
                <w:szCs w:val="24"/>
              </w:rPr>
              <w:t>1,250</w:t>
            </w:r>
          </w:p>
        </w:tc>
      </w:tr>
      <w:tr w:rsidR="00E37028" w:rsidRPr="00A11E5F" w:rsidTr="0014601A">
        <w:tc>
          <w:tcPr>
            <w:tcW w:w="2070" w:type="dxa"/>
          </w:tcPr>
          <w:p w:rsidR="00E37028" w:rsidRPr="00A11E5F" w:rsidRDefault="00E37028" w:rsidP="0014601A">
            <w:pPr>
              <w:rPr>
                <w:b/>
                <w:sz w:val="24"/>
                <w:szCs w:val="24"/>
              </w:rPr>
            </w:pPr>
            <w:r w:rsidRPr="00A11E5F">
              <w:rPr>
                <w:b/>
                <w:sz w:val="24"/>
                <w:szCs w:val="24"/>
              </w:rPr>
              <w:t>Total Annual Cost</w:t>
            </w:r>
          </w:p>
        </w:tc>
        <w:tc>
          <w:tcPr>
            <w:tcW w:w="2250" w:type="dxa"/>
          </w:tcPr>
          <w:p w:rsidR="00E37028" w:rsidRPr="00A11E5F" w:rsidRDefault="00E37028" w:rsidP="00E17C45">
            <w:pPr>
              <w:jc w:val="center"/>
              <w:rPr>
                <w:sz w:val="24"/>
                <w:szCs w:val="24"/>
              </w:rPr>
            </w:pPr>
            <w:r w:rsidRPr="00A11E5F">
              <w:rPr>
                <w:sz w:val="24"/>
                <w:szCs w:val="24"/>
              </w:rPr>
              <w:t>$</w:t>
            </w:r>
            <w:r w:rsidR="00E17C45">
              <w:rPr>
                <w:sz w:val="24"/>
                <w:szCs w:val="24"/>
              </w:rPr>
              <w:t>84,850</w:t>
            </w:r>
          </w:p>
        </w:tc>
      </w:tr>
    </w:tbl>
    <w:p w:rsidR="00E37028" w:rsidRPr="003851C0" w:rsidRDefault="00E37028" w:rsidP="00E37028">
      <w:pPr>
        <w:jc w:val="center"/>
      </w:pPr>
    </w:p>
    <w:p w:rsidR="00CB0531" w:rsidRDefault="00CB0531" w:rsidP="00CB0531">
      <w:pPr>
        <w:pStyle w:val="Heading2"/>
        <w:rPr>
          <w:sz w:val="24"/>
          <w:szCs w:val="24"/>
        </w:rPr>
      </w:pPr>
      <w:bookmarkStart w:id="33" w:name="_Toc309647158"/>
      <w:r w:rsidRPr="00851ECB">
        <w:rPr>
          <w:sz w:val="24"/>
          <w:szCs w:val="24"/>
        </w:rPr>
        <w:t>A.15</w:t>
      </w:r>
      <w:r w:rsidRPr="00851ECB">
        <w:rPr>
          <w:sz w:val="24"/>
          <w:szCs w:val="24"/>
        </w:rPr>
        <w:tab/>
        <w:t>Explanation for Program Changes or Adjustments</w:t>
      </w:r>
      <w:bookmarkEnd w:id="33"/>
    </w:p>
    <w:p w:rsidR="00E3042F" w:rsidRDefault="00E3042F" w:rsidP="00CB0531">
      <w:pPr>
        <w:spacing w:after="0"/>
        <w:ind w:firstLine="360"/>
        <w:rPr>
          <w:sz w:val="24"/>
          <w:szCs w:val="24"/>
        </w:rPr>
      </w:pPr>
    </w:p>
    <w:p w:rsidR="00CB0531" w:rsidRPr="008A3F30" w:rsidRDefault="00CB0531" w:rsidP="00CB0531">
      <w:pPr>
        <w:spacing w:after="0"/>
        <w:ind w:firstLine="360"/>
        <w:rPr>
          <w:sz w:val="24"/>
          <w:szCs w:val="24"/>
        </w:rPr>
      </w:pPr>
      <w:r w:rsidRPr="008A3F30">
        <w:rPr>
          <w:sz w:val="24"/>
          <w:szCs w:val="24"/>
        </w:rPr>
        <w:t>This is a new data collection.</w:t>
      </w:r>
    </w:p>
    <w:p w:rsidR="00CB0531" w:rsidRPr="00596D1D" w:rsidRDefault="00CB0531" w:rsidP="00CB0531">
      <w:pPr>
        <w:spacing w:after="0"/>
        <w:rPr>
          <w:b/>
          <w:sz w:val="24"/>
          <w:szCs w:val="24"/>
        </w:rPr>
      </w:pPr>
      <w:bookmarkStart w:id="34" w:name="OLE_LINK22"/>
      <w:bookmarkStart w:id="35" w:name="OLE_LINK23"/>
    </w:p>
    <w:p w:rsidR="00E3042F" w:rsidRDefault="00E3042F">
      <w:pPr>
        <w:rPr>
          <w:rFonts w:asciiTheme="majorHAnsi" w:eastAsiaTheme="majorEastAsia" w:hAnsiTheme="majorHAnsi" w:cstheme="majorBidi"/>
          <w:b/>
          <w:bCs/>
          <w:sz w:val="24"/>
          <w:szCs w:val="24"/>
        </w:rPr>
      </w:pPr>
      <w:bookmarkStart w:id="36" w:name="_Toc309647159"/>
      <w:r>
        <w:rPr>
          <w:sz w:val="24"/>
          <w:szCs w:val="24"/>
        </w:rPr>
        <w:br w:type="page"/>
      </w:r>
    </w:p>
    <w:p w:rsidR="00CB0531" w:rsidRDefault="00CB0531" w:rsidP="00CB0531">
      <w:pPr>
        <w:pStyle w:val="Heading2"/>
        <w:rPr>
          <w:sz w:val="24"/>
          <w:szCs w:val="24"/>
        </w:rPr>
      </w:pPr>
      <w:r w:rsidRPr="00851ECB">
        <w:rPr>
          <w:sz w:val="24"/>
          <w:szCs w:val="24"/>
        </w:rPr>
        <w:lastRenderedPageBreak/>
        <w:t>A.16</w:t>
      </w:r>
      <w:r w:rsidRPr="00851ECB">
        <w:rPr>
          <w:sz w:val="24"/>
          <w:szCs w:val="24"/>
        </w:rPr>
        <w:tab/>
        <w:t>Plans for Tabulation and Publication and Project Time Schedule</w:t>
      </w:r>
      <w:bookmarkEnd w:id="36"/>
    </w:p>
    <w:bookmarkEnd w:id="34"/>
    <w:bookmarkEnd w:id="35"/>
    <w:p w:rsidR="00E3042F" w:rsidRDefault="00E3042F" w:rsidP="00CB0531">
      <w:pPr>
        <w:spacing w:after="0"/>
        <w:ind w:firstLine="360"/>
        <w:rPr>
          <w:sz w:val="24"/>
          <w:szCs w:val="24"/>
        </w:rPr>
      </w:pPr>
    </w:p>
    <w:p w:rsidR="00CB0531" w:rsidRPr="00596D1D" w:rsidRDefault="00CB0531" w:rsidP="00CB0531">
      <w:pPr>
        <w:spacing w:after="0"/>
        <w:ind w:firstLine="360"/>
        <w:rPr>
          <w:sz w:val="24"/>
          <w:szCs w:val="24"/>
        </w:rPr>
      </w:pPr>
      <w:r w:rsidRPr="00596D1D">
        <w:rPr>
          <w:sz w:val="24"/>
          <w:szCs w:val="24"/>
        </w:rPr>
        <w:t xml:space="preserve">We plan to publish project results in both peer reviewed and non-peer reviewed journals. It is estimated that </w:t>
      </w:r>
      <w:r>
        <w:rPr>
          <w:sz w:val="24"/>
          <w:szCs w:val="24"/>
        </w:rPr>
        <w:t>one</w:t>
      </w:r>
      <w:r w:rsidRPr="00596D1D">
        <w:rPr>
          <w:sz w:val="24"/>
          <w:szCs w:val="24"/>
        </w:rPr>
        <w:t xml:space="preserve"> year of data collection will be needed to produce large enough numbers to allow detailed reporting of results. Our projected timeline for the project is detailed in </w:t>
      </w:r>
      <w:r w:rsidR="00144D9A">
        <w:rPr>
          <w:sz w:val="24"/>
          <w:szCs w:val="24"/>
        </w:rPr>
        <w:t>the table</w:t>
      </w:r>
      <w:r w:rsidRPr="00596D1D">
        <w:rPr>
          <w:sz w:val="24"/>
          <w:szCs w:val="24"/>
        </w:rPr>
        <w:t xml:space="preserve"> below.</w:t>
      </w:r>
    </w:p>
    <w:p w:rsidR="003A79CF" w:rsidRDefault="003A79CF"/>
    <w:tbl>
      <w:tblPr>
        <w:tblpPr w:leftFromText="180" w:rightFromText="180" w:vertAnchor="text" w:tblpY="90"/>
        <w:tblW w:w="0" w:type="auto"/>
        <w:tblLook w:val="01E0" w:firstRow="1" w:lastRow="1" w:firstColumn="1" w:lastColumn="1" w:noHBand="0" w:noVBand="0"/>
      </w:tblPr>
      <w:tblGrid>
        <w:gridCol w:w="4788"/>
        <w:gridCol w:w="4788"/>
      </w:tblGrid>
      <w:tr w:rsidR="006D7BAD" w:rsidRPr="00596D1D" w:rsidTr="006D7BAD">
        <w:tc>
          <w:tcPr>
            <w:tcW w:w="9576" w:type="dxa"/>
            <w:gridSpan w:val="2"/>
          </w:tcPr>
          <w:p w:rsidR="006D7BAD" w:rsidRPr="0042235B" w:rsidRDefault="006D7BAD" w:rsidP="006D7BAD">
            <w:pPr>
              <w:spacing w:after="0"/>
              <w:rPr>
                <w:b/>
                <w:sz w:val="24"/>
                <w:szCs w:val="24"/>
                <w:u w:val="single"/>
              </w:rPr>
            </w:pPr>
            <w:r w:rsidRPr="0042235B">
              <w:rPr>
                <w:b/>
                <w:sz w:val="24"/>
                <w:szCs w:val="24"/>
                <w:u w:val="single"/>
              </w:rPr>
              <w:t>Project Time Schedule</w:t>
            </w:r>
          </w:p>
        </w:tc>
      </w:tr>
      <w:tr w:rsidR="006D7BAD" w:rsidRPr="00596D1D" w:rsidTr="006D7BAD">
        <w:tc>
          <w:tcPr>
            <w:tcW w:w="4788" w:type="dxa"/>
          </w:tcPr>
          <w:p w:rsidR="006D7BAD" w:rsidRPr="00596D1D" w:rsidRDefault="006D7BAD" w:rsidP="006D7BAD">
            <w:pPr>
              <w:spacing w:after="0"/>
              <w:jc w:val="center"/>
              <w:rPr>
                <w:b/>
                <w:sz w:val="24"/>
                <w:szCs w:val="24"/>
              </w:rPr>
            </w:pPr>
            <w:r w:rsidRPr="00596D1D">
              <w:rPr>
                <w:b/>
                <w:sz w:val="24"/>
                <w:szCs w:val="24"/>
              </w:rPr>
              <w:t>Activity</w:t>
            </w:r>
          </w:p>
        </w:tc>
        <w:tc>
          <w:tcPr>
            <w:tcW w:w="4788" w:type="dxa"/>
          </w:tcPr>
          <w:p w:rsidR="006D7BAD" w:rsidRPr="00596D1D" w:rsidRDefault="006D7BAD" w:rsidP="006D7BAD">
            <w:pPr>
              <w:spacing w:after="0"/>
              <w:jc w:val="center"/>
              <w:rPr>
                <w:b/>
                <w:sz w:val="24"/>
                <w:szCs w:val="24"/>
              </w:rPr>
            </w:pPr>
            <w:r w:rsidRPr="00596D1D">
              <w:rPr>
                <w:b/>
                <w:sz w:val="24"/>
                <w:szCs w:val="24"/>
              </w:rPr>
              <w:t>Time Schedule</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Telephone interviewer training</w:t>
            </w:r>
          </w:p>
        </w:tc>
        <w:tc>
          <w:tcPr>
            <w:tcW w:w="4788" w:type="dxa"/>
          </w:tcPr>
          <w:p w:rsidR="006D7BAD" w:rsidRPr="00596D1D" w:rsidRDefault="006D7BAD" w:rsidP="006D7BAD">
            <w:pPr>
              <w:spacing w:after="0"/>
              <w:rPr>
                <w:sz w:val="24"/>
                <w:szCs w:val="24"/>
              </w:rPr>
            </w:pPr>
            <w:r w:rsidRPr="00596D1D">
              <w:rPr>
                <w:sz w:val="24"/>
                <w:szCs w:val="24"/>
              </w:rPr>
              <w:t>1-2 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Begin data collection</w:t>
            </w:r>
          </w:p>
        </w:tc>
        <w:tc>
          <w:tcPr>
            <w:tcW w:w="4788" w:type="dxa"/>
          </w:tcPr>
          <w:p w:rsidR="006D7BAD" w:rsidRPr="00596D1D" w:rsidRDefault="006D7BAD" w:rsidP="006D7BAD">
            <w:pPr>
              <w:spacing w:after="0"/>
              <w:rPr>
                <w:sz w:val="24"/>
                <w:szCs w:val="24"/>
              </w:rPr>
            </w:pPr>
            <w:r w:rsidRPr="00596D1D">
              <w:rPr>
                <w:sz w:val="24"/>
                <w:szCs w:val="24"/>
              </w:rPr>
              <w:t>2-3 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Begin regular monitoring/quality assurance of incoming data</w:t>
            </w:r>
          </w:p>
        </w:tc>
        <w:tc>
          <w:tcPr>
            <w:tcW w:w="4788" w:type="dxa"/>
          </w:tcPr>
          <w:p w:rsidR="006D7BAD" w:rsidRPr="00596D1D" w:rsidRDefault="006D7BAD" w:rsidP="006D7BAD">
            <w:pPr>
              <w:spacing w:after="0"/>
              <w:rPr>
                <w:sz w:val="24"/>
                <w:szCs w:val="24"/>
              </w:rPr>
            </w:pPr>
            <w:r>
              <w:rPr>
                <w:sz w:val="24"/>
                <w:szCs w:val="24"/>
              </w:rPr>
              <w:t>4</w:t>
            </w:r>
            <w:r w:rsidRPr="00596D1D">
              <w:rPr>
                <w:sz w:val="24"/>
                <w:szCs w:val="24"/>
              </w:rPr>
              <w:t>-</w:t>
            </w:r>
            <w:r>
              <w:rPr>
                <w:sz w:val="24"/>
                <w:szCs w:val="24"/>
              </w:rPr>
              <w:t>5</w:t>
            </w:r>
            <w:r w:rsidRPr="00596D1D">
              <w:rPr>
                <w:sz w:val="24"/>
                <w:szCs w:val="24"/>
              </w:rPr>
              <w:t xml:space="preserve"> 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Finalize dataset</w:t>
            </w:r>
          </w:p>
        </w:tc>
        <w:tc>
          <w:tcPr>
            <w:tcW w:w="4788" w:type="dxa"/>
          </w:tcPr>
          <w:p w:rsidR="006D7BAD" w:rsidRPr="00596D1D" w:rsidRDefault="006D7BAD" w:rsidP="003C36ED">
            <w:pPr>
              <w:spacing w:after="0"/>
              <w:rPr>
                <w:sz w:val="24"/>
                <w:szCs w:val="24"/>
              </w:rPr>
            </w:pPr>
            <w:r>
              <w:rPr>
                <w:sz w:val="24"/>
                <w:szCs w:val="24"/>
              </w:rPr>
              <w:t>14-1</w:t>
            </w:r>
            <w:r w:rsidR="003C36ED">
              <w:rPr>
                <w:sz w:val="24"/>
                <w:szCs w:val="24"/>
              </w:rPr>
              <w:t>8</w:t>
            </w:r>
            <w:r w:rsidRPr="00596D1D">
              <w:rPr>
                <w:sz w:val="24"/>
                <w:szCs w:val="24"/>
              </w:rPr>
              <w:t xml:space="preserve"> 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Analyses</w:t>
            </w:r>
          </w:p>
        </w:tc>
        <w:tc>
          <w:tcPr>
            <w:tcW w:w="4788" w:type="dxa"/>
          </w:tcPr>
          <w:p w:rsidR="006D7BAD" w:rsidRPr="00596D1D" w:rsidRDefault="006D7BAD" w:rsidP="003C36ED">
            <w:pPr>
              <w:spacing w:after="0"/>
              <w:rPr>
                <w:sz w:val="24"/>
                <w:szCs w:val="24"/>
              </w:rPr>
            </w:pPr>
            <w:r>
              <w:rPr>
                <w:sz w:val="24"/>
                <w:szCs w:val="24"/>
              </w:rPr>
              <w:t>16-</w:t>
            </w:r>
            <w:r w:rsidR="003C36ED">
              <w:rPr>
                <w:sz w:val="24"/>
                <w:szCs w:val="24"/>
              </w:rPr>
              <w:t>22</w:t>
            </w:r>
            <w:r w:rsidR="003C36ED" w:rsidRPr="00596D1D">
              <w:rPr>
                <w:sz w:val="24"/>
                <w:szCs w:val="24"/>
              </w:rPr>
              <w:t xml:space="preserve"> </w:t>
            </w:r>
            <w:r w:rsidRPr="00596D1D">
              <w:rPr>
                <w:sz w:val="24"/>
                <w:szCs w:val="24"/>
              </w:rPr>
              <w:t>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Publication ready for submission to peer-review journal</w:t>
            </w:r>
          </w:p>
        </w:tc>
        <w:tc>
          <w:tcPr>
            <w:tcW w:w="4788" w:type="dxa"/>
          </w:tcPr>
          <w:p w:rsidR="006D7BAD" w:rsidRPr="00596D1D" w:rsidRDefault="006D7BAD" w:rsidP="006D7BAD">
            <w:pPr>
              <w:spacing w:after="0"/>
              <w:rPr>
                <w:sz w:val="24"/>
                <w:szCs w:val="24"/>
              </w:rPr>
            </w:pPr>
            <w:r>
              <w:rPr>
                <w:sz w:val="24"/>
                <w:szCs w:val="24"/>
              </w:rPr>
              <w:t>22-23</w:t>
            </w:r>
            <w:r w:rsidRPr="00596D1D">
              <w:rPr>
                <w:sz w:val="24"/>
                <w:szCs w:val="24"/>
              </w:rPr>
              <w:t xml:space="preserve"> months after OMB approval</w:t>
            </w:r>
          </w:p>
        </w:tc>
      </w:tr>
      <w:tr w:rsidR="006D7BAD" w:rsidRPr="00596D1D" w:rsidTr="006D7BAD">
        <w:tc>
          <w:tcPr>
            <w:tcW w:w="4788" w:type="dxa"/>
          </w:tcPr>
          <w:p w:rsidR="006D7BAD" w:rsidRPr="00596D1D" w:rsidRDefault="006D7BAD" w:rsidP="006D7BAD">
            <w:pPr>
              <w:spacing w:after="0"/>
              <w:rPr>
                <w:sz w:val="24"/>
                <w:szCs w:val="24"/>
              </w:rPr>
            </w:pPr>
            <w:r w:rsidRPr="00596D1D">
              <w:rPr>
                <w:sz w:val="24"/>
                <w:szCs w:val="24"/>
              </w:rPr>
              <w:t>Product ready for dissemination to occupational health and safety organizations</w:t>
            </w:r>
          </w:p>
        </w:tc>
        <w:tc>
          <w:tcPr>
            <w:tcW w:w="4788" w:type="dxa"/>
          </w:tcPr>
          <w:p w:rsidR="006D7BAD" w:rsidRPr="00596D1D" w:rsidRDefault="006D7BAD" w:rsidP="006D7BAD">
            <w:pPr>
              <w:spacing w:after="0"/>
              <w:rPr>
                <w:sz w:val="24"/>
                <w:szCs w:val="24"/>
              </w:rPr>
            </w:pPr>
            <w:r>
              <w:rPr>
                <w:sz w:val="24"/>
                <w:szCs w:val="24"/>
              </w:rPr>
              <w:t>22</w:t>
            </w:r>
            <w:r w:rsidRPr="00596D1D">
              <w:rPr>
                <w:sz w:val="24"/>
                <w:szCs w:val="24"/>
              </w:rPr>
              <w:t>-</w:t>
            </w:r>
            <w:r>
              <w:rPr>
                <w:sz w:val="24"/>
                <w:szCs w:val="24"/>
              </w:rPr>
              <w:t>24</w:t>
            </w:r>
            <w:r w:rsidRPr="00596D1D">
              <w:rPr>
                <w:sz w:val="24"/>
                <w:szCs w:val="24"/>
              </w:rPr>
              <w:t xml:space="preserve"> months after OMB approval</w:t>
            </w:r>
          </w:p>
        </w:tc>
      </w:tr>
    </w:tbl>
    <w:p w:rsidR="00CB0531" w:rsidRDefault="00CB0531" w:rsidP="00CB0531">
      <w:pPr>
        <w:pStyle w:val="Heading2"/>
        <w:rPr>
          <w:rFonts w:asciiTheme="minorHAnsi" w:hAnsiTheme="minorHAnsi"/>
          <w:sz w:val="24"/>
          <w:szCs w:val="24"/>
        </w:rPr>
      </w:pPr>
      <w:bookmarkStart w:id="37" w:name="_Toc309647160"/>
      <w:r w:rsidRPr="00084320">
        <w:rPr>
          <w:rFonts w:asciiTheme="minorHAnsi" w:hAnsiTheme="minorHAnsi"/>
          <w:sz w:val="24"/>
          <w:szCs w:val="24"/>
        </w:rPr>
        <w:t>A.17</w:t>
      </w:r>
      <w:r w:rsidRPr="00084320">
        <w:rPr>
          <w:rFonts w:asciiTheme="minorHAnsi" w:hAnsiTheme="minorHAnsi"/>
          <w:sz w:val="24"/>
          <w:szCs w:val="24"/>
        </w:rPr>
        <w:tab/>
        <w:t>Reason(s) Display of OMB Expiration Date is Inappropriate</w:t>
      </w:r>
      <w:bookmarkEnd w:id="37"/>
    </w:p>
    <w:p w:rsidR="0042235B" w:rsidRPr="0042235B" w:rsidRDefault="0042235B" w:rsidP="0042235B"/>
    <w:p w:rsidR="00CB0531" w:rsidRPr="00151160" w:rsidRDefault="00CB0531" w:rsidP="00CB0531">
      <w:pPr>
        <w:spacing w:after="0"/>
        <w:ind w:firstLine="360"/>
        <w:rPr>
          <w:sz w:val="24"/>
          <w:szCs w:val="24"/>
        </w:rPr>
      </w:pPr>
      <w:r w:rsidRPr="00151160">
        <w:rPr>
          <w:sz w:val="24"/>
          <w:szCs w:val="24"/>
        </w:rPr>
        <w:t>The OMB expiration date will be displayed.</w:t>
      </w:r>
    </w:p>
    <w:p w:rsidR="00CB0531" w:rsidRDefault="00CB0531" w:rsidP="00CB0531">
      <w:pPr>
        <w:pStyle w:val="Heading2"/>
        <w:rPr>
          <w:rFonts w:asciiTheme="minorHAnsi" w:hAnsiTheme="minorHAnsi"/>
          <w:sz w:val="24"/>
          <w:szCs w:val="24"/>
        </w:rPr>
      </w:pPr>
      <w:bookmarkStart w:id="38" w:name="_Toc309647161"/>
      <w:r w:rsidRPr="00084320">
        <w:rPr>
          <w:rFonts w:asciiTheme="minorHAnsi" w:hAnsiTheme="minorHAnsi"/>
          <w:sz w:val="24"/>
          <w:szCs w:val="24"/>
        </w:rPr>
        <w:t>A.18</w:t>
      </w:r>
      <w:r w:rsidRPr="00084320">
        <w:rPr>
          <w:rFonts w:asciiTheme="minorHAnsi" w:hAnsiTheme="minorHAnsi"/>
          <w:sz w:val="24"/>
          <w:szCs w:val="24"/>
        </w:rPr>
        <w:tab/>
        <w:t>Exceptions to Certification for Paperwork Reduction Act Submissions</w:t>
      </w:r>
      <w:bookmarkEnd w:id="38"/>
    </w:p>
    <w:p w:rsidR="0042235B" w:rsidRPr="0042235B" w:rsidRDefault="0042235B" w:rsidP="0042235B"/>
    <w:p w:rsidR="00CB0531" w:rsidRPr="00151160" w:rsidRDefault="00CB0531" w:rsidP="00CB0531">
      <w:pPr>
        <w:spacing w:after="0"/>
        <w:ind w:firstLine="360"/>
        <w:rPr>
          <w:b/>
          <w:sz w:val="24"/>
          <w:szCs w:val="24"/>
        </w:rPr>
      </w:pPr>
      <w:r w:rsidRPr="00151160">
        <w:rPr>
          <w:sz w:val="24"/>
          <w:szCs w:val="24"/>
        </w:rPr>
        <w:t>There are no exceptions to the certification.</w:t>
      </w:r>
    </w:p>
    <w:bookmarkStart w:id="39" w:name="_Toc309647162" w:displacedByCustomXml="next"/>
    <w:sdt>
      <w:sdtPr>
        <w:rPr>
          <w:rFonts w:asciiTheme="minorHAnsi" w:eastAsiaTheme="minorEastAsia" w:hAnsiTheme="minorHAnsi" w:cstheme="minorBidi"/>
          <w:b w:val="0"/>
          <w:bCs w:val="0"/>
          <w:sz w:val="22"/>
          <w:szCs w:val="22"/>
        </w:rPr>
        <w:id w:val="116291813"/>
        <w:docPartObj>
          <w:docPartGallery w:val="Bibliographies"/>
          <w:docPartUnique/>
        </w:docPartObj>
      </w:sdtPr>
      <w:sdtEndPr>
        <w:rPr>
          <w:sz w:val="24"/>
          <w:szCs w:val="24"/>
        </w:rPr>
      </w:sdtEndPr>
      <w:sdtContent>
        <w:p w:rsidR="00CB0531" w:rsidRPr="00084320" w:rsidRDefault="00CB0531" w:rsidP="00E30DA9">
          <w:pPr>
            <w:pStyle w:val="Heading1"/>
            <w:jc w:val="center"/>
            <w:rPr>
              <w:rFonts w:asciiTheme="minorHAnsi" w:eastAsiaTheme="minorEastAsia" w:hAnsiTheme="minorHAnsi" w:cstheme="minorBidi"/>
              <w:b w:val="0"/>
              <w:bCs w:val="0"/>
              <w:sz w:val="22"/>
              <w:szCs w:val="22"/>
            </w:rPr>
          </w:pPr>
          <w:r w:rsidRPr="00084320">
            <w:rPr>
              <w:rFonts w:asciiTheme="minorHAnsi" w:hAnsiTheme="minorHAnsi"/>
            </w:rPr>
            <w:t>Works Cited</w:t>
          </w:r>
          <w:bookmarkEnd w:id="39"/>
        </w:p>
        <w:p w:rsidR="00F1643C" w:rsidRPr="00F1643C" w:rsidRDefault="00F1643C" w:rsidP="00ED5E5C">
          <w:pPr>
            <w:pStyle w:val="Bibliography"/>
            <w:spacing w:after="0" w:line="240" w:lineRule="auto"/>
            <w:ind w:left="720" w:hanging="720"/>
            <w:rPr>
              <w:noProof/>
              <w:sz w:val="24"/>
              <w:szCs w:val="24"/>
            </w:rPr>
          </w:pPr>
          <w:r>
            <w:rPr>
              <w:noProof/>
              <w:sz w:val="24"/>
              <w:szCs w:val="24"/>
            </w:rPr>
            <w:t xml:space="preserve">Azaroff, L.S., Levenstein, C., &amp; Wegman, D.H. “Occupational injury and illness surveillance: Conceptual filters explain underreporting. </w:t>
          </w:r>
          <w:r>
            <w:rPr>
              <w:i/>
              <w:noProof/>
              <w:sz w:val="24"/>
              <w:szCs w:val="24"/>
            </w:rPr>
            <w:t>American Journal of Public Health</w:t>
          </w:r>
          <w:r>
            <w:rPr>
              <w:noProof/>
              <w:sz w:val="24"/>
              <w:szCs w:val="24"/>
            </w:rPr>
            <w:t xml:space="preserve"> 92, (2002):1421-1429.</w:t>
          </w:r>
        </w:p>
        <w:p w:rsidR="000D7B19" w:rsidRPr="00ED5E5C" w:rsidRDefault="000D7B19" w:rsidP="00ED5E5C">
          <w:pPr>
            <w:pStyle w:val="Bibliography"/>
            <w:spacing w:after="0" w:line="240" w:lineRule="auto"/>
            <w:ind w:left="720" w:hanging="720"/>
            <w:rPr>
              <w:noProof/>
              <w:sz w:val="24"/>
              <w:szCs w:val="24"/>
            </w:rPr>
          </w:pPr>
          <w:r w:rsidRPr="00ED5E5C">
            <w:rPr>
              <w:noProof/>
              <w:sz w:val="24"/>
              <w:szCs w:val="24"/>
            </w:rPr>
            <w:t xml:space="preserve">Boden, L. I., &amp; Ozonoff, A. "Capture-recapture estimates of nonfatal workplace injuries and illnesses." </w:t>
          </w:r>
          <w:r w:rsidRPr="00ED5E5C">
            <w:rPr>
              <w:i/>
              <w:iCs/>
              <w:noProof/>
              <w:sz w:val="24"/>
              <w:szCs w:val="24"/>
            </w:rPr>
            <w:t>Annals of Epidemiology</w:t>
          </w:r>
          <w:r w:rsidRPr="00ED5E5C">
            <w:rPr>
              <w:noProof/>
              <w:sz w:val="24"/>
              <w:szCs w:val="24"/>
            </w:rPr>
            <w:t xml:space="preserve"> 18, no. 6 (2008): 500-506.</w:t>
          </w:r>
        </w:p>
        <w:p w:rsidR="000D7B19" w:rsidRDefault="000D7B19" w:rsidP="00ED5E5C">
          <w:pPr>
            <w:pStyle w:val="Bibliography"/>
            <w:spacing w:after="0" w:line="240" w:lineRule="auto"/>
            <w:ind w:left="720" w:hanging="720"/>
            <w:rPr>
              <w:noProof/>
              <w:sz w:val="24"/>
              <w:szCs w:val="24"/>
            </w:rPr>
          </w:pPr>
          <w:r w:rsidRPr="00ED5E5C">
            <w:rPr>
              <w:noProof/>
              <w:sz w:val="24"/>
              <w:szCs w:val="24"/>
            </w:rPr>
            <w:t xml:space="preserve">Bureau of Labor Statistics. </w:t>
          </w:r>
          <w:r w:rsidRPr="00ED5E5C">
            <w:rPr>
              <w:i/>
              <w:iCs/>
              <w:noProof/>
              <w:sz w:val="24"/>
              <w:szCs w:val="24"/>
            </w:rPr>
            <w:t>Emplyoment and earnings.</w:t>
          </w:r>
          <w:r w:rsidRPr="00ED5E5C">
            <w:rPr>
              <w:noProof/>
              <w:sz w:val="24"/>
              <w:szCs w:val="24"/>
            </w:rPr>
            <w:t xml:space="preserve"> Washington, DC, January 2006.</w:t>
          </w:r>
        </w:p>
        <w:p w:rsidR="002E5A24" w:rsidRDefault="002E5A24" w:rsidP="002E5A24">
          <w:pPr>
            <w:spacing w:after="0"/>
            <w:ind w:left="720" w:hanging="720"/>
            <w:rPr>
              <w:sz w:val="24"/>
              <w:szCs w:val="24"/>
            </w:rPr>
          </w:pPr>
          <w:r>
            <w:rPr>
              <w:sz w:val="24"/>
              <w:szCs w:val="24"/>
            </w:rPr>
            <w:t xml:space="preserve">CDC. </w:t>
          </w:r>
          <w:r w:rsidRPr="006264DC">
            <w:rPr>
              <w:sz w:val="24"/>
              <w:szCs w:val="24"/>
            </w:rPr>
            <w:t xml:space="preserve">“Surveillance for nonfatal occupational injuries treated in hospital emergency departments—United </w:t>
          </w:r>
          <w:r>
            <w:rPr>
              <w:sz w:val="24"/>
              <w:szCs w:val="24"/>
            </w:rPr>
            <w:t xml:space="preserve">States, 1996.” </w:t>
          </w:r>
          <w:r>
            <w:rPr>
              <w:i/>
              <w:sz w:val="24"/>
              <w:szCs w:val="24"/>
            </w:rPr>
            <w:t>MMWR Morbidity and Mortality Weekly Report</w:t>
          </w:r>
          <w:r>
            <w:rPr>
              <w:sz w:val="24"/>
              <w:szCs w:val="24"/>
            </w:rPr>
            <w:t xml:space="preserve"> 47, no. 15 (1998):302-306.</w:t>
          </w:r>
        </w:p>
        <w:p w:rsidR="000D7B19" w:rsidRPr="00ED5E5C" w:rsidRDefault="000D7B19" w:rsidP="002E5A24">
          <w:pPr>
            <w:spacing w:after="0"/>
            <w:ind w:left="720" w:hanging="720"/>
            <w:rPr>
              <w:noProof/>
              <w:sz w:val="24"/>
              <w:szCs w:val="24"/>
            </w:rPr>
          </w:pPr>
          <w:r w:rsidRPr="00ED5E5C">
            <w:rPr>
              <w:noProof/>
              <w:sz w:val="24"/>
              <w:szCs w:val="24"/>
            </w:rPr>
            <w:lastRenderedPageBreak/>
            <w:t xml:space="preserve">CDC. "Workers Memorial Day--April 28,2011." </w:t>
          </w:r>
          <w:r w:rsidR="00F1643C" w:rsidRPr="00F1643C">
            <w:rPr>
              <w:i/>
              <w:noProof/>
              <w:sz w:val="24"/>
              <w:szCs w:val="24"/>
            </w:rPr>
            <w:t xml:space="preserve">MMWR </w:t>
          </w:r>
          <w:r w:rsidRPr="00F1643C">
            <w:rPr>
              <w:i/>
              <w:iCs/>
              <w:noProof/>
              <w:sz w:val="24"/>
              <w:szCs w:val="24"/>
            </w:rPr>
            <w:t xml:space="preserve">Morbidity </w:t>
          </w:r>
          <w:r w:rsidRPr="00ED5E5C">
            <w:rPr>
              <w:i/>
              <w:iCs/>
              <w:noProof/>
              <w:sz w:val="24"/>
              <w:szCs w:val="24"/>
            </w:rPr>
            <w:t>and Mortality Weekly Report</w:t>
          </w:r>
          <w:r w:rsidRPr="00ED5E5C">
            <w:rPr>
              <w:noProof/>
              <w:sz w:val="24"/>
              <w:szCs w:val="24"/>
            </w:rPr>
            <w:t xml:space="preserve"> 60, no. 16 (2011): 497.</w:t>
          </w:r>
        </w:p>
        <w:p w:rsidR="000D7B19" w:rsidRPr="00ED5E5C" w:rsidRDefault="000D7B19" w:rsidP="00ED5E5C">
          <w:pPr>
            <w:pStyle w:val="Bibliography"/>
            <w:spacing w:after="0" w:line="240" w:lineRule="auto"/>
            <w:ind w:left="720" w:hanging="720"/>
            <w:rPr>
              <w:noProof/>
              <w:sz w:val="24"/>
              <w:szCs w:val="24"/>
            </w:rPr>
          </w:pPr>
          <w:r w:rsidRPr="00ED5E5C">
            <w:rPr>
              <w:noProof/>
              <w:sz w:val="24"/>
              <w:szCs w:val="24"/>
            </w:rPr>
            <w:t xml:space="preserve">Committee on Education and Labor, US House of Representatives. </w:t>
          </w:r>
          <w:r w:rsidRPr="00ED5E5C">
            <w:rPr>
              <w:i/>
              <w:iCs/>
              <w:noProof/>
              <w:sz w:val="24"/>
              <w:szCs w:val="24"/>
            </w:rPr>
            <w:t>Hidden tragedy: Underreporting of workplace injuries and illnesses.</w:t>
          </w:r>
          <w:r w:rsidRPr="00ED5E5C">
            <w:rPr>
              <w:noProof/>
              <w:sz w:val="24"/>
              <w:szCs w:val="24"/>
            </w:rPr>
            <w:t xml:space="preserve"> Washington, DC, June 2011, 2008.</w:t>
          </w:r>
        </w:p>
        <w:p w:rsidR="007E47A6" w:rsidRPr="007E47A6" w:rsidRDefault="007E47A6" w:rsidP="006264DC">
          <w:pPr>
            <w:pStyle w:val="Bibliography"/>
            <w:spacing w:after="0" w:line="240" w:lineRule="auto"/>
            <w:ind w:left="720" w:hanging="720"/>
            <w:rPr>
              <w:noProof/>
              <w:sz w:val="24"/>
              <w:szCs w:val="24"/>
            </w:rPr>
          </w:pPr>
          <w:r>
            <w:rPr>
              <w:noProof/>
              <w:sz w:val="24"/>
              <w:szCs w:val="24"/>
            </w:rPr>
            <w:t xml:space="preserve">Conway, H., &amp; Svenson, J. “Occupational injury and illness rates, 1992-96: Why they fell. </w:t>
          </w:r>
          <w:r w:rsidRPr="007E47A6">
            <w:rPr>
              <w:i/>
              <w:noProof/>
              <w:sz w:val="24"/>
              <w:szCs w:val="24"/>
            </w:rPr>
            <w:t>Monthly Labor Review</w:t>
          </w:r>
          <w:r>
            <w:rPr>
              <w:noProof/>
              <w:sz w:val="24"/>
              <w:szCs w:val="24"/>
            </w:rPr>
            <w:t xml:space="preserve"> 121, no. 11 (1998): 36-58.</w:t>
          </w:r>
        </w:p>
        <w:p w:rsidR="00ED5E5C" w:rsidRPr="00ED5E5C" w:rsidRDefault="00ED5E5C" w:rsidP="006264DC">
          <w:pPr>
            <w:pStyle w:val="Bibliography"/>
            <w:spacing w:after="0" w:line="240" w:lineRule="auto"/>
            <w:ind w:left="720" w:hanging="720"/>
            <w:rPr>
              <w:noProof/>
              <w:sz w:val="24"/>
              <w:szCs w:val="24"/>
            </w:rPr>
          </w:pPr>
          <w:r>
            <w:rPr>
              <w:noProof/>
              <w:sz w:val="24"/>
              <w:szCs w:val="24"/>
            </w:rPr>
            <w:t xml:space="preserve">Derk, S.J., Marsh, S.M., &amp; Jackson, L.L. “Nonfatal occupational injuries and illnesses—United States, 2004.” </w:t>
          </w:r>
          <w:r>
            <w:rPr>
              <w:i/>
              <w:noProof/>
              <w:sz w:val="24"/>
              <w:szCs w:val="24"/>
            </w:rPr>
            <w:t>MMWR Morbidity and Mortality Weekly Report</w:t>
          </w:r>
          <w:r>
            <w:rPr>
              <w:noProof/>
              <w:sz w:val="24"/>
              <w:szCs w:val="24"/>
            </w:rPr>
            <w:t xml:space="preserve"> 56, no. 16 (2007):393-397.</w:t>
          </w:r>
        </w:p>
        <w:p w:rsidR="00870A55" w:rsidRPr="00870A55" w:rsidRDefault="00870A55" w:rsidP="006264DC">
          <w:pPr>
            <w:pStyle w:val="Bibliography"/>
            <w:spacing w:after="0" w:line="240" w:lineRule="auto"/>
            <w:ind w:left="720" w:hanging="720"/>
            <w:rPr>
              <w:noProof/>
              <w:sz w:val="24"/>
              <w:szCs w:val="24"/>
            </w:rPr>
          </w:pPr>
          <w:r>
            <w:rPr>
              <w:noProof/>
              <w:sz w:val="24"/>
              <w:szCs w:val="24"/>
            </w:rPr>
            <w:t xml:space="preserve">Glazner, J.E., Borgerding, J., Lowery, J.T., Bondy, J., Mueller, K.L., &amp; Kreiss, K. “Construction injury rates may exceed national estimates: Evidence from the construction of Denver International Airport.” </w:t>
          </w:r>
          <w:r>
            <w:rPr>
              <w:i/>
              <w:noProof/>
              <w:sz w:val="24"/>
              <w:szCs w:val="24"/>
            </w:rPr>
            <w:t>American Journal of Industrial Medicine</w:t>
          </w:r>
          <w:r>
            <w:rPr>
              <w:noProof/>
              <w:sz w:val="24"/>
              <w:szCs w:val="24"/>
            </w:rPr>
            <w:t xml:space="preserve"> 34, (1998):105-112.</w:t>
          </w:r>
        </w:p>
        <w:p w:rsidR="00ED5E5C" w:rsidRPr="006264DC" w:rsidRDefault="00ED5E5C" w:rsidP="006264DC">
          <w:pPr>
            <w:pStyle w:val="Bibliography"/>
            <w:spacing w:after="0" w:line="240" w:lineRule="auto"/>
            <w:ind w:left="720" w:hanging="720"/>
            <w:rPr>
              <w:noProof/>
              <w:sz w:val="24"/>
              <w:szCs w:val="24"/>
            </w:rPr>
          </w:pPr>
          <w:r>
            <w:rPr>
              <w:noProof/>
              <w:sz w:val="24"/>
              <w:szCs w:val="24"/>
            </w:rPr>
            <w:t xml:space="preserve">Jackson, L.L. “Non-fatal occupational injuries and illnesses treated in hospital emergency </w:t>
          </w:r>
          <w:r w:rsidRPr="006264DC">
            <w:rPr>
              <w:noProof/>
              <w:sz w:val="24"/>
              <w:szCs w:val="24"/>
            </w:rPr>
            <w:t xml:space="preserve">departments in the United States.” </w:t>
          </w:r>
          <w:r w:rsidRPr="006264DC">
            <w:rPr>
              <w:i/>
              <w:noProof/>
              <w:sz w:val="24"/>
              <w:szCs w:val="24"/>
            </w:rPr>
            <w:t>Injury Prevention</w:t>
          </w:r>
          <w:r w:rsidRPr="006264DC">
            <w:rPr>
              <w:noProof/>
              <w:sz w:val="24"/>
              <w:szCs w:val="24"/>
            </w:rPr>
            <w:t xml:space="preserve"> 7, Suppl I (2001):i21-26.</w:t>
          </w:r>
        </w:p>
        <w:p w:rsidR="008B59B4" w:rsidRPr="008B59B4" w:rsidRDefault="008B59B4" w:rsidP="006264DC">
          <w:pPr>
            <w:pStyle w:val="Bibliography"/>
            <w:spacing w:after="0" w:line="240" w:lineRule="auto"/>
            <w:ind w:left="720" w:hanging="720"/>
            <w:rPr>
              <w:noProof/>
              <w:sz w:val="24"/>
              <w:szCs w:val="24"/>
            </w:rPr>
          </w:pPr>
          <w:r>
            <w:rPr>
              <w:noProof/>
              <w:sz w:val="24"/>
              <w:szCs w:val="24"/>
            </w:rPr>
            <w:t xml:space="preserve">Leigh, J.P., Marcin, J.P., &amp; Miller, T.R. “An estimate of the U.S. Government’s undercount of nonfatal occupational injuries.” </w:t>
          </w:r>
          <w:r>
            <w:rPr>
              <w:i/>
              <w:noProof/>
              <w:sz w:val="24"/>
              <w:szCs w:val="24"/>
            </w:rPr>
            <w:t>Journal of Occupational and Environmental Medicine</w:t>
          </w:r>
          <w:r>
            <w:rPr>
              <w:noProof/>
              <w:sz w:val="24"/>
              <w:szCs w:val="24"/>
            </w:rPr>
            <w:t xml:space="preserve"> 46, (2004):10-18.</w:t>
          </w:r>
        </w:p>
        <w:p w:rsidR="007E47A6" w:rsidRDefault="007E47A6" w:rsidP="006264DC">
          <w:pPr>
            <w:pStyle w:val="Bibliography"/>
            <w:spacing w:after="0" w:line="240" w:lineRule="auto"/>
            <w:ind w:left="720" w:hanging="720"/>
            <w:rPr>
              <w:noProof/>
              <w:sz w:val="24"/>
              <w:szCs w:val="24"/>
            </w:rPr>
          </w:pPr>
          <w:r>
            <w:rPr>
              <w:noProof/>
              <w:sz w:val="24"/>
              <w:szCs w:val="24"/>
            </w:rPr>
            <w:t xml:space="preserve">Lipscomb, H.J., McDonald, M.A., Dement, J.M., Schoenfisch, A.L., &amp; Epling, C.A. “Are we failing vulnerable workers? The case of black women in poultry processing in rural North Carolina.” </w:t>
          </w:r>
          <w:r>
            <w:rPr>
              <w:i/>
              <w:noProof/>
              <w:sz w:val="24"/>
              <w:szCs w:val="24"/>
            </w:rPr>
            <w:t>New Solutions</w:t>
          </w:r>
          <w:r>
            <w:rPr>
              <w:noProof/>
              <w:sz w:val="24"/>
              <w:szCs w:val="24"/>
            </w:rPr>
            <w:t xml:space="preserve"> 17, no.1-2 (2007):17-40. </w:t>
          </w:r>
        </w:p>
        <w:p w:rsidR="007E47A6" w:rsidRPr="007E47A6" w:rsidRDefault="007E47A6" w:rsidP="006264DC">
          <w:pPr>
            <w:pStyle w:val="Bibliography"/>
            <w:spacing w:after="0" w:line="240" w:lineRule="auto"/>
            <w:ind w:left="720" w:hanging="720"/>
            <w:rPr>
              <w:noProof/>
              <w:sz w:val="24"/>
              <w:szCs w:val="24"/>
            </w:rPr>
          </w:pPr>
          <w:r>
            <w:rPr>
              <w:noProof/>
              <w:sz w:val="24"/>
              <w:szCs w:val="24"/>
            </w:rPr>
            <w:t xml:space="preserve">Marin, A.J., Grzywacz, J.G., Arcury, T.A., Carrillo, L., Coates, M.L., &amp; Quandt, S.A. “Evidence of organizational injustice in poultry processing plants: Possible effects on occupational health and safety among Latino workers in North Carolina. </w:t>
          </w:r>
          <w:r>
            <w:rPr>
              <w:i/>
              <w:noProof/>
              <w:sz w:val="24"/>
              <w:szCs w:val="24"/>
            </w:rPr>
            <w:t>American Journal of Industrial Medicine</w:t>
          </w:r>
          <w:r>
            <w:rPr>
              <w:noProof/>
              <w:sz w:val="24"/>
              <w:szCs w:val="24"/>
            </w:rPr>
            <w:t xml:space="preserve"> 52, (2009):37-48.</w:t>
          </w:r>
        </w:p>
        <w:p w:rsidR="000D7B19" w:rsidRPr="006264DC" w:rsidRDefault="000D7B19" w:rsidP="006264DC">
          <w:pPr>
            <w:pStyle w:val="Bibliography"/>
            <w:spacing w:after="0" w:line="240" w:lineRule="auto"/>
            <w:ind w:left="720" w:hanging="720"/>
            <w:rPr>
              <w:noProof/>
              <w:sz w:val="24"/>
              <w:szCs w:val="24"/>
            </w:rPr>
          </w:pPr>
          <w:r w:rsidRPr="006264DC">
            <w:rPr>
              <w:noProof/>
              <w:sz w:val="24"/>
              <w:szCs w:val="24"/>
            </w:rPr>
            <w:t xml:space="preserve">Pollack, E.S. &amp; Keimig, D.G. </w:t>
          </w:r>
          <w:r w:rsidRPr="006264DC">
            <w:rPr>
              <w:i/>
              <w:iCs/>
              <w:noProof/>
              <w:sz w:val="24"/>
              <w:szCs w:val="24"/>
            </w:rPr>
            <w:t>Counting Injuries and Ilnesses in the Workplace: Proposals for a Better System.</w:t>
          </w:r>
          <w:r w:rsidRPr="006264DC">
            <w:rPr>
              <w:noProof/>
              <w:sz w:val="24"/>
              <w:szCs w:val="24"/>
            </w:rPr>
            <w:t xml:space="preserve"> Washington, DC: National Academy Press, 1987.</w:t>
          </w:r>
        </w:p>
        <w:p w:rsidR="008B59B4" w:rsidRPr="008B59B4" w:rsidRDefault="008B59B4" w:rsidP="006264DC">
          <w:pPr>
            <w:pStyle w:val="Bibliography"/>
            <w:spacing w:after="0" w:line="240" w:lineRule="auto"/>
            <w:ind w:left="720" w:hanging="720"/>
            <w:rPr>
              <w:noProof/>
              <w:sz w:val="24"/>
              <w:szCs w:val="24"/>
            </w:rPr>
          </w:pPr>
          <w:r>
            <w:rPr>
              <w:noProof/>
              <w:sz w:val="24"/>
              <w:szCs w:val="24"/>
            </w:rPr>
            <w:t xml:space="preserve">Rosenman, K.D., Kalush, A., Reilly, M.J., Gardiner, J.C., Reeves, M., &amp; Luo, Z. “How much work-related injury and illness is missed by the current national surveillance system?” </w:t>
          </w:r>
          <w:r>
            <w:rPr>
              <w:i/>
              <w:noProof/>
              <w:sz w:val="24"/>
              <w:szCs w:val="24"/>
            </w:rPr>
            <w:t>Journal of Occupational and Environmental Medicine</w:t>
          </w:r>
          <w:r>
            <w:rPr>
              <w:noProof/>
              <w:sz w:val="24"/>
              <w:szCs w:val="24"/>
            </w:rPr>
            <w:t xml:space="preserve"> 48, (2006):357-365.</w:t>
          </w:r>
        </w:p>
        <w:p w:rsidR="000D7B19" w:rsidRPr="006264DC" w:rsidRDefault="000D7B19" w:rsidP="006264DC">
          <w:pPr>
            <w:pStyle w:val="Bibliography"/>
            <w:spacing w:after="0" w:line="240" w:lineRule="auto"/>
            <w:ind w:left="720" w:hanging="720"/>
            <w:rPr>
              <w:noProof/>
              <w:sz w:val="24"/>
              <w:szCs w:val="24"/>
            </w:rPr>
          </w:pPr>
          <w:r w:rsidRPr="006264DC">
            <w:rPr>
              <w:noProof/>
              <w:sz w:val="24"/>
              <w:szCs w:val="24"/>
            </w:rPr>
            <w:t xml:space="preserve">Ruser, J. W. "Examining evidence on whether BLS undercounts workplace injuries and illnesses." </w:t>
          </w:r>
          <w:r w:rsidRPr="006264DC">
            <w:rPr>
              <w:i/>
              <w:iCs/>
              <w:noProof/>
              <w:sz w:val="24"/>
              <w:szCs w:val="24"/>
            </w:rPr>
            <w:t>Monthly Labor Review</w:t>
          </w:r>
          <w:r w:rsidRPr="006264DC">
            <w:rPr>
              <w:noProof/>
              <w:sz w:val="24"/>
              <w:szCs w:val="24"/>
            </w:rPr>
            <w:t xml:space="preserve"> 131, no. 8 (2008): 20-32.</w:t>
          </w:r>
        </w:p>
        <w:p w:rsidR="00CB0531" w:rsidRPr="006264DC" w:rsidRDefault="001F3F7C" w:rsidP="00E30DA9">
          <w:pPr>
            <w:spacing w:after="0" w:line="240" w:lineRule="auto"/>
            <w:ind w:left="720" w:hanging="720"/>
            <w:rPr>
              <w:sz w:val="24"/>
              <w:szCs w:val="24"/>
            </w:rPr>
          </w:pPr>
        </w:p>
      </w:sdtContent>
    </w:sdt>
    <w:sectPr w:rsidR="00CB0531" w:rsidRPr="006264DC" w:rsidSect="00D2255B">
      <w:footerReference w:type="default" r:id="rId10"/>
      <w:pgSz w:w="12240" w:h="15840"/>
      <w:pgMar w:top="10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3F7C" w:rsidRDefault="001F3F7C" w:rsidP="000B68E6">
      <w:pPr>
        <w:spacing w:after="0" w:line="240" w:lineRule="auto"/>
      </w:pPr>
      <w:r>
        <w:separator/>
      </w:r>
    </w:p>
  </w:endnote>
  <w:endnote w:type="continuationSeparator" w:id="0">
    <w:p w:rsidR="001F3F7C" w:rsidRDefault="001F3F7C" w:rsidP="000B68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6291983"/>
      <w:docPartObj>
        <w:docPartGallery w:val="Page Numbers (Bottom of Page)"/>
        <w:docPartUnique/>
      </w:docPartObj>
    </w:sdtPr>
    <w:sdtEndPr/>
    <w:sdtContent>
      <w:p w:rsidR="00B729B9" w:rsidRDefault="00B729B9">
        <w:pPr>
          <w:pStyle w:val="Footer"/>
          <w:jc w:val="center"/>
        </w:pPr>
        <w:r>
          <w:fldChar w:fldCharType="begin"/>
        </w:r>
        <w:r>
          <w:instrText xml:space="preserve"> PAGE   \* MERGEFORMAT </w:instrText>
        </w:r>
        <w:r>
          <w:fldChar w:fldCharType="separate"/>
        </w:r>
        <w:r w:rsidR="0099593A">
          <w:rPr>
            <w:noProof/>
          </w:rPr>
          <w:t>1</w:t>
        </w:r>
        <w:r>
          <w:rPr>
            <w:noProof/>
          </w:rPr>
          <w:fldChar w:fldCharType="end"/>
        </w:r>
      </w:p>
    </w:sdtContent>
  </w:sdt>
  <w:p w:rsidR="00B729B9" w:rsidRDefault="00B729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3F7C" w:rsidRDefault="001F3F7C" w:rsidP="000B68E6">
      <w:pPr>
        <w:spacing w:after="0" w:line="240" w:lineRule="auto"/>
      </w:pPr>
      <w:r>
        <w:separator/>
      </w:r>
    </w:p>
  </w:footnote>
  <w:footnote w:type="continuationSeparator" w:id="0">
    <w:p w:rsidR="001F3F7C" w:rsidRDefault="001F3F7C" w:rsidP="000B68E6">
      <w:pPr>
        <w:spacing w:after="0" w:line="240" w:lineRule="auto"/>
      </w:pPr>
      <w:r>
        <w:continuationSeparator/>
      </w:r>
    </w:p>
  </w:footnote>
  <w:footnote w:id="1">
    <w:p w:rsidR="00B729B9" w:rsidRDefault="00B729B9">
      <w:pPr>
        <w:pStyle w:val="FootnoteText"/>
      </w:pPr>
      <w:r>
        <w:rPr>
          <w:rStyle w:val="FootnoteReference"/>
        </w:rPr>
        <w:footnoteRef/>
      </w:r>
      <w:r>
        <w:t xml:space="preserve"> NEISS-Work currently includes data from only 63 hospitals due to hospital closures.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F63229B"/>
    <w:multiLevelType w:val="hybridMultilevel"/>
    <w:tmpl w:val="E472E633"/>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85001F"/>
    <w:multiLevelType w:val="hybridMultilevel"/>
    <w:tmpl w:val="693F548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55B53AD6"/>
    <w:multiLevelType w:val="hybridMultilevel"/>
    <w:tmpl w:val="C6228B78"/>
    <w:lvl w:ilvl="0" w:tplc="79AAFA9E">
      <w:start w:val="1"/>
      <w:numFmt w:val="decimal"/>
      <w:lvlText w:val="(%1)"/>
      <w:lvlJc w:val="left"/>
      <w:pPr>
        <w:ind w:left="0" w:hanging="360"/>
      </w:pPr>
      <w:rPr>
        <w:rFonts w:hint="default"/>
      </w:rPr>
    </w:lvl>
    <w:lvl w:ilvl="1" w:tplc="79AAFA9E">
      <w:start w:val="1"/>
      <w:numFmt w:val="decimal"/>
      <w:lvlText w:val="(%2)"/>
      <w:lvlJc w:val="left"/>
      <w:pPr>
        <w:ind w:left="720" w:hanging="360"/>
      </w:pPr>
      <w:rPr>
        <w:rFonts w:hint="default"/>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nsid w:val="61955735"/>
    <w:multiLevelType w:val="hybridMultilevel"/>
    <w:tmpl w:val="38A2208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61E26701"/>
    <w:multiLevelType w:val="hybridMultilevel"/>
    <w:tmpl w:val="DE8A1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373005E"/>
    <w:multiLevelType w:val="hybridMultilevel"/>
    <w:tmpl w:val="19BCC3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FA60BB"/>
    <w:multiLevelType w:val="hybridMultilevel"/>
    <w:tmpl w:val="67B27F4C"/>
    <w:lvl w:ilvl="0" w:tplc="43B6EB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C0F3BC0"/>
    <w:multiLevelType w:val="hybridMultilevel"/>
    <w:tmpl w:val="947CE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2"/>
  </w:num>
  <w:num w:numId="4">
    <w:abstractNumId w:val="7"/>
  </w:num>
  <w:num w:numId="5">
    <w:abstractNumId w:val="6"/>
  </w:num>
  <w:num w:numId="6">
    <w:abstractNumId w:val="4"/>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activeWritingStyle w:appName="MSWord" w:lang="en-US" w:vendorID="64" w:dllVersion="131078"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APA rev&lt;/Style&gt;&lt;LeftDelim&gt;{&lt;/LeftDelim&gt;&lt;RightDelim&gt;}&lt;/RightDelim&gt;&lt;FontName&gt;Garamond&lt;/FontName&gt;&lt;FontSize&gt;12&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NIOSH.enl&lt;/item&gt;&lt;/Libraries&gt;&lt;/ENLibraries&gt;"/>
  </w:docVars>
  <w:rsids>
    <w:rsidRoot w:val="00D63A39"/>
    <w:rsid w:val="0001042F"/>
    <w:rsid w:val="0001360B"/>
    <w:rsid w:val="000139A0"/>
    <w:rsid w:val="00020055"/>
    <w:rsid w:val="00022A7E"/>
    <w:rsid w:val="00022F15"/>
    <w:rsid w:val="00037A1F"/>
    <w:rsid w:val="00042A35"/>
    <w:rsid w:val="00043302"/>
    <w:rsid w:val="000479CC"/>
    <w:rsid w:val="0005212C"/>
    <w:rsid w:val="000527B1"/>
    <w:rsid w:val="000529F1"/>
    <w:rsid w:val="00053D31"/>
    <w:rsid w:val="00054AE6"/>
    <w:rsid w:val="00060AE7"/>
    <w:rsid w:val="00064FBC"/>
    <w:rsid w:val="00066DE3"/>
    <w:rsid w:val="00067A1A"/>
    <w:rsid w:val="0008159F"/>
    <w:rsid w:val="00084320"/>
    <w:rsid w:val="000863B0"/>
    <w:rsid w:val="000919C1"/>
    <w:rsid w:val="000934C9"/>
    <w:rsid w:val="00093737"/>
    <w:rsid w:val="00094C5E"/>
    <w:rsid w:val="0009678E"/>
    <w:rsid w:val="000A21F0"/>
    <w:rsid w:val="000A4170"/>
    <w:rsid w:val="000A69D1"/>
    <w:rsid w:val="000B228E"/>
    <w:rsid w:val="000B378A"/>
    <w:rsid w:val="000B5437"/>
    <w:rsid w:val="000B68E6"/>
    <w:rsid w:val="000B7DA1"/>
    <w:rsid w:val="000C178D"/>
    <w:rsid w:val="000C6430"/>
    <w:rsid w:val="000D347B"/>
    <w:rsid w:val="000D7B19"/>
    <w:rsid w:val="000E05EC"/>
    <w:rsid w:val="000E1137"/>
    <w:rsid w:val="000E3AD6"/>
    <w:rsid w:val="000E3B28"/>
    <w:rsid w:val="000F546E"/>
    <w:rsid w:val="00100042"/>
    <w:rsid w:val="0010032E"/>
    <w:rsid w:val="00103312"/>
    <w:rsid w:val="00111926"/>
    <w:rsid w:val="00122D73"/>
    <w:rsid w:val="00124C5B"/>
    <w:rsid w:val="00130B5C"/>
    <w:rsid w:val="00131AEE"/>
    <w:rsid w:val="00135503"/>
    <w:rsid w:val="0013607B"/>
    <w:rsid w:val="00137C42"/>
    <w:rsid w:val="00143F63"/>
    <w:rsid w:val="0014431A"/>
    <w:rsid w:val="00144D9A"/>
    <w:rsid w:val="0014601A"/>
    <w:rsid w:val="00151160"/>
    <w:rsid w:val="00154404"/>
    <w:rsid w:val="00156820"/>
    <w:rsid w:val="001576F1"/>
    <w:rsid w:val="00164257"/>
    <w:rsid w:val="00165C8F"/>
    <w:rsid w:val="00170DE4"/>
    <w:rsid w:val="001927C2"/>
    <w:rsid w:val="001970D9"/>
    <w:rsid w:val="001A1FC5"/>
    <w:rsid w:val="001B2773"/>
    <w:rsid w:val="001B443F"/>
    <w:rsid w:val="001C1898"/>
    <w:rsid w:val="001C3276"/>
    <w:rsid w:val="001C53FD"/>
    <w:rsid w:val="001D6BA6"/>
    <w:rsid w:val="001E2065"/>
    <w:rsid w:val="001F0345"/>
    <w:rsid w:val="001F3B91"/>
    <w:rsid w:val="001F3F7C"/>
    <w:rsid w:val="00204428"/>
    <w:rsid w:val="002054EE"/>
    <w:rsid w:val="00205A07"/>
    <w:rsid w:val="00207223"/>
    <w:rsid w:val="002124A5"/>
    <w:rsid w:val="0021744C"/>
    <w:rsid w:val="00217BEE"/>
    <w:rsid w:val="00217D55"/>
    <w:rsid w:val="00223DC7"/>
    <w:rsid w:val="00224BCC"/>
    <w:rsid w:val="00225A8B"/>
    <w:rsid w:val="002313F8"/>
    <w:rsid w:val="002315DE"/>
    <w:rsid w:val="00231783"/>
    <w:rsid w:val="00231807"/>
    <w:rsid w:val="00232DA0"/>
    <w:rsid w:val="002369B0"/>
    <w:rsid w:val="00236C06"/>
    <w:rsid w:val="00237FF6"/>
    <w:rsid w:val="00242F10"/>
    <w:rsid w:val="00244B09"/>
    <w:rsid w:val="00246564"/>
    <w:rsid w:val="002525A8"/>
    <w:rsid w:val="0025479B"/>
    <w:rsid w:val="002550AE"/>
    <w:rsid w:val="00257EF5"/>
    <w:rsid w:val="00273383"/>
    <w:rsid w:val="00283A16"/>
    <w:rsid w:val="0028781F"/>
    <w:rsid w:val="00287ED2"/>
    <w:rsid w:val="0029029B"/>
    <w:rsid w:val="002943C3"/>
    <w:rsid w:val="00297119"/>
    <w:rsid w:val="002A1E10"/>
    <w:rsid w:val="002B3AFE"/>
    <w:rsid w:val="002B4C55"/>
    <w:rsid w:val="002B4CA9"/>
    <w:rsid w:val="002B670B"/>
    <w:rsid w:val="002B7287"/>
    <w:rsid w:val="002C3C89"/>
    <w:rsid w:val="002C3E31"/>
    <w:rsid w:val="002C48B0"/>
    <w:rsid w:val="002C7954"/>
    <w:rsid w:val="002C7994"/>
    <w:rsid w:val="002D25C4"/>
    <w:rsid w:val="002E17D4"/>
    <w:rsid w:val="002E5A24"/>
    <w:rsid w:val="002F0C4F"/>
    <w:rsid w:val="002F4375"/>
    <w:rsid w:val="002F7046"/>
    <w:rsid w:val="00301084"/>
    <w:rsid w:val="0031033E"/>
    <w:rsid w:val="00310E0B"/>
    <w:rsid w:val="00312FF8"/>
    <w:rsid w:val="00314030"/>
    <w:rsid w:val="00314369"/>
    <w:rsid w:val="00314D32"/>
    <w:rsid w:val="00315B82"/>
    <w:rsid w:val="00317B49"/>
    <w:rsid w:val="003204B5"/>
    <w:rsid w:val="003218CD"/>
    <w:rsid w:val="00332395"/>
    <w:rsid w:val="003338D6"/>
    <w:rsid w:val="0033664D"/>
    <w:rsid w:val="00337794"/>
    <w:rsid w:val="00342F44"/>
    <w:rsid w:val="00344E5D"/>
    <w:rsid w:val="00347D2D"/>
    <w:rsid w:val="003504CE"/>
    <w:rsid w:val="00351F9E"/>
    <w:rsid w:val="0035406D"/>
    <w:rsid w:val="00362DD7"/>
    <w:rsid w:val="003651D0"/>
    <w:rsid w:val="0036700E"/>
    <w:rsid w:val="00373F3A"/>
    <w:rsid w:val="0037708C"/>
    <w:rsid w:val="0038057B"/>
    <w:rsid w:val="0039049D"/>
    <w:rsid w:val="003925F8"/>
    <w:rsid w:val="00394A81"/>
    <w:rsid w:val="00396873"/>
    <w:rsid w:val="003A79CF"/>
    <w:rsid w:val="003B1F4D"/>
    <w:rsid w:val="003B4899"/>
    <w:rsid w:val="003B6756"/>
    <w:rsid w:val="003C0E2E"/>
    <w:rsid w:val="003C36ED"/>
    <w:rsid w:val="003C5FC4"/>
    <w:rsid w:val="003C6C4E"/>
    <w:rsid w:val="003D15F4"/>
    <w:rsid w:val="003D2136"/>
    <w:rsid w:val="003D2F34"/>
    <w:rsid w:val="003E184F"/>
    <w:rsid w:val="003E7A0C"/>
    <w:rsid w:val="00400297"/>
    <w:rsid w:val="004019D2"/>
    <w:rsid w:val="00402621"/>
    <w:rsid w:val="0040435B"/>
    <w:rsid w:val="00406007"/>
    <w:rsid w:val="00410882"/>
    <w:rsid w:val="00411FE6"/>
    <w:rsid w:val="004139F8"/>
    <w:rsid w:val="0042235B"/>
    <w:rsid w:val="004322BC"/>
    <w:rsid w:val="00432B9B"/>
    <w:rsid w:val="004333D4"/>
    <w:rsid w:val="00435A13"/>
    <w:rsid w:val="00435FEE"/>
    <w:rsid w:val="0043656F"/>
    <w:rsid w:val="004367F8"/>
    <w:rsid w:val="004415C6"/>
    <w:rsid w:val="0044508B"/>
    <w:rsid w:val="004461EE"/>
    <w:rsid w:val="004469B5"/>
    <w:rsid w:val="004524A3"/>
    <w:rsid w:val="00453A92"/>
    <w:rsid w:val="00456A60"/>
    <w:rsid w:val="00461B2C"/>
    <w:rsid w:val="00466915"/>
    <w:rsid w:val="00470BCF"/>
    <w:rsid w:val="00480806"/>
    <w:rsid w:val="00490B72"/>
    <w:rsid w:val="004A0428"/>
    <w:rsid w:val="004A2635"/>
    <w:rsid w:val="004B1B8B"/>
    <w:rsid w:val="004B2F62"/>
    <w:rsid w:val="004B4450"/>
    <w:rsid w:val="004C4C43"/>
    <w:rsid w:val="004C63D8"/>
    <w:rsid w:val="004C6BE7"/>
    <w:rsid w:val="004C7FF3"/>
    <w:rsid w:val="004E77D4"/>
    <w:rsid w:val="004F503F"/>
    <w:rsid w:val="00501A2A"/>
    <w:rsid w:val="005048D9"/>
    <w:rsid w:val="00506971"/>
    <w:rsid w:val="00512F9D"/>
    <w:rsid w:val="00513E19"/>
    <w:rsid w:val="00515E6A"/>
    <w:rsid w:val="00520786"/>
    <w:rsid w:val="00521439"/>
    <w:rsid w:val="00522797"/>
    <w:rsid w:val="00523B1D"/>
    <w:rsid w:val="005314B2"/>
    <w:rsid w:val="00536DFF"/>
    <w:rsid w:val="00550925"/>
    <w:rsid w:val="005524D4"/>
    <w:rsid w:val="0055372A"/>
    <w:rsid w:val="00555B17"/>
    <w:rsid w:val="00561935"/>
    <w:rsid w:val="005627B2"/>
    <w:rsid w:val="00565E36"/>
    <w:rsid w:val="0057439D"/>
    <w:rsid w:val="005801F8"/>
    <w:rsid w:val="00582E0F"/>
    <w:rsid w:val="00583171"/>
    <w:rsid w:val="00584537"/>
    <w:rsid w:val="005932EC"/>
    <w:rsid w:val="00596D1D"/>
    <w:rsid w:val="00596F29"/>
    <w:rsid w:val="005A00AC"/>
    <w:rsid w:val="005A0ED1"/>
    <w:rsid w:val="005A100A"/>
    <w:rsid w:val="005A2358"/>
    <w:rsid w:val="005A3278"/>
    <w:rsid w:val="005A4490"/>
    <w:rsid w:val="005A58A5"/>
    <w:rsid w:val="005B2AE2"/>
    <w:rsid w:val="005B44E4"/>
    <w:rsid w:val="005D1E3F"/>
    <w:rsid w:val="005E4E36"/>
    <w:rsid w:val="005E5CC6"/>
    <w:rsid w:val="005E6779"/>
    <w:rsid w:val="005E6F05"/>
    <w:rsid w:val="005F53D0"/>
    <w:rsid w:val="0060207B"/>
    <w:rsid w:val="00602A14"/>
    <w:rsid w:val="00607A77"/>
    <w:rsid w:val="00613A64"/>
    <w:rsid w:val="00615B87"/>
    <w:rsid w:val="00615C15"/>
    <w:rsid w:val="0061793D"/>
    <w:rsid w:val="006208B4"/>
    <w:rsid w:val="00623093"/>
    <w:rsid w:val="006264DC"/>
    <w:rsid w:val="00627EC7"/>
    <w:rsid w:val="00633D49"/>
    <w:rsid w:val="00634EE9"/>
    <w:rsid w:val="00637D33"/>
    <w:rsid w:val="00642BCD"/>
    <w:rsid w:val="006430D2"/>
    <w:rsid w:val="00644379"/>
    <w:rsid w:val="006536F4"/>
    <w:rsid w:val="0065447B"/>
    <w:rsid w:val="0065691D"/>
    <w:rsid w:val="00662C53"/>
    <w:rsid w:val="00667046"/>
    <w:rsid w:val="006727FE"/>
    <w:rsid w:val="00675CFC"/>
    <w:rsid w:val="00676170"/>
    <w:rsid w:val="00677A7E"/>
    <w:rsid w:val="00680DE1"/>
    <w:rsid w:val="00684169"/>
    <w:rsid w:val="00685826"/>
    <w:rsid w:val="006870C6"/>
    <w:rsid w:val="00691B81"/>
    <w:rsid w:val="00693630"/>
    <w:rsid w:val="0069419D"/>
    <w:rsid w:val="006957E0"/>
    <w:rsid w:val="006A017D"/>
    <w:rsid w:val="006A331C"/>
    <w:rsid w:val="006A3574"/>
    <w:rsid w:val="006A4A99"/>
    <w:rsid w:val="006A6A7C"/>
    <w:rsid w:val="006A7DB8"/>
    <w:rsid w:val="006B1384"/>
    <w:rsid w:val="006B3A0E"/>
    <w:rsid w:val="006B6F0D"/>
    <w:rsid w:val="006C0846"/>
    <w:rsid w:val="006C1ACF"/>
    <w:rsid w:val="006C3706"/>
    <w:rsid w:val="006D1663"/>
    <w:rsid w:val="006D402F"/>
    <w:rsid w:val="006D5723"/>
    <w:rsid w:val="006D7BAD"/>
    <w:rsid w:val="006E0155"/>
    <w:rsid w:val="006E0BF1"/>
    <w:rsid w:val="006F39C0"/>
    <w:rsid w:val="00705626"/>
    <w:rsid w:val="0070617B"/>
    <w:rsid w:val="0070768A"/>
    <w:rsid w:val="00707F8C"/>
    <w:rsid w:val="007127A3"/>
    <w:rsid w:val="00714801"/>
    <w:rsid w:val="00723C84"/>
    <w:rsid w:val="00725C0F"/>
    <w:rsid w:val="007345F3"/>
    <w:rsid w:val="00736DC1"/>
    <w:rsid w:val="007371B1"/>
    <w:rsid w:val="00740384"/>
    <w:rsid w:val="0074252D"/>
    <w:rsid w:val="007508B2"/>
    <w:rsid w:val="00750A7F"/>
    <w:rsid w:val="0075130F"/>
    <w:rsid w:val="007548CB"/>
    <w:rsid w:val="00756113"/>
    <w:rsid w:val="00763262"/>
    <w:rsid w:val="00763A34"/>
    <w:rsid w:val="00772DEC"/>
    <w:rsid w:val="007742DD"/>
    <w:rsid w:val="007757FF"/>
    <w:rsid w:val="00781B4E"/>
    <w:rsid w:val="00782699"/>
    <w:rsid w:val="00784761"/>
    <w:rsid w:val="007910D2"/>
    <w:rsid w:val="00795A47"/>
    <w:rsid w:val="00796CB8"/>
    <w:rsid w:val="007A7212"/>
    <w:rsid w:val="007B2DBD"/>
    <w:rsid w:val="007B4230"/>
    <w:rsid w:val="007B531C"/>
    <w:rsid w:val="007C01B3"/>
    <w:rsid w:val="007C7B4D"/>
    <w:rsid w:val="007D3DC5"/>
    <w:rsid w:val="007D5E47"/>
    <w:rsid w:val="007D688C"/>
    <w:rsid w:val="007D6DDA"/>
    <w:rsid w:val="007E4074"/>
    <w:rsid w:val="007E47A6"/>
    <w:rsid w:val="007E75F6"/>
    <w:rsid w:val="007E774D"/>
    <w:rsid w:val="0080211B"/>
    <w:rsid w:val="00805ECE"/>
    <w:rsid w:val="00810A94"/>
    <w:rsid w:val="00812EA9"/>
    <w:rsid w:val="008172F2"/>
    <w:rsid w:val="00820EAF"/>
    <w:rsid w:val="00824BE9"/>
    <w:rsid w:val="00827D29"/>
    <w:rsid w:val="008345F8"/>
    <w:rsid w:val="008416B5"/>
    <w:rsid w:val="00844173"/>
    <w:rsid w:val="008451D1"/>
    <w:rsid w:val="00847437"/>
    <w:rsid w:val="00850185"/>
    <w:rsid w:val="00851843"/>
    <w:rsid w:val="00851A1F"/>
    <w:rsid w:val="00851ECB"/>
    <w:rsid w:val="00852F40"/>
    <w:rsid w:val="00855C30"/>
    <w:rsid w:val="008633DC"/>
    <w:rsid w:val="0086601A"/>
    <w:rsid w:val="00866BBF"/>
    <w:rsid w:val="008671D6"/>
    <w:rsid w:val="00867535"/>
    <w:rsid w:val="00870A55"/>
    <w:rsid w:val="00876199"/>
    <w:rsid w:val="0087756B"/>
    <w:rsid w:val="00880154"/>
    <w:rsid w:val="008928B9"/>
    <w:rsid w:val="008937B3"/>
    <w:rsid w:val="008A3F30"/>
    <w:rsid w:val="008B024F"/>
    <w:rsid w:val="008B1261"/>
    <w:rsid w:val="008B43DE"/>
    <w:rsid w:val="008B4B33"/>
    <w:rsid w:val="008B59B4"/>
    <w:rsid w:val="008B673A"/>
    <w:rsid w:val="008C1671"/>
    <w:rsid w:val="008C4F7D"/>
    <w:rsid w:val="008C5121"/>
    <w:rsid w:val="008C5CEC"/>
    <w:rsid w:val="008C5F26"/>
    <w:rsid w:val="008D0B58"/>
    <w:rsid w:val="008D3FFC"/>
    <w:rsid w:val="008D5A99"/>
    <w:rsid w:val="008E31E5"/>
    <w:rsid w:val="008F0F17"/>
    <w:rsid w:val="008F4CA4"/>
    <w:rsid w:val="008F6176"/>
    <w:rsid w:val="009033FF"/>
    <w:rsid w:val="009038E5"/>
    <w:rsid w:val="00903FAB"/>
    <w:rsid w:val="009111C1"/>
    <w:rsid w:val="00911BCE"/>
    <w:rsid w:val="00917921"/>
    <w:rsid w:val="00920764"/>
    <w:rsid w:val="00926A52"/>
    <w:rsid w:val="00932D4A"/>
    <w:rsid w:val="00936771"/>
    <w:rsid w:val="00940393"/>
    <w:rsid w:val="00943B04"/>
    <w:rsid w:val="00943F18"/>
    <w:rsid w:val="0095533E"/>
    <w:rsid w:val="0095771A"/>
    <w:rsid w:val="009611FC"/>
    <w:rsid w:val="00965C3D"/>
    <w:rsid w:val="00966F04"/>
    <w:rsid w:val="00967260"/>
    <w:rsid w:val="009758D6"/>
    <w:rsid w:val="00976556"/>
    <w:rsid w:val="00977BB6"/>
    <w:rsid w:val="009803BE"/>
    <w:rsid w:val="00986AA4"/>
    <w:rsid w:val="00987961"/>
    <w:rsid w:val="0099593A"/>
    <w:rsid w:val="009A0088"/>
    <w:rsid w:val="009A0DEF"/>
    <w:rsid w:val="009A6A92"/>
    <w:rsid w:val="009C08E9"/>
    <w:rsid w:val="009C372E"/>
    <w:rsid w:val="009C65FA"/>
    <w:rsid w:val="009D427A"/>
    <w:rsid w:val="009E1DFA"/>
    <w:rsid w:val="009F0A24"/>
    <w:rsid w:val="009F50F3"/>
    <w:rsid w:val="00A019F2"/>
    <w:rsid w:val="00A06325"/>
    <w:rsid w:val="00A11E5F"/>
    <w:rsid w:val="00A155A3"/>
    <w:rsid w:val="00A1708F"/>
    <w:rsid w:val="00A223A3"/>
    <w:rsid w:val="00A22740"/>
    <w:rsid w:val="00A22E67"/>
    <w:rsid w:val="00A27AFC"/>
    <w:rsid w:val="00A3007F"/>
    <w:rsid w:val="00A33A88"/>
    <w:rsid w:val="00A342C7"/>
    <w:rsid w:val="00A355B5"/>
    <w:rsid w:val="00A36F7E"/>
    <w:rsid w:val="00A37098"/>
    <w:rsid w:val="00A4648A"/>
    <w:rsid w:val="00A51BF8"/>
    <w:rsid w:val="00A576B7"/>
    <w:rsid w:val="00A57DD0"/>
    <w:rsid w:val="00A77E8C"/>
    <w:rsid w:val="00A81FC4"/>
    <w:rsid w:val="00A827F7"/>
    <w:rsid w:val="00A93373"/>
    <w:rsid w:val="00AA0913"/>
    <w:rsid w:val="00AA4BDF"/>
    <w:rsid w:val="00AA7782"/>
    <w:rsid w:val="00AA7A32"/>
    <w:rsid w:val="00AB165F"/>
    <w:rsid w:val="00AB1D8B"/>
    <w:rsid w:val="00AB2617"/>
    <w:rsid w:val="00AB7BEA"/>
    <w:rsid w:val="00AC18B9"/>
    <w:rsid w:val="00AC2631"/>
    <w:rsid w:val="00AD0C40"/>
    <w:rsid w:val="00AD1211"/>
    <w:rsid w:val="00AE2FA7"/>
    <w:rsid w:val="00AE4865"/>
    <w:rsid w:val="00AE4CB9"/>
    <w:rsid w:val="00AF4A7F"/>
    <w:rsid w:val="00AF74B8"/>
    <w:rsid w:val="00B02C05"/>
    <w:rsid w:val="00B03BB1"/>
    <w:rsid w:val="00B05FC2"/>
    <w:rsid w:val="00B07A95"/>
    <w:rsid w:val="00B11303"/>
    <w:rsid w:val="00B11F80"/>
    <w:rsid w:val="00B21165"/>
    <w:rsid w:val="00B2260C"/>
    <w:rsid w:val="00B322D4"/>
    <w:rsid w:val="00B351BF"/>
    <w:rsid w:val="00B42A49"/>
    <w:rsid w:val="00B44EED"/>
    <w:rsid w:val="00B45FC3"/>
    <w:rsid w:val="00B52836"/>
    <w:rsid w:val="00B636FA"/>
    <w:rsid w:val="00B64994"/>
    <w:rsid w:val="00B71534"/>
    <w:rsid w:val="00B7158B"/>
    <w:rsid w:val="00B7185F"/>
    <w:rsid w:val="00B729B9"/>
    <w:rsid w:val="00B73124"/>
    <w:rsid w:val="00B80692"/>
    <w:rsid w:val="00B8112F"/>
    <w:rsid w:val="00B84BEF"/>
    <w:rsid w:val="00B874CC"/>
    <w:rsid w:val="00B93655"/>
    <w:rsid w:val="00B96738"/>
    <w:rsid w:val="00B96A61"/>
    <w:rsid w:val="00BB0625"/>
    <w:rsid w:val="00BB6158"/>
    <w:rsid w:val="00BB6D68"/>
    <w:rsid w:val="00BB76A4"/>
    <w:rsid w:val="00BB78FD"/>
    <w:rsid w:val="00BC4C35"/>
    <w:rsid w:val="00BD0347"/>
    <w:rsid w:val="00BD2B53"/>
    <w:rsid w:val="00BD6E5B"/>
    <w:rsid w:val="00BE0397"/>
    <w:rsid w:val="00BE1CE2"/>
    <w:rsid w:val="00BE283A"/>
    <w:rsid w:val="00BF266C"/>
    <w:rsid w:val="00BF4504"/>
    <w:rsid w:val="00BF7228"/>
    <w:rsid w:val="00C040E6"/>
    <w:rsid w:val="00C10E7F"/>
    <w:rsid w:val="00C12168"/>
    <w:rsid w:val="00C140F3"/>
    <w:rsid w:val="00C15ED1"/>
    <w:rsid w:val="00C2156E"/>
    <w:rsid w:val="00C30CE6"/>
    <w:rsid w:val="00C31AEF"/>
    <w:rsid w:val="00C36DC9"/>
    <w:rsid w:val="00C455B7"/>
    <w:rsid w:val="00C52D38"/>
    <w:rsid w:val="00C54AD9"/>
    <w:rsid w:val="00C55CA6"/>
    <w:rsid w:val="00C5740C"/>
    <w:rsid w:val="00C62C6E"/>
    <w:rsid w:val="00C64723"/>
    <w:rsid w:val="00C7325E"/>
    <w:rsid w:val="00C831E5"/>
    <w:rsid w:val="00C85CF4"/>
    <w:rsid w:val="00C86751"/>
    <w:rsid w:val="00C927F8"/>
    <w:rsid w:val="00C9378D"/>
    <w:rsid w:val="00C965D3"/>
    <w:rsid w:val="00CA3493"/>
    <w:rsid w:val="00CB0531"/>
    <w:rsid w:val="00CB6A96"/>
    <w:rsid w:val="00CB6F40"/>
    <w:rsid w:val="00CB7982"/>
    <w:rsid w:val="00CC147A"/>
    <w:rsid w:val="00CC16F2"/>
    <w:rsid w:val="00CC67D5"/>
    <w:rsid w:val="00CD48E0"/>
    <w:rsid w:val="00CD5254"/>
    <w:rsid w:val="00CE2221"/>
    <w:rsid w:val="00CE317B"/>
    <w:rsid w:val="00CE4EC8"/>
    <w:rsid w:val="00CE7004"/>
    <w:rsid w:val="00CF1B4F"/>
    <w:rsid w:val="00CF288F"/>
    <w:rsid w:val="00CF4467"/>
    <w:rsid w:val="00D047AF"/>
    <w:rsid w:val="00D0497C"/>
    <w:rsid w:val="00D066FC"/>
    <w:rsid w:val="00D10AB7"/>
    <w:rsid w:val="00D1345F"/>
    <w:rsid w:val="00D1364B"/>
    <w:rsid w:val="00D15C52"/>
    <w:rsid w:val="00D16CEB"/>
    <w:rsid w:val="00D170A9"/>
    <w:rsid w:val="00D17402"/>
    <w:rsid w:val="00D2255B"/>
    <w:rsid w:val="00D30A4A"/>
    <w:rsid w:val="00D31EA5"/>
    <w:rsid w:val="00D41AFF"/>
    <w:rsid w:val="00D46F9A"/>
    <w:rsid w:val="00D5036E"/>
    <w:rsid w:val="00D527DC"/>
    <w:rsid w:val="00D53295"/>
    <w:rsid w:val="00D555F6"/>
    <w:rsid w:val="00D57B50"/>
    <w:rsid w:val="00D61BB4"/>
    <w:rsid w:val="00D6361A"/>
    <w:rsid w:val="00D63A39"/>
    <w:rsid w:val="00D656CF"/>
    <w:rsid w:val="00D702FB"/>
    <w:rsid w:val="00D7109B"/>
    <w:rsid w:val="00D71205"/>
    <w:rsid w:val="00D71F07"/>
    <w:rsid w:val="00D72105"/>
    <w:rsid w:val="00D848B9"/>
    <w:rsid w:val="00D858E2"/>
    <w:rsid w:val="00D936E4"/>
    <w:rsid w:val="00D94561"/>
    <w:rsid w:val="00DA6346"/>
    <w:rsid w:val="00DA69A2"/>
    <w:rsid w:val="00DA7CC3"/>
    <w:rsid w:val="00DB0E76"/>
    <w:rsid w:val="00DB4CDD"/>
    <w:rsid w:val="00DB5DCF"/>
    <w:rsid w:val="00DB65D4"/>
    <w:rsid w:val="00DB6B1D"/>
    <w:rsid w:val="00DB7258"/>
    <w:rsid w:val="00DB7673"/>
    <w:rsid w:val="00DB7FDC"/>
    <w:rsid w:val="00DC4C86"/>
    <w:rsid w:val="00DC7F5F"/>
    <w:rsid w:val="00DD06A7"/>
    <w:rsid w:val="00DD3AD7"/>
    <w:rsid w:val="00DD73E6"/>
    <w:rsid w:val="00DE2D87"/>
    <w:rsid w:val="00DE5497"/>
    <w:rsid w:val="00DE59A3"/>
    <w:rsid w:val="00DE62B3"/>
    <w:rsid w:val="00DE765F"/>
    <w:rsid w:val="00DF14FC"/>
    <w:rsid w:val="00DF2F66"/>
    <w:rsid w:val="00DF45A1"/>
    <w:rsid w:val="00DF6110"/>
    <w:rsid w:val="00E00050"/>
    <w:rsid w:val="00E07109"/>
    <w:rsid w:val="00E12299"/>
    <w:rsid w:val="00E12F23"/>
    <w:rsid w:val="00E15F57"/>
    <w:rsid w:val="00E17468"/>
    <w:rsid w:val="00E17C45"/>
    <w:rsid w:val="00E2110C"/>
    <w:rsid w:val="00E240C1"/>
    <w:rsid w:val="00E24C90"/>
    <w:rsid w:val="00E303B2"/>
    <w:rsid w:val="00E3042F"/>
    <w:rsid w:val="00E30DA9"/>
    <w:rsid w:val="00E32308"/>
    <w:rsid w:val="00E37028"/>
    <w:rsid w:val="00E404C4"/>
    <w:rsid w:val="00E43ADD"/>
    <w:rsid w:val="00E43AE7"/>
    <w:rsid w:val="00E44278"/>
    <w:rsid w:val="00E46226"/>
    <w:rsid w:val="00E472E8"/>
    <w:rsid w:val="00E50D46"/>
    <w:rsid w:val="00E62965"/>
    <w:rsid w:val="00E670F2"/>
    <w:rsid w:val="00E671A5"/>
    <w:rsid w:val="00E7132F"/>
    <w:rsid w:val="00E860A4"/>
    <w:rsid w:val="00E86162"/>
    <w:rsid w:val="00E90E8D"/>
    <w:rsid w:val="00E95026"/>
    <w:rsid w:val="00E96552"/>
    <w:rsid w:val="00EA45EC"/>
    <w:rsid w:val="00EA53BA"/>
    <w:rsid w:val="00EB078D"/>
    <w:rsid w:val="00EB6CCE"/>
    <w:rsid w:val="00EC0088"/>
    <w:rsid w:val="00EC0AED"/>
    <w:rsid w:val="00EC38A8"/>
    <w:rsid w:val="00EC6F78"/>
    <w:rsid w:val="00ED1C58"/>
    <w:rsid w:val="00ED5E5C"/>
    <w:rsid w:val="00ED77CE"/>
    <w:rsid w:val="00EE0D51"/>
    <w:rsid w:val="00EE16C7"/>
    <w:rsid w:val="00EE341F"/>
    <w:rsid w:val="00EE3D78"/>
    <w:rsid w:val="00EE43EC"/>
    <w:rsid w:val="00EE7C0D"/>
    <w:rsid w:val="00EF0D85"/>
    <w:rsid w:val="00EF4AD1"/>
    <w:rsid w:val="00F0568E"/>
    <w:rsid w:val="00F05BEE"/>
    <w:rsid w:val="00F068FC"/>
    <w:rsid w:val="00F112F5"/>
    <w:rsid w:val="00F14403"/>
    <w:rsid w:val="00F15F45"/>
    <w:rsid w:val="00F1643C"/>
    <w:rsid w:val="00F2195F"/>
    <w:rsid w:val="00F2199F"/>
    <w:rsid w:val="00F24EF1"/>
    <w:rsid w:val="00F27772"/>
    <w:rsid w:val="00F302E5"/>
    <w:rsid w:val="00F3062D"/>
    <w:rsid w:val="00F3264C"/>
    <w:rsid w:val="00F330D9"/>
    <w:rsid w:val="00F3496D"/>
    <w:rsid w:val="00F350AF"/>
    <w:rsid w:val="00F36DB0"/>
    <w:rsid w:val="00F378B1"/>
    <w:rsid w:val="00F466A0"/>
    <w:rsid w:val="00F515F0"/>
    <w:rsid w:val="00F52F05"/>
    <w:rsid w:val="00F54188"/>
    <w:rsid w:val="00F54B72"/>
    <w:rsid w:val="00F551FD"/>
    <w:rsid w:val="00F67B23"/>
    <w:rsid w:val="00F76F32"/>
    <w:rsid w:val="00F8290E"/>
    <w:rsid w:val="00F82A12"/>
    <w:rsid w:val="00F85A8A"/>
    <w:rsid w:val="00F8771B"/>
    <w:rsid w:val="00F87D0D"/>
    <w:rsid w:val="00F9125F"/>
    <w:rsid w:val="00F91AE6"/>
    <w:rsid w:val="00F930E8"/>
    <w:rsid w:val="00F93747"/>
    <w:rsid w:val="00F97C08"/>
    <w:rsid w:val="00F97C3E"/>
    <w:rsid w:val="00FA26A1"/>
    <w:rsid w:val="00FA5A09"/>
    <w:rsid w:val="00FA78FA"/>
    <w:rsid w:val="00FB279F"/>
    <w:rsid w:val="00FB4F0D"/>
    <w:rsid w:val="00FB52FD"/>
    <w:rsid w:val="00FB7EF6"/>
    <w:rsid w:val="00FC2B86"/>
    <w:rsid w:val="00FE368C"/>
    <w:rsid w:val="00FE5678"/>
    <w:rsid w:val="00FF4699"/>
    <w:rsid w:val="00FF74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E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51E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51E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51E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51E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51E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51E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51E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51E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E8"/>
    <w:rPr>
      <w:color w:val="000000" w:themeColor="hyperlink"/>
      <w:u w:val="single"/>
    </w:rPr>
  </w:style>
  <w:style w:type="paragraph" w:styleId="ListParagraph">
    <w:name w:val="List Paragraph"/>
    <w:basedOn w:val="Normal"/>
    <w:uiPriority w:val="34"/>
    <w:qFormat/>
    <w:rsid w:val="00851ECB"/>
    <w:pPr>
      <w:ind w:left="720"/>
      <w:contextualSpacing/>
    </w:pPr>
  </w:style>
  <w:style w:type="paragraph" w:styleId="FootnoteText">
    <w:name w:val="footnote text"/>
    <w:aliases w:val="F1"/>
    <w:basedOn w:val="Normal"/>
    <w:link w:val="FootnoteTextChar"/>
    <w:semiHidden/>
    <w:unhideWhenUsed/>
    <w:rsid w:val="000B68E6"/>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0B68E6"/>
    <w:rPr>
      <w:sz w:val="20"/>
      <w:szCs w:val="20"/>
    </w:rPr>
  </w:style>
  <w:style w:type="character" w:styleId="FootnoteReference">
    <w:name w:val="footnote reference"/>
    <w:basedOn w:val="DefaultParagraphFont"/>
    <w:semiHidden/>
    <w:unhideWhenUsed/>
    <w:rsid w:val="000B68E6"/>
    <w:rPr>
      <w:vertAlign w:val="superscript"/>
    </w:rPr>
  </w:style>
  <w:style w:type="paragraph" w:customStyle="1" w:styleId="Default">
    <w:name w:val="Default"/>
    <w:rsid w:val="00AF4A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1-FlLSp12">
    <w:name w:val="L1-FlL Sp&amp;1/2"/>
    <w:basedOn w:val="Normal"/>
    <w:rsid w:val="00DF14FC"/>
    <w:pPr>
      <w:tabs>
        <w:tab w:val="left" w:pos="1152"/>
      </w:tabs>
      <w:spacing w:line="360" w:lineRule="atLeast"/>
    </w:pPr>
    <w:rPr>
      <w:rFonts w:ascii="Garamond" w:hAnsi="Garamond"/>
      <w:sz w:val="24"/>
    </w:rPr>
  </w:style>
  <w:style w:type="paragraph" w:styleId="Header">
    <w:name w:val="header"/>
    <w:basedOn w:val="Normal"/>
    <w:link w:val="HeaderChar"/>
    <w:rsid w:val="00DB7673"/>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DB7673"/>
    <w:rPr>
      <w:rFonts w:ascii="Arial" w:eastAsia="Times New Roman" w:hAnsi="Arial" w:cs="Times New Roman"/>
      <w:sz w:val="24"/>
      <w:szCs w:val="20"/>
    </w:rPr>
  </w:style>
  <w:style w:type="paragraph" w:customStyle="1" w:styleId="TT-TableTitle">
    <w:name w:val="TT-Table Title"/>
    <w:basedOn w:val="Heading1"/>
    <w:rsid w:val="00F52F05"/>
    <w:pPr>
      <w:tabs>
        <w:tab w:val="left" w:pos="1440"/>
      </w:tabs>
      <w:spacing w:before="0" w:line="240" w:lineRule="atLeast"/>
      <w:ind w:left="1440" w:hanging="1440"/>
    </w:pPr>
    <w:rPr>
      <w:rFonts w:ascii="Franklin Gothic Medium" w:eastAsiaTheme="minorHAnsi" w:hAnsi="Franklin Gothic Medium" w:cstheme="minorBidi"/>
      <w:b w:val="0"/>
      <w:bCs w:val="0"/>
      <w:sz w:val="22"/>
      <w:szCs w:val="22"/>
    </w:rPr>
  </w:style>
  <w:style w:type="paragraph" w:customStyle="1" w:styleId="TH-TableHeading">
    <w:name w:val="TH-Table Heading"/>
    <w:basedOn w:val="Heading1"/>
    <w:rsid w:val="00F52F05"/>
    <w:pPr>
      <w:spacing w:before="0" w:line="240" w:lineRule="atLeast"/>
      <w:jc w:val="center"/>
    </w:pPr>
    <w:rPr>
      <w:rFonts w:ascii="Franklin Gothic Medium" w:eastAsiaTheme="minorHAnsi" w:hAnsi="Franklin Gothic Medium" w:cstheme="minorBidi"/>
      <w:bCs w:val="0"/>
      <w:sz w:val="20"/>
      <w:szCs w:val="22"/>
    </w:rPr>
  </w:style>
  <w:style w:type="table" w:customStyle="1" w:styleId="TableWestatStandardFormat">
    <w:name w:val="Table Westat Standard Format"/>
    <w:basedOn w:val="TableNormal"/>
    <w:rsid w:val="00F52F05"/>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styleId="TableGrid">
    <w:name w:val="Table Grid"/>
    <w:basedOn w:val="TableNormal"/>
    <w:uiPriority w:val="59"/>
    <w:rsid w:val="00F52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ECB"/>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217D55"/>
    <w:rPr>
      <w:sz w:val="16"/>
      <w:szCs w:val="16"/>
    </w:rPr>
  </w:style>
  <w:style w:type="paragraph" w:styleId="CommentText">
    <w:name w:val="annotation text"/>
    <w:basedOn w:val="Normal"/>
    <w:link w:val="CommentTextChar"/>
    <w:uiPriority w:val="99"/>
    <w:semiHidden/>
    <w:unhideWhenUsed/>
    <w:rsid w:val="00217D55"/>
    <w:pPr>
      <w:spacing w:line="240" w:lineRule="auto"/>
    </w:pPr>
    <w:rPr>
      <w:sz w:val="20"/>
      <w:szCs w:val="20"/>
    </w:rPr>
  </w:style>
  <w:style w:type="character" w:customStyle="1" w:styleId="CommentTextChar">
    <w:name w:val="Comment Text Char"/>
    <w:basedOn w:val="DefaultParagraphFont"/>
    <w:link w:val="CommentText"/>
    <w:uiPriority w:val="99"/>
    <w:semiHidden/>
    <w:rsid w:val="00217D55"/>
    <w:rPr>
      <w:sz w:val="20"/>
      <w:szCs w:val="20"/>
    </w:rPr>
  </w:style>
  <w:style w:type="paragraph" w:styleId="CommentSubject">
    <w:name w:val="annotation subject"/>
    <w:basedOn w:val="CommentText"/>
    <w:next w:val="CommentText"/>
    <w:link w:val="CommentSubjectChar"/>
    <w:uiPriority w:val="99"/>
    <w:semiHidden/>
    <w:unhideWhenUsed/>
    <w:rsid w:val="00217D55"/>
    <w:rPr>
      <w:b/>
      <w:bCs/>
    </w:rPr>
  </w:style>
  <w:style w:type="character" w:customStyle="1" w:styleId="CommentSubjectChar">
    <w:name w:val="Comment Subject Char"/>
    <w:basedOn w:val="CommentTextChar"/>
    <w:link w:val="CommentSubject"/>
    <w:uiPriority w:val="99"/>
    <w:semiHidden/>
    <w:rsid w:val="00217D55"/>
    <w:rPr>
      <w:b/>
      <w:bCs/>
      <w:sz w:val="20"/>
      <w:szCs w:val="20"/>
    </w:rPr>
  </w:style>
  <w:style w:type="paragraph" w:styleId="BalloonText">
    <w:name w:val="Balloon Text"/>
    <w:basedOn w:val="Normal"/>
    <w:link w:val="BalloonTextChar"/>
    <w:uiPriority w:val="99"/>
    <w:semiHidden/>
    <w:unhideWhenUsed/>
    <w:rsid w:val="0021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55"/>
    <w:rPr>
      <w:rFonts w:ascii="Tahoma" w:hAnsi="Tahoma" w:cs="Tahoma"/>
      <w:sz w:val="16"/>
      <w:szCs w:val="16"/>
    </w:rPr>
  </w:style>
  <w:style w:type="paragraph" w:styleId="Footer">
    <w:name w:val="footer"/>
    <w:basedOn w:val="Normal"/>
    <w:link w:val="FooterChar"/>
    <w:uiPriority w:val="99"/>
    <w:unhideWhenUsed/>
    <w:rsid w:val="0028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16"/>
  </w:style>
  <w:style w:type="character" w:styleId="FollowedHyperlink">
    <w:name w:val="FollowedHyperlink"/>
    <w:basedOn w:val="DefaultParagraphFont"/>
    <w:uiPriority w:val="99"/>
    <w:semiHidden/>
    <w:unhideWhenUsed/>
    <w:rsid w:val="002124A5"/>
    <w:rPr>
      <w:color w:val="000000" w:themeColor="followedHyperlink"/>
      <w:u w:val="single"/>
    </w:rPr>
  </w:style>
  <w:style w:type="paragraph" w:styleId="TOCHeading">
    <w:name w:val="TOC Heading"/>
    <w:basedOn w:val="Heading1"/>
    <w:next w:val="Normal"/>
    <w:uiPriority w:val="39"/>
    <w:semiHidden/>
    <w:unhideWhenUsed/>
    <w:qFormat/>
    <w:rsid w:val="00851ECB"/>
    <w:pPr>
      <w:outlineLvl w:val="9"/>
    </w:pPr>
  </w:style>
  <w:style w:type="character" w:customStyle="1" w:styleId="Heading2Char">
    <w:name w:val="Heading 2 Char"/>
    <w:basedOn w:val="DefaultParagraphFont"/>
    <w:link w:val="Heading2"/>
    <w:uiPriority w:val="9"/>
    <w:semiHidden/>
    <w:rsid w:val="00851E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1ECB"/>
    <w:rPr>
      <w:rFonts w:asciiTheme="majorHAnsi" w:eastAsiaTheme="majorEastAsia" w:hAnsiTheme="majorHAnsi" w:cstheme="majorBidi"/>
      <w:b/>
      <w:bCs/>
    </w:rPr>
  </w:style>
  <w:style w:type="paragraph" w:styleId="TOC1">
    <w:name w:val="toc 1"/>
    <w:basedOn w:val="Normal"/>
    <w:next w:val="Normal"/>
    <w:autoRedefine/>
    <w:uiPriority w:val="39"/>
    <w:unhideWhenUsed/>
    <w:rsid w:val="00F54B72"/>
    <w:pPr>
      <w:spacing w:after="100"/>
    </w:pPr>
  </w:style>
  <w:style w:type="paragraph" w:styleId="TOC2">
    <w:name w:val="toc 2"/>
    <w:basedOn w:val="Normal"/>
    <w:next w:val="Normal"/>
    <w:autoRedefine/>
    <w:uiPriority w:val="39"/>
    <w:unhideWhenUsed/>
    <w:rsid w:val="00F54B72"/>
    <w:pPr>
      <w:spacing w:after="100"/>
      <w:ind w:left="220"/>
    </w:pPr>
  </w:style>
  <w:style w:type="paragraph" w:styleId="TOC3">
    <w:name w:val="toc 3"/>
    <w:basedOn w:val="Normal"/>
    <w:next w:val="Normal"/>
    <w:autoRedefine/>
    <w:uiPriority w:val="39"/>
    <w:unhideWhenUsed/>
    <w:rsid w:val="00F54B72"/>
    <w:pPr>
      <w:spacing w:after="100"/>
      <w:ind w:left="440"/>
    </w:pPr>
  </w:style>
  <w:style w:type="character" w:customStyle="1" w:styleId="Heading4Char">
    <w:name w:val="Heading 4 Char"/>
    <w:basedOn w:val="DefaultParagraphFont"/>
    <w:link w:val="Heading4"/>
    <w:uiPriority w:val="9"/>
    <w:semiHidden/>
    <w:rsid w:val="00851E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51E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51E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51E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51E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51E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51E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51E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51E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51ECB"/>
    <w:rPr>
      <w:rFonts w:asciiTheme="majorHAnsi" w:eastAsiaTheme="majorEastAsia" w:hAnsiTheme="majorHAnsi" w:cstheme="majorBidi"/>
      <w:i/>
      <w:iCs/>
      <w:spacing w:val="13"/>
      <w:sz w:val="24"/>
      <w:szCs w:val="24"/>
    </w:rPr>
  </w:style>
  <w:style w:type="character" w:styleId="Strong">
    <w:name w:val="Strong"/>
    <w:uiPriority w:val="22"/>
    <w:qFormat/>
    <w:rsid w:val="00851ECB"/>
    <w:rPr>
      <w:b/>
      <w:bCs/>
    </w:rPr>
  </w:style>
  <w:style w:type="character" w:styleId="Emphasis">
    <w:name w:val="Emphasis"/>
    <w:uiPriority w:val="20"/>
    <w:qFormat/>
    <w:rsid w:val="00851ECB"/>
    <w:rPr>
      <w:b/>
      <w:bCs/>
      <w:i/>
      <w:iCs/>
      <w:spacing w:val="10"/>
      <w:bdr w:val="none" w:sz="0" w:space="0" w:color="auto"/>
      <w:shd w:val="clear" w:color="auto" w:fill="auto"/>
    </w:rPr>
  </w:style>
  <w:style w:type="paragraph" w:styleId="NoSpacing">
    <w:name w:val="No Spacing"/>
    <w:basedOn w:val="Normal"/>
    <w:uiPriority w:val="1"/>
    <w:qFormat/>
    <w:rsid w:val="00851ECB"/>
    <w:pPr>
      <w:spacing w:after="0" w:line="240" w:lineRule="auto"/>
    </w:pPr>
  </w:style>
  <w:style w:type="paragraph" w:styleId="Quote">
    <w:name w:val="Quote"/>
    <w:basedOn w:val="Normal"/>
    <w:next w:val="Normal"/>
    <w:link w:val="QuoteChar"/>
    <w:uiPriority w:val="29"/>
    <w:qFormat/>
    <w:rsid w:val="00851ECB"/>
    <w:pPr>
      <w:spacing w:before="200" w:after="0"/>
      <w:ind w:left="360" w:right="360"/>
    </w:pPr>
    <w:rPr>
      <w:i/>
      <w:iCs/>
    </w:rPr>
  </w:style>
  <w:style w:type="character" w:customStyle="1" w:styleId="QuoteChar">
    <w:name w:val="Quote Char"/>
    <w:basedOn w:val="DefaultParagraphFont"/>
    <w:link w:val="Quote"/>
    <w:uiPriority w:val="29"/>
    <w:rsid w:val="00851ECB"/>
    <w:rPr>
      <w:i/>
      <w:iCs/>
    </w:rPr>
  </w:style>
  <w:style w:type="paragraph" w:styleId="IntenseQuote">
    <w:name w:val="Intense Quote"/>
    <w:basedOn w:val="Normal"/>
    <w:next w:val="Normal"/>
    <w:link w:val="IntenseQuoteChar"/>
    <w:uiPriority w:val="30"/>
    <w:qFormat/>
    <w:rsid w:val="00851E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51ECB"/>
    <w:rPr>
      <w:b/>
      <w:bCs/>
      <w:i/>
      <w:iCs/>
    </w:rPr>
  </w:style>
  <w:style w:type="character" w:styleId="SubtleEmphasis">
    <w:name w:val="Subtle Emphasis"/>
    <w:uiPriority w:val="19"/>
    <w:qFormat/>
    <w:rsid w:val="00851ECB"/>
    <w:rPr>
      <w:i/>
      <w:iCs/>
    </w:rPr>
  </w:style>
  <w:style w:type="character" w:styleId="IntenseEmphasis">
    <w:name w:val="Intense Emphasis"/>
    <w:uiPriority w:val="21"/>
    <w:qFormat/>
    <w:rsid w:val="00851ECB"/>
    <w:rPr>
      <w:b/>
      <w:bCs/>
    </w:rPr>
  </w:style>
  <w:style w:type="character" w:styleId="SubtleReference">
    <w:name w:val="Subtle Reference"/>
    <w:uiPriority w:val="31"/>
    <w:qFormat/>
    <w:rsid w:val="00851ECB"/>
    <w:rPr>
      <w:smallCaps/>
    </w:rPr>
  </w:style>
  <w:style w:type="character" w:styleId="IntenseReference">
    <w:name w:val="Intense Reference"/>
    <w:uiPriority w:val="32"/>
    <w:qFormat/>
    <w:rsid w:val="00851ECB"/>
    <w:rPr>
      <w:smallCaps/>
      <w:spacing w:val="5"/>
      <w:u w:val="single"/>
    </w:rPr>
  </w:style>
  <w:style w:type="character" w:styleId="BookTitle">
    <w:name w:val="Book Title"/>
    <w:uiPriority w:val="33"/>
    <w:qFormat/>
    <w:rsid w:val="00851ECB"/>
    <w:rPr>
      <w:i/>
      <w:iCs/>
      <w:smallCaps/>
      <w:spacing w:val="5"/>
    </w:rPr>
  </w:style>
  <w:style w:type="paragraph" w:styleId="Bibliography">
    <w:name w:val="Bibliography"/>
    <w:basedOn w:val="Normal"/>
    <w:next w:val="Normal"/>
    <w:uiPriority w:val="37"/>
    <w:unhideWhenUsed/>
    <w:rsid w:val="00DB0E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851ECB"/>
    <w:p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851ECB"/>
    <w:p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851ECB"/>
    <w:p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851ECB"/>
    <w:p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51ECB"/>
    <w:p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51ECB"/>
    <w:p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51ECB"/>
    <w:p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51ECB"/>
    <w:p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51ECB"/>
    <w:p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472E8"/>
    <w:rPr>
      <w:color w:val="000000" w:themeColor="hyperlink"/>
      <w:u w:val="single"/>
    </w:rPr>
  </w:style>
  <w:style w:type="paragraph" w:styleId="ListParagraph">
    <w:name w:val="List Paragraph"/>
    <w:basedOn w:val="Normal"/>
    <w:uiPriority w:val="34"/>
    <w:qFormat/>
    <w:rsid w:val="00851ECB"/>
    <w:pPr>
      <w:ind w:left="720"/>
      <w:contextualSpacing/>
    </w:pPr>
  </w:style>
  <w:style w:type="paragraph" w:styleId="FootnoteText">
    <w:name w:val="footnote text"/>
    <w:aliases w:val="F1"/>
    <w:basedOn w:val="Normal"/>
    <w:link w:val="FootnoteTextChar"/>
    <w:semiHidden/>
    <w:unhideWhenUsed/>
    <w:rsid w:val="000B68E6"/>
    <w:pPr>
      <w:spacing w:after="0" w:line="240" w:lineRule="auto"/>
    </w:pPr>
    <w:rPr>
      <w:sz w:val="20"/>
      <w:szCs w:val="20"/>
    </w:rPr>
  </w:style>
  <w:style w:type="character" w:customStyle="1" w:styleId="FootnoteTextChar">
    <w:name w:val="Footnote Text Char"/>
    <w:aliases w:val="F1 Char"/>
    <w:basedOn w:val="DefaultParagraphFont"/>
    <w:link w:val="FootnoteText"/>
    <w:uiPriority w:val="99"/>
    <w:semiHidden/>
    <w:rsid w:val="000B68E6"/>
    <w:rPr>
      <w:sz w:val="20"/>
      <w:szCs w:val="20"/>
    </w:rPr>
  </w:style>
  <w:style w:type="character" w:styleId="FootnoteReference">
    <w:name w:val="footnote reference"/>
    <w:basedOn w:val="DefaultParagraphFont"/>
    <w:semiHidden/>
    <w:unhideWhenUsed/>
    <w:rsid w:val="000B68E6"/>
    <w:rPr>
      <w:vertAlign w:val="superscript"/>
    </w:rPr>
  </w:style>
  <w:style w:type="paragraph" w:customStyle="1" w:styleId="Default">
    <w:name w:val="Default"/>
    <w:rsid w:val="00AF4A7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L1-FlLSp12">
    <w:name w:val="L1-FlL Sp&amp;1/2"/>
    <w:basedOn w:val="Normal"/>
    <w:rsid w:val="00DF14FC"/>
    <w:pPr>
      <w:tabs>
        <w:tab w:val="left" w:pos="1152"/>
      </w:tabs>
      <w:spacing w:line="360" w:lineRule="atLeast"/>
    </w:pPr>
    <w:rPr>
      <w:rFonts w:ascii="Garamond" w:hAnsi="Garamond"/>
      <w:sz w:val="24"/>
    </w:rPr>
  </w:style>
  <w:style w:type="paragraph" w:styleId="Header">
    <w:name w:val="header"/>
    <w:basedOn w:val="Normal"/>
    <w:link w:val="HeaderChar"/>
    <w:rsid w:val="00DB7673"/>
    <w:pPr>
      <w:tabs>
        <w:tab w:val="center" w:pos="4320"/>
        <w:tab w:val="right" w:pos="8640"/>
      </w:tabs>
      <w:spacing w:after="0" w:line="240" w:lineRule="auto"/>
    </w:pPr>
    <w:rPr>
      <w:rFonts w:ascii="Arial" w:eastAsia="Times New Roman" w:hAnsi="Arial" w:cs="Times New Roman"/>
      <w:sz w:val="24"/>
      <w:szCs w:val="20"/>
    </w:rPr>
  </w:style>
  <w:style w:type="character" w:customStyle="1" w:styleId="HeaderChar">
    <w:name w:val="Header Char"/>
    <w:basedOn w:val="DefaultParagraphFont"/>
    <w:link w:val="Header"/>
    <w:rsid w:val="00DB7673"/>
    <w:rPr>
      <w:rFonts w:ascii="Arial" w:eastAsia="Times New Roman" w:hAnsi="Arial" w:cs="Times New Roman"/>
      <w:sz w:val="24"/>
      <w:szCs w:val="20"/>
    </w:rPr>
  </w:style>
  <w:style w:type="paragraph" w:customStyle="1" w:styleId="TT-TableTitle">
    <w:name w:val="TT-Table Title"/>
    <w:basedOn w:val="Heading1"/>
    <w:rsid w:val="00F52F05"/>
    <w:pPr>
      <w:tabs>
        <w:tab w:val="left" w:pos="1440"/>
      </w:tabs>
      <w:spacing w:before="0" w:line="240" w:lineRule="atLeast"/>
      <w:ind w:left="1440" w:hanging="1440"/>
    </w:pPr>
    <w:rPr>
      <w:rFonts w:ascii="Franklin Gothic Medium" w:eastAsiaTheme="minorHAnsi" w:hAnsi="Franklin Gothic Medium" w:cstheme="minorBidi"/>
      <w:b w:val="0"/>
      <w:bCs w:val="0"/>
      <w:sz w:val="22"/>
      <w:szCs w:val="22"/>
    </w:rPr>
  </w:style>
  <w:style w:type="paragraph" w:customStyle="1" w:styleId="TH-TableHeading">
    <w:name w:val="TH-Table Heading"/>
    <w:basedOn w:val="Heading1"/>
    <w:rsid w:val="00F52F05"/>
    <w:pPr>
      <w:spacing w:before="0" w:line="240" w:lineRule="atLeast"/>
      <w:jc w:val="center"/>
    </w:pPr>
    <w:rPr>
      <w:rFonts w:ascii="Franklin Gothic Medium" w:eastAsiaTheme="minorHAnsi" w:hAnsi="Franklin Gothic Medium" w:cstheme="minorBidi"/>
      <w:bCs w:val="0"/>
      <w:sz w:val="20"/>
      <w:szCs w:val="22"/>
    </w:rPr>
  </w:style>
  <w:style w:type="table" w:customStyle="1" w:styleId="TableWestatStandardFormat">
    <w:name w:val="Table Westat Standard Format"/>
    <w:basedOn w:val="TableNormal"/>
    <w:rsid w:val="00F52F05"/>
    <w:pPr>
      <w:spacing w:after="0" w:line="240" w:lineRule="auto"/>
    </w:pPr>
    <w:rPr>
      <w:rFonts w:ascii="Franklin Gothic Medium" w:eastAsia="Times New Roman" w:hAnsi="Franklin Gothic Medium" w:cs="Times New Roman"/>
      <w:sz w:val="20"/>
      <w:szCs w:val="20"/>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styleId="TableGrid">
    <w:name w:val="Table Grid"/>
    <w:basedOn w:val="TableNormal"/>
    <w:uiPriority w:val="59"/>
    <w:rsid w:val="00F52F0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851ECB"/>
    <w:rPr>
      <w:rFonts w:asciiTheme="majorHAnsi" w:eastAsiaTheme="majorEastAsia" w:hAnsiTheme="majorHAnsi" w:cstheme="majorBidi"/>
      <w:b/>
      <w:bCs/>
      <w:sz w:val="28"/>
      <w:szCs w:val="28"/>
    </w:rPr>
  </w:style>
  <w:style w:type="character" w:styleId="CommentReference">
    <w:name w:val="annotation reference"/>
    <w:basedOn w:val="DefaultParagraphFont"/>
    <w:uiPriority w:val="99"/>
    <w:semiHidden/>
    <w:unhideWhenUsed/>
    <w:rsid w:val="00217D55"/>
    <w:rPr>
      <w:sz w:val="16"/>
      <w:szCs w:val="16"/>
    </w:rPr>
  </w:style>
  <w:style w:type="paragraph" w:styleId="CommentText">
    <w:name w:val="annotation text"/>
    <w:basedOn w:val="Normal"/>
    <w:link w:val="CommentTextChar"/>
    <w:uiPriority w:val="99"/>
    <w:semiHidden/>
    <w:unhideWhenUsed/>
    <w:rsid w:val="00217D55"/>
    <w:pPr>
      <w:spacing w:line="240" w:lineRule="auto"/>
    </w:pPr>
    <w:rPr>
      <w:sz w:val="20"/>
      <w:szCs w:val="20"/>
    </w:rPr>
  </w:style>
  <w:style w:type="character" w:customStyle="1" w:styleId="CommentTextChar">
    <w:name w:val="Comment Text Char"/>
    <w:basedOn w:val="DefaultParagraphFont"/>
    <w:link w:val="CommentText"/>
    <w:uiPriority w:val="99"/>
    <w:semiHidden/>
    <w:rsid w:val="00217D55"/>
    <w:rPr>
      <w:sz w:val="20"/>
      <w:szCs w:val="20"/>
    </w:rPr>
  </w:style>
  <w:style w:type="paragraph" w:styleId="CommentSubject">
    <w:name w:val="annotation subject"/>
    <w:basedOn w:val="CommentText"/>
    <w:next w:val="CommentText"/>
    <w:link w:val="CommentSubjectChar"/>
    <w:uiPriority w:val="99"/>
    <w:semiHidden/>
    <w:unhideWhenUsed/>
    <w:rsid w:val="00217D55"/>
    <w:rPr>
      <w:b/>
      <w:bCs/>
    </w:rPr>
  </w:style>
  <w:style w:type="character" w:customStyle="1" w:styleId="CommentSubjectChar">
    <w:name w:val="Comment Subject Char"/>
    <w:basedOn w:val="CommentTextChar"/>
    <w:link w:val="CommentSubject"/>
    <w:uiPriority w:val="99"/>
    <w:semiHidden/>
    <w:rsid w:val="00217D55"/>
    <w:rPr>
      <w:b/>
      <w:bCs/>
      <w:sz w:val="20"/>
      <w:szCs w:val="20"/>
    </w:rPr>
  </w:style>
  <w:style w:type="paragraph" w:styleId="BalloonText">
    <w:name w:val="Balloon Text"/>
    <w:basedOn w:val="Normal"/>
    <w:link w:val="BalloonTextChar"/>
    <w:uiPriority w:val="99"/>
    <w:semiHidden/>
    <w:unhideWhenUsed/>
    <w:rsid w:val="00217D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D55"/>
    <w:rPr>
      <w:rFonts w:ascii="Tahoma" w:hAnsi="Tahoma" w:cs="Tahoma"/>
      <w:sz w:val="16"/>
      <w:szCs w:val="16"/>
    </w:rPr>
  </w:style>
  <w:style w:type="paragraph" w:styleId="Footer">
    <w:name w:val="footer"/>
    <w:basedOn w:val="Normal"/>
    <w:link w:val="FooterChar"/>
    <w:uiPriority w:val="99"/>
    <w:unhideWhenUsed/>
    <w:rsid w:val="00283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3A16"/>
  </w:style>
  <w:style w:type="character" w:styleId="FollowedHyperlink">
    <w:name w:val="FollowedHyperlink"/>
    <w:basedOn w:val="DefaultParagraphFont"/>
    <w:uiPriority w:val="99"/>
    <w:semiHidden/>
    <w:unhideWhenUsed/>
    <w:rsid w:val="002124A5"/>
    <w:rPr>
      <w:color w:val="000000" w:themeColor="followedHyperlink"/>
      <w:u w:val="single"/>
    </w:rPr>
  </w:style>
  <w:style w:type="paragraph" w:styleId="TOCHeading">
    <w:name w:val="TOC Heading"/>
    <w:basedOn w:val="Heading1"/>
    <w:next w:val="Normal"/>
    <w:uiPriority w:val="39"/>
    <w:semiHidden/>
    <w:unhideWhenUsed/>
    <w:qFormat/>
    <w:rsid w:val="00851ECB"/>
    <w:pPr>
      <w:outlineLvl w:val="9"/>
    </w:pPr>
  </w:style>
  <w:style w:type="character" w:customStyle="1" w:styleId="Heading2Char">
    <w:name w:val="Heading 2 Char"/>
    <w:basedOn w:val="DefaultParagraphFont"/>
    <w:link w:val="Heading2"/>
    <w:uiPriority w:val="9"/>
    <w:semiHidden/>
    <w:rsid w:val="00851ECB"/>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51ECB"/>
    <w:rPr>
      <w:rFonts w:asciiTheme="majorHAnsi" w:eastAsiaTheme="majorEastAsia" w:hAnsiTheme="majorHAnsi" w:cstheme="majorBidi"/>
      <w:b/>
      <w:bCs/>
    </w:rPr>
  </w:style>
  <w:style w:type="paragraph" w:styleId="TOC1">
    <w:name w:val="toc 1"/>
    <w:basedOn w:val="Normal"/>
    <w:next w:val="Normal"/>
    <w:autoRedefine/>
    <w:uiPriority w:val="39"/>
    <w:unhideWhenUsed/>
    <w:rsid w:val="00F54B72"/>
    <w:pPr>
      <w:spacing w:after="100"/>
    </w:pPr>
  </w:style>
  <w:style w:type="paragraph" w:styleId="TOC2">
    <w:name w:val="toc 2"/>
    <w:basedOn w:val="Normal"/>
    <w:next w:val="Normal"/>
    <w:autoRedefine/>
    <w:uiPriority w:val="39"/>
    <w:unhideWhenUsed/>
    <w:rsid w:val="00F54B72"/>
    <w:pPr>
      <w:spacing w:after="100"/>
      <w:ind w:left="220"/>
    </w:pPr>
  </w:style>
  <w:style w:type="paragraph" w:styleId="TOC3">
    <w:name w:val="toc 3"/>
    <w:basedOn w:val="Normal"/>
    <w:next w:val="Normal"/>
    <w:autoRedefine/>
    <w:uiPriority w:val="39"/>
    <w:unhideWhenUsed/>
    <w:rsid w:val="00F54B72"/>
    <w:pPr>
      <w:spacing w:after="100"/>
      <w:ind w:left="440"/>
    </w:pPr>
  </w:style>
  <w:style w:type="character" w:customStyle="1" w:styleId="Heading4Char">
    <w:name w:val="Heading 4 Char"/>
    <w:basedOn w:val="DefaultParagraphFont"/>
    <w:link w:val="Heading4"/>
    <w:uiPriority w:val="9"/>
    <w:semiHidden/>
    <w:rsid w:val="00851ECB"/>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51ECB"/>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51ECB"/>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51ECB"/>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51ECB"/>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51ECB"/>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851ECB"/>
    <w:pPr>
      <w:pBdr>
        <w:bottom w:val="single" w:sz="4" w:space="1" w:color="auto"/>
      </w:pBdr>
      <w:spacing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851EC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851ECB"/>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51ECB"/>
    <w:rPr>
      <w:rFonts w:asciiTheme="majorHAnsi" w:eastAsiaTheme="majorEastAsia" w:hAnsiTheme="majorHAnsi" w:cstheme="majorBidi"/>
      <w:i/>
      <w:iCs/>
      <w:spacing w:val="13"/>
      <w:sz w:val="24"/>
      <w:szCs w:val="24"/>
    </w:rPr>
  </w:style>
  <w:style w:type="character" w:styleId="Strong">
    <w:name w:val="Strong"/>
    <w:uiPriority w:val="22"/>
    <w:qFormat/>
    <w:rsid w:val="00851ECB"/>
    <w:rPr>
      <w:b/>
      <w:bCs/>
    </w:rPr>
  </w:style>
  <w:style w:type="character" w:styleId="Emphasis">
    <w:name w:val="Emphasis"/>
    <w:uiPriority w:val="20"/>
    <w:qFormat/>
    <w:rsid w:val="00851ECB"/>
    <w:rPr>
      <w:b/>
      <w:bCs/>
      <w:i/>
      <w:iCs/>
      <w:spacing w:val="10"/>
      <w:bdr w:val="none" w:sz="0" w:space="0" w:color="auto"/>
      <w:shd w:val="clear" w:color="auto" w:fill="auto"/>
    </w:rPr>
  </w:style>
  <w:style w:type="paragraph" w:styleId="NoSpacing">
    <w:name w:val="No Spacing"/>
    <w:basedOn w:val="Normal"/>
    <w:uiPriority w:val="1"/>
    <w:qFormat/>
    <w:rsid w:val="00851ECB"/>
    <w:pPr>
      <w:spacing w:after="0" w:line="240" w:lineRule="auto"/>
    </w:pPr>
  </w:style>
  <w:style w:type="paragraph" w:styleId="Quote">
    <w:name w:val="Quote"/>
    <w:basedOn w:val="Normal"/>
    <w:next w:val="Normal"/>
    <w:link w:val="QuoteChar"/>
    <w:uiPriority w:val="29"/>
    <w:qFormat/>
    <w:rsid w:val="00851ECB"/>
    <w:pPr>
      <w:spacing w:before="200" w:after="0"/>
      <w:ind w:left="360" w:right="360"/>
    </w:pPr>
    <w:rPr>
      <w:i/>
      <w:iCs/>
    </w:rPr>
  </w:style>
  <w:style w:type="character" w:customStyle="1" w:styleId="QuoteChar">
    <w:name w:val="Quote Char"/>
    <w:basedOn w:val="DefaultParagraphFont"/>
    <w:link w:val="Quote"/>
    <w:uiPriority w:val="29"/>
    <w:rsid w:val="00851ECB"/>
    <w:rPr>
      <w:i/>
      <w:iCs/>
    </w:rPr>
  </w:style>
  <w:style w:type="paragraph" w:styleId="IntenseQuote">
    <w:name w:val="Intense Quote"/>
    <w:basedOn w:val="Normal"/>
    <w:next w:val="Normal"/>
    <w:link w:val="IntenseQuoteChar"/>
    <w:uiPriority w:val="30"/>
    <w:qFormat/>
    <w:rsid w:val="00851ECB"/>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51ECB"/>
    <w:rPr>
      <w:b/>
      <w:bCs/>
      <w:i/>
      <w:iCs/>
    </w:rPr>
  </w:style>
  <w:style w:type="character" w:styleId="SubtleEmphasis">
    <w:name w:val="Subtle Emphasis"/>
    <w:uiPriority w:val="19"/>
    <w:qFormat/>
    <w:rsid w:val="00851ECB"/>
    <w:rPr>
      <w:i/>
      <w:iCs/>
    </w:rPr>
  </w:style>
  <w:style w:type="character" w:styleId="IntenseEmphasis">
    <w:name w:val="Intense Emphasis"/>
    <w:uiPriority w:val="21"/>
    <w:qFormat/>
    <w:rsid w:val="00851ECB"/>
    <w:rPr>
      <w:b/>
      <w:bCs/>
    </w:rPr>
  </w:style>
  <w:style w:type="character" w:styleId="SubtleReference">
    <w:name w:val="Subtle Reference"/>
    <w:uiPriority w:val="31"/>
    <w:qFormat/>
    <w:rsid w:val="00851ECB"/>
    <w:rPr>
      <w:smallCaps/>
    </w:rPr>
  </w:style>
  <w:style w:type="character" w:styleId="IntenseReference">
    <w:name w:val="Intense Reference"/>
    <w:uiPriority w:val="32"/>
    <w:qFormat/>
    <w:rsid w:val="00851ECB"/>
    <w:rPr>
      <w:smallCaps/>
      <w:spacing w:val="5"/>
      <w:u w:val="single"/>
    </w:rPr>
  </w:style>
  <w:style w:type="character" w:styleId="BookTitle">
    <w:name w:val="Book Title"/>
    <w:uiPriority w:val="33"/>
    <w:qFormat/>
    <w:rsid w:val="00851ECB"/>
    <w:rPr>
      <w:i/>
      <w:iCs/>
      <w:smallCaps/>
      <w:spacing w:val="5"/>
    </w:rPr>
  </w:style>
  <w:style w:type="paragraph" w:styleId="Bibliography">
    <w:name w:val="Bibliography"/>
    <w:basedOn w:val="Normal"/>
    <w:next w:val="Normal"/>
    <w:uiPriority w:val="37"/>
    <w:unhideWhenUsed/>
    <w:rsid w:val="00DB0E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3692108">
      <w:bodyDiv w:val="1"/>
      <w:marLeft w:val="0"/>
      <w:marRight w:val="0"/>
      <w:marTop w:val="0"/>
      <w:marBottom w:val="0"/>
      <w:divBdr>
        <w:top w:val="none" w:sz="0" w:space="0" w:color="auto"/>
        <w:left w:val="none" w:sz="0" w:space="0" w:color="auto"/>
        <w:bottom w:val="none" w:sz="0" w:space="0" w:color="auto"/>
        <w:right w:val="none" w:sz="0" w:space="0" w:color="auto"/>
      </w:divBdr>
    </w:div>
    <w:div w:id="1643344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LLJackson@cdc.gov"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000000"/>
      </a:dk2>
      <a:lt2>
        <a:srgbClr val="F8F8F8"/>
      </a:lt2>
      <a:accent1>
        <a:srgbClr val="000000"/>
      </a:accent1>
      <a:accent2>
        <a:srgbClr val="000000"/>
      </a:accent2>
      <a:accent3>
        <a:srgbClr val="000000"/>
      </a:accent3>
      <a:accent4>
        <a:srgbClr val="000000"/>
      </a:accent4>
      <a:accent5>
        <a:srgbClr val="000000"/>
      </a:accent5>
      <a:accent6>
        <a:srgbClr val="000000"/>
      </a:accent6>
      <a:hlink>
        <a:srgbClr val="00000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b:Source>
    <b:Tag>Pol87</b:Tag>
    <b:SourceType>Book</b:SourceType>
    <b:Guid>{FD96BCEA-366A-4324-9172-4D5AE9EF597E}</b:Guid>
    <b:Author>
      <b:Author>
        <b:NameList>
          <b:Person>
            <b:Last>Pollack</b:Last>
            <b:First>E.S.</b:First>
            <b:Middle>&amp; Keimig, D.G.</b:Middle>
          </b:Person>
        </b:NameList>
      </b:Author>
    </b:Author>
    <b:Title>Counting Injuries and Ilnesses in the Workplace: Proposals for a Better System</b:Title>
    <b:Year>1987</b:Year>
    <b:City>Washington, DC</b:City>
    <b:Publisher>National Academy Press</b:Publisher>
    <b:RefOrder>2</b:RefOrder>
  </b:Source>
  <b:Source>
    <b:Tag>Com08</b:Tag>
    <b:SourceType>ElectronicSource</b:SourceType>
    <b:Guid>{C57BD0F4-0676-4F50-BFD7-A6BB82979265}</b:Guid>
    <b:Author>
      <b:Author>
        <b:NameList>
          <b:Person>
            <b:Last>Committee on Education and Labor</b:Last>
            <b:First>US</b:First>
            <b:Middle>House of Representatives</b:Middle>
          </b:Person>
        </b:NameList>
      </b:Author>
    </b:Author>
    <b:Title>Hidden tragedy: Underreporting of workplace injuries and illnesses</b:Title>
    <b:Year>2008</b:Year>
    <b:City>Washington</b:City>
    <b:StateProvince>DC</b:StateProvince>
    <b:Month>June</b:Month>
    <b:Day>2011</b:Day>
    <b:RefOrder>3</b:RefOrder>
  </b:Source>
  <b:Source>
    <b:Tag>Rus08</b:Tag>
    <b:SourceType>JournalArticle</b:SourceType>
    <b:Guid>{44959E5A-D7BD-4069-9BC8-F0B52F0E44E4}</b:Guid>
    <b:Author>
      <b:Author>
        <b:NameList>
          <b:Person>
            <b:Last>Ruser</b:Last>
            <b:First>J.</b:First>
            <b:Middle>W.</b:Middle>
          </b:Person>
        </b:NameList>
      </b:Author>
    </b:Author>
    <b:Title>Examining evidence on whether BLS undercounts workplace injuries and illnesses</b:Title>
    <b:Year>2008</b:Year>
    <b:PeriodicalTitle>Monthly Labor Review</b:PeriodicalTitle>
    <b:Pages>20-32</b:Pages>
    <b:JournalName>Monthly Labor Review</b:JournalName>
    <b:Volume>131</b:Volume>
    <b:Issue>8</b:Issue>
    <b:RefOrder>4</b:RefOrder>
  </b:Source>
  <b:Source>
    <b:Tag>CDC11</b:Tag>
    <b:SourceType>JournalArticle</b:SourceType>
    <b:Guid>{632E364B-680E-4712-915E-BA45DA7164C9}</b:Guid>
    <b:Author>
      <b:Author>
        <b:Corporate>CDC</b:Corporate>
      </b:Author>
    </b:Author>
    <b:Title>Workers Memorial Day--April 28,2011</b:Title>
    <b:JournalName>Morbidity and Mortality Weekly Report</b:JournalName>
    <b:Year>2011</b:Year>
    <b:Pages>497</b:Pages>
    <b:Volume>60</b:Volume>
    <b:Issue>16</b:Issue>
    <b:RefOrder>1</b:RefOrder>
  </b:Source>
  <b:Source>
    <b:Tag>Bur06</b:Tag>
    <b:SourceType>ElectronicSource</b:SourceType>
    <b:Guid>{FED7C0B9-D72E-4549-BEA0-A1457BEF70DA}</b:Guid>
    <b:Author>
      <b:Author>
        <b:Corporate>Bureau of Labor Statistics</b:Corporate>
      </b:Author>
    </b:Author>
    <b:Title>Emplyoment and earnings</b:Title>
    <b:Year>2006</b:Year>
    <b:City>Washington, DC</b:City>
    <b:Month>January</b:Month>
    <b:RefOrder>5</b:RefOrder>
  </b:Source>
  <b:Source>
    <b:Tag>Bod08</b:Tag>
    <b:SourceType>JournalArticle</b:SourceType>
    <b:Guid>{1E619937-A00F-496A-A8F5-CAF398EA8229}</b:Guid>
    <b:Author>
      <b:Author>
        <b:NameList>
          <b:Person>
            <b:Last>Boden</b:Last>
            <b:First>L.</b:First>
            <b:Middle>I., &amp; Ozonoff, A.</b:Middle>
          </b:Person>
        </b:NameList>
      </b:Author>
    </b:Author>
    <b:Title>Capture-recapture estimates of nonfatal workplace injuries and illnesses</b:Title>
    <b:Year>2008</b:Year>
    <b:JournalName>Annals of Epidemiology</b:JournalName>
    <b:Pages>500-506</b:Pages>
    <b:Volume>18</b:Volume>
    <b:Issue>6</b:Issue>
    <b:RefOrder>7</b:RefOrder>
  </b:Source>
  <b:Source>
    <b:Tag>Gla98</b:Tag>
    <b:SourceType>JournalArticle</b:SourceType>
    <b:Guid>{D9F08391-D3DB-4C6E-98EA-C8C4FD606862}</b:Guid>
    <b:Author>
      <b:Author>
        <b:NameList>
          <b:Person>
            <b:Last>Glazner</b:Last>
            <b:First>J.E.,</b:First>
            <b:Middle>Borgerding, J., Lowery, J.T., Bondy, J., Mueller, K.L., &amp; Kreiss, K.</b:Middle>
          </b:Person>
        </b:NameList>
      </b:Author>
    </b:Author>
    <b:Title>Construction injury rates may exceed national estimates: Evidence from the construction of Denver International Airport</b:Title>
    <b:JournalName>American Journal of Indian Medicine</b:JournalName>
    <b:Year>1998</b:Year>
    <b:Pages>36-58</b:Pages>
    <b:Volume>34</b:Volume>
    <b:RefOrder>6</b:RefOrder>
  </b:Source>
</b:Sources>
</file>

<file path=customXml/itemProps1.xml><?xml version="1.0" encoding="utf-8"?>
<ds:datastoreItem xmlns:ds="http://schemas.openxmlformats.org/officeDocument/2006/customXml" ds:itemID="{D4B9A89B-C2B6-498A-88C4-4417E5C3DC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28</Pages>
  <Words>11923</Words>
  <Characters>67967</Characters>
  <Application>Microsoft Office Word</Application>
  <DocSecurity>0</DocSecurity>
  <Lines>566</Lines>
  <Paragraphs>159</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79731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Claire Dye</dc:creator>
  <cp:lastModifiedBy>CTAC</cp:lastModifiedBy>
  <cp:revision>2</cp:revision>
  <cp:lastPrinted>2011-12-09T14:07:00Z</cp:lastPrinted>
  <dcterms:created xsi:type="dcterms:W3CDTF">2012-05-31T15:17:00Z</dcterms:created>
  <dcterms:modified xsi:type="dcterms:W3CDTF">2012-05-31T15:17:00Z</dcterms:modified>
</cp:coreProperties>
</file>