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DE7" w:rsidRDefault="00F43DE7">
      <w:pPr>
        <w:jc w:val="center"/>
        <w:rPr>
          <w:rFonts w:ascii="Times New Roman" w:hAnsi="Times New Roman"/>
          <w:b/>
          <w:bCs/>
        </w:rPr>
      </w:pPr>
      <w:r w:rsidRPr="00F43DE7">
        <w:rPr>
          <w:rFonts w:ascii="Times New Roman" w:hAnsi="Times New Roman"/>
          <w:b/>
          <w:bCs/>
        </w:rPr>
        <w:t xml:space="preserve">SUPPORTING STATEMENT </w:t>
      </w:r>
      <w:r w:rsidRPr="00F43DE7">
        <w:rPr>
          <w:rFonts w:ascii="Times New Roman" w:hAnsi="Times New Roman"/>
          <w:b/>
          <w:bCs/>
        </w:rPr>
        <w:br/>
        <w:t xml:space="preserve">for the Paperwork Reduction Act Information Collection Submission for </w:t>
      </w:r>
    </w:p>
    <w:p w:rsidR="00EC700B" w:rsidRPr="00EB400B" w:rsidRDefault="00F43DE7">
      <w:pPr>
        <w:jc w:val="center"/>
        <w:rPr>
          <w:rFonts w:ascii="Times New Roman" w:hAnsi="Times New Roman"/>
        </w:rPr>
      </w:pPr>
      <w:r>
        <w:rPr>
          <w:rFonts w:ascii="Times New Roman" w:hAnsi="Times New Roman"/>
          <w:b/>
          <w:bCs/>
        </w:rPr>
        <w:t>“</w:t>
      </w:r>
      <w:r w:rsidR="00EC700B" w:rsidRPr="00EB400B">
        <w:rPr>
          <w:rFonts w:ascii="Times New Roman" w:hAnsi="Times New Roman"/>
          <w:b/>
        </w:rPr>
        <w:t>Rule 19a-1</w:t>
      </w:r>
      <w:r>
        <w:rPr>
          <w:rFonts w:ascii="Times New Roman" w:hAnsi="Times New Roman"/>
          <w:b/>
        </w:rPr>
        <w:t>”</w:t>
      </w:r>
    </w:p>
    <w:p w:rsidR="00EC700B" w:rsidRPr="00EB400B" w:rsidRDefault="00EC700B">
      <w:pPr>
        <w:rPr>
          <w:rFonts w:ascii="Times New Roman" w:hAnsi="Times New Roman"/>
        </w:rPr>
      </w:pPr>
    </w:p>
    <w:p w:rsidR="00EC700B" w:rsidRPr="00EB400B" w:rsidRDefault="00EC700B">
      <w:pPr>
        <w:numPr>
          <w:ilvl w:val="0"/>
          <w:numId w:val="4"/>
        </w:numPr>
        <w:spacing w:line="480" w:lineRule="auto"/>
        <w:rPr>
          <w:rFonts w:ascii="Times New Roman" w:hAnsi="Times New Roman"/>
          <w:b/>
        </w:rPr>
      </w:pPr>
      <w:r w:rsidRPr="00EB400B">
        <w:rPr>
          <w:rFonts w:ascii="Times New Roman" w:hAnsi="Times New Roman"/>
          <w:b/>
        </w:rPr>
        <w:t>JUSTIFICATION</w:t>
      </w:r>
    </w:p>
    <w:p w:rsidR="00EC700B" w:rsidRPr="00EB400B" w:rsidRDefault="00EC700B">
      <w:pPr>
        <w:numPr>
          <w:ilvl w:val="1"/>
          <w:numId w:val="4"/>
        </w:numPr>
        <w:spacing w:line="480" w:lineRule="auto"/>
        <w:rPr>
          <w:rFonts w:ascii="Times New Roman" w:hAnsi="Times New Roman"/>
        </w:rPr>
      </w:pPr>
      <w:r w:rsidRPr="00EB400B">
        <w:rPr>
          <w:rFonts w:ascii="Times New Roman" w:hAnsi="Times New Roman"/>
          <w:b/>
        </w:rPr>
        <w:t>Necessity for the Information Collection</w:t>
      </w:r>
    </w:p>
    <w:p w:rsidR="00EC700B" w:rsidRPr="00EB400B" w:rsidRDefault="001C2FF0">
      <w:pPr>
        <w:pStyle w:val="BodyTextIndent"/>
        <w:rPr>
          <w:rFonts w:ascii="Times New Roman" w:hAnsi="Times New Roman"/>
        </w:rPr>
      </w:pPr>
      <w:r>
        <w:rPr>
          <w:rFonts w:ascii="Times New Roman" w:hAnsi="Times New Roman"/>
        </w:rPr>
        <w:t xml:space="preserve">Section 19(a) </w:t>
      </w:r>
      <w:r w:rsidR="00EC700B" w:rsidRPr="00EB400B">
        <w:rPr>
          <w:rFonts w:ascii="Times New Roman" w:hAnsi="Times New Roman"/>
        </w:rPr>
        <w:t xml:space="preserve">of the Investment Company Act of 1940 </w:t>
      </w:r>
      <w:r>
        <w:rPr>
          <w:rFonts w:ascii="Times New Roman" w:hAnsi="Times New Roman"/>
        </w:rPr>
        <w:t xml:space="preserve">(15 U.S.C. 80a-19(a)) </w:t>
      </w:r>
      <w:r w:rsidR="00EC700B" w:rsidRPr="00EB400B">
        <w:rPr>
          <w:rFonts w:ascii="Times New Roman" w:hAnsi="Times New Roman"/>
        </w:rPr>
        <w:t>(the “Act”) makes it unlawful for any registered investment company to pay any dividend or similar distribution from any source other than the company’s net income, unless the payment is accompanied by a written statement to the company’s shareholders which adequately discloses the sources of the payment.  Section 19(a) authorizes the Commission to prescribe the form of such statement by rule.</w:t>
      </w:r>
    </w:p>
    <w:p w:rsidR="00EC700B" w:rsidRPr="00EB400B" w:rsidRDefault="00EC700B">
      <w:pPr>
        <w:pStyle w:val="BodyTextIndent"/>
        <w:rPr>
          <w:rFonts w:ascii="Times New Roman" w:hAnsi="Times New Roman"/>
        </w:rPr>
      </w:pPr>
      <w:r w:rsidRPr="00EB400B">
        <w:rPr>
          <w:rFonts w:ascii="Times New Roman" w:hAnsi="Times New Roman"/>
        </w:rPr>
        <w:t xml:space="preserve">Rule 19a-1 </w:t>
      </w:r>
      <w:r w:rsidR="00D855C3">
        <w:rPr>
          <w:rFonts w:ascii="Times New Roman" w:hAnsi="Times New Roman"/>
        </w:rPr>
        <w:t>(</w:t>
      </w:r>
      <w:r w:rsidRPr="00EB400B">
        <w:rPr>
          <w:rFonts w:ascii="Times New Roman" w:hAnsi="Times New Roman"/>
        </w:rPr>
        <w:t>17 CFR 270.19a-1</w:t>
      </w:r>
      <w:r w:rsidR="00D855C3">
        <w:rPr>
          <w:rFonts w:ascii="Times New Roman" w:hAnsi="Times New Roman"/>
        </w:rPr>
        <w:t>)</w:t>
      </w:r>
      <w:r w:rsidRPr="00EB400B">
        <w:rPr>
          <w:rFonts w:ascii="Times New Roman" w:hAnsi="Times New Roman"/>
        </w:rPr>
        <w:t xml:space="preserve"> under the Act, entitled “Written Statement to Accompany Dividend Payments by Management Companies,” sets forth specific requirements for the information that must be included in statements made pursuant to section 19(a) by or on behalf of management companies.</w:t>
      </w:r>
      <w:r w:rsidRPr="00EB400B">
        <w:rPr>
          <w:rStyle w:val="FootnoteReference"/>
          <w:rFonts w:ascii="Times New Roman" w:hAnsi="Times New Roman"/>
        </w:rPr>
        <w:footnoteReference w:id="2"/>
      </w:r>
      <w:r w:rsidRPr="00EB400B">
        <w:rPr>
          <w:rFonts w:ascii="Times New Roman" w:hAnsi="Times New Roman"/>
        </w:rPr>
        <w:t xml:space="preserve">  The rule requires that the statement indicate what portions of </w:t>
      </w:r>
      <w:r w:rsidR="001E63AA">
        <w:rPr>
          <w:rFonts w:ascii="Times New Roman" w:hAnsi="Times New Roman"/>
        </w:rPr>
        <w:t xml:space="preserve">distribution </w:t>
      </w:r>
      <w:r w:rsidRPr="00EB400B">
        <w:rPr>
          <w:rFonts w:ascii="Times New Roman" w:hAnsi="Times New Roman"/>
        </w:rPr>
        <w:t>payment</w:t>
      </w:r>
      <w:r w:rsidR="001E63AA">
        <w:rPr>
          <w:rFonts w:ascii="Times New Roman" w:hAnsi="Times New Roman"/>
        </w:rPr>
        <w:t>s</w:t>
      </w:r>
      <w:r w:rsidRPr="00EB400B">
        <w:rPr>
          <w:rFonts w:ascii="Times New Roman" w:hAnsi="Times New Roman"/>
        </w:rPr>
        <w:t xml:space="preserve"> are made from net income, net profits </w:t>
      </w:r>
      <w:r w:rsidR="00D7361B">
        <w:rPr>
          <w:rFonts w:ascii="Times New Roman" w:hAnsi="Times New Roman"/>
        </w:rPr>
        <w:t xml:space="preserve">from the sale of </w:t>
      </w:r>
      <w:r w:rsidR="00C3248D">
        <w:rPr>
          <w:rFonts w:ascii="Times New Roman" w:hAnsi="Times New Roman"/>
        </w:rPr>
        <w:t xml:space="preserve">a </w:t>
      </w:r>
      <w:r w:rsidR="00D7361B">
        <w:rPr>
          <w:rFonts w:ascii="Times New Roman" w:hAnsi="Times New Roman"/>
        </w:rPr>
        <w:t xml:space="preserve">security or other property (“capital gains”) </w:t>
      </w:r>
      <w:r w:rsidRPr="00EB400B">
        <w:rPr>
          <w:rFonts w:ascii="Times New Roman" w:hAnsi="Times New Roman"/>
        </w:rPr>
        <w:t xml:space="preserve">and paid-in capital.  When any part of the payment is made from </w:t>
      </w:r>
      <w:r w:rsidR="00D7361B">
        <w:rPr>
          <w:rFonts w:ascii="Times New Roman" w:hAnsi="Times New Roman"/>
        </w:rPr>
        <w:t>capital gains</w:t>
      </w:r>
      <w:r w:rsidRPr="00EB400B">
        <w:rPr>
          <w:rFonts w:ascii="Times New Roman" w:hAnsi="Times New Roman"/>
        </w:rPr>
        <w:t xml:space="preserve">, rule 19a-1 </w:t>
      </w:r>
      <w:r w:rsidR="00A97E44">
        <w:rPr>
          <w:rFonts w:ascii="Times New Roman" w:hAnsi="Times New Roman"/>
        </w:rPr>
        <w:t xml:space="preserve">also </w:t>
      </w:r>
      <w:r w:rsidRPr="00EB400B">
        <w:rPr>
          <w:rFonts w:ascii="Times New Roman" w:hAnsi="Times New Roman"/>
        </w:rPr>
        <w:t>requires that the statement disclose certain other information relating to the appreciation or depreciation of portfolio securities.  If an estimated portion is subsequently determined to be significantly inaccurate, a correction must be made on a statement made pursuant to section 19(a) or in the first report to shareholders following the discovery of the inaccuracy.</w:t>
      </w:r>
    </w:p>
    <w:p w:rsidR="00EC700B" w:rsidRPr="00EB400B" w:rsidRDefault="00EC700B">
      <w:pPr>
        <w:keepNext/>
        <w:spacing w:line="480" w:lineRule="auto"/>
        <w:rPr>
          <w:rFonts w:ascii="Times New Roman" w:hAnsi="Times New Roman"/>
        </w:rPr>
      </w:pPr>
      <w:r w:rsidRPr="00EB400B">
        <w:rPr>
          <w:rFonts w:ascii="Times New Roman" w:hAnsi="Times New Roman"/>
        </w:rPr>
        <w:lastRenderedPageBreak/>
        <w:tab/>
      </w:r>
      <w:r w:rsidRPr="00EB400B">
        <w:rPr>
          <w:rFonts w:ascii="Times New Roman" w:hAnsi="Times New Roman"/>
          <w:b/>
        </w:rPr>
        <w:t>2.</w:t>
      </w:r>
      <w:r w:rsidRPr="00EB400B">
        <w:rPr>
          <w:rFonts w:ascii="Times New Roman" w:hAnsi="Times New Roman"/>
          <w:b/>
        </w:rPr>
        <w:tab/>
        <w:t>Purpose of the Information Collection</w:t>
      </w:r>
    </w:p>
    <w:p w:rsidR="00D3716A" w:rsidRDefault="00EC700B">
      <w:pPr>
        <w:keepNext/>
        <w:spacing w:line="480" w:lineRule="auto"/>
        <w:rPr>
          <w:rFonts w:ascii="Times New Roman" w:hAnsi="Times New Roman"/>
        </w:rPr>
      </w:pPr>
      <w:r w:rsidRPr="00EB400B">
        <w:rPr>
          <w:rFonts w:ascii="Times New Roman" w:hAnsi="Times New Roman"/>
        </w:rPr>
        <w:tab/>
        <w:t xml:space="preserve">The purpose of rule 19a-1 is to afford fund shareholders adequate disclosure of the sources from which </w:t>
      </w:r>
      <w:r w:rsidR="00826712">
        <w:rPr>
          <w:rFonts w:ascii="Times New Roman" w:hAnsi="Times New Roman"/>
        </w:rPr>
        <w:t>distribution</w:t>
      </w:r>
      <w:r w:rsidRPr="00EB400B">
        <w:rPr>
          <w:rFonts w:ascii="Times New Roman" w:hAnsi="Times New Roman"/>
        </w:rPr>
        <w:t xml:space="preserve"> payments are made.  The rule is intended to </w:t>
      </w:r>
      <w:r w:rsidR="000B32CF">
        <w:rPr>
          <w:rFonts w:ascii="Times New Roman" w:hAnsi="Times New Roman"/>
        </w:rPr>
        <w:t>prevent shareholders from confusing income di</w:t>
      </w:r>
      <w:r w:rsidR="00826712">
        <w:rPr>
          <w:rFonts w:ascii="Times New Roman" w:hAnsi="Times New Roman"/>
        </w:rPr>
        <w:t>vidends</w:t>
      </w:r>
      <w:r w:rsidR="000B32CF">
        <w:rPr>
          <w:rFonts w:ascii="Times New Roman" w:hAnsi="Times New Roman"/>
        </w:rPr>
        <w:t xml:space="preserve"> with distributions made from capital sources.  </w:t>
      </w:r>
      <w:r w:rsidRPr="00EB400B">
        <w:rPr>
          <w:rFonts w:ascii="Times New Roman" w:hAnsi="Times New Roman"/>
        </w:rPr>
        <w:t>Absent rule 19a</w:t>
      </w:r>
      <w:r w:rsidR="00327D1D">
        <w:rPr>
          <w:rFonts w:ascii="Times New Roman" w:hAnsi="Times New Roman"/>
        </w:rPr>
        <w:noBreakHyphen/>
      </w:r>
      <w:r w:rsidRPr="00EB400B">
        <w:rPr>
          <w:rFonts w:ascii="Times New Roman" w:hAnsi="Times New Roman"/>
        </w:rPr>
        <w:t>1, shareholders</w:t>
      </w:r>
      <w:r w:rsidR="00D13CB8">
        <w:rPr>
          <w:rFonts w:ascii="Times New Roman" w:hAnsi="Times New Roman"/>
        </w:rPr>
        <w:t xml:space="preserve"> might receive a false impression of </w:t>
      </w:r>
      <w:r w:rsidR="000B32CF">
        <w:rPr>
          <w:rFonts w:ascii="Times New Roman" w:hAnsi="Times New Roman"/>
        </w:rPr>
        <w:t xml:space="preserve">fund </w:t>
      </w:r>
      <w:r w:rsidR="00D13CB8">
        <w:rPr>
          <w:rFonts w:ascii="Times New Roman" w:hAnsi="Times New Roman"/>
        </w:rPr>
        <w:t xml:space="preserve">gains.  </w:t>
      </w:r>
    </w:p>
    <w:p w:rsidR="00EC700B" w:rsidRPr="00EB400B" w:rsidRDefault="00EC700B">
      <w:pPr>
        <w:keepNext/>
        <w:spacing w:line="480" w:lineRule="auto"/>
        <w:rPr>
          <w:rFonts w:ascii="Times New Roman" w:hAnsi="Times New Roman"/>
          <w:b/>
        </w:rPr>
      </w:pPr>
      <w:r w:rsidRPr="00EB400B">
        <w:rPr>
          <w:rFonts w:ascii="Times New Roman" w:hAnsi="Times New Roman"/>
        </w:rPr>
        <w:tab/>
      </w:r>
      <w:r w:rsidRPr="00EB400B">
        <w:rPr>
          <w:rFonts w:ascii="Times New Roman" w:hAnsi="Times New Roman"/>
          <w:b/>
        </w:rPr>
        <w:t>3.</w:t>
      </w:r>
      <w:r w:rsidRPr="00EB400B">
        <w:rPr>
          <w:rFonts w:ascii="Times New Roman" w:hAnsi="Times New Roman"/>
          <w:b/>
        </w:rPr>
        <w:tab/>
        <w:t>Role of Improved Information Technology</w:t>
      </w:r>
    </w:p>
    <w:p w:rsidR="00EC700B" w:rsidRPr="00EB400B" w:rsidRDefault="00EC700B">
      <w:pPr>
        <w:spacing w:line="480" w:lineRule="auto"/>
        <w:rPr>
          <w:rFonts w:ascii="Times New Roman" w:hAnsi="Times New Roman"/>
        </w:rPr>
      </w:pPr>
      <w:r w:rsidRPr="00EB400B">
        <w:rPr>
          <w:rFonts w:ascii="Times New Roman" w:hAnsi="Times New Roman"/>
        </w:rPr>
        <w:tab/>
        <w:t xml:space="preserve">The Commission’s Electronic Data Gathering, Analysis and Retrieval System (“EDGAR”) provides for the automated filing, processing, and dissemination of full disclosure filings.  The automation provides for speed, accuracy and public availability of information, generating benefits to investors and financial markets.  Rule 19a-1 does not require the filing of any documents with the Commission. </w:t>
      </w:r>
    </w:p>
    <w:p w:rsidR="00EC700B" w:rsidRPr="00EB400B" w:rsidRDefault="00EC700B">
      <w:pPr>
        <w:keepNext/>
        <w:spacing w:line="480" w:lineRule="auto"/>
        <w:rPr>
          <w:rFonts w:ascii="Times New Roman" w:hAnsi="Times New Roman"/>
        </w:rPr>
      </w:pPr>
      <w:r w:rsidRPr="00EB400B">
        <w:rPr>
          <w:rFonts w:ascii="Times New Roman" w:hAnsi="Times New Roman"/>
        </w:rPr>
        <w:tab/>
      </w:r>
      <w:r w:rsidRPr="00EB400B">
        <w:rPr>
          <w:rFonts w:ascii="Times New Roman" w:hAnsi="Times New Roman"/>
          <w:b/>
        </w:rPr>
        <w:t>4.</w:t>
      </w:r>
      <w:r w:rsidRPr="00EB400B">
        <w:rPr>
          <w:rFonts w:ascii="Times New Roman" w:hAnsi="Times New Roman"/>
          <w:b/>
        </w:rPr>
        <w:tab/>
        <w:t>Efforts to Identify Duplication</w:t>
      </w:r>
    </w:p>
    <w:p w:rsidR="00EC700B" w:rsidRPr="00EB400B" w:rsidRDefault="00EC700B">
      <w:pPr>
        <w:spacing w:line="480" w:lineRule="auto"/>
        <w:rPr>
          <w:rFonts w:ascii="Times New Roman" w:hAnsi="Times New Roman"/>
        </w:rPr>
      </w:pPr>
      <w:r w:rsidRPr="00EB400B">
        <w:rPr>
          <w:rFonts w:ascii="Times New Roman" w:hAnsi="Times New Roman"/>
        </w:rPr>
        <w:tab/>
        <w:t>The Commission periodically evaluates rule-based reporting and recordkeeping requirements for duplication, and reevaluates those requirements whenever it proposes a rule or form or a change in either.  The requirements of rule 19a-1 are not duplicated elsewhere in</w:t>
      </w:r>
      <w:r w:rsidR="007F6664">
        <w:rPr>
          <w:rFonts w:ascii="Times New Roman" w:hAnsi="Times New Roman"/>
        </w:rPr>
        <w:t xml:space="preserve"> the federal securities laws, although c</w:t>
      </w:r>
      <w:r w:rsidRPr="00EB400B">
        <w:rPr>
          <w:rFonts w:ascii="Times New Roman" w:hAnsi="Times New Roman"/>
        </w:rPr>
        <w:t>ertain state securities laws and the Internal Revenue Code may contain information collection requirements similar to those found in rule 19a-1.</w:t>
      </w:r>
    </w:p>
    <w:p w:rsidR="00EC700B" w:rsidRPr="00EB400B" w:rsidRDefault="00EC700B">
      <w:pPr>
        <w:spacing w:line="480" w:lineRule="auto"/>
        <w:rPr>
          <w:rFonts w:ascii="Times New Roman" w:hAnsi="Times New Roman"/>
          <w:b/>
        </w:rPr>
      </w:pPr>
      <w:r w:rsidRPr="00EB400B">
        <w:rPr>
          <w:rFonts w:ascii="Times New Roman" w:hAnsi="Times New Roman"/>
        </w:rPr>
        <w:tab/>
      </w:r>
      <w:r w:rsidRPr="00EB400B">
        <w:rPr>
          <w:rFonts w:ascii="Times New Roman" w:hAnsi="Times New Roman"/>
          <w:b/>
        </w:rPr>
        <w:t>5.</w:t>
      </w:r>
      <w:r w:rsidRPr="00EB400B">
        <w:rPr>
          <w:rFonts w:ascii="Times New Roman" w:hAnsi="Times New Roman"/>
          <w:b/>
        </w:rPr>
        <w:tab/>
        <w:t>Effect on Small Entities</w:t>
      </w:r>
    </w:p>
    <w:p w:rsidR="00EC700B" w:rsidRPr="00EB400B" w:rsidRDefault="001C2FF0">
      <w:pPr>
        <w:spacing w:line="480" w:lineRule="auto"/>
        <w:rPr>
          <w:rFonts w:ascii="Times New Roman" w:hAnsi="Times New Roman"/>
        </w:rPr>
      </w:pPr>
      <w:r>
        <w:rPr>
          <w:rFonts w:ascii="Times New Roman" w:hAnsi="Times New Roman"/>
        </w:rPr>
        <w:tab/>
        <w:t>The information collection</w:t>
      </w:r>
      <w:r w:rsidR="00EC700B" w:rsidRPr="00EB400B">
        <w:rPr>
          <w:rFonts w:ascii="Times New Roman" w:hAnsi="Times New Roman"/>
        </w:rPr>
        <w:t xml:space="preserve"> requirements of rule 19a-1 are the same for all investment companies subject to the rule, including small entities.  </w:t>
      </w:r>
      <w:r>
        <w:rPr>
          <w:rFonts w:ascii="Times New Roman" w:hAnsi="Times New Roman"/>
        </w:rPr>
        <w:t xml:space="preserve">The written statement requirement of rule 19a-1 is necessary to provide fund shareholders with disclosure of the sources from which funds </w:t>
      </w:r>
      <w:r>
        <w:rPr>
          <w:rFonts w:ascii="Times New Roman" w:hAnsi="Times New Roman"/>
        </w:rPr>
        <w:lastRenderedPageBreak/>
        <w:t xml:space="preserve">make distribution payments.  </w:t>
      </w:r>
      <w:r w:rsidR="00EC700B" w:rsidRPr="00EB400B">
        <w:rPr>
          <w:rFonts w:ascii="Times New Roman" w:hAnsi="Times New Roman"/>
        </w:rPr>
        <w:t>The Commission believes that compliance with rule 19a-1 is not unduly burdensome for large or small</w:t>
      </w:r>
      <w:r>
        <w:rPr>
          <w:rFonts w:ascii="Times New Roman" w:hAnsi="Times New Roman"/>
        </w:rPr>
        <w:t xml:space="preserve"> entities, and that the </w:t>
      </w:r>
      <w:r w:rsidR="006B2E51">
        <w:rPr>
          <w:rFonts w:ascii="Times New Roman" w:hAnsi="Times New Roman"/>
        </w:rPr>
        <w:t>shareholders of small entities, along with the shareholders of large entities, are entitled to the protections that give rise to the paperwork burdens.</w:t>
      </w:r>
      <w:r w:rsidR="00EC700B" w:rsidRPr="00EB400B">
        <w:rPr>
          <w:rFonts w:ascii="Times New Roman" w:hAnsi="Times New Roman"/>
        </w:rPr>
        <w:t xml:space="preserve">  </w:t>
      </w:r>
    </w:p>
    <w:p w:rsidR="00EC700B" w:rsidRPr="00EB400B" w:rsidRDefault="00EC700B">
      <w:pPr>
        <w:keepNext/>
        <w:spacing w:line="480" w:lineRule="auto"/>
        <w:rPr>
          <w:rFonts w:ascii="Times New Roman" w:hAnsi="Times New Roman"/>
        </w:rPr>
      </w:pPr>
      <w:r w:rsidRPr="00EB400B">
        <w:rPr>
          <w:rFonts w:ascii="Times New Roman" w:hAnsi="Times New Roman"/>
        </w:rPr>
        <w:tab/>
      </w:r>
      <w:r w:rsidRPr="00EB400B">
        <w:rPr>
          <w:rFonts w:ascii="Times New Roman" w:hAnsi="Times New Roman"/>
          <w:b/>
        </w:rPr>
        <w:t>6.</w:t>
      </w:r>
      <w:r w:rsidRPr="00EB400B">
        <w:rPr>
          <w:rFonts w:ascii="Times New Roman" w:hAnsi="Times New Roman"/>
          <w:b/>
        </w:rPr>
        <w:tab/>
        <w:t>Consequences of Less Frequent Collection</w:t>
      </w:r>
    </w:p>
    <w:p w:rsidR="00EC700B" w:rsidRPr="00EB400B" w:rsidRDefault="00EC700B">
      <w:pPr>
        <w:keepNext/>
        <w:spacing w:line="480" w:lineRule="auto"/>
        <w:rPr>
          <w:rFonts w:ascii="Times New Roman" w:hAnsi="Times New Roman"/>
        </w:rPr>
      </w:pPr>
      <w:r w:rsidRPr="00EB400B">
        <w:rPr>
          <w:rFonts w:ascii="Times New Roman" w:hAnsi="Times New Roman"/>
        </w:rPr>
        <w:tab/>
        <w:t xml:space="preserve">It would not be practicable for rule 19a-1 to require less frequent disclosure to fund shareholders.  If all </w:t>
      </w:r>
      <w:r w:rsidR="00551042">
        <w:rPr>
          <w:rFonts w:ascii="Times New Roman" w:hAnsi="Times New Roman"/>
        </w:rPr>
        <w:t>distributions</w:t>
      </w:r>
      <w:r w:rsidRPr="00EB400B">
        <w:rPr>
          <w:rFonts w:ascii="Times New Roman" w:hAnsi="Times New Roman"/>
        </w:rPr>
        <w:t xml:space="preserve"> from net </w:t>
      </w:r>
      <w:r w:rsidR="00C14119">
        <w:rPr>
          <w:rFonts w:ascii="Times New Roman" w:hAnsi="Times New Roman"/>
        </w:rPr>
        <w:t>capital gains</w:t>
      </w:r>
      <w:r w:rsidRPr="00EB400B">
        <w:rPr>
          <w:rFonts w:ascii="Times New Roman" w:hAnsi="Times New Roman"/>
        </w:rPr>
        <w:t xml:space="preserve"> and paid-in capital were not accompanied simultaneously by statements disclosing the sources of the distribution, investors might confuse these payments with distributions from net income.  Furthermore, secti</w:t>
      </w:r>
      <w:r w:rsidR="00C3248D">
        <w:rPr>
          <w:rFonts w:ascii="Times New Roman" w:hAnsi="Times New Roman"/>
        </w:rPr>
        <w:t>on 19(a) of</w:t>
      </w:r>
      <w:r w:rsidRPr="00EB400B">
        <w:rPr>
          <w:rFonts w:ascii="Times New Roman" w:hAnsi="Times New Roman"/>
        </w:rPr>
        <w:t xml:space="preserve"> the Act makes it unlawful for any registered investment company to pay any distribution from any source other than net income unless such payment is accompanied by a written statement disclosing the sources of the payment.   </w:t>
      </w:r>
    </w:p>
    <w:p w:rsidR="00EC700B" w:rsidRPr="00EB400B" w:rsidRDefault="00EC700B">
      <w:pPr>
        <w:keepNext/>
        <w:spacing w:line="480" w:lineRule="auto"/>
        <w:rPr>
          <w:rFonts w:ascii="Times New Roman" w:hAnsi="Times New Roman"/>
          <w:b/>
        </w:rPr>
      </w:pPr>
      <w:r w:rsidRPr="00EB400B">
        <w:rPr>
          <w:rFonts w:ascii="Times New Roman" w:hAnsi="Times New Roman"/>
        </w:rPr>
        <w:tab/>
      </w:r>
      <w:r w:rsidRPr="00EB400B">
        <w:rPr>
          <w:rFonts w:ascii="Times New Roman" w:hAnsi="Times New Roman"/>
          <w:b/>
        </w:rPr>
        <w:t>7.</w:t>
      </w:r>
      <w:r w:rsidRPr="00EB400B">
        <w:rPr>
          <w:rFonts w:ascii="Times New Roman" w:hAnsi="Times New Roman"/>
          <w:b/>
        </w:rPr>
        <w:tab/>
        <w:t>Inconsistencies with the Guidelines in 5 CFR 1320.5(d)(2)</w:t>
      </w:r>
    </w:p>
    <w:p w:rsidR="00EC700B" w:rsidRPr="00EB400B" w:rsidRDefault="00EC700B">
      <w:pPr>
        <w:keepNext/>
        <w:spacing w:line="480" w:lineRule="auto"/>
        <w:rPr>
          <w:rFonts w:ascii="Times New Roman" w:hAnsi="Times New Roman"/>
        </w:rPr>
      </w:pPr>
      <w:r w:rsidRPr="00EB400B">
        <w:rPr>
          <w:rFonts w:ascii="Times New Roman" w:hAnsi="Times New Roman"/>
        </w:rPr>
        <w:tab/>
        <w:t>Not applicable.</w:t>
      </w:r>
    </w:p>
    <w:p w:rsidR="00EC700B" w:rsidRPr="00EB400B" w:rsidRDefault="00EC700B">
      <w:pPr>
        <w:keepNext/>
        <w:spacing w:line="480" w:lineRule="auto"/>
        <w:rPr>
          <w:rFonts w:ascii="Times New Roman" w:hAnsi="Times New Roman"/>
        </w:rPr>
      </w:pPr>
      <w:r w:rsidRPr="00EB400B">
        <w:rPr>
          <w:rFonts w:ascii="Times New Roman" w:hAnsi="Times New Roman"/>
        </w:rPr>
        <w:tab/>
      </w:r>
      <w:r w:rsidR="00D855C3">
        <w:rPr>
          <w:rFonts w:ascii="Times New Roman" w:hAnsi="Times New Roman"/>
          <w:b/>
        </w:rPr>
        <w:t>8.</w:t>
      </w:r>
      <w:r w:rsidR="00D855C3">
        <w:rPr>
          <w:rFonts w:ascii="Times New Roman" w:hAnsi="Times New Roman"/>
          <w:b/>
        </w:rPr>
        <w:tab/>
        <w:t>Consultation</w:t>
      </w:r>
      <w:r w:rsidRPr="00EB400B">
        <w:rPr>
          <w:rFonts w:ascii="Times New Roman" w:hAnsi="Times New Roman"/>
          <w:b/>
        </w:rPr>
        <w:t xml:space="preserve"> Outside the Agency</w:t>
      </w:r>
    </w:p>
    <w:p w:rsidR="00EC700B" w:rsidRPr="00EB400B" w:rsidRDefault="00EC700B">
      <w:pPr>
        <w:spacing w:line="480" w:lineRule="auto"/>
        <w:rPr>
          <w:rFonts w:ascii="Times New Roman" w:hAnsi="Times New Roman"/>
        </w:rPr>
      </w:pPr>
      <w:r w:rsidRPr="00EB400B">
        <w:rPr>
          <w:rFonts w:ascii="Times New Roman" w:hAnsi="Times New Roman"/>
        </w:rPr>
        <w:tab/>
        <w:t>The Commission requested public comment on the collection of information requirements of rule 19a-1 before it submitted this request for extension and approval to the Office of Management and Budget.  The Commission received no comments in response to this request.  In addition, the Commission and staff of the Division of Investment Management participate in an ongoing dialogue with represent</w:t>
      </w:r>
      <w:r w:rsidR="001C2FF0">
        <w:rPr>
          <w:rFonts w:ascii="Times New Roman" w:hAnsi="Times New Roman"/>
        </w:rPr>
        <w:t>atives of the fund</w:t>
      </w:r>
      <w:r w:rsidRPr="00EB400B">
        <w:rPr>
          <w:rFonts w:ascii="Times New Roman" w:hAnsi="Times New Roman"/>
        </w:rPr>
        <w:t xml:space="preserve"> industry through public </w:t>
      </w:r>
      <w:r w:rsidRPr="00EB400B">
        <w:rPr>
          <w:rFonts w:ascii="Times New Roman" w:hAnsi="Times New Roman"/>
        </w:rPr>
        <w:lastRenderedPageBreak/>
        <w:t>conferences, meetings, and informal exchanges.  These forums provide the Commission and the staff useful means to identify and address paperwork burdens that may affect the industry.</w:t>
      </w:r>
    </w:p>
    <w:p w:rsidR="00EC700B" w:rsidRPr="00EB400B" w:rsidRDefault="00EC700B">
      <w:pPr>
        <w:keepNext/>
        <w:spacing w:line="480" w:lineRule="auto"/>
        <w:rPr>
          <w:rFonts w:ascii="Times New Roman" w:hAnsi="Times New Roman"/>
        </w:rPr>
      </w:pPr>
      <w:r w:rsidRPr="00EB400B">
        <w:rPr>
          <w:rFonts w:ascii="Times New Roman" w:hAnsi="Times New Roman"/>
        </w:rPr>
        <w:tab/>
      </w:r>
      <w:r w:rsidRPr="00EB400B">
        <w:rPr>
          <w:rFonts w:ascii="Times New Roman" w:hAnsi="Times New Roman"/>
          <w:b/>
        </w:rPr>
        <w:t>9.</w:t>
      </w:r>
      <w:r w:rsidRPr="00EB400B">
        <w:rPr>
          <w:rFonts w:ascii="Times New Roman" w:hAnsi="Times New Roman"/>
          <w:b/>
        </w:rPr>
        <w:tab/>
        <w:t>Payment or Gift to Respondents</w:t>
      </w:r>
    </w:p>
    <w:p w:rsidR="00EC700B" w:rsidRPr="00EB400B" w:rsidRDefault="00EC700B">
      <w:pPr>
        <w:spacing w:line="480" w:lineRule="auto"/>
        <w:rPr>
          <w:rFonts w:ascii="Times New Roman" w:hAnsi="Times New Roman"/>
        </w:rPr>
      </w:pPr>
      <w:r w:rsidRPr="00EB400B">
        <w:rPr>
          <w:rFonts w:ascii="Times New Roman" w:hAnsi="Times New Roman"/>
        </w:rPr>
        <w:tab/>
        <w:t>Not applicable.</w:t>
      </w:r>
    </w:p>
    <w:p w:rsidR="00EC700B" w:rsidRPr="00EB400B" w:rsidRDefault="00EC700B">
      <w:pPr>
        <w:keepNext/>
        <w:spacing w:line="480" w:lineRule="auto"/>
        <w:rPr>
          <w:rFonts w:ascii="Times New Roman" w:hAnsi="Times New Roman"/>
        </w:rPr>
      </w:pPr>
      <w:r w:rsidRPr="00EB400B">
        <w:rPr>
          <w:rFonts w:ascii="Times New Roman" w:hAnsi="Times New Roman"/>
        </w:rPr>
        <w:tab/>
      </w:r>
      <w:r w:rsidR="00D855C3">
        <w:rPr>
          <w:rFonts w:ascii="Times New Roman" w:hAnsi="Times New Roman"/>
          <w:b/>
        </w:rPr>
        <w:t>10</w:t>
      </w:r>
      <w:r w:rsidR="00D855C3">
        <w:rPr>
          <w:rFonts w:ascii="Times New Roman" w:hAnsi="Times New Roman"/>
          <w:b/>
        </w:rPr>
        <w:tab/>
        <w:t>Assurance</w:t>
      </w:r>
      <w:r w:rsidRPr="00EB400B">
        <w:rPr>
          <w:rFonts w:ascii="Times New Roman" w:hAnsi="Times New Roman"/>
          <w:b/>
        </w:rPr>
        <w:t xml:space="preserve"> of Confidentiality</w:t>
      </w:r>
    </w:p>
    <w:p w:rsidR="00EC700B" w:rsidRPr="00EB400B" w:rsidRDefault="00EC700B">
      <w:pPr>
        <w:spacing w:line="480" w:lineRule="auto"/>
        <w:rPr>
          <w:rFonts w:ascii="Times New Roman" w:hAnsi="Times New Roman"/>
        </w:rPr>
      </w:pPr>
      <w:r w:rsidRPr="00EB400B">
        <w:rPr>
          <w:rFonts w:ascii="Times New Roman" w:hAnsi="Times New Roman"/>
        </w:rPr>
        <w:tab/>
        <w:t>Not applicable.</w:t>
      </w:r>
    </w:p>
    <w:p w:rsidR="00EC700B" w:rsidRPr="00EB400B" w:rsidRDefault="00EC700B">
      <w:pPr>
        <w:keepNext/>
        <w:spacing w:line="480" w:lineRule="auto"/>
        <w:rPr>
          <w:rFonts w:ascii="Times New Roman" w:hAnsi="Times New Roman"/>
        </w:rPr>
      </w:pPr>
      <w:r w:rsidRPr="00EB400B">
        <w:rPr>
          <w:rFonts w:ascii="Times New Roman" w:hAnsi="Times New Roman"/>
        </w:rPr>
        <w:tab/>
      </w:r>
      <w:r w:rsidRPr="00EB400B">
        <w:rPr>
          <w:rFonts w:ascii="Times New Roman" w:hAnsi="Times New Roman"/>
          <w:b/>
        </w:rPr>
        <w:t>11.</w:t>
      </w:r>
      <w:r w:rsidRPr="00EB400B">
        <w:rPr>
          <w:rFonts w:ascii="Times New Roman" w:hAnsi="Times New Roman"/>
          <w:b/>
        </w:rPr>
        <w:tab/>
        <w:t>Sensitive Questions</w:t>
      </w:r>
    </w:p>
    <w:p w:rsidR="00EC700B" w:rsidRPr="00EB400B" w:rsidRDefault="00EC700B">
      <w:pPr>
        <w:spacing w:line="480" w:lineRule="auto"/>
        <w:rPr>
          <w:rFonts w:ascii="Times New Roman" w:hAnsi="Times New Roman"/>
        </w:rPr>
      </w:pPr>
      <w:r w:rsidRPr="00EB400B">
        <w:rPr>
          <w:rFonts w:ascii="Times New Roman" w:hAnsi="Times New Roman"/>
        </w:rPr>
        <w:tab/>
        <w:t>Not applicable.</w:t>
      </w:r>
    </w:p>
    <w:p w:rsidR="00EC700B" w:rsidRPr="00EB400B" w:rsidRDefault="00EC700B">
      <w:pPr>
        <w:spacing w:line="480" w:lineRule="auto"/>
        <w:rPr>
          <w:rFonts w:ascii="Times New Roman" w:hAnsi="Times New Roman"/>
        </w:rPr>
      </w:pPr>
      <w:r w:rsidRPr="00EB400B">
        <w:rPr>
          <w:rFonts w:ascii="Times New Roman" w:hAnsi="Times New Roman"/>
          <w:b/>
        </w:rPr>
        <w:tab/>
        <w:t>12.</w:t>
      </w:r>
      <w:r w:rsidRPr="00EB400B">
        <w:rPr>
          <w:rFonts w:ascii="Times New Roman" w:hAnsi="Times New Roman"/>
          <w:b/>
        </w:rPr>
        <w:tab/>
        <w:t>Estimates of Hour Burden</w:t>
      </w:r>
    </w:p>
    <w:p w:rsidR="0040343D" w:rsidRDefault="00EC700B">
      <w:pPr>
        <w:spacing w:line="480" w:lineRule="auto"/>
        <w:rPr>
          <w:rFonts w:ascii="Times New Roman" w:hAnsi="Times New Roman"/>
        </w:rPr>
      </w:pPr>
      <w:r w:rsidRPr="00EB400B">
        <w:rPr>
          <w:rFonts w:ascii="Times New Roman" w:hAnsi="Times New Roman"/>
        </w:rPr>
        <w:tab/>
      </w:r>
      <w:r w:rsidR="001C2FF0">
        <w:rPr>
          <w:rFonts w:ascii="Times New Roman" w:hAnsi="Times New Roman"/>
        </w:rPr>
        <w:t>T</w:t>
      </w:r>
      <w:r w:rsidR="00AC7A8C">
        <w:rPr>
          <w:rFonts w:ascii="Times New Roman" w:hAnsi="Times New Roman"/>
        </w:rPr>
        <w:t xml:space="preserve">he staff </w:t>
      </w:r>
      <w:r w:rsidRPr="00EB400B">
        <w:rPr>
          <w:rFonts w:ascii="Times New Roman" w:hAnsi="Times New Roman"/>
        </w:rPr>
        <w:t>estimate</w:t>
      </w:r>
      <w:r w:rsidR="00AC7A8C">
        <w:rPr>
          <w:rFonts w:ascii="Times New Roman" w:hAnsi="Times New Roman"/>
        </w:rPr>
        <w:t>s</w:t>
      </w:r>
      <w:r w:rsidRPr="00EB400B">
        <w:rPr>
          <w:rFonts w:ascii="Times New Roman" w:hAnsi="Times New Roman"/>
        </w:rPr>
        <w:t xml:space="preserve"> that </w:t>
      </w:r>
      <w:r w:rsidR="001C2FF0">
        <w:rPr>
          <w:rFonts w:ascii="Times New Roman" w:hAnsi="Times New Roman"/>
        </w:rPr>
        <w:t xml:space="preserve">there are </w:t>
      </w:r>
      <w:r w:rsidRPr="00EB400B">
        <w:rPr>
          <w:rFonts w:ascii="Times New Roman" w:hAnsi="Times New Roman"/>
        </w:rPr>
        <w:t xml:space="preserve">approximately </w:t>
      </w:r>
      <w:r w:rsidR="001C2FF0">
        <w:rPr>
          <w:rFonts w:ascii="Times New Roman" w:hAnsi="Times New Roman"/>
        </w:rPr>
        <w:t>9200</w:t>
      </w:r>
      <w:r w:rsidR="00F12B5C">
        <w:rPr>
          <w:rFonts w:ascii="Times New Roman" w:hAnsi="Times New Roman"/>
        </w:rPr>
        <w:t xml:space="preserve"> </w:t>
      </w:r>
      <w:r w:rsidR="003B2CC7">
        <w:rPr>
          <w:rFonts w:ascii="Times New Roman" w:hAnsi="Times New Roman"/>
        </w:rPr>
        <w:t xml:space="preserve">series </w:t>
      </w:r>
      <w:r w:rsidRPr="00EB400B">
        <w:rPr>
          <w:rFonts w:ascii="Times New Roman" w:hAnsi="Times New Roman"/>
        </w:rPr>
        <w:t xml:space="preserve">of registered investment companies that are management companies </w:t>
      </w:r>
      <w:r w:rsidR="001C2FF0">
        <w:rPr>
          <w:rFonts w:ascii="Times New Roman" w:hAnsi="Times New Roman"/>
        </w:rPr>
        <w:t xml:space="preserve">that </w:t>
      </w:r>
      <w:r w:rsidRPr="00EB400B">
        <w:rPr>
          <w:rFonts w:ascii="Times New Roman" w:hAnsi="Times New Roman"/>
        </w:rPr>
        <w:t>may be s</w:t>
      </w:r>
      <w:r w:rsidR="00E068C1">
        <w:rPr>
          <w:rFonts w:ascii="Times New Roman" w:hAnsi="Times New Roman"/>
        </w:rPr>
        <w:t>ubject to rule 19a-1 each year,</w:t>
      </w:r>
      <w:r w:rsidR="000677C4">
        <w:rPr>
          <w:rStyle w:val="FootnoteReference"/>
          <w:rFonts w:ascii="Times New Roman" w:hAnsi="Times New Roman"/>
        </w:rPr>
        <w:footnoteReference w:id="3"/>
      </w:r>
      <w:r w:rsidR="00E068C1">
        <w:rPr>
          <w:rFonts w:ascii="Times New Roman" w:hAnsi="Times New Roman"/>
        </w:rPr>
        <w:t xml:space="preserve"> and that each portfolio </w:t>
      </w:r>
      <w:r w:rsidR="00AF7EC2">
        <w:rPr>
          <w:rFonts w:ascii="Times New Roman" w:hAnsi="Times New Roman"/>
        </w:rPr>
        <w:t xml:space="preserve">on average </w:t>
      </w:r>
      <w:r w:rsidR="00E068C1">
        <w:rPr>
          <w:rFonts w:ascii="Times New Roman" w:hAnsi="Times New Roman"/>
        </w:rPr>
        <w:t>mails two statements per year to meet the requirements of the rule.</w:t>
      </w:r>
      <w:r w:rsidR="00E068C1" w:rsidRPr="00EB400B">
        <w:rPr>
          <w:rStyle w:val="FootnoteReference"/>
          <w:rFonts w:ascii="Times New Roman" w:hAnsi="Times New Roman"/>
        </w:rPr>
        <w:footnoteReference w:id="4"/>
      </w:r>
      <w:r w:rsidR="00E068C1">
        <w:rPr>
          <w:rFonts w:ascii="Times New Roman" w:hAnsi="Times New Roman"/>
        </w:rPr>
        <w:t xml:space="preserve">   The staff further estimates that</w:t>
      </w:r>
      <w:r w:rsidRPr="00EB400B">
        <w:rPr>
          <w:rFonts w:ascii="Times New Roman" w:hAnsi="Times New Roman"/>
        </w:rPr>
        <w:t xml:space="preserve"> the time needed to make the determinations required by the rule and </w:t>
      </w:r>
      <w:r w:rsidR="0040343D">
        <w:rPr>
          <w:rFonts w:ascii="Times New Roman" w:hAnsi="Times New Roman"/>
        </w:rPr>
        <w:t xml:space="preserve">to </w:t>
      </w:r>
      <w:r w:rsidR="003E270A">
        <w:rPr>
          <w:rFonts w:ascii="Times New Roman" w:hAnsi="Times New Roman"/>
        </w:rPr>
        <w:t>prepare</w:t>
      </w:r>
      <w:r w:rsidR="0040343D">
        <w:rPr>
          <w:rFonts w:ascii="Times New Roman" w:hAnsi="Times New Roman"/>
        </w:rPr>
        <w:t xml:space="preserve"> the </w:t>
      </w:r>
      <w:r w:rsidR="003E270A">
        <w:rPr>
          <w:rFonts w:ascii="Times New Roman" w:hAnsi="Times New Roman"/>
        </w:rPr>
        <w:t>statement</w:t>
      </w:r>
      <w:r w:rsidR="0040343D">
        <w:rPr>
          <w:rFonts w:ascii="Times New Roman" w:hAnsi="Times New Roman"/>
        </w:rPr>
        <w:t xml:space="preserve"> required under the rule </w:t>
      </w:r>
      <w:r w:rsidRPr="00EB400B">
        <w:rPr>
          <w:rFonts w:ascii="Times New Roman" w:hAnsi="Times New Roman"/>
        </w:rPr>
        <w:t xml:space="preserve">is approximately </w:t>
      </w:r>
      <w:r w:rsidR="00AA74DD">
        <w:rPr>
          <w:rFonts w:ascii="Times New Roman" w:hAnsi="Times New Roman"/>
        </w:rPr>
        <w:t>1</w:t>
      </w:r>
      <w:r w:rsidR="0040343D">
        <w:rPr>
          <w:rFonts w:ascii="Times New Roman" w:hAnsi="Times New Roman"/>
        </w:rPr>
        <w:t xml:space="preserve"> hour</w:t>
      </w:r>
      <w:r w:rsidRPr="00EB400B">
        <w:rPr>
          <w:rFonts w:ascii="Times New Roman" w:hAnsi="Times New Roman"/>
        </w:rPr>
        <w:t xml:space="preserve"> </w:t>
      </w:r>
      <w:r w:rsidR="004A3573">
        <w:rPr>
          <w:rFonts w:ascii="Times New Roman" w:hAnsi="Times New Roman"/>
        </w:rPr>
        <w:t>per statement</w:t>
      </w:r>
      <w:r w:rsidRPr="00EB400B">
        <w:rPr>
          <w:rFonts w:ascii="Times New Roman" w:hAnsi="Times New Roman"/>
        </w:rPr>
        <w:t>.  The total annual burden for all portfolios therefore is estimated to be approximately</w:t>
      </w:r>
      <w:r w:rsidR="000677C4">
        <w:rPr>
          <w:rFonts w:ascii="Times New Roman" w:hAnsi="Times New Roman"/>
        </w:rPr>
        <w:t xml:space="preserve"> 18,400</w:t>
      </w:r>
      <w:r w:rsidRPr="00EB400B">
        <w:rPr>
          <w:rFonts w:ascii="Times New Roman" w:hAnsi="Times New Roman"/>
        </w:rPr>
        <w:t xml:space="preserve"> burden hours.  </w:t>
      </w:r>
    </w:p>
    <w:p w:rsidR="00EC700B" w:rsidRPr="00EB400B" w:rsidRDefault="0040343D" w:rsidP="00041E11">
      <w:pPr>
        <w:suppressAutoHyphens/>
        <w:spacing w:line="480" w:lineRule="auto"/>
        <w:rPr>
          <w:rFonts w:ascii="Times New Roman" w:hAnsi="Times New Roman"/>
        </w:rPr>
      </w:pPr>
      <w:r>
        <w:rPr>
          <w:rFonts w:ascii="Times New Roman" w:hAnsi="Times New Roman"/>
        </w:rPr>
        <w:lastRenderedPageBreak/>
        <w:tab/>
      </w:r>
      <w:r w:rsidR="003D4FAA">
        <w:rPr>
          <w:rFonts w:ascii="Times New Roman" w:hAnsi="Times New Roman"/>
          <w:szCs w:val="22"/>
        </w:rPr>
        <w:t>The staff</w:t>
      </w:r>
      <w:r w:rsidR="003D4FAA" w:rsidRPr="00EB400B">
        <w:rPr>
          <w:rFonts w:ascii="Times New Roman" w:hAnsi="Times New Roman"/>
          <w:szCs w:val="22"/>
        </w:rPr>
        <w:t xml:space="preserve"> </w:t>
      </w:r>
      <w:r w:rsidR="00A65552">
        <w:rPr>
          <w:rFonts w:ascii="Times New Roman" w:hAnsi="Times New Roman"/>
          <w:szCs w:val="22"/>
        </w:rPr>
        <w:t>estimates</w:t>
      </w:r>
      <w:r w:rsidR="003D4FAA" w:rsidRPr="00EB400B">
        <w:rPr>
          <w:rFonts w:ascii="Times New Roman" w:hAnsi="Times New Roman"/>
          <w:szCs w:val="22"/>
        </w:rPr>
        <w:t xml:space="preserve"> that approximately one-third of the total annual burden (</w:t>
      </w:r>
      <w:r w:rsidR="000677C4">
        <w:rPr>
          <w:rFonts w:ascii="Times New Roman" w:hAnsi="Times New Roman"/>
          <w:szCs w:val="22"/>
        </w:rPr>
        <w:t>6,133</w:t>
      </w:r>
      <w:r w:rsidR="003D4FAA" w:rsidRPr="00EB400B">
        <w:rPr>
          <w:rFonts w:ascii="Times New Roman" w:hAnsi="Times New Roman"/>
          <w:szCs w:val="22"/>
        </w:rPr>
        <w:t xml:space="preserve"> hours) would be incurred by </w:t>
      </w:r>
      <w:r w:rsidR="003D4FAA">
        <w:rPr>
          <w:rFonts w:ascii="Times New Roman" w:hAnsi="Times New Roman"/>
          <w:szCs w:val="22"/>
        </w:rPr>
        <w:t xml:space="preserve">a </w:t>
      </w:r>
      <w:r w:rsidR="005C2C7C">
        <w:rPr>
          <w:rFonts w:ascii="Times New Roman" w:hAnsi="Times New Roman"/>
          <w:szCs w:val="22"/>
        </w:rPr>
        <w:t xml:space="preserve">paralegal </w:t>
      </w:r>
      <w:r w:rsidR="003D4FAA">
        <w:rPr>
          <w:rFonts w:ascii="Times New Roman" w:hAnsi="Times New Roman"/>
          <w:szCs w:val="22"/>
        </w:rPr>
        <w:t>with an average hourly wage rate of approximately $</w:t>
      </w:r>
      <w:r w:rsidR="005C2C7C">
        <w:rPr>
          <w:rFonts w:ascii="Times New Roman" w:hAnsi="Times New Roman"/>
          <w:szCs w:val="22"/>
        </w:rPr>
        <w:t>168</w:t>
      </w:r>
      <w:r w:rsidR="003D4FAA">
        <w:rPr>
          <w:rFonts w:ascii="Times New Roman" w:hAnsi="Times New Roman"/>
          <w:szCs w:val="22"/>
        </w:rPr>
        <w:t xml:space="preserve"> per hour,</w:t>
      </w:r>
      <w:r w:rsidR="005C2C7C">
        <w:rPr>
          <w:rStyle w:val="FootnoteReference"/>
          <w:rFonts w:ascii="Times New Roman" w:hAnsi="Times New Roman"/>
          <w:szCs w:val="22"/>
        </w:rPr>
        <w:footnoteReference w:id="5"/>
      </w:r>
      <w:r w:rsidR="003D4FAA">
        <w:rPr>
          <w:rFonts w:ascii="Times New Roman" w:hAnsi="Times New Roman"/>
          <w:szCs w:val="22"/>
        </w:rPr>
        <w:t xml:space="preserve"> and</w:t>
      </w:r>
      <w:r w:rsidR="003D4FAA" w:rsidRPr="00EB400B">
        <w:rPr>
          <w:rFonts w:ascii="Times New Roman" w:hAnsi="Times New Roman"/>
          <w:szCs w:val="22"/>
        </w:rPr>
        <w:t xml:space="preserve"> </w:t>
      </w:r>
      <w:r w:rsidR="003D4FAA">
        <w:rPr>
          <w:rFonts w:ascii="Times New Roman" w:hAnsi="Times New Roman"/>
          <w:szCs w:val="22"/>
        </w:rPr>
        <w:t>approximately two-thirds of the</w:t>
      </w:r>
      <w:r w:rsidR="003D4FAA" w:rsidRPr="00EB400B">
        <w:rPr>
          <w:rFonts w:ascii="Times New Roman" w:hAnsi="Times New Roman"/>
          <w:szCs w:val="22"/>
        </w:rPr>
        <w:t xml:space="preserve"> annual burden (</w:t>
      </w:r>
      <w:r w:rsidR="006B2E51">
        <w:rPr>
          <w:rFonts w:ascii="Times New Roman" w:hAnsi="Times New Roman"/>
          <w:szCs w:val="22"/>
        </w:rPr>
        <w:t>12,267</w:t>
      </w:r>
      <w:r w:rsidR="003D4FAA" w:rsidRPr="00EB400B">
        <w:rPr>
          <w:rFonts w:ascii="Times New Roman" w:hAnsi="Times New Roman"/>
          <w:szCs w:val="22"/>
        </w:rPr>
        <w:t xml:space="preserve"> hours) would be incurred by</w:t>
      </w:r>
      <w:r w:rsidR="00F2412D">
        <w:rPr>
          <w:rFonts w:ascii="Times New Roman" w:hAnsi="Times New Roman"/>
          <w:szCs w:val="22"/>
        </w:rPr>
        <w:t xml:space="preserve"> a</w:t>
      </w:r>
      <w:r w:rsidR="003D4FAA" w:rsidRPr="00EB400B">
        <w:rPr>
          <w:rFonts w:ascii="Times New Roman" w:hAnsi="Times New Roman"/>
          <w:szCs w:val="22"/>
        </w:rPr>
        <w:t xml:space="preserve"> </w:t>
      </w:r>
      <w:r w:rsidR="005C2C7C">
        <w:rPr>
          <w:rFonts w:ascii="Times New Roman" w:hAnsi="Times New Roman"/>
          <w:szCs w:val="22"/>
        </w:rPr>
        <w:t>compliance clerk</w:t>
      </w:r>
      <w:r w:rsidR="003D4FAA" w:rsidRPr="00EB400B">
        <w:rPr>
          <w:rFonts w:ascii="Times New Roman" w:hAnsi="Times New Roman"/>
          <w:szCs w:val="22"/>
        </w:rPr>
        <w:t xml:space="preserve"> with an</w:t>
      </w:r>
      <w:r w:rsidR="00041E11">
        <w:rPr>
          <w:rFonts w:ascii="Times New Roman" w:hAnsi="Times New Roman"/>
          <w:szCs w:val="22"/>
        </w:rPr>
        <w:t xml:space="preserve"> average hourly wage rate of $</w:t>
      </w:r>
      <w:r w:rsidR="000677C4">
        <w:rPr>
          <w:rFonts w:ascii="Times New Roman" w:hAnsi="Times New Roman"/>
          <w:szCs w:val="22"/>
        </w:rPr>
        <w:t>67</w:t>
      </w:r>
      <w:r w:rsidR="00EA655B">
        <w:rPr>
          <w:rFonts w:ascii="Times New Roman" w:hAnsi="Times New Roman"/>
          <w:szCs w:val="22"/>
        </w:rPr>
        <w:t xml:space="preserve"> </w:t>
      </w:r>
      <w:r w:rsidR="003D4FAA" w:rsidRPr="00EB400B">
        <w:rPr>
          <w:rFonts w:ascii="Times New Roman" w:hAnsi="Times New Roman"/>
          <w:szCs w:val="22"/>
        </w:rPr>
        <w:t>per hour</w:t>
      </w:r>
      <w:r w:rsidR="00E068C1">
        <w:rPr>
          <w:rFonts w:ascii="Times New Roman" w:hAnsi="Times New Roman"/>
          <w:szCs w:val="22"/>
        </w:rPr>
        <w:t>.</w:t>
      </w:r>
      <w:r w:rsidR="00041E11">
        <w:rPr>
          <w:rStyle w:val="FootnoteReference"/>
          <w:rFonts w:ascii="Times New Roman" w:hAnsi="Times New Roman"/>
        </w:rPr>
        <w:footnoteReference w:id="6"/>
      </w:r>
      <w:r w:rsidR="00041E11">
        <w:rPr>
          <w:rFonts w:ascii="Times New Roman" w:hAnsi="Times New Roman"/>
        </w:rPr>
        <w:t xml:space="preserve"> </w:t>
      </w:r>
      <w:r w:rsidR="003D4FAA" w:rsidRPr="00EB400B">
        <w:rPr>
          <w:rFonts w:ascii="Times New Roman" w:hAnsi="Times New Roman"/>
          <w:szCs w:val="22"/>
        </w:rPr>
        <w:t xml:space="preserve"> </w:t>
      </w:r>
      <w:r>
        <w:rPr>
          <w:rFonts w:ascii="Times New Roman" w:hAnsi="Times New Roman"/>
        </w:rPr>
        <w:t>The staff therefore estimates that the aggregate annual cost of complying with the paperwork requirements of the rule is approximately $</w:t>
      </w:r>
      <w:r w:rsidR="006B2E51">
        <w:rPr>
          <w:rFonts w:ascii="Times New Roman" w:hAnsi="Times New Roman"/>
        </w:rPr>
        <w:t>1,852,233</w:t>
      </w:r>
      <w:r w:rsidR="000677C4">
        <w:rPr>
          <w:rFonts w:ascii="Times New Roman" w:hAnsi="Times New Roman"/>
        </w:rPr>
        <w:t xml:space="preserve"> </w:t>
      </w:r>
      <w:r>
        <w:rPr>
          <w:rFonts w:ascii="Times New Roman" w:hAnsi="Times New Roman"/>
        </w:rPr>
        <w:t>((</w:t>
      </w:r>
      <w:r w:rsidR="000677C4">
        <w:rPr>
          <w:rFonts w:ascii="Times New Roman" w:hAnsi="Times New Roman"/>
        </w:rPr>
        <w:t>6,133</w:t>
      </w:r>
      <w:r>
        <w:rPr>
          <w:rFonts w:ascii="Times New Roman" w:hAnsi="Times New Roman"/>
        </w:rPr>
        <w:t xml:space="preserve"> hours x $1</w:t>
      </w:r>
      <w:r w:rsidR="00E07947">
        <w:rPr>
          <w:rFonts w:ascii="Times New Roman" w:hAnsi="Times New Roman"/>
        </w:rPr>
        <w:t>6</w:t>
      </w:r>
      <w:r w:rsidR="00041E11">
        <w:rPr>
          <w:rFonts w:ascii="Times New Roman" w:hAnsi="Times New Roman"/>
        </w:rPr>
        <w:t>8</w:t>
      </w:r>
      <w:r w:rsidR="006B2E51">
        <w:rPr>
          <w:rFonts w:ascii="Times New Roman" w:hAnsi="Times New Roman"/>
        </w:rPr>
        <w:t>) + (12,267</w:t>
      </w:r>
      <w:r w:rsidR="00041E11">
        <w:rPr>
          <w:rFonts w:ascii="Times New Roman" w:hAnsi="Times New Roman"/>
        </w:rPr>
        <w:t xml:space="preserve"> hours</w:t>
      </w:r>
      <w:r>
        <w:rPr>
          <w:rFonts w:ascii="Times New Roman" w:hAnsi="Times New Roman"/>
        </w:rPr>
        <w:t xml:space="preserve"> x $</w:t>
      </w:r>
      <w:r w:rsidR="000677C4">
        <w:rPr>
          <w:rFonts w:ascii="Times New Roman" w:hAnsi="Times New Roman"/>
        </w:rPr>
        <w:t>67</w:t>
      </w:r>
      <w:r>
        <w:rPr>
          <w:rFonts w:ascii="Times New Roman" w:hAnsi="Times New Roman"/>
        </w:rPr>
        <w:t xml:space="preserve">)).  </w:t>
      </w:r>
    </w:p>
    <w:p w:rsidR="00EC700B" w:rsidRPr="00EB400B" w:rsidRDefault="00EC700B">
      <w:pPr>
        <w:spacing w:line="480" w:lineRule="auto"/>
        <w:ind w:firstLine="720"/>
        <w:rPr>
          <w:rFonts w:ascii="Times New Roman" w:hAnsi="Times New Roman"/>
        </w:rPr>
      </w:pPr>
      <w:r w:rsidRPr="00EB400B">
        <w:rPr>
          <w:rFonts w:ascii="Times New Roman" w:hAnsi="Times New Roman"/>
        </w:rPr>
        <w:t xml:space="preserve">To comply with state law, many investment companies already must distinguish the different sources from which a shareholder distribution is paid and disclose that information to shareholders.  Thus, many investment companies would be required to distinguish the sources of shareholder dividends whether or not the Commission required </w:t>
      </w:r>
      <w:r w:rsidR="0051336C">
        <w:rPr>
          <w:rFonts w:ascii="Times New Roman" w:hAnsi="Times New Roman"/>
        </w:rPr>
        <w:t>them to do so under</w:t>
      </w:r>
      <w:r w:rsidRPr="00EB400B">
        <w:rPr>
          <w:rFonts w:ascii="Times New Roman" w:hAnsi="Times New Roman"/>
        </w:rPr>
        <w:t xml:space="preserve"> rule 19a-1.</w:t>
      </w:r>
    </w:p>
    <w:p w:rsidR="00EC700B" w:rsidRPr="00EB400B" w:rsidRDefault="00EC700B">
      <w:pPr>
        <w:spacing w:line="480" w:lineRule="auto"/>
        <w:rPr>
          <w:rFonts w:ascii="Times New Roman" w:hAnsi="Times New Roman"/>
          <w:b/>
        </w:rPr>
      </w:pPr>
      <w:r w:rsidRPr="00EB400B">
        <w:rPr>
          <w:rFonts w:ascii="Times New Roman" w:hAnsi="Times New Roman"/>
        </w:rPr>
        <w:tab/>
        <w:t>The estimate of average burden hours is made solely for the purposes of the Paperwork Reduction Act.  The estimate is not derived from a comprehensive or even a representative survey or study of the costs of Commission rules.</w:t>
      </w:r>
    </w:p>
    <w:p w:rsidR="00EC700B" w:rsidRPr="00EB400B" w:rsidRDefault="00EC700B">
      <w:pPr>
        <w:keepNext/>
        <w:spacing w:line="480" w:lineRule="auto"/>
        <w:rPr>
          <w:rFonts w:ascii="Times New Roman" w:hAnsi="Times New Roman"/>
        </w:rPr>
      </w:pPr>
      <w:r w:rsidRPr="00EB400B">
        <w:rPr>
          <w:rFonts w:ascii="Times New Roman" w:hAnsi="Times New Roman"/>
        </w:rPr>
        <w:tab/>
      </w:r>
      <w:r w:rsidRPr="00EB400B">
        <w:rPr>
          <w:rFonts w:ascii="Times New Roman" w:hAnsi="Times New Roman"/>
          <w:b/>
        </w:rPr>
        <w:t>13.</w:t>
      </w:r>
      <w:r w:rsidRPr="00EB400B">
        <w:rPr>
          <w:rFonts w:ascii="Times New Roman" w:hAnsi="Times New Roman"/>
          <w:b/>
        </w:rPr>
        <w:tab/>
        <w:t>Estimate of Total Annual Cost Burden</w:t>
      </w:r>
    </w:p>
    <w:p w:rsidR="00EC700B" w:rsidRPr="00EB400B" w:rsidRDefault="00EC700B">
      <w:pPr>
        <w:spacing w:line="480" w:lineRule="auto"/>
        <w:rPr>
          <w:rFonts w:ascii="Times New Roman" w:hAnsi="Times New Roman"/>
        </w:rPr>
      </w:pPr>
      <w:r w:rsidRPr="00EB400B">
        <w:rPr>
          <w:rFonts w:ascii="Times New Roman" w:hAnsi="Times New Roman"/>
        </w:rPr>
        <w:tab/>
        <w:t xml:space="preserve">It is estimated that there is no cost burden of rule 19a-1 </w:t>
      </w:r>
      <w:r w:rsidR="0051336C">
        <w:rPr>
          <w:rFonts w:ascii="Times New Roman" w:hAnsi="Times New Roman"/>
        </w:rPr>
        <w:t xml:space="preserve">other than the </w:t>
      </w:r>
      <w:r w:rsidRPr="00EB400B">
        <w:rPr>
          <w:rFonts w:ascii="Times New Roman" w:hAnsi="Times New Roman"/>
        </w:rPr>
        <w:t xml:space="preserve">cost of the respondent hour burden identified in Item 12 of this Supporting Statement.  </w:t>
      </w:r>
    </w:p>
    <w:p w:rsidR="00EC700B" w:rsidRPr="00EB400B" w:rsidRDefault="00D855C3">
      <w:pPr>
        <w:numPr>
          <w:ilvl w:val="0"/>
          <w:numId w:val="6"/>
        </w:numPr>
        <w:tabs>
          <w:tab w:val="clear" w:pos="1080"/>
          <w:tab w:val="num" w:pos="1440"/>
        </w:tabs>
        <w:spacing w:line="480" w:lineRule="auto"/>
        <w:rPr>
          <w:rFonts w:ascii="Times New Roman" w:hAnsi="Times New Roman"/>
        </w:rPr>
      </w:pPr>
      <w:r>
        <w:rPr>
          <w:rFonts w:ascii="Times New Roman" w:hAnsi="Times New Roman"/>
          <w:b/>
        </w:rPr>
        <w:t>Estimate of Cost</w:t>
      </w:r>
      <w:r w:rsidR="00EC700B" w:rsidRPr="00EB400B">
        <w:rPr>
          <w:rFonts w:ascii="Times New Roman" w:hAnsi="Times New Roman"/>
          <w:b/>
        </w:rPr>
        <w:t xml:space="preserve"> to the Federal Government </w:t>
      </w:r>
      <w:r w:rsidR="00EC700B" w:rsidRPr="00EB400B">
        <w:rPr>
          <w:rFonts w:ascii="Times New Roman" w:hAnsi="Times New Roman"/>
        </w:rPr>
        <w:t xml:space="preserve"> </w:t>
      </w:r>
    </w:p>
    <w:p w:rsidR="00EC700B" w:rsidRPr="00EB400B" w:rsidRDefault="00EC700B">
      <w:pPr>
        <w:spacing w:line="480" w:lineRule="auto"/>
        <w:ind w:left="720"/>
        <w:rPr>
          <w:rFonts w:ascii="Times New Roman" w:hAnsi="Times New Roman"/>
        </w:rPr>
      </w:pPr>
      <w:r w:rsidRPr="00EB400B">
        <w:rPr>
          <w:rFonts w:ascii="Times New Roman" w:hAnsi="Times New Roman"/>
        </w:rPr>
        <w:t>There are no costs to the Federal Government associated with rule 19a-1.</w:t>
      </w:r>
    </w:p>
    <w:p w:rsidR="00EC700B" w:rsidRPr="00EB400B" w:rsidRDefault="00EC700B">
      <w:pPr>
        <w:numPr>
          <w:ilvl w:val="0"/>
          <w:numId w:val="6"/>
        </w:numPr>
        <w:spacing w:line="480" w:lineRule="auto"/>
        <w:rPr>
          <w:rFonts w:ascii="Times New Roman" w:hAnsi="Times New Roman"/>
          <w:b/>
        </w:rPr>
      </w:pPr>
      <w:r w:rsidRPr="00EB400B">
        <w:rPr>
          <w:rFonts w:ascii="Times New Roman" w:hAnsi="Times New Roman"/>
          <w:b/>
        </w:rPr>
        <w:lastRenderedPageBreak/>
        <w:t xml:space="preserve"> </w:t>
      </w:r>
      <w:r w:rsidRPr="00EB400B">
        <w:rPr>
          <w:rFonts w:ascii="Times New Roman" w:hAnsi="Times New Roman"/>
          <w:b/>
        </w:rPr>
        <w:tab/>
        <w:t>Explanation of Changes in Burden</w:t>
      </w:r>
    </w:p>
    <w:p w:rsidR="00EC700B" w:rsidRPr="00EB400B" w:rsidRDefault="00EC700B">
      <w:pPr>
        <w:spacing w:line="480" w:lineRule="auto"/>
        <w:rPr>
          <w:rFonts w:ascii="Times New Roman" w:hAnsi="Times New Roman"/>
        </w:rPr>
      </w:pPr>
      <w:r w:rsidRPr="00EB400B">
        <w:rPr>
          <w:rFonts w:ascii="Times New Roman" w:hAnsi="Times New Roman"/>
        </w:rPr>
        <w:tab/>
      </w:r>
      <w:r w:rsidR="00E82EF3">
        <w:rPr>
          <w:rFonts w:ascii="Times New Roman" w:hAnsi="Times New Roman"/>
        </w:rPr>
        <w:t>T</w:t>
      </w:r>
      <w:r w:rsidR="000677C4">
        <w:rPr>
          <w:rFonts w:ascii="Times New Roman" w:hAnsi="Times New Roman"/>
        </w:rPr>
        <w:t>he estimated annual burden of 18,400</w:t>
      </w:r>
      <w:r w:rsidR="00E82EF3">
        <w:rPr>
          <w:rFonts w:ascii="Times New Roman" w:hAnsi="Times New Roman"/>
        </w:rPr>
        <w:t xml:space="preserve"> hours represents an increase of </w:t>
      </w:r>
      <w:r w:rsidR="000677C4">
        <w:rPr>
          <w:rFonts w:ascii="Times New Roman" w:hAnsi="Times New Roman"/>
        </w:rPr>
        <w:t>9200</w:t>
      </w:r>
      <w:r w:rsidR="00E82EF3">
        <w:rPr>
          <w:rFonts w:ascii="Times New Roman" w:hAnsi="Times New Roman"/>
        </w:rPr>
        <w:t xml:space="preserve"> ho</w:t>
      </w:r>
      <w:r w:rsidR="00313511">
        <w:rPr>
          <w:rFonts w:ascii="Times New Roman" w:hAnsi="Times New Roman"/>
        </w:rPr>
        <w:t>urs over the prior estimate of 9</w:t>
      </w:r>
      <w:r w:rsidR="006B2E51">
        <w:rPr>
          <w:rFonts w:ascii="Times New Roman" w:hAnsi="Times New Roman"/>
        </w:rPr>
        <w:t>2</w:t>
      </w:r>
      <w:r w:rsidR="00E82EF3">
        <w:rPr>
          <w:rFonts w:ascii="Times New Roman" w:hAnsi="Times New Roman"/>
        </w:rPr>
        <w:t xml:space="preserve">00 hours.  </w:t>
      </w:r>
      <w:r w:rsidRPr="00EB400B">
        <w:rPr>
          <w:rFonts w:ascii="Times New Roman" w:hAnsi="Times New Roman"/>
        </w:rPr>
        <w:t>The increase in estimated burden hours results fro</w:t>
      </w:r>
      <w:r w:rsidR="00862F78">
        <w:rPr>
          <w:rFonts w:ascii="Times New Roman" w:hAnsi="Times New Roman"/>
        </w:rPr>
        <w:t xml:space="preserve">m an increase in the </w:t>
      </w:r>
      <w:r w:rsidR="005B03EF">
        <w:rPr>
          <w:rFonts w:ascii="Times New Roman" w:hAnsi="Times New Roman"/>
        </w:rPr>
        <w:t xml:space="preserve">estimated </w:t>
      </w:r>
      <w:r w:rsidR="00313511">
        <w:rPr>
          <w:rFonts w:ascii="Times New Roman" w:hAnsi="Times New Roman"/>
        </w:rPr>
        <w:t xml:space="preserve">number of </w:t>
      </w:r>
      <w:r w:rsidR="00E274B3">
        <w:rPr>
          <w:rFonts w:ascii="Times New Roman" w:hAnsi="Times New Roman"/>
        </w:rPr>
        <w:t xml:space="preserve">series </w:t>
      </w:r>
      <w:r w:rsidR="00E274B3" w:rsidRPr="00EB400B">
        <w:rPr>
          <w:rFonts w:ascii="Times New Roman" w:hAnsi="Times New Roman"/>
        </w:rPr>
        <w:t xml:space="preserve">of registered investment companies </w:t>
      </w:r>
      <w:r w:rsidR="000677C4">
        <w:rPr>
          <w:rFonts w:ascii="Times New Roman" w:hAnsi="Times New Roman"/>
        </w:rPr>
        <w:t>that may be</w:t>
      </w:r>
      <w:r w:rsidR="00E274B3">
        <w:rPr>
          <w:rFonts w:ascii="Times New Roman" w:hAnsi="Times New Roman"/>
        </w:rPr>
        <w:t xml:space="preserve"> </w:t>
      </w:r>
      <w:r w:rsidR="00E274B3" w:rsidRPr="00EB400B">
        <w:rPr>
          <w:rFonts w:ascii="Times New Roman" w:hAnsi="Times New Roman"/>
        </w:rPr>
        <w:t>s</w:t>
      </w:r>
      <w:r w:rsidR="00E274B3">
        <w:rPr>
          <w:rFonts w:ascii="Times New Roman" w:hAnsi="Times New Roman"/>
        </w:rPr>
        <w:t>ubject to rule 19a-1.</w:t>
      </w:r>
      <w:r w:rsidR="00862F78">
        <w:rPr>
          <w:rFonts w:ascii="Times New Roman" w:hAnsi="Times New Roman"/>
        </w:rPr>
        <w:t xml:space="preserve"> </w:t>
      </w:r>
    </w:p>
    <w:p w:rsidR="00EC700B" w:rsidRPr="00EB400B" w:rsidRDefault="00EC700B">
      <w:pPr>
        <w:keepNext/>
        <w:spacing w:line="480" w:lineRule="auto"/>
        <w:rPr>
          <w:rFonts w:ascii="Times New Roman" w:hAnsi="Times New Roman"/>
        </w:rPr>
      </w:pPr>
      <w:r w:rsidRPr="00EB400B">
        <w:rPr>
          <w:rFonts w:ascii="Times New Roman" w:hAnsi="Times New Roman"/>
        </w:rPr>
        <w:tab/>
      </w:r>
      <w:r w:rsidRPr="00EB400B">
        <w:rPr>
          <w:rFonts w:ascii="Times New Roman" w:hAnsi="Times New Roman"/>
          <w:b/>
        </w:rPr>
        <w:t>16.</w:t>
      </w:r>
      <w:r w:rsidRPr="00EB400B">
        <w:rPr>
          <w:rFonts w:ascii="Times New Roman" w:hAnsi="Times New Roman"/>
          <w:b/>
        </w:rPr>
        <w:tab/>
        <w:t>Information Collection Planned for Statistical Purposes</w:t>
      </w:r>
    </w:p>
    <w:p w:rsidR="00EC700B" w:rsidRPr="00EB400B" w:rsidRDefault="00EC700B">
      <w:pPr>
        <w:spacing w:line="480" w:lineRule="auto"/>
        <w:rPr>
          <w:rFonts w:ascii="Times New Roman" w:hAnsi="Times New Roman"/>
        </w:rPr>
      </w:pPr>
      <w:r w:rsidRPr="00EB400B">
        <w:rPr>
          <w:rFonts w:ascii="Times New Roman" w:hAnsi="Times New Roman"/>
        </w:rPr>
        <w:tab/>
        <w:t>Not applicable.</w:t>
      </w:r>
    </w:p>
    <w:p w:rsidR="00EC700B" w:rsidRPr="00EB400B" w:rsidRDefault="00EC700B">
      <w:pPr>
        <w:keepNext/>
        <w:spacing w:line="480" w:lineRule="auto"/>
        <w:rPr>
          <w:rFonts w:ascii="Times New Roman" w:hAnsi="Times New Roman"/>
        </w:rPr>
      </w:pPr>
      <w:r w:rsidRPr="00EB400B">
        <w:rPr>
          <w:rFonts w:ascii="Times New Roman" w:hAnsi="Times New Roman"/>
        </w:rPr>
        <w:tab/>
      </w:r>
      <w:r w:rsidR="00EB400B">
        <w:rPr>
          <w:rFonts w:ascii="Times New Roman" w:hAnsi="Times New Roman"/>
          <w:b/>
        </w:rPr>
        <w:t>17.</w:t>
      </w:r>
      <w:r w:rsidR="00EB400B">
        <w:rPr>
          <w:rFonts w:ascii="Times New Roman" w:hAnsi="Times New Roman"/>
          <w:b/>
        </w:rPr>
        <w:tab/>
        <w:t>Approval to n</w:t>
      </w:r>
      <w:r w:rsidRPr="00EB400B">
        <w:rPr>
          <w:rFonts w:ascii="Times New Roman" w:hAnsi="Times New Roman"/>
          <w:b/>
        </w:rPr>
        <w:t>ot Display Expiration Date</w:t>
      </w:r>
    </w:p>
    <w:p w:rsidR="00EC700B" w:rsidRPr="00EB400B" w:rsidRDefault="00EC700B">
      <w:pPr>
        <w:spacing w:line="480" w:lineRule="auto"/>
        <w:rPr>
          <w:rFonts w:ascii="Times New Roman" w:hAnsi="Times New Roman"/>
        </w:rPr>
      </w:pPr>
      <w:r w:rsidRPr="00EB400B">
        <w:rPr>
          <w:rFonts w:ascii="Times New Roman" w:hAnsi="Times New Roman"/>
        </w:rPr>
        <w:tab/>
        <w:t>Not applicable.</w:t>
      </w:r>
    </w:p>
    <w:p w:rsidR="00EC700B" w:rsidRPr="00EB400B" w:rsidRDefault="00EC700B">
      <w:pPr>
        <w:keepNext/>
        <w:spacing w:line="480" w:lineRule="auto"/>
        <w:rPr>
          <w:rFonts w:ascii="Times New Roman" w:hAnsi="Times New Roman"/>
          <w:b/>
        </w:rPr>
      </w:pPr>
      <w:r w:rsidRPr="00EB400B">
        <w:rPr>
          <w:rFonts w:ascii="Times New Roman" w:hAnsi="Times New Roman"/>
        </w:rPr>
        <w:tab/>
      </w:r>
      <w:r w:rsidRPr="00EB400B">
        <w:rPr>
          <w:rFonts w:ascii="Times New Roman" w:hAnsi="Times New Roman"/>
          <w:b/>
        </w:rPr>
        <w:t>18.</w:t>
      </w:r>
      <w:r w:rsidRPr="00EB400B">
        <w:rPr>
          <w:rFonts w:ascii="Times New Roman" w:hAnsi="Times New Roman"/>
          <w:b/>
        </w:rPr>
        <w:tab/>
        <w:t>Exception</w:t>
      </w:r>
      <w:r w:rsidR="00D855C3">
        <w:rPr>
          <w:rFonts w:ascii="Times New Roman" w:hAnsi="Times New Roman"/>
          <w:b/>
        </w:rPr>
        <w:t>s</w:t>
      </w:r>
      <w:r w:rsidRPr="00EB400B">
        <w:rPr>
          <w:rFonts w:ascii="Times New Roman" w:hAnsi="Times New Roman"/>
          <w:b/>
        </w:rPr>
        <w:t xml:space="preserve"> to Certification Statement</w:t>
      </w:r>
    </w:p>
    <w:p w:rsidR="00EC700B" w:rsidRPr="00EB400B" w:rsidRDefault="00EC700B">
      <w:pPr>
        <w:keepNext/>
        <w:spacing w:line="480" w:lineRule="auto"/>
        <w:rPr>
          <w:rFonts w:ascii="Times New Roman" w:hAnsi="Times New Roman"/>
        </w:rPr>
      </w:pPr>
      <w:r w:rsidRPr="00EB400B">
        <w:rPr>
          <w:rFonts w:ascii="Times New Roman" w:hAnsi="Times New Roman"/>
        </w:rPr>
        <w:tab/>
        <w:t>Not applicable.</w:t>
      </w:r>
    </w:p>
    <w:p w:rsidR="00EC700B" w:rsidRPr="00EB400B" w:rsidRDefault="00EC700B">
      <w:pPr>
        <w:pStyle w:val="Heading4"/>
        <w:numPr>
          <w:ilvl w:val="0"/>
          <w:numId w:val="3"/>
        </w:numPr>
        <w:tabs>
          <w:tab w:val="clear" w:pos="1080"/>
          <w:tab w:val="num" w:pos="0"/>
        </w:tabs>
        <w:ind w:left="0" w:firstLine="0"/>
        <w:textAlignment w:val="auto"/>
        <w:rPr>
          <w:rFonts w:ascii="Times New Roman" w:hAnsi="Times New Roman"/>
          <w:bCs w:val="0"/>
        </w:rPr>
      </w:pPr>
      <w:r w:rsidRPr="00EB400B">
        <w:rPr>
          <w:rFonts w:ascii="Times New Roman" w:hAnsi="Times New Roman"/>
          <w:bCs w:val="0"/>
        </w:rPr>
        <w:t>COLLECTION OF INFORMATION EMPLOYING STATISTICAL METHODS</w:t>
      </w:r>
    </w:p>
    <w:p w:rsidR="00EC700B" w:rsidRDefault="00EC700B" w:rsidP="00EC182C">
      <w:pPr>
        <w:spacing w:line="480" w:lineRule="auto"/>
        <w:ind w:firstLine="720"/>
        <w:rPr>
          <w:b/>
        </w:rPr>
      </w:pPr>
      <w:r w:rsidRPr="00EB400B">
        <w:rPr>
          <w:rFonts w:ascii="Times New Roman" w:hAnsi="Times New Roman"/>
        </w:rPr>
        <w:t>Not applicable.</w:t>
      </w:r>
    </w:p>
    <w:sectPr w:rsidR="00EC700B" w:rsidSect="005A2274">
      <w:headerReference w:type="even" r:id="rId11"/>
      <w:headerReference w:type="default" r:id="rId12"/>
      <w:footerReference w:type="default" r:id="rId13"/>
      <w:headerReference w:type="first" r:id="rId14"/>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63F" w:rsidRDefault="0029063F">
      <w:r>
        <w:separator/>
      </w:r>
    </w:p>
  </w:endnote>
  <w:endnote w:type="continuationSeparator" w:id="0">
    <w:p w:rsidR="0029063F" w:rsidRDefault="002906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Super">
    <w:panose1 w:val="00000000000000000000"/>
    <w:charset w:val="00"/>
    <w:family w:val="swiss"/>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63F" w:rsidRDefault="0029063F">
    <w:pPr>
      <w:keepNext/>
      <w:spacing w:line="480" w:lineRule="auto"/>
      <w:rPr>
        <w:sz w:val="16"/>
      </w:rPr>
    </w:pPr>
  </w:p>
  <w:p w:rsidR="0029063F" w:rsidRDefault="002906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63F" w:rsidRDefault="0029063F">
      <w:r>
        <w:separator/>
      </w:r>
    </w:p>
  </w:footnote>
  <w:footnote w:type="continuationSeparator" w:id="0">
    <w:p w:rsidR="0029063F" w:rsidRDefault="0029063F">
      <w:r>
        <w:separator/>
      </w:r>
    </w:p>
  </w:footnote>
  <w:footnote w:type="continuationNotice" w:id="1">
    <w:p w:rsidR="0029063F" w:rsidRDefault="0029063F">
      <w:r>
        <w:t xml:space="preserve"> </w:t>
      </w:r>
    </w:p>
  </w:footnote>
  <w:footnote w:id="2">
    <w:p w:rsidR="0029063F" w:rsidRPr="00935236" w:rsidRDefault="0029063F">
      <w:pPr>
        <w:pStyle w:val="FootnoteText"/>
        <w:rPr>
          <w:rFonts w:ascii="Times New Roman" w:hAnsi="Times New Roman"/>
        </w:rPr>
      </w:pPr>
      <w:r w:rsidRPr="00935236">
        <w:rPr>
          <w:rStyle w:val="FootnoteReference"/>
          <w:rFonts w:ascii="Times New Roman" w:hAnsi="Times New Roman"/>
        </w:rPr>
        <w:footnoteRef/>
      </w:r>
      <w:r w:rsidRPr="00935236">
        <w:rPr>
          <w:rFonts w:ascii="Times New Roman" w:hAnsi="Times New Roman"/>
        </w:rPr>
        <w:t xml:space="preserve"> </w:t>
      </w:r>
      <w:r w:rsidRPr="00935236">
        <w:rPr>
          <w:rFonts w:ascii="Times New Roman" w:hAnsi="Times New Roman"/>
        </w:rPr>
        <w:tab/>
        <w:t>Section 4(3) of the Act (15 U.S. C. 80a-4(3)) defines “management company” as “any inves</w:t>
      </w:r>
      <w:r>
        <w:rPr>
          <w:rFonts w:ascii="Times New Roman" w:hAnsi="Times New Roman"/>
        </w:rPr>
        <w:t>tment company other than a face-</w:t>
      </w:r>
      <w:r w:rsidRPr="00935236">
        <w:rPr>
          <w:rFonts w:ascii="Times New Roman" w:hAnsi="Times New Roman"/>
        </w:rPr>
        <w:t>amount certificate company or a unit investment trust.”</w:t>
      </w:r>
    </w:p>
  </w:footnote>
  <w:footnote w:id="3">
    <w:p w:rsidR="0029063F" w:rsidRDefault="0029063F">
      <w:pPr>
        <w:pStyle w:val="FootnoteText"/>
      </w:pPr>
      <w:r>
        <w:rPr>
          <w:rStyle w:val="FootnoteReference"/>
        </w:rPr>
        <w:footnoteRef/>
      </w:r>
      <w:r>
        <w:t xml:space="preserve"> </w:t>
      </w:r>
      <w:r>
        <w:tab/>
        <w:t>This estimate is based on statistics compiled by Commission staff as of May 31, 2011.  The number of management investment company portfolios that make distributions for which compliance with rule 19a-1 is required depends on a wide range of factors and can vary greatly across years.  Therefore, the calcu</w:t>
      </w:r>
      <w:r w:rsidR="000861F0">
        <w:t>lation of estimated burden hours below is based on the</w:t>
      </w:r>
      <w:r>
        <w:t xml:space="preserve"> total number of management investment company portfolios</w:t>
      </w:r>
      <w:r w:rsidR="000861F0">
        <w:t>, each of which</w:t>
      </w:r>
      <w:r>
        <w:t xml:space="preserve"> may </w:t>
      </w:r>
      <w:r w:rsidR="000861F0">
        <w:t>be subject to rule 19a-1.</w:t>
      </w:r>
    </w:p>
  </w:footnote>
  <w:footnote w:id="4">
    <w:p w:rsidR="0029063F" w:rsidRPr="00935236" w:rsidRDefault="0029063F" w:rsidP="00E068C1">
      <w:pPr>
        <w:pStyle w:val="FootnoteText"/>
        <w:rPr>
          <w:rFonts w:ascii="Times New Roman" w:hAnsi="Times New Roman"/>
          <w:szCs w:val="22"/>
        </w:rPr>
      </w:pPr>
      <w:r w:rsidRPr="00935236">
        <w:rPr>
          <w:rStyle w:val="FootnoteReference"/>
          <w:rFonts w:ascii="Times New Roman" w:hAnsi="Times New Roman"/>
          <w:szCs w:val="22"/>
        </w:rPr>
        <w:footnoteRef/>
      </w:r>
      <w:r w:rsidRPr="00935236">
        <w:rPr>
          <w:rFonts w:ascii="Times New Roman" w:hAnsi="Times New Roman"/>
          <w:szCs w:val="22"/>
        </w:rPr>
        <w:t xml:space="preserve"> </w:t>
      </w:r>
      <w:r w:rsidRPr="00935236">
        <w:rPr>
          <w:rFonts w:ascii="Times New Roman" w:hAnsi="Times New Roman"/>
          <w:szCs w:val="22"/>
        </w:rPr>
        <w:tab/>
        <w:t>A few portfolios make monthly distributions from sources other than net income, so the rule requires them to send out a statement 12 times a year.  Other portfolios never make such distributions.</w:t>
      </w:r>
    </w:p>
  </w:footnote>
  <w:footnote w:id="5">
    <w:p w:rsidR="0029063F" w:rsidRPr="00935236" w:rsidRDefault="0029063F">
      <w:pPr>
        <w:pStyle w:val="FootnoteText"/>
        <w:rPr>
          <w:rFonts w:ascii="Times New Roman" w:hAnsi="Times New Roman"/>
        </w:rPr>
      </w:pPr>
      <w:r w:rsidRPr="00935236">
        <w:rPr>
          <w:rStyle w:val="FootnoteReference"/>
          <w:rFonts w:ascii="Times New Roman" w:hAnsi="Times New Roman"/>
        </w:rPr>
        <w:footnoteRef/>
      </w:r>
      <w:r w:rsidRPr="00935236">
        <w:rPr>
          <w:rFonts w:ascii="Times New Roman" w:hAnsi="Times New Roman"/>
        </w:rPr>
        <w:t xml:space="preserve"> </w:t>
      </w:r>
      <w:r w:rsidRPr="00935236">
        <w:rPr>
          <w:rFonts w:ascii="Times New Roman" w:hAnsi="Times New Roman"/>
        </w:rPr>
        <w:tab/>
        <w:t xml:space="preserve">Hourly rates are derived from </w:t>
      </w:r>
      <w:r>
        <w:rPr>
          <w:rFonts w:ascii="Times New Roman" w:hAnsi="Times New Roman"/>
        </w:rPr>
        <w:t>the Securities Industry and Financial Markets Association (“SIFMA”),</w:t>
      </w:r>
      <w:r w:rsidRPr="00935236">
        <w:rPr>
          <w:rFonts w:ascii="Times New Roman" w:hAnsi="Times New Roman"/>
        </w:rPr>
        <w:t xml:space="preserve"> </w:t>
      </w:r>
      <w:r w:rsidRPr="00262B35">
        <w:rPr>
          <w:rFonts w:ascii="Times New Roman" w:hAnsi="Times New Roman"/>
        </w:rPr>
        <w:t>Management and Professional Earnings</w:t>
      </w:r>
      <w:r>
        <w:rPr>
          <w:rFonts w:ascii="Times New Roman" w:hAnsi="Times New Roman"/>
        </w:rPr>
        <w:t xml:space="preserve"> in the Securities Industry 2010</w:t>
      </w:r>
      <w:r w:rsidRPr="00935236">
        <w:rPr>
          <w:rFonts w:ascii="Times New Roman" w:hAnsi="Times New Roman"/>
        </w:rPr>
        <w:t xml:space="preserve">, modified to account for an 1800-hour work-year and multiplied by 5.35 to account for bonuses, firm size, employee benefits, and overhead.  </w:t>
      </w:r>
    </w:p>
  </w:footnote>
  <w:footnote w:id="6">
    <w:p w:rsidR="0029063F" w:rsidRPr="00935236" w:rsidRDefault="0029063F" w:rsidP="00E41D80">
      <w:pPr>
        <w:pStyle w:val="FootnoteText"/>
        <w:spacing w:after="120"/>
        <w:rPr>
          <w:rFonts w:ascii="Times New Roman" w:hAnsi="Times New Roman"/>
        </w:rPr>
      </w:pPr>
      <w:r w:rsidRPr="00935236">
        <w:rPr>
          <w:rStyle w:val="FootnoteReference"/>
          <w:rFonts w:ascii="Times New Roman" w:hAnsi="Times New Roman"/>
        </w:rPr>
        <w:footnoteRef/>
      </w:r>
      <w:r w:rsidRPr="00935236">
        <w:rPr>
          <w:rFonts w:ascii="Times New Roman" w:hAnsi="Times New Roman"/>
        </w:rPr>
        <w:t xml:space="preserve"> </w:t>
      </w:r>
      <w:r w:rsidRPr="00935236">
        <w:rPr>
          <w:rFonts w:ascii="Times New Roman" w:hAnsi="Times New Roman"/>
        </w:rPr>
        <w:tab/>
      </w:r>
      <w:r w:rsidRPr="00935236">
        <w:rPr>
          <w:rFonts w:ascii="Times New Roman" w:hAnsi="Times New Roman"/>
          <w:szCs w:val="22"/>
        </w:rPr>
        <w:t xml:space="preserve">Hourly rates are derived from </w:t>
      </w:r>
      <w:r w:rsidRPr="00262B35">
        <w:rPr>
          <w:rFonts w:ascii="Times New Roman" w:hAnsi="Times New Roman"/>
          <w:szCs w:val="22"/>
        </w:rPr>
        <w:t>SIFMA’s</w:t>
      </w:r>
      <w:r w:rsidRPr="00262B35">
        <w:rPr>
          <w:rFonts w:ascii="Times New Roman" w:hAnsi="Times New Roman"/>
          <w:iCs/>
          <w:szCs w:val="22"/>
        </w:rPr>
        <w:t xml:space="preserve"> Office Salaries in the Securities</w:t>
      </w:r>
      <w:r>
        <w:rPr>
          <w:rFonts w:ascii="Times New Roman" w:hAnsi="Times New Roman"/>
          <w:iCs/>
          <w:szCs w:val="22"/>
        </w:rPr>
        <w:t xml:space="preserve"> Industry 2010</w:t>
      </w:r>
      <w:r w:rsidRPr="00935236">
        <w:rPr>
          <w:rFonts w:ascii="Times New Roman" w:hAnsi="Times New Roman"/>
          <w:szCs w:val="22"/>
        </w:rPr>
        <w:t>, modified to account for an 1800-hour work-year and multiplied by 2.93 to account for bonuses, firm size, employee benefits and overhead.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63F" w:rsidRDefault="00A2027B">
    <w:pPr>
      <w:pStyle w:val="Header"/>
      <w:framePr w:wrap="around" w:vAnchor="text" w:hAnchor="margin" w:xAlign="center" w:y="1"/>
      <w:rPr>
        <w:rStyle w:val="PageNumber"/>
      </w:rPr>
    </w:pPr>
    <w:r>
      <w:rPr>
        <w:rStyle w:val="PageNumber"/>
      </w:rPr>
      <w:fldChar w:fldCharType="begin"/>
    </w:r>
    <w:r w:rsidR="0029063F">
      <w:rPr>
        <w:rStyle w:val="PageNumber"/>
      </w:rPr>
      <w:instrText xml:space="preserve">PAGE  </w:instrText>
    </w:r>
    <w:r>
      <w:rPr>
        <w:rStyle w:val="PageNumber"/>
      </w:rPr>
      <w:fldChar w:fldCharType="end"/>
    </w:r>
  </w:p>
  <w:p w:rsidR="0029063F" w:rsidRDefault="002906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63F" w:rsidRDefault="00A2027B">
    <w:pPr>
      <w:pStyle w:val="Header"/>
      <w:framePr w:wrap="around" w:vAnchor="text" w:hAnchor="margin" w:xAlign="center" w:y="1"/>
      <w:rPr>
        <w:rStyle w:val="PageNumber"/>
      </w:rPr>
    </w:pPr>
    <w:r>
      <w:rPr>
        <w:rStyle w:val="PageNumber"/>
      </w:rPr>
      <w:fldChar w:fldCharType="begin"/>
    </w:r>
    <w:r w:rsidR="0029063F">
      <w:rPr>
        <w:rStyle w:val="PageNumber"/>
      </w:rPr>
      <w:instrText xml:space="preserve">PAGE  </w:instrText>
    </w:r>
    <w:r>
      <w:rPr>
        <w:rStyle w:val="PageNumber"/>
      </w:rPr>
      <w:fldChar w:fldCharType="separate"/>
    </w:r>
    <w:r w:rsidR="00F43DE7">
      <w:rPr>
        <w:rStyle w:val="PageNumber"/>
        <w:noProof/>
      </w:rPr>
      <w:t>6</w:t>
    </w:r>
    <w:r>
      <w:rPr>
        <w:rStyle w:val="PageNumber"/>
      </w:rPr>
      <w:fldChar w:fldCharType="end"/>
    </w:r>
  </w:p>
  <w:p w:rsidR="0029063F" w:rsidRDefault="0029063F">
    <w:pPr>
      <w:pStyle w:val="Header"/>
    </w:pP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261" w:rsidRPr="00013261" w:rsidRDefault="00013261">
    <w:pPr>
      <w:pStyle w:val="Header"/>
      <w:rPr>
        <w:b/>
        <w:i/>
      </w:rPr>
    </w:pPr>
    <w:r>
      <w:tab/>
    </w:r>
    <w:r>
      <w:tab/>
    </w:r>
  </w:p>
  <w:p w:rsidR="0029063F" w:rsidRDefault="002906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B6758"/>
    <w:multiLevelType w:val="hybridMultilevel"/>
    <w:tmpl w:val="371CB640"/>
    <w:lvl w:ilvl="0" w:tplc="65FE162E">
      <w:start w:val="14"/>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27B5474"/>
    <w:multiLevelType w:val="hybridMultilevel"/>
    <w:tmpl w:val="559CCB4C"/>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33100D"/>
    <w:multiLevelType w:val="hybridMultilevel"/>
    <w:tmpl w:val="48242352"/>
    <w:lvl w:ilvl="0" w:tplc="FC2A5CC4">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894721"/>
    <w:multiLevelType w:val="hybridMultilevel"/>
    <w:tmpl w:val="C66E1180"/>
    <w:lvl w:ilvl="0" w:tplc="89527200">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B4E7BA7"/>
    <w:multiLevelType w:val="hybridMultilevel"/>
    <w:tmpl w:val="255EE756"/>
    <w:lvl w:ilvl="0" w:tplc="5EBE0B3A">
      <w:start w:val="1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1A47305"/>
    <w:multiLevelType w:val="hybridMultilevel"/>
    <w:tmpl w:val="63DEA110"/>
    <w:lvl w:ilvl="0" w:tplc="7812AC9A">
      <w:start w:val="1"/>
      <w:numFmt w:val="upperLetter"/>
      <w:lvlText w:val="%1."/>
      <w:lvlJc w:val="left"/>
      <w:pPr>
        <w:tabs>
          <w:tab w:val="num" w:pos="1080"/>
        </w:tabs>
        <w:ind w:left="1080" w:hanging="720"/>
      </w:pPr>
      <w:rPr>
        <w:rFonts w:hint="default"/>
      </w:rPr>
    </w:lvl>
    <w:lvl w:ilvl="1" w:tplc="89B46392">
      <w:start w:val="1"/>
      <w:numFmt w:val="decimal"/>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149D2"/>
    <w:rsid w:val="00007628"/>
    <w:rsid w:val="00013261"/>
    <w:rsid w:val="000149D2"/>
    <w:rsid w:val="00041E11"/>
    <w:rsid w:val="000677C4"/>
    <w:rsid w:val="000861F0"/>
    <w:rsid w:val="000B32CF"/>
    <w:rsid w:val="00153739"/>
    <w:rsid w:val="001746E4"/>
    <w:rsid w:val="001C2FF0"/>
    <w:rsid w:val="001C5EA3"/>
    <w:rsid w:val="001D15E5"/>
    <w:rsid w:val="001D32EC"/>
    <w:rsid w:val="001E63AA"/>
    <w:rsid w:val="00212E0A"/>
    <w:rsid w:val="00232DE3"/>
    <w:rsid w:val="002356BA"/>
    <w:rsid w:val="00262B35"/>
    <w:rsid w:val="00287030"/>
    <w:rsid w:val="0029063F"/>
    <w:rsid w:val="00313511"/>
    <w:rsid w:val="00324CFA"/>
    <w:rsid w:val="00327D1D"/>
    <w:rsid w:val="003B2CC7"/>
    <w:rsid w:val="003C70EC"/>
    <w:rsid w:val="003D14E0"/>
    <w:rsid w:val="003D4FAA"/>
    <w:rsid w:val="003E01B1"/>
    <w:rsid w:val="003E270A"/>
    <w:rsid w:val="0040343D"/>
    <w:rsid w:val="0041167D"/>
    <w:rsid w:val="00424326"/>
    <w:rsid w:val="00472D5B"/>
    <w:rsid w:val="00496DE4"/>
    <w:rsid w:val="004A3573"/>
    <w:rsid w:val="004E656D"/>
    <w:rsid w:val="0051336C"/>
    <w:rsid w:val="00535205"/>
    <w:rsid w:val="005416A1"/>
    <w:rsid w:val="00551042"/>
    <w:rsid w:val="005A2274"/>
    <w:rsid w:val="005B03EF"/>
    <w:rsid w:val="005C2C7C"/>
    <w:rsid w:val="005D72B4"/>
    <w:rsid w:val="005E47C2"/>
    <w:rsid w:val="00617F82"/>
    <w:rsid w:val="0068154C"/>
    <w:rsid w:val="00693134"/>
    <w:rsid w:val="0069789F"/>
    <w:rsid w:val="006A14CE"/>
    <w:rsid w:val="006B2E51"/>
    <w:rsid w:val="006B6BED"/>
    <w:rsid w:val="00726DAA"/>
    <w:rsid w:val="00733362"/>
    <w:rsid w:val="00762308"/>
    <w:rsid w:val="007D605D"/>
    <w:rsid w:val="007F6664"/>
    <w:rsid w:val="00812467"/>
    <w:rsid w:val="00815425"/>
    <w:rsid w:val="00826712"/>
    <w:rsid w:val="008272C7"/>
    <w:rsid w:val="008444DE"/>
    <w:rsid w:val="00851037"/>
    <w:rsid w:val="00862F78"/>
    <w:rsid w:val="008635E6"/>
    <w:rsid w:val="009122D2"/>
    <w:rsid w:val="00935236"/>
    <w:rsid w:val="00A01162"/>
    <w:rsid w:val="00A2027B"/>
    <w:rsid w:val="00A5621E"/>
    <w:rsid w:val="00A65552"/>
    <w:rsid w:val="00A82459"/>
    <w:rsid w:val="00A90EF7"/>
    <w:rsid w:val="00A97E44"/>
    <w:rsid w:val="00AA74DD"/>
    <w:rsid w:val="00AC2DC3"/>
    <w:rsid w:val="00AC7A8C"/>
    <w:rsid w:val="00AF7EC2"/>
    <w:rsid w:val="00B478F1"/>
    <w:rsid w:val="00B57D38"/>
    <w:rsid w:val="00B620B4"/>
    <w:rsid w:val="00BA0CD8"/>
    <w:rsid w:val="00BD3E46"/>
    <w:rsid w:val="00C042E7"/>
    <w:rsid w:val="00C133F7"/>
    <w:rsid w:val="00C14119"/>
    <w:rsid w:val="00C3248D"/>
    <w:rsid w:val="00CB635F"/>
    <w:rsid w:val="00D13CB8"/>
    <w:rsid w:val="00D3716A"/>
    <w:rsid w:val="00D60165"/>
    <w:rsid w:val="00D63345"/>
    <w:rsid w:val="00D7361B"/>
    <w:rsid w:val="00D855C3"/>
    <w:rsid w:val="00E068C1"/>
    <w:rsid w:val="00E07947"/>
    <w:rsid w:val="00E151E8"/>
    <w:rsid w:val="00E274B3"/>
    <w:rsid w:val="00E41D80"/>
    <w:rsid w:val="00E82EF3"/>
    <w:rsid w:val="00E90646"/>
    <w:rsid w:val="00EA655B"/>
    <w:rsid w:val="00EB400B"/>
    <w:rsid w:val="00EC0DDB"/>
    <w:rsid w:val="00EC182C"/>
    <w:rsid w:val="00EC700B"/>
    <w:rsid w:val="00EF5B65"/>
    <w:rsid w:val="00F12B5C"/>
    <w:rsid w:val="00F167BD"/>
    <w:rsid w:val="00F2412D"/>
    <w:rsid w:val="00F43DE7"/>
    <w:rsid w:val="00F61E48"/>
    <w:rsid w:val="00F95A8C"/>
    <w:rsid w:val="00FB07F2"/>
    <w:rsid w:val="00FC1A9F"/>
    <w:rsid w:val="00FF0F7E"/>
    <w:rsid w:val="00FF22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2274"/>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rsid w:val="005A2274"/>
    <w:pPr>
      <w:outlineLvl w:val="0"/>
    </w:pPr>
    <w:rPr>
      <w:rFonts w:ascii="Arial" w:hAnsi="Arial"/>
      <w:kern w:val="28"/>
    </w:rPr>
  </w:style>
  <w:style w:type="paragraph" w:styleId="Heading2">
    <w:name w:val="heading 2"/>
    <w:basedOn w:val="Normal"/>
    <w:next w:val="Normal"/>
    <w:qFormat/>
    <w:rsid w:val="005A2274"/>
    <w:pPr>
      <w:ind w:left="720" w:hanging="720"/>
      <w:outlineLvl w:val="1"/>
    </w:pPr>
    <w:rPr>
      <w:rFonts w:ascii="Arial" w:hAnsi="Arial"/>
      <w:i/>
    </w:rPr>
  </w:style>
  <w:style w:type="paragraph" w:styleId="Heading3">
    <w:name w:val="heading 3"/>
    <w:basedOn w:val="Normal"/>
    <w:next w:val="Normal"/>
    <w:qFormat/>
    <w:rsid w:val="005A2274"/>
    <w:pPr>
      <w:ind w:left="1440" w:hanging="720"/>
      <w:outlineLvl w:val="2"/>
    </w:pPr>
    <w:rPr>
      <w:rFonts w:ascii="Arial" w:hAnsi="Arial"/>
      <w:i/>
      <w:u w:val="single"/>
    </w:rPr>
  </w:style>
  <w:style w:type="paragraph" w:styleId="Heading4">
    <w:name w:val="heading 4"/>
    <w:basedOn w:val="Normal"/>
    <w:next w:val="Normal"/>
    <w:qFormat/>
    <w:rsid w:val="005A2274"/>
    <w:pPr>
      <w:keepNext/>
      <w:spacing w:line="480" w:lineRule="auto"/>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semiHidden/>
    <w:rsid w:val="005A2274"/>
    <w:pPr>
      <w:tabs>
        <w:tab w:val="right" w:leader="dot" w:pos="9360"/>
      </w:tabs>
      <w:spacing w:before="240"/>
      <w:ind w:left="432" w:right="1440" w:hanging="432"/>
    </w:pPr>
  </w:style>
  <w:style w:type="paragraph" w:styleId="FootnoteText">
    <w:name w:val="footnote text"/>
    <w:basedOn w:val="Normal"/>
    <w:semiHidden/>
    <w:rsid w:val="005A2274"/>
    <w:pPr>
      <w:tabs>
        <w:tab w:val="left" w:pos="720"/>
      </w:tabs>
      <w:suppressAutoHyphens/>
      <w:spacing w:after="240"/>
      <w:ind w:left="720" w:hanging="720"/>
    </w:pPr>
    <w:rPr>
      <w:sz w:val="22"/>
    </w:rPr>
  </w:style>
  <w:style w:type="paragraph" w:styleId="TOC3">
    <w:name w:val="toc 3"/>
    <w:basedOn w:val="Normal"/>
    <w:next w:val="Normal"/>
    <w:semiHidden/>
    <w:rsid w:val="005A2274"/>
    <w:pPr>
      <w:tabs>
        <w:tab w:val="right" w:leader="dot" w:pos="9360"/>
      </w:tabs>
      <w:ind w:left="1008" w:right="1440" w:hanging="288"/>
    </w:pPr>
  </w:style>
  <w:style w:type="paragraph" w:styleId="TOC4">
    <w:name w:val="toc 4"/>
    <w:basedOn w:val="Normal"/>
    <w:next w:val="Normal"/>
    <w:semiHidden/>
    <w:rsid w:val="005A2274"/>
    <w:pPr>
      <w:tabs>
        <w:tab w:val="right" w:leader="dot" w:pos="9360"/>
      </w:tabs>
      <w:ind w:left="1728" w:right="1440" w:hanging="288"/>
    </w:pPr>
  </w:style>
  <w:style w:type="paragraph" w:styleId="TOC1">
    <w:name w:val="toc 1"/>
    <w:basedOn w:val="Normal"/>
    <w:next w:val="Normal"/>
    <w:semiHidden/>
    <w:rsid w:val="005A2274"/>
    <w:pPr>
      <w:tabs>
        <w:tab w:val="right" w:leader="dot" w:pos="9360"/>
      </w:tabs>
      <w:spacing w:before="240"/>
    </w:pPr>
  </w:style>
  <w:style w:type="character" w:styleId="FootnoteReference">
    <w:name w:val="footnote reference"/>
    <w:basedOn w:val="DefaultParagraphFont"/>
    <w:semiHidden/>
    <w:rsid w:val="005A2274"/>
    <w:rPr>
      <w:vertAlign w:val="superscript"/>
    </w:rPr>
  </w:style>
  <w:style w:type="paragraph" w:styleId="Header">
    <w:name w:val="header"/>
    <w:basedOn w:val="Normal"/>
    <w:link w:val="HeaderChar"/>
    <w:uiPriority w:val="99"/>
    <w:rsid w:val="005A2274"/>
    <w:pPr>
      <w:tabs>
        <w:tab w:val="center" w:pos="4320"/>
        <w:tab w:val="right" w:pos="8640"/>
      </w:tabs>
    </w:pPr>
  </w:style>
  <w:style w:type="character" w:styleId="PageNumber">
    <w:name w:val="page number"/>
    <w:basedOn w:val="DefaultParagraphFont"/>
    <w:rsid w:val="005A2274"/>
  </w:style>
  <w:style w:type="paragraph" w:styleId="Footer">
    <w:name w:val="footer"/>
    <w:basedOn w:val="Normal"/>
    <w:rsid w:val="005A2274"/>
    <w:pPr>
      <w:tabs>
        <w:tab w:val="center" w:pos="4320"/>
        <w:tab w:val="right" w:pos="8640"/>
      </w:tabs>
    </w:pPr>
  </w:style>
  <w:style w:type="character" w:customStyle="1" w:styleId="Unnamed1">
    <w:name w:val="Unnamed 1"/>
    <w:basedOn w:val="DefaultParagraphFont"/>
    <w:rsid w:val="005A2274"/>
    <w:rPr>
      <w:rFonts w:ascii="Courier" w:hAnsi="Courier"/>
      <w:noProof w:val="0"/>
      <w:sz w:val="24"/>
      <w:lang w:val="en-US"/>
    </w:rPr>
  </w:style>
  <w:style w:type="character" w:customStyle="1" w:styleId="a1">
    <w:name w:val="a1"/>
    <w:basedOn w:val="DefaultParagraphFont"/>
    <w:rsid w:val="005A2274"/>
    <w:rPr>
      <w:rFonts w:ascii="Courier" w:hAnsi="Courier"/>
      <w:noProof w:val="0"/>
      <w:sz w:val="24"/>
      <w:lang w:val="en-US"/>
    </w:rPr>
  </w:style>
  <w:style w:type="character" w:customStyle="1" w:styleId="Document8">
    <w:name w:val="Document 8"/>
    <w:basedOn w:val="DefaultParagraphFont"/>
    <w:rsid w:val="005A2274"/>
  </w:style>
  <w:style w:type="character" w:customStyle="1" w:styleId="Document4">
    <w:name w:val="Document 4"/>
    <w:basedOn w:val="DefaultParagraphFont"/>
    <w:rsid w:val="005A2274"/>
    <w:rPr>
      <w:b/>
      <w:i/>
      <w:sz w:val="24"/>
    </w:rPr>
  </w:style>
  <w:style w:type="character" w:customStyle="1" w:styleId="Document6">
    <w:name w:val="Document 6"/>
    <w:basedOn w:val="DefaultParagraphFont"/>
    <w:rsid w:val="005A2274"/>
  </w:style>
  <w:style w:type="character" w:customStyle="1" w:styleId="Document5">
    <w:name w:val="Document 5"/>
    <w:basedOn w:val="DefaultParagraphFont"/>
    <w:rsid w:val="005A2274"/>
  </w:style>
  <w:style w:type="character" w:customStyle="1" w:styleId="Document2">
    <w:name w:val="Document 2"/>
    <w:basedOn w:val="DefaultParagraphFont"/>
    <w:rsid w:val="005A2274"/>
    <w:rPr>
      <w:rFonts w:ascii="Courier" w:hAnsi="Courier"/>
      <w:noProof w:val="0"/>
      <w:sz w:val="24"/>
      <w:lang w:val="en-US"/>
    </w:rPr>
  </w:style>
  <w:style w:type="character" w:customStyle="1" w:styleId="Document7">
    <w:name w:val="Document 7"/>
    <w:basedOn w:val="DefaultParagraphFont"/>
    <w:rsid w:val="005A2274"/>
  </w:style>
  <w:style w:type="character" w:customStyle="1" w:styleId="Bibliogrphy">
    <w:name w:val="Bibliogrphy"/>
    <w:basedOn w:val="DefaultParagraphFont"/>
    <w:rsid w:val="005A2274"/>
  </w:style>
  <w:style w:type="character" w:customStyle="1" w:styleId="RightPar1">
    <w:name w:val="Right Par 1"/>
    <w:basedOn w:val="DefaultParagraphFont"/>
    <w:rsid w:val="005A2274"/>
  </w:style>
  <w:style w:type="character" w:customStyle="1" w:styleId="RightPar2">
    <w:name w:val="Right Par 2"/>
    <w:basedOn w:val="DefaultParagraphFont"/>
    <w:rsid w:val="005A2274"/>
  </w:style>
  <w:style w:type="character" w:customStyle="1" w:styleId="Document3">
    <w:name w:val="Document 3"/>
    <w:basedOn w:val="DefaultParagraphFont"/>
    <w:rsid w:val="005A2274"/>
    <w:rPr>
      <w:rFonts w:ascii="Courier" w:hAnsi="Courier"/>
      <w:noProof w:val="0"/>
      <w:sz w:val="24"/>
      <w:lang w:val="en-US"/>
    </w:rPr>
  </w:style>
  <w:style w:type="character" w:customStyle="1" w:styleId="RightPar3">
    <w:name w:val="Right Par 3"/>
    <w:basedOn w:val="DefaultParagraphFont"/>
    <w:rsid w:val="005A2274"/>
  </w:style>
  <w:style w:type="character" w:customStyle="1" w:styleId="RightPar4">
    <w:name w:val="Right Par 4"/>
    <w:basedOn w:val="DefaultParagraphFont"/>
    <w:rsid w:val="005A2274"/>
  </w:style>
  <w:style w:type="character" w:customStyle="1" w:styleId="RightPar5">
    <w:name w:val="Right Par 5"/>
    <w:basedOn w:val="DefaultParagraphFont"/>
    <w:rsid w:val="005A2274"/>
  </w:style>
  <w:style w:type="character" w:customStyle="1" w:styleId="RightPar6">
    <w:name w:val="Right Par 6"/>
    <w:basedOn w:val="DefaultParagraphFont"/>
    <w:rsid w:val="005A2274"/>
  </w:style>
  <w:style w:type="character" w:customStyle="1" w:styleId="RightPar7">
    <w:name w:val="Right Par 7"/>
    <w:basedOn w:val="DefaultParagraphFont"/>
    <w:rsid w:val="005A2274"/>
  </w:style>
  <w:style w:type="character" w:customStyle="1" w:styleId="RightPar8">
    <w:name w:val="Right Par 8"/>
    <w:basedOn w:val="DefaultParagraphFont"/>
    <w:rsid w:val="005A2274"/>
  </w:style>
  <w:style w:type="paragraph" w:customStyle="1" w:styleId="Document1">
    <w:name w:val="Document 1"/>
    <w:rsid w:val="005A2274"/>
    <w:pPr>
      <w:keepNext/>
      <w:keepLines/>
      <w:tabs>
        <w:tab w:val="left" w:pos="-720"/>
      </w:tabs>
      <w:suppressAutoHyphens/>
      <w:overflowPunct w:val="0"/>
      <w:autoSpaceDE w:val="0"/>
      <w:autoSpaceDN w:val="0"/>
      <w:adjustRightInd w:val="0"/>
      <w:textAlignment w:val="baseline"/>
    </w:pPr>
    <w:rPr>
      <w:rFonts w:ascii="Courier" w:hAnsi="Courier"/>
      <w:sz w:val="24"/>
    </w:rPr>
  </w:style>
  <w:style w:type="character" w:customStyle="1" w:styleId="DocInit">
    <w:name w:val="Doc Init"/>
    <w:basedOn w:val="DefaultParagraphFont"/>
    <w:rsid w:val="005A2274"/>
  </w:style>
  <w:style w:type="character" w:customStyle="1" w:styleId="TechInit">
    <w:name w:val="Tech Init"/>
    <w:basedOn w:val="DefaultParagraphFont"/>
    <w:rsid w:val="005A2274"/>
    <w:rPr>
      <w:rFonts w:ascii="Courier" w:hAnsi="Courier"/>
      <w:noProof w:val="0"/>
      <w:sz w:val="24"/>
      <w:lang w:val="en-US"/>
    </w:rPr>
  </w:style>
  <w:style w:type="character" w:customStyle="1" w:styleId="Technical5">
    <w:name w:val="Technical 5"/>
    <w:basedOn w:val="DefaultParagraphFont"/>
    <w:rsid w:val="005A2274"/>
  </w:style>
  <w:style w:type="character" w:customStyle="1" w:styleId="Technical6">
    <w:name w:val="Technical 6"/>
    <w:basedOn w:val="DefaultParagraphFont"/>
    <w:rsid w:val="005A2274"/>
  </w:style>
  <w:style w:type="character" w:customStyle="1" w:styleId="Technical2">
    <w:name w:val="Technical 2"/>
    <w:basedOn w:val="DefaultParagraphFont"/>
    <w:rsid w:val="005A2274"/>
    <w:rPr>
      <w:rFonts w:ascii="Courier" w:hAnsi="Courier"/>
      <w:noProof w:val="0"/>
      <w:sz w:val="24"/>
      <w:lang w:val="en-US"/>
    </w:rPr>
  </w:style>
  <w:style w:type="character" w:customStyle="1" w:styleId="Technical3">
    <w:name w:val="Technical 3"/>
    <w:basedOn w:val="DefaultParagraphFont"/>
    <w:rsid w:val="005A2274"/>
    <w:rPr>
      <w:rFonts w:ascii="Courier" w:hAnsi="Courier"/>
      <w:noProof w:val="0"/>
      <w:sz w:val="24"/>
      <w:lang w:val="en-US"/>
    </w:rPr>
  </w:style>
  <w:style w:type="character" w:customStyle="1" w:styleId="Technical4">
    <w:name w:val="Technical 4"/>
    <w:basedOn w:val="DefaultParagraphFont"/>
    <w:rsid w:val="005A2274"/>
  </w:style>
  <w:style w:type="character" w:customStyle="1" w:styleId="Technical1">
    <w:name w:val="Technical 1"/>
    <w:basedOn w:val="DefaultParagraphFont"/>
    <w:rsid w:val="005A2274"/>
    <w:rPr>
      <w:rFonts w:ascii="Courier" w:hAnsi="Courier"/>
      <w:noProof w:val="0"/>
      <w:sz w:val="24"/>
      <w:lang w:val="en-US"/>
    </w:rPr>
  </w:style>
  <w:style w:type="character" w:customStyle="1" w:styleId="Technical7">
    <w:name w:val="Technical 7"/>
    <w:basedOn w:val="DefaultParagraphFont"/>
    <w:rsid w:val="005A2274"/>
  </w:style>
  <w:style w:type="character" w:customStyle="1" w:styleId="Technical8">
    <w:name w:val="Technical 8"/>
    <w:basedOn w:val="DefaultParagraphFont"/>
    <w:rsid w:val="005A2274"/>
  </w:style>
  <w:style w:type="paragraph" w:customStyle="1" w:styleId="text">
    <w:name w:val="text"/>
    <w:rsid w:val="005A2274"/>
    <w:pPr>
      <w:tabs>
        <w:tab w:val="left" w:pos="-720"/>
      </w:tabs>
      <w:suppressAutoHyphens/>
      <w:overflowPunct w:val="0"/>
      <w:autoSpaceDE w:val="0"/>
      <w:autoSpaceDN w:val="0"/>
      <w:adjustRightInd w:val="0"/>
      <w:jc w:val="both"/>
      <w:textAlignment w:val="baseline"/>
    </w:pPr>
    <w:rPr>
      <w:rFonts w:ascii="Arial Super" w:hAnsi="Arial Super"/>
      <w:spacing w:val="-2"/>
      <w:sz w:val="23"/>
    </w:rPr>
  </w:style>
  <w:style w:type="paragraph" w:customStyle="1" w:styleId="footnotes">
    <w:name w:val="footnotes"/>
    <w:rsid w:val="005A2274"/>
    <w:pPr>
      <w:tabs>
        <w:tab w:val="left" w:pos="-720"/>
      </w:tabs>
      <w:suppressAutoHyphens/>
      <w:overflowPunct w:val="0"/>
      <w:autoSpaceDE w:val="0"/>
      <w:autoSpaceDN w:val="0"/>
      <w:adjustRightInd w:val="0"/>
      <w:jc w:val="both"/>
      <w:textAlignment w:val="baseline"/>
    </w:pPr>
    <w:rPr>
      <w:rFonts w:ascii="Arial Super" w:hAnsi="Arial Super"/>
      <w:spacing w:val="-1"/>
      <w:sz w:val="15"/>
    </w:rPr>
  </w:style>
  <w:style w:type="character" w:customStyle="1" w:styleId="EquationCaption">
    <w:name w:val="_Equation Caption"/>
    <w:rsid w:val="005A2274"/>
  </w:style>
  <w:style w:type="paragraph" w:customStyle="1" w:styleId="Style1">
    <w:name w:val="Style1"/>
    <w:basedOn w:val="Normal"/>
    <w:rsid w:val="005A2274"/>
    <w:pPr>
      <w:spacing w:after="240"/>
      <w:ind w:left="720" w:hanging="720"/>
    </w:pPr>
    <w:rPr>
      <w:rFonts w:ascii="CG Times (W1)" w:hAnsi="CG Times (W1)"/>
    </w:rPr>
  </w:style>
  <w:style w:type="paragraph" w:styleId="Title">
    <w:name w:val="Title"/>
    <w:basedOn w:val="Normal"/>
    <w:qFormat/>
    <w:rsid w:val="005A2274"/>
    <w:pPr>
      <w:jc w:val="center"/>
    </w:pPr>
    <w:rPr>
      <w:b/>
    </w:rPr>
  </w:style>
  <w:style w:type="paragraph" w:styleId="BodyTextIndent">
    <w:name w:val="Body Text Indent"/>
    <w:basedOn w:val="Normal"/>
    <w:rsid w:val="005A2274"/>
    <w:pPr>
      <w:spacing w:line="480" w:lineRule="auto"/>
      <w:ind w:firstLine="720"/>
    </w:pPr>
  </w:style>
  <w:style w:type="paragraph" w:styleId="BalloonText">
    <w:name w:val="Balloon Text"/>
    <w:basedOn w:val="Normal"/>
    <w:semiHidden/>
    <w:rsid w:val="00472D5B"/>
    <w:rPr>
      <w:rFonts w:ascii="Tahoma" w:hAnsi="Tahoma" w:cs="Tahoma"/>
      <w:sz w:val="16"/>
      <w:szCs w:val="16"/>
    </w:rPr>
  </w:style>
  <w:style w:type="character" w:customStyle="1" w:styleId="HeaderChar">
    <w:name w:val="Header Char"/>
    <w:basedOn w:val="DefaultParagraphFont"/>
    <w:link w:val="Header"/>
    <w:uiPriority w:val="99"/>
    <w:rsid w:val="00013261"/>
    <w:rPr>
      <w:rFonts w:ascii="CG Times" w:hAnsi="CG Time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pporting Statement" ma:contentTypeID="0x010100104403C7F330A949B0014E85671C68EA0071AEA7D65E5BA640BA7B6E0B0D859662" ma:contentTypeVersion="0" ma:contentTypeDescription="" ma:contentTypeScope="" ma:versionID="82dee29a91b6707069aaba575377df56">
  <xsd:schema xmlns:xsd="http://www.w3.org/2001/XMLSchema" xmlns:p="http://schemas.microsoft.com/office/2006/metadata/properties" targetNamespace="http://schemas.microsoft.com/office/2006/metadata/properties" ma:root="true" ma:fieldsID="94d241c545b3a50638e197b915ed4c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DE6D1-60FD-4E03-9762-A2D893BA33C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ABE7D024-0653-47D2-9543-AAE425840D20}">
  <ds:schemaRefs>
    <ds:schemaRef ds:uri="http://schemas.microsoft.com/sharepoint/v3/contenttype/forms"/>
  </ds:schemaRefs>
</ds:datastoreItem>
</file>

<file path=customXml/itemProps3.xml><?xml version="1.0" encoding="utf-8"?>
<ds:datastoreItem xmlns:ds="http://schemas.openxmlformats.org/officeDocument/2006/customXml" ds:itemID="{1AAC781E-FC6E-4424-86B6-590CDDDF8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B0AC8B3-A28D-4AFD-9EB5-5D264755C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Securities Exchange and Commision</Company>
  <LinksUpToDate>false</LinksUpToDate>
  <CharactersWithSpaces>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dc:creator>
  <cp:keywords/>
  <cp:lastModifiedBy>pavliksimonr</cp:lastModifiedBy>
  <cp:revision>9</cp:revision>
  <cp:lastPrinted>2008-11-25T14:19:00Z</cp:lastPrinted>
  <dcterms:created xsi:type="dcterms:W3CDTF">2011-08-01T18:03:00Z</dcterms:created>
  <dcterms:modified xsi:type="dcterms:W3CDTF">2011-10-05T13:53:00Z</dcterms:modified>
  <cp:contentType>Supporting Statement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gFAAXJDLFUo5N7srVvo3a7kq51cAMGw5W5l/iJuXk8AGfo1edTIhwQlKXrp2X6iSpnyCVQHyIw5Vc92E_x000d_
YZQDC5miXbI6B3LphHjA+XmD/pFiiVzDonzO2uFGE+5ARRagAB2016r5z+uBML+EYZQDC5miXbI6_x000d_
B3LphHjA+XmD/pFiiVzDonzO2uFGE4i6s7jB2NfI4tEfLin9W3RtoKDft5+sRYWC7hEmQRipXttR_x000d_
4Uo0zoANguABFyN+9</vt:lpwstr>
  </property>
  <property fmtid="{D5CDD505-2E9C-101B-9397-08002B2CF9AE}" pid="3" name="MAIL_MSG_ID2">
    <vt:lpwstr>QFaFUh2hBfkEe4XGauBLmO6v/XgQ+Kjh5jQsXk8qC9p570IawlNpwU2MGdh_x000d_
z/mp0BuCVu1BrnhlMynIzCe8jP/9CNeR5aihEQ==</vt:lpwstr>
  </property>
  <property fmtid="{D5CDD505-2E9C-101B-9397-08002B2CF9AE}" pid="4" name="RESPONSE_SENDER_NAME">
    <vt:lpwstr>sAAAE9kkUq3pEoIy++oh6mLTSlCjliPe41DscdOwZyPrWUE=</vt:lpwstr>
  </property>
  <property fmtid="{D5CDD505-2E9C-101B-9397-08002B2CF9AE}" pid="5" name="EMAIL_OWNER_ADDRESS">
    <vt:lpwstr>sAAAE34RQVAK31mv8/vQChPGywWMhu7DrGTQbVhKoajM8JQ=</vt:lpwstr>
  </property>
  <property fmtid="{D5CDD505-2E9C-101B-9397-08002B2CF9AE}" pid="6" name="ContentTypeId">
    <vt:lpwstr>0x010100104403C7F330A949B0014E85671C68EA0071AEA7D65E5BA640BA7B6E0B0D859662</vt:lpwstr>
  </property>
</Properties>
</file>