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25" w:rsidRDefault="00781897">
      <w:pPr>
        <w:ind w:left="6696" w:right="-1008"/>
        <w:rPr>
          <w:b/>
          <w:sz w:val="32"/>
        </w:rPr>
      </w:pPr>
      <w:r w:rsidRPr="00781897">
        <w:rPr>
          <w:b/>
          <w:noProof/>
          <w:sz w:val="32"/>
        </w:rPr>
        <w:pict>
          <v:shapetype id="_x0000_t202" coordsize="21600,21600" o:spt="202" path="m,l,21600r21600,l21600,xe">
            <v:stroke joinstyle="miter"/>
            <v:path gradientshapeok="t" o:connecttype="rect"/>
          </v:shapetype>
          <v:shape id="_x0000_s1359" type="#_x0000_t202" style="position:absolute;left:0;text-align:left;margin-left:108pt;margin-top:108pt;width:239.35pt;height:263pt;z-index:251657216;mso-position-horizontal-relative:page;mso-position-vertical-relative:page" o:allowincell="f" filled="f" stroked="f">
            <v:textbox style="mso-next-textbox:#_x0000_s1359" inset="0,0,0,0">
              <w:txbxContent>
                <w:p w:rsidR="00EF7460" w:rsidRDefault="00EF7460">
                  <w:r>
                    <w:object w:dxaOrig="1492"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94.5pt" o:ole="" fillcolor="window">
                        <v:imagedata r:id="rId8" o:title=""/>
                      </v:shape>
                      <o:OLEObject Type="Embed" ProgID="Word.Picture.8" ShapeID="_x0000_i1025" DrawAspect="Content" ObjectID="_1385286147" r:id="rId9"/>
                    </w:object>
                  </w:r>
                </w:p>
                <w:p w:rsidR="00EF7460" w:rsidRDefault="00EF7460"/>
                <w:p w:rsidR="00EF7460" w:rsidRDefault="00EF7460"/>
                <w:p w:rsidR="00EF7460" w:rsidRDefault="00EF7460"/>
                <w:p w:rsidR="00EF7460" w:rsidRDefault="00EF7460"/>
                <w:p w:rsidR="00EF7460" w:rsidRDefault="00EF7460"/>
                <w:p w:rsidR="00EF7460" w:rsidRDefault="00EF7460"/>
                <w:p w:rsidR="00EF7460" w:rsidRDefault="00EF7460">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p>
                <w:p w:rsidR="00EF7460" w:rsidRDefault="00EF7460">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p>
                <w:p w:rsidR="00EF7460" w:rsidRDefault="00EF7460">
                  <w:smartTag w:uri="urn:schemas-microsoft-com:office:smarttags" w:element="place">
                    <w:smartTag w:uri="urn:schemas-microsoft-com:office:smarttags" w:element="City">
                      <w:r>
                        <w:t>Durham</w:t>
                      </w:r>
                    </w:smartTag>
                    <w:r>
                      <w:t xml:space="preserve">, </w:t>
                    </w:r>
                    <w:smartTag w:uri="urn:schemas-microsoft-com:office:smarttags" w:element="State">
                      <w:r>
                        <w:t>NC</w:t>
                      </w:r>
                    </w:smartTag>
                  </w:smartTag>
                </w:p>
                <w:p w:rsidR="00EF7460" w:rsidRDefault="00EF7460">
                  <w:smartTag w:uri="urn:schemas-microsoft-com:office:smarttags" w:element="place">
                    <w:smartTag w:uri="urn:schemas-microsoft-com:office:smarttags" w:element="City">
                      <w:r>
                        <w:t>Atlanta</w:t>
                      </w:r>
                    </w:smartTag>
                    <w:r>
                      <w:t xml:space="preserve">, </w:t>
                    </w:r>
                    <w:smartTag w:uri="urn:schemas-microsoft-com:office:smarttags" w:element="State">
                      <w:r>
                        <w:t>GA</w:t>
                      </w:r>
                    </w:smartTag>
                  </w:smartTag>
                </w:p>
                <w:p w:rsidR="00EF7460" w:rsidRDefault="00EF7460">
                  <w:pPr>
                    <w:rPr>
                      <w:b/>
                    </w:rPr>
                  </w:pPr>
                </w:p>
              </w:txbxContent>
            </v:textbox>
            <w10:wrap anchorx="page" anchory="page"/>
          </v:shape>
        </w:pict>
      </w:r>
      <w:r w:rsidRPr="00781897">
        <w:rPr>
          <w:b/>
          <w:noProof/>
          <w:sz w:val="32"/>
        </w:rPr>
        <w:pict>
          <v:shape id="_x0000_s1360" type="#_x0000_t202" style="position:absolute;left:0;text-align:left;margin-left:108pt;margin-top:624.95pt;width:161.15pt;height:59.9pt;z-index:251658240;mso-position-horizontal-relative:page;mso-position-vertical-relative:page" o:allowincell="f" filled="f" stroked="f">
            <v:textbox style="mso-next-textbox:#_x0000_s1360" inset="0,0,0,0">
              <w:txbxContent>
                <w:p w:rsidR="00EF7460" w:rsidRDefault="00EF7460">
                  <w:r>
                    <w:t>Abt Associates Inc.</w:t>
                  </w:r>
                </w:p>
                <w:p w:rsidR="00EF7460" w:rsidRDefault="00EF7460">
                  <w:smartTag w:uri="urn:schemas-microsoft-com:office:smarttags" w:element="Street">
                    <w:smartTag w:uri="urn:schemas-microsoft-com:office:smarttags" w:element="address">
                      <w:r>
                        <w:t>55 Wheeler Street</w:t>
                      </w:r>
                    </w:smartTag>
                  </w:smartTag>
                </w:p>
                <w:p w:rsidR="00EF7460" w:rsidRDefault="00EF7460">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r>
                      <w:t xml:space="preserve">  </w:t>
                    </w:r>
                    <w:smartTag w:uri="urn:schemas-microsoft-com:office:smarttags" w:element="PostalCode">
                      <w:r>
                        <w:t>02138-1168</w:t>
                      </w:r>
                    </w:smartTag>
                  </w:smartTag>
                </w:p>
              </w:txbxContent>
            </v:textbox>
            <w10:wrap anchorx="page" anchory="page"/>
          </v:shape>
        </w:pict>
      </w:r>
      <w:r w:rsidR="00EE4274" w:rsidRPr="00EE4274">
        <w:rPr>
          <w:b/>
          <w:noProof/>
          <w:sz w:val="32"/>
        </w:rPr>
        <w:t>Evaluation of the Robert Noyce Teacher Scholarship Program</w:t>
      </w:r>
    </w:p>
    <w:p w:rsidR="00AD0B25" w:rsidRDefault="00AD0B25">
      <w:pPr>
        <w:ind w:left="6696" w:right="-1008"/>
        <w:rPr>
          <w:b/>
          <w:sz w:val="32"/>
        </w:rPr>
      </w:pPr>
    </w:p>
    <w:p w:rsidR="00AD0B25" w:rsidRDefault="00AD0B25">
      <w:pPr>
        <w:ind w:left="6696" w:right="-1008"/>
        <w:rPr>
          <w:b/>
          <w:sz w:val="32"/>
        </w:rPr>
      </w:pPr>
    </w:p>
    <w:p w:rsidR="00AD0B25" w:rsidRPr="00EE4274" w:rsidRDefault="00462334">
      <w:pPr>
        <w:ind w:left="6696" w:right="-1008"/>
        <w:rPr>
          <w:b/>
          <w:sz w:val="32"/>
        </w:rPr>
      </w:pPr>
      <w:r>
        <w:rPr>
          <w:b/>
          <w:sz w:val="32"/>
        </w:rPr>
        <w:t xml:space="preserve">Request for Approval of </w:t>
      </w:r>
      <w:r w:rsidR="003F0AC1">
        <w:rPr>
          <w:b/>
          <w:sz w:val="32"/>
        </w:rPr>
        <w:t>Master Teaching Fellow Survey</w:t>
      </w:r>
    </w:p>
    <w:p w:rsidR="00AD0B25" w:rsidRDefault="00AD0B25">
      <w:pPr>
        <w:ind w:left="6696" w:right="-1008"/>
        <w:rPr>
          <w:b/>
          <w:sz w:val="32"/>
        </w:rPr>
      </w:pPr>
    </w:p>
    <w:p w:rsidR="00AD0B25" w:rsidRDefault="00C90449">
      <w:pPr>
        <w:ind w:left="6696" w:right="-1008"/>
        <w:rPr>
          <w:b/>
          <w:sz w:val="32"/>
        </w:rPr>
      </w:pPr>
      <w:r>
        <w:rPr>
          <w:b/>
          <w:sz w:val="32"/>
        </w:rPr>
        <w:t>Addendum to OMB Package Control</w:t>
      </w:r>
      <w:r w:rsidRPr="00C90449">
        <w:rPr>
          <w:b/>
          <w:sz w:val="32"/>
        </w:rPr>
        <w:t xml:space="preserve">: </w:t>
      </w:r>
      <w:r w:rsidR="003F0AC1">
        <w:rPr>
          <w:b/>
          <w:sz w:val="32"/>
        </w:rPr>
        <w:t xml:space="preserve">No. </w:t>
      </w:r>
      <w:r w:rsidRPr="00C90449">
        <w:rPr>
          <w:b/>
          <w:sz w:val="32"/>
        </w:rPr>
        <w:t>3145-0217</w:t>
      </w:r>
    </w:p>
    <w:p w:rsidR="00C90449" w:rsidRDefault="00C90449">
      <w:pPr>
        <w:ind w:left="6696" w:right="-1008"/>
        <w:rPr>
          <w:b/>
          <w:sz w:val="32"/>
        </w:rPr>
      </w:pPr>
    </w:p>
    <w:p w:rsidR="00C90449" w:rsidRDefault="00C90449">
      <w:pPr>
        <w:ind w:left="6696" w:right="-1008"/>
        <w:rPr>
          <w:b/>
          <w:sz w:val="32"/>
        </w:rPr>
      </w:pPr>
    </w:p>
    <w:p w:rsidR="00AD0B25" w:rsidRDefault="00AD0B25">
      <w:pPr>
        <w:ind w:left="6696" w:right="-1008"/>
        <w:rPr>
          <w:b/>
        </w:rPr>
      </w:pPr>
    </w:p>
    <w:p w:rsidR="00AD0B25" w:rsidRDefault="00AD0B25">
      <w:pPr>
        <w:ind w:left="6696" w:right="-1008"/>
        <w:rPr>
          <w:b/>
        </w:rPr>
      </w:pPr>
    </w:p>
    <w:p w:rsidR="00AD0B25" w:rsidRDefault="00AD0B25">
      <w:pPr>
        <w:ind w:left="6696" w:right="-1008"/>
        <w:rPr>
          <w:b/>
        </w:rPr>
      </w:pPr>
    </w:p>
    <w:p w:rsidR="00AD0B25" w:rsidRDefault="00AD0B25">
      <w:pPr>
        <w:ind w:left="6696" w:right="-1008"/>
        <w:rPr>
          <w:b/>
        </w:rPr>
      </w:pPr>
    </w:p>
    <w:p w:rsidR="00C90449" w:rsidRPr="00C90449" w:rsidRDefault="00C90449" w:rsidP="00C90449">
      <w:pPr>
        <w:tabs>
          <w:tab w:val="clear" w:pos="720"/>
          <w:tab w:val="clear" w:pos="1080"/>
          <w:tab w:val="clear" w:pos="1440"/>
          <w:tab w:val="clear" w:pos="1800"/>
        </w:tabs>
        <w:autoSpaceDE w:val="0"/>
        <w:autoSpaceDN w:val="0"/>
        <w:adjustRightInd w:val="0"/>
        <w:snapToGrid w:val="0"/>
        <w:spacing w:line="240" w:lineRule="auto"/>
        <w:ind w:left="6660"/>
        <w:jc w:val="right"/>
        <w:rPr>
          <w:b/>
          <w:sz w:val="32"/>
        </w:rPr>
      </w:pPr>
    </w:p>
    <w:p w:rsidR="00AD0B25" w:rsidRDefault="00AD0B25">
      <w:pPr>
        <w:ind w:left="6696" w:right="-1008"/>
        <w:rPr>
          <w:b/>
          <w:i/>
        </w:rPr>
      </w:pPr>
    </w:p>
    <w:p w:rsidR="00AD0B25" w:rsidRDefault="00AD0B25">
      <w:pPr>
        <w:ind w:left="6696" w:right="-1008"/>
      </w:pPr>
    </w:p>
    <w:p w:rsidR="00AD0B25" w:rsidRDefault="00AD0B25">
      <w:pPr>
        <w:ind w:left="6696" w:right="-1008"/>
      </w:pPr>
    </w:p>
    <w:p w:rsidR="00AD0B25" w:rsidRDefault="004361EA">
      <w:pPr>
        <w:ind w:left="6696" w:right="-1008"/>
      </w:pPr>
      <w:r>
        <w:t xml:space="preserve"> </w:t>
      </w:r>
      <w:r w:rsidR="00A2283D">
        <w:t>September 1</w:t>
      </w:r>
      <w:r w:rsidR="003604C6">
        <w:t>,</w:t>
      </w:r>
      <w:r w:rsidR="00220A9F">
        <w:t xml:space="preserve"> 2011</w:t>
      </w:r>
    </w:p>
    <w:p w:rsidR="00AD0B25" w:rsidRDefault="00AD0B25">
      <w:pPr>
        <w:ind w:left="6696" w:right="-1008"/>
      </w:pPr>
    </w:p>
    <w:p w:rsidR="00EC1A30" w:rsidRDefault="00EC1A30">
      <w:pPr>
        <w:ind w:left="6696" w:right="-1008"/>
      </w:pPr>
    </w:p>
    <w:p w:rsidR="00AD0B25" w:rsidRDefault="00AD0B25">
      <w:pPr>
        <w:ind w:left="6696" w:right="-1008"/>
      </w:pPr>
    </w:p>
    <w:p w:rsidR="00AD0B25" w:rsidRDefault="00AD0B25">
      <w:pPr>
        <w:ind w:left="6696" w:right="-1008"/>
      </w:pPr>
    </w:p>
    <w:p w:rsidR="00AD0B25" w:rsidRDefault="00AD0B25">
      <w:pPr>
        <w:ind w:left="6696" w:right="-1008"/>
      </w:pPr>
    </w:p>
    <w:p w:rsidR="00AD0B25" w:rsidRDefault="00AD0B25">
      <w:pPr>
        <w:ind w:left="6696" w:right="-1008"/>
      </w:pPr>
    </w:p>
    <w:p w:rsidR="00AD0B25" w:rsidRDefault="00AD0B25">
      <w:pPr>
        <w:ind w:left="6696" w:right="-1008"/>
      </w:pPr>
      <w:r>
        <w:rPr>
          <w:i/>
        </w:rPr>
        <w:t>Prepared for</w:t>
      </w:r>
    </w:p>
    <w:p w:rsidR="00AD0B25" w:rsidRPr="00826F95" w:rsidRDefault="00826F95">
      <w:pPr>
        <w:ind w:left="6696" w:right="-1008"/>
      </w:pPr>
      <w:r w:rsidRPr="00826F95">
        <w:t>Connie Della-Piana</w:t>
      </w:r>
    </w:p>
    <w:p w:rsidR="00AD0B25" w:rsidRPr="00826F95" w:rsidRDefault="00826F95">
      <w:pPr>
        <w:ind w:left="6696" w:right="-1008"/>
      </w:pPr>
      <w:r w:rsidRPr="00826F95">
        <w:t>National Science Foundation</w:t>
      </w:r>
    </w:p>
    <w:p w:rsidR="00AD0B25" w:rsidRDefault="00AD0B25">
      <w:pPr>
        <w:ind w:left="6696" w:right="-1008"/>
      </w:pPr>
    </w:p>
    <w:p w:rsidR="00AD0B25" w:rsidRDefault="00AD0B25">
      <w:pPr>
        <w:ind w:left="6696" w:right="-1008"/>
        <w:rPr>
          <w:i/>
        </w:rPr>
      </w:pPr>
      <w:r>
        <w:rPr>
          <w:i/>
        </w:rPr>
        <w:t>Prepared by</w:t>
      </w:r>
    </w:p>
    <w:p w:rsidR="00AD0B25" w:rsidRDefault="00EE4274">
      <w:pPr>
        <w:ind w:left="6696" w:right="-1008"/>
      </w:pPr>
      <w:r>
        <w:t>Abt Associates Inc.</w:t>
      </w:r>
    </w:p>
    <w:p w:rsidR="00AD0B25" w:rsidRDefault="00AD0B25">
      <w:pPr>
        <w:ind w:left="6696" w:right="-1008"/>
      </w:pPr>
    </w:p>
    <w:p w:rsidR="00AD0B25" w:rsidRDefault="00AD0B25">
      <w:pPr>
        <w:ind w:right="-1008"/>
      </w:pPr>
    </w:p>
    <w:p w:rsidR="00AD0B25" w:rsidRDefault="00AD0B25"/>
    <w:p w:rsidR="00AD0B25" w:rsidRDefault="00AD0B25">
      <w:pPr>
        <w:sectPr w:rsidR="00AD0B25">
          <w:headerReference w:type="default" r:id="rId10"/>
          <w:footerReference w:type="even" r:id="rId11"/>
          <w:footerReference w:type="default" r:id="rId12"/>
          <w:footerReference w:type="first" r:id="rId13"/>
          <w:pgSz w:w="12240" w:h="15840" w:code="1"/>
          <w:pgMar w:top="2088" w:right="1440" w:bottom="576" w:left="1800" w:header="720" w:footer="1008" w:gutter="0"/>
          <w:cols w:space="720"/>
          <w:titlePg/>
        </w:sectPr>
      </w:pPr>
    </w:p>
    <w:p w:rsidR="00AD0B25" w:rsidRDefault="00AD0B25">
      <w:pPr>
        <w:rPr>
          <w:rFonts w:ascii="Arial" w:hAnsi="Arial"/>
          <w:b/>
          <w:sz w:val="28"/>
        </w:rPr>
      </w:pPr>
      <w:r>
        <w:rPr>
          <w:rFonts w:ascii="Arial" w:hAnsi="Arial"/>
          <w:b/>
          <w:sz w:val="28"/>
        </w:rPr>
        <w:lastRenderedPageBreak/>
        <w:t>Contents</w:t>
      </w:r>
    </w:p>
    <w:p w:rsidR="00AD0B25" w:rsidRDefault="00AD0B25"/>
    <w:p w:rsidR="00C90449" w:rsidRPr="0011591C" w:rsidRDefault="00AD0B25">
      <w:pPr>
        <w:pStyle w:val="TOC1"/>
        <w:tabs>
          <w:tab w:val="right" w:leader="dot" w:pos="8990"/>
        </w:tabs>
        <w:rPr>
          <w:rFonts w:ascii="Calibri" w:hAnsi="Calibri"/>
          <w:b w:val="0"/>
          <w:noProof/>
          <w:szCs w:val="22"/>
        </w:rPr>
      </w:pPr>
      <w:r>
        <w:fldChar w:fldCharType="begin"/>
      </w:r>
      <w:r>
        <w:instrText xml:space="preserve"> TOC \o "1-3" </w:instrText>
      </w:r>
      <w:r>
        <w:fldChar w:fldCharType="separate"/>
      </w:r>
      <w:r w:rsidR="00C90449">
        <w:rPr>
          <w:noProof/>
        </w:rPr>
        <w:t>Section A</w:t>
      </w:r>
      <w:r w:rsidR="00C90449">
        <w:rPr>
          <w:noProof/>
        </w:rPr>
        <w:tab/>
      </w:r>
      <w:r w:rsidR="00C90449">
        <w:rPr>
          <w:noProof/>
        </w:rPr>
        <w:fldChar w:fldCharType="begin"/>
      </w:r>
      <w:r w:rsidR="00C90449">
        <w:rPr>
          <w:noProof/>
        </w:rPr>
        <w:instrText xml:space="preserve"> PAGEREF _Toc302119757 \h </w:instrText>
      </w:r>
      <w:r w:rsidR="00C90449">
        <w:rPr>
          <w:noProof/>
        </w:rPr>
      </w:r>
      <w:r w:rsidR="00C90449">
        <w:rPr>
          <w:noProof/>
        </w:rPr>
        <w:fldChar w:fldCharType="separate"/>
      </w:r>
      <w:r w:rsidR="003F0AC1">
        <w:rPr>
          <w:noProof/>
        </w:rPr>
        <w:t>1</w:t>
      </w:r>
      <w:r w:rsidR="00C90449">
        <w:rPr>
          <w:noProof/>
        </w:rPr>
        <w:fldChar w:fldCharType="end"/>
      </w:r>
    </w:p>
    <w:p w:rsidR="00C90449" w:rsidRPr="0011591C" w:rsidRDefault="00C90449">
      <w:pPr>
        <w:pStyle w:val="TOC1"/>
        <w:tabs>
          <w:tab w:val="right" w:leader="dot" w:pos="8990"/>
        </w:tabs>
        <w:rPr>
          <w:rFonts w:ascii="Calibri" w:hAnsi="Calibri"/>
          <w:b w:val="0"/>
          <w:noProof/>
          <w:szCs w:val="22"/>
        </w:rPr>
      </w:pPr>
      <w:r>
        <w:rPr>
          <w:noProof/>
        </w:rPr>
        <w:t>Justification</w:t>
      </w:r>
      <w:r>
        <w:rPr>
          <w:noProof/>
        </w:rPr>
        <w:tab/>
      </w:r>
      <w:r>
        <w:rPr>
          <w:noProof/>
        </w:rPr>
        <w:fldChar w:fldCharType="begin"/>
      </w:r>
      <w:r>
        <w:rPr>
          <w:noProof/>
        </w:rPr>
        <w:instrText xml:space="preserve"> PAGEREF _Toc302119758 \h </w:instrText>
      </w:r>
      <w:r>
        <w:rPr>
          <w:noProof/>
        </w:rPr>
      </w:r>
      <w:r>
        <w:rPr>
          <w:noProof/>
        </w:rPr>
        <w:fldChar w:fldCharType="separate"/>
      </w:r>
      <w:r w:rsidR="003F0AC1">
        <w:rPr>
          <w:noProof/>
        </w:rPr>
        <w:t>1</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Introduction</w:t>
      </w:r>
      <w:r>
        <w:rPr>
          <w:noProof/>
        </w:rPr>
        <w:tab/>
      </w:r>
      <w:r>
        <w:rPr>
          <w:noProof/>
        </w:rPr>
        <w:fldChar w:fldCharType="begin"/>
      </w:r>
      <w:r>
        <w:rPr>
          <w:noProof/>
        </w:rPr>
        <w:instrText xml:space="preserve"> PAGEREF _Toc302119759 \h </w:instrText>
      </w:r>
      <w:r>
        <w:rPr>
          <w:noProof/>
        </w:rPr>
      </w:r>
      <w:r>
        <w:rPr>
          <w:noProof/>
        </w:rPr>
        <w:fldChar w:fldCharType="separate"/>
      </w:r>
      <w:r w:rsidR="003F0AC1">
        <w:rPr>
          <w:noProof/>
        </w:rPr>
        <w:t>1</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 Circumstances Requiring the Collection of Data</w:t>
      </w:r>
      <w:r>
        <w:rPr>
          <w:noProof/>
        </w:rPr>
        <w:tab/>
      </w:r>
      <w:r>
        <w:rPr>
          <w:noProof/>
        </w:rPr>
        <w:fldChar w:fldCharType="begin"/>
      </w:r>
      <w:r>
        <w:rPr>
          <w:noProof/>
        </w:rPr>
        <w:instrText xml:space="preserve"> PAGEREF _Toc302119760 \h </w:instrText>
      </w:r>
      <w:r>
        <w:rPr>
          <w:noProof/>
        </w:rPr>
      </w:r>
      <w:r>
        <w:rPr>
          <w:noProof/>
        </w:rPr>
        <w:fldChar w:fldCharType="separate"/>
      </w:r>
      <w:r w:rsidR="003F0AC1">
        <w:rPr>
          <w:noProof/>
        </w:rPr>
        <w:t>2</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A.2. Purposes and Uses of the Data</w:t>
      </w:r>
      <w:r>
        <w:rPr>
          <w:noProof/>
        </w:rPr>
        <w:tab/>
      </w:r>
      <w:r>
        <w:rPr>
          <w:noProof/>
        </w:rPr>
        <w:fldChar w:fldCharType="begin"/>
      </w:r>
      <w:r>
        <w:rPr>
          <w:noProof/>
        </w:rPr>
        <w:instrText xml:space="preserve"> PAGEREF _Toc302119761 \h </w:instrText>
      </w:r>
      <w:r>
        <w:rPr>
          <w:noProof/>
        </w:rPr>
      </w:r>
      <w:r>
        <w:rPr>
          <w:noProof/>
        </w:rPr>
        <w:fldChar w:fldCharType="separate"/>
      </w:r>
      <w:r w:rsidR="003F0AC1">
        <w:rPr>
          <w:noProof/>
        </w:rPr>
        <w:t>2</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A.3. Use of Information Technology to Reduce Burden</w:t>
      </w:r>
      <w:r>
        <w:rPr>
          <w:noProof/>
        </w:rPr>
        <w:tab/>
      </w:r>
      <w:r>
        <w:rPr>
          <w:noProof/>
        </w:rPr>
        <w:fldChar w:fldCharType="begin"/>
      </w:r>
      <w:r>
        <w:rPr>
          <w:noProof/>
        </w:rPr>
        <w:instrText xml:space="preserve"> PAGEREF _Toc302119762 \h </w:instrText>
      </w:r>
      <w:r>
        <w:rPr>
          <w:noProof/>
        </w:rPr>
      </w:r>
      <w:r>
        <w:rPr>
          <w:noProof/>
        </w:rPr>
        <w:fldChar w:fldCharType="separate"/>
      </w:r>
      <w:r w:rsidR="003F0AC1">
        <w:rPr>
          <w:noProof/>
        </w:rPr>
        <w:t>2</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A.4. Efforts to Identify Duplication</w:t>
      </w:r>
      <w:r>
        <w:rPr>
          <w:noProof/>
        </w:rPr>
        <w:tab/>
      </w:r>
      <w:r>
        <w:rPr>
          <w:noProof/>
        </w:rPr>
        <w:fldChar w:fldCharType="begin"/>
      </w:r>
      <w:r>
        <w:rPr>
          <w:noProof/>
        </w:rPr>
        <w:instrText xml:space="preserve"> PAGEREF _Toc302119763 \h </w:instrText>
      </w:r>
      <w:r>
        <w:rPr>
          <w:noProof/>
        </w:rPr>
      </w:r>
      <w:r>
        <w:rPr>
          <w:noProof/>
        </w:rPr>
        <w:fldChar w:fldCharType="separate"/>
      </w:r>
      <w:r w:rsidR="003F0AC1">
        <w:rPr>
          <w:noProof/>
        </w:rPr>
        <w:t>2</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A.5. Small Business</w:t>
      </w:r>
      <w:r>
        <w:rPr>
          <w:noProof/>
        </w:rPr>
        <w:tab/>
      </w:r>
      <w:r>
        <w:rPr>
          <w:noProof/>
        </w:rPr>
        <w:fldChar w:fldCharType="begin"/>
      </w:r>
      <w:r>
        <w:rPr>
          <w:noProof/>
        </w:rPr>
        <w:instrText xml:space="preserve"> PAGEREF _Toc302119764 \h </w:instrText>
      </w:r>
      <w:r>
        <w:rPr>
          <w:noProof/>
        </w:rPr>
      </w:r>
      <w:r>
        <w:rPr>
          <w:noProof/>
        </w:rPr>
        <w:fldChar w:fldCharType="separate"/>
      </w:r>
      <w:r w:rsidR="003F0AC1">
        <w:rPr>
          <w:noProof/>
        </w:rPr>
        <w:t>2</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A.6. Consequences of Not Collecting the Information</w:t>
      </w:r>
      <w:r>
        <w:rPr>
          <w:noProof/>
        </w:rPr>
        <w:tab/>
      </w:r>
      <w:r>
        <w:rPr>
          <w:noProof/>
        </w:rPr>
        <w:fldChar w:fldCharType="begin"/>
      </w:r>
      <w:r>
        <w:rPr>
          <w:noProof/>
        </w:rPr>
        <w:instrText xml:space="preserve"> PAGEREF _Toc302119765 \h </w:instrText>
      </w:r>
      <w:r>
        <w:rPr>
          <w:noProof/>
        </w:rPr>
      </w:r>
      <w:r>
        <w:rPr>
          <w:noProof/>
        </w:rPr>
        <w:fldChar w:fldCharType="separate"/>
      </w:r>
      <w:r w:rsidR="003F0AC1">
        <w:rPr>
          <w:noProof/>
        </w:rPr>
        <w:t>2</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A.7. Special Circumstances Justifying Inconsistencies with Guidelines in 5 CFR 1320.6</w:t>
      </w:r>
      <w:r>
        <w:rPr>
          <w:noProof/>
        </w:rPr>
        <w:tab/>
      </w:r>
      <w:r>
        <w:rPr>
          <w:noProof/>
        </w:rPr>
        <w:fldChar w:fldCharType="begin"/>
      </w:r>
      <w:r>
        <w:rPr>
          <w:noProof/>
        </w:rPr>
        <w:instrText xml:space="preserve"> PAGEREF _Toc302119766 \h </w:instrText>
      </w:r>
      <w:r>
        <w:rPr>
          <w:noProof/>
        </w:rPr>
      </w:r>
      <w:r>
        <w:rPr>
          <w:noProof/>
        </w:rPr>
        <w:fldChar w:fldCharType="separate"/>
      </w:r>
      <w:r w:rsidR="003F0AC1">
        <w:rPr>
          <w:noProof/>
        </w:rPr>
        <w:t>2</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A.8. Selection of Public Comments and Consultation with People Outside the Agency</w:t>
      </w:r>
      <w:r>
        <w:rPr>
          <w:noProof/>
        </w:rPr>
        <w:tab/>
      </w:r>
      <w:r>
        <w:rPr>
          <w:noProof/>
        </w:rPr>
        <w:fldChar w:fldCharType="begin"/>
      </w:r>
      <w:r>
        <w:rPr>
          <w:noProof/>
        </w:rPr>
        <w:instrText xml:space="preserve"> PAGEREF _Toc302119767 \h </w:instrText>
      </w:r>
      <w:r>
        <w:rPr>
          <w:noProof/>
        </w:rPr>
      </w:r>
      <w:r>
        <w:rPr>
          <w:noProof/>
        </w:rPr>
        <w:fldChar w:fldCharType="separate"/>
      </w:r>
      <w:r w:rsidR="003F0AC1">
        <w:rPr>
          <w:noProof/>
        </w:rPr>
        <w:t>3</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A.9. Payments or Gifts to Respondents</w:t>
      </w:r>
      <w:r>
        <w:rPr>
          <w:noProof/>
        </w:rPr>
        <w:tab/>
      </w:r>
      <w:r>
        <w:rPr>
          <w:noProof/>
        </w:rPr>
        <w:fldChar w:fldCharType="begin"/>
      </w:r>
      <w:r>
        <w:rPr>
          <w:noProof/>
        </w:rPr>
        <w:instrText xml:space="preserve"> PAGEREF _Toc302119768 \h </w:instrText>
      </w:r>
      <w:r>
        <w:rPr>
          <w:noProof/>
        </w:rPr>
      </w:r>
      <w:r>
        <w:rPr>
          <w:noProof/>
        </w:rPr>
        <w:fldChar w:fldCharType="separate"/>
      </w:r>
      <w:r w:rsidR="003F0AC1">
        <w:rPr>
          <w:noProof/>
        </w:rPr>
        <w:t>3</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A.10. Assurance of Confidentiality</w:t>
      </w:r>
      <w:r>
        <w:rPr>
          <w:noProof/>
        </w:rPr>
        <w:tab/>
      </w:r>
      <w:r>
        <w:rPr>
          <w:noProof/>
        </w:rPr>
        <w:fldChar w:fldCharType="begin"/>
      </w:r>
      <w:r>
        <w:rPr>
          <w:noProof/>
        </w:rPr>
        <w:instrText xml:space="preserve"> PAGEREF _Toc302119769 \h </w:instrText>
      </w:r>
      <w:r>
        <w:rPr>
          <w:noProof/>
        </w:rPr>
      </w:r>
      <w:r>
        <w:rPr>
          <w:noProof/>
        </w:rPr>
        <w:fldChar w:fldCharType="separate"/>
      </w:r>
      <w:r w:rsidR="003F0AC1">
        <w:rPr>
          <w:noProof/>
        </w:rPr>
        <w:t>3</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A.11. Questions of a Sensitive Nature</w:t>
      </w:r>
      <w:r>
        <w:rPr>
          <w:noProof/>
        </w:rPr>
        <w:tab/>
      </w:r>
      <w:r>
        <w:rPr>
          <w:noProof/>
        </w:rPr>
        <w:fldChar w:fldCharType="begin"/>
      </w:r>
      <w:r>
        <w:rPr>
          <w:noProof/>
        </w:rPr>
        <w:instrText xml:space="preserve"> PAGEREF _Toc302119770 \h </w:instrText>
      </w:r>
      <w:r>
        <w:rPr>
          <w:noProof/>
        </w:rPr>
      </w:r>
      <w:r>
        <w:rPr>
          <w:noProof/>
        </w:rPr>
        <w:fldChar w:fldCharType="separate"/>
      </w:r>
      <w:r w:rsidR="003F0AC1">
        <w:rPr>
          <w:noProof/>
        </w:rPr>
        <w:t>4</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A.12. Estimates of Response Burden</w:t>
      </w:r>
      <w:r>
        <w:rPr>
          <w:noProof/>
        </w:rPr>
        <w:tab/>
      </w:r>
      <w:r>
        <w:rPr>
          <w:noProof/>
        </w:rPr>
        <w:fldChar w:fldCharType="begin"/>
      </w:r>
      <w:r>
        <w:rPr>
          <w:noProof/>
        </w:rPr>
        <w:instrText xml:space="preserve"> PAGEREF _Toc302119771 \h </w:instrText>
      </w:r>
      <w:r>
        <w:rPr>
          <w:noProof/>
        </w:rPr>
      </w:r>
      <w:r>
        <w:rPr>
          <w:noProof/>
        </w:rPr>
        <w:fldChar w:fldCharType="separate"/>
      </w:r>
      <w:r w:rsidR="003F0AC1">
        <w:rPr>
          <w:noProof/>
        </w:rPr>
        <w:t>4</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A.13. Estimate of Total Capital and Startup Costs/Operation and Maintenance Costs to Respondents or Record Keepers</w:t>
      </w:r>
      <w:r>
        <w:rPr>
          <w:noProof/>
        </w:rPr>
        <w:tab/>
      </w:r>
      <w:r>
        <w:rPr>
          <w:noProof/>
        </w:rPr>
        <w:fldChar w:fldCharType="begin"/>
      </w:r>
      <w:r>
        <w:rPr>
          <w:noProof/>
        </w:rPr>
        <w:instrText xml:space="preserve"> PAGEREF _Toc302119772 \h </w:instrText>
      </w:r>
      <w:r>
        <w:rPr>
          <w:noProof/>
        </w:rPr>
      </w:r>
      <w:r>
        <w:rPr>
          <w:noProof/>
        </w:rPr>
        <w:fldChar w:fldCharType="separate"/>
      </w:r>
      <w:r w:rsidR="003F0AC1">
        <w:rPr>
          <w:noProof/>
        </w:rPr>
        <w:t>5</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A.14. Estimates of Costs to the Federal Government</w:t>
      </w:r>
      <w:r>
        <w:rPr>
          <w:noProof/>
        </w:rPr>
        <w:tab/>
      </w:r>
      <w:r>
        <w:rPr>
          <w:noProof/>
        </w:rPr>
        <w:fldChar w:fldCharType="begin"/>
      </w:r>
      <w:r>
        <w:rPr>
          <w:noProof/>
        </w:rPr>
        <w:instrText xml:space="preserve"> PAGEREF _Toc302119773 \h </w:instrText>
      </w:r>
      <w:r>
        <w:rPr>
          <w:noProof/>
        </w:rPr>
      </w:r>
      <w:r>
        <w:rPr>
          <w:noProof/>
        </w:rPr>
        <w:fldChar w:fldCharType="separate"/>
      </w:r>
      <w:r w:rsidR="003F0AC1">
        <w:rPr>
          <w:noProof/>
        </w:rPr>
        <w:t>5</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A.15. Changes in Burden</w:t>
      </w:r>
      <w:r>
        <w:rPr>
          <w:noProof/>
        </w:rPr>
        <w:tab/>
      </w:r>
      <w:r>
        <w:rPr>
          <w:noProof/>
        </w:rPr>
        <w:fldChar w:fldCharType="begin"/>
      </w:r>
      <w:r>
        <w:rPr>
          <w:noProof/>
        </w:rPr>
        <w:instrText xml:space="preserve"> PAGEREF _Toc302119774 \h </w:instrText>
      </w:r>
      <w:r>
        <w:rPr>
          <w:noProof/>
        </w:rPr>
      </w:r>
      <w:r>
        <w:rPr>
          <w:noProof/>
        </w:rPr>
        <w:fldChar w:fldCharType="separate"/>
      </w:r>
      <w:r w:rsidR="003F0AC1">
        <w:rPr>
          <w:noProof/>
        </w:rPr>
        <w:t>5</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A.16. Plans for Publication, Analysis, and Schedule</w:t>
      </w:r>
      <w:r>
        <w:rPr>
          <w:noProof/>
        </w:rPr>
        <w:tab/>
      </w:r>
      <w:r>
        <w:rPr>
          <w:noProof/>
        </w:rPr>
        <w:fldChar w:fldCharType="begin"/>
      </w:r>
      <w:r>
        <w:rPr>
          <w:noProof/>
        </w:rPr>
        <w:instrText xml:space="preserve"> PAGEREF _Toc302119775 \h </w:instrText>
      </w:r>
      <w:r>
        <w:rPr>
          <w:noProof/>
        </w:rPr>
      </w:r>
      <w:r>
        <w:rPr>
          <w:noProof/>
        </w:rPr>
        <w:fldChar w:fldCharType="separate"/>
      </w:r>
      <w:r w:rsidR="003F0AC1">
        <w:rPr>
          <w:noProof/>
        </w:rPr>
        <w:t>5</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A.17. Approval to Not Display Expiration Date</w:t>
      </w:r>
      <w:r>
        <w:rPr>
          <w:noProof/>
        </w:rPr>
        <w:tab/>
      </w:r>
      <w:r>
        <w:rPr>
          <w:noProof/>
        </w:rPr>
        <w:fldChar w:fldCharType="begin"/>
      </w:r>
      <w:r>
        <w:rPr>
          <w:noProof/>
        </w:rPr>
        <w:instrText xml:space="preserve"> PAGEREF _Toc302119776 \h </w:instrText>
      </w:r>
      <w:r>
        <w:rPr>
          <w:noProof/>
        </w:rPr>
      </w:r>
      <w:r>
        <w:rPr>
          <w:noProof/>
        </w:rPr>
        <w:fldChar w:fldCharType="separate"/>
      </w:r>
      <w:r w:rsidR="003F0AC1">
        <w:rPr>
          <w:noProof/>
        </w:rPr>
        <w:t>6</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A.18. Exceptions to Items 19 of OMB Form 83-I</w:t>
      </w:r>
      <w:r>
        <w:rPr>
          <w:noProof/>
        </w:rPr>
        <w:tab/>
      </w:r>
      <w:r>
        <w:rPr>
          <w:noProof/>
        </w:rPr>
        <w:fldChar w:fldCharType="begin"/>
      </w:r>
      <w:r>
        <w:rPr>
          <w:noProof/>
        </w:rPr>
        <w:instrText xml:space="preserve"> PAGEREF _Toc302119777 \h </w:instrText>
      </w:r>
      <w:r>
        <w:rPr>
          <w:noProof/>
        </w:rPr>
      </w:r>
      <w:r>
        <w:rPr>
          <w:noProof/>
        </w:rPr>
        <w:fldChar w:fldCharType="separate"/>
      </w:r>
      <w:r w:rsidR="003F0AC1">
        <w:rPr>
          <w:noProof/>
        </w:rPr>
        <w:t>6</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Section B</w:t>
      </w:r>
      <w:r>
        <w:rPr>
          <w:noProof/>
        </w:rPr>
        <w:tab/>
      </w:r>
      <w:r>
        <w:rPr>
          <w:noProof/>
        </w:rPr>
        <w:fldChar w:fldCharType="begin"/>
      </w:r>
      <w:r>
        <w:rPr>
          <w:noProof/>
        </w:rPr>
        <w:instrText xml:space="preserve"> PAGEREF _Toc302119778 \h </w:instrText>
      </w:r>
      <w:r>
        <w:rPr>
          <w:noProof/>
        </w:rPr>
      </w:r>
      <w:r>
        <w:rPr>
          <w:noProof/>
        </w:rPr>
        <w:fldChar w:fldCharType="separate"/>
      </w:r>
      <w:r w:rsidR="003F0AC1">
        <w:rPr>
          <w:noProof/>
        </w:rPr>
        <w:t>1</w:t>
      </w:r>
      <w:r>
        <w:rPr>
          <w:noProof/>
        </w:rPr>
        <w:fldChar w:fldCharType="end"/>
      </w:r>
    </w:p>
    <w:p w:rsidR="00C90449" w:rsidRPr="0011591C" w:rsidRDefault="00C90449">
      <w:pPr>
        <w:pStyle w:val="TOC1"/>
        <w:tabs>
          <w:tab w:val="right" w:leader="dot" w:pos="8990"/>
        </w:tabs>
        <w:rPr>
          <w:rFonts w:ascii="Calibri" w:hAnsi="Calibri"/>
          <w:b w:val="0"/>
          <w:noProof/>
          <w:szCs w:val="22"/>
        </w:rPr>
      </w:pPr>
      <w:r>
        <w:rPr>
          <w:noProof/>
        </w:rPr>
        <w:t>Collection of Information Employing Statistical Methods</w:t>
      </w:r>
      <w:r>
        <w:rPr>
          <w:noProof/>
        </w:rPr>
        <w:tab/>
      </w:r>
      <w:r>
        <w:rPr>
          <w:noProof/>
        </w:rPr>
        <w:fldChar w:fldCharType="begin"/>
      </w:r>
      <w:r>
        <w:rPr>
          <w:noProof/>
        </w:rPr>
        <w:instrText xml:space="preserve"> PAGEREF _Toc302119779 \h </w:instrText>
      </w:r>
      <w:r>
        <w:rPr>
          <w:noProof/>
        </w:rPr>
      </w:r>
      <w:r>
        <w:rPr>
          <w:noProof/>
        </w:rPr>
        <w:fldChar w:fldCharType="separate"/>
      </w:r>
      <w:r w:rsidR="003F0AC1">
        <w:rPr>
          <w:noProof/>
        </w:rPr>
        <w:t>1</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B.1. Respondent Universe and Sampling Methods</w:t>
      </w:r>
      <w:r>
        <w:rPr>
          <w:noProof/>
        </w:rPr>
        <w:tab/>
      </w:r>
      <w:r>
        <w:rPr>
          <w:noProof/>
        </w:rPr>
        <w:fldChar w:fldCharType="begin"/>
      </w:r>
      <w:r>
        <w:rPr>
          <w:noProof/>
        </w:rPr>
        <w:instrText xml:space="preserve"> PAGEREF _Toc302119780 \h </w:instrText>
      </w:r>
      <w:r>
        <w:rPr>
          <w:noProof/>
        </w:rPr>
      </w:r>
      <w:r>
        <w:rPr>
          <w:noProof/>
        </w:rPr>
        <w:fldChar w:fldCharType="separate"/>
      </w:r>
      <w:r w:rsidR="003F0AC1">
        <w:rPr>
          <w:noProof/>
        </w:rPr>
        <w:t>1</w:t>
      </w:r>
      <w:r>
        <w:rPr>
          <w:noProof/>
        </w:rPr>
        <w:fldChar w:fldCharType="end"/>
      </w:r>
    </w:p>
    <w:p w:rsidR="00C90449" w:rsidRPr="0011591C" w:rsidRDefault="00C90449">
      <w:pPr>
        <w:pStyle w:val="TOC3"/>
        <w:tabs>
          <w:tab w:val="right" w:leader="dot" w:pos="8990"/>
        </w:tabs>
        <w:rPr>
          <w:rFonts w:ascii="Calibri" w:hAnsi="Calibri"/>
          <w:noProof/>
          <w:szCs w:val="22"/>
        </w:rPr>
      </w:pPr>
      <w:r>
        <w:rPr>
          <w:noProof/>
        </w:rPr>
        <w:t>Survey and Interview Samples</w:t>
      </w:r>
      <w:r>
        <w:rPr>
          <w:noProof/>
        </w:rPr>
        <w:tab/>
      </w:r>
      <w:r>
        <w:rPr>
          <w:noProof/>
        </w:rPr>
        <w:fldChar w:fldCharType="begin"/>
      </w:r>
      <w:r>
        <w:rPr>
          <w:noProof/>
        </w:rPr>
        <w:instrText xml:space="preserve"> PAGEREF _Toc302119781 \h </w:instrText>
      </w:r>
      <w:r>
        <w:rPr>
          <w:noProof/>
        </w:rPr>
      </w:r>
      <w:r>
        <w:rPr>
          <w:noProof/>
        </w:rPr>
        <w:fldChar w:fldCharType="separate"/>
      </w:r>
      <w:r w:rsidR="003F0AC1">
        <w:rPr>
          <w:noProof/>
        </w:rPr>
        <w:t>1</w:t>
      </w:r>
      <w:r>
        <w:rPr>
          <w:noProof/>
        </w:rPr>
        <w:fldChar w:fldCharType="end"/>
      </w:r>
    </w:p>
    <w:p w:rsidR="00C90449" w:rsidRPr="0011591C" w:rsidRDefault="00C90449">
      <w:pPr>
        <w:pStyle w:val="TOC3"/>
        <w:tabs>
          <w:tab w:val="right" w:leader="dot" w:pos="8990"/>
        </w:tabs>
        <w:rPr>
          <w:rFonts w:ascii="Calibri" w:hAnsi="Calibri"/>
          <w:noProof/>
          <w:szCs w:val="22"/>
        </w:rPr>
      </w:pPr>
      <w:r>
        <w:rPr>
          <w:noProof/>
        </w:rPr>
        <w:t>Noyce Recipient Sample</w:t>
      </w:r>
      <w:r>
        <w:rPr>
          <w:noProof/>
        </w:rPr>
        <w:tab/>
      </w:r>
      <w:r>
        <w:rPr>
          <w:noProof/>
        </w:rPr>
        <w:fldChar w:fldCharType="begin"/>
      </w:r>
      <w:r>
        <w:rPr>
          <w:noProof/>
        </w:rPr>
        <w:instrText xml:space="preserve"> PAGEREF _Toc302119782 \h </w:instrText>
      </w:r>
      <w:r>
        <w:rPr>
          <w:noProof/>
        </w:rPr>
      </w:r>
      <w:r>
        <w:rPr>
          <w:noProof/>
        </w:rPr>
        <w:fldChar w:fldCharType="separate"/>
      </w:r>
      <w:r w:rsidR="003F0AC1">
        <w:rPr>
          <w:noProof/>
        </w:rPr>
        <w:t>1</w:t>
      </w:r>
      <w:r>
        <w:rPr>
          <w:noProof/>
        </w:rPr>
        <w:fldChar w:fldCharType="end"/>
      </w:r>
    </w:p>
    <w:p w:rsidR="00C90449" w:rsidRPr="0011591C" w:rsidRDefault="00C90449">
      <w:pPr>
        <w:pStyle w:val="TOC3"/>
        <w:tabs>
          <w:tab w:val="right" w:leader="dot" w:pos="8990"/>
        </w:tabs>
        <w:rPr>
          <w:rFonts w:ascii="Calibri" w:hAnsi="Calibri"/>
          <w:noProof/>
          <w:szCs w:val="22"/>
        </w:rPr>
      </w:pPr>
      <w:r>
        <w:rPr>
          <w:noProof/>
        </w:rPr>
        <w:t>Noyce Principal Investigators</w:t>
      </w:r>
      <w:r>
        <w:rPr>
          <w:noProof/>
        </w:rPr>
        <w:tab/>
      </w:r>
      <w:r>
        <w:rPr>
          <w:noProof/>
        </w:rPr>
        <w:fldChar w:fldCharType="begin"/>
      </w:r>
      <w:r>
        <w:rPr>
          <w:noProof/>
        </w:rPr>
        <w:instrText xml:space="preserve"> PAGEREF _Toc302119783 \h </w:instrText>
      </w:r>
      <w:r>
        <w:rPr>
          <w:noProof/>
        </w:rPr>
      </w:r>
      <w:r>
        <w:rPr>
          <w:noProof/>
        </w:rPr>
        <w:fldChar w:fldCharType="separate"/>
      </w:r>
      <w:r w:rsidR="003F0AC1">
        <w:rPr>
          <w:noProof/>
        </w:rPr>
        <w:t>2</w:t>
      </w:r>
      <w:r>
        <w:rPr>
          <w:noProof/>
        </w:rPr>
        <w:fldChar w:fldCharType="end"/>
      </w:r>
    </w:p>
    <w:p w:rsidR="00C90449" w:rsidRPr="0011591C" w:rsidRDefault="00C90449">
      <w:pPr>
        <w:pStyle w:val="TOC3"/>
        <w:tabs>
          <w:tab w:val="right" w:leader="dot" w:pos="8990"/>
        </w:tabs>
        <w:rPr>
          <w:rFonts w:ascii="Calibri" w:hAnsi="Calibri"/>
          <w:noProof/>
          <w:szCs w:val="22"/>
        </w:rPr>
      </w:pPr>
      <w:r>
        <w:rPr>
          <w:noProof/>
        </w:rPr>
        <w:t>IHE Faculty</w:t>
      </w:r>
      <w:r>
        <w:rPr>
          <w:noProof/>
        </w:rPr>
        <w:tab/>
      </w:r>
      <w:r>
        <w:rPr>
          <w:noProof/>
        </w:rPr>
        <w:fldChar w:fldCharType="begin"/>
      </w:r>
      <w:r>
        <w:rPr>
          <w:noProof/>
        </w:rPr>
        <w:instrText xml:space="preserve"> PAGEREF _Toc302119784 \h </w:instrText>
      </w:r>
      <w:r>
        <w:rPr>
          <w:noProof/>
        </w:rPr>
      </w:r>
      <w:r>
        <w:rPr>
          <w:noProof/>
        </w:rPr>
        <w:fldChar w:fldCharType="separate"/>
      </w:r>
      <w:r w:rsidR="003F0AC1">
        <w:rPr>
          <w:noProof/>
        </w:rPr>
        <w:t>2</w:t>
      </w:r>
      <w:r>
        <w:rPr>
          <w:noProof/>
        </w:rPr>
        <w:fldChar w:fldCharType="end"/>
      </w:r>
    </w:p>
    <w:p w:rsidR="00C90449" w:rsidRPr="0011591C" w:rsidRDefault="00C90449">
      <w:pPr>
        <w:pStyle w:val="TOC3"/>
        <w:tabs>
          <w:tab w:val="right" w:leader="dot" w:pos="8990"/>
        </w:tabs>
        <w:rPr>
          <w:rFonts w:ascii="Calibri" w:hAnsi="Calibri"/>
          <w:noProof/>
          <w:szCs w:val="22"/>
        </w:rPr>
      </w:pPr>
      <w:r>
        <w:rPr>
          <w:noProof/>
        </w:rPr>
        <w:t>K-12 Principals</w:t>
      </w:r>
      <w:r>
        <w:rPr>
          <w:noProof/>
        </w:rPr>
        <w:tab/>
      </w:r>
      <w:r>
        <w:rPr>
          <w:noProof/>
        </w:rPr>
        <w:fldChar w:fldCharType="begin"/>
      </w:r>
      <w:r>
        <w:rPr>
          <w:noProof/>
        </w:rPr>
        <w:instrText xml:space="preserve"> PAGEREF _Toc302119785 \h </w:instrText>
      </w:r>
      <w:r>
        <w:rPr>
          <w:noProof/>
        </w:rPr>
      </w:r>
      <w:r>
        <w:rPr>
          <w:noProof/>
        </w:rPr>
        <w:fldChar w:fldCharType="separate"/>
      </w:r>
      <w:r w:rsidR="003F0AC1">
        <w:rPr>
          <w:noProof/>
        </w:rPr>
        <w:t>3</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B.2. Procedures for the Collection of Information</w:t>
      </w:r>
      <w:r>
        <w:rPr>
          <w:noProof/>
        </w:rPr>
        <w:tab/>
      </w:r>
      <w:r>
        <w:rPr>
          <w:noProof/>
        </w:rPr>
        <w:fldChar w:fldCharType="begin"/>
      </w:r>
      <w:r>
        <w:rPr>
          <w:noProof/>
        </w:rPr>
        <w:instrText xml:space="preserve"> PAGEREF _Toc302119786 \h </w:instrText>
      </w:r>
      <w:r>
        <w:rPr>
          <w:noProof/>
        </w:rPr>
      </w:r>
      <w:r>
        <w:rPr>
          <w:noProof/>
        </w:rPr>
        <w:fldChar w:fldCharType="separate"/>
      </w:r>
      <w:r w:rsidR="003F0AC1">
        <w:rPr>
          <w:noProof/>
        </w:rPr>
        <w:t>3</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B.3. Methods to Maximize Response Rates and Deal with Nonresponse</w:t>
      </w:r>
      <w:r>
        <w:rPr>
          <w:noProof/>
        </w:rPr>
        <w:tab/>
      </w:r>
      <w:r>
        <w:rPr>
          <w:noProof/>
        </w:rPr>
        <w:fldChar w:fldCharType="begin"/>
      </w:r>
      <w:r>
        <w:rPr>
          <w:noProof/>
        </w:rPr>
        <w:instrText xml:space="preserve"> PAGEREF _Toc302119787 \h </w:instrText>
      </w:r>
      <w:r>
        <w:rPr>
          <w:noProof/>
        </w:rPr>
      </w:r>
      <w:r>
        <w:rPr>
          <w:noProof/>
        </w:rPr>
        <w:fldChar w:fldCharType="separate"/>
      </w:r>
      <w:r w:rsidR="003F0AC1">
        <w:rPr>
          <w:noProof/>
        </w:rPr>
        <w:t>6</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B.4. Test Procedures or Methods</w:t>
      </w:r>
      <w:r>
        <w:rPr>
          <w:noProof/>
        </w:rPr>
        <w:tab/>
      </w:r>
      <w:r>
        <w:rPr>
          <w:noProof/>
        </w:rPr>
        <w:fldChar w:fldCharType="begin"/>
      </w:r>
      <w:r>
        <w:rPr>
          <w:noProof/>
        </w:rPr>
        <w:instrText xml:space="preserve"> PAGEREF _Toc302119788 \h </w:instrText>
      </w:r>
      <w:r>
        <w:rPr>
          <w:noProof/>
        </w:rPr>
      </w:r>
      <w:r>
        <w:rPr>
          <w:noProof/>
        </w:rPr>
        <w:fldChar w:fldCharType="separate"/>
      </w:r>
      <w:r w:rsidR="003F0AC1">
        <w:rPr>
          <w:noProof/>
        </w:rPr>
        <w:t>6</w:t>
      </w:r>
      <w:r>
        <w:rPr>
          <w:noProof/>
        </w:rPr>
        <w:fldChar w:fldCharType="end"/>
      </w:r>
    </w:p>
    <w:p w:rsidR="00C90449" w:rsidRPr="0011591C" w:rsidRDefault="00C90449">
      <w:pPr>
        <w:pStyle w:val="TOC2"/>
        <w:tabs>
          <w:tab w:val="right" w:leader="dot" w:pos="8990"/>
        </w:tabs>
        <w:rPr>
          <w:rFonts w:ascii="Calibri" w:hAnsi="Calibri"/>
          <w:noProof/>
          <w:szCs w:val="22"/>
        </w:rPr>
      </w:pPr>
      <w:r>
        <w:rPr>
          <w:noProof/>
        </w:rPr>
        <w:t>B.5. Individuals Consulted on Statistical Aspects and Individuals Collecting and/or Analyzing Data</w:t>
      </w:r>
      <w:r>
        <w:rPr>
          <w:noProof/>
        </w:rPr>
        <w:tab/>
      </w:r>
      <w:r>
        <w:rPr>
          <w:noProof/>
        </w:rPr>
        <w:fldChar w:fldCharType="begin"/>
      </w:r>
      <w:r>
        <w:rPr>
          <w:noProof/>
        </w:rPr>
        <w:instrText xml:space="preserve"> PAGEREF _Toc302119789 \h </w:instrText>
      </w:r>
      <w:r>
        <w:rPr>
          <w:noProof/>
        </w:rPr>
      </w:r>
      <w:r>
        <w:rPr>
          <w:noProof/>
        </w:rPr>
        <w:fldChar w:fldCharType="separate"/>
      </w:r>
      <w:r w:rsidR="003F0AC1">
        <w:rPr>
          <w:noProof/>
        </w:rPr>
        <w:t>6</w:t>
      </w:r>
      <w:r>
        <w:rPr>
          <w:noProof/>
        </w:rPr>
        <w:fldChar w:fldCharType="end"/>
      </w:r>
    </w:p>
    <w:p w:rsidR="00D45617" w:rsidRDefault="00AD0B25" w:rsidP="00687734">
      <w:pPr>
        <w:tabs>
          <w:tab w:val="right" w:leader="dot" w:pos="9000"/>
        </w:tabs>
        <w:ind w:right="450"/>
      </w:pPr>
      <w:r>
        <w:fldChar w:fldCharType="end"/>
      </w:r>
    </w:p>
    <w:p w:rsidR="00D45617" w:rsidRPr="003F0AC1" w:rsidRDefault="00D45617" w:rsidP="00F07C7E">
      <w:pPr>
        <w:pStyle w:val="TOC1"/>
        <w:tabs>
          <w:tab w:val="left" w:pos="1260"/>
          <w:tab w:val="right" w:leader="dot" w:pos="8990"/>
        </w:tabs>
        <w:spacing w:before="0" w:after="60"/>
        <w:rPr>
          <w:noProof/>
        </w:rPr>
      </w:pPr>
      <w:r w:rsidRPr="003F0AC1">
        <w:rPr>
          <w:noProof/>
        </w:rPr>
        <w:t>Appendix A</w:t>
      </w:r>
      <w:r w:rsidR="00F07C7E" w:rsidRPr="003F0AC1">
        <w:rPr>
          <w:noProof/>
        </w:rPr>
        <w:t>:</w:t>
      </w:r>
      <w:r w:rsidR="00F07C7E" w:rsidRPr="003F0AC1">
        <w:rPr>
          <w:noProof/>
        </w:rPr>
        <w:tab/>
      </w:r>
      <w:r w:rsidR="003F0AC1" w:rsidRPr="003F0AC1">
        <w:rPr>
          <w:noProof/>
        </w:rPr>
        <w:t>Noyce Master Teaching Fellow Survey</w:t>
      </w:r>
    </w:p>
    <w:p w:rsidR="00AD0B25" w:rsidRDefault="00AD0B25"/>
    <w:p w:rsidR="00AD0B25" w:rsidRDefault="00AD0B25">
      <w:pPr>
        <w:sectPr w:rsidR="00AD0B25" w:rsidSect="00A55153">
          <w:footerReference w:type="default" r:id="rId14"/>
          <w:pgSz w:w="12240" w:h="15840" w:code="1"/>
          <w:pgMar w:top="1440" w:right="1440" w:bottom="1008" w:left="1800" w:header="720" w:footer="576" w:gutter="0"/>
          <w:pgNumType w:fmt="lowerRoman" w:start="1"/>
          <w:cols w:space="720"/>
        </w:sectPr>
      </w:pPr>
    </w:p>
    <w:p w:rsidR="00AD0B25" w:rsidRDefault="00AD0B25" w:rsidP="00EE4274">
      <w:pPr>
        <w:pStyle w:val="AbtHeadA"/>
      </w:pPr>
      <w:bookmarkStart w:id="0" w:name="_Toc262633963"/>
      <w:bookmarkStart w:id="1" w:name="_Toc262634054"/>
      <w:bookmarkStart w:id="2" w:name="_Toc262640168"/>
      <w:bookmarkStart w:id="3" w:name="_Toc262663059"/>
      <w:bookmarkStart w:id="4" w:name="_Toc268702834"/>
      <w:bookmarkStart w:id="5" w:name="_Toc268767610"/>
      <w:bookmarkStart w:id="6" w:name="_Toc302119757"/>
      <w:r>
        <w:lastRenderedPageBreak/>
        <w:t>Section A</w:t>
      </w:r>
      <w:bookmarkEnd w:id="0"/>
      <w:bookmarkEnd w:id="1"/>
      <w:bookmarkEnd w:id="2"/>
      <w:bookmarkEnd w:id="3"/>
      <w:bookmarkEnd w:id="4"/>
      <w:bookmarkEnd w:id="5"/>
      <w:bookmarkEnd w:id="6"/>
    </w:p>
    <w:p w:rsidR="00AD0B25" w:rsidRDefault="003F77E2" w:rsidP="00EE4274">
      <w:pPr>
        <w:pStyle w:val="AbtHeadA"/>
      </w:pPr>
      <w:bookmarkStart w:id="7" w:name="_Toc302119758"/>
      <w:r>
        <w:t>Justification</w:t>
      </w:r>
      <w:bookmarkEnd w:id="7"/>
    </w:p>
    <w:p w:rsidR="003F77E2" w:rsidRDefault="003F77E2" w:rsidP="003F77E2">
      <w:pPr>
        <w:pStyle w:val="AbtHeadB"/>
      </w:pPr>
      <w:bookmarkStart w:id="8" w:name="_Toc302119759"/>
      <w:r>
        <w:t>Introduction</w:t>
      </w:r>
      <w:bookmarkEnd w:id="8"/>
    </w:p>
    <w:p w:rsidR="001B2861" w:rsidRDefault="00AD0B25" w:rsidP="001B2861">
      <w:pPr>
        <w:keepNext/>
        <w:keepLines/>
        <w:autoSpaceDE w:val="0"/>
        <w:autoSpaceDN w:val="0"/>
        <w:adjustRightInd w:val="0"/>
        <w:snapToGrid w:val="0"/>
      </w:pPr>
      <w:r>
        <w:t xml:space="preserve">The National Science Foundation (NSF) </w:t>
      </w:r>
      <w:r w:rsidR="001B2861">
        <w:t>received clearance for the evaluation of the Robert Noyce Teacher Scholarship Program on June 13</w:t>
      </w:r>
      <w:r w:rsidR="00EF7460">
        <w:t>, 2011</w:t>
      </w:r>
      <w:r w:rsidR="00FE6ACB">
        <w:t xml:space="preserve"> </w:t>
      </w:r>
      <w:r w:rsidR="001B2861">
        <w:t xml:space="preserve">through </w:t>
      </w:r>
      <w:r w:rsidR="001B2861" w:rsidRPr="00627843">
        <w:t>OMB Control Number: 3145-0217</w:t>
      </w:r>
      <w:r w:rsidR="001B2861">
        <w:t>.  This included collecting primary data via surveys and interviews with Principal Investigators, Faculty, Noyce Recipients, and K-12 Principals.</w:t>
      </w:r>
    </w:p>
    <w:p w:rsidR="001B2861" w:rsidRDefault="001B2861" w:rsidP="00AD0B25">
      <w:pPr>
        <w:pStyle w:val="BodyText"/>
      </w:pPr>
    </w:p>
    <w:p w:rsidR="00AD0B25" w:rsidRDefault="00AD0B25" w:rsidP="00AD0B25">
      <w:pPr>
        <w:pStyle w:val="BodyText"/>
      </w:pPr>
      <w:r>
        <w:t xml:space="preserve">The Noyce program operates within NSF’s Division of Undergraduate Education, and bridges the higher education and the K-12 system.  The Noyce Program encourages talented science, technology, engineering, and mathematics (STEM) majors and professionals to become K-12 mathematics and science teachers. </w:t>
      </w:r>
      <w:r w:rsidR="007D1B82">
        <w:t xml:space="preserve"> </w:t>
      </w:r>
      <w:r>
        <w:t xml:space="preserve">The program provides funds to institutions of higher education (IHEs) to support scholarships, stipends, and academic programs for undergraduate STEM majors and post-baccalaureate STEM students who commit to teaching in high-need K-12 school districts as a condition of receiving financial support. </w:t>
      </w:r>
      <w:r w:rsidR="00641984">
        <w:t>Additionally, the program provides support to undergraduate freshmen and sophomores who serve as summer interns with no commitment to teacher certification or to teaching.</w:t>
      </w:r>
      <w:r>
        <w:t xml:space="preserve">  </w:t>
      </w:r>
    </w:p>
    <w:p w:rsidR="00AD0B25" w:rsidRDefault="00AD0B25" w:rsidP="00AD0B25">
      <w:pPr>
        <w:pStyle w:val="BodyText"/>
      </w:pPr>
    </w:p>
    <w:p w:rsidR="00AD0B25" w:rsidRDefault="00AD0B25" w:rsidP="00AD0B25">
      <w:pPr>
        <w:pStyle w:val="BodyText"/>
      </w:pPr>
      <w:r>
        <w:t>The program supports two other strands for individuals who have already become STEM and/or teaching professionals.  The Noyce program supports STEM professionals who enroll as NSF Teaching Fellows</w:t>
      </w:r>
      <w:r w:rsidR="001B2861">
        <w:t xml:space="preserve"> (TFs)</w:t>
      </w:r>
      <w:r>
        <w:t xml:space="preserve"> in master's degree programs leading to teacher certification by providing academic courses, professional development, and salary supplements as the Teaching Fellows fulfill a four-year teaching commitment in a high need school district.  This programmatic strand also supports exemplary math and science teachers, who have master’s degrees, to become Master Teaching Fellows</w:t>
      </w:r>
      <w:r w:rsidR="001B2861">
        <w:t xml:space="preserve"> (MTFs)</w:t>
      </w:r>
      <w:r>
        <w:t xml:space="preserve"> in high need school districts by providing professional development and salary supplements.</w:t>
      </w:r>
    </w:p>
    <w:p w:rsidR="001B2861" w:rsidRDefault="001B2861" w:rsidP="00AD0B25">
      <w:pPr>
        <w:pStyle w:val="BodyText"/>
      </w:pPr>
    </w:p>
    <w:p w:rsidR="001B2861" w:rsidRDefault="001B2861" w:rsidP="001B2861">
      <w:pPr>
        <w:pStyle w:val="BodyText"/>
      </w:pPr>
      <w:r>
        <w:t>Since TFs are supported by the Noyce program in preparing for teacher certification and their early years of teaching, they will take same survey that will be given to other recipients that was already approved by OMB.</w:t>
      </w:r>
    </w:p>
    <w:p w:rsidR="001B2861" w:rsidRDefault="001B2861" w:rsidP="001B2861"/>
    <w:p w:rsidR="001B2861" w:rsidRDefault="001B2861" w:rsidP="001B2861">
      <w:r>
        <w:t>This additional package is to request a new survey as part of the overall evaluation for the MTFs.  The MTF survey will be similar to the other recipient surveys for recipients who are teaching.  However, it will focus more on the leadership activities expected of these more experienced teachers.  Since MTFs were not supported by the Noyce Program in preparing for certification or their early teaching years, there are no questions in this survey about their teacher preparation program or support during early teaching.</w:t>
      </w:r>
    </w:p>
    <w:p w:rsidR="001B2861" w:rsidRDefault="001B2861" w:rsidP="001B2861"/>
    <w:p w:rsidR="00AD0B25" w:rsidRDefault="00AD0B25" w:rsidP="00AD0B25">
      <w:pPr>
        <w:pStyle w:val="BodyText"/>
      </w:pPr>
    </w:p>
    <w:p w:rsidR="00AD0B25" w:rsidRDefault="00AD0B25" w:rsidP="00EE4274">
      <w:pPr>
        <w:pStyle w:val="AbtHeadB"/>
      </w:pPr>
      <w:bookmarkStart w:id="9" w:name="_Toc302119760"/>
      <w:r>
        <w:lastRenderedPageBreak/>
        <w:t xml:space="preserve">A.1. </w:t>
      </w:r>
      <w:r w:rsidR="00EE4274">
        <w:t>C</w:t>
      </w:r>
      <w:r>
        <w:t>ircumstances Requiring the Collection of Data</w:t>
      </w:r>
      <w:bookmarkEnd w:id="9"/>
    </w:p>
    <w:p w:rsidR="00FC041C" w:rsidRDefault="002F2CC6" w:rsidP="002F2CC6">
      <w:r>
        <w:t xml:space="preserve">To learn more about the activities of Master Teaching Fellows (MTFs), the study team designed a new survey for this group.  </w:t>
      </w:r>
      <w:r w:rsidR="00FC041C">
        <w:t xml:space="preserve">A separate survey for the MTFs was </w:t>
      </w:r>
      <w:r w:rsidR="00FC041C" w:rsidRPr="004007A4">
        <w:rPr>
          <w:i/>
        </w:rPr>
        <w:t>not</w:t>
      </w:r>
      <w:r w:rsidR="00FC041C">
        <w:t xml:space="preserve"> included in the original August 2010 submission.  In that submission, data collection was expected to begin in fall 2010, and data for the MTFs was not yet available at that time.  </w:t>
      </w:r>
    </w:p>
    <w:p w:rsidR="001B2861" w:rsidRDefault="001B2861" w:rsidP="00AD0B25">
      <w:pPr>
        <w:pStyle w:val="BodyText"/>
      </w:pPr>
    </w:p>
    <w:p w:rsidR="00AD0B25" w:rsidRDefault="00AD0B25" w:rsidP="00EF6E5C">
      <w:pPr>
        <w:pStyle w:val="AbtHeadB"/>
      </w:pPr>
      <w:bookmarkStart w:id="10" w:name="_Toc302119761"/>
      <w:r>
        <w:t>A.2. Purposes and Uses of the Data</w:t>
      </w:r>
      <w:bookmarkEnd w:id="10"/>
    </w:p>
    <w:p w:rsidR="00AD0B25" w:rsidRDefault="00AD0B25" w:rsidP="00983A27">
      <w:pPr>
        <w:pStyle w:val="BodyText"/>
      </w:pPr>
      <w:r>
        <w:t xml:space="preserve">The primary purpose for collection is program evaluation. The data collected will allow NSF to describe the </w:t>
      </w:r>
      <w:r w:rsidR="00983A27" w:rsidRPr="00983A27">
        <w:t>supports used by MTFs, and what leadership activities they engage in</w:t>
      </w:r>
      <w:r w:rsidR="00983A27">
        <w:t>.</w:t>
      </w:r>
    </w:p>
    <w:p w:rsidR="0096576A" w:rsidRDefault="0096576A" w:rsidP="00983A27">
      <w:pPr>
        <w:pStyle w:val="BodyText"/>
      </w:pPr>
    </w:p>
    <w:p w:rsidR="00AD0B25" w:rsidRDefault="00AD0B25" w:rsidP="00256F31">
      <w:pPr>
        <w:pStyle w:val="AbtHeadB"/>
        <w:keepLines w:val="0"/>
      </w:pPr>
      <w:bookmarkStart w:id="11" w:name="_Toc302119762"/>
      <w:r>
        <w:t>A.3. Use of Information Technology to Reduce Burden</w:t>
      </w:r>
      <w:bookmarkEnd w:id="11"/>
    </w:p>
    <w:p w:rsidR="00AD0B25" w:rsidRDefault="00983A27" w:rsidP="00AD0B25">
      <w:pPr>
        <w:pStyle w:val="BodyText"/>
      </w:pPr>
      <w:r>
        <w:t>As described in the original OMB clearance package, t</w:t>
      </w:r>
      <w:r w:rsidR="00AD0B25">
        <w:t xml:space="preserve">o reduce burden, online surveys will be used to collect information from participants.  </w:t>
      </w:r>
      <w:r>
        <w:t>MTFs</w:t>
      </w:r>
      <w:r w:rsidR="00AD0B25">
        <w:t xml:space="preserve"> will be asked to complete a web-based survey to learn more about the </w:t>
      </w:r>
      <w:r>
        <w:t>supports they receive and the leadership activities they engage in</w:t>
      </w:r>
      <w:r w:rsidR="00AD0B25">
        <w:t>. This approach has become more commonly used in recent years. NSF tends to favor web-based systems because they can facilitate respondents’ data entry across computer platforms.</w:t>
      </w:r>
    </w:p>
    <w:p w:rsidR="00AD0B25" w:rsidRDefault="00AD0B25" w:rsidP="00AD0B25">
      <w:pPr>
        <w:pStyle w:val="BodyText"/>
      </w:pPr>
    </w:p>
    <w:p w:rsidR="00AD0B25" w:rsidRDefault="00AD0B25" w:rsidP="00AD0B25">
      <w:pPr>
        <w:pStyle w:val="BodyText"/>
      </w:pPr>
      <w:r>
        <w:t xml:space="preserve">Email will be used to send respondents their invitations to complete the survey and follow-up with the non-respondents to ensure their participation.  </w:t>
      </w:r>
    </w:p>
    <w:p w:rsidR="00AD0B25" w:rsidRDefault="00AD0B25" w:rsidP="00AD0B25">
      <w:pPr>
        <w:pStyle w:val="BodyText"/>
      </w:pPr>
    </w:p>
    <w:p w:rsidR="00AD0B25" w:rsidRDefault="00AD0B25" w:rsidP="00EF6E5C">
      <w:pPr>
        <w:pStyle w:val="AbtHeadB"/>
      </w:pPr>
      <w:bookmarkStart w:id="12" w:name="_Toc302119763"/>
      <w:r>
        <w:t>A.4. Efforts to Identify Duplication</w:t>
      </w:r>
      <w:bookmarkEnd w:id="12"/>
    </w:p>
    <w:p w:rsidR="00AD0B25" w:rsidRDefault="00AD0B25" w:rsidP="00AD0B25">
      <w:pPr>
        <w:pStyle w:val="BodyText"/>
      </w:pPr>
      <w:r>
        <w:t xml:space="preserve">This evaluation does not duplicate other NSF efforts.  There are no other studies at this point that examine </w:t>
      </w:r>
      <w:r w:rsidR="00983A27">
        <w:t>activities of MTFs</w:t>
      </w:r>
      <w:r>
        <w:t>.</w:t>
      </w:r>
    </w:p>
    <w:p w:rsidR="00AD0B25" w:rsidRDefault="00AD0B25" w:rsidP="00AD0B25">
      <w:pPr>
        <w:pStyle w:val="BodyText"/>
      </w:pPr>
    </w:p>
    <w:p w:rsidR="00AD0B25" w:rsidRDefault="00AD0B25" w:rsidP="00AD0B25">
      <w:pPr>
        <w:pStyle w:val="BodyText"/>
      </w:pPr>
      <w:r>
        <w:t>Project monitoring data</w:t>
      </w:r>
      <w:r w:rsidR="00983A27">
        <w:t xml:space="preserve"> </w:t>
      </w:r>
      <w:r>
        <w:t xml:space="preserve">for Noyce will be available to the contractor and the NSF staff working on this research. Surveys will be constructed to ask about elements of program participation that are not captured in the Noyce Monitoring System. </w:t>
      </w:r>
    </w:p>
    <w:p w:rsidR="00AD0B25" w:rsidRDefault="00AD0B25" w:rsidP="00AD0B25">
      <w:pPr>
        <w:pStyle w:val="BodyText"/>
      </w:pPr>
    </w:p>
    <w:p w:rsidR="00AD0B25" w:rsidRDefault="00AD0B25" w:rsidP="00EF6E5C">
      <w:pPr>
        <w:pStyle w:val="AbtHeadB"/>
      </w:pPr>
      <w:bookmarkStart w:id="13" w:name="_Toc302119764"/>
      <w:r>
        <w:t>A.5. Small Business</w:t>
      </w:r>
      <w:bookmarkEnd w:id="13"/>
    </w:p>
    <w:p w:rsidR="00AD0B25" w:rsidRDefault="00AD0B25" w:rsidP="00AD0B25">
      <w:pPr>
        <w:pStyle w:val="BodyText"/>
      </w:pPr>
      <w:r>
        <w:t>No information for this research will be collected from small businesses.</w:t>
      </w:r>
    </w:p>
    <w:p w:rsidR="00AD0B25" w:rsidRDefault="00AD0B25" w:rsidP="00AD0B25">
      <w:pPr>
        <w:pStyle w:val="BodyText"/>
      </w:pPr>
    </w:p>
    <w:p w:rsidR="00AD0B25" w:rsidRDefault="00AD0B25" w:rsidP="00EF6E5C">
      <w:pPr>
        <w:pStyle w:val="AbtHeadB"/>
      </w:pPr>
      <w:bookmarkStart w:id="14" w:name="_Toc302119765"/>
      <w:r>
        <w:t>A.6. Consequences of Not Collecting the Information</w:t>
      </w:r>
      <w:bookmarkEnd w:id="14"/>
    </w:p>
    <w:p w:rsidR="00AD0B25" w:rsidRDefault="00AD0B25" w:rsidP="00AD0B25">
      <w:pPr>
        <w:pStyle w:val="BodyText"/>
      </w:pPr>
      <w:r>
        <w:t xml:space="preserve">If this information is not collected, NSF will be unable to </w:t>
      </w:r>
      <w:r w:rsidR="00492DF0">
        <w:t xml:space="preserve">describe the supports and activities of their Master Teaching Fellows.  </w:t>
      </w:r>
      <w:r>
        <w:t xml:space="preserve"> </w:t>
      </w:r>
    </w:p>
    <w:p w:rsidR="00492DF0" w:rsidRDefault="00492DF0" w:rsidP="00AD0B25">
      <w:pPr>
        <w:pStyle w:val="BodyText"/>
      </w:pPr>
    </w:p>
    <w:p w:rsidR="00AD0B25" w:rsidRDefault="00AD0B25" w:rsidP="00EF6E5C">
      <w:pPr>
        <w:pStyle w:val="AbtHeadB"/>
      </w:pPr>
      <w:bookmarkStart w:id="15" w:name="_Toc302119766"/>
      <w:r>
        <w:t>A.7. Special Circumstances Justifying Inconsistencies with Guidelines in 5 CFR 1320.6</w:t>
      </w:r>
      <w:bookmarkEnd w:id="15"/>
    </w:p>
    <w:p w:rsidR="00AD0B25" w:rsidRDefault="00AD0B25" w:rsidP="00AD0B25">
      <w:pPr>
        <w:pStyle w:val="BodyText"/>
      </w:pPr>
      <w:r>
        <w:t>The data collections will comply with 5 CFR 1320.6.</w:t>
      </w:r>
    </w:p>
    <w:p w:rsidR="00AD0B25" w:rsidRDefault="00AD0B25" w:rsidP="00AD0B25">
      <w:pPr>
        <w:pStyle w:val="BodyText"/>
      </w:pPr>
    </w:p>
    <w:p w:rsidR="00AD0B25" w:rsidRDefault="00AD0B25" w:rsidP="00EF6E5C">
      <w:pPr>
        <w:pStyle w:val="AbtHeadB"/>
      </w:pPr>
      <w:bookmarkStart w:id="16" w:name="_Toc302119767"/>
      <w:r>
        <w:t xml:space="preserve">A.8. Selection of Public Comments and Consultation with People </w:t>
      </w:r>
      <w:proofErr w:type="gramStart"/>
      <w:r>
        <w:t>Outside</w:t>
      </w:r>
      <w:proofErr w:type="gramEnd"/>
      <w:r>
        <w:t xml:space="preserve"> the Agency</w:t>
      </w:r>
      <w:bookmarkEnd w:id="16"/>
    </w:p>
    <w:p w:rsidR="00AD0B25" w:rsidRPr="00D03F28" w:rsidRDefault="008C1F98" w:rsidP="00A26F48">
      <w:pPr>
        <w:pStyle w:val="BodyText"/>
        <w:spacing w:after="60"/>
        <w:rPr>
          <w:rFonts w:ascii="Arial" w:hAnsi="Arial" w:cs="Arial"/>
          <w:b/>
          <w:szCs w:val="22"/>
        </w:rPr>
      </w:pPr>
      <w:r w:rsidRPr="00D03F28">
        <w:rPr>
          <w:rFonts w:ascii="Arial" w:hAnsi="Arial" w:cs="Arial"/>
          <w:b/>
          <w:szCs w:val="22"/>
        </w:rPr>
        <w:t>8A</w:t>
      </w:r>
      <w:r w:rsidR="00AD0B25" w:rsidRPr="00D03F28">
        <w:rPr>
          <w:rFonts w:ascii="Arial" w:hAnsi="Arial" w:cs="Arial"/>
          <w:b/>
          <w:szCs w:val="22"/>
        </w:rPr>
        <w:t>. Federal Register Announcement</w:t>
      </w:r>
    </w:p>
    <w:p w:rsidR="00AD0B25" w:rsidRDefault="005D564C" w:rsidP="00AD0B25">
      <w:pPr>
        <w:pStyle w:val="BodyText"/>
      </w:pPr>
      <w:r w:rsidRPr="005D564C">
        <w:t>Comments on th</w:t>
      </w:r>
      <w:r w:rsidR="00FB5714">
        <w:t>e overall</w:t>
      </w:r>
      <w:r w:rsidRPr="005D564C">
        <w:t xml:space="preserve"> data collection effort were solicited in the Federal Register on June 8 in Volume 75, Number 109</w:t>
      </w:r>
      <w:r w:rsidR="00FB5714">
        <w:t xml:space="preserve"> and on August 11 in Volume 75, Number 154.</w:t>
      </w:r>
      <w:r w:rsidRPr="005D564C">
        <w:t xml:space="preserve">  </w:t>
      </w:r>
      <w:r w:rsidR="00FB5714">
        <w:t>N</w:t>
      </w:r>
      <w:r w:rsidRPr="005D564C">
        <w:t>o substantial comments were received.</w:t>
      </w:r>
    </w:p>
    <w:p w:rsidR="005D564C" w:rsidRPr="005D564C" w:rsidRDefault="005D564C" w:rsidP="00AD0B25">
      <w:pPr>
        <w:pStyle w:val="BodyText"/>
      </w:pPr>
    </w:p>
    <w:p w:rsidR="00AD0B25" w:rsidRPr="00D03F28" w:rsidRDefault="008C1F98" w:rsidP="00A26F48">
      <w:pPr>
        <w:pStyle w:val="BodyText"/>
        <w:spacing w:after="60"/>
        <w:rPr>
          <w:rFonts w:ascii="Arial" w:hAnsi="Arial" w:cs="Arial"/>
          <w:b/>
          <w:szCs w:val="22"/>
        </w:rPr>
      </w:pPr>
      <w:r w:rsidRPr="00D03F28">
        <w:rPr>
          <w:rFonts w:ascii="Arial" w:hAnsi="Arial" w:cs="Arial"/>
          <w:b/>
          <w:szCs w:val="22"/>
        </w:rPr>
        <w:t>8B</w:t>
      </w:r>
      <w:r w:rsidR="00AD0B25" w:rsidRPr="00D03F28">
        <w:rPr>
          <w:rFonts w:ascii="Arial" w:hAnsi="Arial" w:cs="Arial"/>
          <w:b/>
          <w:szCs w:val="22"/>
        </w:rPr>
        <w:t xml:space="preserve">. Consultations </w:t>
      </w:r>
      <w:proofErr w:type="gramStart"/>
      <w:r w:rsidR="00AD0B25" w:rsidRPr="00D03F28">
        <w:rPr>
          <w:rFonts w:ascii="Arial" w:hAnsi="Arial" w:cs="Arial"/>
          <w:b/>
          <w:szCs w:val="22"/>
        </w:rPr>
        <w:t>Outside</w:t>
      </w:r>
      <w:proofErr w:type="gramEnd"/>
      <w:r w:rsidR="00AD0B25" w:rsidRPr="00D03F28">
        <w:rPr>
          <w:rFonts w:ascii="Arial" w:hAnsi="Arial" w:cs="Arial"/>
          <w:b/>
          <w:szCs w:val="22"/>
        </w:rPr>
        <w:t xml:space="preserve"> the Agency</w:t>
      </w:r>
    </w:p>
    <w:p w:rsidR="00AD0B25" w:rsidRDefault="00AD0B25" w:rsidP="00AD0B25">
      <w:pPr>
        <w:pStyle w:val="BodyText"/>
      </w:pPr>
      <w:r>
        <w:t xml:space="preserve">Consultation was conducted by the research firm, Abt Associates Inc., contracted by NSF to evaluate the Noyce Program, its data collection subsidiary, Abt-SRBI, Principal Investigator from the previous evaluation of the Noyce Program.  Senior technical </w:t>
      </w:r>
      <w:proofErr w:type="gramStart"/>
      <w:r>
        <w:t>staff</w:t>
      </w:r>
      <w:proofErr w:type="gramEnd"/>
      <w:r>
        <w:t xml:space="preserve"> from these organizations who are conducting the study are listed below.  </w:t>
      </w:r>
    </w:p>
    <w:p w:rsidR="00AD0B25" w:rsidRDefault="00AD0B25" w:rsidP="00AD0B25">
      <w:pPr>
        <w:pStyle w:val="BodyText"/>
      </w:pPr>
    </w:p>
    <w:p w:rsidR="00B54A17" w:rsidRPr="00B54A17" w:rsidRDefault="00B54A17" w:rsidP="0062691B">
      <w:pPr>
        <w:pStyle w:val="BodyText"/>
        <w:tabs>
          <w:tab w:val="clear" w:pos="1800"/>
          <w:tab w:val="left" w:pos="2700"/>
        </w:tabs>
        <w:spacing w:line="240" w:lineRule="auto"/>
        <w:rPr>
          <w:lang w:val="fr-FR"/>
        </w:rPr>
      </w:pPr>
      <w:r w:rsidRPr="00B54A17">
        <w:rPr>
          <w:lang w:val="fr-FR"/>
        </w:rPr>
        <w:t xml:space="preserve">Abt Associates, Inc. </w:t>
      </w:r>
      <w:r w:rsidRPr="00B54A17">
        <w:rPr>
          <w:lang w:val="fr-FR"/>
        </w:rPr>
        <w:tab/>
        <w:t>Ellen Bobronnikov</w:t>
      </w:r>
      <w:r w:rsidRPr="00B54A17">
        <w:rPr>
          <w:lang w:val="fr-FR"/>
        </w:rPr>
        <w:tab/>
      </w:r>
      <w:r w:rsidRPr="00B54A17">
        <w:rPr>
          <w:lang w:val="fr-FR"/>
        </w:rPr>
        <w:tab/>
        <w:t>617-349-2718</w:t>
      </w:r>
    </w:p>
    <w:p w:rsidR="00B54A17" w:rsidRDefault="00B54A17" w:rsidP="0062691B">
      <w:pPr>
        <w:pStyle w:val="BodyText"/>
        <w:tabs>
          <w:tab w:val="clear" w:pos="1800"/>
          <w:tab w:val="left" w:pos="2700"/>
        </w:tabs>
        <w:spacing w:line="240" w:lineRule="auto"/>
      </w:pPr>
      <w:r w:rsidRPr="00B54A17">
        <w:rPr>
          <w:lang w:val="fr-FR"/>
        </w:rPr>
        <w:tab/>
      </w:r>
      <w:r w:rsidRPr="00B54A17">
        <w:rPr>
          <w:lang w:val="fr-FR"/>
        </w:rPr>
        <w:tab/>
      </w:r>
      <w:r w:rsidRPr="00B54A17">
        <w:rPr>
          <w:lang w:val="fr-FR"/>
        </w:rPr>
        <w:tab/>
      </w:r>
      <w:r w:rsidRPr="00B54A17">
        <w:rPr>
          <w:lang w:val="fr-FR"/>
        </w:rPr>
        <w:tab/>
      </w:r>
      <w:r>
        <w:t>Beth Gamse</w:t>
      </w:r>
      <w:r>
        <w:tab/>
      </w:r>
      <w:r>
        <w:tab/>
      </w:r>
      <w:r>
        <w:tab/>
        <w:t>617-3492808</w:t>
      </w:r>
    </w:p>
    <w:p w:rsidR="00B54A17" w:rsidRDefault="00B54A17" w:rsidP="0062691B">
      <w:pPr>
        <w:pStyle w:val="BodyText"/>
        <w:tabs>
          <w:tab w:val="clear" w:pos="1800"/>
          <w:tab w:val="left" w:pos="2700"/>
        </w:tabs>
        <w:spacing w:line="240" w:lineRule="auto"/>
      </w:pPr>
      <w:r>
        <w:tab/>
      </w:r>
      <w:r>
        <w:tab/>
      </w:r>
      <w:r>
        <w:tab/>
      </w:r>
      <w:r>
        <w:tab/>
      </w:r>
      <w:r w:rsidR="00623E00">
        <w:t>Amanda Parsad</w:t>
      </w:r>
      <w:r w:rsidR="00623E00">
        <w:tab/>
      </w:r>
      <w:r w:rsidR="00623E00">
        <w:tab/>
      </w:r>
      <w:r w:rsidR="00623E00">
        <w:tab/>
        <w:t>301-634-1791</w:t>
      </w:r>
      <w:r>
        <w:tab/>
      </w:r>
      <w:r>
        <w:tab/>
      </w:r>
      <w:r>
        <w:tab/>
      </w:r>
      <w:r>
        <w:tab/>
      </w:r>
      <w:r w:rsidR="00623E00">
        <w:tab/>
      </w:r>
      <w:r w:rsidR="00623E00">
        <w:tab/>
      </w:r>
      <w:r w:rsidR="00623E00">
        <w:tab/>
      </w:r>
      <w:r>
        <w:t>Radha Roy</w:t>
      </w:r>
      <w:r>
        <w:tab/>
      </w:r>
      <w:r>
        <w:tab/>
      </w:r>
      <w:r>
        <w:tab/>
        <w:t>301-347-5722</w:t>
      </w:r>
    </w:p>
    <w:p w:rsidR="00B54A17" w:rsidRDefault="00B54A17" w:rsidP="0062691B">
      <w:pPr>
        <w:pStyle w:val="BodyText"/>
        <w:tabs>
          <w:tab w:val="clear" w:pos="1800"/>
          <w:tab w:val="left" w:pos="2700"/>
        </w:tabs>
        <w:spacing w:line="240" w:lineRule="auto"/>
      </w:pPr>
      <w:r>
        <w:tab/>
      </w:r>
      <w:r>
        <w:tab/>
      </w:r>
      <w:r>
        <w:tab/>
      </w:r>
      <w:r>
        <w:tab/>
      </w:r>
    </w:p>
    <w:p w:rsidR="00B54A17" w:rsidRDefault="00B54A17" w:rsidP="0062691B">
      <w:pPr>
        <w:pStyle w:val="BodyText"/>
        <w:tabs>
          <w:tab w:val="clear" w:pos="1800"/>
          <w:tab w:val="left" w:pos="2700"/>
        </w:tabs>
        <w:spacing w:line="240" w:lineRule="auto"/>
      </w:pPr>
      <w:r>
        <w:tab/>
      </w:r>
      <w:r>
        <w:tab/>
      </w:r>
      <w:r>
        <w:tab/>
      </w:r>
      <w:r>
        <w:tab/>
      </w:r>
    </w:p>
    <w:p w:rsidR="00B54A17" w:rsidRDefault="00B54A17" w:rsidP="0062691B">
      <w:pPr>
        <w:pStyle w:val="BodyText"/>
        <w:tabs>
          <w:tab w:val="clear" w:pos="1800"/>
          <w:tab w:val="left" w:pos="2700"/>
        </w:tabs>
        <w:spacing w:line="240" w:lineRule="auto"/>
      </w:pPr>
      <w:r>
        <w:t>Abt-SRBI</w:t>
      </w:r>
      <w:r>
        <w:tab/>
      </w:r>
      <w:r>
        <w:tab/>
      </w:r>
      <w:r>
        <w:tab/>
        <w:t>Paul Schroeder</w:t>
      </w:r>
      <w:r>
        <w:tab/>
      </w:r>
      <w:r>
        <w:tab/>
      </w:r>
      <w:r>
        <w:tab/>
        <w:t>301-608-3883</w:t>
      </w:r>
    </w:p>
    <w:p w:rsidR="00B54A17" w:rsidRDefault="00B54A17" w:rsidP="0062691B">
      <w:pPr>
        <w:pStyle w:val="BodyText"/>
        <w:tabs>
          <w:tab w:val="clear" w:pos="1800"/>
          <w:tab w:val="left" w:pos="2700"/>
        </w:tabs>
        <w:spacing w:line="240" w:lineRule="auto"/>
      </w:pPr>
      <w:r>
        <w:tab/>
      </w:r>
      <w:r>
        <w:tab/>
      </w:r>
      <w:r>
        <w:tab/>
      </w:r>
      <w:r>
        <w:tab/>
        <w:t>Andy Weiss</w:t>
      </w:r>
      <w:r>
        <w:tab/>
      </w:r>
      <w:r>
        <w:tab/>
      </w:r>
      <w:r>
        <w:tab/>
        <w:t>301- 608-3883</w:t>
      </w:r>
    </w:p>
    <w:p w:rsidR="00AD0B25" w:rsidRDefault="003604C6" w:rsidP="003604C6">
      <w:pPr>
        <w:pStyle w:val="BodyText"/>
      </w:pPr>
      <w:r>
        <w:t xml:space="preserve"> </w:t>
      </w:r>
    </w:p>
    <w:p w:rsidR="00AD0B25" w:rsidRDefault="00AD0B25" w:rsidP="00AD0B25">
      <w:pPr>
        <w:pStyle w:val="BodyText"/>
      </w:pPr>
      <w:r>
        <w:t xml:space="preserve">In addition, the </w:t>
      </w:r>
      <w:r w:rsidR="003604C6">
        <w:t xml:space="preserve">MTF survey was </w:t>
      </w:r>
      <w:r>
        <w:t xml:space="preserve">pilot tested with </w:t>
      </w:r>
      <w:r w:rsidR="003604C6">
        <w:t xml:space="preserve">seven </w:t>
      </w:r>
      <w:r>
        <w:t xml:space="preserve">respondents drawn from the target populations.  Respondents </w:t>
      </w:r>
      <w:r w:rsidR="003604C6">
        <w:t>were</w:t>
      </w:r>
      <w:r>
        <w:t xml:space="preserve"> asked to comment on the clarity and content of the questions.  The duration of the data collections w</w:t>
      </w:r>
      <w:r w:rsidR="003604C6">
        <w:t>as</w:t>
      </w:r>
      <w:r w:rsidR="00651482">
        <w:t xml:space="preserve"> </w:t>
      </w:r>
      <w:r>
        <w:t>recorded to help with an accurate estimation of time burden.</w:t>
      </w:r>
    </w:p>
    <w:p w:rsidR="00AD0B25" w:rsidRDefault="00AD0B25" w:rsidP="00AD0B25">
      <w:pPr>
        <w:pStyle w:val="BodyText"/>
      </w:pPr>
    </w:p>
    <w:p w:rsidR="00AD0B25" w:rsidRDefault="00AD0B25" w:rsidP="003C0DAB">
      <w:pPr>
        <w:pStyle w:val="AbtHeadB"/>
      </w:pPr>
      <w:bookmarkStart w:id="17" w:name="_Toc302119768"/>
      <w:r>
        <w:t>A.9. Payments or Gifts to Respondents</w:t>
      </w:r>
      <w:bookmarkEnd w:id="17"/>
    </w:p>
    <w:p w:rsidR="00AD0B25" w:rsidRDefault="00AD0B25" w:rsidP="00AD0B25">
      <w:pPr>
        <w:pStyle w:val="BodyText"/>
      </w:pPr>
      <w:r>
        <w:t>No payment or gift will be provided to respondents.</w:t>
      </w:r>
    </w:p>
    <w:p w:rsidR="00AD0B25" w:rsidRDefault="00AD0B25" w:rsidP="00AD0B25">
      <w:pPr>
        <w:pStyle w:val="BodyText"/>
      </w:pPr>
    </w:p>
    <w:p w:rsidR="00AD0B25" w:rsidRDefault="00AD0B25" w:rsidP="003C0DAB">
      <w:pPr>
        <w:pStyle w:val="AbtHeadB"/>
      </w:pPr>
      <w:bookmarkStart w:id="18" w:name="_Toc302119769"/>
      <w:r>
        <w:t>A.10. Assurance of Confidentiality</w:t>
      </w:r>
      <w:bookmarkEnd w:id="18"/>
    </w:p>
    <w:p w:rsidR="00AD0B25" w:rsidRDefault="00AD0B25" w:rsidP="00AD0B25">
      <w:pPr>
        <w:pStyle w:val="BodyText"/>
      </w:pPr>
      <w:r>
        <w:t>Respondents will be advised that any information on specific individuals will be maintained in accordance with the Privacy Act of 1974. Data collected will be available to the evaluation contractor, the contractor hired to manage data collection, and at the aggregate level to NSF officials and staff. Data are processed in accordance to Federal and State privacy statutes. Detailed procedures for making information available to various categories of users are specified in the Education and Training System of Records (63 Fed, Reg. 264, 272 January 5, 1998). The system limits access to personally identifiable information to authorized users. Data submitted will be used in accordance with criteria established by NSF for monitoring research and education grants, and in response to Public Law 99-383 and 42 USC 1885c. The information requested may be disclosed to qualified researchers and contractors in order to coordinate programs and to a Federal agency, court or party in court, or Federal administrative proceeding, if the government is a party.</w:t>
      </w:r>
    </w:p>
    <w:p w:rsidR="00AD0B25" w:rsidRDefault="00AD0B25" w:rsidP="00AD0B25">
      <w:pPr>
        <w:pStyle w:val="BodyText"/>
      </w:pPr>
    </w:p>
    <w:p w:rsidR="00AD0B25" w:rsidRDefault="00AD0B25" w:rsidP="00AD0B25">
      <w:pPr>
        <w:pStyle w:val="BodyText"/>
      </w:pPr>
      <w:r>
        <w:lastRenderedPageBreak/>
        <w:t>Individuals surveyed will be assured that the information they provide will not be released in any form that identifies them as individuals and their responses will be kept confidential. The contractor will be expected to maintain the confidentiality, security, and integrity of survey data and interview data. The web-based survey data, notes, and transcripts of the interviews will be maintained on a secure server with appropriate levels of password and other types of protection.</w:t>
      </w:r>
    </w:p>
    <w:p w:rsidR="00AD0B25" w:rsidRDefault="00AD0B25" w:rsidP="00AD0B25">
      <w:pPr>
        <w:pStyle w:val="BodyText"/>
      </w:pPr>
    </w:p>
    <w:p w:rsidR="00AD0B25" w:rsidRDefault="00AD0B25" w:rsidP="00AD0B25">
      <w:pPr>
        <w:pStyle w:val="BodyText"/>
      </w:pPr>
      <w:r>
        <w:t>All assurances of confidentiality will be reviewed by the contractor’s Institutional Review Board prior to data collection.</w:t>
      </w:r>
    </w:p>
    <w:p w:rsidR="00AD0B25" w:rsidRDefault="00AD0B25" w:rsidP="00AD0B25">
      <w:pPr>
        <w:pStyle w:val="BodyText"/>
      </w:pPr>
    </w:p>
    <w:p w:rsidR="00AD0B25" w:rsidRDefault="00AD0B25" w:rsidP="003C0DAB">
      <w:pPr>
        <w:pStyle w:val="AbtHeadB"/>
      </w:pPr>
      <w:bookmarkStart w:id="19" w:name="_Toc302119770"/>
      <w:r>
        <w:t>A.11. Questions of a Sensitive Nature</w:t>
      </w:r>
      <w:bookmarkEnd w:id="19"/>
    </w:p>
    <w:p w:rsidR="00AD0B25" w:rsidRDefault="00AD0B25" w:rsidP="00AD0B25">
      <w:pPr>
        <w:pStyle w:val="BodyText"/>
      </w:pPr>
      <w:r>
        <w:t xml:space="preserve">The proposed surveys ask for demographic information (gender, race, ethnicity, and marital status) from Noyce recipients on a voluntary basis, thus respondents may choose not to provide information that they believe is sensitive in nature.  This information is being collected so that NSF can answer questions about how effective the Noyce program has been in the recruitment and preparation of a diverse population of </w:t>
      </w:r>
      <w:r w:rsidR="00410070">
        <w:t>recipient</w:t>
      </w:r>
      <w:r>
        <w:t xml:space="preserve">s.  All survey questions </w:t>
      </w:r>
      <w:r w:rsidR="003604C6">
        <w:t>have been</w:t>
      </w:r>
      <w:r>
        <w:t xml:space="preserve"> reviewed by the contractor’s Institutional Review Board. </w:t>
      </w:r>
    </w:p>
    <w:p w:rsidR="00AD0B25" w:rsidRDefault="00AD0B25" w:rsidP="00AD0B25">
      <w:pPr>
        <w:pStyle w:val="BodyText"/>
      </w:pPr>
    </w:p>
    <w:p w:rsidR="00AD0B25" w:rsidRDefault="00AD0B25" w:rsidP="003C0DAB">
      <w:pPr>
        <w:pStyle w:val="AbtHeadB"/>
      </w:pPr>
      <w:bookmarkStart w:id="20" w:name="_Toc302119771"/>
      <w:r>
        <w:t>A.12. Estimates of Response Burden</w:t>
      </w:r>
      <w:bookmarkEnd w:id="20"/>
    </w:p>
    <w:p w:rsidR="00AD0B25" w:rsidRPr="004936FD" w:rsidRDefault="00FD5B47" w:rsidP="004936FD">
      <w:pPr>
        <w:pStyle w:val="BodyText"/>
        <w:spacing w:after="60"/>
        <w:rPr>
          <w:rFonts w:ascii="Arial" w:hAnsi="Arial" w:cs="Arial"/>
          <w:b/>
          <w:szCs w:val="22"/>
        </w:rPr>
      </w:pPr>
      <w:r w:rsidRPr="004936FD">
        <w:rPr>
          <w:rFonts w:ascii="Arial" w:hAnsi="Arial" w:cs="Arial"/>
          <w:b/>
          <w:szCs w:val="22"/>
        </w:rPr>
        <w:t>A.12.1.</w:t>
      </w:r>
      <w:r w:rsidR="004936FD">
        <w:rPr>
          <w:rFonts w:ascii="Arial" w:hAnsi="Arial" w:cs="Arial"/>
          <w:b/>
          <w:szCs w:val="22"/>
        </w:rPr>
        <w:t xml:space="preserve"> Num</w:t>
      </w:r>
      <w:r w:rsidR="00AD0B25" w:rsidRPr="004936FD">
        <w:rPr>
          <w:rFonts w:ascii="Arial" w:hAnsi="Arial" w:cs="Arial"/>
          <w:b/>
          <w:szCs w:val="22"/>
        </w:rPr>
        <w:t>ber of Respondents, Frequency of Response, and Annual Hour Burden</w:t>
      </w:r>
    </w:p>
    <w:p w:rsidR="00AD0B25" w:rsidRDefault="00AD0B25" w:rsidP="00AD0B25">
      <w:pPr>
        <w:pStyle w:val="BodyText"/>
      </w:pPr>
      <w:r>
        <w:t xml:space="preserve">The target population for </w:t>
      </w:r>
      <w:r w:rsidR="0096576A">
        <w:t xml:space="preserve">the additional MTF survey </w:t>
      </w:r>
      <w:r>
        <w:t xml:space="preserve">includes </w:t>
      </w:r>
      <w:r w:rsidR="0096576A">
        <w:t xml:space="preserve">104 </w:t>
      </w:r>
      <w:r>
        <w:t xml:space="preserve">individuals who </w:t>
      </w:r>
      <w:r w:rsidR="0096576A">
        <w:t xml:space="preserve">received Master Teaching Fellowships from 10 awards in the 2010-2011 academic </w:t>
      </w:r>
      <w:proofErr w:type="gramStart"/>
      <w:r w:rsidR="0096576A">
        <w:t>year</w:t>
      </w:r>
      <w:proofErr w:type="gramEnd"/>
      <w:r>
        <w:t xml:space="preserve">. </w:t>
      </w:r>
      <w:r w:rsidR="008C14BD">
        <w:t xml:space="preserve"> </w:t>
      </w:r>
      <w:r w:rsidRPr="008E5B11">
        <w:t xml:space="preserve">The </w:t>
      </w:r>
      <w:r>
        <w:t xml:space="preserve">response burden for </w:t>
      </w:r>
      <w:r w:rsidR="0096576A">
        <w:t xml:space="preserve">these </w:t>
      </w:r>
      <w:r>
        <w:t xml:space="preserve">surveys is estimated to be </w:t>
      </w:r>
      <w:r w:rsidR="0096576A">
        <w:t>52</w:t>
      </w:r>
      <w:r w:rsidR="00407BB3" w:rsidRPr="000D2B1F">
        <w:t xml:space="preserve"> </w:t>
      </w:r>
      <w:r w:rsidRPr="000D2B1F">
        <w:t xml:space="preserve">hours </w:t>
      </w:r>
      <w:r w:rsidR="0096576A">
        <w:t>for the 104</w:t>
      </w:r>
      <w:r>
        <w:t xml:space="preserve"> respondents.   </w:t>
      </w:r>
    </w:p>
    <w:p w:rsidR="00AD0B25" w:rsidRDefault="00AD0B25" w:rsidP="00AD0B25">
      <w:pPr>
        <w:pStyle w:val="BodyText"/>
      </w:pPr>
    </w:p>
    <w:p w:rsidR="00AD0B25" w:rsidRDefault="00AD0B25" w:rsidP="00AD0B25">
      <w:pPr>
        <w:pStyle w:val="BodyText"/>
      </w:pPr>
      <w:r>
        <w:t>Exhibit 2 indicates the number of average respondents per year to be surveyed for each respondent type and the time demand these surveys will place on each individual respondent.</w:t>
      </w:r>
    </w:p>
    <w:p w:rsidR="00AD0B25" w:rsidRDefault="00AD0B25" w:rsidP="00AD0B25">
      <w:pPr>
        <w:pStyle w:val="BodyText"/>
      </w:pP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620"/>
        <w:gridCol w:w="1620"/>
        <w:gridCol w:w="1644"/>
        <w:gridCol w:w="66"/>
      </w:tblGrid>
      <w:tr w:rsidR="001762E1" w:rsidRPr="001762E1" w:rsidTr="00462334">
        <w:tblPrEx>
          <w:tblCellMar>
            <w:top w:w="0" w:type="dxa"/>
            <w:bottom w:w="0" w:type="dxa"/>
          </w:tblCellMar>
        </w:tblPrEx>
        <w:tc>
          <w:tcPr>
            <w:tcW w:w="7218" w:type="dxa"/>
            <w:gridSpan w:val="5"/>
            <w:tcBorders>
              <w:top w:val="single" w:sz="18" w:space="0" w:color="auto"/>
              <w:left w:val="nil"/>
              <w:bottom w:val="single" w:sz="18" w:space="0" w:color="auto"/>
              <w:right w:val="nil"/>
            </w:tcBorders>
            <w:shd w:val="clear" w:color="auto" w:fill="auto"/>
          </w:tcPr>
          <w:p w:rsidR="001762E1" w:rsidRPr="001762E1" w:rsidRDefault="001762E1" w:rsidP="00462334">
            <w:pPr>
              <w:pStyle w:val="ExhibitTitles"/>
            </w:pPr>
            <w:bookmarkStart w:id="21" w:name="OLE_LINK3"/>
            <w:bookmarkStart w:id="22" w:name="OLE_LINK6"/>
            <w:r w:rsidRPr="001762E1">
              <w:t xml:space="preserve">Exhibit 2:  Estimated </w:t>
            </w:r>
            <w:r w:rsidR="00C90449">
              <w:t>Annual/</w:t>
            </w:r>
            <w:r w:rsidR="000D2B1F">
              <w:t>Total</w:t>
            </w:r>
            <w:r w:rsidRPr="001762E1">
              <w:t xml:space="preserve"> Burden Hours</w:t>
            </w:r>
            <w:bookmarkEnd w:id="21"/>
            <w:bookmarkEnd w:id="22"/>
            <w:r w:rsidR="00462334">
              <w:t xml:space="preserve"> for MTF Surveys</w:t>
            </w:r>
          </w:p>
        </w:tc>
      </w:tr>
      <w:tr w:rsidR="00462334" w:rsidRPr="003B63F9" w:rsidTr="00462334">
        <w:tblPrEx>
          <w:tblCellMar>
            <w:top w:w="0" w:type="dxa"/>
            <w:bottom w:w="0" w:type="dxa"/>
          </w:tblCellMar>
          <w:tblLook w:val="01E0"/>
        </w:tblPrEx>
        <w:trPr>
          <w:gridAfter w:val="1"/>
          <w:wAfter w:w="66" w:type="dxa"/>
        </w:trPr>
        <w:tc>
          <w:tcPr>
            <w:tcW w:w="2268" w:type="dxa"/>
            <w:tcBorders>
              <w:top w:val="single" w:sz="18" w:space="0" w:color="auto"/>
              <w:left w:val="nil"/>
              <w:bottom w:val="single" w:sz="8" w:space="0" w:color="auto"/>
              <w:right w:val="nil"/>
            </w:tcBorders>
            <w:shd w:val="clear" w:color="auto" w:fill="auto"/>
            <w:vAlign w:val="bottom"/>
          </w:tcPr>
          <w:p w:rsidR="00462334" w:rsidRPr="003B63F9" w:rsidRDefault="00462334" w:rsidP="003B63F9">
            <w:pPr>
              <w:pStyle w:val="Table"/>
              <w:jc w:val="center"/>
              <w:rPr>
                <w:rFonts w:cs="Arial"/>
                <w:b/>
              </w:rPr>
            </w:pPr>
            <w:r w:rsidRPr="003B63F9">
              <w:rPr>
                <w:rFonts w:cs="Arial"/>
                <w:b/>
              </w:rPr>
              <w:t>Average Number of Respondents</w:t>
            </w:r>
          </w:p>
        </w:tc>
        <w:tc>
          <w:tcPr>
            <w:tcW w:w="1620" w:type="dxa"/>
            <w:tcBorders>
              <w:top w:val="single" w:sz="18" w:space="0" w:color="auto"/>
              <w:left w:val="nil"/>
              <w:bottom w:val="single" w:sz="8" w:space="0" w:color="auto"/>
              <w:right w:val="nil"/>
            </w:tcBorders>
            <w:shd w:val="clear" w:color="auto" w:fill="auto"/>
            <w:vAlign w:val="bottom"/>
          </w:tcPr>
          <w:p w:rsidR="00462334" w:rsidRPr="003B63F9" w:rsidRDefault="00462334" w:rsidP="003B63F9">
            <w:pPr>
              <w:pStyle w:val="Table"/>
              <w:jc w:val="center"/>
              <w:rPr>
                <w:rFonts w:cs="Arial"/>
                <w:b/>
              </w:rPr>
            </w:pPr>
            <w:r w:rsidRPr="003B63F9">
              <w:rPr>
                <w:rFonts w:cs="Arial"/>
                <w:b/>
              </w:rPr>
              <w:t>Time Per Response (Hours)</w:t>
            </w:r>
          </w:p>
        </w:tc>
        <w:tc>
          <w:tcPr>
            <w:tcW w:w="1620" w:type="dxa"/>
            <w:tcBorders>
              <w:top w:val="single" w:sz="18" w:space="0" w:color="auto"/>
              <w:left w:val="nil"/>
              <w:bottom w:val="single" w:sz="8" w:space="0" w:color="auto"/>
              <w:right w:val="nil"/>
            </w:tcBorders>
            <w:shd w:val="clear" w:color="auto" w:fill="auto"/>
            <w:vAlign w:val="bottom"/>
          </w:tcPr>
          <w:p w:rsidR="00462334" w:rsidRPr="003B63F9" w:rsidRDefault="00462334" w:rsidP="003B63F9">
            <w:pPr>
              <w:pStyle w:val="Table"/>
              <w:jc w:val="center"/>
              <w:rPr>
                <w:rFonts w:cs="Arial"/>
                <w:b/>
              </w:rPr>
            </w:pPr>
            <w:r w:rsidRPr="003B63F9">
              <w:rPr>
                <w:rFonts w:cs="Arial"/>
                <w:b/>
              </w:rPr>
              <w:t>Number of Responses</w:t>
            </w:r>
          </w:p>
        </w:tc>
        <w:tc>
          <w:tcPr>
            <w:tcW w:w="1644" w:type="dxa"/>
            <w:tcBorders>
              <w:top w:val="single" w:sz="18" w:space="0" w:color="auto"/>
              <w:left w:val="nil"/>
              <w:bottom w:val="single" w:sz="8" w:space="0" w:color="auto"/>
              <w:right w:val="nil"/>
            </w:tcBorders>
            <w:shd w:val="clear" w:color="auto" w:fill="auto"/>
            <w:vAlign w:val="bottom"/>
          </w:tcPr>
          <w:p w:rsidR="00462334" w:rsidRPr="003B63F9" w:rsidRDefault="00462334" w:rsidP="003B63F9">
            <w:pPr>
              <w:pStyle w:val="Table"/>
              <w:jc w:val="center"/>
              <w:rPr>
                <w:rFonts w:cs="Arial"/>
                <w:b/>
              </w:rPr>
            </w:pPr>
            <w:r w:rsidRPr="003B63F9">
              <w:rPr>
                <w:rFonts w:cs="Arial"/>
                <w:b/>
              </w:rPr>
              <w:t>Total Time Burden (Hours)</w:t>
            </w:r>
          </w:p>
        </w:tc>
      </w:tr>
      <w:tr w:rsidR="00462334" w:rsidRPr="003B63F9" w:rsidTr="00462334">
        <w:tblPrEx>
          <w:tblCellMar>
            <w:top w:w="0" w:type="dxa"/>
            <w:bottom w:w="0" w:type="dxa"/>
          </w:tblCellMar>
          <w:tblLook w:val="01E0"/>
        </w:tblPrEx>
        <w:trPr>
          <w:gridAfter w:val="1"/>
          <w:wAfter w:w="66" w:type="dxa"/>
        </w:trPr>
        <w:tc>
          <w:tcPr>
            <w:tcW w:w="2268" w:type="dxa"/>
            <w:tcBorders>
              <w:top w:val="nil"/>
              <w:left w:val="nil"/>
              <w:bottom w:val="single" w:sz="4" w:space="0" w:color="auto"/>
              <w:right w:val="nil"/>
            </w:tcBorders>
            <w:shd w:val="clear" w:color="auto" w:fill="auto"/>
          </w:tcPr>
          <w:p w:rsidR="00462334" w:rsidRDefault="00462334" w:rsidP="000C018C">
            <w:pPr>
              <w:jc w:val="center"/>
              <w:rPr>
                <w:rFonts w:ascii="Arial" w:hAnsi="Arial" w:cs="Arial"/>
                <w:iCs/>
                <w:sz w:val="20"/>
              </w:rPr>
            </w:pPr>
          </w:p>
          <w:p w:rsidR="00462334" w:rsidRPr="003604C6" w:rsidRDefault="00462334" w:rsidP="000C018C">
            <w:pPr>
              <w:jc w:val="center"/>
              <w:rPr>
                <w:rFonts w:ascii="Arial" w:hAnsi="Arial" w:cs="Arial"/>
                <w:iCs/>
                <w:sz w:val="20"/>
              </w:rPr>
            </w:pPr>
            <w:r w:rsidRPr="003604C6">
              <w:rPr>
                <w:rFonts w:ascii="Arial" w:hAnsi="Arial" w:cs="Arial"/>
                <w:iCs/>
                <w:sz w:val="20"/>
              </w:rPr>
              <w:t>104</w:t>
            </w:r>
          </w:p>
        </w:tc>
        <w:tc>
          <w:tcPr>
            <w:tcW w:w="1620" w:type="dxa"/>
            <w:tcBorders>
              <w:top w:val="nil"/>
              <w:left w:val="nil"/>
              <w:bottom w:val="single" w:sz="4" w:space="0" w:color="auto"/>
              <w:right w:val="nil"/>
            </w:tcBorders>
            <w:shd w:val="clear" w:color="auto" w:fill="auto"/>
          </w:tcPr>
          <w:p w:rsidR="00462334" w:rsidRDefault="00462334">
            <w:pPr>
              <w:jc w:val="center"/>
              <w:rPr>
                <w:rFonts w:ascii="Arial" w:hAnsi="Arial" w:cs="Arial"/>
                <w:iCs/>
                <w:sz w:val="20"/>
              </w:rPr>
            </w:pPr>
          </w:p>
          <w:p w:rsidR="00462334" w:rsidRPr="003604C6" w:rsidRDefault="00462334">
            <w:pPr>
              <w:jc w:val="center"/>
              <w:rPr>
                <w:rFonts w:ascii="Arial" w:hAnsi="Arial" w:cs="Arial"/>
                <w:iCs/>
                <w:sz w:val="20"/>
              </w:rPr>
            </w:pPr>
            <w:r w:rsidRPr="003604C6">
              <w:rPr>
                <w:rFonts w:ascii="Arial" w:hAnsi="Arial" w:cs="Arial"/>
                <w:iCs/>
                <w:sz w:val="20"/>
              </w:rPr>
              <w:t>0.5</w:t>
            </w:r>
          </w:p>
        </w:tc>
        <w:tc>
          <w:tcPr>
            <w:tcW w:w="1620" w:type="dxa"/>
            <w:tcBorders>
              <w:top w:val="nil"/>
              <w:left w:val="nil"/>
              <w:bottom w:val="single" w:sz="4" w:space="0" w:color="auto"/>
              <w:right w:val="nil"/>
            </w:tcBorders>
            <w:shd w:val="clear" w:color="auto" w:fill="auto"/>
          </w:tcPr>
          <w:p w:rsidR="00462334" w:rsidRDefault="00462334" w:rsidP="000C018C">
            <w:pPr>
              <w:jc w:val="center"/>
              <w:rPr>
                <w:rFonts w:ascii="Arial" w:hAnsi="Arial" w:cs="Arial"/>
                <w:iCs/>
                <w:sz w:val="20"/>
              </w:rPr>
            </w:pPr>
          </w:p>
          <w:p w:rsidR="00462334" w:rsidRPr="003604C6" w:rsidRDefault="00462334" w:rsidP="000C018C">
            <w:pPr>
              <w:jc w:val="center"/>
              <w:rPr>
                <w:rFonts w:ascii="Arial" w:hAnsi="Arial" w:cs="Arial"/>
                <w:iCs/>
                <w:sz w:val="20"/>
              </w:rPr>
            </w:pPr>
            <w:r w:rsidRPr="003604C6">
              <w:rPr>
                <w:rFonts w:ascii="Arial" w:hAnsi="Arial" w:cs="Arial"/>
                <w:iCs/>
                <w:sz w:val="20"/>
              </w:rPr>
              <w:t>104</w:t>
            </w:r>
          </w:p>
        </w:tc>
        <w:tc>
          <w:tcPr>
            <w:tcW w:w="1644" w:type="dxa"/>
            <w:tcBorders>
              <w:top w:val="nil"/>
              <w:left w:val="nil"/>
              <w:bottom w:val="single" w:sz="4" w:space="0" w:color="auto"/>
              <w:right w:val="nil"/>
            </w:tcBorders>
            <w:shd w:val="clear" w:color="auto" w:fill="auto"/>
          </w:tcPr>
          <w:p w:rsidR="00462334" w:rsidRDefault="00462334" w:rsidP="000C018C">
            <w:pPr>
              <w:jc w:val="center"/>
              <w:rPr>
                <w:rFonts w:ascii="Arial" w:hAnsi="Arial" w:cs="Arial"/>
                <w:iCs/>
                <w:sz w:val="20"/>
              </w:rPr>
            </w:pPr>
          </w:p>
          <w:p w:rsidR="00462334" w:rsidRPr="003604C6" w:rsidRDefault="00462334" w:rsidP="000C018C">
            <w:pPr>
              <w:jc w:val="center"/>
              <w:rPr>
                <w:rFonts w:ascii="Arial" w:hAnsi="Arial" w:cs="Arial"/>
                <w:iCs/>
                <w:sz w:val="20"/>
              </w:rPr>
            </w:pPr>
            <w:r w:rsidRPr="003604C6">
              <w:rPr>
                <w:rFonts w:ascii="Arial" w:hAnsi="Arial" w:cs="Arial"/>
                <w:iCs/>
                <w:sz w:val="20"/>
              </w:rPr>
              <w:t>52</w:t>
            </w:r>
          </w:p>
        </w:tc>
      </w:tr>
    </w:tbl>
    <w:p w:rsidR="00AD0B25" w:rsidRDefault="00AD0B25" w:rsidP="00AD0B25">
      <w:pPr>
        <w:pStyle w:val="BodyText"/>
      </w:pPr>
    </w:p>
    <w:p w:rsidR="00AD0B25" w:rsidRPr="004936FD" w:rsidRDefault="004936FD" w:rsidP="004936FD">
      <w:pPr>
        <w:pStyle w:val="BodyText"/>
        <w:spacing w:after="60"/>
        <w:rPr>
          <w:rFonts w:ascii="Arial" w:hAnsi="Arial" w:cs="Arial"/>
          <w:b/>
          <w:szCs w:val="22"/>
        </w:rPr>
      </w:pPr>
      <w:r>
        <w:rPr>
          <w:rFonts w:ascii="Arial" w:hAnsi="Arial" w:cs="Arial"/>
          <w:b/>
          <w:szCs w:val="22"/>
        </w:rPr>
        <w:t xml:space="preserve">A.12.2. </w:t>
      </w:r>
      <w:r w:rsidR="00AD0B25" w:rsidRPr="004936FD">
        <w:rPr>
          <w:rFonts w:ascii="Arial" w:hAnsi="Arial" w:cs="Arial"/>
          <w:b/>
          <w:szCs w:val="22"/>
        </w:rPr>
        <w:t>Hours Burden Estimates by Each Form and Aggregate Hours Burdens</w:t>
      </w:r>
    </w:p>
    <w:p w:rsidR="001749DF" w:rsidRDefault="00AD0B25" w:rsidP="00AD0B25">
      <w:pPr>
        <w:pStyle w:val="BodyText"/>
      </w:pPr>
      <w:r>
        <w:t>The total response burden for surveys is estimated to be</w:t>
      </w:r>
      <w:r w:rsidR="00435282">
        <w:t xml:space="preserve"> the same as the annual burden specified in the previous </w:t>
      </w:r>
      <w:r w:rsidR="00435282" w:rsidRPr="00D40542">
        <w:t>section</w:t>
      </w:r>
      <w:r w:rsidR="00D40542">
        <w:t xml:space="preserve">, since there is expected to be only </w:t>
      </w:r>
      <w:proofErr w:type="gramStart"/>
      <w:r w:rsidR="00D40542">
        <w:t>be</w:t>
      </w:r>
      <w:proofErr w:type="gramEnd"/>
      <w:r w:rsidR="00D40542">
        <w:t xml:space="preserve"> one wave of data collection.  </w:t>
      </w:r>
    </w:p>
    <w:p w:rsidR="003604C6" w:rsidRDefault="003604C6" w:rsidP="00AD0B25">
      <w:pPr>
        <w:pStyle w:val="BodyText"/>
      </w:pPr>
    </w:p>
    <w:p w:rsidR="00AD0B25" w:rsidRPr="004936FD" w:rsidRDefault="004936FD" w:rsidP="004936FD">
      <w:pPr>
        <w:pStyle w:val="BodyText"/>
        <w:spacing w:after="60"/>
        <w:rPr>
          <w:rFonts w:ascii="Arial" w:hAnsi="Arial" w:cs="Arial"/>
          <w:b/>
          <w:szCs w:val="22"/>
        </w:rPr>
      </w:pPr>
      <w:r>
        <w:rPr>
          <w:rFonts w:ascii="Arial" w:hAnsi="Arial" w:cs="Arial"/>
          <w:b/>
          <w:szCs w:val="22"/>
        </w:rPr>
        <w:t xml:space="preserve">A.12.3. </w:t>
      </w:r>
      <w:r w:rsidR="00AD0B25" w:rsidRPr="004936FD">
        <w:rPr>
          <w:rFonts w:ascii="Arial" w:hAnsi="Arial" w:cs="Arial"/>
          <w:b/>
          <w:szCs w:val="22"/>
        </w:rPr>
        <w:t>Estimates of Annualized Cost to Respondents for the Hour Burdens</w:t>
      </w:r>
    </w:p>
    <w:p w:rsidR="00AD0B25" w:rsidRDefault="00AD0B25" w:rsidP="00AD0B25">
      <w:pPr>
        <w:pStyle w:val="BodyText"/>
      </w:pPr>
      <w:r>
        <w:t xml:space="preserve">The overall </w:t>
      </w:r>
      <w:r w:rsidR="00D5195F">
        <w:t xml:space="preserve">total </w:t>
      </w:r>
      <w:r>
        <w:t xml:space="preserve">cost to the </w:t>
      </w:r>
      <w:r w:rsidR="000C018C">
        <w:t>MTFs for participating in surveys</w:t>
      </w:r>
      <w:r>
        <w:t xml:space="preserve"> is </w:t>
      </w:r>
      <w:r w:rsidRPr="008822B4">
        <w:t>$</w:t>
      </w:r>
      <w:r w:rsidR="000C018C">
        <w:t>1,196</w:t>
      </w:r>
      <w:r w:rsidR="00C90449">
        <w:t>, as indicated in Exhibit 3</w:t>
      </w:r>
      <w:r w:rsidR="00A9017F" w:rsidRPr="00A53A08">
        <w:t>.</w:t>
      </w:r>
      <w:r>
        <w:t xml:space="preserve">  </w:t>
      </w:r>
    </w:p>
    <w:p w:rsidR="00AD0B25" w:rsidRDefault="00AD0B25" w:rsidP="00AD0B25">
      <w:pPr>
        <w:pStyle w:val="BodyText"/>
      </w:pPr>
    </w:p>
    <w:tbl>
      <w:tblPr>
        <w:tblW w:w="7755" w:type="dxa"/>
        <w:tblInd w:w="93" w:type="dxa"/>
        <w:tblLayout w:type="fixed"/>
        <w:tblLook w:val="0000"/>
      </w:tblPr>
      <w:tblGrid>
        <w:gridCol w:w="2112"/>
        <w:gridCol w:w="1368"/>
        <w:gridCol w:w="18"/>
        <w:gridCol w:w="1374"/>
        <w:gridCol w:w="1533"/>
        <w:gridCol w:w="1350"/>
      </w:tblGrid>
      <w:tr w:rsidR="009B7E1C" w:rsidRPr="00854FF6" w:rsidTr="00462334">
        <w:tc>
          <w:tcPr>
            <w:tcW w:w="7755" w:type="dxa"/>
            <w:gridSpan w:val="6"/>
            <w:tcBorders>
              <w:top w:val="single" w:sz="18" w:space="0" w:color="auto"/>
              <w:bottom w:val="single" w:sz="18" w:space="0" w:color="auto"/>
            </w:tcBorders>
            <w:shd w:val="clear" w:color="auto" w:fill="auto"/>
          </w:tcPr>
          <w:p w:rsidR="009B7E1C" w:rsidRPr="00854FF6" w:rsidRDefault="009B7E1C" w:rsidP="00462334">
            <w:pPr>
              <w:pStyle w:val="Table"/>
              <w:keepNext/>
              <w:keepLines/>
              <w:spacing w:before="60" w:after="60" w:line="240" w:lineRule="auto"/>
              <w:ind w:right="-90"/>
              <w:rPr>
                <w:rFonts w:cs="Arial"/>
                <w:b/>
              </w:rPr>
            </w:pPr>
            <w:r w:rsidRPr="00854FF6">
              <w:rPr>
                <w:rFonts w:cs="Arial"/>
                <w:b/>
              </w:rPr>
              <w:lastRenderedPageBreak/>
              <w:t xml:space="preserve">Exhibit </w:t>
            </w:r>
            <w:r w:rsidR="008822B4">
              <w:rPr>
                <w:rFonts w:cs="Arial"/>
                <w:b/>
              </w:rPr>
              <w:t>3</w:t>
            </w:r>
            <w:r w:rsidR="00462334">
              <w:rPr>
                <w:rFonts w:cs="Arial"/>
                <w:b/>
              </w:rPr>
              <w:t>:</w:t>
            </w:r>
            <w:r w:rsidRPr="00854FF6">
              <w:rPr>
                <w:rFonts w:cs="Arial"/>
                <w:b/>
              </w:rPr>
              <w:t xml:space="preserve">  Estimated Cost to Respondents</w:t>
            </w:r>
            <w:r w:rsidR="00462334">
              <w:rPr>
                <w:rFonts w:cs="Arial"/>
                <w:b/>
              </w:rPr>
              <w:t xml:space="preserve"> for MTF Survey</w:t>
            </w:r>
          </w:p>
        </w:tc>
      </w:tr>
      <w:tr w:rsidR="00462334" w:rsidRPr="00854FF6" w:rsidTr="00462334">
        <w:tc>
          <w:tcPr>
            <w:tcW w:w="2112" w:type="dxa"/>
            <w:tcBorders>
              <w:top w:val="single" w:sz="18" w:space="0" w:color="auto"/>
              <w:bottom w:val="single" w:sz="8" w:space="0" w:color="auto"/>
            </w:tcBorders>
            <w:shd w:val="clear" w:color="auto" w:fill="auto"/>
            <w:vAlign w:val="bottom"/>
          </w:tcPr>
          <w:p w:rsidR="00462334" w:rsidRPr="00854FF6" w:rsidRDefault="00462334" w:rsidP="00462334">
            <w:pPr>
              <w:pStyle w:val="Table"/>
              <w:keepNext/>
              <w:keepLines/>
              <w:spacing w:line="240" w:lineRule="auto"/>
              <w:jc w:val="center"/>
              <w:rPr>
                <w:rFonts w:cs="Arial"/>
                <w:b/>
              </w:rPr>
            </w:pPr>
            <w:r w:rsidRPr="00854FF6">
              <w:rPr>
                <w:rFonts w:cs="Arial"/>
                <w:b/>
              </w:rPr>
              <w:t>Hourly Salary Estimate</w:t>
            </w:r>
          </w:p>
        </w:tc>
        <w:tc>
          <w:tcPr>
            <w:tcW w:w="1386" w:type="dxa"/>
            <w:gridSpan w:val="2"/>
            <w:tcBorders>
              <w:top w:val="single" w:sz="18" w:space="0" w:color="auto"/>
              <w:bottom w:val="single" w:sz="8" w:space="0" w:color="auto"/>
            </w:tcBorders>
            <w:shd w:val="clear" w:color="auto" w:fill="auto"/>
            <w:vAlign w:val="bottom"/>
          </w:tcPr>
          <w:p w:rsidR="00462334" w:rsidRPr="00854FF6" w:rsidRDefault="00462334" w:rsidP="00462334">
            <w:pPr>
              <w:pStyle w:val="Table"/>
              <w:keepNext/>
              <w:keepLines/>
              <w:spacing w:line="240" w:lineRule="auto"/>
              <w:jc w:val="center"/>
              <w:rPr>
                <w:rFonts w:cs="Arial"/>
                <w:b/>
              </w:rPr>
            </w:pPr>
            <w:r w:rsidRPr="00854FF6">
              <w:rPr>
                <w:rFonts w:cs="Arial"/>
                <w:b/>
              </w:rPr>
              <w:t>Burden Time Per Respondent</w:t>
            </w:r>
          </w:p>
        </w:tc>
        <w:tc>
          <w:tcPr>
            <w:tcW w:w="1374" w:type="dxa"/>
            <w:tcBorders>
              <w:top w:val="single" w:sz="18" w:space="0" w:color="auto"/>
              <w:bottom w:val="single" w:sz="8" w:space="0" w:color="auto"/>
            </w:tcBorders>
            <w:shd w:val="clear" w:color="auto" w:fill="auto"/>
            <w:vAlign w:val="bottom"/>
          </w:tcPr>
          <w:p w:rsidR="00462334" w:rsidRPr="00854FF6" w:rsidRDefault="00462334" w:rsidP="00462334">
            <w:pPr>
              <w:pStyle w:val="Table"/>
              <w:keepNext/>
              <w:keepLines/>
              <w:spacing w:line="240" w:lineRule="auto"/>
              <w:jc w:val="center"/>
              <w:rPr>
                <w:rFonts w:cs="Arial"/>
                <w:b/>
              </w:rPr>
            </w:pPr>
            <w:r w:rsidRPr="00854FF6">
              <w:rPr>
                <w:rFonts w:cs="Arial"/>
                <w:b/>
              </w:rPr>
              <w:t xml:space="preserve">Estimated Cost </w:t>
            </w:r>
            <w:r>
              <w:rPr>
                <w:rFonts w:cs="Arial"/>
                <w:b/>
              </w:rPr>
              <w:t>t</w:t>
            </w:r>
            <w:r w:rsidRPr="00854FF6">
              <w:rPr>
                <w:rFonts w:cs="Arial"/>
                <w:b/>
              </w:rPr>
              <w:t>o Respondent</w:t>
            </w:r>
          </w:p>
        </w:tc>
        <w:tc>
          <w:tcPr>
            <w:tcW w:w="1533" w:type="dxa"/>
            <w:tcBorders>
              <w:top w:val="single" w:sz="18" w:space="0" w:color="auto"/>
              <w:bottom w:val="single" w:sz="8" w:space="0" w:color="auto"/>
            </w:tcBorders>
            <w:shd w:val="clear" w:color="auto" w:fill="auto"/>
            <w:vAlign w:val="bottom"/>
          </w:tcPr>
          <w:p w:rsidR="00462334" w:rsidRPr="00854FF6" w:rsidRDefault="00462334" w:rsidP="00462334">
            <w:pPr>
              <w:pStyle w:val="Table"/>
              <w:keepNext/>
              <w:keepLines/>
              <w:spacing w:line="240" w:lineRule="auto"/>
              <w:jc w:val="center"/>
              <w:rPr>
                <w:rFonts w:cs="Arial"/>
                <w:b/>
              </w:rPr>
            </w:pPr>
            <w:r w:rsidRPr="00854FF6">
              <w:rPr>
                <w:rFonts w:cs="Arial"/>
                <w:b/>
              </w:rPr>
              <w:t xml:space="preserve">Number </w:t>
            </w:r>
            <w:r>
              <w:rPr>
                <w:rFonts w:cs="Arial"/>
                <w:b/>
              </w:rPr>
              <w:t>o</w:t>
            </w:r>
            <w:r w:rsidRPr="00854FF6">
              <w:rPr>
                <w:rFonts w:cs="Arial"/>
                <w:b/>
              </w:rPr>
              <w:t xml:space="preserve">f Respondents </w:t>
            </w:r>
            <w:r>
              <w:rPr>
                <w:rFonts w:cs="Arial"/>
                <w:b/>
              </w:rPr>
              <w:t>i</w:t>
            </w:r>
            <w:r w:rsidRPr="00854FF6">
              <w:rPr>
                <w:rFonts w:cs="Arial"/>
                <w:b/>
              </w:rPr>
              <w:t>n Category</w:t>
            </w:r>
          </w:p>
        </w:tc>
        <w:tc>
          <w:tcPr>
            <w:tcW w:w="1350" w:type="dxa"/>
            <w:tcBorders>
              <w:top w:val="single" w:sz="18" w:space="0" w:color="auto"/>
              <w:bottom w:val="single" w:sz="8" w:space="0" w:color="auto"/>
            </w:tcBorders>
            <w:shd w:val="clear" w:color="auto" w:fill="auto"/>
            <w:vAlign w:val="bottom"/>
          </w:tcPr>
          <w:p w:rsidR="00462334" w:rsidRPr="00854FF6" w:rsidRDefault="00462334" w:rsidP="00462334">
            <w:pPr>
              <w:pStyle w:val="Table"/>
              <w:keepNext/>
              <w:keepLines/>
              <w:spacing w:line="240" w:lineRule="auto"/>
              <w:ind w:right="-90"/>
              <w:jc w:val="center"/>
              <w:rPr>
                <w:rFonts w:cs="Arial"/>
                <w:b/>
              </w:rPr>
            </w:pPr>
            <w:r w:rsidRPr="00854FF6">
              <w:rPr>
                <w:rFonts w:cs="Arial"/>
                <w:b/>
              </w:rPr>
              <w:t xml:space="preserve">Estimated </w:t>
            </w:r>
            <w:r>
              <w:rPr>
                <w:rFonts w:cs="Arial"/>
                <w:b/>
              </w:rPr>
              <w:t>Total</w:t>
            </w:r>
            <w:r w:rsidRPr="00854FF6">
              <w:rPr>
                <w:rFonts w:cs="Arial"/>
                <w:b/>
              </w:rPr>
              <w:t xml:space="preserve"> Cost </w:t>
            </w:r>
            <w:r>
              <w:rPr>
                <w:rFonts w:cs="Arial"/>
                <w:b/>
              </w:rPr>
              <w:t>for MTFs</w:t>
            </w:r>
          </w:p>
        </w:tc>
      </w:tr>
      <w:tr w:rsidR="004B5B1E" w:rsidTr="004B5B1E">
        <w:tc>
          <w:tcPr>
            <w:tcW w:w="2112" w:type="dxa"/>
            <w:tcBorders>
              <w:top w:val="nil"/>
            </w:tcBorders>
            <w:shd w:val="clear" w:color="auto" w:fill="auto"/>
            <w:vAlign w:val="bottom"/>
          </w:tcPr>
          <w:p w:rsidR="004B5B1E" w:rsidRDefault="004B5B1E" w:rsidP="00462334">
            <w:pPr>
              <w:pStyle w:val="Table"/>
              <w:keepNext/>
              <w:keepLines/>
              <w:ind w:left="-3"/>
              <w:jc w:val="center"/>
              <w:rPr>
                <w:rFonts w:cs="Arial"/>
              </w:rPr>
            </w:pPr>
          </w:p>
          <w:p w:rsidR="004B5B1E" w:rsidRDefault="004B5B1E" w:rsidP="00462334">
            <w:pPr>
              <w:pStyle w:val="Table"/>
              <w:keepNext/>
              <w:keepLines/>
              <w:spacing w:before="20" w:after="20" w:line="240" w:lineRule="auto"/>
              <w:jc w:val="center"/>
              <w:rPr>
                <w:rFonts w:cs="Arial"/>
              </w:rPr>
            </w:pPr>
            <w:r>
              <w:rPr>
                <w:rFonts w:cs="Arial"/>
              </w:rPr>
              <w:t>$23.00</w:t>
            </w:r>
          </w:p>
          <w:p w:rsidR="004B5B1E" w:rsidRPr="00912361" w:rsidRDefault="004B5B1E" w:rsidP="00462334">
            <w:pPr>
              <w:pStyle w:val="Table"/>
              <w:keepNext/>
              <w:keepLines/>
              <w:spacing w:before="20" w:after="20" w:line="240" w:lineRule="auto"/>
              <w:jc w:val="center"/>
              <w:rPr>
                <w:rFonts w:cs="Arial"/>
              </w:rPr>
            </w:pPr>
          </w:p>
        </w:tc>
        <w:tc>
          <w:tcPr>
            <w:tcW w:w="1368" w:type="dxa"/>
            <w:tcBorders>
              <w:top w:val="nil"/>
            </w:tcBorders>
            <w:shd w:val="clear" w:color="auto" w:fill="auto"/>
            <w:vAlign w:val="bottom"/>
          </w:tcPr>
          <w:p w:rsidR="004B5B1E" w:rsidRDefault="004B5B1E" w:rsidP="00462334">
            <w:pPr>
              <w:pStyle w:val="Table"/>
              <w:keepNext/>
              <w:keepLines/>
              <w:spacing w:before="20" w:after="20" w:line="240" w:lineRule="auto"/>
              <w:jc w:val="center"/>
              <w:rPr>
                <w:rFonts w:cs="Arial"/>
              </w:rPr>
            </w:pPr>
          </w:p>
          <w:p w:rsidR="004B5B1E" w:rsidRDefault="004B5B1E" w:rsidP="00462334">
            <w:pPr>
              <w:pStyle w:val="Table"/>
              <w:keepNext/>
              <w:keepLines/>
              <w:spacing w:before="20" w:after="20" w:line="240" w:lineRule="auto"/>
              <w:jc w:val="center"/>
              <w:rPr>
                <w:rFonts w:cs="Arial"/>
              </w:rPr>
            </w:pPr>
            <w:r>
              <w:rPr>
                <w:rFonts w:cs="Arial"/>
              </w:rPr>
              <w:t>0.5</w:t>
            </w:r>
          </w:p>
          <w:p w:rsidR="004B5B1E" w:rsidRPr="00854FF6" w:rsidRDefault="004B5B1E" w:rsidP="00462334">
            <w:pPr>
              <w:pStyle w:val="Table"/>
              <w:keepNext/>
              <w:keepLines/>
              <w:spacing w:before="20" w:after="20" w:line="240" w:lineRule="auto"/>
              <w:jc w:val="center"/>
              <w:rPr>
                <w:rFonts w:cs="Arial"/>
              </w:rPr>
            </w:pPr>
          </w:p>
        </w:tc>
        <w:tc>
          <w:tcPr>
            <w:tcW w:w="1392" w:type="dxa"/>
            <w:gridSpan w:val="2"/>
            <w:tcBorders>
              <w:top w:val="nil"/>
            </w:tcBorders>
            <w:shd w:val="clear" w:color="auto" w:fill="auto"/>
            <w:vAlign w:val="bottom"/>
          </w:tcPr>
          <w:p w:rsidR="004B5B1E" w:rsidRDefault="004B5B1E" w:rsidP="00462334">
            <w:pPr>
              <w:pStyle w:val="Table"/>
              <w:keepNext/>
              <w:keepLines/>
              <w:spacing w:before="20" w:after="20" w:line="240" w:lineRule="auto"/>
              <w:jc w:val="center"/>
              <w:rPr>
                <w:rFonts w:cs="Arial"/>
              </w:rPr>
            </w:pPr>
          </w:p>
          <w:p w:rsidR="004B5B1E" w:rsidRDefault="004B5B1E" w:rsidP="00462334">
            <w:pPr>
              <w:pStyle w:val="Table"/>
              <w:keepNext/>
              <w:keepLines/>
              <w:spacing w:before="20" w:after="20" w:line="240" w:lineRule="auto"/>
              <w:jc w:val="center"/>
              <w:rPr>
                <w:rFonts w:cs="Arial"/>
              </w:rPr>
            </w:pPr>
            <w:r>
              <w:rPr>
                <w:rFonts w:cs="Arial"/>
              </w:rPr>
              <w:t>$11.50</w:t>
            </w:r>
          </w:p>
          <w:p w:rsidR="004B5B1E" w:rsidRPr="00854FF6" w:rsidRDefault="004B5B1E" w:rsidP="00462334">
            <w:pPr>
              <w:pStyle w:val="Table"/>
              <w:keepNext/>
              <w:keepLines/>
              <w:spacing w:before="20" w:after="20" w:line="240" w:lineRule="auto"/>
              <w:jc w:val="center"/>
              <w:rPr>
                <w:rFonts w:cs="Arial"/>
              </w:rPr>
            </w:pPr>
          </w:p>
        </w:tc>
        <w:tc>
          <w:tcPr>
            <w:tcW w:w="1533" w:type="dxa"/>
            <w:tcBorders>
              <w:top w:val="nil"/>
            </w:tcBorders>
            <w:shd w:val="clear" w:color="auto" w:fill="auto"/>
            <w:vAlign w:val="bottom"/>
          </w:tcPr>
          <w:p w:rsidR="004B5B1E" w:rsidRDefault="004B5B1E" w:rsidP="00462334">
            <w:pPr>
              <w:pStyle w:val="Table"/>
              <w:keepNext/>
              <w:keepLines/>
              <w:spacing w:before="20" w:after="20" w:line="240" w:lineRule="auto"/>
              <w:jc w:val="center"/>
              <w:rPr>
                <w:rFonts w:cs="Arial"/>
              </w:rPr>
            </w:pPr>
          </w:p>
          <w:p w:rsidR="004B5B1E" w:rsidRDefault="004B5B1E" w:rsidP="00462334">
            <w:pPr>
              <w:pStyle w:val="Table"/>
              <w:keepNext/>
              <w:keepLines/>
              <w:spacing w:before="20" w:after="20" w:line="240" w:lineRule="auto"/>
              <w:jc w:val="center"/>
              <w:rPr>
                <w:rFonts w:cs="Arial"/>
              </w:rPr>
            </w:pPr>
            <w:r>
              <w:rPr>
                <w:rFonts w:cs="Arial"/>
              </w:rPr>
              <w:t>104</w:t>
            </w:r>
          </w:p>
          <w:p w:rsidR="004B5B1E" w:rsidRPr="00854FF6" w:rsidRDefault="004B5B1E" w:rsidP="00462334">
            <w:pPr>
              <w:pStyle w:val="Table"/>
              <w:keepNext/>
              <w:keepLines/>
              <w:spacing w:before="20" w:after="20" w:line="240" w:lineRule="auto"/>
              <w:jc w:val="center"/>
              <w:rPr>
                <w:rFonts w:cs="Arial"/>
              </w:rPr>
            </w:pPr>
          </w:p>
        </w:tc>
        <w:tc>
          <w:tcPr>
            <w:tcW w:w="1350" w:type="dxa"/>
            <w:tcBorders>
              <w:top w:val="nil"/>
            </w:tcBorders>
            <w:shd w:val="clear" w:color="auto" w:fill="auto"/>
            <w:vAlign w:val="bottom"/>
          </w:tcPr>
          <w:p w:rsidR="004B5B1E" w:rsidRDefault="004B5B1E" w:rsidP="00462334">
            <w:pPr>
              <w:keepNext/>
              <w:keepLines/>
              <w:ind w:right="-90"/>
              <w:jc w:val="center"/>
              <w:rPr>
                <w:rFonts w:ascii="Arial" w:hAnsi="Arial" w:cs="Arial"/>
                <w:sz w:val="20"/>
              </w:rPr>
            </w:pPr>
          </w:p>
          <w:p w:rsidR="004B5B1E" w:rsidRDefault="004B5B1E" w:rsidP="00462334">
            <w:pPr>
              <w:keepNext/>
              <w:keepLines/>
              <w:ind w:right="-90"/>
              <w:jc w:val="center"/>
              <w:rPr>
                <w:rFonts w:ascii="Arial" w:hAnsi="Arial" w:cs="Arial"/>
                <w:sz w:val="20"/>
              </w:rPr>
            </w:pPr>
            <w:r>
              <w:rPr>
                <w:rFonts w:ascii="Arial" w:hAnsi="Arial" w:cs="Arial"/>
                <w:sz w:val="20"/>
              </w:rPr>
              <w:t>$1,196.00</w:t>
            </w:r>
          </w:p>
          <w:p w:rsidR="004B5B1E" w:rsidRDefault="004B5B1E" w:rsidP="00462334">
            <w:pPr>
              <w:keepNext/>
              <w:keepLines/>
              <w:ind w:right="-90"/>
              <w:jc w:val="center"/>
              <w:rPr>
                <w:rFonts w:ascii="Arial" w:hAnsi="Arial" w:cs="Arial"/>
                <w:sz w:val="20"/>
              </w:rPr>
            </w:pPr>
          </w:p>
        </w:tc>
      </w:tr>
      <w:tr w:rsidR="00A76DC4" w:rsidRPr="00854FF6" w:rsidTr="00462334">
        <w:tc>
          <w:tcPr>
            <w:tcW w:w="7755" w:type="dxa"/>
            <w:gridSpan w:val="6"/>
            <w:tcBorders>
              <w:top w:val="single" w:sz="8" w:space="0" w:color="auto"/>
              <w:bottom w:val="single" w:sz="8" w:space="0" w:color="auto"/>
            </w:tcBorders>
            <w:shd w:val="clear" w:color="auto" w:fill="FFFFFF"/>
          </w:tcPr>
          <w:p w:rsidR="00A76DC4" w:rsidRPr="000C018C" w:rsidRDefault="00A76DC4" w:rsidP="00462334">
            <w:pPr>
              <w:pStyle w:val="Table"/>
              <w:keepNext/>
              <w:keepLines/>
              <w:spacing w:after="60" w:line="240" w:lineRule="auto"/>
              <w:ind w:right="-90"/>
              <w:rPr>
                <w:rFonts w:ascii="Times New Roman" w:hAnsi="Times New Roman"/>
                <w:sz w:val="18"/>
                <w:szCs w:val="18"/>
              </w:rPr>
            </w:pPr>
            <w:r w:rsidRPr="00912361">
              <w:rPr>
                <w:rFonts w:ascii="Times New Roman" w:hAnsi="Times New Roman"/>
                <w:sz w:val="18"/>
                <w:szCs w:val="18"/>
              </w:rPr>
              <w:t xml:space="preserve">Salary estimates for </w:t>
            </w:r>
            <w:r w:rsidR="000C018C">
              <w:rPr>
                <w:rFonts w:ascii="Times New Roman" w:hAnsi="Times New Roman"/>
                <w:sz w:val="18"/>
                <w:szCs w:val="18"/>
              </w:rPr>
              <w:t>Master Teaching Fellows</w:t>
            </w:r>
            <w:r w:rsidRPr="00912361">
              <w:rPr>
                <w:rFonts w:ascii="Times New Roman" w:hAnsi="Times New Roman"/>
                <w:sz w:val="18"/>
                <w:szCs w:val="18"/>
              </w:rPr>
              <w:t xml:space="preserve"> are based on public school teacher salary estimates as reported in NCES </w:t>
            </w:r>
            <w:r w:rsidRPr="00912361">
              <w:rPr>
                <w:rStyle w:val="Emphasis"/>
                <w:rFonts w:ascii="Times New Roman" w:hAnsi="Times New Roman"/>
                <w:szCs w:val="18"/>
              </w:rPr>
              <w:t xml:space="preserve">Projection of Education Statistics to 2015. </w:t>
            </w:r>
            <w:r w:rsidRPr="00912361">
              <w:rPr>
                <w:rFonts w:ascii="Times New Roman" w:hAnsi="Times New Roman"/>
                <w:sz w:val="18"/>
                <w:szCs w:val="18"/>
              </w:rPr>
              <w:t>NCES September, 2006</w:t>
            </w:r>
          </w:p>
        </w:tc>
      </w:tr>
    </w:tbl>
    <w:p w:rsidR="00CE1E9A" w:rsidRDefault="00CE1E9A" w:rsidP="00AD0B25">
      <w:pPr>
        <w:pStyle w:val="BodyText"/>
      </w:pPr>
    </w:p>
    <w:p w:rsidR="00AD0B25" w:rsidRDefault="00AD0B25" w:rsidP="003C0DAB">
      <w:pPr>
        <w:pStyle w:val="AbtHeadB"/>
      </w:pPr>
      <w:bookmarkStart w:id="23" w:name="_Toc302119772"/>
      <w:r>
        <w:t>A.13. Estimate of Total Capital and Startup Costs/Operation and Maintenance Costs to Respondents or Record Keepers</w:t>
      </w:r>
      <w:bookmarkEnd w:id="23"/>
    </w:p>
    <w:p w:rsidR="00AD0B25" w:rsidRDefault="00AD0B25" w:rsidP="00AD0B25">
      <w:pPr>
        <w:pStyle w:val="BodyText"/>
      </w:pPr>
      <w:r>
        <w:t xml:space="preserve">There is no overall annual cost burden to respondents that results from this study other than the time spent responding to the survey attached as </w:t>
      </w:r>
      <w:r w:rsidR="00462334">
        <w:t xml:space="preserve">an </w:t>
      </w:r>
      <w:r>
        <w:t>appendi</w:t>
      </w:r>
      <w:r w:rsidR="00462334">
        <w:t>x</w:t>
      </w:r>
      <w:r>
        <w:t xml:space="preserve"> to this request.</w:t>
      </w:r>
    </w:p>
    <w:p w:rsidR="00AD0B25" w:rsidRDefault="00AD0B25" w:rsidP="00AD0B25">
      <w:pPr>
        <w:pStyle w:val="BodyText"/>
      </w:pPr>
    </w:p>
    <w:p w:rsidR="00AD0B25" w:rsidRDefault="00AD0B25" w:rsidP="003C0DAB">
      <w:pPr>
        <w:pStyle w:val="AbtHeadB"/>
      </w:pPr>
      <w:bookmarkStart w:id="24" w:name="_Toc302119773"/>
      <w:r>
        <w:t>A.14. Estimates of Costs to the Federal Government</w:t>
      </w:r>
      <w:bookmarkEnd w:id="24"/>
    </w:p>
    <w:p w:rsidR="00AD0B25" w:rsidRDefault="00465061" w:rsidP="00AD0B25">
      <w:pPr>
        <w:pStyle w:val="BodyText"/>
      </w:pPr>
      <w:r w:rsidRPr="00465061">
        <w:t xml:space="preserve">The estimated cost to the Federal Government for the </w:t>
      </w:r>
      <w:r w:rsidR="000C018C">
        <w:t xml:space="preserve">additional </w:t>
      </w:r>
      <w:r w:rsidRPr="00465061">
        <w:t>data collection activities</w:t>
      </w:r>
      <w:r w:rsidR="000C018C">
        <w:t xml:space="preserve"> for MTFs</w:t>
      </w:r>
      <w:r w:rsidRPr="00465061">
        <w:t xml:space="preserve"> is</w:t>
      </w:r>
      <w:r w:rsidR="00462334">
        <w:t xml:space="preserve"> $29,678</w:t>
      </w:r>
      <w:r w:rsidRPr="00465061">
        <w:t xml:space="preserve">. </w:t>
      </w:r>
      <w:r w:rsidR="00D32393">
        <w:t xml:space="preserve"> T</w:t>
      </w:r>
      <w:r w:rsidRPr="00465061">
        <w:t>his cost estimate includes instrument development</w:t>
      </w:r>
      <w:r w:rsidR="00462334">
        <w:t>, online programming,</w:t>
      </w:r>
      <w:r w:rsidRPr="00465061">
        <w:t xml:space="preserve"> and pretesting</w:t>
      </w:r>
      <w:r w:rsidR="001B2861">
        <w:t xml:space="preserve">.  </w:t>
      </w:r>
      <w:r w:rsidR="00462334">
        <w:t>C</w:t>
      </w:r>
      <w:r w:rsidR="001B2861">
        <w:t xml:space="preserve">osts for </w:t>
      </w:r>
      <w:r w:rsidR="00462334">
        <w:t xml:space="preserve">overall data collection, </w:t>
      </w:r>
      <w:r w:rsidR="001B2861">
        <w:t>analysis</w:t>
      </w:r>
      <w:r w:rsidR="00462334">
        <w:t>,</w:t>
      </w:r>
      <w:r w:rsidR="001B2861">
        <w:t xml:space="preserve"> and reporting were built into the original request</w:t>
      </w:r>
      <w:r w:rsidRPr="00465061">
        <w:t>.</w:t>
      </w:r>
    </w:p>
    <w:p w:rsidR="00465061" w:rsidRPr="00465061" w:rsidRDefault="00465061" w:rsidP="00AD0B25">
      <w:pPr>
        <w:pStyle w:val="BodyText"/>
      </w:pPr>
    </w:p>
    <w:p w:rsidR="00AD0B25" w:rsidRDefault="00AD0B25" w:rsidP="003C0DAB">
      <w:pPr>
        <w:pStyle w:val="AbtHeadB"/>
      </w:pPr>
      <w:bookmarkStart w:id="25" w:name="_Toc302119774"/>
      <w:r>
        <w:t>A.15. Changes in Burden</w:t>
      </w:r>
      <w:bookmarkEnd w:id="25"/>
    </w:p>
    <w:p w:rsidR="00AD0B25" w:rsidRDefault="00AD0B25" w:rsidP="00AD0B25">
      <w:pPr>
        <w:pStyle w:val="BodyText"/>
      </w:pPr>
      <w:r>
        <w:t>This is a new collection of information.</w:t>
      </w:r>
    </w:p>
    <w:p w:rsidR="00AD0B25" w:rsidRDefault="00AD0B25" w:rsidP="00AD0B25">
      <w:pPr>
        <w:pStyle w:val="BodyText"/>
      </w:pPr>
    </w:p>
    <w:p w:rsidR="00AD0B25" w:rsidRDefault="00AD0B25" w:rsidP="003C0DAB">
      <w:pPr>
        <w:pStyle w:val="AbtHeadB"/>
      </w:pPr>
      <w:bookmarkStart w:id="26" w:name="_Toc302119775"/>
      <w:r>
        <w:t>A.16. Plans for Publication, Analysis, and Schedule</w:t>
      </w:r>
      <w:bookmarkEnd w:id="26"/>
    </w:p>
    <w:p w:rsidR="00AD0B25" w:rsidRDefault="00AD0B25" w:rsidP="00AD0B25">
      <w:pPr>
        <w:pStyle w:val="BodyText"/>
      </w:pPr>
      <w:r>
        <w:t xml:space="preserve">The purpose of this </w:t>
      </w:r>
      <w:r w:rsidR="00753BF0">
        <w:t>additional data collection</w:t>
      </w:r>
      <w:r>
        <w:t xml:space="preserve"> is to examine the outcomes of NSF–funded Noyce awards on </w:t>
      </w:r>
      <w:r w:rsidR="003F0AC1">
        <w:t>Master Teaching Fellows (MTFs)</w:t>
      </w:r>
      <w:r>
        <w:t xml:space="preserve">.  This will help NSF respond to such questions as:  How has the Noyce Program helped improve the ability of K-12 teachers to teach science and math for different types of recipients? </w:t>
      </w:r>
    </w:p>
    <w:p w:rsidR="00AD0B25" w:rsidRDefault="00AD0B25" w:rsidP="00AD0B25">
      <w:pPr>
        <w:pStyle w:val="BodyText"/>
      </w:pPr>
    </w:p>
    <w:p w:rsidR="00AD0B25" w:rsidRDefault="00AD0B25" w:rsidP="00AD0B25">
      <w:pPr>
        <w:pStyle w:val="BodyText"/>
      </w:pPr>
      <w:r>
        <w:t xml:space="preserve">The survey data will yield important details about </w:t>
      </w:r>
      <w:r w:rsidR="00753BF0">
        <w:t>the supports</w:t>
      </w:r>
      <w:r>
        <w:t xml:space="preserve"> </w:t>
      </w:r>
      <w:r w:rsidR="003F0AC1">
        <w:t>MTFs</w:t>
      </w:r>
      <w:r>
        <w:t xml:space="preserve"> </w:t>
      </w:r>
      <w:r w:rsidR="00753BF0">
        <w:t>receive</w:t>
      </w:r>
      <w:r>
        <w:t xml:space="preserve"> </w:t>
      </w:r>
      <w:r w:rsidR="00753BF0">
        <w:t>and the leadership activities they engage in</w:t>
      </w:r>
      <w:r w:rsidRPr="0029303F">
        <w:t xml:space="preserve">.  </w:t>
      </w:r>
      <w:r w:rsidR="00802CC2" w:rsidRPr="0029303F">
        <w:t>The study</w:t>
      </w:r>
      <w:r w:rsidR="0029303F" w:rsidRPr="0029303F">
        <w:t xml:space="preserve"> team</w:t>
      </w:r>
      <w:r w:rsidR="00802CC2" w:rsidRPr="0029303F">
        <w:t xml:space="preserve"> </w:t>
      </w:r>
      <w:r w:rsidRPr="0029303F">
        <w:t>will also e</w:t>
      </w:r>
      <w:r>
        <w:t xml:space="preserve">xamine variation in program implementation (types and levels of financial support and of Noyce-supported activities), school and district characteristics, and recipient characteristics.  </w:t>
      </w:r>
    </w:p>
    <w:p w:rsidR="00AD0B25" w:rsidRDefault="00AD0B25" w:rsidP="00AD0B25">
      <w:pPr>
        <w:pStyle w:val="BodyText"/>
      </w:pPr>
    </w:p>
    <w:p w:rsidR="00753BF0" w:rsidRDefault="00AD0B25" w:rsidP="00AD0B25">
      <w:pPr>
        <w:pStyle w:val="BodyText"/>
      </w:pPr>
      <w:r>
        <w:t xml:space="preserve">Analyses of </w:t>
      </w:r>
      <w:r w:rsidR="003F0AC1">
        <w:t xml:space="preserve">all </w:t>
      </w:r>
      <w:r>
        <w:t xml:space="preserve">survey data will include a detailed summary that utilizes appropriate descriptive statistics.  For survey items using continuous scales, the study will calculate means and standard deviations to describe both central trends and variation across the samples of schools.  Frequency distributions and percentages will be used to summarize answers given on ordinal scales.  </w:t>
      </w:r>
    </w:p>
    <w:p w:rsidR="00753BF0" w:rsidRDefault="00753BF0" w:rsidP="00AD0B25">
      <w:pPr>
        <w:pStyle w:val="BodyText"/>
      </w:pPr>
    </w:p>
    <w:p w:rsidR="00AD0B25" w:rsidRDefault="00AD0B25" w:rsidP="00AD0B25">
      <w:pPr>
        <w:pStyle w:val="BodyText"/>
      </w:pPr>
      <w:r>
        <w:t xml:space="preserve">The strength of the observed associations between program and recipient characteristics and outcomes will be estimated using multiple regression techniques to appropriately control statistically for other factors that could potentially affect recipients’ plans to stay in teaching other than the </w:t>
      </w:r>
      <w:r>
        <w:lastRenderedPageBreak/>
        <w:t>recipients’ respective IHE’s level of financial support (i.e., contextual factors such as climate of K-12 school, districts’ hiring policies due to changes in state or district economic circumstances).</w:t>
      </w:r>
    </w:p>
    <w:p w:rsidR="00AD0B25" w:rsidRDefault="00AD0B25" w:rsidP="00AD0B25">
      <w:pPr>
        <w:pStyle w:val="BodyText"/>
      </w:pPr>
    </w:p>
    <w:p w:rsidR="003F0AC1" w:rsidRPr="003F0AC1" w:rsidRDefault="003F0AC1" w:rsidP="003F0AC1">
      <w:pPr>
        <w:rPr>
          <w:szCs w:val="22"/>
        </w:rPr>
      </w:pPr>
      <w:r>
        <w:rPr>
          <w:szCs w:val="22"/>
        </w:rPr>
        <w:t>The results of the MTF findings will be made public as a part of the overall program evaluation</w:t>
      </w:r>
      <w:r w:rsidRPr="003F0AC1">
        <w:rPr>
          <w:szCs w:val="22"/>
        </w:rPr>
        <w:t>.</w:t>
      </w:r>
    </w:p>
    <w:p w:rsidR="00AD0B25" w:rsidRDefault="00AD0B25" w:rsidP="00AD0B25">
      <w:pPr>
        <w:pStyle w:val="BodyText"/>
      </w:pPr>
      <w:r>
        <w:t xml:space="preserve">  </w:t>
      </w:r>
    </w:p>
    <w:p w:rsidR="00AD0B25" w:rsidRPr="00B1208C" w:rsidRDefault="00B1208C" w:rsidP="00B1208C">
      <w:pPr>
        <w:pStyle w:val="BodyText"/>
        <w:spacing w:after="60"/>
        <w:rPr>
          <w:rFonts w:ascii="Arial" w:hAnsi="Arial" w:cs="Arial"/>
          <w:b/>
          <w:szCs w:val="22"/>
        </w:rPr>
      </w:pPr>
      <w:r>
        <w:rPr>
          <w:rFonts w:ascii="Arial" w:hAnsi="Arial" w:cs="Arial"/>
          <w:b/>
          <w:szCs w:val="22"/>
        </w:rPr>
        <w:t xml:space="preserve">A.16.1 </w:t>
      </w:r>
      <w:r w:rsidR="00AD0B25" w:rsidRPr="00B1208C">
        <w:rPr>
          <w:rFonts w:ascii="Arial" w:hAnsi="Arial" w:cs="Arial"/>
          <w:b/>
          <w:szCs w:val="22"/>
        </w:rPr>
        <w:t>Project Time Schedule</w:t>
      </w:r>
    </w:p>
    <w:tbl>
      <w:tblPr>
        <w:tblW w:w="0" w:type="auto"/>
        <w:tblInd w:w="126" w:type="dxa"/>
        <w:tblBorders>
          <w:top w:val="single" w:sz="8" w:space="0" w:color="auto"/>
          <w:left w:val="single" w:sz="8" w:space="0" w:color="auto"/>
          <w:bottom w:val="single" w:sz="8" w:space="0" w:color="auto"/>
          <w:right w:val="single" w:sz="8" w:space="0" w:color="auto"/>
        </w:tblBorders>
        <w:tblLook w:val="01E0"/>
      </w:tblPr>
      <w:tblGrid>
        <w:gridCol w:w="2322"/>
        <w:gridCol w:w="6705"/>
      </w:tblGrid>
      <w:tr w:rsidR="006D5345" w:rsidRPr="006D5345" w:rsidTr="0008799C">
        <w:tc>
          <w:tcPr>
            <w:tcW w:w="2322" w:type="dxa"/>
            <w:tcBorders>
              <w:top w:val="single" w:sz="8" w:space="0" w:color="auto"/>
              <w:bottom w:val="single" w:sz="2" w:space="0" w:color="auto"/>
              <w:right w:val="single" w:sz="4" w:space="0" w:color="auto"/>
            </w:tcBorders>
            <w:shd w:val="clear" w:color="auto" w:fill="auto"/>
          </w:tcPr>
          <w:p w:rsidR="006D5345" w:rsidRPr="003B63F9" w:rsidRDefault="006D5345" w:rsidP="00410070">
            <w:pPr>
              <w:pStyle w:val="BodyText"/>
              <w:tabs>
                <w:tab w:val="clear" w:pos="720"/>
                <w:tab w:val="clear" w:pos="1080"/>
                <w:tab w:val="clear" w:pos="1440"/>
                <w:tab w:val="clear" w:pos="1800"/>
              </w:tabs>
              <w:spacing w:before="20" w:after="20"/>
              <w:rPr>
                <w:rFonts w:ascii="Arial" w:hAnsi="Arial" w:cs="Arial"/>
                <w:i/>
                <w:sz w:val="20"/>
              </w:rPr>
            </w:pPr>
            <w:r w:rsidRPr="003B63F9">
              <w:rPr>
                <w:rFonts w:ascii="Arial" w:hAnsi="Arial" w:cs="Arial"/>
                <w:i/>
                <w:sz w:val="20"/>
              </w:rPr>
              <w:t>Spring 201</w:t>
            </w:r>
            <w:r w:rsidR="00410070">
              <w:rPr>
                <w:rFonts w:ascii="Arial" w:hAnsi="Arial" w:cs="Arial"/>
                <w:i/>
                <w:sz w:val="20"/>
              </w:rPr>
              <w:t>1</w:t>
            </w:r>
            <w:r w:rsidRPr="003B63F9">
              <w:rPr>
                <w:rFonts w:ascii="Arial" w:hAnsi="Arial" w:cs="Arial"/>
                <w:i/>
                <w:sz w:val="20"/>
              </w:rPr>
              <w:t xml:space="preserve">: </w:t>
            </w:r>
          </w:p>
        </w:tc>
        <w:tc>
          <w:tcPr>
            <w:tcW w:w="6705" w:type="dxa"/>
            <w:tcBorders>
              <w:top w:val="single" w:sz="8" w:space="0" w:color="auto"/>
              <w:left w:val="single" w:sz="4" w:space="0" w:color="auto"/>
              <w:bottom w:val="single" w:sz="2" w:space="0" w:color="auto"/>
            </w:tcBorders>
            <w:shd w:val="clear" w:color="auto" w:fill="auto"/>
          </w:tcPr>
          <w:p w:rsidR="006D5345" w:rsidRPr="003B63F9" w:rsidRDefault="006D5345" w:rsidP="003B63F9">
            <w:pPr>
              <w:pStyle w:val="BodyText"/>
              <w:tabs>
                <w:tab w:val="clear" w:pos="720"/>
                <w:tab w:val="clear" w:pos="1080"/>
                <w:tab w:val="clear" w:pos="1440"/>
                <w:tab w:val="clear" w:pos="1800"/>
              </w:tabs>
              <w:spacing w:before="20" w:after="20"/>
              <w:rPr>
                <w:rFonts w:ascii="Arial" w:hAnsi="Arial" w:cs="Arial"/>
                <w:sz w:val="20"/>
              </w:rPr>
            </w:pPr>
            <w:r w:rsidRPr="003B63F9">
              <w:rPr>
                <w:rFonts w:ascii="Arial" w:hAnsi="Arial" w:cs="Arial"/>
                <w:sz w:val="20"/>
              </w:rPr>
              <w:t>Study design</w:t>
            </w:r>
          </w:p>
        </w:tc>
      </w:tr>
      <w:tr w:rsidR="006D5345" w:rsidRPr="006D5345" w:rsidTr="0008799C">
        <w:tc>
          <w:tcPr>
            <w:tcW w:w="2322" w:type="dxa"/>
            <w:tcBorders>
              <w:top w:val="single" w:sz="2" w:space="0" w:color="auto"/>
              <w:bottom w:val="single" w:sz="2" w:space="0" w:color="auto"/>
              <w:right w:val="single" w:sz="4" w:space="0" w:color="auto"/>
            </w:tcBorders>
            <w:shd w:val="clear" w:color="auto" w:fill="auto"/>
          </w:tcPr>
          <w:p w:rsidR="006D5345" w:rsidRPr="003B63F9" w:rsidRDefault="006D5345" w:rsidP="00651482">
            <w:pPr>
              <w:pStyle w:val="BodyText"/>
              <w:tabs>
                <w:tab w:val="clear" w:pos="720"/>
                <w:tab w:val="clear" w:pos="1080"/>
                <w:tab w:val="clear" w:pos="1440"/>
                <w:tab w:val="clear" w:pos="1800"/>
              </w:tabs>
              <w:spacing w:before="20" w:after="20"/>
              <w:rPr>
                <w:rFonts w:ascii="Arial" w:hAnsi="Arial" w:cs="Arial"/>
                <w:i/>
                <w:sz w:val="20"/>
              </w:rPr>
            </w:pPr>
            <w:r w:rsidRPr="003B63F9">
              <w:rPr>
                <w:rFonts w:ascii="Arial" w:hAnsi="Arial" w:cs="Arial"/>
                <w:i/>
                <w:sz w:val="20"/>
              </w:rPr>
              <w:t>Summer</w:t>
            </w:r>
            <w:r w:rsidR="000D468C" w:rsidRPr="003B63F9">
              <w:rPr>
                <w:rFonts w:ascii="Arial" w:hAnsi="Arial" w:cs="Arial"/>
                <w:i/>
                <w:sz w:val="20"/>
              </w:rPr>
              <w:t xml:space="preserve"> </w:t>
            </w:r>
            <w:r w:rsidR="00651482">
              <w:rPr>
                <w:rFonts w:ascii="Arial" w:hAnsi="Arial" w:cs="Arial"/>
                <w:i/>
                <w:sz w:val="20"/>
              </w:rPr>
              <w:t>2011</w:t>
            </w:r>
            <w:r w:rsidRPr="003B63F9">
              <w:rPr>
                <w:rFonts w:ascii="Arial" w:hAnsi="Arial" w:cs="Arial"/>
                <w:i/>
                <w:sz w:val="20"/>
              </w:rPr>
              <w:t xml:space="preserve"> </w:t>
            </w:r>
          </w:p>
        </w:tc>
        <w:tc>
          <w:tcPr>
            <w:tcW w:w="6705" w:type="dxa"/>
            <w:tcBorders>
              <w:top w:val="single" w:sz="2" w:space="0" w:color="auto"/>
              <w:left w:val="single" w:sz="4" w:space="0" w:color="auto"/>
              <w:bottom w:val="single" w:sz="2" w:space="0" w:color="auto"/>
            </w:tcBorders>
            <w:shd w:val="clear" w:color="auto" w:fill="auto"/>
          </w:tcPr>
          <w:p w:rsidR="006D5345" w:rsidRPr="003B63F9" w:rsidRDefault="006D5345" w:rsidP="003B63F9">
            <w:pPr>
              <w:pStyle w:val="BodyText"/>
              <w:tabs>
                <w:tab w:val="clear" w:pos="720"/>
                <w:tab w:val="clear" w:pos="1080"/>
                <w:tab w:val="clear" w:pos="1440"/>
                <w:tab w:val="clear" w:pos="1800"/>
              </w:tabs>
              <w:spacing w:before="20" w:after="20"/>
              <w:rPr>
                <w:rFonts w:ascii="Arial" w:hAnsi="Arial" w:cs="Arial"/>
                <w:sz w:val="20"/>
              </w:rPr>
            </w:pPr>
            <w:r w:rsidRPr="003B63F9">
              <w:rPr>
                <w:rFonts w:ascii="Arial" w:hAnsi="Arial" w:cs="Arial"/>
                <w:sz w:val="20"/>
              </w:rPr>
              <w:t xml:space="preserve">Prepare online surveys </w:t>
            </w:r>
          </w:p>
        </w:tc>
      </w:tr>
      <w:tr w:rsidR="006D5345" w:rsidRPr="006D5345" w:rsidTr="0008799C">
        <w:tc>
          <w:tcPr>
            <w:tcW w:w="2322" w:type="dxa"/>
            <w:tcBorders>
              <w:top w:val="single" w:sz="2" w:space="0" w:color="auto"/>
              <w:bottom w:val="single" w:sz="2" w:space="0" w:color="auto"/>
              <w:right w:val="single" w:sz="4" w:space="0" w:color="auto"/>
            </w:tcBorders>
            <w:shd w:val="clear" w:color="auto" w:fill="auto"/>
          </w:tcPr>
          <w:p w:rsidR="006D5345" w:rsidRPr="003B63F9" w:rsidRDefault="006D5345" w:rsidP="00EF7460">
            <w:pPr>
              <w:pStyle w:val="BodyText"/>
              <w:tabs>
                <w:tab w:val="clear" w:pos="720"/>
                <w:tab w:val="clear" w:pos="1080"/>
                <w:tab w:val="clear" w:pos="1440"/>
                <w:tab w:val="clear" w:pos="1800"/>
              </w:tabs>
              <w:spacing w:before="20" w:after="20"/>
              <w:rPr>
                <w:rFonts w:ascii="Arial" w:hAnsi="Arial" w:cs="Arial"/>
                <w:i/>
                <w:sz w:val="20"/>
              </w:rPr>
            </w:pPr>
            <w:r w:rsidRPr="003B63F9">
              <w:rPr>
                <w:rFonts w:ascii="Arial" w:hAnsi="Arial" w:cs="Arial"/>
                <w:i/>
                <w:sz w:val="20"/>
              </w:rPr>
              <w:t xml:space="preserve"> </w:t>
            </w:r>
            <w:r w:rsidR="0008799C">
              <w:rPr>
                <w:rFonts w:ascii="Arial" w:hAnsi="Arial" w:cs="Arial"/>
                <w:i/>
                <w:sz w:val="20"/>
              </w:rPr>
              <w:t>January-April 2012</w:t>
            </w:r>
          </w:p>
        </w:tc>
        <w:tc>
          <w:tcPr>
            <w:tcW w:w="6705" w:type="dxa"/>
            <w:tcBorders>
              <w:top w:val="single" w:sz="2" w:space="0" w:color="auto"/>
              <w:left w:val="single" w:sz="4" w:space="0" w:color="auto"/>
              <w:bottom w:val="single" w:sz="2" w:space="0" w:color="auto"/>
            </w:tcBorders>
            <w:shd w:val="clear" w:color="auto" w:fill="auto"/>
          </w:tcPr>
          <w:p w:rsidR="006D5345" w:rsidRPr="003B63F9" w:rsidRDefault="006D5345" w:rsidP="00651482">
            <w:pPr>
              <w:pStyle w:val="BodyText"/>
              <w:tabs>
                <w:tab w:val="clear" w:pos="720"/>
                <w:tab w:val="clear" w:pos="1080"/>
                <w:tab w:val="clear" w:pos="1440"/>
                <w:tab w:val="clear" w:pos="1800"/>
              </w:tabs>
              <w:spacing w:before="20" w:after="20"/>
              <w:rPr>
                <w:rFonts w:ascii="Arial" w:hAnsi="Arial" w:cs="Arial"/>
                <w:sz w:val="20"/>
              </w:rPr>
            </w:pPr>
            <w:r w:rsidRPr="003B63F9">
              <w:rPr>
                <w:rFonts w:ascii="Arial" w:hAnsi="Arial" w:cs="Arial"/>
                <w:sz w:val="20"/>
              </w:rPr>
              <w:t>Administer online surveys of</w:t>
            </w:r>
            <w:r w:rsidR="000D468C" w:rsidRPr="003B63F9">
              <w:rPr>
                <w:rFonts w:ascii="Arial" w:hAnsi="Arial" w:cs="Arial"/>
                <w:sz w:val="20"/>
              </w:rPr>
              <w:t xml:space="preserve"> Master Teaching Fellows</w:t>
            </w:r>
          </w:p>
        </w:tc>
      </w:tr>
    </w:tbl>
    <w:p w:rsidR="00AD0B25" w:rsidRDefault="00AD0B25" w:rsidP="00AD0B25">
      <w:pPr>
        <w:pStyle w:val="BodyText"/>
      </w:pPr>
    </w:p>
    <w:p w:rsidR="00AD0B25" w:rsidRDefault="00AD0B25" w:rsidP="003C0DAB">
      <w:pPr>
        <w:pStyle w:val="AbtHeadB"/>
      </w:pPr>
      <w:bookmarkStart w:id="27" w:name="_Toc302119776"/>
      <w:r>
        <w:t>A.17. Approval to Not Display Expiration Date</w:t>
      </w:r>
      <w:bookmarkEnd w:id="27"/>
    </w:p>
    <w:p w:rsidR="00AD0B25" w:rsidRDefault="00AD0B25" w:rsidP="00AD0B25">
      <w:pPr>
        <w:pStyle w:val="BodyText"/>
      </w:pPr>
      <w:r>
        <w:t xml:space="preserve">The data collection instruments will display the expiration date. </w:t>
      </w:r>
    </w:p>
    <w:p w:rsidR="00AD0B25" w:rsidRDefault="00AD0B25" w:rsidP="00AD0B25">
      <w:pPr>
        <w:pStyle w:val="BodyText"/>
      </w:pPr>
    </w:p>
    <w:p w:rsidR="00AD0B25" w:rsidRDefault="00AD0B25" w:rsidP="003C0DAB">
      <w:pPr>
        <w:pStyle w:val="AbtHeadB"/>
      </w:pPr>
      <w:bookmarkStart w:id="28" w:name="_Toc302119777"/>
      <w:r>
        <w:t>A.18. Exceptions to Items 19 of OMB Form 83-I</w:t>
      </w:r>
      <w:bookmarkEnd w:id="28"/>
    </w:p>
    <w:p w:rsidR="00AD0B25" w:rsidRDefault="00AD0B25" w:rsidP="00AD0B25">
      <w:pPr>
        <w:pStyle w:val="BodyText"/>
      </w:pPr>
      <w:r>
        <w:t>No exceptions are sought.</w:t>
      </w:r>
    </w:p>
    <w:p w:rsidR="00AD0B25" w:rsidRDefault="00AD0B25" w:rsidP="001338D9">
      <w:pPr>
        <w:pStyle w:val="AbtHeadB"/>
      </w:pPr>
    </w:p>
    <w:sectPr w:rsidR="00AD0B25" w:rsidSect="003B6A56">
      <w:footerReference w:type="default" r:id="rId15"/>
      <w:pgSz w:w="12240" w:h="15840" w:code="1"/>
      <w:pgMar w:top="1440" w:right="1440" w:bottom="1008" w:left="1800" w:header="720"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C12" w:rsidRDefault="00A63C12">
      <w:r>
        <w:separator/>
      </w:r>
    </w:p>
  </w:endnote>
  <w:endnote w:type="continuationSeparator" w:id="0">
    <w:p w:rsidR="00A63C12" w:rsidRDefault="00A63C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60" w:rsidRDefault="00EF746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7460" w:rsidRDefault="00EF7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60" w:rsidRDefault="00EF7460">
    <w:pPr>
      <w:pStyle w:val="Footer"/>
    </w:pPr>
  </w:p>
  <w:p w:rsidR="00EF7460" w:rsidRDefault="00EF7460">
    <w:pPr>
      <w:pStyle w:val="Footer"/>
    </w:pPr>
    <w:r>
      <w:t>Abt Associates Inc.</w:t>
    </w:r>
    <w:r>
      <w:tab/>
      <w:t>Table of Contents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60" w:rsidRDefault="00EF7460">
    <w:pPr>
      <w:jc w:val="center"/>
      <w:rP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60" w:rsidRDefault="00EF7460">
    <w:pPr>
      <w:pStyle w:val="Footer"/>
      <w:pBdr>
        <w:top w:val="single" w:sz="8" w:space="1" w:color="auto"/>
      </w:pBdr>
      <w:rPr>
        <w:rStyle w:val="PageNumber"/>
      </w:rPr>
    </w:pPr>
    <w:r>
      <w:t>Abt Associates Inc.</w:t>
    </w:r>
    <w:r>
      <w:tab/>
      <w:t>Contents</w:t>
    </w:r>
    <w:r>
      <w:tab/>
    </w:r>
    <w:r>
      <w:rPr>
        <w:rStyle w:val="PageNumber"/>
      </w:rPr>
      <w:fldChar w:fldCharType="begin"/>
    </w:r>
    <w:r>
      <w:rPr>
        <w:rStyle w:val="PageNumber"/>
      </w:rPr>
      <w:instrText xml:space="preserve"> PAGE </w:instrText>
    </w:r>
    <w:r>
      <w:rPr>
        <w:rStyle w:val="PageNumber"/>
      </w:rPr>
      <w:fldChar w:fldCharType="separate"/>
    </w:r>
    <w:r w:rsidR="001338D9">
      <w:rPr>
        <w:rStyle w:val="PageNumber"/>
        <w:noProof/>
      </w:rPr>
      <w:t>i</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60" w:rsidRDefault="00EF7460" w:rsidP="00C870E2">
    <w:pPr>
      <w:pStyle w:val="Footer"/>
      <w:pBdr>
        <w:top w:val="single" w:sz="8" w:space="1" w:color="auto"/>
      </w:pBdr>
      <w:tabs>
        <w:tab w:val="clear" w:pos="7560"/>
        <w:tab w:val="right" w:pos="8100"/>
      </w:tabs>
    </w:pPr>
    <w:r>
      <w:t>Abt Associates Inc.</w:t>
    </w:r>
    <w:r>
      <w:tab/>
      <w:t xml:space="preserve">Section </w:t>
    </w:r>
    <w:r w:rsidRPr="00D868C8">
      <w:t>B</w:t>
    </w:r>
    <w:r>
      <w:t xml:space="preserve">: </w:t>
    </w:r>
    <w:r w:rsidRPr="00D868C8">
      <w:t xml:space="preserve"> Collection of Information Employing Statistical Methods</w:t>
    </w:r>
    <w:r>
      <w:tab/>
      <w:t>B-</w:t>
    </w:r>
    <w:r>
      <w:rPr>
        <w:rStyle w:val="PageNumber"/>
      </w:rPr>
      <w:fldChar w:fldCharType="begin"/>
    </w:r>
    <w:r>
      <w:rPr>
        <w:rStyle w:val="PageNumber"/>
      </w:rPr>
      <w:instrText xml:space="preserve"> PAGE </w:instrText>
    </w:r>
    <w:r>
      <w:rPr>
        <w:rStyle w:val="PageNumber"/>
      </w:rPr>
      <w:fldChar w:fldCharType="separate"/>
    </w:r>
    <w:r w:rsidR="001338D9">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C12" w:rsidRDefault="00A63C12">
      <w:r>
        <w:separator/>
      </w:r>
    </w:p>
  </w:footnote>
  <w:footnote w:type="continuationSeparator" w:id="0">
    <w:p w:rsidR="00A63C12" w:rsidRDefault="00A63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60" w:rsidRDefault="00EF7460"/>
  <w:p w:rsidR="00EF7460" w:rsidRDefault="00EF746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3">
    <w:nsid w:val="254A4195"/>
    <w:multiLevelType w:val="hybridMultilevel"/>
    <w:tmpl w:val="7224600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9876438"/>
    <w:multiLevelType w:val="hybridMultilevel"/>
    <w:tmpl w:val="FCCA9934"/>
    <w:lvl w:ilvl="0" w:tplc="8A7C47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7456EA"/>
    <w:multiLevelType w:val="singleLevel"/>
    <w:tmpl w:val="FF18F624"/>
    <w:lvl w:ilvl="0">
      <w:start w:val="1"/>
      <w:numFmt w:val="decimal"/>
      <w:pStyle w:val="RefNumbers"/>
      <w:lvlText w:val="%1."/>
      <w:lvlJc w:val="left"/>
      <w:pPr>
        <w:tabs>
          <w:tab w:val="num" w:pos="432"/>
        </w:tabs>
        <w:ind w:left="360" w:hanging="288"/>
      </w:pPr>
    </w:lvl>
  </w:abstractNum>
  <w:abstractNum w:abstractNumId="6">
    <w:nsid w:val="35D7278A"/>
    <w:multiLevelType w:val="hybridMultilevel"/>
    <w:tmpl w:val="4EF0C25A"/>
    <w:lvl w:ilvl="0" w:tplc="CB505D08">
      <w:start w:val="2"/>
      <w:numFmt w:val="lowerLetter"/>
      <w:lvlText w:val="%1."/>
      <w:lvlJc w:val="left"/>
      <w:pPr>
        <w:tabs>
          <w:tab w:val="num" w:pos="287"/>
        </w:tabs>
        <w:ind w:left="287" w:hanging="360"/>
      </w:pPr>
      <w:rPr>
        <w:rFonts w:hint="default"/>
      </w:rPr>
    </w:lvl>
    <w:lvl w:ilvl="1" w:tplc="04090019" w:tentative="1">
      <w:start w:val="1"/>
      <w:numFmt w:val="lowerLetter"/>
      <w:lvlText w:val="%2."/>
      <w:lvlJc w:val="left"/>
      <w:pPr>
        <w:tabs>
          <w:tab w:val="num" w:pos="1007"/>
        </w:tabs>
        <w:ind w:left="1007" w:hanging="360"/>
      </w:pPr>
    </w:lvl>
    <w:lvl w:ilvl="2" w:tplc="0409001B" w:tentative="1">
      <w:start w:val="1"/>
      <w:numFmt w:val="lowerRoman"/>
      <w:lvlText w:val="%3."/>
      <w:lvlJc w:val="right"/>
      <w:pPr>
        <w:tabs>
          <w:tab w:val="num" w:pos="1727"/>
        </w:tabs>
        <w:ind w:left="1727" w:hanging="180"/>
      </w:pPr>
    </w:lvl>
    <w:lvl w:ilvl="3" w:tplc="0409000F" w:tentative="1">
      <w:start w:val="1"/>
      <w:numFmt w:val="decimal"/>
      <w:lvlText w:val="%4."/>
      <w:lvlJc w:val="left"/>
      <w:pPr>
        <w:tabs>
          <w:tab w:val="num" w:pos="2447"/>
        </w:tabs>
        <w:ind w:left="2447" w:hanging="360"/>
      </w:pPr>
    </w:lvl>
    <w:lvl w:ilvl="4" w:tplc="04090019" w:tentative="1">
      <w:start w:val="1"/>
      <w:numFmt w:val="lowerLetter"/>
      <w:lvlText w:val="%5."/>
      <w:lvlJc w:val="left"/>
      <w:pPr>
        <w:tabs>
          <w:tab w:val="num" w:pos="3167"/>
        </w:tabs>
        <w:ind w:left="3167" w:hanging="360"/>
      </w:pPr>
    </w:lvl>
    <w:lvl w:ilvl="5" w:tplc="0409001B" w:tentative="1">
      <w:start w:val="1"/>
      <w:numFmt w:val="lowerRoman"/>
      <w:lvlText w:val="%6."/>
      <w:lvlJc w:val="right"/>
      <w:pPr>
        <w:tabs>
          <w:tab w:val="num" w:pos="3887"/>
        </w:tabs>
        <w:ind w:left="3887" w:hanging="180"/>
      </w:pPr>
    </w:lvl>
    <w:lvl w:ilvl="6" w:tplc="0409000F" w:tentative="1">
      <w:start w:val="1"/>
      <w:numFmt w:val="decimal"/>
      <w:lvlText w:val="%7."/>
      <w:lvlJc w:val="left"/>
      <w:pPr>
        <w:tabs>
          <w:tab w:val="num" w:pos="4607"/>
        </w:tabs>
        <w:ind w:left="4607" w:hanging="360"/>
      </w:pPr>
    </w:lvl>
    <w:lvl w:ilvl="7" w:tplc="04090019" w:tentative="1">
      <w:start w:val="1"/>
      <w:numFmt w:val="lowerLetter"/>
      <w:lvlText w:val="%8."/>
      <w:lvlJc w:val="left"/>
      <w:pPr>
        <w:tabs>
          <w:tab w:val="num" w:pos="5327"/>
        </w:tabs>
        <w:ind w:left="5327" w:hanging="360"/>
      </w:pPr>
    </w:lvl>
    <w:lvl w:ilvl="8" w:tplc="0409001B" w:tentative="1">
      <w:start w:val="1"/>
      <w:numFmt w:val="lowerRoman"/>
      <w:lvlText w:val="%9."/>
      <w:lvlJc w:val="right"/>
      <w:pPr>
        <w:tabs>
          <w:tab w:val="num" w:pos="6047"/>
        </w:tabs>
        <w:ind w:left="6047" w:hanging="180"/>
      </w:pPr>
    </w:lvl>
  </w:abstractNum>
  <w:abstractNum w:abstractNumId="7">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3124440"/>
    <w:multiLevelType w:val="hybridMultilevel"/>
    <w:tmpl w:val="35DE161A"/>
    <w:lvl w:ilvl="0" w:tplc="8A7C47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0E370F"/>
    <w:multiLevelType w:val="singleLevel"/>
    <w:tmpl w:val="B20018D2"/>
    <w:lvl w:ilvl="0">
      <w:start w:val="1"/>
      <w:numFmt w:val="decimal"/>
      <w:lvlText w:val="%1."/>
      <w:lvlJc w:val="left"/>
      <w:pPr>
        <w:tabs>
          <w:tab w:val="num" w:pos="1080"/>
        </w:tabs>
        <w:ind w:left="1080" w:hanging="360"/>
      </w:pPr>
    </w:lvl>
  </w:abstractNum>
  <w:abstractNum w:abstractNumId="11">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2">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7"/>
  </w:num>
  <w:num w:numId="3">
    <w:abstractNumId w:val="12"/>
  </w:num>
  <w:num w:numId="4">
    <w:abstractNumId w:val="8"/>
  </w:num>
  <w:num w:numId="5">
    <w:abstractNumId w:val="15"/>
  </w:num>
  <w:num w:numId="6">
    <w:abstractNumId w:val="19"/>
  </w:num>
  <w:num w:numId="7">
    <w:abstractNumId w:val="16"/>
  </w:num>
  <w:num w:numId="8">
    <w:abstractNumId w:val="10"/>
  </w:num>
  <w:num w:numId="9">
    <w:abstractNumId w:val="0"/>
  </w:num>
  <w:num w:numId="10">
    <w:abstractNumId w:val="17"/>
  </w:num>
  <w:num w:numId="11">
    <w:abstractNumId w:val="11"/>
  </w:num>
  <w:num w:numId="12">
    <w:abstractNumId w:val="1"/>
  </w:num>
  <w:num w:numId="13">
    <w:abstractNumId w:val="1"/>
  </w:num>
  <w:num w:numId="14">
    <w:abstractNumId w:val="2"/>
  </w:num>
  <w:num w:numId="15">
    <w:abstractNumId w:val="14"/>
  </w:num>
  <w:num w:numId="16">
    <w:abstractNumId w:val="18"/>
  </w:num>
  <w:num w:numId="17">
    <w:abstractNumId w:val="13"/>
  </w:num>
  <w:num w:numId="18">
    <w:abstractNumId w:val="4"/>
  </w:num>
  <w:num w:numId="19">
    <w:abstractNumId w:val="9"/>
  </w:num>
  <w:num w:numId="20">
    <w:abstractNumId w:val="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grammar="clean"/>
  <w:attachedTemplate r:id="rId1"/>
  <w:stylePaneFormatFilter w:val="3F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AD0B25"/>
    <w:rsid w:val="00032CC2"/>
    <w:rsid w:val="000442D4"/>
    <w:rsid w:val="00046783"/>
    <w:rsid w:val="00050CE1"/>
    <w:rsid w:val="000651A9"/>
    <w:rsid w:val="00065713"/>
    <w:rsid w:val="000831D9"/>
    <w:rsid w:val="0008799C"/>
    <w:rsid w:val="000B73AF"/>
    <w:rsid w:val="000C018C"/>
    <w:rsid w:val="000D1E11"/>
    <w:rsid w:val="000D2807"/>
    <w:rsid w:val="000D2B1F"/>
    <w:rsid w:val="000D468C"/>
    <w:rsid w:val="000F5EB6"/>
    <w:rsid w:val="00100A18"/>
    <w:rsid w:val="00110720"/>
    <w:rsid w:val="0011591C"/>
    <w:rsid w:val="001208E2"/>
    <w:rsid w:val="001338D9"/>
    <w:rsid w:val="001604C1"/>
    <w:rsid w:val="001663CB"/>
    <w:rsid w:val="0017214A"/>
    <w:rsid w:val="001749DF"/>
    <w:rsid w:val="001762E1"/>
    <w:rsid w:val="00182C03"/>
    <w:rsid w:val="0019645D"/>
    <w:rsid w:val="001B2861"/>
    <w:rsid w:val="001C0304"/>
    <w:rsid w:val="001D0625"/>
    <w:rsid w:val="002209E8"/>
    <w:rsid w:val="00220A9F"/>
    <w:rsid w:val="00222BF8"/>
    <w:rsid w:val="0022410E"/>
    <w:rsid w:val="00256F31"/>
    <w:rsid w:val="00284DC1"/>
    <w:rsid w:val="0029303F"/>
    <w:rsid w:val="0029742B"/>
    <w:rsid w:val="002975FB"/>
    <w:rsid w:val="002A0E75"/>
    <w:rsid w:val="002A28B3"/>
    <w:rsid w:val="002B74D5"/>
    <w:rsid w:val="002C2410"/>
    <w:rsid w:val="002D1424"/>
    <w:rsid w:val="002D46C2"/>
    <w:rsid w:val="002F2CC6"/>
    <w:rsid w:val="00301213"/>
    <w:rsid w:val="003224B3"/>
    <w:rsid w:val="003276CA"/>
    <w:rsid w:val="00335BAE"/>
    <w:rsid w:val="00336DEA"/>
    <w:rsid w:val="00337627"/>
    <w:rsid w:val="00356B6C"/>
    <w:rsid w:val="003604C6"/>
    <w:rsid w:val="00372E27"/>
    <w:rsid w:val="0039763F"/>
    <w:rsid w:val="003B63F9"/>
    <w:rsid w:val="003B6A56"/>
    <w:rsid w:val="003C0DAB"/>
    <w:rsid w:val="003C493A"/>
    <w:rsid w:val="003D4732"/>
    <w:rsid w:val="003E3908"/>
    <w:rsid w:val="003F0AC1"/>
    <w:rsid w:val="003F53CF"/>
    <w:rsid w:val="003F77E2"/>
    <w:rsid w:val="00407BB3"/>
    <w:rsid w:val="00410070"/>
    <w:rsid w:val="00420ABC"/>
    <w:rsid w:val="00435282"/>
    <w:rsid w:val="004361EA"/>
    <w:rsid w:val="00444D82"/>
    <w:rsid w:val="0045278C"/>
    <w:rsid w:val="0045365D"/>
    <w:rsid w:val="00462334"/>
    <w:rsid w:val="00465061"/>
    <w:rsid w:val="0047041B"/>
    <w:rsid w:val="0047350C"/>
    <w:rsid w:val="00492DF0"/>
    <w:rsid w:val="004936FD"/>
    <w:rsid w:val="00497861"/>
    <w:rsid w:val="004A6D0E"/>
    <w:rsid w:val="004B4E5D"/>
    <w:rsid w:val="004B5B1E"/>
    <w:rsid w:val="004D3D9B"/>
    <w:rsid w:val="0050128A"/>
    <w:rsid w:val="00502844"/>
    <w:rsid w:val="00527689"/>
    <w:rsid w:val="00533695"/>
    <w:rsid w:val="00536B8B"/>
    <w:rsid w:val="00557834"/>
    <w:rsid w:val="005A0219"/>
    <w:rsid w:val="005C3B39"/>
    <w:rsid w:val="005C56A1"/>
    <w:rsid w:val="005D564C"/>
    <w:rsid w:val="00600188"/>
    <w:rsid w:val="0061390B"/>
    <w:rsid w:val="00623E00"/>
    <w:rsid w:val="0062691B"/>
    <w:rsid w:val="006272AA"/>
    <w:rsid w:val="00641984"/>
    <w:rsid w:val="006442E7"/>
    <w:rsid w:val="00651482"/>
    <w:rsid w:val="00656D6A"/>
    <w:rsid w:val="00656E21"/>
    <w:rsid w:val="0066107C"/>
    <w:rsid w:val="00687550"/>
    <w:rsid w:val="00687734"/>
    <w:rsid w:val="006955D2"/>
    <w:rsid w:val="00695D90"/>
    <w:rsid w:val="006A69C8"/>
    <w:rsid w:val="006C7D38"/>
    <w:rsid w:val="006D5345"/>
    <w:rsid w:val="006D66A8"/>
    <w:rsid w:val="006E5C34"/>
    <w:rsid w:val="00700C38"/>
    <w:rsid w:val="00704018"/>
    <w:rsid w:val="007138F0"/>
    <w:rsid w:val="00713CD7"/>
    <w:rsid w:val="00753BF0"/>
    <w:rsid w:val="00771337"/>
    <w:rsid w:val="00781897"/>
    <w:rsid w:val="007A20B5"/>
    <w:rsid w:val="007A7B66"/>
    <w:rsid w:val="007B5146"/>
    <w:rsid w:val="007B6579"/>
    <w:rsid w:val="007C6577"/>
    <w:rsid w:val="007D03F0"/>
    <w:rsid w:val="007D1B82"/>
    <w:rsid w:val="007D520B"/>
    <w:rsid w:val="007D7400"/>
    <w:rsid w:val="00802CC2"/>
    <w:rsid w:val="00806B7E"/>
    <w:rsid w:val="00810FFA"/>
    <w:rsid w:val="00811624"/>
    <w:rsid w:val="00815AA7"/>
    <w:rsid w:val="00826F95"/>
    <w:rsid w:val="0083214B"/>
    <w:rsid w:val="008413B4"/>
    <w:rsid w:val="008473AB"/>
    <w:rsid w:val="00854FF6"/>
    <w:rsid w:val="0086451B"/>
    <w:rsid w:val="008822B4"/>
    <w:rsid w:val="008A4BCD"/>
    <w:rsid w:val="008C14BD"/>
    <w:rsid w:val="008C1F83"/>
    <w:rsid w:val="008C1F98"/>
    <w:rsid w:val="008E0C6C"/>
    <w:rsid w:val="008E192E"/>
    <w:rsid w:val="008E3F3F"/>
    <w:rsid w:val="008E5B11"/>
    <w:rsid w:val="0090281E"/>
    <w:rsid w:val="00904F95"/>
    <w:rsid w:val="009051FC"/>
    <w:rsid w:val="00912361"/>
    <w:rsid w:val="00913790"/>
    <w:rsid w:val="00926B5F"/>
    <w:rsid w:val="009453A8"/>
    <w:rsid w:val="0094791B"/>
    <w:rsid w:val="00963CA4"/>
    <w:rsid w:val="0096576A"/>
    <w:rsid w:val="009669D1"/>
    <w:rsid w:val="009710AD"/>
    <w:rsid w:val="00972B28"/>
    <w:rsid w:val="00972BB2"/>
    <w:rsid w:val="00975B29"/>
    <w:rsid w:val="00983A27"/>
    <w:rsid w:val="009B6A86"/>
    <w:rsid w:val="009B7E1C"/>
    <w:rsid w:val="009C7A8E"/>
    <w:rsid w:val="009E39F7"/>
    <w:rsid w:val="009F3AE6"/>
    <w:rsid w:val="00A16C93"/>
    <w:rsid w:val="00A2283D"/>
    <w:rsid w:val="00A26F48"/>
    <w:rsid w:val="00A32764"/>
    <w:rsid w:val="00A3410E"/>
    <w:rsid w:val="00A36C6F"/>
    <w:rsid w:val="00A36E1F"/>
    <w:rsid w:val="00A40007"/>
    <w:rsid w:val="00A40B60"/>
    <w:rsid w:val="00A53A08"/>
    <w:rsid w:val="00A55153"/>
    <w:rsid w:val="00A63C12"/>
    <w:rsid w:val="00A67926"/>
    <w:rsid w:val="00A76DC4"/>
    <w:rsid w:val="00A9017F"/>
    <w:rsid w:val="00AA0042"/>
    <w:rsid w:val="00AD0B25"/>
    <w:rsid w:val="00AD38DD"/>
    <w:rsid w:val="00AD4845"/>
    <w:rsid w:val="00AD4D5C"/>
    <w:rsid w:val="00AF5B6C"/>
    <w:rsid w:val="00B04C0A"/>
    <w:rsid w:val="00B11E34"/>
    <w:rsid w:val="00B1208C"/>
    <w:rsid w:val="00B12A25"/>
    <w:rsid w:val="00B2770D"/>
    <w:rsid w:val="00B3593D"/>
    <w:rsid w:val="00B36241"/>
    <w:rsid w:val="00B375EE"/>
    <w:rsid w:val="00B42C49"/>
    <w:rsid w:val="00B42DC9"/>
    <w:rsid w:val="00B50B38"/>
    <w:rsid w:val="00B52EEE"/>
    <w:rsid w:val="00B54A17"/>
    <w:rsid w:val="00B663CA"/>
    <w:rsid w:val="00B67031"/>
    <w:rsid w:val="00B72796"/>
    <w:rsid w:val="00B7293C"/>
    <w:rsid w:val="00B85935"/>
    <w:rsid w:val="00B918E6"/>
    <w:rsid w:val="00B9274F"/>
    <w:rsid w:val="00BA1AA4"/>
    <w:rsid w:val="00BA1CF4"/>
    <w:rsid w:val="00BF3B90"/>
    <w:rsid w:val="00C07FB6"/>
    <w:rsid w:val="00C3121B"/>
    <w:rsid w:val="00C33E60"/>
    <w:rsid w:val="00C43A6D"/>
    <w:rsid w:val="00C447AB"/>
    <w:rsid w:val="00C54AD1"/>
    <w:rsid w:val="00C6676F"/>
    <w:rsid w:val="00C70541"/>
    <w:rsid w:val="00C831B9"/>
    <w:rsid w:val="00C83E08"/>
    <w:rsid w:val="00C870E2"/>
    <w:rsid w:val="00C90449"/>
    <w:rsid w:val="00CA63D2"/>
    <w:rsid w:val="00CB56D5"/>
    <w:rsid w:val="00CB60D8"/>
    <w:rsid w:val="00CC52B5"/>
    <w:rsid w:val="00CE1E9A"/>
    <w:rsid w:val="00CE7D79"/>
    <w:rsid w:val="00CF2CCC"/>
    <w:rsid w:val="00CF40D6"/>
    <w:rsid w:val="00CF6D34"/>
    <w:rsid w:val="00D03F28"/>
    <w:rsid w:val="00D165D3"/>
    <w:rsid w:val="00D232A5"/>
    <w:rsid w:val="00D32393"/>
    <w:rsid w:val="00D40542"/>
    <w:rsid w:val="00D407A6"/>
    <w:rsid w:val="00D4509A"/>
    <w:rsid w:val="00D45617"/>
    <w:rsid w:val="00D47F32"/>
    <w:rsid w:val="00D50122"/>
    <w:rsid w:val="00D514C2"/>
    <w:rsid w:val="00D5195F"/>
    <w:rsid w:val="00D66E77"/>
    <w:rsid w:val="00D868C8"/>
    <w:rsid w:val="00D9437C"/>
    <w:rsid w:val="00DA487F"/>
    <w:rsid w:val="00DD3D38"/>
    <w:rsid w:val="00DD46C3"/>
    <w:rsid w:val="00DD4F35"/>
    <w:rsid w:val="00DE314A"/>
    <w:rsid w:val="00E233B8"/>
    <w:rsid w:val="00E249AD"/>
    <w:rsid w:val="00E45282"/>
    <w:rsid w:val="00E46F78"/>
    <w:rsid w:val="00E80E6A"/>
    <w:rsid w:val="00E849BD"/>
    <w:rsid w:val="00E86858"/>
    <w:rsid w:val="00E978EF"/>
    <w:rsid w:val="00EA2F6B"/>
    <w:rsid w:val="00EC1A30"/>
    <w:rsid w:val="00EE4274"/>
    <w:rsid w:val="00EE46FC"/>
    <w:rsid w:val="00EF6E5C"/>
    <w:rsid w:val="00EF7460"/>
    <w:rsid w:val="00F07C7E"/>
    <w:rsid w:val="00F24EA2"/>
    <w:rsid w:val="00F2610B"/>
    <w:rsid w:val="00F31367"/>
    <w:rsid w:val="00F323C9"/>
    <w:rsid w:val="00F41458"/>
    <w:rsid w:val="00F4305E"/>
    <w:rsid w:val="00F50676"/>
    <w:rsid w:val="00F60DCE"/>
    <w:rsid w:val="00F65F9E"/>
    <w:rsid w:val="00F72907"/>
    <w:rsid w:val="00F83F1E"/>
    <w:rsid w:val="00F83F47"/>
    <w:rsid w:val="00F92A90"/>
    <w:rsid w:val="00FB2FCF"/>
    <w:rsid w:val="00FB49CF"/>
    <w:rsid w:val="00FB5714"/>
    <w:rsid w:val="00FC01CC"/>
    <w:rsid w:val="00FC041C"/>
    <w:rsid w:val="00FC5FFC"/>
    <w:rsid w:val="00FD233F"/>
    <w:rsid w:val="00FD5B47"/>
    <w:rsid w:val="00FE6ACB"/>
    <w:rsid w:val="00FE7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link w:val="AbtHeadDChar"/>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uiPriority w:val="39"/>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uiPriority w:val="39"/>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paragraph" w:styleId="BalloonText">
    <w:name w:val="Balloon Text"/>
    <w:basedOn w:val="Normal"/>
    <w:semiHidden/>
    <w:rsid w:val="00AD0B25"/>
    <w:rPr>
      <w:rFonts w:ascii="Tahoma" w:hAnsi="Tahoma" w:cs="Tahoma"/>
      <w:sz w:val="16"/>
      <w:szCs w:val="16"/>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link w:val="FootnoteTextChar"/>
    <w:uiPriority w:val="99"/>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character" w:styleId="FootnoteReference">
    <w:name w:val="footnote reference"/>
    <w:uiPriority w:val="99"/>
    <w:semiHidden/>
    <w:rsid w:val="00EF6E5C"/>
    <w:rPr>
      <w:vertAlign w:val="superscript"/>
    </w:rPr>
  </w:style>
  <w:style w:type="paragraph" w:styleId="CommentText">
    <w:name w:val="annotation text"/>
    <w:basedOn w:val="Normal"/>
    <w:semiHidden/>
    <w:rsid w:val="00EF6E5C"/>
    <w:rPr>
      <w:sz w:val="20"/>
    </w:rPr>
  </w:style>
  <w:style w:type="paragraph" w:styleId="CommentSubject">
    <w:name w:val="annotation subject"/>
    <w:basedOn w:val="CommentText"/>
    <w:next w:val="CommentText"/>
    <w:semiHidden/>
    <w:rsid w:val="00EF6E5C"/>
    <w:rPr>
      <w:b/>
      <w:bCs/>
    </w:rPr>
  </w:style>
  <w:style w:type="table" w:styleId="TableGrid">
    <w:name w:val="Table Grid"/>
    <w:basedOn w:val="TableNormal"/>
    <w:rsid w:val="00176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854FF6"/>
    <w:rPr>
      <w:i/>
      <w:iCs/>
    </w:rPr>
  </w:style>
  <w:style w:type="character" w:customStyle="1" w:styleId="AbtHeadDChar">
    <w:name w:val="AbtHead D Char"/>
    <w:link w:val="AbtHeadD"/>
    <w:rsid w:val="00284DC1"/>
    <w:rPr>
      <w:b/>
      <w:i/>
      <w:sz w:val="22"/>
      <w:lang w:val="en-US" w:eastAsia="en-US" w:bidi="ar-SA"/>
    </w:rPr>
  </w:style>
  <w:style w:type="paragraph" w:customStyle="1" w:styleId="ExhibitTitles">
    <w:name w:val="Exhibit Titles"/>
    <w:basedOn w:val="Table"/>
    <w:rsid w:val="007138F0"/>
    <w:pPr>
      <w:spacing w:before="60" w:after="60" w:line="240" w:lineRule="auto"/>
    </w:pPr>
    <w:rPr>
      <w:rFonts w:cs="Arial"/>
      <w:b/>
    </w:rPr>
  </w:style>
  <w:style w:type="paragraph" w:customStyle="1" w:styleId="ColorfulList-Accent11">
    <w:name w:val="Colorful List - Accent 11"/>
    <w:basedOn w:val="Normal"/>
    <w:uiPriority w:val="34"/>
    <w:qFormat/>
    <w:rsid w:val="001B2861"/>
    <w:pPr>
      <w:tabs>
        <w:tab w:val="clear" w:pos="720"/>
        <w:tab w:val="clear" w:pos="1080"/>
        <w:tab w:val="clear" w:pos="1440"/>
        <w:tab w:val="clear" w:pos="1800"/>
      </w:tabs>
      <w:spacing w:line="240" w:lineRule="auto"/>
      <w:ind w:left="720"/>
      <w:contextualSpacing/>
    </w:pPr>
    <w:rPr>
      <w:rFonts w:ascii="Cambria" w:hAnsi="Cambria"/>
      <w:sz w:val="24"/>
      <w:szCs w:val="24"/>
    </w:rPr>
  </w:style>
  <w:style w:type="paragraph" w:styleId="ListParagraph">
    <w:name w:val="List Paragraph"/>
    <w:basedOn w:val="Normal"/>
    <w:uiPriority w:val="34"/>
    <w:qFormat/>
    <w:rsid w:val="002209E8"/>
    <w:pPr>
      <w:tabs>
        <w:tab w:val="clear" w:pos="720"/>
        <w:tab w:val="clear" w:pos="1080"/>
        <w:tab w:val="clear" w:pos="1440"/>
        <w:tab w:val="clear" w:pos="1800"/>
      </w:tabs>
      <w:spacing w:line="240" w:lineRule="auto"/>
      <w:ind w:left="720"/>
      <w:contextualSpacing/>
    </w:pPr>
    <w:rPr>
      <w:sz w:val="24"/>
      <w:szCs w:val="24"/>
    </w:rPr>
  </w:style>
  <w:style w:type="character" w:customStyle="1" w:styleId="FootnoteTextChar">
    <w:name w:val="Footnote Text Char"/>
    <w:link w:val="FootnoteText"/>
    <w:uiPriority w:val="99"/>
    <w:semiHidden/>
    <w:rsid w:val="002209E8"/>
  </w:style>
</w:styles>
</file>

<file path=word/webSettings.xml><?xml version="1.0" encoding="utf-8"?>
<w:webSettings xmlns:r="http://schemas.openxmlformats.org/officeDocument/2006/relationships" xmlns:w="http://schemas.openxmlformats.org/wordprocessingml/2006/main">
  <w:divs>
    <w:div w:id="268589314">
      <w:bodyDiv w:val="1"/>
      <w:marLeft w:val="0"/>
      <w:marRight w:val="0"/>
      <w:marTop w:val="0"/>
      <w:marBottom w:val="0"/>
      <w:divBdr>
        <w:top w:val="none" w:sz="0" w:space="0" w:color="auto"/>
        <w:left w:val="none" w:sz="0" w:space="0" w:color="auto"/>
        <w:bottom w:val="none" w:sz="0" w:space="0" w:color="auto"/>
        <w:right w:val="none" w:sz="0" w:space="0" w:color="auto"/>
      </w:divBdr>
    </w:div>
    <w:div w:id="610627316">
      <w:bodyDiv w:val="1"/>
      <w:marLeft w:val="0"/>
      <w:marRight w:val="0"/>
      <w:marTop w:val="0"/>
      <w:marBottom w:val="0"/>
      <w:divBdr>
        <w:top w:val="none" w:sz="0" w:space="0" w:color="auto"/>
        <w:left w:val="none" w:sz="0" w:space="0" w:color="auto"/>
        <w:bottom w:val="none" w:sz="0" w:space="0" w:color="auto"/>
        <w:right w:val="none" w:sz="0" w:space="0" w:color="auto"/>
      </w:divBdr>
    </w:div>
    <w:div w:id="68459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96367-AD6E-420A-AD69-25B0049D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0</TotalTime>
  <Pages>8</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FaheyE</dc:creator>
  <cp:keywords>Single-Sided body Templates</cp:keywords>
  <cp:lastModifiedBy>splimpto</cp:lastModifiedBy>
  <cp:revision>2</cp:revision>
  <cp:lastPrinted>2010-08-05T17:08:00Z</cp:lastPrinted>
  <dcterms:created xsi:type="dcterms:W3CDTF">2011-12-13T17:56:00Z</dcterms:created>
  <dcterms:modified xsi:type="dcterms:W3CDTF">2011-12-13T17:56:00Z</dcterms:modified>
  <cp:category>Templates</cp:category>
</cp:coreProperties>
</file>