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271" w:rsidRPr="000B1271" w:rsidRDefault="000B1271" w:rsidP="000B1271">
      <w:pPr>
        <w:pStyle w:val="Heading1"/>
      </w:pPr>
      <w:bookmarkStart w:id="0" w:name="_Toc190490668"/>
      <w:bookmarkStart w:id="1" w:name="_Toc248818771"/>
      <w:bookmarkStart w:id="2" w:name="_Toc280179452"/>
      <w:r w:rsidRPr="000B1271">
        <w:t>Part B.</w:t>
      </w:r>
      <w:r w:rsidRPr="000B1271">
        <w:tab/>
        <w:t>Statistical Methods</w:t>
      </w:r>
      <w:bookmarkEnd w:id="0"/>
      <w:bookmarkEnd w:id="1"/>
      <w:bookmarkEnd w:id="2"/>
    </w:p>
    <w:p w:rsidR="000B1271" w:rsidRPr="000B1271" w:rsidRDefault="000B1271" w:rsidP="000B1271">
      <w:pPr>
        <w:pStyle w:val="Heading2"/>
      </w:pPr>
      <w:bookmarkStart w:id="3" w:name="_Toc190490669"/>
      <w:bookmarkStart w:id="4" w:name="_Toc248818772"/>
      <w:bookmarkStart w:id="5" w:name="_Toc280179453"/>
      <w:r w:rsidRPr="000B1271">
        <w:t>B1</w:t>
      </w:r>
      <w:r w:rsidRPr="000B1271">
        <w:tab/>
        <w:t>Potential Respondent Universe</w:t>
      </w:r>
      <w:bookmarkEnd w:id="3"/>
      <w:bookmarkEnd w:id="4"/>
      <w:bookmarkEnd w:id="5"/>
      <w:r w:rsidRPr="000B1271">
        <w:t xml:space="preserve">  </w:t>
      </w:r>
    </w:p>
    <w:p w:rsidR="000B1271" w:rsidRPr="008408FB" w:rsidRDefault="000B1271" w:rsidP="000B1271">
      <w:pPr>
        <w:tabs>
          <w:tab w:val="left" w:pos="720"/>
          <w:tab w:val="left" w:pos="1080"/>
          <w:tab w:val="left" w:pos="1440"/>
          <w:tab w:val="left" w:pos="1800"/>
        </w:tabs>
        <w:autoSpaceDE w:val="0"/>
        <w:autoSpaceDN w:val="0"/>
        <w:adjustRightInd w:val="0"/>
        <w:rPr>
          <w:szCs w:val="22"/>
        </w:rPr>
      </w:pPr>
      <w:r w:rsidRPr="008408FB">
        <w:rPr>
          <w:szCs w:val="22"/>
        </w:rPr>
        <w:t xml:space="preserve">The respondent universe for </w:t>
      </w:r>
      <w:r w:rsidR="00507EF0">
        <w:rPr>
          <w:szCs w:val="22"/>
        </w:rPr>
        <w:t>additional on-site data collection site visits</w:t>
      </w:r>
      <w:r w:rsidR="00216D18">
        <w:rPr>
          <w:szCs w:val="22"/>
        </w:rPr>
        <w:t xml:space="preserve"> is </w:t>
      </w:r>
      <w:r w:rsidR="00A85241">
        <w:rPr>
          <w:szCs w:val="22"/>
        </w:rPr>
        <w:t>up to 45</w:t>
      </w:r>
      <w:r w:rsidR="00A85241" w:rsidRPr="008408FB">
        <w:rPr>
          <w:szCs w:val="22"/>
        </w:rPr>
        <w:t xml:space="preserve"> </w:t>
      </w:r>
      <w:r w:rsidRPr="008408FB">
        <w:rPr>
          <w:szCs w:val="22"/>
        </w:rPr>
        <w:t>PHAs of different sizes and in different parts of the country that are believed to operate high-performing HCV programs.</w:t>
      </w:r>
      <w:r w:rsidRPr="008408FB">
        <w:t xml:space="preserve"> </w:t>
      </w:r>
    </w:p>
    <w:p w:rsidR="000B1271" w:rsidRPr="008408FB" w:rsidRDefault="000B1271" w:rsidP="000B1271">
      <w:pPr>
        <w:tabs>
          <w:tab w:val="left" w:pos="720"/>
          <w:tab w:val="left" w:pos="1080"/>
          <w:tab w:val="left" w:pos="1440"/>
          <w:tab w:val="left" w:pos="1800"/>
        </w:tabs>
        <w:autoSpaceDE w:val="0"/>
        <w:autoSpaceDN w:val="0"/>
        <w:adjustRightInd w:val="0"/>
        <w:rPr>
          <w:szCs w:val="22"/>
        </w:rPr>
      </w:pPr>
    </w:p>
    <w:p w:rsidR="000B1271" w:rsidRPr="000B1271" w:rsidRDefault="000B1271" w:rsidP="000B1271">
      <w:pPr>
        <w:pStyle w:val="Heading3"/>
      </w:pPr>
      <w:r w:rsidRPr="000B1271">
        <w:t xml:space="preserve">Rationale for Visiting </w:t>
      </w:r>
      <w:r w:rsidR="00A85241">
        <w:t>Up to 45</w:t>
      </w:r>
      <w:r w:rsidR="00A85241" w:rsidRPr="000B1271">
        <w:t xml:space="preserve"> </w:t>
      </w:r>
      <w:r w:rsidRPr="000B1271">
        <w:t>PHAs</w:t>
      </w:r>
    </w:p>
    <w:p w:rsidR="000B1271" w:rsidRDefault="000B1271" w:rsidP="00FA52D4">
      <w:pPr>
        <w:tabs>
          <w:tab w:val="left" w:pos="720"/>
          <w:tab w:val="left" w:pos="1080"/>
          <w:tab w:val="left" w:pos="1440"/>
          <w:tab w:val="left" w:pos="1800"/>
        </w:tabs>
        <w:autoSpaceDE w:val="0"/>
        <w:autoSpaceDN w:val="0"/>
        <w:adjustRightInd w:val="0"/>
      </w:pPr>
      <w:r w:rsidRPr="008408FB">
        <w:rPr>
          <w:szCs w:val="22"/>
        </w:rPr>
        <w:t xml:space="preserve">The rationale for </w:t>
      </w:r>
      <w:r>
        <w:rPr>
          <w:szCs w:val="22"/>
        </w:rPr>
        <w:t>visiting</w:t>
      </w:r>
      <w:r w:rsidRPr="008408FB">
        <w:rPr>
          <w:szCs w:val="22"/>
        </w:rPr>
        <w:t xml:space="preserve"> </w:t>
      </w:r>
      <w:r w:rsidR="00A85241">
        <w:rPr>
          <w:szCs w:val="22"/>
        </w:rPr>
        <w:t xml:space="preserve">up to 45 </w:t>
      </w:r>
      <w:r>
        <w:rPr>
          <w:szCs w:val="22"/>
        </w:rPr>
        <w:t xml:space="preserve">PHAs </w:t>
      </w:r>
      <w:r w:rsidRPr="008408FB">
        <w:rPr>
          <w:szCs w:val="22"/>
        </w:rPr>
        <w:t>is</w:t>
      </w:r>
      <w:r>
        <w:rPr>
          <w:szCs w:val="22"/>
        </w:rPr>
        <w:t xml:space="preserve"> to </w:t>
      </w:r>
      <w:r>
        <w:t xml:space="preserve">select additional high performing and efficient HCV programs to achieve a data collection sample of </w:t>
      </w:r>
      <w:r w:rsidR="00A85241">
        <w:t xml:space="preserve">up to 60 </w:t>
      </w:r>
      <w:r>
        <w:t xml:space="preserve">programs for the full </w:t>
      </w:r>
      <w:r w:rsidR="00B84B51">
        <w:t>national</w:t>
      </w:r>
      <w:r>
        <w:t xml:space="preserve"> study </w:t>
      </w:r>
      <w:r w:rsidRPr="00BE31F5">
        <w:t xml:space="preserve">that is </w:t>
      </w:r>
      <w:r w:rsidRPr="00B84B51">
        <w:t>representative</w:t>
      </w:r>
      <w:r w:rsidR="00DB0A0A" w:rsidRPr="00B84B51">
        <w:t xml:space="preserve"> </w:t>
      </w:r>
      <w:r w:rsidR="004C7528" w:rsidRPr="00B84B51">
        <w:t>(</w:t>
      </w:r>
      <w:r w:rsidR="00DB0A0A" w:rsidRPr="00B84B51">
        <w:t>of high performing HCV programs</w:t>
      </w:r>
      <w:r w:rsidR="004C7528" w:rsidRPr="00B84B51">
        <w:t>)</w:t>
      </w:r>
      <w:r w:rsidRPr="00B84B51">
        <w:t xml:space="preserve"> by</w:t>
      </w:r>
      <w:r w:rsidRPr="00BE31F5">
        <w:t xml:space="preserve"> </w:t>
      </w:r>
      <w:r w:rsidR="00DB0A0A">
        <w:t xml:space="preserve">HCV program </w:t>
      </w:r>
      <w:r w:rsidRPr="00BE31F5">
        <w:t xml:space="preserve">size, </w:t>
      </w:r>
      <w:r w:rsidRPr="00FA52D4">
        <w:t>location</w:t>
      </w:r>
      <w:r w:rsidR="00A85241">
        <w:t>,</w:t>
      </w:r>
      <w:r w:rsidRPr="00FA52D4">
        <w:t xml:space="preserve"> and program type.</w:t>
      </w:r>
      <w:r w:rsidR="00FA52D4" w:rsidRPr="00FA52D4">
        <w:t xml:space="preserve"> </w:t>
      </w:r>
      <w:r w:rsidR="00A85241">
        <w:t xml:space="preserve">From the reconnaissance phase, </w:t>
      </w:r>
      <w:r w:rsidR="00A85241" w:rsidRPr="0041571F">
        <w:t xml:space="preserve">we identified </w:t>
      </w:r>
      <w:r w:rsidR="00A85241">
        <w:t>31-3</w:t>
      </w:r>
      <w:r w:rsidR="00A85241" w:rsidRPr="0041571F">
        <w:t>5 PHAs that met the study criteria for high performance and efficiency</w:t>
      </w:r>
      <w:r w:rsidR="00A85241">
        <w:t xml:space="preserve"> and that have large enough HCV programs to be considered for the full study.</w:t>
      </w:r>
      <w:r w:rsidR="00A85241">
        <w:rPr>
          <w:rStyle w:val="FootnoteReference"/>
        </w:rPr>
        <w:footnoteReference w:id="1"/>
      </w:r>
      <w:r w:rsidR="00A85241">
        <w:t xml:space="preserve"> Our current sampling plan for the full study calls for collecting data from up to 60 PHAs. As a result, we need to identify an additional 25-29 PHAs that meet the study’s criteria for high performance to be included in the full study, plus several more PHAs to serve as backup agencies in case any of the PHA’s approved in the first reconnaissance phase declines to participate (</w:t>
      </w:r>
      <w:r w:rsidR="00384FAC">
        <w:t xml:space="preserve">so we need </w:t>
      </w:r>
      <w:proofErr w:type="gramStart"/>
      <w:r w:rsidR="00384FAC">
        <w:t>to</w:t>
      </w:r>
      <w:proofErr w:type="gramEnd"/>
      <w:r w:rsidR="00384FAC">
        <w:t xml:space="preserve"> identify</w:t>
      </w:r>
      <w:r w:rsidR="005D1110">
        <w:t xml:space="preserve"> </w:t>
      </w:r>
      <w:r w:rsidR="00A85241">
        <w:t xml:space="preserve">approximately 34 PHAs in total). This OMB request is to conduct site visits similar to those done in the reconnaissance phase at up to 45 PHAs to identify another 34 PHAs for potential inclusion in the full study. </w:t>
      </w:r>
    </w:p>
    <w:p w:rsidR="006D140B" w:rsidRDefault="006D140B" w:rsidP="00FA52D4">
      <w:pPr>
        <w:tabs>
          <w:tab w:val="left" w:pos="720"/>
          <w:tab w:val="left" w:pos="1080"/>
          <w:tab w:val="left" w:pos="1440"/>
          <w:tab w:val="left" w:pos="1800"/>
        </w:tabs>
        <w:autoSpaceDE w:val="0"/>
        <w:autoSpaceDN w:val="0"/>
        <w:adjustRightInd w:val="0"/>
      </w:pPr>
    </w:p>
    <w:p w:rsidR="00384FAC" w:rsidRDefault="006D140B" w:rsidP="00384FAC">
      <w:pPr>
        <w:tabs>
          <w:tab w:val="left" w:pos="720"/>
          <w:tab w:val="left" w:pos="1080"/>
          <w:tab w:val="left" w:pos="1440"/>
          <w:tab w:val="left" w:pos="1800"/>
        </w:tabs>
        <w:autoSpaceDE w:val="0"/>
        <w:autoSpaceDN w:val="0"/>
        <w:adjustRightInd w:val="0"/>
      </w:pPr>
      <w:r>
        <w:t xml:space="preserve">The reason that we need to identify </w:t>
      </w:r>
      <w:r w:rsidR="00A85241">
        <w:t>34 additional</w:t>
      </w:r>
      <w:r>
        <w:t xml:space="preserve"> PHAs for the full study is that we need at least </w:t>
      </w:r>
      <w:r w:rsidR="00A85241">
        <w:t xml:space="preserve">25 </w:t>
      </w:r>
      <w:r>
        <w:t xml:space="preserve">high performing agencies to make up the current gap between the </w:t>
      </w:r>
      <w:r w:rsidR="00A85241">
        <w:t xml:space="preserve">31-35 </w:t>
      </w:r>
      <w:r>
        <w:t xml:space="preserve">agencies </w:t>
      </w:r>
      <w:r w:rsidR="002E33D6">
        <w:t xml:space="preserve">identified as viable candidates in the first stage </w:t>
      </w:r>
      <w:r w:rsidR="00104376">
        <w:t>and</w:t>
      </w:r>
      <w:r w:rsidR="00384FAC">
        <w:t xml:space="preserve"> the </w:t>
      </w:r>
      <w:r w:rsidR="00104376">
        <w:t xml:space="preserve">up to 60 PHAs needed for the </w:t>
      </w:r>
      <w:r w:rsidR="00384FAC">
        <w:t xml:space="preserve">full </w:t>
      </w:r>
      <w:r w:rsidR="00104376">
        <w:t>study.</w:t>
      </w:r>
      <w:r w:rsidR="00384FAC">
        <w:t xml:space="preserve"> </w:t>
      </w:r>
      <w:r>
        <w:t xml:space="preserve">The reason we need to visit </w:t>
      </w:r>
      <w:r w:rsidR="002E33D6">
        <w:t xml:space="preserve">45 </w:t>
      </w:r>
      <w:r>
        <w:t xml:space="preserve">agencies to identify </w:t>
      </w:r>
      <w:r w:rsidR="002E33D6">
        <w:t>the 34</w:t>
      </w:r>
      <w:r>
        <w:t xml:space="preserve"> </w:t>
      </w:r>
      <w:r w:rsidR="002E33D6">
        <w:t xml:space="preserve">additional PHAs </w:t>
      </w:r>
      <w:r>
        <w:t>is that we expect (based on the findings from the reconnaissance phase) that only about three-quarters of the agencies visited will meet the criteria for inclusion in the full study</w:t>
      </w:r>
      <w:r w:rsidR="005D1110">
        <w:t xml:space="preserve"> </w:t>
      </w:r>
      <w:r w:rsidR="00384FAC">
        <w:t>and a number of PHAs confirmed in the first reconnaissance site visits might decline to participate in the full study.</w:t>
      </w:r>
    </w:p>
    <w:p w:rsidR="000B1271" w:rsidRDefault="000B1271" w:rsidP="00384FAC">
      <w:pPr>
        <w:tabs>
          <w:tab w:val="left" w:pos="720"/>
          <w:tab w:val="left" w:pos="1080"/>
          <w:tab w:val="left" w:pos="1440"/>
          <w:tab w:val="left" w:pos="1800"/>
        </w:tabs>
        <w:autoSpaceDE w:val="0"/>
        <w:autoSpaceDN w:val="0"/>
        <w:adjustRightInd w:val="0"/>
      </w:pPr>
    </w:p>
    <w:p w:rsidR="000B1271" w:rsidRPr="000B1271" w:rsidRDefault="000B1271" w:rsidP="000B1271">
      <w:pPr>
        <w:pStyle w:val="Heading3"/>
      </w:pPr>
      <w:r w:rsidRPr="000B1271">
        <w:t>Rationale for Focusing on High Performers</w:t>
      </w:r>
    </w:p>
    <w:p w:rsidR="000B1271" w:rsidRPr="00382278" w:rsidRDefault="000B1271" w:rsidP="000B1271">
      <w:r w:rsidRPr="00382278">
        <w:t>The reason for limiting the study sample to PHAs with high-performing HCV programs is that HUD intends the full national study of administrative fees to be based on high-performing and efficient programs</w:t>
      </w:r>
      <w:r>
        <w:t xml:space="preserve">. </w:t>
      </w:r>
      <w:r w:rsidRPr="00382278">
        <w:t xml:space="preserve">The full national study will provide cost information to inform the development of a new administrative fee formula for the HCV program, and HUD wants to </w:t>
      </w:r>
      <w:r>
        <w:t>model</w:t>
      </w:r>
      <w:r w:rsidRPr="00382278">
        <w:t xml:space="preserve"> administrative costs at only those HCV programs that are</w:t>
      </w:r>
      <w:r>
        <w:t xml:space="preserve"> high performers. HCV programs can be non-high-performin</w:t>
      </w:r>
      <w:r w:rsidR="00B84B51">
        <w:t>g for a wide variety of reasons</w:t>
      </w:r>
      <w:r>
        <w:t xml:space="preserve"> and HUD does not want to spend the limited resources available for this project studying program administration at agencies known not to be high performers.</w:t>
      </w:r>
    </w:p>
    <w:p w:rsidR="000B1271" w:rsidRDefault="000B1271" w:rsidP="000B1271"/>
    <w:p w:rsidR="000B1271" w:rsidRPr="000B1271" w:rsidRDefault="000B1271" w:rsidP="000B1271">
      <w:pPr>
        <w:pStyle w:val="Heading3"/>
      </w:pPr>
      <w:r w:rsidRPr="000B1271">
        <w:lastRenderedPageBreak/>
        <w:t xml:space="preserve">Selection of the Sample of </w:t>
      </w:r>
      <w:r w:rsidR="002E33D6">
        <w:t>45</w:t>
      </w:r>
      <w:r w:rsidR="002E33D6" w:rsidRPr="000B1271">
        <w:t xml:space="preserve"> </w:t>
      </w:r>
      <w:r w:rsidRPr="000B1271">
        <w:t>PHAs</w:t>
      </w:r>
    </w:p>
    <w:p w:rsidR="000B1271" w:rsidRDefault="000B1271" w:rsidP="000B1271">
      <w:r>
        <w:t xml:space="preserve">The </w:t>
      </w:r>
      <w:r w:rsidR="00216D18">
        <w:t xml:space="preserve">full </w:t>
      </w:r>
      <w:r>
        <w:t>national study of administrative fees in the HCV program—</w:t>
      </w:r>
      <w:r w:rsidR="00B84B51">
        <w:t>which will be the subject of a separate OMB request</w:t>
      </w:r>
      <w:r>
        <w:t xml:space="preserve">—will ultimately be based on costs observed at a group of HCV programs that </w:t>
      </w:r>
      <w:r w:rsidR="00B84B51">
        <w:t>are</w:t>
      </w:r>
      <w:r>
        <w:t xml:space="preserve"> high-performing and efficient. As a result, the </w:t>
      </w:r>
      <w:r w:rsidR="0058381C">
        <w:t>additional</w:t>
      </w:r>
      <w:r>
        <w:t xml:space="preserve"> site visits will focus, to the extent possible, on HCV programs that are believed to be high-performing and efficient. </w:t>
      </w:r>
    </w:p>
    <w:p w:rsidR="000B1271" w:rsidRDefault="000B1271" w:rsidP="000B1271"/>
    <w:p w:rsidR="000B1271" w:rsidRDefault="000B1271" w:rsidP="000B1271">
      <w:pPr>
        <w:rPr>
          <w:szCs w:val="22"/>
        </w:rPr>
      </w:pPr>
      <w:r w:rsidRPr="00AD2B87">
        <w:rPr>
          <w:szCs w:val="22"/>
        </w:rPr>
        <w:t xml:space="preserve">The sample </w:t>
      </w:r>
      <w:r w:rsidR="00B84B51">
        <w:rPr>
          <w:szCs w:val="22"/>
        </w:rPr>
        <w:t xml:space="preserve">of </w:t>
      </w:r>
      <w:r w:rsidR="002E33D6">
        <w:rPr>
          <w:szCs w:val="22"/>
        </w:rPr>
        <w:t xml:space="preserve">45 </w:t>
      </w:r>
      <w:r w:rsidR="00B84B51">
        <w:rPr>
          <w:szCs w:val="22"/>
        </w:rPr>
        <w:t xml:space="preserve">PHAs </w:t>
      </w:r>
      <w:r w:rsidRPr="00AD2B87">
        <w:rPr>
          <w:szCs w:val="22"/>
        </w:rPr>
        <w:t xml:space="preserve">for </w:t>
      </w:r>
      <w:r w:rsidR="00B84B51">
        <w:rPr>
          <w:szCs w:val="22"/>
        </w:rPr>
        <w:t>additional on-site data collection</w:t>
      </w:r>
      <w:r w:rsidRPr="00AD2B87">
        <w:rPr>
          <w:szCs w:val="22"/>
        </w:rPr>
        <w:t xml:space="preserve"> will generally be selected in a manner similar to the reconnaissance sample selection</w:t>
      </w:r>
      <w:r w:rsidR="00B84B51">
        <w:rPr>
          <w:szCs w:val="22"/>
        </w:rPr>
        <w:t xml:space="preserve"> in the first phase of the study</w:t>
      </w:r>
      <w:r w:rsidRPr="00AD2B87">
        <w:rPr>
          <w:szCs w:val="22"/>
        </w:rPr>
        <w:t xml:space="preserve">. The sample of </w:t>
      </w:r>
      <w:r w:rsidR="002E33D6">
        <w:rPr>
          <w:szCs w:val="22"/>
        </w:rPr>
        <w:t>45</w:t>
      </w:r>
      <w:r w:rsidR="002E33D6" w:rsidRPr="00AD2B87">
        <w:rPr>
          <w:szCs w:val="22"/>
        </w:rPr>
        <w:t xml:space="preserve"> </w:t>
      </w:r>
      <w:r w:rsidRPr="00AD2B87">
        <w:rPr>
          <w:szCs w:val="22"/>
        </w:rPr>
        <w:t xml:space="preserve">PHAs will be drawn using random stratified sampling from the universe of HCV programs that were designated as “high performers” by HUD’s </w:t>
      </w:r>
      <w:r w:rsidR="00B84B51">
        <w:rPr>
          <w:szCs w:val="22"/>
        </w:rPr>
        <w:t>SEMAP system</w:t>
      </w:r>
      <w:r w:rsidRPr="00AD2B87">
        <w:rPr>
          <w:szCs w:val="22"/>
        </w:rPr>
        <w:t xml:space="preserve"> in </w:t>
      </w:r>
      <w:r w:rsidR="00C66620">
        <w:rPr>
          <w:szCs w:val="22"/>
        </w:rPr>
        <w:t xml:space="preserve">three of the four years </w:t>
      </w:r>
      <w:r w:rsidRPr="00AD2B87">
        <w:rPr>
          <w:szCs w:val="22"/>
        </w:rPr>
        <w:t xml:space="preserve">2007, 2008, 2009, </w:t>
      </w:r>
      <w:r w:rsidR="009B7CCD">
        <w:rPr>
          <w:szCs w:val="22"/>
        </w:rPr>
        <w:t xml:space="preserve">or </w:t>
      </w:r>
      <w:r w:rsidRPr="00AD2B87">
        <w:rPr>
          <w:szCs w:val="22"/>
        </w:rPr>
        <w:t xml:space="preserve">2010. </w:t>
      </w:r>
    </w:p>
    <w:p w:rsidR="000B1271" w:rsidRDefault="000B1271" w:rsidP="000B1271">
      <w:pPr>
        <w:rPr>
          <w:szCs w:val="22"/>
        </w:rPr>
      </w:pPr>
    </w:p>
    <w:p w:rsidR="000B1271" w:rsidRDefault="000B1271" w:rsidP="000B1271">
      <w:r>
        <w:t>SEMAP system is the main source of administrative data</w:t>
      </w:r>
      <w:r w:rsidR="00B84B51">
        <w:t xml:space="preserve"> on overall</w:t>
      </w:r>
      <w:r>
        <w:t xml:space="preserve"> HCV program performance</w:t>
      </w:r>
      <w:r w:rsidR="00B84B51">
        <w:t xml:space="preserve"> available for the universe of HCV programs</w:t>
      </w:r>
      <w:r>
        <w:t xml:space="preserve">. </w:t>
      </w:r>
      <w:r w:rsidR="009B7CCD">
        <w:t xml:space="preserve">The SEMAP system scores </w:t>
      </w:r>
      <w:r>
        <w:t>HCV programs on a combination of administrative data measures reported to HUD through the</w:t>
      </w:r>
      <w:r w:rsidR="007A3649">
        <w:t xml:space="preserve"> Public and Indian Housing Information Center (</w:t>
      </w:r>
      <w:r>
        <w:t>PIC</w:t>
      </w:r>
      <w:r w:rsidR="007A3649">
        <w:t>)</w:t>
      </w:r>
      <w:r>
        <w:t xml:space="preserve"> system and self-reported measures. Each program receives a rating of “High Performer,” “Standard Performer,” or “Troubled” based on its SEMAP score. </w:t>
      </w:r>
      <w:r w:rsidR="00B13946">
        <w:t>Most, but not all, programs receive a SEMAP certification every year</w:t>
      </w:r>
    </w:p>
    <w:p w:rsidR="000B1271" w:rsidRDefault="000B1271" w:rsidP="000B1271"/>
    <w:p w:rsidR="000B1271" w:rsidRDefault="000B1271" w:rsidP="000B1271">
      <w:r w:rsidRPr="00E14756">
        <w:t xml:space="preserve">HCV programs with “High Performer” ratings on SEMAP in three of the past four years (2007-2010) </w:t>
      </w:r>
      <w:r>
        <w:t xml:space="preserve">will </w:t>
      </w:r>
      <w:r w:rsidR="00B84B51">
        <w:t xml:space="preserve">form the basic sampling </w:t>
      </w:r>
      <w:r w:rsidRPr="00AF0110">
        <w:t>universe</w:t>
      </w:r>
      <w:r w:rsidR="00B84B51">
        <w:t xml:space="preserve"> for the </w:t>
      </w:r>
      <w:r w:rsidR="00B84B51">
        <w:rPr>
          <w:szCs w:val="22"/>
        </w:rPr>
        <w:t>additional on-site data collection</w:t>
      </w:r>
      <w:r w:rsidRPr="00AF0110">
        <w:t>. PHAs that don’t have SEMAP certification for all four years</w:t>
      </w:r>
      <w:r>
        <w:t xml:space="preserve"> (such as small programs) will </w:t>
      </w:r>
      <w:r w:rsidR="00DB0A0A">
        <w:t>also</w:t>
      </w:r>
      <w:r>
        <w:t xml:space="preserve"> be included if they are</w:t>
      </w:r>
      <w:r w:rsidRPr="00AF0110">
        <w:t xml:space="preserve"> SEMAP high performers in all the years </w:t>
      </w:r>
      <w:r>
        <w:t xml:space="preserve">in which </w:t>
      </w:r>
      <w:r w:rsidRPr="00AF0110">
        <w:t>data were reported.</w:t>
      </w:r>
      <w:r>
        <w:t xml:space="preserve">  </w:t>
      </w:r>
    </w:p>
    <w:p w:rsidR="000B1271" w:rsidRDefault="000B1271" w:rsidP="000B1271"/>
    <w:p w:rsidR="000B1271" w:rsidRDefault="000B1271" w:rsidP="000B1271">
      <w:r>
        <w:t xml:space="preserve">The following </w:t>
      </w:r>
      <w:r w:rsidR="00202175">
        <w:t>PHAs</w:t>
      </w:r>
      <w:r>
        <w:t xml:space="preserve"> will be excluded</w:t>
      </w:r>
      <w:r w:rsidR="00B84B51">
        <w:t xml:space="preserve"> from the sampling universe</w:t>
      </w:r>
      <w:r>
        <w:t>:</w:t>
      </w:r>
    </w:p>
    <w:p w:rsidR="000B1271" w:rsidRDefault="000B1271" w:rsidP="000B1271"/>
    <w:p w:rsidR="000B1271" w:rsidRPr="00EF6701" w:rsidRDefault="000B1271" w:rsidP="000B1271">
      <w:pPr>
        <w:pStyle w:val="Bullets"/>
      </w:pPr>
      <w:r w:rsidRPr="00EF6701">
        <w:t xml:space="preserve">PHAs in the Moving to Work (MTW) demonstration (37 PHAs). HUD has determined that </w:t>
      </w:r>
      <w:r>
        <w:t>MTW PHAs</w:t>
      </w:r>
      <w:r w:rsidRPr="00EF6701">
        <w:t xml:space="preserve"> demonstration should not be included in the study. Although many MTW agencies are believed to be high-performing and efficient, </w:t>
      </w:r>
      <w:r w:rsidRPr="008408FB">
        <w:t xml:space="preserve">MTW agencies have been given flexibilities that allow them to streamline their operations to increase efficiency. </w:t>
      </w:r>
    </w:p>
    <w:p w:rsidR="000B1271" w:rsidRDefault="000B1271" w:rsidP="000B1271">
      <w:pPr>
        <w:pStyle w:val="Bullets"/>
      </w:pPr>
      <w:r>
        <w:t>PHAs that were</w:t>
      </w:r>
      <w:r w:rsidR="00F326BB">
        <w:t xml:space="preserve"> visited as</w:t>
      </w:r>
      <w:r>
        <w:t xml:space="preserve"> part of the reconnaissance phase (59 PHAs). This is because these agencies have already been confirmed as meeting or not meeting the study’s performance and efficiency criteria. </w:t>
      </w:r>
    </w:p>
    <w:p w:rsidR="000B1271" w:rsidRPr="00202175" w:rsidRDefault="000B1271" w:rsidP="000B1271">
      <w:pPr>
        <w:pStyle w:val="BulletsLast"/>
        <w:rPr>
          <w:szCs w:val="22"/>
        </w:rPr>
      </w:pPr>
      <w:r w:rsidRPr="00AF0110">
        <w:t xml:space="preserve">PHAs that were rejected during the field office review </w:t>
      </w:r>
      <w:r>
        <w:t xml:space="preserve">or HUD review </w:t>
      </w:r>
      <w:r w:rsidR="00B84B51">
        <w:t xml:space="preserve">of the </w:t>
      </w:r>
      <w:r w:rsidR="00F326BB">
        <w:t>reconnaissance sample</w:t>
      </w:r>
      <w:r>
        <w:t xml:space="preserve"> (17 PHAs)</w:t>
      </w:r>
      <w:r w:rsidRPr="00AF0110">
        <w:t xml:space="preserve"> </w:t>
      </w:r>
      <w:r w:rsidR="00F326BB">
        <w:t xml:space="preserve">and PHAs that were recruited to participate in the reconnaissance phase and declined to </w:t>
      </w:r>
      <w:r w:rsidRPr="00AF0110">
        <w:t xml:space="preserve">participate </w:t>
      </w:r>
      <w:r>
        <w:t>(32 PHAs)</w:t>
      </w:r>
      <w:r w:rsidRPr="00AF0110">
        <w:t>.</w:t>
      </w:r>
      <w:r>
        <w:t xml:space="preserve"> </w:t>
      </w:r>
    </w:p>
    <w:p w:rsidR="00202175" w:rsidRDefault="00202175" w:rsidP="00202175">
      <w:pPr>
        <w:pStyle w:val="BulletsLast"/>
        <w:numPr>
          <w:ilvl w:val="0"/>
          <w:numId w:val="0"/>
        </w:numPr>
      </w:pPr>
    </w:p>
    <w:p w:rsidR="00216D18" w:rsidRDefault="00202175" w:rsidP="00202175">
      <w:pPr>
        <w:tabs>
          <w:tab w:val="left" w:pos="720"/>
          <w:tab w:val="left" w:pos="1080"/>
          <w:tab w:val="left" w:pos="1440"/>
          <w:tab w:val="left" w:pos="1800"/>
        </w:tabs>
        <w:autoSpaceDE w:val="0"/>
        <w:autoSpaceDN w:val="0"/>
        <w:adjustRightInd w:val="0"/>
        <w:rPr>
          <w:szCs w:val="22"/>
        </w:rPr>
      </w:pPr>
      <w:r>
        <w:t xml:space="preserve">This gives us a starting universe of 1,125 “high-performing” PHAs. Since we only </w:t>
      </w:r>
      <w:r w:rsidR="00146A91">
        <w:t xml:space="preserve">need </w:t>
      </w:r>
      <w:r>
        <w:t>to</w:t>
      </w:r>
      <w:r w:rsidR="0070455C">
        <w:t xml:space="preserve"> conduct additional site visits to </w:t>
      </w:r>
      <w:r>
        <w:t>PHAs with at least 250 vouchers,</w:t>
      </w:r>
      <w:r w:rsidR="00146A91">
        <w:rPr>
          <w:rStyle w:val="FootnoteReference"/>
        </w:rPr>
        <w:footnoteReference w:id="2"/>
      </w:r>
      <w:r>
        <w:t xml:space="preserve"> PHAs </w:t>
      </w:r>
      <w:r w:rsidRPr="00AD2B87">
        <w:t>with fewer than 250 units</w:t>
      </w:r>
      <w:r>
        <w:t xml:space="preserve"> (370 additional PHAs) </w:t>
      </w:r>
      <w:r w:rsidR="00216D18">
        <w:t>will</w:t>
      </w:r>
      <w:r>
        <w:t xml:space="preserve"> also </w:t>
      </w:r>
      <w:r w:rsidR="00216D18">
        <w:t xml:space="preserve">be </w:t>
      </w:r>
      <w:r>
        <w:t xml:space="preserve">removed from the sampling universe. </w:t>
      </w:r>
      <w:r>
        <w:rPr>
          <w:szCs w:val="22"/>
        </w:rPr>
        <w:t xml:space="preserve">In summary, the universe from which we </w:t>
      </w:r>
      <w:r w:rsidR="0070455C">
        <w:rPr>
          <w:szCs w:val="22"/>
        </w:rPr>
        <w:t>will select PHAs for additional on-site data collection includes</w:t>
      </w:r>
      <w:r>
        <w:rPr>
          <w:szCs w:val="22"/>
        </w:rPr>
        <w:t xml:space="preserve"> 755</w:t>
      </w:r>
      <w:r w:rsidRPr="004B6960">
        <w:rPr>
          <w:szCs w:val="22"/>
        </w:rPr>
        <w:t xml:space="preserve"> HCV programs</w:t>
      </w:r>
      <w:r>
        <w:rPr>
          <w:szCs w:val="22"/>
        </w:rPr>
        <w:t>.</w:t>
      </w:r>
    </w:p>
    <w:p w:rsidR="00216D18" w:rsidRDefault="00216D18" w:rsidP="00202175">
      <w:pPr>
        <w:tabs>
          <w:tab w:val="left" w:pos="720"/>
          <w:tab w:val="left" w:pos="1080"/>
          <w:tab w:val="left" w:pos="1440"/>
          <w:tab w:val="left" w:pos="1800"/>
        </w:tabs>
        <w:autoSpaceDE w:val="0"/>
        <w:autoSpaceDN w:val="0"/>
        <w:adjustRightInd w:val="0"/>
        <w:rPr>
          <w:szCs w:val="22"/>
        </w:rPr>
      </w:pPr>
    </w:p>
    <w:p w:rsidR="000B1271" w:rsidRPr="009C3285" w:rsidRDefault="000B1271" w:rsidP="000B1271">
      <w:r w:rsidRPr="009C3285">
        <w:rPr>
          <w:szCs w:val="22"/>
        </w:rPr>
        <w:t xml:space="preserve">Exhibit B-1 </w:t>
      </w:r>
      <w:proofErr w:type="gramStart"/>
      <w:r w:rsidRPr="009C3285">
        <w:rPr>
          <w:szCs w:val="22"/>
        </w:rPr>
        <w:t>shows</w:t>
      </w:r>
      <w:proofErr w:type="gramEnd"/>
      <w:r w:rsidRPr="009C3285">
        <w:rPr>
          <w:szCs w:val="22"/>
        </w:rPr>
        <w:t xml:space="preserve"> the region and size characteristics of </w:t>
      </w:r>
      <w:r w:rsidRPr="009C3285">
        <w:t xml:space="preserve">the </w:t>
      </w:r>
      <w:r>
        <w:t>755</w:t>
      </w:r>
      <w:r w:rsidRPr="009C3285">
        <w:t xml:space="preserve"> SEMAP high-performing programs relative to all HCV programs</w:t>
      </w:r>
      <w:r>
        <w:t xml:space="preserve"> which represent the </w:t>
      </w:r>
      <w:r w:rsidRPr="009C3285">
        <w:t>sampling universe</w:t>
      </w:r>
      <w:r>
        <w:t>.</w:t>
      </w:r>
    </w:p>
    <w:p w:rsidR="000B1271" w:rsidRDefault="000B1271">
      <w:pPr>
        <w:spacing w:line="240" w:lineRule="auto"/>
        <w:rPr>
          <w:rFonts w:ascii="Arial" w:hAnsi="Arial" w:cs="Arial"/>
          <w:b/>
          <w:bCs/>
          <w:sz w:val="20"/>
        </w:rPr>
      </w:pPr>
    </w:p>
    <w:p w:rsidR="000B1271" w:rsidRDefault="000B1271" w:rsidP="000B1271">
      <w:pPr>
        <w:pStyle w:val="ExhibitTitle"/>
      </w:pPr>
      <w:proofErr w:type="gramStart"/>
      <w:r>
        <w:t>Exhibit B-1.</w:t>
      </w:r>
      <w:proofErr w:type="gramEnd"/>
      <w:r>
        <w:tab/>
        <w:t xml:space="preserve">Description of Sampling Universe for </w:t>
      </w:r>
      <w:r w:rsidR="00AB6C7C">
        <w:t>Additional On-Site Data Collection for the</w:t>
      </w:r>
      <w:r>
        <w:t xml:space="preserve"> Administrative Fee Study</w:t>
      </w:r>
    </w:p>
    <w:tbl>
      <w:tblPr>
        <w:tblW w:w="8925" w:type="dxa"/>
        <w:tblInd w:w="93" w:type="dxa"/>
        <w:tblLook w:val="04A0" w:firstRow="1" w:lastRow="0" w:firstColumn="1" w:lastColumn="0" w:noHBand="0" w:noVBand="1"/>
      </w:tblPr>
      <w:tblGrid>
        <w:gridCol w:w="4515"/>
        <w:gridCol w:w="1260"/>
        <w:gridCol w:w="1080"/>
        <w:gridCol w:w="1080"/>
        <w:gridCol w:w="990"/>
      </w:tblGrid>
      <w:tr w:rsidR="000B1271" w:rsidRPr="00AD2497" w:rsidTr="000B1271">
        <w:trPr>
          <w:trHeight w:val="255"/>
        </w:trPr>
        <w:tc>
          <w:tcPr>
            <w:tcW w:w="4515" w:type="dxa"/>
            <w:vMerge w:val="restart"/>
            <w:tcBorders>
              <w:top w:val="single" w:sz="4" w:space="0" w:color="auto"/>
              <w:left w:val="single" w:sz="4" w:space="0" w:color="auto"/>
              <w:right w:val="single" w:sz="4" w:space="0" w:color="auto"/>
            </w:tcBorders>
            <w:shd w:val="clear" w:color="000000" w:fill="C3C6A8"/>
            <w:vAlign w:val="center"/>
            <w:hideMark/>
          </w:tcPr>
          <w:p w:rsidR="000B1271" w:rsidRPr="0049712C" w:rsidRDefault="000B1271" w:rsidP="007E23AB">
            <w:pPr>
              <w:spacing w:line="240" w:lineRule="auto"/>
              <w:rPr>
                <w:rFonts w:ascii="Arial Narrow" w:hAnsi="Arial Narrow" w:cs="Arial"/>
                <w:color w:val="000000"/>
                <w:sz w:val="18"/>
                <w:szCs w:val="18"/>
              </w:rPr>
            </w:pPr>
            <w:r w:rsidRPr="0049712C">
              <w:rPr>
                <w:rFonts w:ascii="Arial Narrow" w:hAnsi="Arial Narrow" w:cs="Arial"/>
                <w:color w:val="000000"/>
                <w:sz w:val="18"/>
                <w:szCs w:val="18"/>
              </w:rPr>
              <w:t> </w:t>
            </w:r>
          </w:p>
        </w:tc>
        <w:tc>
          <w:tcPr>
            <w:tcW w:w="2340" w:type="dxa"/>
            <w:gridSpan w:val="2"/>
            <w:vMerge w:val="restart"/>
            <w:tcBorders>
              <w:top w:val="single" w:sz="4" w:space="0" w:color="auto"/>
              <w:left w:val="single" w:sz="4" w:space="0" w:color="auto"/>
              <w:bottom w:val="single" w:sz="4" w:space="0" w:color="auto"/>
              <w:right w:val="single" w:sz="4" w:space="0" w:color="auto"/>
            </w:tcBorders>
            <w:shd w:val="clear" w:color="000000" w:fill="C3C6A8"/>
            <w:vAlign w:val="center"/>
            <w:hideMark/>
          </w:tcPr>
          <w:p w:rsidR="000B1271" w:rsidRPr="0049712C" w:rsidRDefault="000B1271" w:rsidP="007E23AB">
            <w:pPr>
              <w:spacing w:line="240" w:lineRule="auto"/>
              <w:jc w:val="center"/>
              <w:rPr>
                <w:rFonts w:ascii="Arial Narrow" w:hAnsi="Arial Narrow" w:cs="Arial"/>
                <w:b/>
                <w:bCs/>
                <w:color w:val="000000"/>
                <w:sz w:val="18"/>
                <w:szCs w:val="18"/>
              </w:rPr>
            </w:pPr>
            <w:r w:rsidRPr="0049712C">
              <w:rPr>
                <w:rFonts w:ascii="Arial Narrow" w:hAnsi="Arial Narrow" w:cs="Arial"/>
                <w:b/>
                <w:bCs/>
                <w:color w:val="000000"/>
                <w:sz w:val="18"/>
                <w:szCs w:val="18"/>
              </w:rPr>
              <w:t>S</w:t>
            </w:r>
            <w:r w:rsidR="00AB6C7C">
              <w:rPr>
                <w:rFonts w:ascii="Arial Narrow" w:hAnsi="Arial Narrow" w:cs="Arial"/>
                <w:b/>
                <w:bCs/>
                <w:color w:val="000000"/>
                <w:sz w:val="18"/>
                <w:szCs w:val="18"/>
              </w:rPr>
              <w:t xml:space="preserve">EMAP High-performers 2007-2010 with at least </w:t>
            </w:r>
            <w:r w:rsidRPr="0049712C">
              <w:rPr>
                <w:rFonts w:ascii="Arial Narrow" w:hAnsi="Arial Narrow" w:cs="Arial"/>
                <w:b/>
                <w:bCs/>
                <w:color w:val="000000"/>
                <w:sz w:val="18"/>
                <w:szCs w:val="18"/>
              </w:rPr>
              <w:t>250 vouchers (N=755)*</w:t>
            </w:r>
          </w:p>
        </w:tc>
        <w:tc>
          <w:tcPr>
            <w:tcW w:w="2070" w:type="dxa"/>
            <w:gridSpan w:val="2"/>
            <w:vMerge w:val="restart"/>
            <w:tcBorders>
              <w:top w:val="single" w:sz="4" w:space="0" w:color="auto"/>
              <w:left w:val="single" w:sz="4" w:space="0" w:color="auto"/>
              <w:bottom w:val="single" w:sz="4" w:space="0" w:color="auto"/>
              <w:right w:val="single" w:sz="4" w:space="0" w:color="auto"/>
            </w:tcBorders>
            <w:shd w:val="clear" w:color="000000" w:fill="C3C6A8"/>
            <w:vAlign w:val="center"/>
            <w:hideMark/>
          </w:tcPr>
          <w:p w:rsidR="000B1271" w:rsidRPr="0049712C" w:rsidRDefault="000B1271" w:rsidP="0049712C">
            <w:pPr>
              <w:spacing w:line="240" w:lineRule="auto"/>
              <w:jc w:val="center"/>
              <w:rPr>
                <w:rFonts w:ascii="Arial Narrow" w:hAnsi="Arial Narrow" w:cs="Arial"/>
                <w:b/>
                <w:bCs/>
                <w:color w:val="000000"/>
                <w:sz w:val="18"/>
                <w:szCs w:val="18"/>
              </w:rPr>
            </w:pPr>
            <w:r w:rsidRPr="0049712C">
              <w:rPr>
                <w:rFonts w:ascii="Arial Narrow" w:hAnsi="Arial Narrow" w:cs="Arial"/>
                <w:b/>
                <w:bCs/>
                <w:color w:val="000000"/>
                <w:sz w:val="18"/>
                <w:szCs w:val="18"/>
              </w:rPr>
              <w:t xml:space="preserve">All HCV Programs (N=2,334) </w:t>
            </w:r>
          </w:p>
        </w:tc>
      </w:tr>
      <w:tr w:rsidR="000B1271" w:rsidRPr="00AD2497" w:rsidTr="000B1271">
        <w:trPr>
          <w:trHeight w:val="555"/>
        </w:trPr>
        <w:tc>
          <w:tcPr>
            <w:tcW w:w="4515" w:type="dxa"/>
            <w:vMerge/>
            <w:tcBorders>
              <w:left w:val="single" w:sz="4" w:space="0" w:color="auto"/>
              <w:right w:val="single" w:sz="4" w:space="0" w:color="auto"/>
            </w:tcBorders>
            <w:vAlign w:val="center"/>
            <w:hideMark/>
          </w:tcPr>
          <w:p w:rsidR="000B1271" w:rsidRPr="0049712C" w:rsidRDefault="000B1271" w:rsidP="007E23AB">
            <w:pPr>
              <w:spacing w:line="240" w:lineRule="auto"/>
              <w:rPr>
                <w:rFonts w:ascii="Arial Narrow" w:hAnsi="Arial Narrow" w:cs="Arial"/>
                <w:color w:val="000000"/>
                <w:sz w:val="18"/>
                <w:szCs w:val="18"/>
              </w:rPr>
            </w:pPr>
          </w:p>
        </w:tc>
        <w:tc>
          <w:tcPr>
            <w:tcW w:w="2340" w:type="dxa"/>
            <w:gridSpan w:val="2"/>
            <w:vMerge/>
            <w:tcBorders>
              <w:top w:val="single" w:sz="4" w:space="0" w:color="auto"/>
              <w:left w:val="single" w:sz="4" w:space="0" w:color="auto"/>
              <w:bottom w:val="single" w:sz="4" w:space="0" w:color="auto"/>
              <w:right w:val="single" w:sz="4" w:space="0" w:color="auto"/>
            </w:tcBorders>
            <w:vAlign w:val="center"/>
            <w:hideMark/>
          </w:tcPr>
          <w:p w:rsidR="000B1271" w:rsidRPr="0049712C" w:rsidRDefault="000B1271" w:rsidP="007E23AB">
            <w:pPr>
              <w:spacing w:line="240" w:lineRule="auto"/>
              <w:rPr>
                <w:rFonts w:ascii="Arial Narrow" w:hAnsi="Arial Narrow" w:cs="Arial"/>
                <w:b/>
                <w:bCs/>
                <w:color w:val="000000"/>
                <w:sz w:val="18"/>
                <w:szCs w:val="18"/>
              </w:rPr>
            </w:pPr>
          </w:p>
        </w:tc>
        <w:tc>
          <w:tcPr>
            <w:tcW w:w="2070" w:type="dxa"/>
            <w:gridSpan w:val="2"/>
            <w:vMerge/>
            <w:tcBorders>
              <w:top w:val="single" w:sz="4" w:space="0" w:color="auto"/>
              <w:left w:val="single" w:sz="4" w:space="0" w:color="auto"/>
              <w:bottom w:val="single" w:sz="4" w:space="0" w:color="auto"/>
              <w:right w:val="single" w:sz="4" w:space="0" w:color="auto"/>
            </w:tcBorders>
            <w:vAlign w:val="center"/>
            <w:hideMark/>
          </w:tcPr>
          <w:p w:rsidR="000B1271" w:rsidRPr="0049712C" w:rsidRDefault="000B1271" w:rsidP="007E23AB">
            <w:pPr>
              <w:spacing w:line="240" w:lineRule="auto"/>
              <w:rPr>
                <w:rFonts w:ascii="Arial Narrow" w:hAnsi="Arial Narrow" w:cs="Arial"/>
                <w:b/>
                <w:bCs/>
                <w:color w:val="000000"/>
                <w:sz w:val="18"/>
                <w:szCs w:val="18"/>
              </w:rPr>
            </w:pPr>
          </w:p>
        </w:tc>
      </w:tr>
      <w:tr w:rsidR="000B1271" w:rsidRPr="00AD2497" w:rsidTr="000B1271">
        <w:trPr>
          <w:trHeight w:val="255"/>
        </w:trPr>
        <w:tc>
          <w:tcPr>
            <w:tcW w:w="4515" w:type="dxa"/>
            <w:tcBorders>
              <w:top w:val="nil"/>
              <w:left w:val="single" w:sz="4" w:space="0" w:color="auto"/>
              <w:bottom w:val="single" w:sz="4" w:space="0" w:color="auto"/>
              <w:right w:val="single" w:sz="4" w:space="0" w:color="auto"/>
            </w:tcBorders>
            <w:shd w:val="clear" w:color="000000" w:fill="C3C6A8"/>
            <w:vAlign w:val="center"/>
            <w:hideMark/>
          </w:tcPr>
          <w:p w:rsidR="000B1271" w:rsidRPr="0049712C" w:rsidRDefault="000B1271" w:rsidP="007E23AB">
            <w:pPr>
              <w:spacing w:line="240" w:lineRule="auto"/>
              <w:rPr>
                <w:rFonts w:ascii="Arial Narrow" w:hAnsi="Arial Narrow" w:cs="Arial"/>
                <w:color w:val="000000"/>
                <w:sz w:val="18"/>
                <w:szCs w:val="18"/>
              </w:rPr>
            </w:pPr>
            <w:r w:rsidRPr="0049712C">
              <w:rPr>
                <w:rFonts w:ascii="Arial Narrow" w:hAnsi="Arial Narrow" w:cs="Arial"/>
                <w:color w:val="000000"/>
                <w:sz w:val="18"/>
                <w:szCs w:val="18"/>
              </w:rPr>
              <w:t> </w:t>
            </w:r>
          </w:p>
        </w:tc>
        <w:tc>
          <w:tcPr>
            <w:tcW w:w="1260" w:type="dxa"/>
            <w:tcBorders>
              <w:top w:val="nil"/>
              <w:left w:val="nil"/>
              <w:bottom w:val="single" w:sz="4" w:space="0" w:color="auto"/>
              <w:right w:val="single" w:sz="4" w:space="0" w:color="auto"/>
            </w:tcBorders>
            <w:shd w:val="clear" w:color="000000" w:fill="C3C6A8"/>
            <w:vAlign w:val="center"/>
            <w:hideMark/>
          </w:tcPr>
          <w:p w:rsidR="000B1271" w:rsidRPr="0049712C" w:rsidRDefault="000B1271" w:rsidP="007E23AB">
            <w:pPr>
              <w:spacing w:line="240" w:lineRule="auto"/>
              <w:jc w:val="center"/>
              <w:rPr>
                <w:rFonts w:ascii="Arial Narrow" w:hAnsi="Arial Narrow" w:cs="Arial"/>
                <w:b/>
                <w:bCs/>
                <w:color w:val="000000"/>
                <w:sz w:val="18"/>
                <w:szCs w:val="18"/>
              </w:rPr>
            </w:pPr>
            <w:r w:rsidRPr="0049712C">
              <w:rPr>
                <w:rFonts w:ascii="Arial Narrow" w:hAnsi="Arial Narrow" w:cs="Arial"/>
                <w:b/>
                <w:bCs/>
                <w:color w:val="000000"/>
                <w:sz w:val="18"/>
                <w:szCs w:val="18"/>
              </w:rPr>
              <w:t>Number</w:t>
            </w:r>
          </w:p>
        </w:tc>
        <w:tc>
          <w:tcPr>
            <w:tcW w:w="1080" w:type="dxa"/>
            <w:tcBorders>
              <w:top w:val="nil"/>
              <w:left w:val="nil"/>
              <w:bottom w:val="single" w:sz="4" w:space="0" w:color="auto"/>
              <w:right w:val="single" w:sz="4" w:space="0" w:color="auto"/>
            </w:tcBorders>
            <w:shd w:val="clear" w:color="000000" w:fill="C3C6A8"/>
            <w:vAlign w:val="center"/>
            <w:hideMark/>
          </w:tcPr>
          <w:p w:rsidR="000B1271" w:rsidRPr="0049712C" w:rsidRDefault="000B1271" w:rsidP="007E23AB">
            <w:pPr>
              <w:spacing w:line="240" w:lineRule="auto"/>
              <w:jc w:val="center"/>
              <w:rPr>
                <w:rFonts w:ascii="Arial Narrow" w:hAnsi="Arial Narrow" w:cs="Arial"/>
                <w:b/>
                <w:bCs/>
                <w:color w:val="000000"/>
                <w:sz w:val="18"/>
                <w:szCs w:val="18"/>
              </w:rPr>
            </w:pPr>
            <w:r w:rsidRPr="0049712C">
              <w:rPr>
                <w:rFonts w:ascii="Arial Narrow" w:hAnsi="Arial Narrow" w:cs="Arial"/>
                <w:b/>
                <w:bCs/>
                <w:color w:val="000000"/>
                <w:sz w:val="18"/>
                <w:szCs w:val="18"/>
              </w:rPr>
              <w:t>Percent</w:t>
            </w:r>
          </w:p>
        </w:tc>
        <w:tc>
          <w:tcPr>
            <w:tcW w:w="1080" w:type="dxa"/>
            <w:tcBorders>
              <w:top w:val="nil"/>
              <w:left w:val="single" w:sz="4" w:space="0" w:color="auto"/>
              <w:bottom w:val="single" w:sz="4" w:space="0" w:color="auto"/>
              <w:right w:val="single" w:sz="4" w:space="0" w:color="auto"/>
            </w:tcBorders>
            <w:shd w:val="clear" w:color="000000" w:fill="C3C6A8"/>
            <w:vAlign w:val="center"/>
            <w:hideMark/>
          </w:tcPr>
          <w:p w:rsidR="000B1271" w:rsidRPr="0049712C" w:rsidRDefault="000B1271" w:rsidP="007E23AB">
            <w:pPr>
              <w:spacing w:line="240" w:lineRule="auto"/>
              <w:jc w:val="center"/>
              <w:rPr>
                <w:rFonts w:ascii="Arial Narrow" w:hAnsi="Arial Narrow" w:cs="Arial"/>
                <w:b/>
                <w:bCs/>
                <w:color w:val="000000"/>
                <w:sz w:val="18"/>
                <w:szCs w:val="18"/>
              </w:rPr>
            </w:pPr>
            <w:r w:rsidRPr="0049712C">
              <w:rPr>
                <w:rFonts w:ascii="Arial Narrow" w:hAnsi="Arial Narrow" w:cs="Arial"/>
                <w:b/>
                <w:bCs/>
                <w:color w:val="000000"/>
                <w:sz w:val="18"/>
                <w:szCs w:val="18"/>
              </w:rPr>
              <w:t>Number</w:t>
            </w:r>
          </w:p>
        </w:tc>
        <w:tc>
          <w:tcPr>
            <w:tcW w:w="990" w:type="dxa"/>
            <w:tcBorders>
              <w:top w:val="nil"/>
              <w:left w:val="nil"/>
              <w:bottom w:val="single" w:sz="4" w:space="0" w:color="auto"/>
              <w:right w:val="single" w:sz="4" w:space="0" w:color="auto"/>
            </w:tcBorders>
            <w:shd w:val="clear" w:color="000000" w:fill="C3C6A8"/>
            <w:vAlign w:val="center"/>
            <w:hideMark/>
          </w:tcPr>
          <w:p w:rsidR="000B1271" w:rsidRPr="0049712C" w:rsidRDefault="000B1271" w:rsidP="007E23AB">
            <w:pPr>
              <w:spacing w:line="240" w:lineRule="auto"/>
              <w:jc w:val="center"/>
              <w:rPr>
                <w:rFonts w:ascii="Arial Narrow" w:hAnsi="Arial Narrow" w:cs="Arial"/>
                <w:b/>
                <w:bCs/>
                <w:color w:val="000000"/>
                <w:sz w:val="18"/>
                <w:szCs w:val="18"/>
              </w:rPr>
            </w:pPr>
            <w:r w:rsidRPr="0049712C">
              <w:rPr>
                <w:rFonts w:ascii="Arial Narrow" w:hAnsi="Arial Narrow" w:cs="Arial"/>
                <w:b/>
                <w:bCs/>
                <w:color w:val="000000"/>
                <w:sz w:val="18"/>
                <w:szCs w:val="18"/>
              </w:rPr>
              <w:t>Percent</w:t>
            </w:r>
          </w:p>
        </w:tc>
      </w:tr>
      <w:tr w:rsidR="000B1271" w:rsidRPr="00AD2497" w:rsidTr="000B1271">
        <w:trPr>
          <w:trHeight w:val="255"/>
        </w:trPr>
        <w:tc>
          <w:tcPr>
            <w:tcW w:w="8925" w:type="dxa"/>
            <w:gridSpan w:val="5"/>
            <w:tcBorders>
              <w:top w:val="single" w:sz="4" w:space="0" w:color="auto"/>
              <w:left w:val="single" w:sz="4" w:space="0" w:color="auto"/>
              <w:bottom w:val="single" w:sz="4" w:space="0" w:color="auto"/>
              <w:right w:val="single" w:sz="4" w:space="0" w:color="auto"/>
            </w:tcBorders>
            <w:shd w:val="clear" w:color="000000" w:fill="898D8D"/>
            <w:vAlign w:val="center"/>
            <w:hideMark/>
          </w:tcPr>
          <w:p w:rsidR="000B1271" w:rsidRPr="0049712C" w:rsidRDefault="000B1271" w:rsidP="000B1271">
            <w:pPr>
              <w:spacing w:line="240" w:lineRule="auto"/>
              <w:rPr>
                <w:rFonts w:ascii="Arial Narrow" w:hAnsi="Arial Narrow" w:cs="Arial"/>
                <w:b/>
                <w:bCs/>
                <w:color w:val="FFFFFF"/>
                <w:sz w:val="18"/>
                <w:szCs w:val="18"/>
              </w:rPr>
            </w:pPr>
            <w:r w:rsidRPr="0049712C">
              <w:rPr>
                <w:rFonts w:ascii="Arial Narrow" w:hAnsi="Arial Narrow" w:cs="Arial"/>
                <w:b/>
                <w:bCs/>
                <w:color w:val="FFFFFF"/>
                <w:sz w:val="18"/>
                <w:szCs w:val="18"/>
              </w:rPr>
              <w:t>Census Region </w:t>
            </w:r>
          </w:p>
        </w:tc>
      </w:tr>
      <w:tr w:rsidR="000B1271" w:rsidRPr="00AD2497" w:rsidTr="000B1271">
        <w:trPr>
          <w:trHeight w:val="255"/>
        </w:trPr>
        <w:tc>
          <w:tcPr>
            <w:tcW w:w="4515" w:type="dxa"/>
            <w:tcBorders>
              <w:top w:val="nil"/>
              <w:left w:val="single" w:sz="4" w:space="0" w:color="auto"/>
              <w:bottom w:val="single" w:sz="4" w:space="0" w:color="auto"/>
              <w:right w:val="single" w:sz="4" w:space="0" w:color="auto"/>
            </w:tcBorders>
            <w:shd w:val="clear" w:color="auto" w:fill="auto"/>
            <w:vAlign w:val="center"/>
            <w:hideMark/>
          </w:tcPr>
          <w:p w:rsidR="000B1271" w:rsidRPr="0049712C" w:rsidRDefault="000B1271" w:rsidP="007E23AB">
            <w:pPr>
              <w:spacing w:line="240" w:lineRule="auto"/>
              <w:rPr>
                <w:rFonts w:ascii="Arial Narrow" w:hAnsi="Arial Narrow" w:cs="Arial"/>
                <w:color w:val="000000"/>
                <w:sz w:val="18"/>
                <w:szCs w:val="18"/>
              </w:rPr>
            </w:pPr>
            <w:r w:rsidRPr="0049712C">
              <w:rPr>
                <w:rFonts w:ascii="Arial Narrow" w:hAnsi="Arial Narrow" w:cs="Arial"/>
                <w:color w:val="000000"/>
                <w:sz w:val="18"/>
                <w:szCs w:val="18"/>
              </w:rPr>
              <w:t>Northeast</w:t>
            </w:r>
          </w:p>
        </w:tc>
        <w:tc>
          <w:tcPr>
            <w:tcW w:w="1260" w:type="dxa"/>
            <w:tcBorders>
              <w:top w:val="nil"/>
              <w:left w:val="nil"/>
              <w:bottom w:val="single" w:sz="4" w:space="0" w:color="auto"/>
              <w:right w:val="single" w:sz="4" w:space="0" w:color="auto"/>
            </w:tcBorders>
            <w:shd w:val="clear" w:color="auto" w:fill="auto"/>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178</w:t>
            </w:r>
          </w:p>
        </w:tc>
        <w:tc>
          <w:tcPr>
            <w:tcW w:w="1080" w:type="dxa"/>
            <w:tcBorders>
              <w:top w:val="nil"/>
              <w:left w:val="nil"/>
              <w:bottom w:val="single" w:sz="4" w:space="0" w:color="auto"/>
              <w:right w:val="single" w:sz="4" w:space="0" w:color="auto"/>
            </w:tcBorders>
            <w:shd w:val="clear" w:color="auto" w:fill="auto"/>
            <w:noWrap/>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24%</w:t>
            </w:r>
          </w:p>
        </w:tc>
        <w:tc>
          <w:tcPr>
            <w:tcW w:w="1080" w:type="dxa"/>
            <w:tcBorders>
              <w:top w:val="nil"/>
              <w:left w:val="nil"/>
              <w:bottom w:val="single" w:sz="4" w:space="0" w:color="auto"/>
              <w:right w:val="single" w:sz="4" w:space="0" w:color="auto"/>
            </w:tcBorders>
            <w:shd w:val="clear" w:color="auto" w:fill="auto"/>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642</w:t>
            </w:r>
          </w:p>
        </w:tc>
        <w:tc>
          <w:tcPr>
            <w:tcW w:w="990" w:type="dxa"/>
            <w:tcBorders>
              <w:top w:val="nil"/>
              <w:left w:val="nil"/>
              <w:bottom w:val="single" w:sz="4" w:space="0" w:color="auto"/>
              <w:right w:val="single" w:sz="4" w:space="0" w:color="auto"/>
            </w:tcBorders>
            <w:shd w:val="clear" w:color="auto" w:fill="auto"/>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28%</w:t>
            </w:r>
          </w:p>
        </w:tc>
      </w:tr>
      <w:tr w:rsidR="000B1271" w:rsidRPr="00AD2497" w:rsidTr="000B1271">
        <w:trPr>
          <w:trHeight w:val="255"/>
        </w:trPr>
        <w:tc>
          <w:tcPr>
            <w:tcW w:w="4515" w:type="dxa"/>
            <w:tcBorders>
              <w:top w:val="nil"/>
              <w:left w:val="single" w:sz="4" w:space="0" w:color="auto"/>
              <w:bottom w:val="single" w:sz="4" w:space="0" w:color="auto"/>
              <w:right w:val="single" w:sz="4" w:space="0" w:color="auto"/>
            </w:tcBorders>
            <w:shd w:val="clear" w:color="auto" w:fill="auto"/>
            <w:vAlign w:val="center"/>
            <w:hideMark/>
          </w:tcPr>
          <w:p w:rsidR="000B1271" w:rsidRPr="0049712C" w:rsidRDefault="000B1271" w:rsidP="007E23AB">
            <w:pPr>
              <w:spacing w:line="240" w:lineRule="auto"/>
              <w:rPr>
                <w:rFonts w:ascii="Arial Narrow" w:hAnsi="Arial Narrow" w:cs="Arial"/>
                <w:color w:val="000000"/>
                <w:sz w:val="18"/>
                <w:szCs w:val="18"/>
              </w:rPr>
            </w:pPr>
            <w:r w:rsidRPr="0049712C">
              <w:rPr>
                <w:rFonts w:ascii="Arial Narrow" w:hAnsi="Arial Narrow" w:cs="Arial"/>
                <w:color w:val="000000"/>
                <w:sz w:val="18"/>
                <w:szCs w:val="18"/>
              </w:rPr>
              <w:t>Midwest</w:t>
            </w:r>
          </w:p>
        </w:tc>
        <w:tc>
          <w:tcPr>
            <w:tcW w:w="1260" w:type="dxa"/>
            <w:tcBorders>
              <w:top w:val="nil"/>
              <w:left w:val="nil"/>
              <w:bottom w:val="single" w:sz="4" w:space="0" w:color="auto"/>
              <w:right w:val="single" w:sz="4" w:space="0" w:color="auto"/>
            </w:tcBorders>
            <w:shd w:val="clear" w:color="auto" w:fill="auto"/>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182</w:t>
            </w:r>
          </w:p>
        </w:tc>
        <w:tc>
          <w:tcPr>
            <w:tcW w:w="1080" w:type="dxa"/>
            <w:tcBorders>
              <w:top w:val="nil"/>
              <w:left w:val="nil"/>
              <w:bottom w:val="single" w:sz="4" w:space="0" w:color="auto"/>
              <w:right w:val="single" w:sz="4" w:space="0" w:color="auto"/>
            </w:tcBorders>
            <w:shd w:val="clear" w:color="auto" w:fill="auto"/>
            <w:noWrap/>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24%</w:t>
            </w:r>
          </w:p>
        </w:tc>
        <w:tc>
          <w:tcPr>
            <w:tcW w:w="1080" w:type="dxa"/>
            <w:tcBorders>
              <w:top w:val="nil"/>
              <w:left w:val="nil"/>
              <w:bottom w:val="single" w:sz="4" w:space="0" w:color="auto"/>
              <w:right w:val="single" w:sz="4" w:space="0" w:color="auto"/>
            </w:tcBorders>
            <w:shd w:val="clear" w:color="auto" w:fill="auto"/>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607</w:t>
            </w:r>
          </w:p>
        </w:tc>
        <w:tc>
          <w:tcPr>
            <w:tcW w:w="990" w:type="dxa"/>
            <w:tcBorders>
              <w:top w:val="nil"/>
              <w:left w:val="nil"/>
              <w:bottom w:val="single" w:sz="4" w:space="0" w:color="auto"/>
              <w:right w:val="single" w:sz="4" w:space="0" w:color="auto"/>
            </w:tcBorders>
            <w:shd w:val="clear" w:color="auto" w:fill="auto"/>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26%</w:t>
            </w:r>
          </w:p>
        </w:tc>
      </w:tr>
      <w:tr w:rsidR="000B1271" w:rsidRPr="00AD2497" w:rsidTr="000B1271">
        <w:trPr>
          <w:trHeight w:val="255"/>
        </w:trPr>
        <w:tc>
          <w:tcPr>
            <w:tcW w:w="4515" w:type="dxa"/>
            <w:tcBorders>
              <w:top w:val="nil"/>
              <w:left w:val="single" w:sz="4" w:space="0" w:color="auto"/>
              <w:bottom w:val="single" w:sz="4" w:space="0" w:color="auto"/>
              <w:right w:val="single" w:sz="4" w:space="0" w:color="auto"/>
            </w:tcBorders>
            <w:shd w:val="clear" w:color="auto" w:fill="auto"/>
            <w:vAlign w:val="center"/>
            <w:hideMark/>
          </w:tcPr>
          <w:p w:rsidR="000B1271" w:rsidRPr="0049712C" w:rsidRDefault="000B1271" w:rsidP="007E23AB">
            <w:pPr>
              <w:spacing w:line="240" w:lineRule="auto"/>
              <w:rPr>
                <w:rFonts w:ascii="Arial Narrow" w:hAnsi="Arial Narrow" w:cs="Arial"/>
                <w:color w:val="000000"/>
                <w:sz w:val="18"/>
                <w:szCs w:val="18"/>
              </w:rPr>
            </w:pPr>
            <w:r w:rsidRPr="0049712C">
              <w:rPr>
                <w:rFonts w:ascii="Arial Narrow" w:hAnsi="Arial Narrow" w:cs="Arial"/>
                <w:color w:val="000000"/>
                <w:sz w:val="18"/>
                <w:szCs w:val="18"/>
              </w:rPr>
              <w:t>South</w:t>
            </w:r>
          </w:p>
        </w:tc>
        <w:tc>
          <w:tcPr>
            <w:tcW w:w="1260" w:type="dxa"/>
            <w:tcBorders>
              <w:top w:val="nil"/>
              <w:left w:val="nil"/>
              <w:bottom w:val="single" w:sz="4" w:space="0" w:color="auto"/>
              <w:right w:val="single" w:sz="4" w:space="0" w:color="auto"/>
            </w:tcBorders>
            <w:shd w:val="clear" w:color="auto" w:fill="auto"/>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262</w:t>
            </w:r>
          </w:p>
        </w:tc>
        <w:tc>
          <w:tcPr>
            <w:tcW w:w="1080" w:type="dxa"/>
            <w:tcBorders>
              <w:top w:val="nil"/>
              <w:left w:val="nil"/>
              <w:bottom w:val="single" w:sz="4" w:space="0" w:color="auto"/>
              <w:right w:val="single" w:sz="4" w:space="0" w:color="auto"/>
            </w:tcBorders>
            <w:shd w:val="clear" w:color="auto" w:fill="auto"/>
            <w:noWrap/>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35%</w:t>
            </w:r>
          </w:p>
        </w:tc>
        <w:tc>
          <w:tcPr>
            <w:tcW w:w="1080" w:type="dxa"/>
            <w:tcBorders>
              <w:top w:val="nil"/>
              <w:left w:val="nil"/>
              <w:bottom w:val="single" w:sz="4" w:space="0" w:color="auto"/>
              <w:right w:val="single" w:sz="4" w:space="0" w:color="auto"/>
            </w:tcBorders>
            <w:shd w:val="clear" w:color="auto" w:fill="auto"/>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812</w:t>
            </w:r>
          </w:p>
        </w:tc>
        <w:tc>
          <w:tcPr>
            <w:tcW w:w="990" w:type="dxa"/>
            <w:tcBorders>
              <w:top w:val="nil"/>
              <w:left w:val="nil"/>
              <w:bottom w:val="single" w:sz="4" w:space="0" w:color="auto"/>
              <w:right w:val="single" w:sz="4" w:space="0" w:color="auto"/>
            </w:tcBorders>
            <w:shd w:val="clear" w:color="auto" w:fill="auto"/>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35%</w:t>
            </w:r>
          </w:p>
        </w:tc>
      </w:tr>
      <w:tr w:rsidR="000B1271" w:rsidRPr="00AD2497" w:rsidTr="000B1271">
        <w:trPr>
          <w:trHeight w:val="255"/>
        </w:trPr>
        <w:tc>
          <w:tcPr>
            <w:tcW w:w="4515" w:type="dxa"/>
            <w:tcBorders>
              <w:top w:val="nil"/>
              <w:left w:val="single" w:sz="4" w:space="0" w:color="auto"/>
              <w:bottom w:val="single" w:sz="4" w:space="0" w:color="auto"/>
              <w:right w:val="single" w:sz="4" w:space="0" w:color="auto"/>
            </w:tcBorders>
            <w:shd w:val="clear" w:color="auto" w:fill="auto"/>
            <w:vAlign w:val="center"/>
            <w:hideMark/>
          </w:tcPr>
          <w:p w:rsidR="000B1271" w:rsidRPr="0049712C" w:rsidRDefault="000B1271" w:rsidP="007E23AB">
            <w:pPr>
              <w:spacing w:line="240" w:lineRule="auto"/>
              <w:rPr>
                <w:rFonts w:ascii="Arial Narrow" w:hAnsi="Arial Narrow" w:cs="Arial"/>
                <w:color w:val="000000"/>
                <w:sz w:val="18"/>
                <w:szCs w:val="18"/>
              </w:rPr>
            </w:pPr>
            <w:r w:rsidRPr="0049712C">
              <w:rPr>
                <w:rFonts w:ascii="Arial Narrow" w:hAnsi="Arial Narrow" w:cs="Arial"/>
                <w:color w:val="000000"/>
                <w:sz w:val="18"/>
                <w:szCs w:val="18"/>
              </w:rPr>
              <w:t>West</w:t>
            </w:r>
          </w:p>
        </w:tc>
        <w:tc>
          <w:tcPr>
            <w:tcW w:w="1260" w:type="dxa"/>
            <w:tcBorders>
              <w:top w:val="nil"/>
              <w:left w:val="nil"/>
              <w:bottom w:val="single" w:sz="4" w:space="0" w:color="auto"/>
              <w:right w:val="single" w:sz="4" w:space="0" w:color="auto"/>
            </w:tcBorders>
            <w:shd w:val="clear" w:color="auto" w:fill="auto"/>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133</w:t>
            </w:r>
          </w:p>
        </w:tc>
        <w:tc>
          <w:tcPr>
            <w:tcW w:w="1080" w:type="dxa"/>
            <w:tcBorders>
              <w:top w:val="nil"/>
              <w:left w:val="nil"/>
              <w:bottom w:val="single" w:sz="4" w:space="0" w:color="auto"/>
              <w:right w:val="single" w:sz="4" w:space="0" w:color="auto"/>
            </w:tcBorders>
            <w:shd w:val="clear" w:color="auto" w:fill="auto"/>
            <w:noWrap/>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18%</w:t>
            </w:r>
          </w:p>
        </w:tc>
        <w:tc>
          <w:tcPr>
            <w:tcW w:w="1080" w:type="dxa"/>
            <w:tcBorders>
              <w:top w:val="nil"/>
              <w:left w:val="nil"/>
              <w:bottom w:val="single" w:sz="4" w:space="0" w:color="auto"/>
              <w:right w:val="single" w:sz="4" w:space="0" w:color="auto"/>
            </w:tcBorders>
            <w:shd w:val="clear" w:color="auto" w:fill="auto"/>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273</w:t>
            </w:r>
          </w:p>
        </w:tc>
        <w:tc>
          <w:tcPr>
            <w:tcW w:w="990" w:type="dxa"/>
            <w:tcBorders>
              <w:top w:val="nil"/>
              <w:left w:val="nil"/>
              <w:bottom w:val="single" w:sz="4" w:space="0" w:color="auto"/>
              <w:right w:val="single" w:sz="4" w:space="0" w:color="auto"/>
            </w:tcBorders>
            <w:shd w:val="clear" w:color="auto" w:fill="auto"/>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12%</w:t>
            </w:r>
          </w:p>
        </w:tc>
      </w:tr>
      <w:tr w:rsidR="000B1271" w:rsidRPr="000B1271" w:rsidTr="000B1271">
        <w:trPr>
          <w:trHeight w:val="270"/>
        </w:trPr>
        <w:tc>
          <w:tcPr>
            <w:tcW w:w="8925" w:type="dxa"/>
            <w:gridSpan w:val="5"/>
            <w:tcBorders>
              <w:top w:val="single" w:sz="4" w:space="0" w:color="auto"/>
              <w:left w:val="single" w:sz="4" w:space="0" w:color="auto"/>
              <w:bottom w:val="single" w:sz="4" w:space="0" w:color="auto"/>
              <w:right w:val="single" w:sz="4" w:space="0" w:color="auto"/>
            </w:tcBorders>
            <w:shd w:val="clear" w:color="000000" w:fill="898D8D"/>
            <w:vAlign w:val="center"/>
            <w:hideMark/>
          </w:tcPr>
          <w:p w:rsidR="000B1271" w:rsidRPr="0049712C" w:rsidRDefault="000B1271" w:rsidP="000B1271">
            <w:pPr>
              <w:spacing w:line="240" w:lineRule="auto"/>
              <w:rPr>
                <w:rFonts w:ascii="Arial Narrow" w:hAnsi="Arial Narrow" w:cs="Arial"/>
                <w:b/>
                <w:bCs/>
                <w:color w:val="F0F4F6" w:themeColor="background1" w:themeTint="33"/>
                <w:sz w:val="18"/>
                <w:szCs w:val="18"/>
              </w:rPr>
            </w:pPr>
            <w:r w:rsidRPr="0049712C">
              <w:rPr>
                <w:rFonts w:ascii="Arial Narrow" w:hAnsi="Arial Narrow" w:cs="Arial"/>
                <w:b/>
                <w:bCs/>
                <w:color w:val="F0F4F6" w:themeColor="background1" w:themeTint="33"/>
                <w:sz w:val="18"/>
                <w:szCs w:val="18"/>
              </w:rPr>
              <w:t>Program Size</w:t>
            </w:r>
          </w:p>
        </w:tc>
      </w:tr>
      <w:tr w:rsidR="000B1271" w:rsidRPr="00AD2497" w:rsidTr="000B1271">
        <w:trPr>
          <w:trHeight w:val="255"/>
        </w:trPr>
        <w:tc>
          <w:tcPr>
            <w:tcW w:w="4515" w:type="dxa"/>
            <w:tcBorders>
              <w:top w:val="nil"/>
              <w:left w:val="single" w:sz="4" w:space="0" w:color="auto"/>
              <w:bottom w:val="single" w:sz="4" w:space="0" w:color="auto"/>
              <w:right w:val="single" w:sz="4" w:space="0" w:color="auto"/>
            </w:tcBorders>
            <w:shd w:val="clear" w:color="auto" w:fill="auto"/>
            <w:vAlign w:val="center"/>
            <w:hideMark/>
          </w:tcPr>
          <w:p w:rsidR="000B1271" w:rsidRPr="0049712C" w:rsidRDefault="000B1271" w:rsidP="007E23AB">
            <w:pPr>
              <w:spacing w:line="240" w:lineRule="auto"/>
              <w:rPr>
                <w:rFonts w:ascii="Arial Narrow" w:hAnsi="Arial Narrow" w:cs="Arial"/>
                <w:color w:val="000000"/>
                <w:sz w:val="18"/>
                <w:szCs w:val="18"/>
              </w:rPr>
            </w:pPr>
            <w:r w:rsidRPr="0049712C">
              <w:rPr>
                <w:rFonts w:ascii="Arial Narrow" w:hAnsi="Arial Narrow" w:cs="Arial"/>
                <w:color w:val="000000"/>
                <w:sz w:val="18"/>
                <w:szCs w:val="18"/>
              </w:rPr>
              <w:t>1 - 49 units</w:t>
            </w:r>
          </w:p>
        </w:tc>
        <w:tc>
          <w:tcPr>
            <w:tcW w:w="1260" w:type="dxa"/>
            <w:tcBorders>
              <w:top w:val="nil"/>
              <w:left w:val="nil"/>
              <w:bottom w:val="single" w:sz="4" w:space="0" w:color="auto"/>
              <w:right w:val="single" w:sz="4" w:space="0" w:color="auto"/>
            </w:tcBorders>
            <w:shd w:val="clear" w:color="auto" w:fill="auto"/>
            <w:vAlign w:val="center"/>
            <w:hideMark/>
          </w:tcPr>
          <w:p w:rsidR="000B1271" w:rsidRPr="0049712C" w:rsidRDefault="000B1271" w:rsidP="000B1271">
            <w:pPr>
              <w:spacing w:line="240" w:lineRule="auto"/>
              <w:jc w:val="center"/>
              <w:rPr>
                <w:rFonts w:ascii="Arial Narrow" w:hAnsi="Arial Narrow" w:cs="Arial"/>
                <w:sz w:val="18"/>
                <w:szCs w:val="18"/>
              </w:rPr>
            </w:pPr>
          </w:p>
        </w:tc>
        <w:tc>
          <w:tcPr>
            <w:tcW w:w="1080" w:type="dxa"/>
            <w:tcBorders>
              <w:top w:val="nil"/>
              <w:left w:val="nil"/>
              <w:bottom w:val="single" w:sz="4" w:space="0" w:color="auto"/>
              <w:right w:val="single" w:sz="4" w:space="0" w:color="auto"/>
            </w:tcBorders>
            <w:shd w:val="clear" w:color="auto" w:fill="auto"/>
            <w:vAlign w:val="center"/>
            <w:hideMark/>
          </w:tcPr>
          <w:p w:rsidR="000B1271" w:rsidRPr="0049712C" w:rsidRDefault="000B1271" w:rsidP="000B1271">
            <w:pPr>
              <w:spacing w:line="240" w:lineRule="auto"/>
              <w:jc w:val="center"/>
              <w:rPr>
                <w:rFonts w:ascii="Arial Narrow" w:hAnsi="Arial Narrow" w:cs="Arial"/>
                <w:sz w:val="18"/>
                <w:szCs w:val="18"/>
              </w:rPr>
            </w:pPr>
          </w:p>
        </w:tc>
        <w:tc>
          <w:tcPr>
            <w:tcW w:w="1080" w:type="dxa"/>
            <w:tcBorders>
              <w:top w:val="nil"/>
              <w:left w:val="nil"/>
              <w:bottom w:val="single" w:sz="4" w:space="0" w:color="auto"/>
              <w:right w:val="single" w:sz="4" w:space="0" w:color="auto"/>
            </w:tcBorders>
            <w:shd w:val="clear" w:color="auto" w:fill="auto"/>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251</w:t>
            </w:r>
          </w:p>
        </w:tc>
        <w:tc>
          <w:tcPr>
            <w:tcW w:w="990" w:type="dxa"/>
            <w:tcBorders>
              <w:top w:val="nil"/>
              <w:left w:val="nil"/>
              <w:bottom w:val="single" w:sz="4" w:space="0" w:color="auto"/>
              <w:right w:val="single" w:sz="4" w:space="0" w:color="auto"/>
            </w:tcBorders>
            <w:shd w:val="clear" w:color="auto" w:fill="auto"/>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11%</w:t>
            </w:r>
          </w:p>
        </w:tc>
      </w:tr>
      <w:tr w:rsidR="000B1271" w:rsidRPr="00AD2497" w:rsidTr="000B1271">
        <w:trPr>
          <w:trHeight w:val="255"/>
        </w:trPr>
        <w:tc>
          <w:tcPr>
            <w:tcW w:w="4515" w:type="dxa"/>
            <w:tcBorders>
              <w:top w:val="nil"/>
              <w:left w:val="single" w:sz="4" w:space="0" w:color="auto"/>
              <w:bottom w:val="single" w:sz="4" w:space="0" w:color="auto"/>
              <w:right w:val="single" w:sz="4" w:space="0" w:color="auto"/>
            </w:tcBorders>
            <w:shd w:val="clear" w:color="auto" w:fill="auto"/>
            <w:vAlign w:val="center"/>
            <w:hideMark/>
          </w:tcPr>
          <w:p w:rsidR="000B1271" w:rsidRPr="0049712C" w:rsidRDefault="000B1271" w:rsidP="007E23AB">
            <w:pPr>
              <w:spacing w:line="240" w:lineRule="auto"/>
              <w:rPr>
                <w:rFonts w:ascii="Arial Narrow" w:hAnsi="Arial Narrow" w:cs="Arial"/>
                <w:color w:val="000000"/>
                <w:sz w:val="18"/>
                <w:szCs w:val="18"/>
              </w:rPr>
            </w:pPr>
            <w:r w:rsidRPr="0049712C">
              <w:rPr>
                <w:rFonts w:ascii="Arial Narrow" w:hAnsi="Arial Narrow" w:cs="Arial"/>
                <w:color w:val="000000"/>
                <w:sz w:val="18"/>
                <w:szCs w:val="18"/>
              </w:rPr>
              <w:t>50 - 249 units</w:t>
            </w:r>
          </w:p>
        </w:tc>
        <w:tc>
          <w:tcPr>
            <w:tcW w:w="1260" w:type="dxa"/>
            <w:tcBorders>
              <w:top w:val="nil"/>
              <w:left w:val="nil"/>
              <w:bottom w:val="single" w:sz="4" w:space="0" w:color="auto"/>
              <w:right w:val="single" w:sz="4" w:space="0" w:color="auto"/>
            </w:tcBorders>
            <w:shd w:val="clear" w:color="auto" w:fill="auto"/>
            <w:vAlign w:val="center"/>
            <w:hideMark/>
          </w:tcPr>
          <w:p w:rsidR="000B1271" w:rsidRPr="0049712C" w:rsidRDefault="000B1271" w:rsidP="000B1271">
            <w:pPr>
              <w:spacing w:line="240" w:lineRule="auto"/>
              <w:jc w:val="center"/>
              <w:rPr>
                <w:rFonts w:ascii="Arial Narrow" w:hAnsi="Arial Narrow" w:cs="Arial"/>
                <w:sz w:val="18"/>
                <w:szCs w:val="18"/>
              </w:rPr>
            </w:pPr>
          </w:p>
        </w:tc>
        <w:tc>
          <w:tcPr>
            <w:tcW w:w="1080" w:type="dxa"/>
            <w:tcBorders>
              <w:top w:val="nil"/>
              <w:left w:val="nil"/>
              <w:bottom w:val="single" w:sz="4" w:space="0" w:color="auto"/>
              <w:right w:val="single" w:sz="4" w:space="0" w:color="auto"/>
            </w:tcBorders>
            <w:shd w:val="clear" w:color="auto" w:fill="auto"/>
            <w:vAlign w:val="center"/>
            <w:hideMark/>
          </w:tcPr>
          <w:p w:rsidR="000B1271" w:rsidRPr="0049712C" w:rsidRDefault="000B1271" w:rsidP="000B1271">
            <w:pPr>
              <w:spacing w:line="240" w:lineRule="auto"/>
              <w:jc w:val="center"/>
              <w:rPr>
                <w:rFonts w:ascii="Arial Narrow" w:hAnsi="Arial Narrow" w:cs="Arial"/>
                <w:sz w:val="18"/>
                <w:szCs w:val="18"/>
              </w:rPr>
            </w:pPr>
          </w:p>
        </w:tc>
        <w:tc>
          <w:tcPr>
            <w:tcW w:w="1080" w:type="dxa"/>
            <w:tcBorders>
              <w:top w:val="nil"/>
              <w:left w:val="nil"/>
              <w:bottom w:val="single" w:sz="4" w:space="0" w:color="auto"/>
              <w:right w:val="single" w:sz="4" w:space="0" w:color="auto"/>
            </w:tcBorders>
            <w:shd w:val="clear" w:color="auto" w:fill="auto"/>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915</w:t>
            </w:r>
          </w:p>
        </w:tc>
        <w:tc>
          <w:tcPr>
            <w:tcW w:w="990" w:type="dxa"/>
            <w:tcBorders>
              <w:top w:val="nil"/>
              <w:left w:val="nil"/>
              <w:bottom w:val="single" w:sz="4" w:space="0" w:color="auto"/>
              <w:right w:val="single" w:sz="4" w:space="0" w:color="auto"/>
            </w:tcBorders>
            <w:shd w:val="clear" w:color="auto" w:fill="auto"/>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39%</w:t>
            </w:r>
          </w:p>
        </w:tc>
      </w:tr>
      <w:tr w:rsidR="000B1271" w:rsidRPr="00AD2497" w:rsidTr="000B1271">
        <w:trPr>
          <w:trHeight w:val="255"/>
        </w:trPr>
        <w:tc>
          <w:tcPr>
            <w:tcW w:w="4515" w:type="dxa"/>
            <w:tcBorders>
              <w:top w:val="nil"/>
              <w:left w:val="single" w:sz="4" w:space="0" w:color="auto"/>
              <w:bottom w:val="single" w:sz="4" w:space="0" w:color="auto"/>
              <w:right w:val="single" w:sz="4" w:space="0" w:color="auto"/>
            </w:tcBorders>
            <w:shd w:val="clear" w:color="auto" w:fill="auto"/>
            <w:vAlign w:val="center"/>
            <w:hideMark/>
          </w:tcPr>
          <w:p w:rsidR="000B1271" w:rsidRPr="0049712C" w:rsidRDefault="000B1271" w:rsidP="007E23AB">
            <w:pPr>
              <w:spacing w:line="240" w:lineRule="auto"/>
              <w:rPr>
                <w:rFonts w:ascii="Arial Narrow" w:hAnsi="Arial Narrow" w:cs="Arial"/>
                <w:color w:val="000000"/>
                <w:sz w:val="18"/>
                <w:szCs w:val="18"/>
              </w:rPr>
            </w:pPr>
            <w:r w:rsidRPr="0049712C">
              <w:rPr>
                <w:rFonts w:ascii="Arial Narrow" w:hAnsi="Arial Narrow" w:cs="Arial"/>
                <w:color w:val="000000"/>
                <w:sz w:val="18"/>
                <w:szCs w:val="18"/>
              </w:rPr>
              <w:t>250 - 499 units</w:t>
            </w:r>
          </w:p>
        </w:tc>
        <w:tc>
          <w:tcPr>
            <w:tcW w:w="1260" w:type="dxa"/>
            <w:tcBorders>
              <w:top w:val="nil"/>
              <w:left w:val="nil"/>
              <w:bottom w:val="single" w:sz="4" w:space="0" w:color="auto"/>
              <w:right w:val="single" w:sz="4" w:space="0" w:color="auto"/>
            </w:tcBorders>
            <w:shd w:val="clear" w:color="auto" w:fill="auto"/>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260</w:t>
            </w:r>
          </w:p>
        </w:tc>
        <w:tc>
          <w:tcPr>
            <w:tcW w:w="1080" w:type="dxa"/>
            <w:tcBorders>
              <w:top w:val="nil"/>
              <w:left w:val="nil"/>
              <w:bottom w:val="single" w:sz="4" w:space="0" w:color="auto"/>
              <w:right w:val="single" w:sz="4" w:space="0" w:color="auto"/>
            </w:tcBorders>
            <w:shd w:val="clear" w:color="auto" w:fill="auto"/>
            <w:noWrap/>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34%</w:t>
            </w:r>
          </w:p>
        </w:tc>
        <w:tc>
          <w:tcPr>
            <w:tcW w:w="1080" w:type="dxa"/>
            <w:tcBorders>
              <w:top w:val="nil"/>
              <w:left w:val="nil"/>
              <w:bottom w:val="single" w:sz="4" w:space="0" w:color="auto"/>
              <w:right w:val="single" w:sz="4" w:space="0" w:color="auto"/>
            </w:tcBorders>
            <w:shd w:val="clear" w:color="auto" w:fill="auto"/>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410</w:t>
            </w:r>
          </w:p>
        </w:tc>
        <w:tc>
          <w:tcPr>
            <w:tcW w:w="990" w:type="dxa"/>
            <w:tcBorders>
              <w:top w:val="nil"/>
              <w:left w:val="nil"/>
              <w:bottom w:val="single" w:sz="4" w:space="0" w:color="auto"/>
              <w:right w:val="single" w:sz="4" w:space="0" w:color="auto"/>
            </w:tcBorders>
            <w:shd w:val="clear" w:color="auto" w:fill="auto"/>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18%</w:t>
            </w:r>
          </w:p>
        </w:tc>
      </w:tr>
      <w:tr w:rsidR="000B1271" w:rsidRPr="00AD2497" w:rsidTr="000B1271">
        <w:trPr>
          <w:trHeight w:val="255"/>
        </w:trPr>
        <w:tc>
          <w:tcPr>
            <w:tcW w:w="4515" w:type="dxa"/>
            <w:tcBorders>
              <w:top w:val="nil"/>
              <w:left w:val="single" w:sz="4" w:space="0" w:color="auto"/>
              <w:bottom w:val="single" w:sz="4" w:space="0" w:color="auto"/>
              <w:right w:val="single" w:sz="4" w:space="0" w:color="auto"/>
            </w:tcBorders>
            <w:shd w:val="clear" w:color="auto" w:fill="auto"/>
            <w:vAlign w:val="center"/>
            <w:hideMark/>
          </w:tcPr>
          <w:p w:rsidR="000B1271" w:rsidRPr="0049712C" w:rsidRDefault="000B1271" w:rsidP="007E23AB">
            <w:pPr>
              <w:spacing w:line="240" w:lineRule="auto"/>
              <w:rPr>
                <w:rFonts w:ascii="Arial Narrow" w:hAnsi="Arial Narrow" w:cs="Arial"/>
                <w:color w:val="000000"/>
                <w:sz w:val="18"/>
                <w:szCs w:val="18"/>
              </w:rPr>
            </w:pPr>
            <w:r w:rsidRPr="0049712C">
              <w:rPr>
                <w:rFonts w:ascii="Arial Narrow" w:hAnsi="Arial Narrow" w:cs="Arial"/>
                <w:color w:val="000000"/>
                <w:sz w:val="18"/>
                <w:szCs w:val="18"/>
              </w:rPr>
              <w:t>500 - 1,249 units</w:t>
            </w:r>
          </w:p>
        </w:tc>
        <w:tc>
          <w:tcPr>
            <w:tcW w:w="1260" w:type="dxa"/>
            <w:tcBorders>
              <w:top w:val="nil"/>
              <w:left w:val="nil"/>
              <w:bottom w:val="single" w:sz="4" w:space="0" w:color="auto"/>
              <w:right w:val="single" w:sz="4" w:space="0" w:color="auto"/>
            </w:tcBorders>
            <w:shd w:val="clear" w:color="auto" w:fill="auto"/>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309</w:t>
            </w:r>
          </w:p>
        </w:tc>
        <w:tc>
          <w:tcPr>
            <w:tcW w:w="1080" w:type="dxa"/>
            <w:tcBorders>
              <w:top w:val="nil"/>
              <w:left w:val="nil"/>
              <w:bottom w:val="single" w:sz="4" w:space="0" w:color="auto"/>
              <w:right w:val="single" w:sz="4" w:space="0" w:color="auto"/>
            </w:tcBorders>
            <w:shd w:val="clear" w:color="auto" w:fill="auto"/>
            <w:noWrap/>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41%</w:t>
            </w:r>
          </w:p>
        </w:tc>
        <w:tc>
          <w:tcPr>
            <w:tcW w:w="1080" w:type="dxa"/>
            <w:tcBorders>
              <w:top w:val="nil"/>
              <w:left w:val="nil"/>
              <w:bottom w:val="single" w:sz="4" w:space="0" w:color="auto"/>
              <w:right w:val="single" w:sz="4" w:space="0" w:color="auto"/>
            </w:tcBorders>
            <w:shd w:val="clear" w:color="auto" w:fill="auto"/>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413</w:t>
            </w:r>
          </w:p>
        </w:tc>
        <w:tc>
          <w:tcPr>
            <w:tcW w:w="990" w:type="dxa"/>
            <w:tcBorders>
              <w:top w:val="nil"/>
              <w:left w:val="nil"/>
              <w:bottom w:val="single" w:sz="4" w:space="0" w:color="auto"/>
              <w:right w:val="single" w:sz="4" w:space="0" w:color="auto"/>
            </w:tcBorders>
            <w:shd w:val="clear" w:color="auto" w:fill="auto"/>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18%</w:t>
            </w:r>
          </w:p>
        </w:tc>
      </w:tr>
      <w:tr w:rsidR="000B1271" w:rsidRPr="00AD2497" w:rsidTr="000B1271">
        <w:trPr>
          <w:trHeight w:val="255"/>
        </w:trPr>
        <w:tc>
          <w:tcPr>
            <w:tcW w:w="4515" w:type="dxa"/>
            <w:tcBorders>
              <w:top w:val="nil"/>
              <w:left w:val="single" w:sz="4" w:space="0" w:color="auto"/>
              <w:bottom w:val="single" w:sz="4" w:space="0" w:color="auto"/>
              <w:right w:val="single" w:sz="4" w:space="0" w:color="auto"/>
            </w:tcBorders>
            <w:shd w:val="clear" w:color="auto" w:fill="auto"/>
            <w:vAlign w:val="center"/>
            <w:hideMark/>
          </w:tcPr>
          <w:p w:rsidR="000B1271" w:rsidRPr="0049712C" w:rsidRDefault="000B1271" w:rsidP="007E23AB">
            <w:pPr>
              <w:spacing w:line="240" w:lineRule="auto"/>
              <w:rPr>
                <w:rFonts w:ascii="Arial Narrow" w:hAnsi="Arial Narrow" w:cs="Arial"/>
                <w:color w:val="000000"/>
                <w:sz w:val="18"/>
                <w:szCs w:val="18"/>
              </w:rPr>
            </w:pPr>
            <w:r w:rsidRPr="0049712C">
              <w:rPr>
                <w:rFonts w:ascii="Arial Narrow" w:hAnsi="Arial Narrow" w:cs="Arial"/>
                <w:color w:val="000000"/>
                <w:sz w:val="18"/>
                <w:szCs w:val="18"/>
              </w:rPr>
              <w:t>1,250 - 9,999 units</w:t>
            </w:r>
          </w:p>
        </w:tc>
        <w:tc>
          <w:tcPr>
            <w:tcW w:w="1260" w:type="dxa"/>
            <w:tcBorders>
              <w:top w:val="nil"/>
              <w:left w:val="nil"/>
              <w:bottom w:val="single" w:sz="4" w:space="0" w:color="auto"/>
              <w:right w:val="single" w:sz="4" w:space="0" w:color="auto"/>
            </w:tcBorders>
            <w:shd w:val="clear" w:color="auto" w:fill="auto"/>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182</w:t>
            </w:r>
          </w:p>
        </w:tc>
        <w:tc>
          <w:tcPr>
            <w:tcW w:w="1080" w:type="dxa"/>
            <w:tcBorders>
              <w:top w:val="nil"/>
              <w:left w:val="nil"/>
              <w:bottom w:val="single" w:sz="4" w:space="0" w:color="auto"/>
              <w:right w:val="single" w:sz="4" w:space="0" w:color="auto"/>
            </w:tcBorders>
            <w:shd w:val="clear" w:color="auto" w:fill="auto"/>
            <w:noWrap/>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24%</w:t>
            </w:r>
          </w:p>
        </w:tc>
        <w:tc>
          <w:tcPr>
            <w:tcW w:w="1080" w:type="dxa"/>
            <w:tcBorders>
              <w:top w:val="nil"/>
              <w:left w:val="nil"/>
              <w:bottom w:val="single" w:sz="4" w:space="0" w:color="auto"/>
              <w:right w:val="single" w:sz="4" w:space="0" w:color="auto"/>
            </w:tcBorders>
            <w:shd w:val="clear" w:color="auto" w:fill="auto"/>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320</w:t>
            </w:r>
          </w:p>
        </w:tc>
        <w:tc>
          <w:tcPr>
            <w:tcW w:w="990" w:type="dxa"/>
            <w:tcBorders>
              <w:top w:val="nil"/>
              <w:left w:val="nil"/>
              <w:bottom w:val="single" w:sz="4" w:space="0" w:color="auto"/>
              <w:right w:val="single" w:sz="4" w:space="0" w:color="auto"/>
            </w:tcBorders>
            <w:shd w:val="clear" w:color="auto" w:fill="auto"/>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14%</w:t>
            </w:r>
          </w:p>
        </w:tc>
      </w:tr>
      <w:tr w:rsidR="000B1271" w:rsidRPr="00AD2497" w:rsidTr="000B1271">
        <w:trPr>
          <w:trHeight w:val="255"/>
        </w:trPr>
        <w:tc>
          <w:tcPr>
            <w:tcW w:w="4515" w:type="dxa"/>
            <w:tcBorders>
              <w:top w:val="nil"/>
              <w:left w:val="single" w:sz="4" w:space="0" w:color="auto"/>
              <w:bottom w:val="single" w:sz="4" w:space="0" w:color="auto"/>
              <w:right w:val="single" w:sz="4" w:space="0" w:color="auto"/>
            </w:tcBorders>
            <w:shd w:val="clear" w:color="auto" w:fill="auto"/>
            <w:vAlign w:val="center"/>
            <w:hideMark/>
          </w:tcPr>
          <w:p w:rsidR="000B1271" w:rsidRPr="0049712C" w:rsidRDefault="000B1271" w:rsidP="007E23AB">
            <w:pPr>
              <w:spacing w:line="240" w:lineRule="auto"/>
              <w:rPr>
                <w:rFonts w:ascii="Arial Narrow" w:hAnsi="Arial Narrow" w:cs="Arial"/>
                <w:color w:val="000000"/>
                <w:sz w:val="18"/>
                <w:szCs w:val="18"/>
              </w:rPr>
            </w:pPr>
            <w:r w:rsidRPr="0049712C">
              <w:rPr>
                <w:rFonts w:ascii="Arial Narrow" w:hAnsi="Arial Narrow" w:cs="Arial"/>
                <w:color w:val="000000"/>
                <w:sz w:val="18"/>
                <w:szCs w:val="18"/>
              </w:rPr>
              <w:t>10,000 or more units</w:t>
            </w:r>
          </w:p>
        </w:tc>
        <w:tc>
          <w:tcPr>
            <w:tcW w:w="1260" w:type="dxa"/>
            <w:tcBorders>
              <w:top w:val="nil"/>
              <w:left w:val="nil"/>
              <w:bottom w:val="single" w:sz="4" w:space="0" w:color="auto"/>
              <w:right w:val="single" w:sz="4" w:space="0" w:color="auto"/>
            </w:tcBorders>
            <w:shd w:val="clear" w:color="auto" w:fill="auto"/>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4</w:t>
            </w:r>
          </w:p>
        </w:tc>
        <w:tc>
          <w:tcPr>
            <w:tcW w:w="1080" w:type="dxa"/>
            <w:tcBorders>
              <w:top w:val="nil"/>
              <w:left w:val="nil"/>
              <w:bottom w:val="single" w:sz="4" w:space="0" w:color="auto"/>
              <w:right w:val="single" w:sz="4" w:space="0" w:color="auto"/>
            </w:tcBorders>
            <w:shd w:val="clear" w:color="auto" w:fill="auto"/>
            <w:noWrap/>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1%</w:t>
            </w:r>
          </w:p>
        </w:tc>
        <w:tc>
          <w:tcPr>
            <w:tcW w:w="1080" w:type="dxa"/>
            <w:tcBorders>
              <w:top w:val="nil"/>
              <w:left w:val="nil"/>
              <w:bottom w:val="single" w:sz="4" w:space="0" w:color="auto"/>
              <w:right w:val="single" w:sz="4" w:space="0" w:color="auto"/>
            </w:tcBorders>
            <w:shd w:val="clear" w:color="auto" w:fill="auto"/>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25</w:t>
            </w:r>
          </w:p>
        </w:tc>
        <w:tc>
          <w:tcPr>
            <w:tcW w:w="990" w:type="dxa"/>
            <w:tcBorders>
              <w:top w:val="nil"/>
              <w:left w:val="nil"/>
              <w:bottom w:val="single" w:sz="4" w:space="0" w:color="auto"/>
              <w:right w:val="single" w:sz="4" w:space="0" w:color="auto"/>
            </w:tcBorders>
            <w:shd w:val="clear" w:color="auto" w:fill="auto"/>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1%</w:t>
            </w:r>
          </w:p>
        </w:tc>
      </w:tr>
      <w:tr w:rsidR="000B1271" w:rsidRPr="000B1271" w:rsidTr="000B1271">
        <w:trPr>
          <w:trHeight w:val="270"/>
        </w:trPr>
        <w:tc>
          <w:tcPr>
            <w:tcW w:w="8925" w:type="dxa"/>
            <w:gridSpan w:val="5"/>
            <w:tcBorders>
              <w:top w:val="single" w:sz="4" w:space="0" w:color="auto"/>
              <w:left w:val="single" w:sz="4" w:space="0" w:color="auto"/>
              <w:bottom w:val="single" w:sz="4" w:space="0" w:color="auto"/>
              <w:right w:val="single" w:sz="4" w:space="0" w:color="auto"/>
            </w:tcBorders>
            <w:shd w:val="clear" w:color="000000" w:fill="898D8D"/>
            <w:vAlign w:val="center"/>
            <w:hideMark/>
          </w:tcPr>
          <w:p w:rsidR="000B1271" w:rsidRPr="0049712C" w:rsidRDefault="000B1271" w:rsidP="000B1271">
            <w:pPr>
              <w:spacing w:line="240" w:lineRule="auto"/>
              <w:rPr>
                <w:rFonts w:ascii="Arial Narrow" w:hAnsi="Arial Narrow" w:cs="Arial"/>
                <w:b/>
                <w:bCs/>
                <w:color w:val="F0F4F6" w:themeColor="background1" w:themeTint="33"/>
                <w:sz w:val="18"/>
                <w:szCs w:val="18"/>
              </w:rPr>
            </w:pPr>
            <w:r w:rsidRPr="0049712C">
              <w:rPr>
                <w:rFonts w:ascii="Arial Narrow" w:hAnsi="Arial Narrow" w:cs="Arial"/>
                <w:b/>
                <w:bCs/>
                <w:color w:val="F0F4F6" w:themeColor="background1" w:themeTint="33"/>
                <w:sz w:val="18"/>
                <w:szCs w:val="18"/>
              </w:rPr>
              <w:t>Agency Type</w:t>
            </w:r>
          </w:p>
        </w:tc>
      </w:tr>
      <w:tr w:rsidR="000B1271" w:rsidRPr="00AD2497" w:rsidTr="000B1271">
        <w:trPr>
          <w:trHeight w:val="255"/>
        </w:trPr>
        <w:tc>
          <w:tcPr>
            <w:tcW w:w="4515" w:type="dxa"/>
            <w:tcBorders>
              <w:top w:val="nil"/>
              <w:left w:val="single" w:sz="4" w:space="0" w:color="auto"/>
              <w:bottom w:val="single" w:sz="4" w:space="0" w:color="auto"/>
              <w:right w:val="single" w:sz="4" w:space="0" w:color="auto"/>
            </w:tcBorders>
            <w:shd w:val="clear" w:color="000000" w:fill="FFFFFF"/>
            <w:vAlign w:val="center"/>
            <w:hideMark/>
          </w:tcPr>
          <w:p w:rsidR="000B1271" w:rsidRPr="0049712C" w:rsidRDefault="000B1271" w:rsidP="007E23AB">
            <w:pPr>
              <w:spacing w:line="240" w:lineRule="auto"/>
              <w:rPr>
                <w:rFonts w:ascii="Arial Narrow" w:hAnsi="Arial Narrow" w:cs="Arial"/>
                <w:color w:val="000000"/>
                <w:sz w:val="18"/>
                <w:szCs w:val="18"/>
              </w:rPr>
            </w:pPr>
            <w:r w:rsidRPr="0049712C">
              <w:rPr>
                <w:rFonts w:ascii="Arial Narrow" w:hAnsi="Arial Narrow" w:cs="Arial"/>
                <w:color w:val="000000"/>
                <w:sz w:val="18"/>
                <w:szCs w:val="18"/>
              </w:rPr>
              <w:t>Combined</w:t>
            </w:r>
          </w:p>
        </w:tc>
        <w:tc>
          <w:tcPr>
            <w:tcW w:w="1260" w:type="dxa"/>
            <w:tcBorders>
              <w:top w:val="nil"/>
              <w:left w:val="nil"/>
              <w:bottom w:val="single" w:sz="4" w:space="0" w:color="auto"/>
              <w:right w:val="single" w:sz="4" w:space="0" w:color="auto"/>
            </w:tcBorders>
            <w:shd w:val="clear" w:color="000000" w:fill="FFFFFF"/>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518</w:t>
            </w:r>
          </w:p>
        </w:tc>
        <w:tc>
          <w:tcPr>
            <w:tcW w:w="1080" w:type="dxa"/>
            <w:tcBorders>
              <w:top w:val="nil"/>
              <w:left w:val="nil"/>
              <w:bottom w:val="single" w:sz="4" w:space="0" w:color="auto"/>
              <w:right w:val="single" w:sz="4" w:space="0" w:color="auto"/>
            </w:tcBorders>
            <w:shd w:val="clear" w:color="auto" w:fill="auto"/>
            <w:noWrap/>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69%</w:t>
            </w:r>
          </w:p>
        </w:tc>
        <w:tc>
          <w:tcPr>
            <w:tcW w:w="1080" w:type="dxa"/>
            <w:tcBorders>
              <w:top w:val="nil"/>
              <w:left w:val="nil"/>
              <w:bottom w:val="single" w:sz="4" w:space="0" w:color="auto"/>
              <w:right w:val="single" w:sz="4" w:space="0" w:color="auto"/>
            </w:tcBorders>
            <w:shd w:val="clear" w:color="000000" w:fill="FFFFFF"/>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1,452</w:t>
            </w:r>
          </w:p>
        </w:tc>
        <w:tc>
          <w:tcPr>
            <w:tcW w:w="990" w:type="dxa"/>
            <w:tcBorders>
              <w:top w:val="nil"/>
              <w:left w:val="nil"/>
              <w:bottom w:val="single" w:sz="4" w:space="0" w:color="auto"/>
              <w:right w:val="single" w:sz="4" w:space="0" w:color="auto"/>
            </w:tcBorders>
            <w:shd w:val="clear" w:color="auto" w:fill="auto"/>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62%</w:t>
            </w:r>
          </w:p>
        </w:tc>
      </w:tr>
      <w:tr w:rsidR="000B1271" w:rsidRPr="00AD2497" w:rsidTr="000B1271">
        <w:trPr>
          <w:trHeight w:val="255"/>
        </w:trPr>
        <w:tc>
          <w:tcPr>
            <w:tcW w:w="4515" w:type="dxa"/>
            <w:tcBorders>
              <w:top w:val="nil"/>
              <w:left w:val="single" w:sz="4" w:space="0" w:color="auto"/>
              <w:bottom w:val="single" w:sz="4" w:space="0" w:color="auto"/>
              <w:right w:val="single" w:sz="4" w:space="0" w:color="auto"/>
            </w:tcBorders>
            <w:shd w:val="clear" w:color="000000" w:fill="FFFFFF"/>
            <w:vAlign w:val="center"/>
            <w:hideMark/>
          </w:tcPr>
          <w:p w:rsidR="000B1271" w:rsidRPr="0049712C" w:rsidRDefault="000B1271" w:rsidP="007E23AB">
            <w:pPr>
              <w:spacing w:line="240" w:lineRule="auto"/>
              <w:rPr>
                <w:rFonts w:ascii="Arial Narrow" w:hAnsi="Arial Narrow" w:cs="Arial"/>
                <w:color w:val="000000"/>
                <w:sz w:val="18"/>
                <w:szCs w:val="18"/>
              </w:rPr>
            </w:pPr>
            <w:r w:rsidRPr="0049712C">
              <w:rPr>
                <w:rFonts w:ascii="Arial Narrow" w:hAnsi="Arial Narrow" w:cs="Arial"/>
                <w:color w:val="000000"/>
                <w:sz w:val="18"/>
                <w:szCs w:val="18"/>
              </w:rPr>
              <w:t>Section 8</w:t>
            </w:r>
          </w:p>
        </w:tc>
        <w:tc>
          <w:tcPr>
            <w:tcW w:w="1260" w:type="dxa"/>
            <w:tcBorders>
              <w:top w:val="nil"/>
              <w:left w:val="nil"/>
              <w:bottom w:val="single" w:sz="4" w:space="0" w:color="auto"/>
              <w:right w:val="single" w:sz="4" w:space="0" w:color="auto"/>
            </w:tcBorders>
            <w:shd w:val="clear" w:color="000000" w:fill="FFFFFF"/>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237</w:t>
            </w:r>
          </w:p>
        </w:tc>
        <w:tc>
          <w:tcPr>
            <w:tcW w:w="1080" w:type="dxa"/>
            <w:tcBorders>
              <w:top w:val="nil"/>
              <w:left w:val="nil"/>
              <w:bottom w:val="single" w:sz="4" w:space="0" w:color="auto"/>
              <w:right w:val="single" w:sz="4" w:space="0" w:color="auto"/>
            </w:tcBorders>
            <w:shd w:val="clear" w:color="auto" w:fill="auto"/>
            <w:noWrap/>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31%</w:t>
            </w:r>
          </w:p>
        </w:tc>
        <w:tc>
          <w:tcPr>
            <w:tcW w:w="1080" w:type="dxa"/>
            <w:tcBorders>
              <w:top w:val="nil"/>
              <w:left w:val="nil"/>
              <w:bottom w:val="single" w:sz="4" w:space="0" w:color="auto"/>
              <w:right w:val="single" w:sz="4" w:space="0" w:color="auto"/>
            </w:tcBorders>
            <w:shd w:val="clear" w:color="000000" w:fill="FFFFFF"/>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877</w:t>
            </w:r>
          </w:p>
        </w:tc>
        <w:tc>
          <w:tcPr>
            <w:tcW w:w="990" w:type="dxa"/>
            <w:tcBorders>
              <w:top w:val="nil"/>
              <w:left w:val="nil"/>
              <w:bottom w:val="single" w:sz="4" w:space="0" w:color="auto"/>
              <w:right w:val="single" w:sz="4" w:space="0" w:color="auto"/>
            </w:tcBorders>
            <w:shd w:val="clear" w:color="auto" w:fill="auto"/>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38%</w:t>
            </w:r>
          </w:p>
        </w:tc>
      </w:tr>
      <w:tr w:rsidR="000B1271" w:rsidRPr="000B1271" w:rsidTr="000B1271">
        <w:trPr>
          <w:trHeight w:val="270"/>
        </w:trPr>
        <w:tc>
          <w:tcPr>
            <w:tcW w:w="8925" w:type="dxa"/>
            <w:gridSpan w:val="5"/>
            <w:tcBorders>
              <w:top w:val="single" w:sz="4" w:space="0" w:color="auto"/>
              <w:left w:val="single" w:sz="4" w:space="0" w:color="auto"/>
              <w:bottom w:val="single" w:sz="4" w:space="0" w:color="auto"/>
              <w:right w:val="single" w:sz="4" w:space="0" w:color="auto"/>
            </w:tcBorders>
            <w:shd w:val="clear" w:color="000000" w:fill="898D8D"/>
            <w:vAlign w:val="center"/>
            <w:hideMark/>
          </w:tcPr>
          <w:p w:rsidR="000B1271" w:rsidRPr="0049712C" w:rsidRDefault="000B1271" w:rsidP="000B1271">
            <w:pPr>
              <w:spacing w:line="240" w:lineRule="auto"/>
              <w:rPr>
                <w:rFonts w:ascii="Arial Narrow" w:hAnsi="Arial Narrow" w:cs="Arial"/>
                <w:b/>
                <w:bCs/>
                <w:color w:val="F0F4F6" w:themeColor="background1" w:themeTint="33"/>
                <w:sz w:val="18"/>
                <w:szCs w:val="18"/>
              </w:rPr>
            </w:pPr>
            <w:r w:rsidRPr="0049712C">
              <w:rPr>
                <w:rFonts w:ascii="Arial Narrow" w:hAnsi="Arial Narrow" w:cs="Arial"/>
                <w:b/>
                <w:bCs/>
                <w:color w:val="F0F4F6" w:themeColor="background1" w:themeTint="33"/>
                <w:sz w:val="18"/>
                <w:szCs w:val="18"/>
              </w:rPr>
              <w:t>State Agency</w:t>
            </w:r>
          </w:p>
        </w:tc>
      </w:tr>
      <w:tr w:rsidR="000B1271" w:rsidRPr="00AD2497" w:rsidTr="000B1271">
        <w:trPr>
          <w:trHeight w:val="255"/>
        </w:trPr>
        <w:tc>
          <w:tcPr>
            <w:tcW w:w="4515" w:type="dxa"/>
            <w:tcBorders>
              <w:top w:val="nil"/>
              <w:left w:val="single" w:sz="4" w:space="0" w:color="auto"/>
              <w:bottom w:val="single" w:sz="4" w:space="0" w:color="auto"/>
              <w:right w:val="single" w:sz="4" w:space="0" w:color="auto"/>
            </w:tcBorders>
            <w:shd w:val="clear" w:color="000000" w:fill="FFFFFF"/>
            <w:vAlign w:val="center"/>
            <w:hideMark/>
          </w:tcPr>
          <w:p w:rsidR="000B1271" w:rsidRPr="0049712C" w:rsidRDefault="000B1271" w:rsidP="007E23AB">
            <w:pPr>
              <w:spacing w:line="240" w:lineRule="auto"/>
              <w:rPr>
                <w:rFonts w:ascii="Arial Narrow" w:hAnsi="Arial Narrow" w:cs="Arial"/>
                <w:color w:val="000000"/>
                <w:sz w:val="18"/>
                <w:szCs w:val="18"/>
              </w:rPr>
            </w:pPr>
            <w:r w:rsidRPr="0049712C">
              <w:rPr>
                <w:rFonts w:ascii="Arial Narrow" w:hAnsi="Arial Narrow" w:cs="Arial"/>
                <w:color w:val="000000"/>
                <w:sz w:val="18"/>
                <w:szCs w:val="18"/>
              </w:rPr>
              <w:t>Not a State Agency</w:t>
            </w:r>
          </w:p>
        </w:tc>
        <w:tc>
          <w:tcPr>
            <w:tcW w:w="1260" w:type="dxa"/>
            <w:tcBorders>
              <w:top w:val="nil"/>
              <w:left w:val="nil"/>
              <w:bottom w:val="single" w:sz="4" w:space="0" w:color="auto"/>
              <w:right w:val="single" w:sz="4" w:space="0" w:color="auto"/>
            </w:tcBorders>
            <w:shd w:val="clear" w:color="000000" w:fill="FFFFFF"/>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738</w:t>
            </w:r>
          </w:p>
        </w:tc>
        <w:tc>
          <w:tcPr>
            <w:tcW w:w="1080" w:type="dxa"/>
            <w:tcBorders>
              <w:top w:val="nil"/>
              <w:left w:val="nil"/>
              <w:bottom w:val="single" w:sz="4" w:space="0" w:color="auto"/>
              <w:right w:val="single" w:sz="4" w:space="0" w:color="auto"/>
            </w:tcBorders>
            <w:shd w:val="clear" w:color="auto" w:fill="auto"/>
            <w:noWrap/>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98%</w:t>
            </w:r>
          </w:p>
        </w:tc>
        <w:tc>
          <w:tcPr>
            <w:tcW w:w="1080" w:type="dxa"/>
            <w:tcBorders>
              <w:top w:val="nil"/>
              <w:left w:val="nil"/>
              <w:bottom w:val="single" w:sz="4" w:space="0" w:color="auto"/>
              <w:right w:val="single" w:sz="4" w:space="0" w:color="auto"/>
            </w:tcBorders>
            <w:shd w:val="clear" w:color="000000" w:fill="FFFFFF"/>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2,298</w:t>
            </w:r>
          </w:p>
        </w:tc>
        <w:tc>
          <w:tcPr>
            <w:tcW w:w="990" w:type="dxa"/>
            <w:tcBorders>
              <w:top w:val="nil"/>
              <w:left w:val="nil"/>
              <w:bottom w:val="single" w:sz="4" w:space="0" w:color="auto"/>
              <w:right w:val="single" w:sz="4" w:space="0" w:color="auto"/>
            </w:tcBorders>
            <w:shd w:val="clear" w:color="auto" w:fill="auto"/>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98%</w:t>
            </w:r>
          </w:p>
        </w:tc>
      </w:tr>
      <w:tr w:rsidR="000B1271" w:rsidRPr="00AD2497" w:rsidTr="000B1271">
        <w:trPr>
          <w:trHeight w:val="255"/>
        </w:trPr>
        <w:tc>
          <w:tcPr>
            <w:tcW w:w="4515" w:type="dxa"/>
            <w:tcBorders>
              <w:top w:val="nil"/>
              <w:left w:val="single" w:sz="4" w:space="0" w:color="auto"/>
              <w:bottom w:val="single" w:sz="4" w:space="0" w:color="auto"/>
              <w:right w:val="single" w:sz="4" w:space="0" w:color="auto"/>
            </w:tcBorders>
            <w:shd w:val="clear" w:color="000000" w:fill="FFFFFF"/>
            <w:vAlign w:val="center"/>
            <w:hideMark/>
          </w:tcPr>
          <w:p w:rsidR="000B1271" w:rsidRPr="0049712C" w:rsidRDefault="000B1271" w:rsidP="007E23AB">
            <w:pPr>
              <w:spacing w:line="240" w:lineRule="auto"/>
              <w:rPr>
                <w:rFonts w:ascii="Arial Narrow" w:hAnsi="Arial Narrow" w:cs="Arial"/>
                <w:color w:val="000000"/>
                <w:sz w:val="18"/>
                <w:szCs w:val="18"/>
              </w:rPr>
            </w:pPr>
            <w:r w:rsidRPr="0049712C">
              <w:rPr>
                <w:rFonts w:ascii="Arial Narrow" w:hAnsi="Arial Narrow" w:cs="Arial"/>
                <w:color w:val="000000"/>
                <w:sz w:val="18"/>
                <w:szCs w:val="18"/>
              </w:rPr>
              <w:t>State Agency</w:t>
            </w:r>
          </w:p>
        </w:tc>
        <w:tc>
          <w:tcPr>
            <w:tcW w:w="1260" w:type="dxa"/>
            <w:tcBorders>
              <w:top w:val="nil"/>
              <w:left w:val="nil"/>
              <w:bottom w:val="single" w:sz="4" w:space="0" w:color="auto"/>
              <w:right w:val="single" w:sz="4" w:space="0" w:color="auto"/>
            </w:tcBorders>
            <w:shd w:val="clear" w:color="000000" w:fill="FFFFFF"/>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17</w:t>
            </w:r>
          </w:p>
        </w:tc>
        <w:tc>
          <w:tcPr>
            <w:tcW w:w="1080" w:type="dxa"/>
            <w:tcBorders>
              <w:top w:val="nil"/>
              <w:left w:val="nil"/>
              <w:bottom w:val="single" w:sz="4" w:space="0" w:color="auto"/>
              <w:right w:val="single" w:sz="4" w:space="0" w:color="auto"/>
            </w:tcBorders>
            <w:shd w:val="clear" w:color="auto" w:fill="auto"/>
            <w:noWrap/>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2%</w:t>
            </w:r>
          </w:p>
        </w:tc>
        <w:tc>
          <w:tcPr>
            <w:tcW w:w="1080" w:type="dxa"/>
            <w:tcBorders>
              <w:top w:val="nil"/>
              <w:left w:val="nil"/>
              <w:bottom w:val="single" w:sz="4" w:space="0" w:color="auto"/>
              <w:right w:val="single" w:sz="4" w:space="0" w:color="auto"/>
            </w:tcBorders>
            <w:shd w:val="clear" w:color="000000" w:fill="FFFFFF"/>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36</w:t>
            </w:r>
          </w:p>
        </w:tc>
        <w:tc>
          <w:tcPr>
            <w:tcW w:w="990" w:type="dxa"/>
            <w:tcBorders>
              <w:top w:val="nil"/>
              <w:left w:val="nil"/>
              <w:bottom w:val="single" w:sz="4" w:space="0" w:color="auto"/>
              <w:right w:val="single" w:sz="4" w:space="0" w:color="auto"/>
            </w:tcBorders>
            <w:shd w:val="clear" w:color="auto" w:fill="auto"/>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2%</w:t>
            </w:r>
          </w:p>
        </w:tc>
      </w:tr>
      <w:tr w:rsidR="000B1271" w:rsidRPr="00AD2497" w:rsidTr="000B1271">
        <w:trPr>
          <w:trHeight w:val="300"/>
        </w:trPr>
        <w:tc>
          <w:tcPr>
            <w:tcW w:w="8925" w:type="dxa"/>
            <w:gridSpan w:val="5"/>
            <w:tcBorders>
              <w:top w:val="nil"/>
              <w:left w:val="single" w:sz="4" w:space="0" w:color="auto"/>
              <w:bottom w:val="single" w:sz="4" w:space="0" w:color="auto"/>
              <w:right w:val="single" w:sz="4" w:space="0" w:color="auto"/>
            </w:tcBorders>
            <w:shd w:val="clear" w:color="000000" w:fill="898D8D"/>
            <w:noWrap/>
            <w:vAlign w:val="center"/>
            <w:hideMark/>
          </w:tcPr>
          <w:p w:rsidR="000B1271" w:rsidRPr="0049712C" w:rsidRDefault="000B1271" w:rsidP="000B1271">
            <w:pPr>
              <w:spacing w:line="240" w:lineRule="auto"/>
              <w:rPr>
                <w:rFonts w:ascii="Arial Narrow" w:hAnsi="Arial Narrow" w:cs="Arial"/>
                <w:b/>
                <w:bCs/>
                <w:sz w:val="18"/>
                <w:szCs w:val="18"/>
              </w:rPr>
            </w:pPr>
            <w:r w:rsidRPr="0049712C">
              <w:rPr>
                <w:rFonts w:ascii="Arial Narrow" w:hAnsi="Arial Narrow" w:cs="Arial"/>
                <w:b/>
                <w:bCs/>
                <w:color w:val="FFFFFF"/>
                <w:sz w:val="18"/>
                <w:szCs w:val="18"/>
              </w:rPr>
              <w:t>Comparison of Average (Col A &amp; B) Administrative Fee to Universe Median</w:t>
            </w:r>
          </w:p>
        </w:tc>
      </w:tr>
      <w:tr w:rsidR="000B1271" w:rsidRPr="00AD2497" w:rsidTr="000B1271">
        <w:trPr>
          <w:trHeight w:val="255"/>
        </w:trPr>
        <w:tc>
          <w:tcPr>
            <w:tcW w:w="4515" w:type="dxa"/>
            <w:tcBorders>
              <w:top w:val="nil"/>
              <w:left w:val="single" w:sz="4" w:space="0" w:color="auto"/>
              <w:bottom w:val="single" w:sz="4" w:space="0" w:color="auto"/>
              <w:right w:val="single" w:sz="4" w:space="0" w:color="auto"/>
            </w:tcBorders>
            <w:shd w:val="clear" w:color="000000" w:fill="FFFFFF"/>
            <w:vAlign w:val="center"/>
            <w:hideMark/>
          </w:tcPr>
          <w:p w:rsidR="000B1271" w:rsidRPr="0049712C" w:rsidRDefault="000B1271" w:rsidP="007E23AB">
            <w:pPr>
              <w:spacing w:line="240" w:lineRule="auto"/>
              <w:rPr>
                <w:rFonts w:ascii="Arial Narrow" w:hAnsi="Arial Narrow" w:cs="Arial"/>
                <w:color w:val="000000"/>
                <w:sz w:val="18"/>
                <w:szCs w:val="18"/>
              </w:rPr>
            </w:pPr>
            <w:r w:rsidRPr="0049712C">
              <w:rPr>
                <w:rFonts w:ascii="Arial Narrow" w:hAnsi="Arial Narrow" w:cs="Arial"/>
                <w:color w:val="000000"/>
                <w:sz w:val="18"/>
                <w:szCs w:val="18"/>
              </w:rPr>
              <w:t>Lower Than Median (</w:t>
            </w:r>
            <w:proofErr w:type="gramStart"/>
            <w:r w:rsidRPr="0049712C">
              <w:rPr>
                <w:rFonts w:ascii="Arial Narrow" w:hAnsi="Arial Narrow" w:cs="Arial"/>
                <w:color w:val="000000"/>
                <w:sz w:val="18"/>
                <w:szCs w:val="18"/>
              </w:rPr>
              <w:t>10%</w:t>
            </w:r>
            <w:proofErr w:type="gramEnd"/>
            <w:r w:rsidRPr="0049712C">
              <w:rPr>
                <w:rFonts w:ascii="Arial Narrow" w:hAnsi="Arial Narrow" w:cs="Arial"/>
                <w:color w:val="000000"/>
                <w:sz w:val="18"/>
                <w:szCs w:val="18"/>
              </w:rPr>
              <w:t>-)</w:t>
            </w:r>
          </w:p>
        </w:tc>
        <w:tc>
          <w:tcPr>
            <w:tcW w:w="1260" w:type="dxa"/>
            <w:tcBorders>
              <w:top w:val="nil"/>
              <w:left w:val="nil"/>
              <w:bottom w:val="single" w:sz="4" w:space="0" w:color="auto"/>
              <w:right w:val="single" w:sz="4" w:space="0" w:color="auto"/>
            </w:tcBorders>
            <w:shd w:val="clear" w:color="000000" w:fill="FFFFFF"/>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117</w:t>
            </w:r>
          </w:p>
        </w:tc>
        <w:tc>
          <w:tcPr>
            <w:tcW w:w="1080" w:type="dxa"/>
            <w:tcBorders>
              <w:top w:val="nil"/>
              <w:left w:val="nil"/>
              <w:bottom w:val="single" w:sz="4" w:space="0" w:color="auto"/>
              <w:right w:val="single" w:sz="4" w:space="0" w:color="auto"/>
            </w:tcBorders>
            <w:shd w:val="clear" w:color="auto" w:fill="auto"/>
            <w:noWrap/>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15%</w:t>
            </w:r>
          </w:p>
        </w:tc>
        <w:tc>
          <w:tcPr>
            <w:tcW w:w="1080" w:type="dxa"/>
            <w:tcBorders>
              <w:top w:val="nil"/>
              <w:left w:val="nil"/>
              <w:bottom w:val="single" w:sz="4" w:space="0" w:color="auto"/>
              <w:right w:val="single" w:sz="4" w:space="0" w:color="auto"/>
            </w:tcBorders>
            <w:shd w:val="clear" w:color="000000" w:fill="FFFFFF"/>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534</w:t>
            </w:r>
          </w:p>
        </w:tc>
        <w:tc>
          <w:tcPr>
            <w:tcW w:w="990" w:type="dxa"/>
            <w:tcBorders>
              <w:top w:val="nil"/>
              <w:left w:val="nil"/>
              <w:bottom w:val="single" w:sz="4" w:space="0" w:color="auto"/>
              <w:right w:val="single" w:sz="4" w:space="0" w:color="auto"/>
            </w:tcBorders>
            <w:shd w:val="clear" w:color="auto" w:fill="auto"/>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23%</w:t>
            </w:r>
          </w:p>
        </w:tc>
      </w:tr>
      <w:tr w:rsidR="000B1271" w:rsidRPr="00AD2497" w:rsidTr="000B1271">
        <w:trPr>
          <w:trHeight w:val="255"/>
        </w:trPr>
        <w:tc>
          <w:tcPr>
            <w:tcW w:w="4515" w:type="dxa"/>
            <w:tcBorders>
              <w:top w:val="nil"/>
              <w:left w:val="single" w:sz="4" w:space="0" w:color="auto"/>
              <w:bottom w:val="single" w:sz="4" w:space="0" w:color="auto"/>
              <w:right w:val="single" w:sz="4" w:space="0" w:color="auto"/>
            </w:tcBorders>
            <w:shd w:val="clear" w:color="000000" w:fill="FFFFFF"/>
            <w:vAlign w:val="center"/>
            <w:hideMark/>
          </w:tcPr>
          <w:p w:rsidR="000B1271" w:rsidRPr="0049712C" w:rsidRDefault="000B1271" w:rsidP="007E23AB">
            <w:pPr>
              <w:spacing w:line="240" w:lineRule="auto"/>
              <w:rPr>
                <w:rFonts w:ascii="Arial Narrow" w:hAnsi="Arial Narrow" w:cs="Arial"/>
                <w:color w:val="000000"/>
                <w:sz w:val="18"/>
                <w:szCs w:val="18"/>
              </w:rPr>
            </w:pPr>
            <w:r w:rsidRPr="0049712C">
              <w:rPr>
                <w:rFonts w:ascii="Arial Narrow" w:hAnsi="Arial Narrow" w:cs="Arial"/>
                <w:color w:val="000000"/>
                <w:sz w:val="18"/>
                <w:szCs w:val="18"/>
              </w:rPr>
              <w:t>Median (+-10%)</w:t>
            </w:r>
          </w:p>
        </w:tc>
        <w:tc>
          <w:tcPr>
            <w:tcW w:w="1260" w:type="dxa"/>
            <w:tcBorders>
              <w:top w:val="nil"/>
              <w:left w:val="nil"/>
              <w:bottom w:val="single" w:sz="4" w:space="0" w:color="auto"/>
              <w:right w:val="single" w:sz="4" w:space="0" w:color="auto"/>
            </w:tcBorders>
            <w:shd w:val="clear" w:color="000000" w:fill="FFFFFF"/>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321</w:t>
            </w:r>
          </w:p>
        </w:tc>
        <w:tc>
          <w:tcPr>
            <w:tcW w:w="1080" w:type="dxa"/>
            <w:tcBorders>
              <w:top w:val="nil"/>
              <w:left w:val="nil"/>
              <w:bottom w:val="single" w:sz="4" w:space="0" w:color="auto"/>
              <w:right w:val="single" w:sz="4" w:space="0" w:color="auto"/>
            </w:tcBorders>
            <w:shd w:val="clear" w:color="auto" w:fill="auto"/>
            <w:noWrap/>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43%</w:t>
            </w:r>
          </w:p>
        </w:tc>
        <w:tc>
          <w:tcPr>
            <w:tcW w:w="1080" w:type="dxa"/>
            <w:tcBorders>
              <w:top w:val="nil"/>
              <w:left w:val="nil"/>
              <w:bottom w:val="single" w:sz="4" w:space="0" w:color="auto"/>
              <w:right w:val="single" w:sz="4" w:space="0" w:color="auto"/>
            </w:tcBorders>
            <w:shd w:val="clear" w:color="000000" w:fill="FFFFFF"/>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933</w:t>
            </w:r>
          </w:p>
        </w:tc>
        <w:tc>
          <w:tcPr>
            <w:tcW w:w="990" w:type="dxa"/>
            <w:tcBorders>
              <w:top w:val="nil"/>
              <w:left w:val="nil"/>
              <w:bottom w:val="single" w:sz="4" w:space="0" w:color="auto"/>
              <w:right w:val="single" w:sz="4" w:space="0" w:color="auto"/>
            </w:tcBorders>
            <w:shd w:val="clear" w:color="auto" w:fill="auto"/>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40%</w:t>
            </w:r>
          </w:p>
        </w:tc>
      </w:tr>
      <w:tr w:rsidR="000B1271" w:rsidRPr="00AD2497" w:rsidTr="000B1271">
        <w:trPr>
          <w:trHeight w:val="255"/>
        </w:trPr>
        <w:tc>
          <w:tcPr>
            <w:tcW w:w="4515" w:type="dxa"/>
            <w:tcBorders>
              <w:top w:val="nil"/>
              <w:left w:val="single" w:sz="4" w:space="0" w:color="auto"/>
              <w:bottom w:val="single" w:sz="4" w:space="0" w:color="auto"/>
              <w:right w:val="single" w:sz="4" w:space="0" w:color="auto"/>
            </w:tcBorders>
            <w:shd w:val="clear" w:color="000000" w:fill="FFFFFF"/>
            <w:vAlign w:val="center"/>
            <w:hideMark/>
          </w:tcPr>
          <w:p w:rsidR="000B1271" w:rsidRPr="0049712C" w:rsidRDefault="000B1271" w:rsidP="007E23AB">
            <w:pPr>
              <w:spacing w:line="240" w:lineRule="auto"/>
              <w:rPr>
                <w:rFonts w:ascii="Arial Narrow" w:hAnsi="Arial Narrow" w:cs="Arial"/>
                <w:color w:val="000000"/>
                <w:sz w:val="18"/>
                <w:szCs w:val="18"/>
              </w:rPr>
            </w:pPr>
            <w:r w:rsidRPr="0049712C">
              <w:rPr>
                <w:rFonts w:ascii="Arial Narrow" w:hAnsi="Arial Narrow" w:cs="Arial"/>
                <w:color w:val="000000"/>
                <w:sz w:val="18"/>
                <w:szCs w:val="18"/>
              </w:rPr>
              <w:t>Higher Than Median (10%+)</w:t>
            </w:r>
          </w:p>
        </w:tc>
        <w:tc>
          <w:tcPr>
            <w:tcW w:w="1260" w:type="dxa"/>
            <w:tcBorders>
              <w:top w:val="nil"/>
              <w:left w:val="nil"/>
              <w:bottom w:val="single" w:sz="4" w:space="0" w:color="auto"/>
              <w:right w:val="single" w:sz="4" w:space="0" w:color="auto"/>
            </w:tcBorders>
            <w:shd w:val="clear" w:color="000000" w:fill="FFFFFF"/>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317</w:t>
            </w:r>
          </w:p>
        </w:tc>
        <w:tc>
          <w:tcPr>
            <w:tcW w:w="1080" w:type="dxa"/>
            <w:tcBorders>
              <w:top w:val="nil"/>
              <w:left w:val="nil"/>
              <w:bottom w:val="single" w:sz="4" w:space="0" w:color="auto"/>
              <w:right w:val="single" w:sz="4" w:space="0" w:color="auto"/>
            </w:tcBorders>
            <w:shd w:val="clear" w:color="auto" w:fill="auto"/>
            <w:noWrap/>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42%</w:t>
            </w:r>
          </w:p>
        </w:tc>
        <w:tc>
          <w:tcPr>
            <w:tcW w:w="1080" w:type="dxa"/>
            <w:tcBorders>
              <w:top w:val="nil"/>
              <w:left w:val="nil"/>
              <w:bottom w:val="single" w:sz="4" w:space="0" w:color="auto"/>
              <w:right w:val="single" w:sz="4" w:space="0" w:color="auto"/>
            </w:tcBorders>
            <w:shd w:val="clear" w:color="000000" w:fill="FFFFFF"/>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866</w:t>
            </w:r>
          </w:p>
        </w:tc>
        <w:tc>
          <w:tcPr>
            <w:tcW w:w="990" w:type="dxa"/>
            <w:tcBorders>
              <w:top w:val="nil"/>
              <w:left w:val="nil"/>
              <w:bottom w:val="single" w:sz="4" w:space="0" w:color="auto"/>
              <w:right w:val="single" w:sz="4" w:space="0" w:color="auto"/>
            </w:tcBorders>
            <w:shd w:val="clear" w:color="auto" w:fill="auto"/>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37%</w:t>
            </w:r>
          </w:p>
        </w:tc>
      </w:tr>
      <w:tr w:rsidR="000B1271" w:rsidRPr="000B1271" w:rsidTr="000B1271">
        <w:trPr>
          <w:trHeight w:val="270"/>
        </w:trPr>
        <w:tc>
          <w:tcPr>
            <w:tcW w:w="8925" w:type="dxa"/>
            <w:gridSpan w:val="5"/>
            <w:tcBorders>
              <w:top w:val="single" w:sz="4" w:space="0" w:color="auto"/>
              <w:left w:val="single" w:sz="4" w:space="0" w:color="auto"/>
              <w:bottom w:val="single" w:sz="4" w:space="0" w:color="auto"/>
              <w:right w:val="single" w:sz="4" w:space="0" w:color="auto"/>
            </w:tcBorders>
            <w:shd w:val="clear" w:color="000000" w:fill="898D8D"/>
            <w:vAlign w:val="center"/>
            <w:hideMark/>
          </w:tcPr>
          <w:p w:rsidR="000B1271" w:rsidRPr="0049712C" w:rsidRDefault="000B1271" w:rsidP="000B1271">
            <w:pPr>
              <w:spacing w:line="240" w:lineRule="auto"/>
              <w:rPr>
                <w:rFonts w:ascii="Arial Narrow" w:hAnsi="Arial Narrow" w:cs="Arial"/>
                <w:b/>
                <w:bCs/>
                <w:color w:val="F0F4F6" w:themeColor="background1" w:themeTint="33"/>
                <w:sz w:val="18"/>
                <w:szCs w:val="18"/>
              </w:rPr>
            </w:pPr>
            <w:r w:rsidRPr="0049712C">
              <w:rPr>
                <w:rFonts w:ascii="Arial Narrow" w:hAnsi="Arial Narrow" w:cs="Arial"/>
                <w:b/>
                <w:bCs/>
                <w:color w:val="F0F4F6" w:themeColor="background1" w:themeTint="33"/>
                <w:sz w:val="18"/>
                <w:szCs w:val="18"/>
              </w:rPr>
              <w:t>Special Purpose Vouchers</w:t>
            </w:r>
          </w:p>
        </w:tc>
      </w:tr>
      <w:tr w:rsidR="000B1271" w:rsidRPr="00AD2497" w:rsidTr="000B1271">
        <w:trPr>
          <w:trHeight w:val="255"/>
        </w:trPr>
        <w:tc>
          <w:tcPr>
            <w:tcW w:w="4515" w:type="dxa"/>
            <w:tcBorders>
              <w:top w:val="nil"/>
              <w:left w:val="single" w:sz="4" w:space="0" w:color="auto"/>
              <w:bottom w:val="single" w:sz="4" w:space="0" w:color="auto"/>
              <w:right w:val="single" w:sz="4" w:space="0" w:color="auto"/>
            </w:tcBorders>
            <w:shd w:val="clear" w:color="000000" w:fill="FFFFFF"/>
            <w:vAlign w:val="center"/>
            <w:hideMark/>
          </w:tcPr>
          <w:p w:rsidR="000B1271" w:rsidRPr="0049712C" w:rsidRDefault="000B1271" w:rsidP="007E23AB">
            <w:pPr>
              <w:spacing w:line="240" w:lineRule="auto"/>
              <w:rPr>
                <w:rFonts w:ascii="Arial Narrow" w:hAnsi="Arial Narrow" w:cs="Arial"/>
                <w:color w:val="000000"/>
                <w:sz w:val="18"/>
                <w:szCs w:val="18"/>
              </w:rPr>
            </w:pPr>
            <w:r w:rsidRPr="0049712C">
              <w:rPr>
                <w:rFonts w:ascii="Arial Narrow" w:hAnsi="Arial Narrow" w:cs="Arial"/>
                <w:color w:val="000000"/>
                <w:sz w:val="18"/>
                <w:szCs w:val="18"/>
              </w:rPr>
              <w:t>No Special Purpose Vouchers</w:t>
            </w:r>
          </w:p>
        </w:tc>
        <w:tc>
          <w:tcPr>
            <w:tcW w:w="1260" w:type="dxa"/>
            <w:tcBorders>
              <w:top w:val="nil"/>
              <w:left w:val="nil"/>
              <w:bottom w:val="single" w:sz="4" w:space="0" w:color="auto"/>
              <w:right w:val="single" w:sz="4" w:space="0" w:color="auto"/>
            </w:tcBorders>
            <w:shd w:val="clear" w:color="000000" w:fill="FFFFFF"/>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171</w:t>
            </w:r>
          </w:p>
        </w:tc>
        <w:tc>
          <w:tcPr>
            <w:tcW w:w="1080" w:type="dxa"/>
            <w:tcBorders>
              <w:top w:val="nil"/>
              <w:left w:val="nil"/>
              <w:bottom w:val="single" w:sz="4" w:space="0" w:color="auto"/>
              <w:right w:val="single" w:sz="4" w:space="0" w:color="auto"/>
            </w:tcBorders>
            <w:shd w:val="clear" w:color="000000" w:fill="FFFFFF"/>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23%</w:t>
            </w:r>
          </w:p>
        </w:tc>
        <w:tc>
          <w:tcPr>
            <w:tcW w:w="1080" w:type="dxa"/>
            <w:tcBorders>
              <w:top w:val="nil"/>
              <w:left w:val="nil"/>
              <w:bottom w:val="single" w:sz="4" w:space="0" w:color="auto"/>
              <w:right w:val="single" w:sz="4" w:space="0" w:color="auto"/>
            </w:tcBorders>
            <w:shd w:val="clear" w:color="000000" w:fill="FFFFFF"/>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1,092</w:t>
            </w:r>
          </w:p>
        </w:tc>
        <w:tc>
          <w:tcPr>
            <w:tcW w:w="990" w:type="dxa"/>
            <w:tcBorders>
              <w:top w:val="nil"/>
              <w:left w:val="nil"/>
              <w:bottom w:val="single" w:sz="4" w:space="0" w:color="auto"/>
              <w:right w:val="single" w:sz="4" w:space="0" w:color="auto"/>
            </w:tcBorders>
            <w:shd w:val="clear" w:color="auto" w:fill="auto"/>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47%</w:t>
            </w:r>
          </w:p>
        </w:tc>
      </w:tr>
      <w:tr w:rsidR="000B1271" w:rsidRPr="00AD2497" w:rsidTr="000B1271">
        <w:trPr>
          <w:trHeight w:val="255"/>
        </w:trPr>
        <w:tc>
          <w:tcPr>
            <w:tcW w:w="4515" w:type="dxa"/>
            <w:tcBorders>
              <w:top w:val="nil"/>
              <w:left w:val="single" w:sz="4" w:space="0" w:color="auto"/>
              <w:bottom w:val="single" w:sz="4" w:space="0" w:color="auto"/>
              <w:right w:val="single" w:sz="4" w:space="0" w:color="auto"/>
            </w:tcBorders>
            <w:shd w:val="clear" w:color="000000" w:fill="FFFFFF"/>
            <w:vAlign w:val="center"/>
            <w:hideMark/>
          </w:tcPr>
          <w:p w:rsidR="000B1271" w:rsidRPr="0049712C" w:rsidRDefault="000B1271" w:rsidP="007E23AB">
            <w:pPr>
              <w:spacing w:line="240" w:lineRule="auto"/>
              <w:rPr>
                <w:rFonts w:ascii="Arial Narrow" w:hAnsi="Arial Narrow" w:cs="Arial"/>
                <w:color w:val="000000"/>
                <w:sz w:val="18"/>
                <w:szCs w:val="18"/>
              </w:rPr>
            </w:pPr>
            <w:r w:rsidRPr="0049712C">
              <w:rPr>
                <w:rFonts w:ascii="Arial Narrow" w:hAnsi="Arial Narrow" w:cs="Arial"/>
                <w:color w:val="000000"/>
                <w:sz w:val="18"/>
                <w:szCs w:val="18"/>
              </w:rPr>
              <w:t>Has Special Purpose Vouchers</w:t>
            </w:r>
          </w:p>
        </w:tc>
        <w:tc>
          <w:tcPr>
            <w:tcW w:w="1260" w:type="dxa"/>
            <w:tcBorders>
              <w:top w:val="nil"/>
              <w:left w:val="nil"/>
              <w:bottom w:val="single" w:sz="4" w:space="0" w:color="auto"/>
              <w:right w:val="single" w:sz="4" w:space="0" w:color="auto"/>
            </w:tcBorders>
            <w:shd w:val="clear" w:color="000000" w:fill="FFFFFF"/>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584</w:t>
            </w:r>
          </w:p>
        </w:tc>
        <w:tc>
          <w:tcPr>
            <w:tcW w:w="1080" w:type="dxa"/>
            <w:tcBorders>
              <w:top w:val="nil"/>
              <w:left w:val="nil"/>
              <w:bottom w:val="single" w:sz="4" w:space="0" w:color="auto"/>
              <w:right w:val="single" w:sz="4" w:space="0" w:color="auto"/>
            </w:tcBorders>
            <w:shd w:val="clear" w:color="000000" w:fill="FFFFFF"/>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77%</w:t>
            </w:r>
          </w:p>
        </w:tc>
        <w:tc>
          <w:tcPr>
            <w:tcW w:w="1080" w:type="dxa"/>
            <w:tcBorders>
              <w:top w:val="nil"/>
              <w:left w:val="nil"/>
              <w:bottom w:val="single" w:sz="4" w:space="0" w:color="auto"/>
              <w:right w:val="single" w:sz="4" w:space="0" w:color="auto"/>
            </w:tcBorders>
            <w:shd w:val="clear" w:color="000000" w:fill="FFFFFF"/>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1242</w:t>
            </w:r>
          </w:p>
        </w:tc>
        <w:tc>
          <w:tcPr>
            <w:tcW w:w="990" w:type="dxa"/>
            <w:tcBorders>
              <w:top w:val="nil"/>
              <w:left w:val="nil"/>
              <w:bottom w:val="single" w:sz="4" w:space="0" w:color="auto"/>
              <w:right w:val="single" w:sz="4" w:space="0" w:color="auto"/>
            </w:tcBorders>
            <w:shd w:val="clear" w:color="auto" w:fill="auto"/>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53%</w:t>
            </w:r>
          </w:p>
        </w:tc>
      </w:tr>
      <w:tr w:rsidR="000B1271" w:rsidRPr="000B1271" w:rsidTr="000B1271">
        <w:trPr>
          <w:trHeight w:val="270"/>
        </w:trPr>
        <w:tc>
          <w:tcPr>
            <w:tcW w:w="8925" w:type="dxa"/>
            <w:gridSpan w:val="5"/>
            <w:tcBorders>
              <w:top w:val="single" w:sz="4" w:space="0" w:color="auto"/>
              <w:left w:val="single" w:sz="4" w:space="0" w:color="auto"/>
              <w:bottom w:val="single" w:sz="4" w:space="0" w:color="auto"/>
              <w:right w:val="single" w:sz="4" w:space="0" w:color="auto"/>
            </w:tcBorders>
            <w:shd w:val="clear" w:color="000000" w:fill="898D8D"/>
            <w:vAlign w:val="center"/>
            <w:hideMark/>
          </w:tcPr>
          <w:p w:rsidR="000B1271" w:rsidRPr="0049712C" w:rsidRDefault="000B1271" w:rsidP="000B1271">
            <w:pPr>
              <w:spacing w:line="240" w:lineRule="auto"/>
              <w:rPr>
                <w:rFonts w:ascii="Arial Narrow" w:hAnsi="Arial Narrow" w:cs="Arial"/>
                <w:b/>
                <w:bCs/>
                <w:color w:val="F0F4F6" w:themeColor="background1" w:themeTint="33"/>
                <w:sz w:val="18"/>
                <w:szCs w:val="18"/>
              </w:rPr>
            </w:pPr>
            <w:r w:rsidRPr="0049712C">
              <w:rPr>
                <w:rFonts w:ascii="Arial Narrow" w:hAnsi="Arial Narrow" w:cs="Arial"/>
                <w:b/>
                <w:bCs/>
                <w:color w:val="F0F4F6" w:themeColor="background1" w:themeTint="33"/>
                <w:sz w:val="18"/>
                <w:szCs w:val="18"/>
              </w:rPr>
              <w:t>Median Distance of Units from Office</w:t>
            </w:r>
          </w:p>
        </w:tc>
      </w:tr>
      <w:tr w:rsidR="000B1271" w:rsidRPr="00AD2497" w:rsidTr="000B1271">
        <w:trPr>
          <w:trHeight w:val="255"/>
        </w:trPr>
        <w:tc>
          <w:tcPr>
            <w:tcW w:w="4515" w:type="dxa"/>
            <w:tcBorders>
              <w:top w:val="nil"/>
              <w:left w:val="single" w:sz="4" w:space="0" w:color="auto"/>
              <w:bottom w:val="single" w:sz="4" w:space="0" w:color="auto"/>
              <w:right w:val="single" w:sz="4" w:space="0" w:color="auto"/>
            </w:tcBorders>
            <w:shd w:val="clear" w:color="000000" w:fill="FFFFFF"/>
            <w:vAlign w:val="center"/>
            <w:hideMark/>
          </w:tcPr>
          <w:p w:rsidR="000B1271" w:rsidRPr="0049712C" w:rsidRDefault="000B1271" w:rsidP="007E23AB">
            <w:pPr>
              <w:spacing w:line="240" w:lineRule="auto"/>
              <w:rPr>
                <w:rFonts w:ascii="Arial Narrow" w:hAnsi="Arial Narrow" w:cs="Arial"/>
                <w:color w:val="000000"/>
                <w:sz w:val="18"/>
                <w:szCs w:val="18"/>
              </w:rPr>
            </w:pPr>
            <w:r w:rsidRPr="0049712C">
              <w:rPr>
                <w:rFonts w:ascii="Arial Narrow" w:hAnsi="Arial Narrow" w:cs="Arial"/>
                <w:color w:val="000000"/>
                <w:sz w:val="18"/>
                <w:szCs w:val="18"/>
              </w:rPr>
              <w:t>&lt;5 mile median distance</w:t>
            </w:r>
          </w:p>
        </w:tc>
        <w:tc>
          <w:tcPr>
            <w:tcW w:w="1260" w:type="dxa"/>
            <w:tcBorders>
              <w:top w:val="nil"/>
              <w:left w:val="nil"/>
              <w:bottom w:val="single" w:sz="4" w:space="0" w:color="auto"/>
              <w:right w:val="single" w:sz="4" w:space="0" w:color="auto"/>
            </w:tcBorders>
            <w:shd w:val="clear" w:color="000000" w:fill="FFFFFF"/>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537</w:t>
            </w:r>
          </w:p>
        </w:tc>
        <w:tc>
          <w:tcPr>
            <w:tcW w:w="1080" w:type="dxa"/>
            <w:tcBorders>
              <w:top w:val="nil"/>
              <w:left w:val="nil"/>
              <w:bottom w:val="single" w:sz="4" w:space="0" w:color="auto"/>
              <w:right w:val="single" w:sz="4" w:space="0" w:color="auto"/>
            </w:tcBorders>
            <w:shd w:val="clear" w:color="000000" w:fill="FFFFFF"/>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71%</w:t>
            </w:r>
          </w:p>
        </w:tc>
        <w:tc>
          <w:tcPr>
            <w:tcW w:w="1080" w:type="dxa"/>
            <w:tcBorders>
              <w:top w:val="nil"/>
              <w:left w:val="nil"/>
              <w:bottom w:val="single" w:sz="4" w:space="0" w:color="auto"/>
              <w:right w:val="single" w:sz="4" w:space="0" w:color="auto"/>
            </w:tcBorders>
            <w:shd w:val="clear" w:color="000000" w:fill="FFFFFF"/>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1679</w:t>
            </w:r>
          </w:p>
        </w:tc>
        <w:tc>
          <w:tcPr>
            <w:tcW w:w="990" w:type="dxa"/>
            <w:tcBorders>
              <w:top w:val="nil"/>
              <w:left w:val="nil"/>
              <w:bottom w:val="single" w:sz="4" w:space="0" w:color="auto"/>
              <w:right w:val="single" w:sz="4" w:space="0" w:color="auto"/>
            </w:tcBorders>
            <w:shd w:val="clear" w:color="auto" w:fill="auto"/>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72%</w:t>
            </w:r>
          </w:p>
        </w:tc>
      </w:tr>
      <w:tr w:rsidR="000B1271" w:rsidRPr="00AD2497" w:rsidTr="000B1271">
        <w:trPr>
          <w:trHeight w:val="255"/>
        </w:trPr>
        <w:tc>
          <w:tcPr>
            <w:tcW w:w="4515" w:type="dxa"/>
            <w:tcBorders>
              <w:top w:val="nil"/>
              <w:left w:val="single" w:sz="4" w:space="0" w:color="auto"/>
              <w:bottom w:val="single" w:sz="4" w:space="0" w:color="auto"/>
              <w:right w:val="single" w:sz="4" w:space="0" w:color="auto"/>
            </w:tcBorders>
            <w:shd w:val="clear" w:color="000000" w:fill="FFFFFF"/>
            <w:vAlign w:val="center"/>
            <w:hideMark/>
          </w:tcPr>
          <w:p w:rsidR="000B1271" w:rsidRPr="0049712C" w:rsidRDefault="000B1271" w:rsidP="007E23AB">
            <w:pPr>
              <w:spacing w:line="240" w:lineRule="auto"/>
              <w:rPr>
                <w:rFonts w:ascii="Arial Narrow" w:hAnsi="Arial Narrow" w:cs="Arial"/>
                <w:color w:val="000000"/>
                <w:sz w:val="18"/>
                <w:szCs w:val="18"/>
              </w:rPr>
            </w:pPr>
            <w:r w:rsidRPr="0049712C">
              <w:rPr>
                <w:rFonts w:ascii="Arial Narrow" w:hAnsi="Arial Narrow" w:cs="Arial"/>
                <w:color w:val="000000"/>
                <w:sz w:val="18"/>
                <w:szCs w:val="18"/>
              </w:rPr>
              <w:t>5 - &lt;10 mile median distance</w:t>
            </w:r>
          </w:p>
        </w:tc>
        <w:tc>
          <w:tcPr>
            <w:tcW w:w="1260" w:type="dxa"/>
            <w:tcBorders>
              <w:top w:val="nil"/>
              <w:left w:val="nil"/>
              <w:bottom w:val="single" w:sz="4" w:space="0" w:color="auto"/>
              <w:right w:val="single" w:sz="4" w:space="0" w:color="auto"/>
            </w:tcBorders>
            <w:shd w:val="clear" w:color="000000" w:fill="FFFFFF"/>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115</w:t>
            </w:r>
          </w:p>
        </w:tc>
        <w:tc>
          <w:tcPr>
            <w:tcW w:w="1080" w:type="dxa"/>
            <w:tcBorders>
              <w:top w:val="nil"/>
              <w:left w:val="nil"/>
              <w:bottom w:val="single" w:sz="4" w:space="0" w:color="auto"/>
              <w:right w:val="single" w:sz="4" w:space="0" w:color="auto"/>
            </w:tcBorders>
            <w:shd w:val="clear" w:color="000000" w:fill="FFFFFF"/>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15%</w:t>
            </w:r>
          </w:p>
        </w:tc>
        <w:tc>
          <w:tcPr>
            <w:tcW w:w="1080" w:type="dxa"/>
            <w:tcBorders>
              <w:top w:val="nil"/>
              <w:left w:val="nil"/>
              <w:bottom w:val="single" w:sz="4" w:space="0" w:color="auto"/>
              <w:right w:val="single" w:sz="4" w:space="0" w:color="auto"/>
            </w:tcBorders>
            <w:shd w:val="clear" w:color="000000" w:fill="FFFFFF"/>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304</w:t>
            </w:r>
          </w:p>
        </w:tc>
        <w:tc>
          <w:tcPr>
            <w:tcW w:w="990" w:type="dxa"/>
            <w:tcBorders>
              <w:top w:val="nil"/>
              <w:left w:val="nil"/>
              <w:bottom w:val="single" w:sz="4" w:space="0" w:color="auto"/>
              <w:right w:val="single" w:sz="4" w:space="0" w:color="auto"/>
            </w:tcBorders>
            <w:shd w:val="clear" w:color="auto" w:fill="auto"/>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13%</w:t>
            </w:r>
          </w:p>
        </w:tc>
      </w:tr>
      <w:tr w:rsidR="000B1271" w:rsidRPr="00AD2497" w:rsidTr="000B1271">
        <w:trPr>
          <w:trHeight w:val="255"/>
        </w:trPr>
        <w:tc>
          <w:tcPr>
            <w:tcW w:w="4515" w:type="dxa"/>
            <w:tcBorders>
              <w:top w:val="nil"/>
              <w:left w:val="single" w:sz="4" w:space="0" w:color="auto"/>
              <w:bottom w:val="single" w:sz="4" w:space="0" w:color="auto"/>
              <w:right w:val="single" w:sz="4" w:space="0" w:color="auto"/>
            </w:tcBorders>
            <w:shd w:val="clear" w:color="000000" w:fill="FFFFFF"/>
            <w:vAlign w:val="center"/>
            <w:hideMark/>
          </w:tcPr>
          <w:p w:rsidR="000B1271" w:rsidRPr="0049712C" w:rsidRDefault="000B1271" w:rsidP="007E23AB">
            <w:pPr>
              <w:spacing w:line="240" w:lineRule="auto"/>
              <w:rPr>
                <w:rFonts w:ascii="Arial Narrow" w:hAnsi="Arial Narrow" w:cs="Arial"/>
                <w:color w:val="000000"/>
                <w:sz w:val="18"/>
                <w:szCs w:val="18"/>
              </w:rPr>
            </w:pPr>
            <w:r w:rsidRPr="0049712C">
              <w:rPr>
                <w:rFonts w:ascii="Arial Narrow" w:hAnsi="Arial Narrow" w:cs="Arial"/>
                <w:color w:val="000000"/>
                <w:sz w:val="18"/>
                <w:szCs w:val="18"/>
              </w:rPr>
              <w:t>10+ mile median distance</w:t>
            </w:r>
          </w:p>
        </w:tc>
        <w:tc>
          <w:tcPr>
            <w:tcW w:w="1260" w:type="dxa"/>
            <w:tcBorders>
              <w:top w:val="nil"/>
              <w:left w:val="nil"/>
              <w:bottom w:val="single" w:sz="4" w:space="0" w:color="auto"/>
              <w:right w:val="single" w:sz="4" w:space="0" w:color="auto"/>
            </w:tcBorders>
            <w:shd w:val="clear" w:color="000000" w:fill="FFFFFF"/>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101</w:t>
            </w:r>
          </w:p>
        </w:tc>
        <w:tc>
          <w:tcPr>
            <w:tcW w:w="1080" w:type="dxa"/>
            <w:tcBorders>
              <w:top w:val="nil"/>
              <w:left w:val="nil"/>
              <w:bottom w:val="single" w:sz="4" w:space="0" w:color="auto"/>
              <w:right w:val="single" w:sz="4" w:space="0" w:color="auto"/>
            </w:tcBorders>
            <w:shd w:val="clear" w:color="000000" w:fill="FFFFFF"/>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13%</w:t>
            </w:r>
          </w:p>
        </w:tc>
        <w:tc>
          <w:tcPr>
            <w:tcW w:w="1080" w:type="dxa"/>
            <w:tcBorders>
              <w:top w:val="nil"/>
              <w:left w:val="nil"/>
              <w:bottom w:val="single" w:sz="4" w:space="0" w:color="auto"/>
              <w:right w:val="single" w:sz="4" w:space="0" w:color="auto"/>
            </w:tcBorders>
            <w:shd w:val="clear" w:color="000000" w:fill="FFFFFF"/>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347</w:t>
            </w:r>
          </w:p>
        </w:tc>
        <w:tc>
          <w:tcPr>
            <w:tcW w:w="990" w:type="dxa"/>
            <w:tcBorders>
              <w:top w:val="nil"/>
              <w:left w:val="nil"/>
              <w:bottom w:val="single" w:sz="4" w:space="0" w:color="auto"/>
              <w:right w:val="single" w:sz="4" w:space="0" w:color="auto"/>
            </w:tcBorders>
            <w:shd w:val="clear" w:color="auto" w:fill="auto"/>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15%</w:t>
            </w:r>
          </w:p>
        </w:tc>
      </w:tr>
      <w:tr w:rsidR="000B1271" w:rsidRPr="000B1271" w:rsidTr="000B1271">
        <w:trPr>
          <w:trHeight w:val="270"/>
        </w:trPr>
        <w:tc>
          <w:tcPr>
            <w:tcW w:w="8925" w:type="dxa"/>
            <w:gridSpan w:val="5"/>
            <w:tcBorders>
              <w:top w:val="single" w:sz="4" w:space="0" w:color="auto"/>
              <w:left w:val="single" w:sz="4" w:space="0" w:color="auto"/>
              <w:bottom w:val="single" w:sz="4" w:space="0" w:color="auto"/>
              <w:right w:val="single" w:sz="4" w:space="0" w:color="auto"/>
            </w:tcBorders>
            <w:shd w:val="clear" w:color="000000" w:fill="898D8D"/>
            <w:vAlign w:val="center"/>
            <w:hideMark/>
          </w:tcPr>
          <w:p w:rsidR="000B1271" w:rsidRPr="0049712C" w:rsidRDefault="000B1271" w:rsidP="000B1271">
            <w:pPr>
              <w:spacing w:line="240" w:lineRule="auto"/>
              <w:rPr>
                <w:rFonts w:ascii="Arial Narrow" w:hAnsi="Arial Narrow" w:cs="Arial"/>
                <w:b/>
                <w:bCs/>
                <w:color w:val="F0F4F6" w:themeColor="background1" w:themeTint="33"/>
                <w:sz w:val="18"/>
                <w:szCs w:val="18"/>
              </w:rPr>
            </w:pPr>
            <w:r w:rsidRPr="0049712C">
              <w:rPr>
                <w:rFonts w:ascii="Arial Narrow" w:hAnsi="Arial Narrow" w:cs="Arial"/>
                <w:b/>
                <w:bCs/>
                <w:color w:val="F0F4F6" w:themeColor="background1" w:themeTint="33"/>
                <w:sz w:val="18"/>
                <w:szCs w:val="18"/>
              </w:rPr>
              <w:t>Two-Bedroom FMR</w:t>
            </w:r>
          </w:p>
        </w:tc>
      </w:tr>
      <w:tr w:rsidR="000B1271" w:rsidRPr="00AD2497" w:rsidTr="000B1271">
        <w:trPr>
          <w:trHeight w:val="255"/>
        </w:trPr>
        <w:tc>
          <w:tcPr>
            <w:tcW w:w="4515" w:type="dxa"/>
            <w:tcBorders>
              <w:top w:val="nil"/>
              <w:left w:val="single" w:sz="4" w:space="0" w:color="auto"/>
              <w:bottom w:val="single" w:sz="4" w:space="0" w:color="auto"/>
              <w:right w:val="single" w:sz="4" w:space="0" w:color="auto"/>
            </w:tcBorders>
            <w:shd w:val="clear" w:color="000000" w:fill="FFFFFF"/>
            <w:vAlign w:val="center"/>
            <w:hideMark/>
          </w:tcPr>
          <w:p w:rsidR="000B1271" w:rsidRPr="0049712C" w:rsidRDefault="000B1271" w:rsidP="007E23AB">
            <w:pPr>
              <w:spacing w:line="240" w:lineRule="auto"/>
              <w:rPr>
                <w:rFonts w:ascii="Arial Narrow" w:hAnsi="Arial Narrow" w:cs="Arial"/>
                <w:color w:val="000000"/>
                <w:sz w:val="18"/>
                <w:szCs w:val="18"/>
              </w:rPr>
            </w:pPr>
            <w:r w:rsidRPr="0049712C">
              <w:rPr>
                <w:rFonts w:ascii="Arial Narrow" w:hAnsi="Arial Narrow" w:cs="Arial"/>
                <w:color w:val="000000"/>
                <w:sz w:val="18"/>
                <w:szCs w:val="18"/>
              </w:rPr>
              <w:t>Up to $600</w:t>
            </w:r>
          </w:p>
        </w:tc>
        <w:tc>
          <w:tcPr>
            <w:tcW w:w="1260" w:type="dxa"/>
            <w:tcBorders>
              <w:top w:val="nil"/>
              <w:left w:val="nil"/>
              <w:bottom w:val="single" w:sz="4" w:space="0" w:color="auto"/>
              <w:right w:val="single" w:sz="4" w:space="0" w:color="auto"/>
            </w:tcBorders>
            <w:shd w:val="clear" w:color="000000" w:fill="FFFFFF"/>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103</w:t>
            </w:r>
          </w:p>
        </w:tc>
        <w:tc>
          <w:tcPr>
            <w:tcW w:w="1080" w:type="dxa"/>
            <w:tcBorders>
              <w:top w:val="nil"/>
              <w:left w:val="nil"/>
              <w:bottom w:val="single" w:sz="4" w:space="0" w:color="auto"/>
              <w:right w:val="single" w:sz="4" w:space="0" w:color="auto"/>
            </w:tcBorders>
            <w:shd w:val="clear" w:color="000000" w:fill="FFFFFF"/>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14%</w:t>
            </w:r>
          </w:p>
        </w:tc>
        <w:tc>
          <w:tcPr>
            <w:tcW w:w="1080" w:type="dxa"/>
            <w:tcBorders>
              <w:top w:val="nil"/>
              <w:left w:val="nil"/>
              <w:bottom w:val="single" w:sz="4" w:space="0" w:color="auto"/>
              <w:right w:val="single" w:sz="4" w:space="0" w:color="auto"/>
            </w:tcBorders>
            <w:shd w:val="clear" w:color="000000" w:fill="FFFFFF"/>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656</w:t>
            </w:r>
          </w:p>
        </w:tc>
        <w:tc>
          <w:tcPr>
            <w:tcW w:w="990" w:type="dxa"/>
            <w:tcBorders>
              <w:top w:val="nil"/>
              <w:left w:val="nil"/>
              <w:bottom w:val="single" w:sz="4" w:space="0" w:color="auto"/>
              <w:right w:val="single" w:sz="4" w:space="0" w:color="auto"/>
            </w:tcBorders>
            <w:shd w:val="clear" w:color="auto" w:fill="auto"/>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28%</w:t>
            </w:r>
          </w:p>
        </w:tc>
      </w:tr>
      <w:tr w:rsidR="000B1271" w:rsidRPr="00AD2497" w:rsidTr="000B1271">
        <w:trPr>
          <w:trHeight w:val="255"/>
        </w:trPr>
        <w:tc>
          <w:tcPr>
            <w:tcW w:w="4515" w:type="dxa"/>
            <w:tcBorders>
              <w:top w:val="nil"/>
              <w:left w:val="single" w:sz="4" w:space="0" w:color="auto"/>
              <w:bottom w:val="single" w:sz="4" w:space="0" w:color="auto"/>
              <w:right w:val="single" w:sz="4" w:space="0" w:color="auto"/>
            </w:tcBorders>
            <w:shd w:val="clear" w:color="000000" w:fill="FFFFFF"/>
            <w:vAlign w:val="center"/>
            <w:hideMark/>
          </w:tcPr>
          <w:p w:rsidR="000B1271" w:rsidRPr="0049712C" w:rsidRDefault="000B1271" w:rsidP="007E23AB">
            <w:pPr>
              <w:spacing w:line="240" w:lineRule="auto"/>
              <w:rPr>
                <w:rFonts w:ascii="Arial Narrow" w:hAnsi="Arial Narrow" w:cs="Arial"/>
                <w:color w:val="000000"/>
                <w:sz w:val="18"/>
                <w:szCs w:val="18"/>
              </w:rPr>
            </w:pPr>
            <w:r w:rsidRPr="0049712C">
              <w:rPr>
                <w:rFonts w:ascii="Arial Narrow" w:hAnsi="Arial Narrow" w:cs="Arial"/>
                <w:color w:val="000000"/>
                <w:sz w:val="18"/>
                <w:szCs w:val="18"/>
              </w:rPr>
              <w:t>&gt;$600 - $800</w:t>
            </w:r>
          </w:p>
        </w:tc>
        <w:tc>
          <w:tcPr>
            <w:tcW w:w="1260" w:type="dxa"/>
            <w:tcBorders>
              <w:top w:val="nil"/>
              <w:left w:val="nil"/>
              <w:bottom w:val="single" w:sz="4" w:space="0" w:color="auto"/>
              <w:right w:val="single" w:sz="4" w:space="0" w:color="auto"/>
            </w:tcBorders>
            <w:shd w:val="clear" w:color="000000" w:fill="FFFFFF"/>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309</w:t>
            </w:r>
          </w:p>
        </w:tc>
        <w:tc>
          <w:tcPr>
            <w:tcW w:w="1080" w:type="dxa"/>
            <w:tcBorders>
              <w:top w:val="nil"/>
              <w:left w:val="nil"/>
              <w:bottom w:val="single" w:sz="4" w:space="0" w:color="auto"/>
              <w:right w:val="single" w:sz="4" w:space="0" w:color="auto"/>
            </w:tcBorders>
            <w:shd w:val="clear" w:color="000000" w:fill="FFFFFF"/>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41%</w:t>
            </w:r>
          </w:p>
        </w:tc>
        <w:tc>
          <w:tcPr>
            <w:tcW w:w="1080" w:type="dxa"/>
            <w:tcBorders>
              <w:top w:val="nil"/>
              <w:left w:val="nil"/>
              <w:bottom w:val="single" w:sz="4" w:space="0" w:color="auto"/>
              <w:right w:val="single" w:sz="4" w:space="0" w:color="auto"/>
            </w:tcBorders>
            <w:shd w:val="clear" w:color="000000" w:fill="FFFFFF"/>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780</w:t>
            </w:r>
          </w:p>
        </w:tc>
        <w:tc>
          <w:tcPr>
            <w:tcW w:w="990" w:type="dxa"/>
            <w:tcBorders>
              <w:top w:val="nil"/>
              <w:left w:val="nil"/>
              <w:bottom w:val="single" w:sz="4" w:space="0" w:color="auto"/>
              <w:right w:val="single" w:sz="4" w:space="0" w:color="auto"/>
            </w:tcBorders>
            <w:shd w:val="clear" w:color="auto" w:fill="auto"/>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33%</w:t>
            </w:r>
          </w:p>
        </w:tc>
      </w:tr>
      <w:tr w:rsidR="000B1271" w:rsidRPr="00AD2497" w:rsidTr="000B1271">
        <w:trPr>
          <w:trHeight w:val="255"/>
        </w:trPr>
        <w:tc>
          <w:tcPr>
            <w:tcW w:w="4515" w:type="dxa"/>
            <w:tcBorders>
              <w:top w:val="nil"/>
              <w:left w:val="single" w:sz="4" w:space="0" w:color="auto"/>
              <w:bottom w:val="single" w:sz="4" w:space="0" w:color="auto"/>
              <w:right w:val="single" w:sz="4" w:space="0" w:color="auto"/>
            </w:tcBorders>
            <w:shd w:val="clear" w:color="000000" w:fill="FFFFFF"/>
            <w:vAlign w:val="center"/>
            <w:hideMark/>
          </w:tcPr>
          <w:p w:rsidR="000B1271" w:rsidRPr="0049712C" w:rsidRDefault="000B1271" w:rsidP="007E23AB">
            <w:pPr>
              <w:spacing w:line="240" w:lineRule="auto"/>
              <w:rPr>
                <w:rFonts w:ascii="Arial Narrow" w:hAnsi="Arial Narrow" w:cs="Arial"/>
                <w:color w:val="000000"/>
                <w:sz w:val="18"/>
                <w:szCs w:val="18"/>
              </w:rPr>
            </w:pPr>
            <w:r w:rsidRPr="0049712C">
              <w:rPr>
                <w:rFonts w:ascii="Arial Narrow" w:hAnsi="Arial Narrow" w:cs="Arial"/>
                <w:color w:val="000000"/>
                <w:sz w:val="18"/>
                <w:szCs w:val="18"/>
              </w:rPr>
              <w:t>&gt;$800 - $1000</w:t>
            </w:r>
          </w:p>
        </w:tc>
        <w:tc>
          <w:tcPr>
            <w:tcW w:w="1260" w:type="dxa"/>
            <w:tcBorders>
              <w:top w:val="nil"/>
              <w:left w:val="nil"/>
              <w:bottom w:val="single" w:sz="4" w:space="0" w:color="auto"/>
              <w:right w:val="single" w:sz="4" w:space="0" w:color="auto"/>
            </w:tcBorders>
            <w:shd w:val="clear" w:color="000000" w:fill="FFFFFF"/>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169</w:t>
            </w:r>
          </w:p>
        </w:tc>
        <w:tc>
          <w:tcPr>
            <w:tcW w:w="1080" w:type="dxa"/>
            <w:tcBorders>
              <w:top w:val="nil"/>
              <w:left w:val="nil"/>
              <w:bottom w:val="single" w:sz="4" w:space="0" w:color="auto"/>
              <w:right w:val="single" w:sz="4" w:space="0" w:color="auto"/>
            </w:tcBorders>
            <w:shd w:val="clear" w:color="000000" w:fill="FFFFFF"/>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22%</w:t>
            </w:r>
          </w:p>
        </w:tc>
        <w:tc>
          <w:tcPr>
            <w:tcW w:w="1080" w:type="dxa"/>
            <w:tcBorders>
              <w:top w:val="nil"/>
              <w:left w:val="nil"/>
              <w:bottom w:val="single" w:sz="4" w:space="0" w:color="auto"/>
              <w:right w:val="single" w:sz="4" w:space="0" w:color="auto"/>
            </w:tcBorders>
            <w:shd w:val="clear" w:color="000000" w:fill="FFFFFF"/>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428</w:t>
            </w:r>
          </w:p>
        </w:tc>
        <w:tc>
          <w:tcPr>
            <w:tcW w:w="990" w:type="dxa"/>
            <w:tcBorders>
              <w:top w:val="nil"/>
              <w:left w:val="nil"/>
              <w:bottom w:val="single" w:sz="4" w:space="0" w:color="auto"/>
              <w:right w:val="single" w:sz="4" w:space="0" w:color="auto"/>
            </w:tcBorders>
            <w:shd w:val="clear" w:color="auto" w:fill="auto"/>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18%</w:t>
            </w:r>
          </w:p>
        </w:tc>
      </w:tr>
      <w:tr w:rsidR="000B1271" w:rsidRPr="00AD2497" w:rsidTr="000B1271">
        <w:trPr>
          <w:trHeight w:val="255"/>
        </w:trPr>
        <w:tc>
          <w:tcPr>
            <w:tcW w:w="4515" w:type="dxa"/>
            <w:tcBorders>
              <w:top w:val="nil"/>
              <w:left w:val="single" w:sz="4" w:space="0" w:color="auto"/>
              <w:bottom w:val="single" w:sz="4" w:space="0" w:color="auto"/>
              <w:right w:val="single" w:sz="4" w:space="0" w:color="auto"/>
            </w:tcBorders>
            <w:shd w:val="clear" w:color="000000" w:fill="FFFFFF"/>
            <w:vAlign w:val="center"/>
            <w:hideMark/>
          </w:tcPr>
          <w:p w:rsidR="000B1271" w:rsidRPr="0049712C" w:rsidRDefault="000B1271" w:rsidP="007E23AB">
            <w:pPr>
              <w:spacing w:line="240" w:lineRule="auto"/>
              <w:rPr>
                <w:rFonts w:ascii="Arial Narrow" w:hAnsi="Arial Narrow" w:cs="Arial"/>
                <w:color w:val="000000"/>
                <w:sz w:val="18"/>
                <w:szCs w:val="18"/>
              </w:rPr>
            </w:pPr>
            <w:r w:rsidRPr="0049712C">
              <w:rPr>
                <w:rFonts w:ascii="Arial Narrow" w:hAnsi="Arial Narrow" w:cs="Arial"/>
                <w:color w:val="000000"/>
                <w:sz w:val="18"/>
                <w:szCs w:val="18"/>
              </w:rPr>
              <w:t>&gt;$1,000</w:t>
            </w:r>
          </w:p>
        </w:tc>
        <w:tc>
          <w:tcPr>
            <w:tcW w:w="1260" w:type="dxa"/>
            <w:tcBorders>
              <w:top w:val="nil"/>
              <w:left w:val="nil"/>
              <w:bottom w:val="single" w:sz="4" w:space="0" w:color="auto"/>
              <w:right w:val="single" w:sz="4" w:space="0" w:color="auto"/>
            </w:tcBorders>
            <w:shd w:val="clear" w:color="000000" w:fill="FFFFFF"/>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173</w:t>
            </w:r>
          </w:p>
        </w:tc>
        <w:tc>
          <w:tcPr>
            <w:tcW w:w="1080" w:type="dxa"/>
            <w:tcBorders>
              <w:top w:val="nil"/>
              <w:left w:val="nil"/>
              <w:bottom w:val="single" w:sz="4" w:space="0" w:color="auto"/>
              <w:right w:val="single" w:sz="4" w:space="0" w:color="auto"/>
            </w:tcBorders>
            <w:shd w:val="clear" w:color="000000" w:fill="FFFFFF"/>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23%</w:t>
            </w:r>
          </w:p>
        </w:tc>
        <w:tc>
          <w:tcPr>
            <w:tcW w:w="1080" w:type="dxa"/>
            <w:tcBorders>
              <w:top w:val="nil"/>
              <w:left w:val="nil"/>
              <w:bottom w:val="single" w:sz="4" w:space="0" w:color="auto"/>
              <w:right w:val="single" w:sz="4" w:space="0" w:color="auto"/>
            </w:tcBorders>
            <w:shd w:val="clear" w:color="000000" w:fill="FFFFFF"/>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467</w:t>
            </w:r>
          </w:p>
        </w:tc>
        <w:tc>
          <w:tcPr>
            <w:tcW w:w="990" w:type="dxa"/>
            <w:tcBorders>
              <w:top w:val="nil"/>
              <w:left w:val="nil"/>
              <w:bottom w:val="single" w:sz="4" w:space="0" w:color="auto"/>
              <w:right w:val="single" w:sz="4" w:space="0" w:color="auto"/>
            </w:tcBorders>
            <w:shd w:val="clear" w:color="auto" w:fill="auto"/>
            <w:vAlign w:val="center"/>
            <w:hideMark/>
          </w:tcPr>
          <w:p w:rsidR="000B1271" w:rsidRPr="0049712C" w:rsidRDefault="000B1271" w:rsidP="000B1271">
            <w:pPr>
              <w:spacing w:line="240" w:lineRule="auto"/>
              <w:jc w:val="center"/>
              <w:rPr>
                <w:rFonts w:ascii="Arial Narrow" w:hAnsi="Arial Narrow" w:cs="Arial"/>
                <w:sz w:val="18"/>
                <w:szCs w:val="18"/>
              </w:rPr>
            </w:pPr>
            <w:r w:rsidRPr="0049712C">
              <w:rPr>
                <w:rFonts w:ascii="Arial Narrow" w:hAnsi="Arial Narrow" w:cs="Arial"/>
                <w:sz w:val="18"/>
                <w:szCs w:val="18"/>
              </w:rPr>
              <w:t>20%</w:t>
            </w:r>
          </w:p>
        </w:tc>
      </w:tr>
    </w:tbl>
    <w:p w:rsidR="000B1271" w:rsidRPr="000E226F" w:rsidRDefault="000B1271" w:rsidP="000B1271">
      <w:pPr>
        <w:rPr>
          <w:rFonts w:ascii="Arial Narrow" w:hAnsi="Arial Narrow" w:cs="Arial"/>
          <w:sz w:val="18"/>
          <w:szCs w:val="18"/>
        </w:rPr>
      </w:pPr>
      <w:r w:rsidRPr="000E226F">
        <w:rPr>
          <w:rFonts w:ascii="Arial Narrow" w:hAnsi="Arial Narrow" w:cs="Arial"/>
          <w:sz w:val="18"/>
          <w:szCs w:val="18"/>
        </w:rPr>
        <w:t>Notes:</w:t>
      </w:r>
    </w:p>
    <w:p w:rsidR="000B1271" w:rsidRPr="000E226F" w:rsidRDefault="00842BEE" w:rsidP="000B1271">
      <w:pPr>
        <w:rPr>
          <w:rFonts w:ascii="Arial Narrow" w:hAnsi="Arial Narrow"/>
        </w:rPr>
      </w:pPr>
      <w:r w:rsidRPr="000E226F">
        <w:rPr>
          <w:rFonts w:ascii="Arial Narrow" w:hAnsi="Arial Narrow" w:cs="Arial"/>
          <w:sz w:val="18"/>
          <w:szCs w:val="18"/>
        </w:rPr>
        <w:t xml:space="preserve">PHAs exclusions: </w:t>
      </w:r>
      <w:r w:rsidR="000E226F" w:rsidRPr="000E226F">
        <w:rPr>
          <w:rFonts w:ascii="Arial Narrow" w:hAnsi="Arial Narrow" w:cs="Arial"/>
          <w:sz w:val="18"/>
          <w:szCs w:val="18"/>
        </w:rPr>
        <w:t xml:space="preserve">MTW PHAs </w:t>
      </w:r>
      <w:r w:rsidR="000B1271" w:rsidRPr="000E226F">
        <w:rPr>
          <w:rFonts w:ascii="Arial Narrow" w:hAnsi="Arial Narrow" w:cs="Arial"/>
          <w:sz w:val="18"/>
          <w:szCs w:val="18"/>
        </w:rPr>
        <w:t>(37 PHAs)</w:t>
      </w:r>
      <w:r w:rsidRPr="000E226F">
        <w:rPr>
          <w:rFonts w:ascii="Arial Narrow" w:hAnsi="Arial Narrow" w:cs="Arial"/>
          <w:sz w:val="18"/>
          <w:szCs w:val="18"/>
        </w:rPr>
        <w:t xml:space="preserve">; </w:t>
      </w:r>
      <w:r w:rsidR="000B1271" w:rsidRPr="000E226F">
        <w:rPr>
          <w:rFonts w:ascii="Arial Narrow" w:hAnsi="Arial Narrow" w:cs="Arial"/>
          <w:sz w:val="18"/>
          <w:szCs w:val="18"/>
        </w:rPr>
        <w:t>PHAs that were rejected by Field Office review </w:t>
      </w:r>
      <w:r w:rsidRPr="000E226F">
        <w:rPr>
          <w:rFonts w:ascii="Arial Narrow" w:hAnsi="Arial Narrow" w:cs="Arial"/>
          <w:sz w:val="18"/>
          <w:szCs w:val="18"/>
        </w:rPr>
        <w:t>or HUD</w:t>
      </w:r>
      <w:r w:rsidR="000B1271" w:rsidRPr="000E226F">
        <w:rPr>
          <w:rFonts w:ascii="Arial Narrow" w:hAnsi="Arial Narrow" w:cs="Arial"/>
          <w:sz w:val="18"/>
          <w:szCs w:val="18"/>
        </w:rPr>
        <w:t xml:space="preserve"> (1</w:t>
      </w:r>
      <w:r w:rsidRPr="000E226F">
        <w:rPr>
          <w:rFonts w:ascii="Arial Narrow" w:hAnsi="Arial Narrow" w:cs="Arial"/>
          <w:sz w:val="18"/>
          <w:szCs w:val="18"/>
        </w:rPr>
        <w:t>7</w:t>
      </w:r>
      <w:r w:rsidR="000B1271" w:rsidRPr="000E226F">
        <w:rPr>
          <w:rFonts w:ascii="Arial Narrow" w:hAnsi="Arial Narrow" w:cs="Arial"/>
          <w:sz w:val="18"/>
          <w:szCs w:val="18"/>
        </w:rPr>
        <w:t xml:space="preserve"> PHAs)</w:t>
      </w:r>
      <w:r w:rsidRPr="000E226F">
        <w:rPr>
          <w:rFonts w:ascii="Arial Narrow" w:hAnsi="Arial Narrow" w:cs="Arial"/>
          <w:sz w:val="18"/>
          <w:szCs w:val="18"/>
        </w:rPr>
        <w:t xml:space="preserve">; </w:t>
      </w:r>
      <w:r w:rsidR="000B1271" w:rsidRPr="000E226F">
        <w:rPr>
          <w:rFonts w:ascii="Arial Narrow" w:hAnsi="Arial Narrow" w:cs="Arial"/>
          <w:sz w:val="18"/>
          <w:szCs w:val="18"/>
        </w:rPr>
        <w:t>PHAs that were in the reconnaissance phase (59 PHAs)</w:t>
      </w:r>
      <w:r w:rsidRPr="000E226F">
        <w:rPr>
          <w:rFonts w:ascii="Arial Narrow" w:hAnsi="Arial Narrow" w:cs="Arial"/>
          <w:sz w:val="18"/>
          <w:szCs w:val="18"/>
        </w:rPr>
        <w:t xml:space="preserve">; and </w:t>
      </w:r>
      <w:r w:rsidR="000B1271" w:rsidRPr="000E226F">
        <w:rPr>
          <w:rFonts w:ascii="Arial Narrow" w:hAnsi="Arial Narrow" w:cs="Arial"/>
          <w:sz w:val="18"/>
          <w:szCs w:val="18"/>
        </w:rPr>
        <w:t>PHAs that refused to participate in the first round (32 PHAs)</w:t>
      </w:r>
      <w:r w:rsidRPr="000E226F">
        <w:rPr>
          <w:rFonts w:ascii="Arial Narrow" w:hAnsi="Arial Narrow" w:cs="Arial"/>
          <w:sz w:val="18"/>
          <w:szCs w:val="18"/>
        </w:rPr>
        <w:t>.</w:t>
      </w:r>
    </w:p>
    <w:p w:rsidR="000B1271" w:rsidRPr="000B1271" w:rsidRDefault="000B1271" w:rsidP="000B1271"/>
    <w:p w:rsidR="00DB0A0A" w:rsidRDefault="00DB0A0A" w:rsidP="00DB0A0A">
      <w:pPr>
        <w:autoSpaceDE w:val="0"/>
        <w:autoSpaceDN w:val="0"/>
        <w:adjustRightInd w:val="0"/>
      </w:pPr>
      <w:r w:rsidRPr="008408FB">
        <w:lastRenderedPageBreak/>
        <w:t xml:space="preserve">From the sampling universe of </w:t>
      </w:r>
      <w:r>
        <w:t>755 HCV programs</w:t>
      </w:r>
      <w:r w:rsidRPr="008408FB">
        <w:t xml:space="preserve">, </w:t>
      </w:r>
      <w:r>
        <w:t>the study team will select</w:t>
      </w:r>
      <w:r w:rsidRPr="008408FB">
        <w:t xml:space="preserve"> a stratified random </w:t>
      </w:r>
      <w:r w:rsidRPr="00216D18">
        <w:t xml:space="preserve">sample of </w:t>
      </w:r>
      <w:r w:rsidR="002E33D6">
        <w:t>135</w:t>
      </w:r>
      <w:r w:rsidR="002E33D6" w:rsidRPr="008408FB">
        <w:t xml:space="preserve"> </w:t>
      </w:r>
      <w:r w:rsidRPr="008408FB">
        <w:t xml:space="preserve">agencies using </w:t>
      </w:r>
      <w:r>
        <w:t xml:space="preserve">HCV </w:t>
      </w:r>
      <w:r w:rsidRPr="008408FB">
        <w:t>program size</w:t>
      </w:r>
      <w:r>
        <w:t xml:space="preserve">, program type, and location </w:t>
      </w:r>
      <w:r w:rsidRPr="008408FB">
        <w:t>as the sampling strata.</w:t>
      </w:r>
      <w:r>
        <w:t xml:space="preserve"> </w:t>
      </w:r>
      <w:r w:rsidRPr="00217C26">
        <w:t xml:space="preserve"> </w:t>
      </w:r>
    </w:p>
    <w:p w:rsidR="00DB0A0A" w:rsidRDefault="00DB0A0A" w:rsidP="00DB0A0A">
      <w:pPr>
        <w:autoSpaceDE w:val="0"/>
        <w:autoSpaceDN w:val="0"/>
        <w:adjustRightInd w:val="0"/>
      </w:pPr>
      <w:r w:rsidRPr="008408FB">
        <w:t xml:space="preserve">We </w:t>
      </w:r>
      <w:r>
        <w:t>will then</w:t>
      </w:r>
      <w:r w:rsidRPr="008408FB">
        <w:t xml:space="preserve"> sen</w:t>
      </w:r>
      <w:r>
        <w:t>d</w:t>
      </w:r>
      <w:r w:rsidRPr="008408FB">
        <w:t xml:space="preserve"> the </w:t>
      </w:r>
      <w:r>
        <w:t>list</w:t>
      </w:r>
      <w:r w:rsidRPr="008408FB">
        <w:t xml:space="preserve"> of </w:t>
      </w:r>
      <w:r w:rsidR="002E33D6">
        <w:t>135</w:t>
      </w:r>
      <w:r w:rsidR="002E33D6" w:rsidRPr="008408FB">
        <w:t xml:space="preserve"> </w:t>
      </w:r>
      <w:r w:rsidRPr="008408FB">
        <w:t>agencies to the HUD Field Office</w:t>
      </w:r>
      <w:r>
        <w:t xml:space="preserve"> and headquarters staff</w:t>
      </w:r>
      <w:r w:rsidRPr="008408FB">
        <w:t xml:space="preserve"> </w:t>
      </w:r>
      <w:r>
        <w:t>to</w:t>
      </w:r>
      <w:r w:rsidRPr="008408FB">
        <w:t xml:space="preserve"> be reviewed for audit findings. PHA</w:t>
      </w:r>
      <w:r>
        <w:t>s</w:t>
      </w:r>
      <w:r w:rsidRPr="008408FB">
        <w:t xml:space="preserve"> with major unresolved I</w:t>
      </w:r>
      <w:r>
        <w:t>ndependent Public Accountant (I</w:t>
      </w:r>
      <w:r w:rsidRPr="008408FB">
        <w:t>PA</w:t>
      </w:r>
      <w:r>
        <w:t>)</w:t>
      </w:r>
      <w:r w:rsidRPr="008408FB">
        <w:t xml:space="preserve"> audit findings </w:t>
      </w:r>
      <w:r>
        <w:t xml:space="preserve">or fair housing findings from Fair Housing and Equal Opportunity (FHEO) reviews </w:t>
      </w:r>
      <w:r w:rsidRPr="008408FB">
        <w:t xml:space="preserve">in the past three years related to </w:t>
      </w:r>
      <w:r>
        <w:t>the</w:t>
      </w:r>
      <w:r w:rsidRPr="008408FB">
        <w:t xml:space="preserve"> HCV program </w:t>
      </w:r>
      <w:r>
        <w:t>will be</w:t>
      </w:r>
      <w:r w:rsidRPr="008408FB">
        <w:t xml:space="preserve"> excluded from the sample.</w:t>
      </w:r>
      <w:r>
        <w:t xml:space="preserve"> A starting sample of </w:t>
      </w:r>
      <w:r w:rsidR="002E33D6">
        <w:t xml:space="preserve">135 </w:t>
      </w:r>
      <w:r>
        <w:t xml:space="preserve">PHAs allows for </w:t>
      </w:r>
      <w:r w:rsidR="002E33D6">
        <w:t>backups</w:t>
      </w:r>
      <w:r>
        <w:t xml:space="preserve"> should </w:t>
      </w:r>
      <w:r w:rsidR="00384FAC">
        <w:t>any</w:t>
      </w:r>
      <w:r w:rsidR="002E33D6">
        <w:t xml:space="preserve"> of the initial sample of 45</w:t>
      </w:r>
      <w:r>
        <w:t xml:space="preserve"> </w:t>
      </w:r>
      <w:proofErr w:type="gramStart"/>
      <w:r>
        <w:t>decline</w:t>
      </w:r>
      <w:proofErr w:type="gramEnd"/>
      <w:r>
        <w:t xml:space="preserve"> to participate or get rejected by the HUD field office and headquarters staff. We will replace the PHAs in the initial sample that were eliminated through Field Office and headquarters review with the designated backup agency</w:t>
      </w:r>
      <w:r w:rsidRPr="008408FB">
        <w:t>.</w:t>
      </w:r>
      <w:r>
        <w:t xml:space="preserve"> Also, if a PHA in the initial sample refuses to participate, the agency will be replaced by the backup that is the closest match in terms of HCV program size, region, and PHA type.</w:t>
      </w:r>
      <w:r w:rsidR="002F50D8">
        <w:t xml:space="preserve"> </w:t>
      </w:r>
    </w:p>
    <w:p w:rsidR="00DB0A0A" w:rsidRDefault="00DB0A0A" w:rsidP="00DB0A0A"/>
    <w:p w:rsidR="00DB0A0A" w:rsidRDefault="00DB0A0A" w:rsidP="00DB0A0A">
      <w:r>
        <w:t>We will keep track of the PHAs that refuse to be part of the full study and compare their characteristics to those that are part of the study sample. We will also ask the PHAs the reason for their refusal to participate in the full study.</w:t>
      </w:r>
      <w:r w:rsidR="00C66620">
        <w:t xml:space="preserve"> These data will be used to assess whether there appear to be any systematic differences between participating and non-participating programs, and to correct for any differences found using analytic weights.</w:t>
      </w:r>
    </w:p>
    <w:p w:rsidR="002F50D8" w:rsidRDefault="002F50D8" w:rsidP="000B1271">
      <w:pPr>
        <w:autoSpaceDE w:val="0"/>
        <w:autoSpaceDN w:val="0"/>
        <w:adjustRightInd w:val="0"/>
        <w:rPr>
          <w:szCs w:val="22"/>
        </w:rPr>
      </w:pPr>
    </w:p>
    <w:p w:rsidR="000B1271" w:rsidRPr="008408FB" w:rsidRDefault="002F50D8" w:rsidP="000B1271">
      <w:pPr>
        <w:autoSpaceDE w:val="0"/>
        <w:autoSpaceDN w:val="0"/>
        <w:adjustRightInd w:val="0"/>
      </w:pPr>
      <w:r>
        <w:t xml:space="preserve">The final sample of </w:t>
      </w:r>
      <w:r w:rsidR="002E33D6">
        <w:t xml:space="preserve">up to 60 </w:t>
      </w:r>
      <w:r>
        <w:t xml:space="preserve">PHAs for the full national study is intended to be representative of the overall universe of high-performing PHAs along HCV program size, location, and program type.  </w:t>
      </w:r>
      <w:r w:rsidR="000B1271" w:rsidRPr="008408FB">
        <w:rPr>
          <w:szCs w:val="22"/>
        </w:rPr>
        <w:t>Although we will not be sampling explicitly for these characteristics, we anticipate that t</w:t>
      </w:r>
      <w:r w:rsidR="000B1271" w:rsidRPr="008408FB">
        <w:t>he final sample of PHAs will exhibit variety along the following dimensions believed to affect program costs and efficiency:</w:t>
      </w:r>
    </w:p>
    <w:p w:rsidR="000B1271" w:rsidRPr="008408FB" w:rsidRDefault="000B1271" w:rsidP="000B1271">
      <w:pPr>
        <w:autoSpaceDE w:val="0"/>
        <w:autoSpaceDN w:val="0"/>
        <w:adjustRightInd w:val="0"/>
        <w:rPr>
          <w:szCs w:val="22"/>
        </w:rPr>
      </w:pPr>
    </w:p>
    <w:p w:rsidR="000B1271" w:rsidRPr="000B1271" w:rsidRDefault="000B1271" w:rsidP="000B1271">
      <w:pPr>
        <w:pStyle w:val="Bullets"/>
      </w:pPr>
      <w:r w:rsidRPr="000B1271">
        <w:t>Type of administration (local PHA, state/regional administration, non-profit administrator, independent PHA vs. PHA that is operated within a local government);</w:t>
      </w:r>
    </w:p>
    <w:p w:rsidR="000B1271" w:rsidRPr="000B1271" w:rsidRDefault="000B1271" w:rsidP="000B1271">
      <w:pPr>
        <w:pStyle w:val="Bullets"/>
      </w:pPr>
      <w:r w:rsidRPr="000B1271">
        <w:t>Number of HUD and other programs administered;</w:t>
      </w:r>
    </w:p>
    <w:p w:rsidR="000B1271" w:rsidRPr="000B1271" w:rsidRDefault="000B1271" w:rsidP="000B1271">
      <w:pPr>
        <w:pStyle w:val="Bullets"/>
      </w:pPr>
      <w:r w:rsidRPr="000B1271">
        <w:t>Physical size of service area;</w:t>
      </w:r>
    </w:p>
    <w:p w:rsidR="000B1271" w:rsidRPr="000B1271" w:rsidRDefault="00146A91" w:rsidP="000B1271">
      <w:pPr>
        <w:pStyle w:val="Bullets"/>
      </w:pPr>
      <w:r>
        <w:t>Whether staff are subject to collective bargaining or not</w:t>
      </w:r>
      <w:r w:rsidR="000B1271" w:rsidRPr="000B1271">
        <w:t>;</w:t>
      </w:r>
    </w:p>
    <w:p w:rsidR="000B1271" w:rsidRPr="000B1271" w:rsidRDefault="000B1271" w:rsidP="000B1271">
      <w:pPr>
        <w:pStyle w:val="Bullets"/>
      </w:pPr>
      <w:r w:rsidRPr="000B1271">
        <w:t xml:space="preserve">Special </w:t>
      </w:r>
      <w:r w:rsidR="00146A91">
        <w:t xml:space="preserve">voucher </w:t>
      </w:r>
      <w:r w:rsidRPr="000B1271">
        <w:t>programs administered</w:t>
      </w:r>
      <w:r w:rsidR="00146A91">
        <w:t xml:space="preserve"> (e.g., project-based vouchers, mainstream vouchers for persons with disabilities, homeownership vouchers, family unification vouchers)</w:t>
      </w:r>
      <w:r w:rsidRPr="000B1271">
        <w:t>;</w:t>
      </w:r>
    </w:p>
    <w:p w:rsidR="000B1271" w:rsidRPr="000B1271" w:rsidRDefault="000B1271" w:rsidP="000B1271">
      <w:pPr>
        <w:pStyle w:val="Bullets"/>
      </w:pPr>
      <w:r w:rsidRPr="000B1271">
        <w:t xml:space="preserve">Program goals (for example, </w:t>
      </w:r>
      <w:proofErr w:type="spellStart"/>
      <w:r w:rsidRPr="000B1271">
        <w:t>deconcentration</w:t>
      </w:r>
      <w:proofErr w:type="spellEnd"/>
      <w:r w:rsidRPr="000B1271">
        <w:t xml:space="preserve"> or mobility goals, goals related to serving hard to house populations);</w:t>
      </w:r>
    </w:p>
    <w:p w:rsidR="000B1271" w:rsidRPr="000B1271" w:rsidRDefault="000B1271" w:rsidP="000B1271">
      <w:pPr>
        <w:pStyle w:val="Bullets"/>
      </w:pPr>
      <w:r w:rsidRPr="000B1271">
        <w:t>Characteristics of client population (age, disability, family size, non-English speakers);</w:t>
      </w:r>
    </w:p>
    <w:p w:rsidR="000B1271" w:rsidRPr="000B1271" w:rsidRDefault="000B1271" w:rsidP="000B1271">
      <w:pPr>
        <w:pStyle w:val="Bullets"/>
      </w:pPr>
      <w:r w:rsidRPr="000B1271">
        <w:t xml:space="preserve">Characteristics of housing stock (age, condition, type, vacancy rates); </w:t>
      </w:r>
    </w:p>
    <w:p w:rsidR="000B1271" w:rsidRPr="000B1271" w:rsidRDefault="000B1271" w:rsidP="000B1271">
      <w:pPr>
        <w:pStyle w:val="Bullets"/>
      </w:pPr>
      <w:r w:rsidRPr="000B1271">
        <w:t>Characteristics of landlord population (for example, whether the rental stock is owned by a few large landlords or many small ones); and</w:t>
      </w:r>
    </w:p>
    <w:p w:rsidR="000B1271" w:rsidRPr="008408FB" w:rsidRDefault="000B1271" w:rsidP="000B1271">
      <w:pPr>
        <w:pStyle w:val="BulletsLast"/>
      </w:pPr>
      <w:r w:rsidRPr="008408FB">
        <w:t>Local Legal Aid environment.</w:t>
      </w:r>
    </w:p>
    <w:p w:rsidR="000B1271" w:rsidRDefault="000B1271" w:rsidP="000B1271"/>
    <w:p w:rsidR="000B1271" w:rsidRPr="00F343E6" w:rsidRDefault="000B1271" w:rsidP="000B1271">
      <w:pPr>
        <w:pStyle w:val="Heading2"/>
      </w:pPr>
      <w:bookmarkStart w:id="6" w:name="_Toc190490670"/>
      <w:bookmarkStart w:id="7" w:name="_Toc248818773"/>
      <w:bookmarkStart w:id="8" w:name="_Toc280179454"/>
      <w:r w:rsidRPr="00F343E6">
        <w:lastRenderedPageBreak/>
        <w:t>B2</w:t>
      </w:r>
      <w:r w:rsidRPr="00F343E6">
        <w:tab/>
        <w:t>Statistical Methods</w:t>
      </w:r>
      <w:bookmarkEnd w:id="6"/>
      <w:bookmarkEnd w:id="7"/>
      <w:bookmarkEnd w:id="8"/>
    </w:p>
    <w:p w:rsidR="000B1271" w:rsidRPr="00F343E6" w:rsidRDefault="000B1271" w:rsidP="000B1271">
      <w:pPr>
        <w:pStyle w:val="Heading3"/>
      </w:pPr>
      <w:bookmarkStart w:id="9" w:name="_Toc245609870"/>
      <w:bookmarkStart w:id="10" w:name="_Toc248818774"/>
      <w:bookmarkStart w:id="11" w:name="_Toc280179455"/>
      <w:r w:rsidRPr="00A155C1">
        <w:t>B2.1</w:t>
      </w:r>
      <w:r w:rsidRPr="00A155C1">
        <w:tab/>
        <w:t>Sampling Plan</w:t>
      </w:r>
      <w:bookmarkEnd w:id="9"/>
      <w:bookmarkEnd w:id="10"/>
      <w:bookmarkEnd w:id="11"/>
    </w:p>
    <w:p w:rsidR="000B1271" w:rsidRDefault="000B1271" w:rsidP="000B1271">
      <w:r>
        <w:t xml:space="preserve">As noted, the study data collection for this project includes a sample of </w:t>
      </w:r>
      <w:r w:rsidR="002E33D6">
        <w:t>13</w:t>
      </w:r>
      <w:r w:rsidR="0058381C">
        <w:t>5</w:t>
      </w:r>
      <w:r>
        <w:t xml:space="preserve"> HCV programs from which we will </w:t>
      </w:r>
      <w:r w:rsidR="00E641FC">
        <w:t xml:space="preserve">visit up to </w:t>
      </w:r>
      <w:r w:rsidR="002E33D6">
        <w:t xml:space="preserve">45 </w:t>
      </w:r>
      <w:r w:rsidR="00E641FC">
        <w:t xml:space="preserve">PHAs to </w:t>
      </w:r>
      <w:r>
        <w:t xml:space="preserve">collect information on program performance and areas of efficiency, </w:t>
      </w:r>
      <w:r w:rsidR="00E641FC">
        <w:t>with the purpose of</w:t>
      </w:r>
      <w:r>
        <w:t xml:space="preserve"> identify</w:t>
      </w:r>
      <w:r w:rsidR="00E641FC">
        <w:t>ing</w:t>
      </w:r>
      <w:r>
        <w:t xml:space="preserve"> </w:t>
      </w:r>
      <w:r w:rsidR="0058381C">
        <w:t>additional</w:t>
      </w:r>
      <w:r>
        <w:t xml:space="preserve"> study sites for the full national study of HCV administrative costs.</w:t>
      </w:r>
    </w:p>
    <w:p w:rsidR="000B1271" w:rsidRDefault="000B1271" w:rsidP="000B1271"/>
    <w:p w:rsidR="000B1271" w:rsidRPr="00F343E6" w:rsidRDefault="000B1271" w:rsidP="000B1271">
      <w:pPr>
        <w:pStyle w:val="Heading3"/>
      </w:pPr>
      <w:bookmarkStart w:id="12" w:name="_Toc190490672"/>
      <w:bookmarkStart w:id="13" w:name="_Toc248818775"/>
      <w:bookmarkStart w:id="14" w:name="_Toc280179456"/>
      <w:r w:rsidRPr="00A155C1">
        <w:t>B2.2</w:t>
      </w:r>
      <w:r w:rsidRPr="00A155C1">
        <w:tab/>
        <w:t>Justification of Level of Accuracy</w:t>
      </w:r>
      <w:bookmarkEnd w:id="12"/>
      <w:bookmarkEnd w:id="13"/>
      <w:bookmarkEnd w:id="14"/>
    </w:p>
    <w:p w:rsidR="000B1271" w:rsidRDefault="000B1271" w:rsidP="000B1271">
      <w:pPr>
        <w:rPr>
          <w:szCs w:val="22"/>
        </w:rPr>
      </w:pPr>
      <w:r w:rsidRPr="00CA5487">
        <w:rPr>
          <w:szCs w:val="22"/>
        </w:rPr>
        <w:t>Data from the site visits will not be combined in any way to provide statistical or summary data</w:t>
      </w:r>
      <w:r>
        <w:rPr>
          <w:szCs w:val="22"/>
        </w:rPr>
        <w:t xml:space="preserve"> for the HCV program as a whole. </w:t>
      </w:r>
      <w:r w:rsidRPr="00CA5487">
        <w:rPr>
          <w:szCs w:val="22"/>
        </w:rPr>
        <w:t xml:space="preserve">The data will be used to confirm (or not) the </w:t>
      </w:r>
      <w:r>
        <w:rPr>
          <w:szCs w:val="22"/>
        </w:rPr>
        <w:t>high-performing</w:t>
      </w:r>
      <w:r w:rsidRPr="00CA5487">
        <w:rPr>
          <w:szCs w:val="22"/>
        </w:rPr>
        <w:t xml:space="preserve"> </w:t>
      </w:r>
      <w:r>
        <w:rPr>
          <w:szCs w:val="22"/>
        </w:rPr>
        <w:t>status of each PHA and to collect information on program efficiency</w:t>
      </w:r>
      <w:r w:rsidRPr="00CA5487">
        <w:rPr>
          <w:szCs w:val="22"/>
        </w:rPr>
        <w:t>.</w:t>
      </w:r>
    </w:p>
    <w:p w:rsidR="000B1271" w:rsidRDefault="000B1271" w:rsidP="000B1271">
      <w:pPr>
        <w:rPr>
          <w:szCs w:val="22"/>
        </w:rPr>
      </w:pPr>
    </w:p>
    <w:p w:rsidR="000B1271" w:rsidRDefault="000B1271" w:rsidP="000B1271">
      <w:pPr>
        <w:rPr>
          <w:szCs w:val="22"/>
        </w:rPr>
      </w:pPr>
      <w:r>
        <w:rPr>
          <w:szCs w:val="22"/>
        </w:rPr>
        <w:t xml:space="preserve">The full </w:t>
      </w:r>
      <w:r w:rsidR="00042534">
        <w:rPr>
          <w:szCs w:val="22"/>
        </w:rPr>
        <w:t xml:space="preserve">national </w:t>
      </w:r>
      <w:r>
        <w:rPr>
          <w:szCs w:val="22"/>
        </w:rPr>
        <w:t xml:space="preserve">study will involve regression modeling to identify the factors that affect HCV program administrative costs and the relative weight that should be applied to each in an administrative fee formula. This analysis will be discussed in the OMB request developed for that part of the study. </w:t>
      </w:r>
    </w:p>
    <w:p w:rsidR="000B1271" w:rsidRPr="00CA5487" w:rsidRDefault="000B1271" w:rsidP="000B1271">
      <w:pPr>
        <w:rPr>
          <w:szCs w:val="22"/>
        </w:rPr>
      </w:pPr>
    </w:p>
    <w:p w:rsidR="000B1271" w:rsidRDefault="000B1271" w:rsidP="000B1271">
      <w:pPr>
        <w:pStyle w:val="Heading2"/>
      </w:pPr>
      <w:bookmarkStart w:id="15" w:name="_Toc190490673"/>
      <w:bookmarkStart w:id="16" w:name="_Toc248818776"/>
      <w:bookmarkStart w:id="17" w:name="_Toc280179457"/>
      <w:r w:rsidRPr="00F343E6">
        <w:t>B3</w:t>
      </w:r>
      <w:r w:rsidRPr="00F343E6">
        <w:tab/>
        <w:t>Maximizing Response Rates</w:t>
      </w:r>
      <w:bookmarkEnd w:id="15"/>
      <w:bookmarkEnd w:id="16"/>
      <w:bookmarkEnd w:id="17"/>
    </w:p>
    <w:p w:rsidR="00042534" w:rsidRDefault="000B1271" w:rsidP="000B1271">
      <w:r>
        <w:t xml:space="preserve">Our procedures for recruiting PHAs to participate in the study are designed to achieve maximum participation. </w:t>
      </w:r>
      <w:r w:rsidRPr="00A155C1">
        <w:t xml:space="preserve">Once the </w:t>
      </w:r>
      <w:r w:rsidR="002E33D6">
        <w:t xml:space="preserve">initial </w:t>
      </w:r>
      <w:r w:rsidRPr="00A155C1">
        <w:t xml:space="preserve">sample of </w:t>
      </w:r>
      <w:r w:rsidR="002E33D6">
        <w:t>45</w:t>
      </w:r>
      <w:r w:rsidR="002E33D6" w:rsidRPr="00A155C1">
        <w:t xml:space="preserve"> </w:t>
      </w:r>
      <w:r w:rsidRPr="00A155C1">
        <w:t xml:space="preserve">PHAs has been identified, HUD will send a letter to the Executive Director </w:t>
      </w:r>
      <w:r>
        <w:t xml:space="preserve">and HCV Program Director of each agency to invite and encourage them to participate in the study. (A copy of the letter is provided </w:t>
      </w:r>
      <w:r w:rsidRPr="004368FF">
        <w:t xml:space="preserve">in Appendix </w:t>
      </w:r>
      <w:r>
        <w:t>A</w:t>
      </w:r>
      <w:r w:rsidRPr="004368FF">
        <w:t>.) The</w:t>
      </w:r>
      <w:r>
        <w:t xml:space="preserve"> letter will provide an overview of the purpose of the study and highlight what will be required of participating PHAs. The letter will be accompanied by a brief description of the study in the form of a Frequently Asked Questions document (also provided in Appendix A.) </w:t>
      </w:r>
    </w:p>
    <w:p w:rsidR="00042534" w:rsidRDefault="00042534" w:rsidP="000B1271"/>
    <w:p w:rsidR="000B1271" w:rsidRDefault="000B1271" w:rsidP="000B1271">
      <w:r>
        <w:t xml:space="preserve">The </w:t>
      </w:r>
      <w:r w:rsidR="00042534">
        <w:t xml:space="preserve">HUD </w:t>
      </w:r>
      <w:r>
        <w:t xml:space="preserve">letter will be followed by a telephone call from a senior member of the Abt Associates team, who will speak with the Executive Director and HCV Director to describe the study again and request the agency’s participation. (A copy of the telephone script is provided </w:t>
      </w:r>
      <w:r w:rsidRPr="004368FF">
        <w:t xml:space="preserve">in Appendix </w:t>
      </w:r>
      <w:r>
        <w:t>B</w:t>
      </w:r>
      <w:r w:rsidRPr="004368FF">
        <w:t>.)</w:t>
      </w:r>
      <w:r>
        <w:t xml:space="preserve"> If the PHA requests it at this stage, we will send the agency a copy of the PHA interview guide and a list of documents to be obtained from the PHA. Otherwise we will send these materials to the PHA as part of preparing for the site visit.</w:t>
      </w:r>
    </w:p>
    <w:p w:rsidR="000B1271" w:rsidRDefault="000B1271" w:rsidP="000B1271"/>
    <w:p w:rsidR="000B1271" w:rsidRDefault="000B1271" w:rsidP="000B1271">
      <w:r>
        <w:t>Should a PHA decline to participate in the study, we will identify a replacement PHA from the backup sample and strat</w:t>
      </w:r>
      <w:r w:rsidR="00E62DAB">
        <w:t>a</w:t>
      </w:r>
      <w:r>
        <w:t xml:space="preserve"> and begin the recruitment process anew with that PHA. Based on </w:t>
      </w:r>
      <w:r w:rsidR="00765390">
        <w:t xml:space="preserve">our experience in the reconnaissance phase, we </w:t>
      </w:r>
      <w:r>
        <w:t xml:space="preserve">believe that most PHAs are very interested in the study and will be motivated to participate. However, some PHAs may decide that the burden on staff is too high or may be reluctant to participate in a study that requires sharing information about the agency’s cost structure. The senior staff members responsible for agency recruitment will provide clear guidance to the PHA on the safeguards in place to protect sensitive information and the expectations regarding level of effort by the PHA. </w:t>
      </w:r>
    </w:p>
    <w:p w:rsidR="000B1271" w:rsidRDefault="000B1271" w:rsidP="000B1271">
      <w:bookmarkStart w:id="18" w:name="_GoBack"/>
      <w:bookmarkEnd w:id="18"/>
    </w:p>
    <w:p w:rsidR="000B1271" w:rsidRDefault="000B1271" w:rsidP="000B1271">
      <w:r>
        <w:lastRenderedPageBreak/>
        <w:t>We do not think that monetary compensation to PHAs is warranted given the time burden for PHAs to participate.</w:t>
      </w:r>
      <w:r w:rsidR="00210AEF">
        <w:t xml:space="preserve"> We do expect to provide financial compensation for PHAs participating in the full national study. For the full study, we expect to collect data on staff time per activity over two months. The amount of compensation for PHAs participating in the full study will be determined based on the final research design and data collection approach for the study. We will prepare a separate request for OMB approval for the full national study.</w:t>
      </w:r>
      <w:r>
        <w:t xml:space="preserve">  </w:t>
      </w:r>
    </w:p>
    <w:p w:rsidR="000B1271" w:rsidRDefault="000B1271" w:rsidP="000B1271"/>
    <w:p w:rsidR="000B1271" w:rsidRPr="00F343E6" w:rsidRDefault="000B1271" w:rsidP="000B1271">
      <w:pPr>
        <w:pStyle w:val="Heading2"/>
      </w:pPr>
      <w:bookmarkStart w:id="19" w:name="_Toc190490674"/>
      <w:bookmarkStart w:id="20" w:name="_Toc248818777"/>
      <w:bookmarkStart w:id="21" w:name="_Toc280179458"/>
      <w:r w:rsidRPr="00F343E6">
        <w:t>B4</w:t>
      </w:r>
      <w:r w:rsidRPr="00F343E6">
        <w:tab/>
        <w:t>Tests of Procedures or Methods</w:t>
      </w:r>
      <w:bookmarkEnd w:id="19"/>
      <w:bookmarkEnd w:id="20"/>
      <w:bookmarkEnd w:id="21"/>
    </w:p>
    <w:p w:rsidR="000B1271" w:rsidRPr="00F343E6" w:rsidRDefault="000B1271" w:rsidP="000B1271">
      <w:r>
        <w:t xml:space="preserve">Drafts of the data collection instruments have </w:t>
      </w:r>
      <w:r w:rsidRPr="00B6591A">
        <w:t>been reviewed by HUD personnel, Abt Associates staff, and</w:t>
      </w:r>
      <w:r>
        <w:t xml:space="preserve"> </w:t>
      </w:r>
      <w:r w:rsidR="009F05C7">
        <w:t xml:space="preserve">the </w:t>
      </w:r>
      <w:r w:rsidR="00D94DF4">
        <w:t>Expert and Industry Technical Review Group (</w:t>
      </w:r>
      <w:r w:rsidR="009F05C7">
        <w:t>EITRG</w:t>
      </w:r>
      <w:r w:rsidR="00D94DF4">
        <w:t>)</w:t>
      </w:r>
      <w:r>
        <w:t xml:space="preserve"> to ens</w:t>
      </w:r>
      <w:r w:rsidRPr="00B6591A">
        <w:t>ure that the instrument</w:t>
      </w:r>
      <w:r>
        <w:t>s</w:t>
      </w:r>
      <w:r w:rsidRPr="00B6591A">
        <w:t xml:space="preserve"> </w:t>
      </w:r>
      <w:r>
        <w:t>are clear, flow</w:t>
      </w:r>
      <w:r w:rsidRPr="00B6591A">
        <w:t xml:space="preserve"> well, and </w:t>
      </w:r>
      <w:r>
        <w:t>are</w:t>
      </w:r>
      <w:r w:rsidRPr="00B6591A">
        <w:t xml:space="preserve"> as concise as possible</w:t>
      </w:r>
      <w:r>
        <w:t xml:space="preserve">. The on-site protocol and performance criteria will be substantially the same as used during the first reconnaissance phase </w:t>
      </w:r>
      <w:r w:rsidR="004963F5" w:rsidRPr="00DF0664">
        <w:t>(</w:t>
      </w:r>
      <w:r w:rsidR="004963F5" w:rsidRPr="006F552E">
        <w:t xml:space="preserve">OMB </w:t>
      </w:r>
      <w:r w:rsidR="004963F5">
        <w:t xml:space="preserve">Control Number 2528-026), </w:t>
      </w:r>
      <w:r>
        <w:t xml:space="preserve">except that the PHA interview protocol is shorter, eliminating all </w:t>
      </w:r>
      <w:r w:rsidRPr="00E84CE4">
        <w:t>questions</w:t>
      </w:r>
      <w:r>
        <w:t xml:space="preserve"> that do not directly relate to program performance.</w:t>
      </w:r>
      <w:r>
        <w:rPr>
          <w:rStyle w:val="FootnoteReference"/>
        </w:rPr>
        <w:footnoteReference w:id="3"/>
      </w:r>
    </w:p>
    <w:p w:rsidR="000B1271" w:rsidRPr="00F343E6" w:rsidRDefault="000B1271" w:rsidP="000B1271"/>
    <w:p w:rsidR="000B1271" w:rsidRPr="00F343E6" w:rsidRDefault="000B1271" w:rsidP="000B1271">
      <w:pPr>
        <w:pStyle w:val="Heading2"/>
      </w:pPr>
      <w:bookmarkStart w:id="22" w:name="_Toc190490675"/>
      <w:bookmarkStart w:id="23" w:name="_Toc248818778"/>
      <w:bookmarkStart w:id="24" w:name="_Toc280179459"/>
      <w:r w:rsidRPr="00F343E6">
        <w:t>B5</w:t>
      </w:r>
      <w:r w:rsidRPr="00F343E6">
        <w:tab/>
        <w:t>Statistical Consultation and Information Collection Agents</w:t>
      </w:r>
      <w:bookmarkEnd w:id="22"/>
      <w:bookmarkEnd w:id="23"/>
      <w:bookmarkEnd w:id="24"/>
    </w:p>
    <w:p w:rsidR="000B1271" w:rsidRDefault="000B1271" w:rsidP="000B1271">
      <w:r>
        <w:t xml:space="preserve">HUD’s Office of Policy Development and Research will work with the contractor, Abt Associates, to conduct the proposed data collection. Marina L. Myhre, Ph.D., a Social Science Analyst in HUD’s Office of Policy Development and Research, Program Evaluation Division, serves as Government Technical Representative (GTR). Her supervisor is Ms. Carol Star. Dr. Myhre and Ms. Star can be contacted at (202) 402-5705 and (202) 402-6139, respectively. The Abt Associates Principal Investigator is Dr. Meryl Finkel, who can be reached at </w:t>
      </w:r>
      <w:r w:rsidRPr="00F343E6">
        <w:t>(</w:t>
      </w:r>
      <w:r>
        <w:t xml:space="preserve">617) 349-2380. </w:t>
      </w:r>
    </w:p>
    <w:p w:rsidR="000B1271" w:rsidRDefault="000B1271" w:rsidP="000B1271">
      <w:pPr>
        <w:pStyle w:val="BodyText"/>
      </w:pPr>
    </w:p>
    <w:p w:rsidR="00D979EA" w:rsidRPr="00A324EA" w:rsidRDefault="00D979EA" w:rsidP="00D979EA">
      <w:pPr>
        <w:pStyle w:val="BodyText"/>
      </w:pPr>
    </w:p>
    <w:sectPr w:rsidR="00D979EA" w:rsidRPr="00A324EA" w:rsidSect="00852C1D">
      <w:headerReference w:type="default" r:id="rId9"/>
      <w:footerReference w:type="default" r:id="rId10"/>
      <w:pgSz w:w="12240" w:h="15840" w:code="1"/>
      <w:pgMar w:top="1440" w:right="1440" w:bottom="1440" w:left="1800" w:header="864" w:footer="720" w:gutter="0"/>
      <w:pgNumType w:start="1"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2C5" w:rsidRDefault="004312C5" w:rsidP="00D979EA">
      <w:r>
        <w:separator/>
      </w:r>
    </w:p>
  </w:endnote>
  <w:endnote w:type="continuationSeparator" w:id="0">
    <w:p w:rsidR="004312C5" w:rsidRDefault="004312C5"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reofidelic">
    <w:altName w:val="Courier New"/>
    <w:charset w:val="00"/>
    <w:family w:val="auto"/>
    <w:pitch w:val="variable"/>
    <w:sig w:usb0="00000001" w:usb1="0000000A" w:usb2="00000000" w:usb3="00000000" w:csb0="0000011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241" w:rsidRPr="0066134E" w:rsidRDefault="00A85241" w:rsidP="00D979EA">
    <w:pPr>
      <w:pStyle w:val="Footer"/>
    </w:pPr>
    <w:r w:rsidRPr="0066134E">
      <w:tab/>
    </w:r>
    <w:r w:rsidRPr="0066134E">
      <w:rPr>
        <w:rStyle w:val="PageNumber"/>
        <w:b/>
      </w:rPr>
      <w:tab/>
    </w:r>
    <w:r>
      <w:rPr>
        <w:rStyle w:val="PageNumber"/>
        <w:b/>
      </w:rPr>
      <w:t>Part B. Statistical Methods</w:t>
    </w:r>
    <w:r>
      <w:rPr>
        <w:rStyle w:val="PageNumber"/>
        <w:b/>
      </w:rPr>
      <w:t> </w:t>
    </w:r>
    <w:r>
      <w:rPr>
        <w:rStyle w:val="PageNumber"/>
        <w:rFonts w:cs="Arial"/>
        <w:b/>
      </w:rPr>
      <w:t>▌</w:t>
    </w:r>
    <w:r>
      <w:rPr>
        <w:rStyle w:val="PageNumber"/>
        <w:b/>
      </w:rPr>
      <w:t xml:space="preserve">pg. </w:t>
    </w:r>
    <w:r w:rsidR="002D2ACA" w:rsidRPr="002064D3">
      <w:rPr>
        <w:rStyle w:val="PageNumber"/>
        <w:b/>
        <w:color w:val="DA291C"/>
      </w:rPr>
      <w:fldChar w:fldCharType="begin"/>
    </w:r>
    <w:r w:rsidRPr="002064D3">
      <w:rPr>
        <w:rStyle w:val="PageNumber"/>
        <w:b/>
        <w:color w:val="DA291C"/>
      </w:rPr>
      <w:instrText xml:space="preserve"> PAGE   \* MERGEFORMAT </w:instrText>
    </w:r>
    <w:r w:rsidR="002D2ACA" w:rsidRPr="002064D3">
      <w:rPr>
        <w:rStyle w:val="PageNumber"/>
        <w:b/>
        <w:color w:val="DA291C"/>
      </w:rPr>
      <w:fldChar w:fldCharType="separate"/>
    </w:r>
    <w:r w:rsidR="00A50EB4">
      <w:rPr>
        <w:rStyle w:val="PageNumber"/>
        <w:b/>
        <w:noProof/>
        <w:color w:val="DA291C"/>
      </w:rPr>
      <w:t>6</w:t>
    </w:r>
    <w:r w:rsidR="002D2ACA"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2C5" w:rsidRDefault="004312C5" w:rsidP="00D979EA">
      <w:r>
        <w:separator/>
      </w:r>
    </w:p>
  </w:footnote>
  <w:footnote w:type="continuationSeparator" w:id="0">
    <w:p w:rsidR="004312C5" w:rsidRDefault="004312C5" w:rsidP="00D979EA">
      <w:r>
        <w:continuationSeparator/>
      </w:r>
    </w:p>
  </w:footnote>
  <w:footnote w:id="1">
    <w:p w:rsidR="00A85241" w:rsidRDefault="00A85241" w:rsidP="00A85241">
      <w:pPr>
        <w:pStyle w:val="FootnoteText"/>
      </w:pPr>
      <w:r>
        <w:rPr>
          <w:rStyle w:val="FootnoteReference"/>
        </w:rPr>
        <w:footnoteRef/>
      </w:r>
      <w:r>
        <w:t xml:space="preserve"> </w:t>
      </w:r>
      <w:r>
        <w:tab/>
        <w:t>Overall, 45 of 59 PHAs met the study’s high-performance and efficiency criteria, but 8 are likely to be too small for inclusion in the full study (less than 100 vouchers) and 2 dropped out. Another 4 PHAs may be too small for inclusion in the full study (less than 250 vouchers), but this is being tested in the study’s pretest.</w:t>
      </w:r>
    </w:p>
  </w:footnote>
  <w:footnote w:id="2">
    <w:p w:rsidR="00A85241" w:rsidRDefault="00A85241">
      <w:pPr>
        <w:pStyle w:val="FootnoteText"/>
      </w:pPr>
      <w:r>
        <w:rPr>
          <w:rStyle w:val="FootnoteReference"/>
        </w:rPr>
        <w:footnoteRef/>
      </w:r>
      <w:r>
        <w:t xml:space="preserve"> </w:t>
      </w:r>
      <w:r>
        <w:tab/>
      </w:r>
      <w:r w:rsidR="002E33D6">
        <w:t>At present, w</w:t>
      </w:r>
      <w:r>
        <w:t>e have enough smaller programs confirmed as high performers from the reconnaissance phase of the study.</w:t>
      </w:r>
      <w:r w:rsidR="002E33D6">
        <w:t xml:space="preserve"> However, depending on the results of the pretest we might determine that additional small programs are needed, in which case we will include smaller programs in the sampling universe.</w:t>
      </w:r>
    </w:p>
  </w:footnote>
  <w:footnote w:id="3">
    <w:p w:rsidR="00A85241" w:rsidRDefault="00A85241" w:rsidP="000B1271">
      <w:pPr>
        <w:pStyle w:val="FootnoteText"/>
      </w:pPr>
      <w:r>
        <w:rPr>
          <w:rStyle w:val="FootnoteReference"/>
        </w:rPr>
        <w:footnoteRef/>
      </w:r>
      <w:r>
        <w:t xml:space="preserve"> </w:t>
      </w:r>
      <w:r>
        <w:tab/>
        <w:t xml:space="preserve">For the 59 reconnaissance site visits, the study team asked a series of questions about program processes and cost drivers that are being used in the design of the full administrative fee study; these questions have been eliminated for the purposes of recruiting additional agencies to the study.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241" w:rsidRPr="00FA52D4" w:rsidRDefault="00A85241" w:rsidP="00FA52D4">
    <w:pPr>
      <w:pStyle w:val="Header"/>
    </w:pPr>
    <w:r>
      <w:t>Request for OMB Approval for Additional On-Site Data Collection for HCV Administrative Study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27E3"/>
    <w:multiLevelType w:val="hybridMultilevel"/>
    <w:tmpl w:val="E236B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C500E9"/>
    <w:multiLevelType w:val="hybridMultilevel"/>
    <w:tmpl w:val="799A921A"/>
    <w:lvl w:ilvl="0" w:tplc="0409000F">
      <w:start w:val="1"/>
      <w:numFmt w:val="decimal"/>
      <w:lvlText w:val="%1."/>
      <w:lvlJc w:val="left"/>
      <w:pPr>
        <w:tabs>
          <w:tab w:val="num" w:pos="360"/>
        </w:tabs>
        <w:ind w:left="360" w:hanging="360"/>
      </w:pPr>
      <w:rPr>
        <w:rFonts w:hint="default"/>
      </w:rPr>
    </w:lvl>
    <w:lvl w:ilvl="1" w:tplc="7500EE7A">
      <w:start w:val="1"/>
      <w:numFmt w:val="bullet"/>
      <w:lvlText w:val="–"/>
      <w:lvlJc w:val="left"/>
      <w:pPr>
        <w:tabs>
          <w:tab w:val="num" w:pos="1440"/>
        </w:tabs>
        <w:ind w:left="1440" w:hanging="360"/>
      </w:pPr>
      <w:rPr>
        <w:rFonts w:ascii="Stereofidelic" w:hAnsi="Stereofidelic" w:cs="Stereofidelic"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1F37488"/>
    <w:multiLevelType w:val="hybridMultilevel"/>
    <w:tmpl w:val="C178C81C"/>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4">
    <w:nsid w:val="07016FA1"/>
    <w:multiLevelType w:val="hybridMultilevel"/>
    <w:tmpl w:val="08922804"/>
    <w:lvl w:ilvl="0" w:tplc="A1327D78">
      <w:start w:val="21"/>
      <w:numFmt w:val="upperLetter"/>
      <w:lvlText w:val="%1.."/>
      <w:lvlJc w:val="left"/>
      <w:pPr>
        <w:tabs>
          <w:tab w:val="num" w:pos="1080"/>
        </w:tabs>
        <w:ind w:left="1080" w:hanging="720"/>
      </w:pPr>
      <w:rPr>
        <w:rFonts w:ascii="Arial Narrow" w:hAnsi="Arial Narrow" w:cs="Arial" w:hint="default"/>
        <w:b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AD23BE"/>
    <w:multiLevelType w:val="hybridMultilevel"/>
    <w:tmpl w:val="458C9A44"/>
    <w:lvl w:ilvl="0" w:tplc="418CF0D2">
      <w:start w:val="21"/>
      <w:numFmt w:val="upperLetter"/>
      <w:lvlText w:val="%1.."/>
      <w:lvlJc w:val="left"/>
      <w:pPr>
        <w:tabs>
          <w:tab w:val="num" w:pos="1080"/>
        </w:tabs>
        <w:ind w:left="1080" w:hanging="720"/>
      </w:pPr>
      <w:rPr>
        <w:rFonts w:ascii="Arial Narrow" w:hAnsi="Arial Narrow" w:cs="Arial" w:hint="default"/>
        <w:b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nsid w:val="22D578FF"/>
    <w:multiLevelType w:val="multilevel"/>
    <w:tmpl w:val="62D86C4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nsid w:val="24A224BB"/>
    <w:multiLevelType w:val="hybridMultilevel"/>
    <w:tmpl w:val="8A90314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9">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0">
    <w:nsid w:val="286D2724"/>
    <w:multiLevelType w:val="hybridMultilevel"/>
    <w:tmpl w:val="DC928918"/>
    <w:lvl w:ilvl="0" w:tplc="07A82C04">
      <w:start w:val="21"/>
      <w:numFmt w:val="upperLetter"/>
      <w:lvlText w:val="%1.."/>
      <w:lvlJc w:val="left"/>
      <w:pPr>
        <w:tabs>
          <w:tab w:val="num" w:pos="900"/>
        </w:tabs>
        <w:ind w:left="900" w:hanging="720"/>
      </w:pPr>
      <w:rPr>
        <w:rFonts w:ascii="Arial Narrow" w:hAnsi="Arial Narrow" w:cs="Arial" w:hint="default"/>
        <w:b w:val="0"/>
        <w:color w:val="000000"/>
        <w:sz w:val="2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nsid w:val="28ED429C"/>
    <w:multiLevelType w:val="hybridMultilevel"/>
    <w:tmpl w:val="2F50602C"/>
    <w:lvl w:ilvl="0" w:tplc="E4D41808">
      <w:start w:val="1"/>
      <w:numFmt w:val="bullet"/>
      <w:lvlText w:val=""/>
      <w:lvlJc w:val="left"/>
      <w:pPr>
        <w:tabs>
          <w:tab w:val="num" w:pos="720"/>
        </w:tabs>
        <w:ind w:left="720" w:hanging="360"/>
      </w:pPr>
      <w:rPr>
        <w:rFonts w:ascii="Symbol" w:hAnsi="Symbol" w:hint="default"/>
        <w:b/>
        <w:bCs/>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C6A11C1"/>
    <w:multiLevelType w:val="multilevel"/>
    <w:tmpl w:val="AA8094A0"/>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13">
    <w:nsid w:val="2E273932"/>
    <w:multiLevelType w:val="multilevel"/>
    <w:tmpl w:val="9FCCE6A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nsid w:val="2E8E4918"/>
    <w:multiLevelType w:val="hybridMultilevel"/>
    <w:tmpl w:val="BA640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DD176F"/>
    <w:multiLevelType w:val="hybridMultilevel"/>
    <w:tmpl w:val="62D86C48"/>
    <w:lvl w:ilvl="0" w:tplc="6D98F2B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33EB6C29"/>
    <w:multiLevelType w:val="hybridMultilevel"/>
    <w:tmpl w:val="5C1AE820"/>
    <w:lvl w:ilvl="0" w:tplc="27DEBE0C">
      <w:start w:val="1"/>
      <w:numFmt w:val="bullet"/>
      <w:lvlText w:val=""/>
      <w:lvlJc w:val="left"/>
      <w:pPr>
        <w:tabs>
          <w:tab w:val="num" w:pos="360"/>
        </w:tabs>
        <w:ind w:left="360" w:hanging="360"/>
      </w:pPr>
      <w:rPr>
        <w:rFonts w:ascii="Symbol" w:hAnsi="Symbol" w:hint="default"/>
        <w:color w:val="00008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57456EA"/>
    <w:multiLevelType w:val="singleLevel"/>
    <w:tmpl w:val="FF18F624"/>
    <w:lvl w:ilvl="0">
      <w:start w:val="1"/>
      <w:numFmt w:val="decimal"/>
      <w:lvlText w:val="%1."/>
      <w:lvlJc w:val="left"/>
      <w:pPr>
        <w:tabs>
          <w:tab w:val="num" w:pos="432"/>
        </w:tabs>
        <w:ind w:left="360" w:hanging="288"/>
      </w:pPr>
    </w:lvl>
  </w:abstractNum>
  <w:abstractNum w:abstractNumId="18">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B9220D6"/>
    <w:multiLevelType w:val="hybridMultilevel"/>
    <w:tmpl w:val="D2963CA6"/>
    <w:lvl w:ilvl="0" w:tplc="6D98F2B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3BAE3DE4"/>
    <w:multiLevelType w:val="hybridMultilevel"/>
    <w:tmpl w:val="0502797E"/>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2">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3">
    <w:nsid w:val="418A190A"/>
    <w:multiLevelType w:val="multilevel"/>
    <w:tmpl w:val="2EC83F1C"/>
    <w:lvl w:ilvl="0">
      <w:start w:val="1"/>
      <w:numFmt w:val="bullet"/>
      <w:lvlText w:val=""/>
      <w:lvlJc w:val="left"/>
      <w:pPr>
        <w:tabs>
          <w:tab w:val="num" w:pos="720"/>
        </w:tabs>
        <w:ind w:left="720" w:hanging="360"/>
      </w:pPr>
      <w:rPr>
        <w:rFonts w:ascii="Symbol" w:hAnsi="Symbol" w:hint="default"/>
        <w:b/>
        <w:bCs/>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42481441"/>
    <w:multiLevelType w:val="hybridMultilevel"/>
    <w:tmpl w:val="4D763F48"/>
    <w:lvl w:ilvl="0" w:tplc="27DEBE0C">
      <w:start w:val="1"/>
      <w:numFmt w:val="bullet"/>
      <w:lvlText w:val=""/>
      <w:lvlJc w:val="left"/>
      <w:pPr>
        <w:tabs>
          <w:tab w:val="num" w:pos="720"/>
        </w:tabs>
        <w:ind w:left="720" w:hanging="360"/>
      </w:pPr>
      <w:rPr>
        <w:rFonts w:ascii="Symbol" w:hAnsi="Symbol" w:hint="default"/>
        <w:b/>
        <w:bCs/>
        <w:color w:val="00008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57C5625"/>
    <w:multiLevelType w:val="multilevel"/>
    <w:tmpl w:val="16E81AB0"/>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800"/>
        </w:tabs>
        <w:ind w:left="1800" w:hanging="1800"/>
      </w:pPr>
      <w:rPr>
        <w:rFonts w:ascii="Arial Narrow" w:hAnsi="Arial Narrow" w:cs="Arial" w:hint="default"/>
        <w:b w:val="0"/>
        <w:color w:val="000000"/>
        <w:sz w:val="20"/>
      </w:rPr>
    </w:lvl>
  </w:abstractNum>
  <w:abstractNum w:abstractNumId="26">
    <w:nsid w:val="4A0E370F"/>
    <w:multiLevelType w:val="singleLevel"/>
    <w:tmpl w:val="B20018D2"/>
    <w:lvl w:ilvl="0">
      <w:start w:val="1"/>
      <w:numFmt w:val="decimal"/>
      <w:lvlText w:val="%1."/>
      <w:lvlJc w:val="left"/>
      <w:pPr>
        <w:tabs>
          <w:tab w:val="num" w:pos="1080"/>
        </w:tabs>
        <w:ind w:left="1080" w:hanging="360"/>
      </w:pPr>
    </w:lvl>
  </w:abstractNum>
  <w:abstractNum w:abstractNumId="27">
    <w:nsid w:val="4E9C69DD"/>
    <w:multiLevelType w:val="multilevel"/>
    <w:tmpl w:val="3E6ABEB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29">
    <w:nsid w:val="54075825"/>
    <w:multiLevelType w:val="multilevel"/>
    <w:tmpl w:val="C7D0FB74"/>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30">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31">
    <w:nsid w:val="5CC655C1"/>
    <w:multiLevelType w:val="hybridMultilevel"/>
    <w:tmpl w:val="2EC83F1C"/>
    <w:lvl w:ilvl="0" w:tplc="E4D41808">
      <w:start w:val="1"/>
      <w:numFmt w:val="bullet"/>
      <w:lvlText w:val=""/>
      <w:lvlJc w:val="left"/>
      <w:pPr>
        <w:tabs>
          <w:tab w:val="num" w:pos="720"/>
        </w:tabs>
        <w:ind w:left="720" w:hanging="360"/>
      </w:pPr>
      <w:rPr>
        <w:rFonts w:ascii="Symbol" w:hAnsi="Symbol" w:hint="default"/>
        <w:b/>
        <w:bCs/>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E4664DA"/>
    <w:multiLevelType w:val="hybridMultilevel"/>
    <w:tmpl w:val="789C5EFC"/>
    <w:lvl w:ilvl="0" w:tplc="27DEBE0C">
      <w:start w:val="1"/>
      <w:numFmt w:val="bullet"/>
      <w:lvlText w:val=""/>
      <w:lvlJc w:val="left"/>
      <w:pPr>
        <w:tabs>
          <w:tab w:val="num" w:pos="720"/>
        </w:tabs>
        <w:ind w:left="720" w:hanging="360"/>
      </w:pPr>
      <w:rPr>
        <w:rFonts w:ascii="Symbol" w:hAnsi="Symbol" w:hint="default"/>
        <w:b/>
        <w:bCs/>
        <w:color w:val="00008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2232C9E"/>
    <w:multiLevelType w:val="multilevel"/>
    <w:tmpl w:val="AA0ADFCA"/>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34">
    <w:nsid w:val="641C4989"/>
    <w:multiLevelType w:val="multilevel"/>
    <w:tmpl w:val="9FCCE6A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5">
    <w:nsid w:val="645F586D"/>
    <w:multiLevelType w:val="multilevel"/>
    <w:tmpl w:val="2A2C27AA"/>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36">
    <w:nsid w:val="6EE804F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8">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39">
    <w:nsid w:val="73054D15"/>
    <w:multiLevelType w:val="multilevel"/>
    <w:tmpl w:val="C7D0FB74"/>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40">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41">
    <w:nsid w:val="777769B3"/>
    <w:multiLevelType w:val="singleLevel"/>
    <w:tmpl w:val="0409000F"/>
    <w:lvl w:ilvl="0">
      <w:start w:val="1"/>
      <w:numFmt w:val="decimal"/>
      <w:lvlText w:val="%1."/>
      <w:lvlJc w:val="left"/>
      <w:pPr>
        <w:tabs>
          <w:tab w:val="num" w:pos="360"/>
        </w:tabs>
        <w:ind w:left="360" w:hanging="360"/>
      </w:pPr>
    </w:lvl>
  </w:abstractNum>
  <w:abstractNum w:abstractNumId="42">
    <w:nsid w:val="793F3B44"/>
    <w:multiLevelType w:val="hybridMultilevel"/>
    <w:tmpl w:val="AD66C504"/>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A05703F"/>
    <w:multiLevelType w:val="multilevel"/>
    <w:tmpl w:val="2F50602C"/>
    <w:lvl w:ilvl="0">
      <w:start w:val="1"/>
      <w:numFmt w:val="bullet"/>
      <w:lvlText w:val=""/>
      <w:lvlJc w:val="left"/>
      <w:pPr>
        <w:tabs>
          <w:tab w:val="num" w:pos="720"/>
        </w:tabs>
        <w:ind w:left="720" w:hanging="360"/>
      </w:pPr>
      <w:rPr>
        <w:rFonts w:ascii="Symbol" w:hAnsi="Symbol" w:hint="default"/>
        <w:b/>
        <w:bCs/>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7A167ECB"/>
    <w:multiLevelType w:val="multilevel"/>
    <w:tmpl w:val="AD66C504"/>
    <w:lvl w:ilvl="0">
      <w:start w:val="1"/>
      <w:numFmt w:val="bullet"/>
      <w:lvlText w:val=""/>
      <w:lvlJc w:val="left"/>
      <w:pPr>
        <w:tabs>
          <w:tab w:val="num" w:pos="720"/>
        </w:tabs>
        <w:ind w:left="720" w:hanging="360"/>
      </w:pPr>
      <w:rPr>
        <w:rFonts w:ascii="Symbol" w:hAnsi="Symbol" w:hint="default"/>
        <w:color w:val="00008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6">
    <w:nsid w:val="7B775495"/>
    <w:multiLevelType w:val="multilevel"/>
    <w:tmpl w:val="8D2EA8EC"/>
    <w:lvl w:ilvl="0">
      <w:start w:val="1"/>
      <w:numFmt w:val="bullet"/>
      <w:lvlText w:val=""/>
      <w:lvlJc w:val="left"/>
      <w:pPr>
        <w:tabs>
          <w:tab w:val="num" w:pos="720"/>
        </w:tabs>
        <w:ind w:left="720" w:hanging="360"/>
      </w:pPr>
      <w:rPr>
        <w:rFonts w:ascii="Symbol" w:hAnsi="Symbol" w:hint="default"/>
        <w:color w:val="006699"/>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nsid w:val="7CB041E7"/>
    <w:multiLevelType w:val="singleLevel"/>
    <w:tmpl w:val="0ADE279C"/>
    <w:lvl w:ilvl="0">
      <w:start w:val="1"/>
      <w:numFmt w:val="decimal"/>
      <w:lvlText w:val="%1."/>
      <w:lvlJc w:val="left"/>
      <w:pPr>
        <w:tabs>
          <w:tab w:val="num" w:pos="720"/>
        </w:tabs>
        <w:ind w:left="720" w:hanging="360"/>
      </w:pPr>
    </w:lvl>
  </w:abstractNum>
  <w:abstractNum w:abstractNumId="48">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8"/>
  </w:num>
  <w:num w:numId="3">
    <w:abstractNumId w:val="30"/>
  </w:num>
  <w:num w:numId="4">
    <w:abstractNumId w:val="21"/>
  </w:num>
  <w:num w:numId="5">
    <w:abstractNumId w:val="38"/>
  </w:num>
  <w:num w:numId="6">
    <w:abstractNumId w:val="47"/>
  </w:num>
  <w:num w:numId="7">
    <w:abstractNumId w:val="40"/>
  </w:num>
  <w:num w:numId="8">
    <w:abstractNumId w:val="26"/>
  </w:num>
  <w:num w:numId="9">
    <w:abstractNumId w:val="3"/>
  </w:num>
  <w:num w:numId="10">
    <w:abstractNumId w:val="41"/>
  </w:num>
  <w:num w:numId="11">
    <w:abstractNumId w:val="28"/>
  </w:num>
  <w:num w:numId="12">
    <w:abstractNumId w:val="6"/>
  </w:num>
  <w:num w:numId="13">
    <w:abstractNumId w:val="6"/>
  </w:num>
  <w:num w:numId="14">
    <w:abstractNumId w:val="9"/>
  </w:num>
  <w:num w:numId="15">
    <w:abstractNumId w:val="37"/>
  </w:num>
  <w:num w:numId="16">
    <w:abstractNumId w:val="45"/>
  </w:num>
  <w:num w:numId="17">
    <w:abstractNumId w:val="34"/>
  </w:num>
  <w:num w:numId="18">
    <w:abstractNumId w:val="0"/>
  </w:num>
  <w:num w:numId="19">
    <w:abstractNumId w:val="31"/>
  </w:num>
  <w:num w:numId="20">
    <w:abstractNumId w:val="11"/>
  </w:num>
  <w:num w:numId="21">
    <w:abstractNumId w:val="15"/>
  </w:num>
  <w:num w:numId="22">
    <w:abstractNumId w:val="19"/>
  </w:num>
  <w:num w:numId="23">
    <w:abstractNumId w:val="7"/>
  </w:num>
  <w:num w:numId="24">
    <w:abstractNumId w:val="16"/>
  </w:num>
  <w:num w:numId="25">
    <w:abstractNumId w:val="23"/>
  </w:num>
  <w:num w:numId="26">
    <w:abstractNumId w:val="24"/>
  </w:num>
  <w:num w:numId="27">
    <w:abstractNumId w:val="43"/>
  </w:num>
  <w:num w:numId="28">
    <w:abstractNumId w:val="32"/>
  </w:num>
  <w:num w:numId="29">
    <w:abstractNumId w:val="4"/>
  </w:num>
  <w:num w:numId="30">
    <w:abstractNumId w:val="25"/>
  </w:num>
  <w:num w:numId="31">
    <w:abstractNumId w:val="42"/>
  </w:num>
  <w:num w:numId="32">
    <w:abstractNumId w:val="44"/>
  </w:num>
  <w:num w:numId="33">
    <w:abstractNumId w:val="2"/>
  </w:num>
  <w:num w:numId="34">
    <w:abstractNumId w:val="20"/>
  </w:num>
  <w:num w:numId="35">
    <w:abstractNumId w:val="12"/>
  </w:num>
  <w:num w:numId="36">
    <w:abstractNumId w:val="10"/>
  </w:num>
  <w:num w:numId="37">
    <w:abstractNumId w:val="33"/>
  </w:num>
  <w:num w:numId="38">
    <w:abstractNumId w:val="39"/>
  </w:num>
  <w:num w:numId="39">
    <w:abstractNumId w:val="5"/>
  </w:num>
  <w:num w:numId="40">
    <w:abstractNumId w:val="35"/>
  </w:num>
  <w:num w:numId="41">
    <w:abstractNumId w:val="27"/>
  </w:num>
  <w:num w:numId="42">
    <w:abstractNumId w:val="29"/>
  </w:num>
  <w:num w:numId="43">
    <w:abstractNumId w:val="36"/>
  </w:num>
  <w:num w:numId="44">
    <w:abstractNumId w:val="22"/>
  </w:num>
  <w:num w:numId="45">
    <w:abstractNumId w:val="13"/>
  </w:num>
  <w:num w:numId="46">
    <w:abstractNumId w:val="48"/>
  </w:num>
  <w:num w:numId="47">
    <w:abstractNumId w:val="46"/>
  </w:num>
  <w:num w:numId="48">
    <w:abstractNumId w:val="1"/>
  </w:num>
  <w:num w:numId="49">
    <w:abstractNumId w:val="8"/>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activeWritingStyle w:appName="MSWord" w:lang="en-US" w:vendorID="8"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9697">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90B"/>
    <w:rsid w:val="00003A2C"/>
    <w:rsid w:val="00006B3A"/>
    <w:rsid w:val="000136F3"/>
    <w:rsid w:val="00016E17"/>
    <w:rsid w:val="0002216E"/>
    <w:rsid w:val="00040E00"/>
    <w:rsid w:val="00042534"/>
    <w:rsid w:val="00044352"/>
    <w:rsid w:val="00046728"/>
    <w:rsid w:val="000525E0"/>
    <w:rsid w:val="00053EEF"/>
    <w:rsid w:val="000543DC"/>
    <w:rsid w:val="00055022"/>
    <w:rsid w:val="0005750B"/>
    <w:rsid w:val="0006045E"/>
    <w:rsid w:val="0006587B"/>
    <w:rsid w:val="00070322"/>
    <w:rsid w:val="00082D01"/>
    <w:rsid w:val="00087856"/>
    <w:rsid w:val="000902AA"/>
    <w:rsid w:val="00095D40"/>
    <w:rsid w:val="000A00A2"/>
    <w:rsid w:val="000A1C6D"/>
    <w:rsid w:val="000A7D69"/>
    <w:rsid w:val="000B1271"/>
    <w:rsid w:val="000B33D1"/>
    <w:rsid w:val="000C0A39"/>
    <w:rsid w:val="000C3040"/>
    <w:rsid w:val="000D53F1"/>
    <w:rsid w:val="000D5777"/>
    <w:rsid w:val="000E226F"/>
    <w:rsid w:val="000E6B75"/>
    <w:rsid w:val="000F53F4"/>
    <w:rsid w:val="001034D7"/>
    <w:rsid w:val="00104376"/>
    <w:rsid w:val="00104F2A"/>
    <w:rsid w:val="00107A04"/>
    <w:rsid w:val="0011170B"/>
    <w:rsid w:val="001178CA"/>
    <w:rsid w:val="001307A5"/>
    <w:rsid w:val="00142369"/>
    <w:rsid w:val="00146A91"/>
    <w:rsid w:val="00152153"/>
    <w:rsid w:val="001552D1"/>
    <w:rsid w:val="00157E04"/>
    <w:rsid w:val="00160657"/>
    <w:rsid w:val="00160B87"/>
    <w:rsid w:val="001677DC"/>
    <w:rsid w:val="00172119"/>
    <w:rsid w:val="001A04CE"/>
    <w:rsid w:val="001A0E0A"/>
    <w:rsid w:val="001A23B5"/>
    <w:rsid w:val="001A403F"/>
    <w:rsid w:val="001A4633"/>
    <w:rsid w:val="001B4509"/>
    <w:rsid w:val="001C0891"/>
    <w:rsid w:val="001C10AF"/>
    <w:rsid w:val="001D4FDD"/>
    <w:rsid w:val="001E2CF1"/>
    <w:rsid w:val="00200E58"/>
    <w:rsid w:val="00202175"/>
    <w:rsid w:val="002064D3"/>
    <w:rsid w:val="002106BF"/>
    <w:rsid w:val="00210AEF"/>
    <w:rsid w:val="00216D18"/>
    <w:rsid w:val="002176B8"/>
    <w:rsid w:val="002216AD"/>
    <w:rsid w:val="00221D99"/>
    <w:rsid w:val="00223A9F"/>
    <w:rsid w:val="0022674D"/>
    <w:rsid w:val="00227977"/>
    <w:rsid w:val="0023449A"/>
    <w:rsid w:val="00235F88"/>
    <w:rsid w:val="00255975"/>
    <w:rsid w:val="002702F7"/>
    <w:rsid w:val="00273EAA"/>
    <w:rsid w:val="00276702"/>
    <w:rsid w:val="0028328D"/>
    <w:rsid w:val="002838F5"/>
    <w:rsid w:val="00285BB6"/>
    <w:rsid w:val="0029491C"/>
    <w:rsid w:val="002A4078"/>
    <w:rsid w:val="002A5CE0"/>
    <w:rsid w:val="002B2F3C"/>
    <w:rsid w:val="002C32AB"/>
    <w:rsid w:val="002C41F9"/>
    <w:rsid w:val="002C4495"/>
    <w:rsid w:val="002C5AC8"/>
    <w:rsid w:val="002C76AB"/>
    <w:rsid w:val="002D2ACA"/>
    <w:rsid w:val="002D4536"/>
    <w:rsid w:val="002E33D6"/>
    <w:rsid w:val="002F48C8"/>
    <w:rsid w:val="002F50D8"/>
    <w:rsid w:val="002F55CE"/>
    <w:rsid w:val="002F76F5"/>
    <w:rsid w:val="00314A8A"/>
    <w:rsid w:val="00324EC2"/>
    <w:rsid w:val="003279F2"/>
    <w:rsid w:val="00342BA9"/>
    <w:rsid w:val="003455BC"/>
    <w:rsid w:val="00354503"/>
    <w:rsid w:val="003623F0"/>
    <w:rsid w:val="00362727"/>
    <w:rsid w:val="00370164"/>
    <w:rsid w:val="003711CD"/>
    <w:rsid w:val="00380DB1"/>
    <w:rsid w:val="00383BFC"/>
    <w:rsid w:val="00384611"/>
    <w:rsid w:val="00384CA0"/>
    <w:rsid w:val="00384FAC"/>
    <w:rsid w:val="003870BA"/>
    <w:rsid w:val="00395A89"/>
    <w:rsid w:val="003A26D9"/>
    <w:rsid w:val="003A2FA8"/>
    <w:rsid w:val="003A3403"/>
    <w:rsid w:val="003B4770"/>
    <w:rsid w:val="003C20BF"/>
    <w:rsid w:val="003D5616"/>
    <w:rsid w:val="003E666B"/>
    <w:rsid w:val="003F3E19"/>
    <w:rsid w:val="004162AD"/>
    <w:rsid w:val="00423092"/>
    <w:rsid w:val="00423BCA"/>
    <w:rsid w:val="004253E8"/>
    <w:rsid w:val="00427EA9"/>
    <w:rsid w:val="004312C5"/>
    <w:rsid w:val="004319BC"/>
    <w:rsid w:val="004350B0"/>
    <w:rsid w:val="00436CE5"/>
    <w:rsid w:val="00470AB4"/>
    <w:rsid w:val="00472E16"/>
    <w:rsid w:val="004734DF"/>
    <w:rsid w:val="00486943"/>
    <w:rsid w:val="00495B91"/>
    <w:rsid w:val="004963F5"/>
    <w:rsid w:val="0049712C"/>
    <w:rsid w:val="004A5408"/>
    <w:rsid w:val="004C18DF"/>
    <w:rsid w:val="004C29E5"/>
    <w:rsid w:val="004C2B46"/>
    <w:rsid w:val="004C7528"/>
    <w:rsid w:val="004D4C6D"/>
    <w:rsid w:val="004E01A4"/>
    <w:rsid w:val="004F3FEF"/>
    <w:rsid w:val="004F6742"/>
    <w:rsid w:val="004F709B"/>
    <w:rsid w:val="00503049"/>
    <w:rsid w:val="00507EF0"/>
    <w:rsid w:val="00534B03"/>
    <w:rsid w:val="00534C33"/>
    <w:rsid w:val="00536DB4"/>
    <w:rsid w:val="0054025D"/>
    <w:rsid w:val="0055123E"/>
    <w:rsid w:val="00574572"/>
    <w:rsid w:val="0058381C"/>
    <w:rsid w:val="00585CA4"/>
    <w:rsid w:val="00597948"/>
    <w:rsid w:val="005B1AC5"/>
    <w:rsid w:val="005B6A25"/>
    <w:rsid w:val="005C4647"/>
    <w:rsid w:val="005C7344"/>
    <w:rsid w:val="005D1110"/>
    <w:rsid w:val="005E0CF2"/>
    <w:rsid w:val="005E2AEA"/>
    <w:rsid w:val="005E6B70"/>
    <w:rsid w:val="005F46DA"/>
    <w:rsid w:val="006122D8"/>
    <w:rsid w:val="0061247A"/>
    <w:rsid w:val="00615938"/>
    <w:rsid w:val="0063014E"/>
    <w:rsid w:val="006421D1"/>
    <w:rsid w:val="0065112D"/>
    <w:rsid w:val="0065272E"/>
    <w:rsid w:val="0066134E"/>
    <w:rsid w:val="006814BB"/>
    <w:rsid w:val="006840EB"/>
    <w:rsid w:val="0069342C"/>
    <w:rsid w:val="006A541C"/>
    <w:rsid w:val="006A5B3B"/>
    <w:rsid w:val="006B1DA6"/>
    <w:rsid w:val="006C7A4C"/>
    <w:rsid w:val="006D140B"/>
    <w:rsid w:val="006D406B"/>
    <w:rsid w:val="006E2B32"/>
    <w:rsid w:val="006F2B34"/>
    <w:rsid w:val="0070455C"/>
    <w:rsid w:val="007057ED"/>
    <w:rsid w:val="0070672F"/>
    <w:rsid w:val="007105A6"/>
    <w:rsid w:val="00715417"/>
    <w:rsid w:val="00726DD4"/>
    <w:rsid w:val="00730F56"/>
    <w:rsid w:val="00744E2C"/>
    <w:rsid w:val="00752119"/>
    <w:rsid w:val="00754408"/>
    <w:rsid w:val="007631C7"/>
    <w:rsid w:val="00763CCC"/>
    <w:rsid w:val="00765390"/>
    <w:rsid w:val="00776C72"/>
    <w:rsid w:val="0078258F"/>
    <w:rsid w:val="007846BC"/>
    <w:rsid w:val="00794B6E"/>
    <w:rsid w:val="007969A4"/>
    <w:rsid w:val="007A0114"/>
    <w:rsid w:val="007A3649"/>
    <w:rsid w:val="007B1321"/>
    <w:rsid w:val="007B1904"/>
    <w:rsid w:val="007D6370"/>
    <w:rsid w:val="007E092F"/>
    <w:rsid w:val="007E23AB"/>
    <w:rsid w:val="007E5EC0"/>
    <w:rsid w:val="0080098A"/>
    <w:rsid w:val="00801761"/>
    <w:rsid w:val="008111EB"/>
    <w:rsid w:val="008130C9"/>
    <w:rsid w:val="00813D02"/>
    <w:rsid w:val="00814833"/>
    <w:rsid w:val="0082033D"/>
    <w:rsid w:val="008222AD"/>
    <w:rsid w:val="0083104D"/>
    <w:rsid w:val="008349AE"/>
    <w:rsid w:val="00842BEE"/>
    <w:rsid w:val="00846D77"/>
    <w:rsid w:val="00852480"/>
    <w:rsid w:val="00852C1D"/>
    <w:rsid w:val="008535AC"/>
    <w:rsid w:val="00856632"/>
    <w:rsid w:val="00867308"/>
    <w:rsid w:val="00873A4D"/>
    <w:rsid w:val="00897969"/>
    <w:rsid w:val="008B0543"/>
    <w:rsid w:val="008C0888"/>
    <w:rsid w:val="008C3505"/>
    <w:rsid w:val="008D30EA"/>
    <w:rsid w:val="008D55C8"/>
    <w:rsid w:val="008E20DE"/>
    <w:rsid w:val="008F1770"/>
    <w:rsid w:val="009013C5"/>
    <w:rsid w:val="009061A4"/>
    <w:rsid w:val="00912E02"/>
    <w:rsid w:val="00942024"/>
    <w:rsid w:val="00944550"/>
    <w:rsid w:val="009550AD"/>
    <w:rsid w:val="009565D4"/>
    <w:rsid w:val="00967D7C"/>
    <w:rsid w:val="00977D73"/>
    <w:rsid w:val="0099262A"/>
    <w:rsid w:val="009A05F3"/>
    <w:rsid w:val="009B56DA"/>
    <w:rsid w:val="009B7CCD"/>
    <w:rsid w:val="009D13BB"/>
    <w:rsid w:val="009D50EB"/>
    <w:rsid w:val="009E1CEF"/>
    <w:rsid w:val="009E32F5"/>
    <w:rsid w:val="009E5CC3"/>
    <w:rsid w:val="009E6279"/>
    <w:rsid w:val="009F05C7"/>
    <w:rsid w:val="009F2649"/>
    <w:rsid w:val="009F704C"/>
    <w:rsid w:val="00A0215D"/>
    <w:rsid w:val="00A06666"/>
    <w:rsid w:val="00A105E0"/>
    <w:rsid w:val="00A3018B"/>
    <w:rsid w:val="00A3128D"/>
    <w:rsid w:val="00A324EA"/>
    <w:rsid w:val="00A33A46"/>
    <w:rsid w:val="00A45B43"/>
    <w:rsid w:val="00A4794A"/>
    <w:rsid w:val="00A50EB4"/>
    <w:rsid w:val="00A533DE"/>
    <w:rsid w:val="00A53E2B"/>
    <w:rsid w:val="00A74BC9"/>
    <w:rsid w:val="00A817CE"/>
    <w:rsid w:val="00A85241"/>
    <w:rsid w:val="00A928FA"/>
    <w:rsid w:val="00AA7B0B"/>
    <w:rsid w:val="00AB32CF"/>
    <w:rsid w:val="00AB6C7C"/>
    <w:rsid w:val="00AC59EB"/>
    <w:rsid w:val="00AD2235"/>
    <w:rsid w:val="00AF2E71"/>
    <w:rsid w:val="00B02599"/>
    <w:rsid w:val="00B13946"/>
    <w:rsid w:val="00B14060"/>
    <w:rsid w:val="00B16B3C"/>
    <w:rsid w:val="00B25EE3"/>
    <w:rsid w:val="00B269D4"/>
    <w:rsid w:val="00B327D7"/>
    <w:rsid w:val="00B3357C"/>
    <w:rsid w:val="00B34D8F"/>
    <w:rsid w:val="00B539D6"/>
    <w:rsid w:val="00B61C4A"/>
    <w:rsid w:val="00B61EC9"/>
    <w:rsid w:val="00B65E03"/>
    <w:rsid w:val="00B679AD"/>
    <w:rsid w:val="00B7744A"/>
    <w:rsid w:val="00B82D4D"/>
    <w:rsid w:val="00B84B51"/>
    <w:rsid w:val="00B87EE6"/>
    <w:rsid w:val="00B9260A"/>
    <w:rsid w:val="00B96ABD"/>
    <w:rsid w:val="00BC6345"/>
    <w:rsid w:val="00BF18DC"/>
    <w:rsid w:val="00C04B4F"/>
    <w:rsid w:val="00C13DE2"/>
    <w:rsid w:val="00C14408"/>
    <w:rsid w:val="00C14776"/>
    <w:rsid w:val="00C17F58"/>
    <w:rsid w:val="00C307E7"/>
    <w:rsid w:val="00C34A92"/>
    <w:rsid w:val="00C35829"/>
    <w:rsid w:val="00C370A7"/>
    <w:rsid w:val="00C57E90"/>
    <w:rsid w:val="00C62F1C"/>
    <w:rsid w:val="00C6380F"/>
    <w:rsid w:val="00C66620"/>
    <w:rsid w:val="00C744A3"/>
    <w:rsid w:val="00C809DB"/>
    <w:rsid w:val="00C81DB5"/>
    <w:rsid w:val="00C900FF"/>
    <w:rsid w:val="00CA25E3"/>
    <w:rsid w:val="00CB3FC8"/>
    <w:rsid w:val="00CB442A"/>
    <w:rsid w:val="00CC21CF"/>
    <w:rsid w:val="00CC654C"/>
    <w:rsid w:val="00CD4B2E"/>
    <w:rsid w:val="00CD4DE4"/>
    <w:rsid w:val="00CD6527"/>
    <w:rsid w:val="00CD6B3F"/>
    <w:rsid w:val="00CF3E63"/>
    <w:rsid w:val="00CF561E"/>
    <w:rsid w:val="00D143BA"/>
    <w:rsid w:val="00D20DD2"/>
    <w:rsid w:val="00D23E30"/>
    <w:rsid w:val="00D34EEE"/>
    <w:rsid w:val="00D37BAF"/>
    <w:rsid w:val="00D51B1E"/>
    <w:rsid w:val="00D94DF4"/>
    <w:rsid w:val="00D96598"/>
    <w:rsid w:val="00D979EA"/>
    <w:rsid w:val="00DA02B9"/>
    <w:rsid w:val="00DA42EA"/>
    <w:rsid w:val="00DA7FEA"/>
    <w:rsid w:val="00DB0A0A"/>
    <w:rsid w:val="00DB269B"/>
    <w:rsid w:val="00DC02B5"/>
    <w:rsid w:val="00DC3EE5"/>
    <w:rsid w:val="00DD27D1"/>
    <w:rsid w:val="00DE221A"/>
    <w:rsid w:val="00DE2334"/>
    <w:rsid w:val="00DE5C1E"/>
    <w:rsid w:val="00DF68F0"/>
    <w:rsid w:val="00DF6CDE"/>
    <w:rsid w:val="00E0113D"/>
    <w:rsid w:val="00E039CB"/>
    <w:rsid w:val="00E1423B"/>
    <w:rsid w:val="00E317E1"/>
    <w:rsid w:val="00E33231"/>
    <w:rsid w:val="00E6186E"/>
    <w:rsid w:val="00E62DAB"/>
    <w:rsid w:val="00E641FC"/>
    <w:rsid w:val="00E7286E"/>
    <w:rsid w:val="00E72F03"/>
    <w:rsid w:val="00E7429A"/>
    <w:rsid w:val="00E752B0"/>
    <w:rsid w:val="00E75D89"/>
    <w:rsid w:val="00E84434"/>
    <w:rsid w:val="00EA0512"/>
    <w:rsid w:val="00EB30F5"/>
    <w:rsid w:val="00EB5C8B"/>
    <w:rsid w:val="00EC3CC1"/>
    <w:rsid w:val="00EC47CA"/>
    <w:rsid w:val="00ED263C"/>
    <w:rsid w:val="00ED2A92"/>
    <w:rsid w:val="00ED503D"/>
    <w:rsid w:val="00EE11FD"/>
    <w:rsid w:val="00EE1D07"/>
    <w:rsid w:val="00EE4B55"/>
    <w:rsid w:val="00F13235"/>
    <w:rsid w:val="00F1494E"/>
    <w:rsid w:val="00F15B2A"/>
    <w:rsid w:val="00F23798"/>
    <w:rsid w:val="00F260AC"/>
    <w:rsid w:val="00F26DFB"/>
    <w:rsid w:val="00F27043"/>
    <w:rsid w:val="00F326BB"/>
    <w:rsid w:val="00F32C54"/>
    <w:rsid w:val="00F32E6E"/>
    <w:rsid w:val="00F4263A"/>
    <w:rsid w:val="00F47E96"/>
    <w:rsid w:val="00F50A3A"/>
    <w:rsid w:val="00F5490B"/>
    <w:rsid w:val="00F62A1E"/>
    <w:rsid w:val="00F64DB9"/>
    <w:rsid w:val="00F65513"/>
    <w:rsid w:val="00F74D41"/>
    <w:rsid w:val="00F85399"/>
    <w:rsid w:val="00F93183"/>
    <w:rsid w:val="00FA035F"/>
    <w:rsid w:val="00FA52D4"/>
    <w:rsid w:val="00FA686C"/>
    <w:rsid w:val="00FA6932"/>
    <w:rsid w:val="00FB3972"/>
    <w:rsid w:val="00FB70DE"/>
    <w:rsid w:val="00FC2BD1"/>
    <w:rsid w:val="00FD17C2"/>
    <w:rsid w:val="00FD2129"/>
    <w:rsid w:val="00FD634F"/>
    <w:rsid w:val="00FE0A7C"/>
    <w:rsid w:val="00FE2611"/>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5CC3"/>
    <w:pPr>
      <w:spacing w:line="264" w:lineRule="auto"/>
    </w:pPr>
    <w:rPr>
      <w:sz w:val="22"/>
    </w:rPr>
  </w:style>
  <w:style w:type="paragraph" w:styleId="Heading1">
    <w:name w:val="heading 1"/>
    <w:basedOn w:val="Normal"/>
    <w:next w:val="BodyText"/>
    <w:qFormat/>
    <w:rsid w:val="000B1271"/>
    <w:pPr>
      <w:keepNext/>
      <w:keepLines/>
      <w:pageBreakBefore/>
      <w:pBdr>
        <w:top w:val="single" w:sz="6" w:space="3" w:color="DA291C"/>
        <w:bottom w:val="single" w:sz="6" w:space="3" w:color="DA291C"/>
      </w:pBdr>
      <w:shd w:val="clear" w:color="auto" w:fill="DA291C"/>
      <w:tabs>
        <w:tab w:val="left" w:pos="1440"/>
      </w:tabs>
      <w:spacing w:after="240"/>
      <w:ind w:left="1440" w:hanging="1440"/>
      <w:outlineLvl w:val="0"/>
    </w:pPr>
    <w:rPr>
      <w:rFonts w:ascii="Arial" w:hAnsi="Arial"/>
      <w:b/>
      <w:color w:val="FFFFFF"/>
      <w:kern w:val="28"/>
      <w:sz w:val="28"/>
    </w:rPr>
  </w:style>
  <w:style w:type="paragraph" w:styleId="Heading2">
    <w:name w:val="heading 2"/>
    <w:basedOn w:val="Normal"/>
    <w:next w:val="BodyText"/>
    <w:qFormat/>
    <w:rsid w:val="000B1271"/>
    <w:pPr>
      <w:keepNext/>
      <w:pBdr>
        <w:top w:val="single" w:sz="6" w:space="1" w:color="D0D3D4"/>
        <w:bottom w:val="single" w:sz="6" w:space="1" w:color="D0D3D4"/>
      </w:pBdr>
      <w:shd w:val="clear" w:color="auto" w:fill="D0D3D4"/>
      <w:tabs>
        <w:tab w:val="left" w:pos="720"/>
      </w:tabs>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qFormat/>
    <w:rsid w:val="000B1271"/>
    <w:pPr>
      <w:keepNext/>
      <w:spacing w:before="60" w:after="120"/>
      <w:outlineLvl w:val="2"/>
    </w:pPr>
    <w:rPr>
      <w:rFonts w:ascii="Arial" w:hAnsi="Arial"/>
      <w:b/>
      <w:color w:val="DA291C"/>
      <w:sz w:val="20"/>
    </w:rPr>
  </w:style>
  <w:style w:type="paragraph" w:styleId="Heading4">
    <w:name w:val="heading 4"/>
    <w:basedOn w:val="Normal"/>
    <w:next w:val="BodyText"/>
    <w:qFormat/>
    <w:rsid w:val="009E5CC3"/>
    <w:pPr>
      <w:keepNext/>
      <w:numPr>
        <w:ilvl w:val="3"/>
        <w:numId w:val="44"/>
      </w:numPr>
      <w:spacing w:before="60" w:after="60"/>
      <w:outlineLvl w:val="3"/>
    </w:pPr>
    <w:rPr>
      <w:b/>
      <w:i/>
    </w:rPr>
  </w:style>
  <w:style w:type="paragraph" w:styleId="Heading5">
    <w:name w:val="heading 5"/>
    <w:basedOn w:val="Normal"/>
    <w:next w:val="BodyText"/>
    <w:qFormat/>
    <w:rsid w:val="001034D7"/>
    <w:pPr>
      <w:keepNext/>
      <w:keepLines/>
      <w:numPr>
        <w:ilvl w:val="4"/>
        <w:numId w:val="44"/>
      </w:numPr>
      <w:spacing w:before="60" w:after="120"/>
      <w:outlineLvl w:val="4"/>
    </w:pPr>
    <w:rPr>
      <w:b/>
      <w:i/>
      <w:color w:val="DA291C"/>
    </w:rPr>
  </w:style>
  <w:style w:type="paragraph" w:styleId="Heading6">
    <w:name w:val="heading 6"/>
    <w:basedOn w:val="Normal"/>
    <w:next w:val="Normal"/>
    <w:qFormat/>
    <w:rsid w:val="00495B91"/>
    <w:pPr>
      <w:numPr>
        <w:ilvl w:val="5"/>
        <w:numId w:val="44"/>
      </w:numPr>
      <w:spacing w:before="60" w:after="60"/>
      <w:outlineLvl w:val="5"/>
    </w:pPr>
    <w:rPr>
      <w:b/>
      <w:bCs/>
      <w:szCs w:val="22"/>
    </w:rPr>
  </w:style>
  <w:style w:type="paragraph" w:styleId="Heading7">
    <w:name w:val="heading 7"/>
    <w:basedOn w:val="Normal"/>
    <w:next w:val="Normal"/>
    <w:qFormat/>
    <w:rsid w:val="003A3403"/>
    <w:pPr>
      <w:numPr>
        <w:ilvl w:val="6"/>
        <w:numId w:val="44"/>
      </w:numPr>
      <w:spacing w:before="240" w:after="60"/>
      <w:outlineLvl w:val="6"/>
    </w:pPr>
    <w:rPr>
      <w:sz w:val="24"/>
      <w:szCs w:val="24"/>
    </w:rPr>
  </w:style>
  <w:style w:type="paragraph" w:styleId="Heading8">
    <w:name w:val="heading 8"/>
    <w:basedOn w:val="Normal"/>
    <w:next w:val="Normal"/>
    <w:qFormat/>
    <w:rsid w:val="003A3403"/>
    <w:pPr>
      <w:numPr>
        <w:ilvl w:val="7"/>
        <w:numId w:val="44"/>
      </w:numPr>
      <w:spacing w:before="240" w:after="60"/>
      <w:outlineLvl w:val="7"/>
    </w:pPr>
    <w:rPr>
      <w:i/>
      <w:iCs/>
      <w:sz w:val="24"/>
      <w:szCs w:val="24"/>
    </w:rPr>
  </w:style>
  <w:style w:type="paragraph" w:styleId="Heading9">
    <w:name w:val="heading 9"/>
    <w:basedOn w:val="Normal"/>
    <w:next w:val="Normal"/>
    <w:qFormat/>
    <w:rsid w:val="003A3403"/>
    <w:pPr>
      <w:numPr>
        <w:ilvl w:val="8"/>
        <w:numId w:val="4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dy Text Char1,heading3 Char Char,Body Text - Level 2 Char Char,Body Text1 Char Char,Starbucks Body Text Char Char,bt Char Char,body text Char Char,3 indent Char Char,heading31 Char Char,body text1 Char Char,BT,bt,bold"/>
    <w:basedOn w:val="Normal"/>
    <w:link w:val="BodyTextChar"/>
    <w:rsid w:val="0005750B"/>
  </w:style>
  <w:style w:type="character" w:customStyle="1" w:styleId="BodyTextChar">
    <w:name w:val="Body Text Char"/>
    <w:aliases w:val="bullet3 Char,Body Text Char1 Char,heading3 Char Char Char,Body Text - Level 2 Char Char Char,Body Text1 Char Char Char,Starbucks Body Text Char Char Char,bt Char Char Char,body text Char Char Char,3 indent Char Char Char,BT Char,b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9E5CC3"/>
    <w:pPr>
      <w:spacing w:after="0"/>
    </w:pPr>
  </w:style>
  <w:style w:type="paragraph" w:customStyle="1" w:styleId="Bullets">
    <w:name w:val="Bullets"/>
    <w:basedOn w:val="BodyText"/>
    <w:rsid w:val="001034D7"/>
    <w:pPr>
      <w:numPr>
        <w:numId w:val="16"/>
      </w:numPr>
      <w:spacing w:after="120"/>
    </w:pPr>
  </w:style>
  <w:style w:type="paragraph" w:customStyle="1" w:styleId="RefNumbers">
    <w:name w:val="Ref Numbers"/>
    <w:basedOn w:val="BodyText"/>
    <w:pPr>
      <w:numPr>
        <w:numId w:val="15"/>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4"/>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852C1D"/>
    <w:pPr>
      <w:pBdr>
        <w:top w:val="single" w:sz="2" w:space="2" w:color="DA291C"/>
        <w:bottom w:val="single" w:sz="2" w:space="2" w:color="DA291C"/>
      </w:pBdr>
      <w:shd w:val="clear" w:color="auto" w:fill="DA291C"/>
      <w:tabs>
        <w:tab w:val="left" w:pos="1170"/>
      </w:tabs>
      <w:spacing w:after="240"/>
    </w:pPr>
    <w:rPr>
      <w:rFonts w:ascii="Arial Bold" w:hAnsi="Arial Bold"/>
      <w:b/>
      <w:color w:val="FFFFFF"/>
      <w:sz w:val="24"/>
      <w:szCs w:val="24"/>
    </w:rPr>
  </w:style>
  <w:style w:type="paragraph" w:styleId="Caption">
    <w:name w:val="caption"/>
    <w:basedOn w:val="Normal"/>
    <w:next w:val="Normal"/>
    <w:qFormat/>
    <w:rsid w:val="009E5CC3"/>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46"/>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Normal"/>
    <w:next w:val="Normal"/>
    <w:rsid w:val="000B1271"/>
    <w:pPr>
      <w:keepNext/>
      <w:keepLines/>
      <w:tabs>
        <w:tab w:val="left" w:pos="2160"/>
      </w:tabs>
      <w:spacing w:after="360"/>
      <w:outlineLvl w:val="0"/>
    </w:pPr>
    <w:rPr>
      <w:rFonts w:ascii="Arial" w:hAnsi="Arial" w:cs="Arial"/>
      <w:b/>
      <w:sz w:val="36"/>
    </w:rPr>
  </w:style>
  <w:style w:type="paragraph" w:customStyle="1" w:styleId="AbtHeadB">
    <w:name w:val="AbtHead B"/>
    <w:basedOn w:val="Normal"/>
    <w:next w:val="Normal"/>
    <w:link w:val="AbtHeadBChar"/>
    <w:rsid w:val="000B1271"/>
    <w:pPr>
      <w:keepNext/>
      <w:keepLines/>
      <w:tabs>
        <w:tab w:val="left" w:pos="720"/>
        <w:tab w:val="left" w:pos="1080"/>
        <w:tab w:val="left" w:pos="1440"/>
        <w:tab w:val="left" w:pos="1800"/>
      </w:tabs>
      <w:spacing w:after="280"/>
      <w:ind w:left="720" w:hanging="720"/>
      <w:outlineLvl w:val="1"/>
    </w:pPr>
    <w:rPr>
      <w:rFonts w:ascii="Arial" w:hAnsi="Arial" w:cs="Arial"/>
      <w:b/>
      <w:sz w:val="28"/>
    </w:rPr>
  </w:style>
  <w:style w:type="paragraph" w:customStyle="1" w:styleId="AbtHeadC">
    <w:name w:val="AbtHead C"/>
    <w:basedOn w:val="Normal"/>
    <w:next w:val="Normal"/>
    <w:link w:val="AbtHeadCChar"/>
    <w:rsid w:val="000B1271"/>
    <w:pPr>
      <w:keepNext/>
      <w:keepLines/>
      <w:tabs>
        <w:tab w:val="left" w:pos="720"/>
        <w:tab w:val="left" w:pos="1080"/>
        <w:tab w:val="left" w:pos="1440"/>
        <w:tab w:val="left" w:pos="1800"/>
      </w:tabs>
      <w:spacing w:after="240"/>
      <w:outlineLvl w:val="2"/>
    </w:pPr>
    <w:rPr>
      <w:rFonts w:ascii="Arial" w:hAnsi="Arial" w:cs="Arial"/>
      <w:b/>
    </w:rPr>
  </w:style>
  <w:style w:type="paragraph" w:customStyle="1" w:styleId="AbtHeadD">
    <w:name w:val="AbtHead D"/>
    <w:basedOn w:val="Normal"/>
    <w:next w:val="Normal"/>
    <w:rsid w:val="000B1271"/>
    <w:pPr>
      <w:keepNext/>
      <w:keepLines/>
      <w:tabs>
        <w:tab w:val="left" w:pos="720"/>
        <w:tab w:val="left" w:pos="1080"/>
        <w:tab w:val="left" w:pos="1440"/>
        <w:tab w:val="left" w:pos="1800"/>
      </w:tabs>
      <w:outlineLvl w:val="3"/>
    </w:pPr>
    <w:rPr>
      <w:b/>
      <w:i/>
    </w:rPr>
  </w:style>
  <w:style w:type="paragraph" w:customStyle="1" w:styleId="ExhibitTitle">
    <w:name w:val="ExhibitTitle"/>
    <w:basedOn w:val="Normal"/>
    <w:next w:val="Normal"/>
    <w:rsid w:val="000B1271"/>
    <w:pPr>
      <w:keepNext/>
      <w:tabs>
        <w:tab w:val="left" w:pos="720"/>
        <w:tab w:val="left" w:pos="1080"/>
        <w:tab w:val="left" w:pos="1440"/>
        <w:tab w:val="left" w:pos="1800"/>
      </w:tabs>
      <w:spacing w:after="120"/>
    </w:pPr>
    <w:rPr>
      <w:rFonts w:ascii="Arial" w:hAnsi="Arial" w:cs="Arial"/>
      <w:b/>
      <w:bCs/>
      <w:sz w:val="20"/>
    </w:rPr>
  </w:style>
  <w:style w:type="character" w:customStyle="1" w:styleId="AbtHeadCChar">
    <w:name w:val="AbtHead C Char"/>
    <w:link w:val="AbtHeadC"/>
    <w:rsid w:val="000B1271"/>
    <w:rPr>
      <w:rFonts w:ascii="Arial" w:hAnsi="Arial" w:cs="Arial"/>
      <w:b/>
      <w:sz w:val="22"/>
    </w:rPr>
  </w:style>
  <w:style w:type="character" w:customStyle="1" w:styleId="AbtHeadBChar">
    <w:name w:val="AbtHead B Char"/>
    <w:link w:val="AbtHeadB"/>
    <w:rsid w:val="000B1271"/>
    <w:rPr>
      <w:rFonts w:ascii="Arial" w:hAnsi="Arial" w:cs="Arial"/>
      <w:b/>
      <w:sz w:val="28"/>
    </w:rPr>
  </w:style>
  <w:style w:type="paragraph" w:styleId="ListParagraph">
    <w:name w:val="List Paragraph"/>
    <w:basedOn w:val="Normal"/>
    <w:uiPriority w:val="34"/>
    <w:qFormat/>
    <w:rsid w:val="000B1271"/>
    <w:pPr>
      <w:spacing w:line="240" w:lineRule="auto"/>
      <w:ind w:left="720"/>
    </w:pPr>
    <w:rPr>
      <w:rFonts w:ascii="Calibri" w:eastAsia="Calibri" w:hAnsi="Calibri" w:cs="Calibri"/>
      <w:szCs w:val="22"/>
    </w:rPr>
  </w:style>
  <w:style w:type="paragraph" w:styleId="Revision">
    <w:name w:val="Revision"/>
    <w:hidden/>
    <w:uiPriority w:val="99"/>
    <w:semiHidden/>
    <w:rsid w:val="00B84B51"/>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5CC3"/>
    <w:pPr>
      <w:spacing w:line="264" w:lineRule="auto"/>
    </w:pPr>
    <w:rPr>
      <w:sz w:val="22"/>
    </w:rPr>
  </w:style>
  <w:style w:type="paragraph" w:styleId="Heading1">
    <w:name w:val="heading 1"/>
    <w:basedOn w:val="Normal"/>
    <w:next w:val="BodyText"/>
    <w:qFormat/>
    <w:rsid w:val="000B1271"/>
    <w:pPr>
      <w:keepNext/>
      <w:keepLines/>
      <w:pageBreakBefore/>
      <w:pBdr>
        <w:top w:val="single" w:sz="6" w:space="3" w:color="DA291C"/>
        <w:bottom w:val="single" w:sz="6" w:space="3" w:color="DA291C"/>
      </w:pBdr>
      <w:shd w:val="clear" w:color="auto" w:fill="DA291C"/>
      <w:tabs>
        <w:tab w:val="left" w:pos="1440"/>
      </w:tabs>
      <w:spacing w:after="240"/>
      <w:ind w:left="1440" w:hanging="1440"/>
      <w:outlineLvl w:val="0"/>
    </w:pPr>
    <w:rPr>
      <w:rFonts w:ascii="Arial" w:hAnsi="Arial"/>
      <w:b/>
      <w:color w:val="FFFFFF"/>
      <w:kern w:val="28"/>
      <w:sz w:val="28"/>
    </w:rPr>
  </w:style>
  <w:style w:type="paragraph" w:styleId="Heading2">
    <w:name w:val="heading 2"/>
    <w:basedOn w:val="Normal"/>
    <w:next w:val="BodyText"/>
    <w:qFormat/>
    <w:rsid w:val="000B1271"/>
    <w:pPr>
      <w:keepNext/>
      <w:pBdr>
        <w:top w:val="single" w:sz="6" w:space="1" w:color="D0D3D4"/>
        <w:bottom w:val="single" w:sz="6" w:space="1" w:color="D0D3D4"/>
      </w:pBdr>
      <w:shd w:val="clear" w:color="auto" w:fill="D0D3D4"/>
      <w:tabs>
        <w:tab w:val="left" w:pos="720"/>
      </w:tabs>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qFormat/>
    <w:rsid w:val="000B1271"/>
    <w:pPr>
      <w:keepNext/>
      <w:spacing w:before="60" w:after="120"/>
      <w:outlineLvl w:val="2"/>
    </w:pPr>
    <w:rPr>
      <w:rFonts w:ascii="Arial" w:hAnsi="Arial"/>
      <w:b/>
      <w:color w:val="DA291C"/>
      <w:sz w:val="20"/>
    </w:rPr>
  </w:style>
  <w:style w:type="paragraph" w:styleId="Heading4">
    <w:name w:val="heading 4"/>
    <w:basedOn w:val="Normal"/>
    <w:next w:val="BodyText"/>
    <w:qFormat/>
    <w:rsid w:val="009E5CC3"/>
    <w:pPr>
      <w:keepNext/>
      <w:numPr>
        <w:ilvl w:val="3"/>
        <w:numId w:val="44"/>
      </w:numPr>
      <w:spacing w:before="60" w:after="60"/>
      <w:outlineLvl w:val="3"/>
    </w:pPr>
    <w:rPr>
      <w:b/>
      <w:i/>
    </w:rPr>
  </w:style>
  <w:style w:type="paragraph" w:styleId="Heading5">
    <w:name w:val="heading 5"/>
    <w:basedOn w:val="Normal"/>
    <w:next w:val="BodyText"/>
    <w:qFormat/>
    <w:rsid w:val="001034D7"/>
    <w:pPr>
      <w:keepNext/>
      <w:keepLines/>
      <w:numPr>
        <w:ilvl w:val="4"/>
        <w:numId w:val="44"/>
      </w:numPr>
      <w:spacing w:before="60" w:after="120"/>
      <w:outlineLvl w:val="4"/>
    </w:pPr>
    <w:rPr>
      <w:b/>
      <w:i/>
      <w:color w:val="DA291C"/>
    </w:rPr>
  </w:style>
  <w:style w:type="paragraph" w:styleId="Heading6">
    <w:name w:val="heading 6"/>
    <w:basedOn w:val="Normal"/>
    <w:next w:val="Normal"/>
    <w:qFormat/>
    <w:rsid w:val="00495B91"/>
    <w:pPr>
      <w:numPr>
        <w:ilvl w:val="5"/>
        <w:numId w:val="44"/>
      </w:numPr>
      <w:spacing w:before="60" w:after="60"/>
      <w:outlineLvl w:val="5"/>
    </w:pPr>
    <w:rPr>
      <w:b/>
      <w:bCs/>
      <w:szCs w:val="22"/>
    </w:rPr>
  </w:style>
  <w:style w:type="paragraph" w:styleId="Heading7">
    <w:name w:val="heading 7"/>
    <w:basedOn w:val="Normal"/>
    <w:next w:val="Normal"/>
    <w:qFormat/>
    <w:rsid w:val="003A3403"/>
    <w:pPr>
      <w:numPr>
        <w:ilvl w:val="6"/>
        <w:numId w:val="44"/>
      </w:numPr>
      <w:spacing w:before="240" w:after="60"/>
      <w:outlineLvl w:val="6"/>
    </w:pPr>
    <w:rPr>
      <w:sz w:val="24"/>
      <w:szCs w:val="24"/>
    </w:rPr>
  </w:style>
  <w:style w:type="paragraph" w:styleId="Heading8">
    <w:name w:val="heading 8"/>
    <w:basedOn w:val="Normal"/>
    <w:next w:val="Normal"/>
    <w:qFormat/>
    <w:rsid w:val="003A3403"/>
    <w:pPr>
      <w:numPr>
        <w:ilvl w:val="7"/>
        <w:numId w:val="44"/>
      </w:numPr>
      <w:spacing w:before="240" w:after="60"/>
      <w:outlineLvl w:val="7"/>
    </w:pPr>
    <w:rPr>
      <w:i/>
      <w:iCs/>
      <w:sz w:val="24"/>
      <w:szCs w:val="24"/>
    </w:rPr>
  </w:style>
  <w:style w:type="paragraph" w:styleId="Heading9">
    <w:name w:val="heading 9"/>
    <w:basedOn w:val="Normal"/>
    <w:next w:val="Normal"/>
    <w:qFormat/>
    <w:rsid w:val="003A3403"/>
    <w:pPr>
      <w:numPr>
        <w:ilvl w:val="8"/>
        <w:numId w:val="4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dy Text Char1,heading3 Char Char,Body Text - Level 2 Char Char,Body Text1 Char Char,Starbucks Body Text Char Char,bt Char Char,body text Char Char,3 indent Char Char,heading31 Char Char,body text1 Char Char,BT,bt,bold"/>
    <w:basedOn w:val="Normal"/>
    <w:link w:val="BodyTextChar"/>
    <w:rsid w:val="0005750B"/>
  </w:style>
  <w:style w:type="character" w:customStyle="1" w:styleId="BodyTextChar">
    <w:name w:val="Body Text Char"/>
    <w:aliases w:val="bullet3 Char,Body Text Char1 Char,heading3 Char Char Char,Body Text - Level 2 Char Char Char,Body Text1 Char Char Char,Starbucks Body Text Char Char Char,bt Char Char Char,body text Char Char Char,3 indent Char Char Char,BT Char,b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9E5CC3"/>
    <w:pPr>
      <w:spacing w:after="0"/>
    </w:pPr>
  </w:style>
  <w:style w:type="paragraph" w:customStyle="1" w:styleId="Bullets">
    <w:name w:val="Bullets"/>
    <w:basedOn w:val="BodyText"/>
    <w:rsid w:val="001034D7"/>
    <w:pPr>
      <w:numPr>
        <w:numId w:val="16"/>
      </w:numPr>
      <w:spacing w:after="120"/>
    </w:pPr>
  </w:style>
  <w:style w:type="paragraph" w:customStyle="1" w:styleId="RefNumbers">
    <w:name w:val="Ref Numbers"/>
    <w:basedOn w:val="BodyText"/>
    <w:pPr>
      <w:numPr>
        <w:numId w:val="15"/>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4"/>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852C1D"/>
    <w:pPr>
      <w:pBdr>
        <w:top w:val="single" w:sz="2" w:space="2" w:color="DA291C"/>
        <w:bottom w:val="single" w:sz="2" w:space="2" w:color="DA291C"/>
      </w:pBdr>
      <w:shd w:val="clear" w:color="auto" w:fill="DA291C"/>
      <w:tabs>
        <w:tab w:val="left" w:pos="1170"/>
      </w:tabs>
      <w:spacing w:after="240"/>
    </w:pPr>
    <w:rPr>
      <w:rFonts w:ascii="Arial Bold" w:hAnsi="Arial Bold"/>
      <w:b/>
      <w:color w:val="FFFFFF"/>
      <w:sz w:val="24"/>
      <w:szCs w:val="24"/>
    </w:rPr>
  </w:style>
  <w:style w:type="paragraph" w:styleId="Caption">
    <w:name w:val="caption"/>
    <w:basedOn w:val="Normal"/>
    <w:next w:val="Normal"/>
    <w:qFormat/>
    <w:rsid w:val="009E5CC3"/>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46"/>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Normal"/>
    <w:next w:val="Normal"/>
    <w:rsid w:val="000B1271"/>
    <w:pPr>
      <w:keepNext/>
      <w:keepLines/>
      <w:tabs>
        <w:tab w:val="left" w:pos="2160"/>
      </w:tabs>
      <w:spacing w:after="360"/>
      <w:outlineLvl w:val="0"/>
    </w:pPr>
    <w:rPr>
      <w:rFonts w:ascii="Arial" w:hAnsi="Arial" w:cs="Arial"/>
      <w:b/>
      <w:sz w:val="36"/>
    </w:rPr>
  </w:style>
  <w:style w:type="paragraph" w:customStyle="1" w:styleId="AbtHeadB">
    <w:name w:val="AbtHead B"/>
    <w:basedOn w:val="Normal"/>
    <w:next w:val="Normal"/>
    <w:link w:val="AbtHeadBChar"/>
    <w:rsid w:val="000B1271"/>
    <w:pPr>
      <w:keepNext/>
      <w:keepLines/>
      <w:tabs>
        <w:tab w:val="left" w:pos="720"/>
        <w:tab w:val="left" w:pos="1080"/>
        <w:tab w:val="left" w:pos="1440"/>
        <w:tab w:val="left" w:pos="1800"/>
      </w:tabs>
      <w:spacing w:after="280"/>
      <w:ind w:left="720" w:hanging="720"/>
      <w:outlineLvl w:val="1"/>
    </w:pPr>
    <w:rPr>
      <w:rFonts w:ascii="Arial" w:hAnsi="Arial" w:cs="Arial"/>
      <w:b/>
      <w:sz w:val="28"/>
    </w:rPr>
  </w:style>
  <w:style w:type="paragraph" w:customStyle="1" w:styleId="AbtHeadC">
    <w:name w:val="AbtHead C"/>
    <w:basedOn w:val="Normal"/>
    <w:next w:val="Normal"/>
    <w:link w:val="AbtHeadCChar"/>
    <w:rsid w:val="000B1271"/>
    <w:pPr>
      <w:keepNext/>
      <w:keepLines/>
      <w:tabs>
        <w:tab w:val="left" w:pos="720"/>
        <w:tab w:val="left" w:pos="1080"/>
        <w:tab w:val="left" w:pos="1440"/>
        <w:tab w:val="left" w:pos="1800"/>
      </w:tabs>
      <w:spacing w:after="240"/>
      <w:outlineLvl w:val="2"/>
    </w:pPr>
    <w:rPr>
      <w:rFonts w:ascii="Arial" w:hAnsi="Arial" w:cs="Arial"/>
      <w:b/>
    </w:rPr>
  </w:style>
  <w:style w:type="paragraph" w:customStyle="1" w:styleId="AbtHeadD">
    <w:name w:val="AbtHead D"/>
    <w:basedOn w:val="Normal"/>
    <w:next w:val="Normal"/>
    <w:rsid w:val="000B1271"/>
    <w:pPr>
      <w:keepNext/>
      <w:keepLines/>
      <w:tabs>
        <w:tab w:val="left" w:pos="720"/>
        <w:tab w:val="left" w:pos="1080"/>
        <w:tab w:val="left" w:pos="1440"/>
        <w:tab w:val="left" w:pos="1800"/>
      </w:tabs>
      <w:outlineLvl w:val="3"/>
    </w:pPr>
    <w:rPr>
      <w:b/>
      <w:i/>
    </w:rPr>
  </w:style>
  <w:style w:type="paragraph" w:customStyle="1" w:styleId="ExhibitTitle">
    <w:name w:val="ExhibitTitle"/>
    <w:basedOn w:val="Normal"/>
    <w:next w:val="Normal"/>
    <w:rsid w:val="000B1271"/>
    <w:pPr>
      <w:keepNext/>
      <w:tabs>
        <w:tab w:val="left" w:pos="720"/>
        <w:tab w:val="left" w:pos="1080"/>
        <w:tab w:val="left" w:pos="1440"/>
        <w:tab w:val="left" w:pos="1800"/>
      </w:tabs>
      <w:spacing w:after="120"/>
    </w:pPr>
    <w:rPr>
      <w:rFonts w:ascii="Arial" w:hAnsi="Arial" w:cs="Arial"/>
      <w:b/>
      <w:bCs/>
      <w:sz w:val="20"/>
    </w:rPr>
  </w:style>
  <w:style w:type="character" w:customStyle="1" w:styleId="AbtHeadCChar">
    <w:name w:val="AbtHead C Char"/>
    <w:link w:val="AbtHeadC"/>
    <w:rsid w:val="000B1271"/>
    <w:rPr>
      <w:rFonts w:ascii="Arial" w:hAnsi="Arial" w:cs="Arial"/>
      <w:b/>
      <w:sz w:val="22"/>
    </w:rPr>
  </w:style>
  <w:style w:type="character" w:customStyle="1" w:styleId="AbtHeadBChar">
    <w:name w:val="AbtHead B Char"/>
    <w:link w:val="AbtHeadB"/>
    <w:rsid w:val="000B1271"/>
    <w:rPr>
      <w:rFonts w:ascii="Arial" w:hAnsi="Arial" w:cs="Arial"/>
      <w:b/>
      <w:sz w:val="28"/>
    </w:rPr>
  </w:style>
  <w:style w:type="paragraph" w:styleId="ListParagraph">
    <w:name w:val="List Paragraph"/>
    <w:basedOn w:val="Normal"/>
    <w:uiPriority w:val="34"/>
    <w:qFormat/>
    <w:rsid w:val="000B1271"/>
    <w:pPr>
      <w:spacing w:line="240" w:lineRule="auto"/>
      <w:ind w:left="720"/>
    </w:pPr>
    <w:rPr>
      <w:rFonts w:ascii="Calibri" w:eastAsia="Calibri" w:hAnsi="Calibri" w:cs="Calibri"/>
      <w:szCs w:val="22"/>
    </w:rPr>
  </w:style>
  <w:style w:type="paragraph" w:styleId="Revision">
    <w:name w:val="Revision"/>
    <w:hidden/>
    <w:uiPriority w:val="99"/>
    <w:semiHidden/>
    <w:rsid w:val="00B84B5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768693">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Template%20Modified.dotx"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D8CEF-B43A-4955-8184-ED25F7114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Template Modified</Template>
  <TotalTime>0</TotalTime>
  <Pages>6</Pages>
  <Words>2444</Words>
  <Characters>12434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14849</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Jennifer Turnham</cp:lastModifiedBy>
  <cp:revision>3</cp:revision>
  <cp:lastPrinted>2009-12-28T13:45:00Z</cp:lastPrinted>
  <dcterms:created xsi:type="dcterms:W3CDTF">2012-03-26T19:04:00Z</dcterms:created>
  <dcterms:modified xsi:type="dcterms:W3CDTF">2012-03-26T19:12:00Z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