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E7" w:rsidRDefault="00B14EE7" w:rsidP="00B14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48"/>
        </w:rPr>
      </w:pPr>
    </w:p>
    <w:p w:rsidR="00B14EE7" w:rsidRPr="00B14EE7" w:rsidRDefault="00B14EE7" w:rsidP="00B14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48"/>
        </w:rPr>
      </w:pPr>
      <w:r w:rsidRPr="00B14EE7">
        <w:rPr>
          <w:rFonts w:ascii="Times New Roman" w:hAnsi="Times New Roman" w:cs="Times New Roman"/>
          <w:b/>
          <w:sz w:val="56"/>
          <w:szCs w:val="48"/>
        </w:rPr>
        <w:t>Supporting Statement</w:t>
      </w:r>
      <w:r w:rsidR="00243CD7">
        <w:rPr>
          <w:rFonts w:ascii="Times New Roman" w:hAnsi="Times New Roman" w:cs="Times New Roman"/>
          <w:b/>
          <w:sz w:val="56"/>
          <w:szCs w:val="48"/>
        </w:rPr>
        <w:t xml:space="preserve"> B</w:t>
      </w:r>
      <w:bookmarkStart w:id="0" w:name="_GoBack"/>
      <w:bookmarkEnd w:id="0"/>
    </w:p>
    <w:p w:rsidR="00B14EE7" w:rsidRPr="00B14EE7" w:rsidRDefault="00B14EE7" w:rsidP="00B14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48"/>
        </w:rPr>
      </w:pPr>
    </w:p>
    <w:p w:rsidR="00B14EE7" w:rsidRPr="00B14EE7" w:rsidRDefault="00B14EE7" w:rsidP="00B14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48"/>
        </w:rPr>
      </w:pPr>
      <w:proofErr w:type="gramStart"/>
      <w:r w:rsidRPr="00B14EE7">
        <w:rPr>
          <w:rFonts w:ascii="Times New Roman" w:hAnsi="Times New Roman" w:cs="Times New Roman"/>
          <w:b/>
          <w:sz w:val="56"/>
          <w:szCs w:val="48"/>
        </w:rPr>
        <w:t>for</w:t>
      </w:r>
      <w:proofErr w:type="gramEnd"/>
      <w:r w:rsidRPr="00B14EE7">
        <w:rPr>
          <w:rFonts w:ascii="Times New Roman" w:hAnsi="Times New Roman" w:cs="Times New Roman"/>
          <w:b/>
          <w:sz w:val="56"/>
          <w:szCs w:val="48"/>
        </w:rPr>
        <w:t xml:space="preserve"> the</w:t>
      </w:r>
    </w:p>
    <w:p w:rsidR="00B14EE7" w:rsidRPr="00B14EE7" w:rsidRDefault="00B14EE7" w:rsidP="00B14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48"/>
        </w:rPr>
      </w:pPr>
    </w:p>
    <w:p w:rsidR="00B14EE7" w:rsidRPr="00B14EE7" w:rsidRDefault="00B14EE7" w:rsidP="00B14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0"/>
        </w:rPr>
      </w:pPr>
      <w:r w:rsidRPr="00B14EE7">
        <w:rPr>
          <w:rFonts w:ascii="Times New Roman" w:hAnsi="Times New Roman" w:cs="Times New Roman"/>
          <w:b/>
          <w:sz w:val="48"/>
          <w:szCs w:val="40"/>
        </w:rPr>
        <w:t>Electric Emergency Incident and Disturbance Report</w:t>
      </w:r>
    </w:p>
    <w:p w:rsidR="00B14EE7" w:rsidRPr="00B14EE7" w:rsidRDefault="00B14EE7" w:rsidP="00B14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0"/>
        </w:rPr>
      </w:pPr>
    </w:p>
    <w:p w:rsidR="00B14EE7" w:rsidRPr="00B14EE7" w:rsidRDefault="00B14EE7" w:rsidP="00B14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0"/>
        </w:rPr>
      </w:pPr>
      <w:r w:rsidRPr="00B14EE7">
        <w:rPr>
          <w:rFonts w:ascii="Times New Roman" w:hAnsi="Times New Roman" w:cs="Times New Roman"/>
          <w:b/>
          <w:sz w:val="48"/>
          <w:szCs w:val="40"/>
        </w:rPr>
        <w:t>OE-417</w:t>
      </w:r>
    </w:p>
    <w:p w:rsidR="00B14EE7" w:rsidRPr="00B14EE7" w:rsidRDefault="00B14EE7" w:rsidP="00B14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6"/>
        </w:rPr>
      </w:pPr>
    </w:p>
    <w:p w:rsidR="00B14EE7" w:rsidRPr="00B14EE7" w:rsidRDefault="00B14EE7" w:rsidP="00B14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B14EE7">
        <w:rPr>
          <w:rFonts w:ascii="Times New Roman" w:hAnsi="Times New Roman" w:cs="Times New Roman"/>
          <w:b/>
          <w:sz w:val="44"/>
          <w:szCs w:val="36"/>
        </w:rPr>
        <w:t>OMB NUMBER 1901-0288</w:t>
      </w:r>
    </w:p>
    <w:p w:rsidR="00B14EE7" w:rsidRDefault="00B14EE7" w:rsidP="00B14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14EE7" w:rsidRDefault="00B14EE7" w:rsidP="00B14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14EE7" w:rsidRDefault="00B14EE7" w:rsidP="00B14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November 2011</w:t>
      </w:r>
    </w:p>
    <w:p w:rsidR="00B14EE7" w:rsidRDefault="00B14EE7" w:rsidP="00B14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14EE7" w:rsidRDefault="00B14EE7" w:rsidP="00B14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14EE7" w:rsidRDefault="00B14EE7" w:rsidP="00B14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14EE7" w:rsidRDefault="00B14EE7" w:rsidP="00B14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14EE7" w:rsidRDefault="00B14EE7" w:rsidP="00B14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14EE7" w:rsidRDefault="00B14EE7" w:rsidP="00B14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Office of Electricity Delivery and Energy Reliability</w:t>
      </w:r>
    </w:p>
    <w:p w:rsidR="00B14EE7" w:rsidRDefault="00B14EE7" w:rsidP="00B14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U.S. Department of Energy</w:t>
      </w:r>
    </w:p>
    <w:p w:rsidR="00B14EE7" w:rsidRDefault="00B14EE7" w:rsidP="00B14EE7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Washington, DC 20585</w:t>
      </w:r>
    </w:p>
    <w:p w:rsidR="00B14EE7" w:rsidRDefault="00B14EE7" w:rsidP="00B14EE7">
      <w:pPr>
        <w:rPr>
          <w:b/>
          <w:bCs/>
        </w:rPr>
      </w:pPr>
    </w:p>
    <w:p w:rsidR="00B14EE7" w:rsidRDefault="00B14EE7" w:rsidP="00B14EE7">
      <w:pPr>
        <w:rPr>
          <w:b/>
          <w:bCs/>
        </w:rPr>
      </w:pPr>
    </w:p>
    <w:p w:rsidR="00B14EE7" w:rsidRDefault="00B14EE7" w:rsidP="00B14EE7">
      <w:pPr>
        <w:rPr>
          <w:b/>
          <w:bCs/>
        </w:rPr>
      </w:pPr>
    </w:p>
    <w:p w:rsidR="00B14EE7" w:rsidRDefault="00B14EE7" w:rsidP="00B14EE7">
      <w:pPr>
        <w:rPr>
          <w:b/>
          <w:bCs/>
        </w:rPr>
      </w:pPr>
    </w:p>
    <w:p w:rsidR="00B14EE7" w:rsidRDefault="00B14EE7" w:rsidP="00B14EE7">
      <w:pPr>
        <w:rPr>
          <w:b/>
          <w:bCs/>
        </w:rPr>
      </w:pPr>
    </w:p>
    <w:p w:rsidR="00B14EE7" w:rsidRPr="00B14EE7" w:rsidRDefault="00B14EE7" w:rsidP="00B14EE7">
      <w:pPr>
        <w:rPr>
          <w:b/>
          <w:bCs/>
        </w:rPr>
      </w:pPr>
      <w:r w:rsidRPr="00B14EE7">
        <w:rPr>
          <w:b/>
          <w:bCs/>
        </w:rPr>
        <w:lastRenderedPageBreak/>
        <w:t>COLLECTION OF INFORMATION EMPLOYING STATISTICAL METHODS</w:t>
      </w:r>
    </w:p>
    <w:p w:rsidR="00B14EE7" w:rsidRPr="00B14EE7" w:rsidRDefault="00B14EE7" w:rsidP="00B14EE7">
      <w:pPr>
        <w:rPr>
          <w:b/>
          <w:bCs/>
        </w:rPr>
      </w:pPr>
      <w:r w:rsidRPr="00B14EE7">
        <w:rPr>
          <w:b/>
          <w:bCs/>
        </w:rPr>
        <w:t>B.1 Respondent Universe</w:t>
      </w:r>
    </w:p>
    <w:p w:rsidR="00B14EE7" w:rsidRDefault="00B14EE7" w:rsidP="00B14EE7">
      <w:r w:rsidRPr="00B14EE7">
        <w:t>This survey covers the entire universe of entities responsible for electrical operations and</w:t>
      </w:r>
      <w:r w:rsidR="00243CD7">
        <w:t xml:space="preserve"> </w:t>
      </w:r>
      <w:r w:rsidRPr="00B14EE7">
        <w:t>security oversight. The respondent universe is all electric utilities with those that are</w:t>
      </w:r>
      <w:r w:rsidR="00243CD7">
        <w:t xml:space="preserve"> </w:t>
      </w:r>
      <w:r w:rsidRPr="00B14EE7">
        <w:t>certified (by NERC) as Balancing Authorities and Reliability Coordinators designated as</w:t>
      </w:r>
      <w:r w:rsidR="00243CD7">
        <w:t xml:space="preserve"> </w:t>
      </w:r>
      <w:r w:rsidRPr="00B14EE7">
        <w:t>the primary filer.</w:t>
      </w:r>
    </w:p>
    <w:p w:rsidR="00B14EE7" w:rsidRPr="00B14EE7" w:rsidRDefault="00B14EE7" w:rsidP="00B14EE7">
      <w:r w:rsidRPr="00B14EE7">
        <w:t xml:space="preserve">Respondents submit their information to the DOE Watch Office. </w:t>
      </w:r>
      <w:r w:rsidR="00243CD7">
        <w:t xml:space="preserve"> </w:t>
      </w:r>
      <w:r w:rsidRPr="00B14EE7">
        <w:t>There are 131</w:t>
      </w:r>
      <w:r w:rsidR="00243CD7">
        <w:t xml:space="preserve"> </w:t>
      </w:r>
      <w:r w:rsidRPr="00B14EE7">
        <w:t>balancing authorities, plus 13 U.S. reliability coordinators centers in the contiguous</w:t>
      </w:r>
      <w:r w:rsidR="00243CD7">
        <w:t xml:space="preserve"> </w:t>
      </w:r>
      <w:r w:rsidRPr="00B14EE7">
        <w:t>United States. There are 3,276 utilities in the 50 States, and the U.S. Virgin Islands,</w:t>
      </w:r>
      <w:r w:rsidR="00243CD7">
        <w:t xml:space="preserve"> </w:t>
      </w:r>
      <w:r w:rsidRPr="00B14EE7">
        <w:t>Puerto Rico, American Samoa, and Guam that could report. Most will not have any need</w:t>
      </w:r>
      <w:r w:rsidR="00243CD7">
        <w:t xml:space="preserve"> </w:t>
      </w:r>
      <w:r w:rsidRPr="00B14EE7">
        <w:t xml:space="preserve">during the calendar year to file a report covering normal electrical outage events. </w:t>
      </w:r>
      <w:proofErr w:type="spellStart"/>
      <w:r w:rsidRPr="00B14EE7">
        <w:t>Cyber</w:t>
      </w:r>
      <w:r w:rsidR="00243CD7">
        <w:t xml:space="preserve"> </w:t>
      </w:r>
      <w:r w:rsidRPr="00B14EE7">
        <w:t>attacks</w:t>
      </w:r>
      <w:proofErr w:type="spellEnd"/>
      <w:r w:rsidRPr="00B14EE7">
        <w:t xml:space="preserve"> and other physical threat actions or attempts could happen at a rate higher than</w:t>
      </w:r>
      <w:r w:rsidR="00243CD7">
        <w:t xml:space="preserve"> </w:t>
      </w:r>
      <w:r w:rsidRPr="00B14EE7">
        <w:t>electrical operational problems. These events represent law enforcement and national</w:t>
      </w:r>
      <w:r w:rsidR="00243CD7">
        <w:t xml:space="preserve"> </w:t>
      </w:r>
      <w:r w:rsidRPr="00B14EE7">
        <w:t>security issues. Getting a notification represents an achievement of an important policy</w:t>
      </w:r>
      <w:r w:rsidR="00243CD7">
        <w:t xml:space="preserve"> </w:t>
      </w:r>
      <w:r w:rsidRPr="00B14EE7">
        <w:t>objective for the Federal Government.</w:t>
      </w:r>
    </w:p>
    <w:p w:rsidR="00B14EE7" w:rsidRDefault="00B14EE7" w:rsidP="00B14EE7">
      <w:r w:rsidRPr="00B14EE7">
        <w:t>For those electric utilities located in the United States, but for whom control area</w:t>
      </w:r>
      <w:r w:rsidR="00243CD7">
        <w:t xml:space="preserve"> </w:t>
      </w:r>
      <w:r w:rsidRPr="00B14EE7">
        <w:t>oversight responsibilities are handled by electrical systems located across an international</w:t>
      </w:r>
      <w:r w:rsidR="00243CD7">
        <w:t xml:space="preserve"> </w:t>
      </w:r>
      <w:r w:rsidRPr="00B14EE7">
        <w:t>border, those U.S.-based utilities will be required to file the Form OE-417. A foreign</w:t>
      </w:r>
      <w:r w:rsidR="00243CD7">
        <w:t xml:space="preserve"> </w:t>
      </w:r>
      <w:r w:rsidRPr="00B14EE7">
        <w:t>utility handling U.S. control area responsibilities, may wish to file this information</w:t>
      </w:r>
      <w:r w:rsidR="00243CD7">
        <w:t xml:space="preserve"> </w:t>
      </w:r>
      <w:r w:rsidRPr="00B14EE7">
        <w:t>voluntarily to the DOE. Any U.S. based utility in this international situation needs to</w:t>
      </w:r>
      <w:r w:rsidR="00243CD7">
        <w:t xml:space="preserve"> </w:t>
      </w:r>
      <w:r w:rsidRPr="00B14EE7">
        <w:t>inform DOE that these filings will come from a foreign-based electric system.</w:t>
      </w:r>
    </w:p>
    <w:p w:rsidR="00B14EE7" w:rsidRPr="00B14EE7" w:rsidRDefault="00B14EE7" w:rsidP="00B14EE7">
      <w:pPr>
        <w:rPr>
          <w:b/>
          <w:bCs/>
        </w:rPr>
      </w:pPr>
      <w:r w:rsidRPr="00B14EE7">
        <w:rPr>
          <w:b/>
          <w:bCs/>
        </w:rPr>
        <w:t>B.2 Statistical Methodology</w:t>
      </w:r>
    </w:p>
    <w:p w:rsidR="00B14EE7" w:rsidRPr="00B14EE7" w:rsidRDefault="00B14EE7" w:rsidP="00B14EE7">
      <w:r w:rsidRPr="00B14EE7">
        <w:t>There is no methodology applied. All incidents meeting the threshold requirements must</w:t>
      </w:r>
      <w:r w:rsidR="00243CD7">
        <w:t xml:space="preserve"> </w:t>
      </w:r>
      <w:r w:rsidRPr="00B14EE7">
        <w:t>be reported.</w:t>
      </w:r>
    </w:p>
    <w:p w:rsidR="00B14EE7" w:rsidRPr="00B14EE7" w:rsidRDefault="00B14EE7" w:rsidP="00B14EE7">
      <w:pPr>
        <w:rPr>
          <w:b/>
          <w:bCs/>
        </w:rPr>
      </w:pPr>
      <w:r w:rsidRPr="00B14EE7">
        <w:rPr>
          <w:b/>
          <w:bCs/>
        </w:rPr>
        <w:t>B.3 Methods to Maximize Response Rates</w:t>
      </w:r>
    </w:p>
    <w:p w:rsidR="00B14EE7" w:rsidRPr="00B14EE7" w:rsidRDefault="00B14EE7" w:rsidP="00B14EE7">
      <w:r w:rsidRPr="00B14EE7">
        <w:t>All potential reporting entities will be sent letters notifying them of their reporting</w:t>
      </w:r>
      <w:r w:rsidR="00243CD7">
        <w:t xml:space="preserve"> </w:t>
      </w:r>
      <w:r w:rsidRPr="00B14EE7">
        <w:t>responsibilities. In addition, DOE will send e-mails or make telephone calls to the entities</w:t>
      </w:r>
      <w:r w:rsidR="00243CD7">
        <w:t xml:space="preserve"> </w:t>
      </w:r>
      <w:r w:rsidRPr="00B14EE7">
        <w:t>if it learns of an incident or disturbance that an entity has not yet reported. If no response</w:t>
      </w:r>
      <w:r w:rsidR="00243CD7">
        <w:t xml:space="preserve"> </w:t>
      </w:r>
      <w:r w:rsidRPr="00B14EE7">
        <w:t>occurs, correspondence is sent from the DOE to high level management officials in the</w:t>
      </w:r>
      <w:r w:rsidR="00243CD7">
        <w:t xml:space="preserve"> </w:t>
      </w:r>
      <w:r w:rsidRPr="00B14EE7">
        <w:t>respondent entity requesting submission of the appropriate information.</w:t>
      </w:r>
    </w:p>
    <w:p w:rsidR="00B14EE7" w:rsidRPr="00B14EE7" w:rsidRDefault="00B14EE7" w:rsidP="00B14EE7">
      <w:pPr>
        <w:rPr>
          <w:b/>
          <w:bCs/>
        </w:rPr>
      </w:pPr>
      <w:r w:rsidRPr="00B14EE7">
        <w:rPr>
          <w:b/>
          <w:bCs/>
        </w:rPr>
        <w:t>B.4 Tests of Procedures</w:t>
      </w:r>
    </w:p>
    <w:p w:rsidR="00B14EE7" w:rsidRPr="00B14EE7" w:rsidRDefault="00B14EE7" w:rsidP="00B14EE7">
      <w:r w:rsidRPr="00B14EE7">
        <w:t>DOE has talked with NERC and other respondents about the redevelopment of the OE-417. Their comments have been considered in the design of the form submitted for</w:t>
      </w:r>
      <w:r w:rsidR="00243CD7">
        <w:t xml:space="preserve"> </w:t>
      </w:r>
      <w:r w:rsidRPr="00B14EE7">
        <w:t>approval.</w:t>
      </w:r>
    </w:p>
    <w:p w:rsidR="00B14EE7" w:rsidRPr="00B14EE7" w:rsidRDefault="00B14EE7" w:rsidP="00B14EE7">
      <w:pPr>
        <w:rPr>
          <w:b/>
          <w:bCs/>
        </w:rPr>
      </w:pPr>
      <w:r w:rsidRPr="00B14EE7">
        <w:rPr>
          <w:b/>
          <w:bCs/>
        </w:rPr>
        <w:t>B.5 Additional Information</w:t>
      </w:r>
    </w:p>
    <w:p w:rsidR="009347F7" w:rsidRDefault="00B14EE7" w:rsidP="00B14EE7">
      <w:r w:rsidRPr="00B14EE7">
        <w:t>For additional information concerning OE-417, please contact Brian Copeland at (202)</w:t>
      </w:r>
      <w:r w:rsidR="00243CD7">
        <w:t xml:space="preserve"> </w:t>
      </w:r>
      <w:r w:rsidRPr="00B14EE7">
        <w:t>586-1178 or at brian.copeland@hq.doe.gov. For information concerning this request for</w:t>
      </w:r>
      <w:r w:rsidR="00243CD7">
        <w:t xml:space="preserve"> </w:t>
      </w:r>
      <w:r w:rsidRPr="00B14EE7">
        <w:t xml:space="preserve">OMB approval, please contact </w:t>
      </w:r>
      <w:r w:rsidRPr="00B14EE7">
        <w:lastRenderedPageBreak/>
        <w:t>the DOE Paperwork Reduction Act Officer, Christina</w:t>
      </w:r>
      <w:r w:rsidR="00243CD7">
        <w:t xml:space="preserve"> </w:t>
      </w:r>
      <w:proofErr w:type="spellStart"/>
      <w:r w:rsidRPr="00B14EE7">
        <w:t>Rouleau</w:t>
      </w:r>
      <w:proofErr w:type="spellEnd"/>
      <w:r w:rsidRPr="00B14EE7">
        <w:t>, at 301-903-6227 or at Christina.Rouleau@hq.doe.gov.</w:t>
      </w:r>
    </w:p>
    <w:sectPr w:rsidR="00934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E7"/>
    <w:rsid w:val="00243CD7"/>
    <w:rsid w:val="00AC181B"/>
    <w:rsid w:val="00B14EE7"/>
    <w:rsid w:val="00BA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446</Words>
  <Characters>2548</Characters>
  <Application>Microsoft Office Word</Application>
  <DocSecurity>0</DocSecurity>
  <Lines>21</Lines>
  <Paragraphs>5</Paragraphs>
  <ScaleCrop>false</ScaleCrop>
  <Company>OMB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A1</cp:lastModifiedBy>
  <cp:revision>2</cp:revision>
  <dcterms:created xsi:type="dcterms:W3CDTF">2011-12-23T19:16:00Z</dcterms:created>
  <dcterms:modified xsi:type="dcterms:W3CDTF">2011-12-23T19:23:00Z</dcterms:modified>
</cp:coreProperties>
</file>