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DA3" w:rsidRDefault="00146780" w:rsidP="00F623D5">
      <w:pPr>
        <w:tabs>
          <w:tab w:val="center" w:pos="4680"/>
        </w:tabs>
        <w:jc w:val="center"/>
        <w:rPr>
          <w:b/>
          <w:bCs/>
          <w:sz w:val="32"/>
          <w:szCs w:val="32"/>
        </w:rPr>
      </w:pPr>
      <w:bookmarkStart w:id="0" w:name="_GoBack"/>
      <w:bookmarkEnd w:id="0"/>
      <w:r>
        <w:rPr>
          <w:b/>
          <w:bCs/>
          <w:sz w:val="32"/>
          <w:szCs w:val="32"/>
        </w:rPr>
        <w:t>Supporting Statem</w:t>
      </w:r>
      <w:r w:rsidR="001C6FFB">
        <w:rPr>
          <w:b/>
          <w:bCs/>
          <w:sz w:val="32"/>
          <w:szCs w:val="32"/>
        </w:rPr>
        <w:t xml:space="preserve">ent </w:t>
      </w:r>
      <w:r w:rsidR="00325EBF">
        <w:rPr>
          <w:b/>
          <w:bCs/>
          <w:sz w:val="32"/>
          <w:szCs w:val="32"/>
        </w:rPr>
        <w:t xml:space="preserve">– </w:t>
      </w:r>
      <w:r w:rsidR="005105C6">
        <w:rPr>
          <w:b/>
          <w:bCs/>
          <w:sz w:val="32"/>
          <w:szCs w:val="32"/>
        </w:rPr>
        <w:t xml:space="preserve">Application for Coverage in the </w:t>
      </w:r>
    </w:p>
    <w:p w:rsidR="00302D6D" w:rsidRPr="00302D6D" w:rsidRDefault="00BA3DA3" w:rsidP="00F623D5">
      <w:pPr>
        <w:tabs>
          <w:tab w:val="center" w:pos="4680"/>
        </w:tabs>
        <w:jc w:val="center"/>
        <w:rPr>
          <w:b/>
          <w:bCs/>
          <w:sz w:val="32"/>
          <w:szCs w:val="32"/>
        </w:rPr>
      </w:pPr>
      <w:r>
        <w:rPr>
          <w:b/>
          <w:bCs/>
          <w:sz w:val="32"/>
          <w:szCs w:val="32"/>
        </w:rPr>
        <w:t>Pre-Existing Condition Insurance Plan</w:t>
      </w:r>
    </w:p>
    <w:p w:rsidR="00E40229" w:rsidRDefault="00E40229" w:rsidP="00F623D5">
      <w:pPr>
        <w:rPr>
          <w:b/>
          <w:bCs/>
          <w:sz w:val="24"/>
        </w:rPr>
      </w:pPr>
    </w:p>
    <w:p w:rsidR="00146780" w:rsidRDefault="00146780" w:rsidP="00F623D5">
      <w:pPr>
        <w:rPr>
          <w:b/>
          <w:bCs/>
          <w:sz w:val="24"/>
        </w:rPr>
      </w:pPr>
      <w:r>
        <w:rPr>
          <w:b/>
          <w:bCs/>
          <w:sz w:val="24"/>
        </w:rPr>
        <w:t>A.</w:t>
      </w:r>
      <w:r>
        <w:rPr>
          <w:b/>
          <w:bCs/>
          <w:sz w:val="24"/>
        </w:rPr>
        <w:tab/>
        <w:t>Justification</w:t>
      </w:r>
    </w:p>
    <w:p w:rsidR="00073D3B" w:rsidRDefault="00073D3B" w:rsidP="00F623D5">
      <w:pPr>
        <w:rPr>
          <w:sz w:val="24"/>
        </w:rPr>
      </w:pPr>
    </w:p>
    <w:p w:rsidR="00146780" w:rsidRDefault="00146780" w:rsidP="00F623D5">
      <w:pPr>
        <w:numPr>
          <w:ilvl w:val="0"/>
          <w:numId w:val="1"/>
          <w:numberingChange w:id="1" w:author="Laura Dash" w:date="2010-06-24T09:41:00Z" w:original="%1:1:0:."/>
        </w:numPr>
        <w:rPr>
          <w:b/>
          <w:sz w:val="24"/>
        </w:rPr>
      </w:pPr>
      <w:r>
        <w:rPr>
          <w:b/>
          <w:sz w:val="24"/>
          <w:u w:val="single"/>
        </w:rPr>
        <w:t>Circumstances Making the Collection of Information Necessary</w:t>
      </w:r>
    </w:p>
    <w:p w:rsidR="00073D3B" w:rsidRDefault="00146780" w:rsidP="00F623D5">
      <w:pPr>
        <w:ind w:left="720"/>
        <w:rPr>
          <w:sz w:val="24"/>
        </w:rPr>
      </w:pPr>
      <w:r>
        <w:rPr>
          <w:sz w:val="24"/>
        </w:rPr>
        <w:tab/>
      </w:r>
    </w:p>
    <w:p w:rsidR="00325EBF" w:rsidRDefault="00325EBF" w:rsidP="00F623D5">
      <w:pPr>
        <w:ind w:left="360"/>
        <w:rPr>
          <w:sz w:val="24"/>
        </w:rPr>
      </w:pPr>
      <w:r w:rsidRPr="004D4F93">
        <w:rPr>
          <w:sz w:val="24"/>
        </w:rPr>
        <w:t xml:space="preserve">On March 23, 2010, the President signed into law H.R. 3590, the Patient Protection and Affordable Care Act </w:t>
      </w:r>
      <w:r w:rsidR="00D01D33">
        <w:rPr>
          <w:sz w:val="24"/>
        </w:rPr>
        <w:t xml:space="preserve">(Affordable Care Act), </w:t>
      </w:r>
      <w:r w:rsidRPr="004D4F93">
        <w:rPr>
          <w:sz w:val="24"/>
        </w:rPr>
        <w:t xml:space="preserve">Public Law 111-148.  Section 1101 of the law establishes a “temporary high risk health insurance pool program” </w:t>
      </w:r>
      <w:r w:rsidR="00DD7011">
        <w:rPr>
          <w:sz w:val="24"/>
        </w:rPr>
        <w:t xml:space="preserve">(which has been named the Pre-Existing Condition Insurance Plan, or PCIP) </w:t>
      </w:r>
      <w:r w:rsidRPr="004D4F93">
        <w:rPr>
          <w:sz w:val="24"/>
        </w:rPr>
        <w:t>to provide health insurance coverage to currently uninsured individuals with pre-existing conditions.  The law authorizes HHS to carry out the program directly or through contracts with states or private, non-profit entities.</w:t>
      </w:r>
      <w:r w:rsidR="00DD7011">
        <w:rPr>
          <w:sz w:val="24"/>
        </w:rPr>
        <w:t xml:space="preserve">  </w:t>
      </w:r>
    </w:p>
    <w:p w:rsidR="00141FDC" w:rsidRDefault="00141FDC" w:rsidP="00F623D5">
      <w:pPr>
        <w:ind w:left="360"/>
        <w:rPr>
          <w:sz w:val="24"/>
        </w:rPr>
      </w:pPr>
    </w:p>
    <w:p w:rsidR="00141FDC" w:rsidRDefault="00141FDC" w:rsidP="00F623D5">
      <w:pPr>
        <w:ind w:left="360"/>
        <w:rPr>
          <w:sz w:val="24"/>
        </w:rPr>
      </w:pPr>
      <w:r>
        <w:rPr>
          <w:sz w:val="24"/>
        </w:rPr>
        <w:t xml:space="preserve">The Department of Health and Human Services (HHS) Centers for Medicare &amp; Medicaid Services Center for Consumer Information and Insurance Oversight is requesting clearance by the Office of Management and Budget for modifications to this previously approved collection package.  </w:t>
      </w:r>
      <w:r w:rsidR="00607B38">
        <w:rPr>
          <w:sz w:val="24"/>
        </w:rPr>
        <w:t>The</w:t>
      </w:r>
      <w:r w:rsidR="004A7CBE">
        <w:rPr>
          <w:sz w:val="24"/>
        </w:rPr>
        <w:t xml:space="preserve">se changes are being requested </w:t>
      </w:r>
      <w:r>
        <w:rPr>
          <w:sz w:val="24"/>
        </w:rPr>
        <w:t>to (1)</w:t>
      </w:r>
      <w:r w:rsidR="00607B38">
        <w:rPr>
          <w:sz w:val="24"/>
        </w:rPr>
        <w:t xml:space="preserve"> </w:t>
      </w:r>
      <w:r w:rsidR="004A7CBE">
        <w:rPr>
          <w:sz w:val="24"/>
        </w:rPr>
        <w:t>provide</w:t>
      </w:r>
      <w:r w:rsidR="00607B38">
        <w:rPr>
          <w:sz w:val="24"/>
        </w:rPr>
        <w:t xml:space="preserve"> a mechanism</w:t>
      </w:r>
      <w:r w:rsidR="004A7CBE">
        <w:rPr>
          <w:sz w:val="24"/>
        </w:rPr>
        <w:t xml:space="preserve"> for a PCIP enrollee </w:t>
      </w:r>
      <w:r w:rsidR="00607B38">
        <w:rPr>
          <w:sz w:val="24"/>
        </w:rPr>
        <w:t xml:space="preserve">who has moved from a state-administered PCIP to quickly and efficiently </w:t>
      </w:r>
      <w:r w:rsidR="004A7CBE">
        <w:rPr>
          <w:sz w:val="24"/>
        </w:rPr>
        <w:t xml:space="preserve">enroll </w:t>
      </w:r>
      <w:r w:rsidR="00607B38">
        <w:rPr>
          <w:sz w:val="24"/>
        </w:rPr>
        <w:t xml:space="preserve">into the federally-administered PCIP </w:t>
      </w:r>
      <w:r w:rsidR="0017012F" w:rsidRPr="000C68B8">
        <w:rPr>
          <w:sz w:val="24"/>
        </w:rPr>
        <w:t>(2) provide a mechanism for a PCIP applicant to identify a third party entity will pay their premium to ensure appropriate premium billing</w:t>
      </w:r>
      <w:r w:rsidR="00651B23">
        <w:rPr>
          <w:sz w:val="24"/>
        </w:rPr>
        <w:t xml:space="preserve"> </w:t>
      </w:r>
      <w:r w:rsidR="00993822">
        <w:rPr>
          <w:sz w:val="24"/>
        </w:rPr>
        <w:t>(3)</w:t>
      </w:r>
      <w:r w:rsidR="003A2555">
        <w:rPr>
          <w:sz w:val="24"/>
        </w:rPr>
        <w:t xml:space="preserve"> provide a mechanism whereby a licensed insurance agent or broker may identify their referral of an applicant (4)</w:t>
      </w:r>
      <w:r w:rsidR="00936F85">
        <w:rPr>
          <w:sz w:val="24"/>
        </w:rPr>
        <w:t xml:space="preserve"> request employer information to </w:t>
      </w:r>
      <w:r w:rsidR="00CA5EF4">
        <w:rPr>
          <w:sz w:val="24"/>
        </w:rPr>
        <w:t xml:space="preserve">expand ways to </w:t>
      </w:r>
      <w:r w:rsidR="00936F85">
        <w:rPr>
          <w:sz w:val="24"/>
        </w:rPr>
        <w:t xml:space="preserve">identify and prevent instances of insurer dumping </w:t>
      </w:r>
      <w:r w:rsidR="00607B38">
        <w:rPr>
          <w:sz w:val="24"/>
        </w:rPr>
        <w:t xml:space="preserve">and </w:t>
      </w:r>
      <w:r w:rsidR="004A7CBE">
        <w:rPr>
          <w:sz w:val="24"/>
        </w:rPr>
        <w:t>(</w:t>
      </w:r>
      <w:r w:rsidR="003A2555">
        <w:rPr>
          <w:sz w:val="24"/>
        </w:rPr>
        <w:t>5</w:t>
      </w:r>
      <w:r w:rsidR="004A7CBE">
        <w:rPr>
          <w:sz w:val="24"/>
        </w:rPr>
        <w:t xml:space="preserve">) make clarifications to existing application language. </w:t>
      </w:r>
    </w:p>
    <w:p w:rsidR="004A7CBE" w:rsidRDefault="004A7CBE" w:rsidP="00F623D5">
      <w:pPr>
        <w:ind w:left="360"/>
        <w:rPr>
          <w:sz w:val="24"/>
        </w:rPr>
      </w:pPr>
    </w:p>
    <w:p w:rsidR="00146780" w:rsidRDefault="00146780" w:rsidP="00F623D5">
      <w:pPr>
        <w:numPr>
          <w:ilvl w:val="0"/>
          <w:numId w:val="1"/>
          <w:numberingChange w:id="2" w:author="Laura Dash" w:date="2010-06-24T09:41:00Z" w:original="%1:2:0:."/>
        </w:numPr>
        <w:rPr>
          <w:b/>
          <w:sz w:val="24"/>
        </w:rPr>
      </w:pPr>
      <w:r>
        <w:rPr>
          <w:b/>
          <w:sz w:val="24"/>
          <w:u w:val="single"/>
        </w:rPr>
        <w:t>Purpose and Use of Information Collection</w:t>
      </w:r>
    </w:p>
    <w:p w:rsidR="00325EBF" w:rsidRDefault="00325EBF" w:rsidP="00F623D5">
      <w:pPr>
        <w:pStyle w:val="EndnoteText"/>
        <w:rPr>
          <w:sz w:val="24"/>
          <w:szCs w:val="24"/>
        </w:rPr>
      </w:pPr>
    </w:p>
    <w:p w:rsidR="009E207E" w:rsidRDefault="00325EBF" w:rsidP="00F623D5">
      <w:pPr>
        <w:pStyle w:val="EndnoteText"/>
        <w:ind w:left="360"/>
        <w:rPr>
          <w:sz w:val="24"/>
          <w:szCs w:val="24"/>
        </w:rPr>
      </w:pPr>
      <w:r>
        <w:rPr>
          <w:sz w:val="24"/>
          <w:szCs w:val="24"/>
        </w:rPr>
        <w:t xml:space="preserve">The data collection will be used by </w:t>
      </w:r>
      <w:r w:rsidR="00D01D33">
        <w:rPr>
          <w:sz w:val="24"/>
          <w:szCs w:val="24"/>
        </w:rPr>
        <w:t xml:space="preserve">HHS </w:t>
      </w:r>
      <w:r>
        <w:rPr>
          <w:sz w:val="24"/>
          <w:szCs w:val="24"/>
        </w:rPr>
        <w:t xml:space="preserve">to </w:t>
      </w:r>
      <w:r w:rsidR="00A3252F">
        <w:rPr>
          <w:sz w:val="24"/>
          <w:szCs w:val="24"/>
        </w:rPr>
        <w:t xml:space="preserve">obtain information from potential eligible individuals applying for coverage in the </w:t>
      </w:r>
      <w:r w:rsidR="00BA3DA3">
        <w:rPr>
          <w:sz w:val="24"/>
          <w:szCs w:val="24"/>
        </w:rPr>
        <w:t>PCIP</w:t>
      </w:r>
      <w:r w:rsidR="00A3252F">
        <w:rPr>
          <w:sz w:val="24"/>
          <w:szCs w:val="24"/>
        </w:rPr>
        <w:t>.</w:t>
      </w:r>
      <w:r w:rsidR="009E207E">
        <w:rPr>
          <w:sz w:val="24"/>
          <w:szCs w:val="24"/>
        </w:rPr>
        <w:t xml:space="preserve"> </w:t>
      </w:r>
    </w:p>
    <w:p w:rsidR="007349BC" w:rsidRDefault="007349BC" w:rsidP="00F623D5">
      <w:pPr>
        <w:rPr>
          <w:sz w:val="24"/>
        </w:rPr>
      </w:pPr>
    </w:p>
    <w:p w:rsidR="00A3252F" w:rsidRDefault="009A7D5E" w:rsidP="00F623D5">
      <w:pPr>
        <w:tabs>
          <w:tab w:val="left" w:pos="810"/>
        </w:tabs>
        <w:ind w:left="360"/>
        <w:rPr>
          <w:sz w:val="24"/>
        </w:rPr>
      </w:pPr>
      <w:r>
        <w:rPr>
          <w:sz w:val="24"/>
        </w:rPr>
        <w:t xml:space="preserve">An individual is deemed to be eligible for coverage in the </w:t>
      </w:r>
      <w:r w:rsidR="00BA3DA3">
        <w:rPr>
          <w:sz w:val="24"/>
        </w:rPr>
        <w:t>PCIP</w:t>
      </w:r>
      <w:r>
        <w:rPr>
          <w:sz w:val="24"/>
        </w:rPr>
        <w:t xml:space="preserve"> if such individual</w:t>
      </w:r>
      <w:r w:rsidR="00A3252F">
        <w:rPr>
          <w:sz w:val="24"/>
        </w:rPr>
        <w:t>:</w:t>
      </w:r>
    </w:p>
    <w:p w:rsidR="00F21169" w:rsidRDefault="00B138BC" w:rsidP="00F21169">
      <w:pPr>
        <w:numPr>
          <w:ilvl w:val="0"/>
          <w:numId w:val="36"/>
          <w:numberingChange w:id="3" w:author="Laura Dash" w:date="2010-06-24T09:41:00Z" w:original=""/>
        </w:numPr>
        <w:tabs>
          <w:tab w:val="left" w:pos="810"/>
        </w:tabs>
        <w:rPr>
          <w:sz w:val="24"/>
        </w:rPr>
      </w:pPr>
      <w:r>
        <w:rPr>
          <w:sz w:val="24"/>
        </w:rPr>
        <w:t>I</w:t>
      </w:r>
      <w:r w:rsidR="009A7D5E">
        <w:rPr>
          <w:sz w:val="24"/>
        </w:rPr>
        <w:t>s a citizen or national of the United States or is lawfully present in the United States;</w:t>
      </w:r>
    </w:p>
    <w:p w:rsidR="00F21169" w:rsidRDefault="00B138BC" w:rsidP="00F21169">
      <w:pPr>
        <w:numPr>
          <w:ilvl w:val="0"/>
          <w:numId w:val="36"/>
          <w:numberingChange w:id="4" w:author="Laura Dash" w:date="2010-06-24T09:41:00Z" w:original=""/>
        </w:numPr>
        <w:tabs>
          <w:tab w:val="left" w:pos="810"/>
        </w:tabs>
        <w:rPr>
          <w:sz w:val="24"/>
        </w:rPr>
      </w:pPr>
      <w:r>
        <w:rPr>
          <w:sz w:val="24"/>
        </w:rPr>
        <w:t>H</w:t>
      </w:r>
      <w:r w:rsidR="009A7D5E">
        <w:rPr>
          <w:sz w:val="24"/>
        </w:rPr>
        <w:t xml:space="preserve">as not been covered under creditable coverage (as defined in section 2701(c)(1) of the Public Health Service Act as in effect on the date of enactment of this Act) during the 6-month period prior to the date on which such individual is applying for coverage through the </w:t>
      </w:r>
      <w:r w:rsidR="00DD7011">
        <w:rPr>
          <w:sz w:val="24"/>
        </w:rPr>
        <w:t>PCIP</w:t>
      </w:r>
      <w:r w:rsidR="009A7D5E">
        <w:rPr>
          <w:sz w:val="24"/>
        </w:rPr>
        <w:t>; and</w:t>
      </w:r>
    </w:p>
    <w:p w:rsidR="00F21169" w:rsidRDefault="00B138BC" w:rsidP="00F21169">
      <w:pPr>
        <w:numPr>
          <w:ilvl w:val="0"/>
          <w:numId w:val="36"/>
          <w:numberingChange w:id="5" w:author="Laura Dash" w:date="2010-06-24T09:41:00Z" w:original=""/>
        </w:numPr>
        <w:tabs>
          <w:tab w:val="left" w:pos="810"/>
        </w:tabs>
        <w:rPr>
          <w:sz w:val="24"/>
        </w:rPr>
      </w:pPr>
      <w:r>
        <w:rPr>
          <w:sz w:val="24"/>
        </w:rPr>
        <w:t>H</w:t>
      </w:r>
      <w:r w:rsidR="009A7D5E">
        <w:rPr>
          <w:sz w:val="24"/>
        </w:rPr>
        <w:t>as a pre-existing condition</w:t>
      </w:r>
      <w:r>
        <w:rPr>
          <w:sz w:val="24"/>
        </w:rPr>
        <w:t xml:space="preserve">, as </w:t>
      </w:r>
      <w:r w:rsidR="002E7762">
        <w:rPr>
          <w:sz w:val="24"/>
        </w:rPr>
        <w:t xml:space="preserve">determined in a manner consistent with guidance issued </w:t>
      </w:r>
      <w:r>
        <w:rPr>
          <w:sz w:val="24"/>
        </w:rPr>
        <w:t>by the Secretary</w:t>
      </w:r>
      <w:r w:rsidR="009A7D5E">
        <w:rPr>
          <w:sz w:val="24"/>
        </w:rPr>
        <w:t>.</w:t>
      </w:r>
    </w:p>
    <w:p w:rsidR="00A3252F" w:rsidRDefault="00A3252F" w:rsidP="00F623D5">
      <w:pPr>
        <w:tabs>
          <w:tab w:val="left" w:pos="810"/>
        </w:tabs>
        <w:ind w:left="360"/>
        <w:rPr>
          <w:sz w:val="24"/>
        </w:rPr>
      </w:pPr>
    </w:p>
    <w:p w:rsidR="00073D3B" w:rsidRDefault="00146780" w:rsidP="00F623D5">
      <w:pPr>
        <w:numPr>
          <w:ilvl w:val="0"/>
          <w:numId w:val="1"/>
          <w:numberingChange w:id="6" w:author="Laura Dash" w:date="2010-06-24T09:41:00Z" w:original="%1:3:0:."/>
        </w:numPr>
        <w:rPr>
          <w:sz w:val="24"/>
        </w:rPr>
      </w:pPr>
      <w:r>
        <w:rPr>
          <w:b/>
          <w:sz w:val="24"/>
          <w:u w:val="single"/>
        </w:rPr>
        <w:t>Use of Improved Information Technology and Burden Reduction</w:t>
      </w:r>
    </w:p>
    <w:p w:rsidR="00073D3B" w:rsidRDefault="00073D3B" w:rsidP="00F623D5">
      <w:pPr>
        <w:ind w:firstLine="720"/>
        <w:rPr>
          <w:sz w:val="24"/>
        </w:rPr>
      </w:pPr>
    </w:p>
    <w:p w:rsidR="0045013A" w:rsidRDefault="0045013A" w:rsidP="004F4BF7">
      <w:pPr>
        <w:ind w:left="360"/>
        <w:rPr>
          <w:sz w:val="24"/>
        </w:rPr>
      </w:pPr>
      <w:r>
        <w:rPr>
          <w:sz w:val="24"/>
        </w:rPr>
        <w:t>Information collected</w:t>
      </w:r>
      <w:r w:rsidR="00BB4D89">
        <w:rPr>
          <w:sz w:val="24"/>
        </w:rPr>
        <w:t>, including the enrollment application and proof of eligibility,</w:t>
      </w:r>
      <w:r>
        <w:rPr>
          <w:sz w:val="24"/>
        </w:rPr>
        <w:t xml:space="preserve"> </w:t>
      </w:r>
      <w:r w:rsidR="00BB4D89">
        <w:rPr>
          <w:sz w:val="24"/>
        </w:rPr>
        <w:t>may</w:t>
      </w:r>
      <w:r>
        <w:rPr>
          <w:sz w:val="24"/>
        </w:rPr>
        <w:t xml:space="preserve"> be submitted </w:t>
      </w:r>
      <w:r w:rsidR="00BB4D89">
        <w:rPr>
          <w:sz w:val="24"/>
        </w:rPr>
        <w:t>via fax, United States mail</w:t>
      </w:r>
      <w:r>
        <w:rPr>
          <w:sz w:val="24"/>
        </w:rPr>
        <w:t xml:space="preserve"> or </w:t>
      </w:r>
      <w:r w:rsidR="00BB4D89">
        <w:rPr>
          <w:sz w:val="24"/>
        </w:rPr>
        <w:t xml:space="preserve">electronically, at the consumers discretion. </w:t>
      </w:r>
      <w:r w:rsidR="00BB4D89">
        <w:rPr>
          <w:sz w:val="24"/>
        </w:rPr>
        <w:lastRenderedPageBreak/>
        <w:t xml:space="preserve">Information will be collected from individuals with varying access to electronic </w:t>
      </w:r>
      <w:r w:rsidR="001D77EC">
        <w:rPr>
          <w:sz w:val="24"/>
        </w:rPr>
        <w:t>devices</w:t>
      </w:r>
      <w:r w:rsidR="00BB4D89">
        <w:rPr>
          <w:sz w:val="24"/>
        </w:rPr>
        <w:t xml:space="preserve"> and therefore requiring all individuals to submit information electronically </w:t>
      </w:r>
      <w:r w:rsidR="001D77EC">
        <w:rPr>
          <w:sz w:val="24"/>
        </w:rPr>
        <w:t>would</w:t>
      </w:r>
      <w:r w:rsidR="00BB4D89">
        <w:rPr>
          <w:sz w:val="24"/>
        </w:rPr>
        <w:t xml:space="preserve"> restrict individuals from being able to apply for coverage in the </w:t>
      </w:r>
      <w:r w:rsidR="00BA3DA3">
        <w:rPr>
          <w:sz w:val="24"/>
        </w:rPr>
        <w:t>PCIP</w:t>
      </w:r>
      <w:r w:rsidR="00BB4D89">
        <w:rPr>
          <w:sz w:val="24"/>
        </w:rPr>
        <w:t xml:space="preserve">.   </w:t>
      </w:r>
    </w:p>
    <w:p w:rsidR="00146780" w:rsidRDefault="00146780" w:rsidP="00F623D5">
      <w:pPr>
        <w:ind w:left="360"/>
        <w:rPr>
          <w:sz w:val="24"/>
        </w:rPr>
      </w:pPr>
    </w:p>
    <w:p w:rsidR="00146780" w:rsidRDefault="00146780" w:rsidP="00F623D5">
      <w:pPr>
        <w:numPr>
          <w:ilvl w:val="0"/>
          <w:numId w:val="1"/>
          <w:numberingChange w:id="7" w:author="Laura Dash" w:date="2010-06-24T09:41:00Z" w:original="%1:4:0:."/>
        </w:numPr>
        <w:rPr>
          <w:b/>
          <w:sz w:val="24"/>
        </w:rPr>
      </w:pPr>
      <w:r>
        <w:rPr>
          <w:b/>
          <w:sz w:val="24"/>
          <w:u w:val="single"/>
        </w:rPr>
        <w:t>Efforts to  Identify Duplication and Use of Similar Information</w:t>
      </w:r>
    </w:p>
    <w:p w:rsidR="00146780" w:rsidRDefault="00146780" w:rsidP="00F623D5">
      <w:pPr>
        <w:ind w:left="720"/>
        <w:rPr>
          <w:b/>
          <w:sz w:val="24"/>
        </w:rPr>
      </w:pPr>
    </w:p>
    <w:p w:rsidR="00E2437C" w:rsidRDefault="00906EF0" w:rsidP="00F623D5">
      <w:pPr>
        <w:ind w:left="360"/>
        <w:rPr>
          <w:sz w:val="24"/>
        </w:rPr>
      </w:pPr>
      <w:r w:rsidRPr="00F623D5">
        <w:rPr>
          <w:sz w:val="24"/>
        </w:rPr>
        <w:t xml:space="preserve">Since this is a new program that was created through </w:t>
      </w:r>
      <w:r w:rsidR="00DE6D93" w:rsidRPr="00F623D5">
        <w:rPr>
          <w:sz w:val="24"/>
        </w:rPr>
        <w:t>the Affordable Care Act</w:t>
      </w:r>
      <w:r w:rsidR="005F1B86" w:rsidRPr="00F623D5">
        <w:rPr>
          <w:sz w:val="24"/>
        </w:rPr>
        <w:t>,</w:t>
      </w:r>
      <w:r w:rsidRPr="00F623D5">
        <w:rPr>
          <w:sz w:val="24"/>
        </w:rPr>
        <w:t xml:space="preserve"> the information that will be collect</w:t>
      </w:r>
      <w:r w:rsidR="00D01D33" w:rsidRPr="00F623D5">
        <w:rPr>
          <w:sz w:val="24"/>
        </w:rPr>
        <w:t>ed</w:t>
      </w:r>
      <w:r w:rsidRPr="00F623D5">
        <w:rPr>
          <w:sz w:val="24"/>
        </w:rPr>
        <w:t xml:space="preserve"> has never been collected before by the </w:t>
      </w:r>
      <w:r w:rsidR="00D01D33" w:rsidRPr="00F623D5">
        <w:rPr>
          <w:sz w:val="24"/>
        </w:rPr>
        <w:t>F</w:t>
      </w:r>
      <w:r w:rsidRPr="00F623D5">
        <w:rPr>
          <w:sz w:val="24"/>
        </w:rPr>
        <w:t>ederal government.</w:t>
      </w:r>
      <w:r>
        <w:rPr>
          <w:sz w:val="24"/>
        </w:rPr>
        <w:t xml:space="preserve"> </w:t>
      </w:r>
      <w:r w:rsidR="008759B3">
        <w:rPr>
          <w:sz w:val="24"/>
        </w:rPr>
        <w:t xml:space="preserve"> </w:t>
      </w:r>
    </w:p>
    <w:p w:rsidR="00906EF0" w:rsidRDefault="008759B3" w:rsidP="00F623D5">
      <w:pPr>
        <w:ind w:left="360"/>
        <w:rPr>
          <w:sz w:val="24"/>
        </w:rPr>
      </w:pPr>
      <w:r>
        <w:rPr>
          <w:sz w:val="24"/>
        </w:rPr>
        <w:t xml:space="preserve"> </w:t>
      </w:r>
    </w:p>
    <w:p w:rsidR="00146780" w:rsidRDefault="00146780" w:rsidP="00F623D5">
      <w:pPr>
        <w:numPr>
          <w:ilvl w:val="0"/>
          <w:numId w:val="1"/>
          <w:numberingChange w:id="8" w:author="Laura Dash" w:date="2010-06-24T09:41:00Z" w:original="%1:5:0:."/>
        </w:numPr>
        <w:rPr>
          <w:color w:val="000000"/>
          <w:sz w:val="24"/>
        </w:rPr>
      </w:pPr>
      <w:r>
        <w:rPr>
          <w:b/>
          <w:sz w:val="24"/>
          <w:u w:val="single"/>
        </w:rPr>
        <w:t>Impact on Small Businesses or Other Small Entities</w:t>
      </w:r>
    </w:p>
    <w:p w:rsidR="00146780" w:rsidRDefault="00146780" w:rsidP="00F623D5">
      <w:pPr>
        <w:ind w:left="720"/>
        <w:rPr>
          <w:color w:val="000000"/>
          <w:sz w:val="24"/>
        </w:rPr>
      </w:pPr>
    </w:p>
    <w:p w:rsidR="00146780" w:rsidRDefault="00CF1620" w:rsidP="00F623D5">
      <w:pPr>
        <w:ind w:left="360"/>
        <w:rPr>
          <w:i/>
          <w:sz w:val="24"/>
        </w:rPr>
      </w:pPr>
      <w:r>
        <w:rPr>
          <w:sz w:val="24"/>
        </w:rPr>
        <w:t>No impact on small business</w:t>
      </w:r>
      <w:r w:rsidR="004F4A06">
        <w:rPr>
          <w:sz w:val="24"/>
        </w:rPr>
        <w:t>.</w:t>
      </w:r>
    </w:p>
    <w:p w:rsidR="00146780" w:rsidRDefault="00146780" w:rsidP="00F623D5">
      <w:pPr>
        <w:ind w:left="360"/>
        <w:rPr>
          <w:sz w:val="24"/>
        </w:rPr>
      </w:pPr>
    </w:p>
    <w:p w:rsidR="00146780" w:rsidRDefault="00146780" w:rsidP="00F623D5">
      <w:pPr>
        <w:numPr>
          <w:ilvl w:val="0"/>
          <w:numId w:val="1"/>
          <w:numberingChange w:id="9" w:author="Laura Dash" w:date="2010-06-24T09:41:00Z" w:original="%1:6:0:."/>
        </w:numPr>
        <w:rPr>
          <w:b/>
          <w:sz w:val="24"/>
        </w:rPr>
      </w:pPr>
      <w:r>
        <w:rPr>
          <w:b/>
          <w:sz w:val="24"/>
          <w:u w:val="single"/>
        </w:rPr>
        <w:t>Consequences of Collecting the Information Less Frequent Collection</w:t>
      </w:r>
    </w:p>
    <w:p w:rsidR="00146780" w:rsidRDefault="00146780" w:rsidP="00F623D5">
      <w:pPr>
        <w:ind w:left="720"/>
        <w:rPr>
          <w:b/>
          <w:sz w:val="24"/>
        </w:rPr>
      </w:pPr>
    </w:p>
    <w:p w:rsidR="00146780" w:rsidRDefault="00603A18" w:rsidP="00F623D5">
      <w:pPr>
        <w:widowControl/>
        <w:autoSpaceDE/>
        <w:autoSpaceDN/>
        <w:adjustRightInd/>
        <w:ind w:left="360"/>
        <w:rPr>
          <w:sz w:val="24"/>
        </w:rPr>
      </w:pPr>
      <w:r>
        <w:rPr>
          <w:sz w:val="24"/>
        </w:rPr>
        <w:t xml:space="preserve">Information collected </w:t>
      </w:r>
      <w:r w:rsidR="00906EF0">
        <w:rPr>
          <w:sz w:val="24"/>
        </w:rPr>
        <w:t xml:space="preserve">is a </w:t>
      </w:r>
      <w:r w:rsidR="00866D8C">
        <w:rPr>
          <w:sz w:val="24"/>
        </w:rPr>
        <w:t>one</w:t>
      </w:r>
      <w:r w:rsidR="00122041">
        <w:rPr>
          <w:sz w:val="24"/>
        </w:rPr>
        <w:t>-</w:t>
      </w:r>
      <w:r w:rsidR="00866D8C">
        <w:rPr>
          <w:sz w:val="24"/>
        </w:rPr>
        <w:t>time</w:t>
      </w:r>
      <w:r w:rsidR="00CF1620">
        <w:rPr>
          <w:sz w:val="24"/>
        </w:rPr>
        <w:t xml:space="preserve"> data </w:t>
      </w:r>
      <w:r w:rsidR="00906EF0">
        <w:rPr>
          <w:sz w:val="24"/>
        </w:rPr>
        <w:t>collection.</w:t>
      </w:r>
      <w:r>
        <w:rPr>
          <w:sz w:val="24"/>
        </w:rPr>
        <w:t xml:space="preserve">  </w:t>
      </w:r>
    </w:p>
    <w:p w:rsidR="00F623D5" w:rsidRDefault="00F623D5" w:rsidP="00F623D5">
      <w:pPr>
        <w:widowControl/>
        <w:autoSpaceDE/>
        <w:autoSpaceDN/>
        <w:adjustRightInd/>
        <w:ind w:left="360"/>
        <w:rPr>
          <w:color w:val="000000"/>
          <w:sz w:val="24"/>
        </w:rPr>
      </w:pPr>
    </w:p>
    <w:p w:rsidR="00906EF0" w:rsidRDefault="00146780" w:rsidP="00F623D5">
      <w:pPr>
        <w:numPr>
          <w:ilvl w:val="0"/>
          <w:numId w:val="1"/>
          <w:numberingChange w:id="10" w:author="Laura Dash" w:date="2010-06-24T09:41:00Z" w:original="%1:7:0:."/>
        </w:numPr>
        <w:rPr>
          <w:b/>
          <w:sz w:val="24"/>
        </w:rPr>
      </w:pPr>
      <w:r>
        <w:rPr>
          <w:b/>
          <w:sz w:val="24"/>
          <w:u w:val="single"/>
        </w:rPr>
        <w:t>Special Circumstances Relating to the Guidelines of 5 CFR 1320.5</w:t>
      </w:r>
    </w:p>
    <w:p w:rsidR="00906EF0" w:rsidRDefault="00906EF0" w:rsidP="00F623D5">
      <w:pPr>
        <w:rPr>
          <w:b/>
          <w:sz w:val="24"/>
        </w:rPr>
      </w:pPr>
    </w:p>
    <w:p w:rsidR="00CF1620" w:rsidRPr="00906EF0" w:rsidRDefault="00CF1620" w:rsidP="00F623D5">
      <w:pPr>
        <w:ind w:left="360"/>
        <w:rPr>
          <w:b/>
          <w:sz w:val="24"/>
        </w:rPr>
      </w:pPr>
      <w:r>
        <w:rPr>
          <w:sz w:val="24"/>
        </w:rPr>
        <w:t>No special circumstance</w:t>
      </w:r>
      <w:r w:rsidR="004F4A06">
        <w:rPr>
          <w:sz w:val="24"/>
        </w:rPr>
        <w:t>.</w:t>
      </w:r>
    </w:p>
    <w:p w:rsidR="00146780" w:rsidRDefault="00146780" w:rsidP="00F623D5">
      <w:pPr>
        <w:ind w:left="360"/>
        <w:rPr>
          <w:sz w:val="24"/>
        </w:rPr>
      </w:pPr>
    </w:p>
    <w:p w:rsidR="00146780" w:rsidRDefault="00146780" w:rsidP="00F623D5">
      <w:pPr>
        <w:numPr>
          <w:ilvl w:val="0"/>
          <w:numId w:val="1"/>
          <w:numberingChange w:id="11" w:author="Laura Dash" w:date="2010-06-24T09:41:00Z" w:original="%1:8:0:."/>
        </w:numPr>
        <w:rPr>
          <w:b/>
          <w:sz w:val="24"/>
        </w:rPr>
      </w:pPr>
      <w:r>
        <w:rPr>
          <w:b/>
          <w:iCs/>
          <w:sz w:val="24"/>
          <w:u w:val="single"/>
        </w:rPr>
        <w:t>Comments in Response to the Federal Register</w:t>
      </w:r>
      <w:r>
        <w:rPr>
          <w:b/>
          <w:sz w:val="24"/>
          <w:u w:val="single"/>
        </w:rPr>
        <w:t xml:space="preserve"> Notice/Outside Consultation</w:t>
      </w:r>
    </w:p>
    <w:p w:rsidR="00906EF0" w:rsidRDefault="00906EF0" w:rsidP="00F623D5">
      <w:pPr>
        <w:rPr>
          <w:b/>
          <w:sz w:val="24"/>
        </w:rPr>
      </w:pPr>
    </w:p>
    <w:p w:rsidR="00CF1620" w:rsidRDefault="00CF1620" w:rsidP="00F623D5">
      <w:pPr>
        <w:ind w:left="360"/>
        <w:rPr>
          <w:sz w:val="24"/>
        </w:rPr>
      </w:pPr>
      <w:r>
        <w:rPr>
          <w:sz w:val="24"/>
        </w:rPr>
        <w:t>Due to the emergency nature of the program announce OMB has waived the F</w:t>
      </w:r>
      <w:r w:rsidR="00F73EBA">
        <w:rPr>
          <w:sz w:val="24"/>
        </w:rPr>
        <w:t xml:space="preserve">ederal Register notice </w:t>
      </w:r>
      <w:r>
        <w:rPr>
          <w:sz w:val="24"/>
        </w:rPr>
        <w:t xml:space="preserve">requirements for this collection. </w:t>
      </w:r>
    </w:p>
    <w:p w:rsidR="00146780" w:rsidRDefault="00146780" w:rsidP="00F623D5">
      <w:pPr>
        <w:ind w:left="360"/>
        <w:rPr>
          <w:sz w:val="24"/>
        </w:rPr>
      </w:pPr>
    </w:p>
    <w:p w:rsidR="00146780" w:rsidRDefault="00146780" w:rsidP="00F623D5">
      <w:pPr>
        <w:numPr>
          <w:ilvl w:val="0"/>
          <w:numId w:val="1"/>
          <w:numberingChange w:id="12" w:author="Laura Dash" w:date="2010-06-24T09:41:00Z" w:original="%1:9:0:."/>
        </w:numPr>
        <w:rPr>
          <w:b/>
          <w:sz w:val="24"/>
        </w:rPr>
      </w:pPr>
      <w:r>
        <w:rPr>
          <w:b/>
          <w:sz w:val="24"/>
          <w:u w:val="single"/>
        </w:rPr>
        <w:t>Explanation of any Payment/Gift to Respondents</w:t>
      </w:r>
    </w:p>
    <w:p w:rsidR="00906EF0" w:rsidRDefault="00906EF0" w:rsidP="00F623D5">
      <w:pPr>
        <w:rPr>
          <w:sz w:val="24"/>
        </w:rPr>
      </w:pPr>
    </w:p>
    <w:p w:rsidR="00146780" w:rsidRDefault="00CF1620" w:rsidP="00F623D5">
      <w:pPr>
        <w:ind w:left="360"/>
        <w:rPr>
          <w:sz w:val="24"/>
        </w:rPr>
      </w:pPr>
      <w:r>
        <w:rPr>
          <w:sz w:val="24"/>
        </w:rPr>
        <w:t>Not applicable</w:t>
      </w:r>
      <w:r w:rsidR="00504B58">
        <w:rPr>
          <w:sz w:val="24"/>
        </w:rPr>
        <w:t>.</w:t>
      </w:r>
      <w:r>
        <w:rPr>
          <w:sz w:val="24"/>
        </w:rPr>
        <w:t xml:space="preserve"> </w:t>
      </w:r>
    </w:p>
    <w:p w:rsidR="00146780" w:rsidRDefault="00146780" w:rsidP="00F623D5">
      <w:pPr>
        <w:ind w:left="1440"/>
        <w:rPr>
          <w:sz w:val="24"/>
        </w:rPr>
      </w:pPr>
    </w:p>
    <w:p w:rsidR="00146780" w:rsidRPr="00906EF0" w:rsidRDefault="00146780" w:rsidP="00F623D5">
      <w:pPr>
        <w:numPr>
          <w:ilvl w:val="0"/>
          <w:numId w:val="1"/>
          <w:numberingChange w:id="13" w:author="Laura Dash" w:date="2010-06-24T09:41:00Z" w:original="%1:10:0:."/>
        </w:numPr>
        <w:rPr>
          <w:b/>
          <w:sz w:val="24"/>
        </w:rPr>
      </w:pPr>
      <w:r>
        <w:rPr>
          <w:b/>
          <w:sz w:val="24"/>
          <w:u w:val="single"/>
        </w:rPr>
        <w:t>Assurance of Confidentiality Provided to Respondents</w:t>
      </w:r>
    </w:p>
    <w:p w:rsidR="00906EF0" w:rsidRDefault="00906EF0" w:rsidP="00F623D5">
      <w:pPr>
        <w:ind w:left="720"/>
        <w:rPr>
          <w:b/>
          <w:sz w:val="24"/>
        </w:rPr>
      </w:pPr>
    </w:p>
    <w:p w:rsidR="00146780" w:rsidRDefault="00CF1620" w:rsidP="00F623D5">
      <w:pPr>
        <w:ind w:left="360"/>
        <w:rPr>
          <w:sz w:val="24"/>
        </w:rPr>
      </w:pPr>
      <w:r w:rsidRPr="008D60C0">
        <w:rPr>
          <w:sz w:val="24"/>
        </w:rPr>
        <w:t>All information will b</w:t>
      </w:r>
      <w:r w:rsidR="008759B3" w:rsidRPr="008D60C0">
        <w:rPr>
          <w:sz w:val="24"/>
        </w:rPr>
        <w:t xml:space="preserve">e kept </w:t>
      </w:r>
      <w:r w:rsidR="005F1B86" w:rsidRPr="008D60C0">
        <w:rPr>
          <w:sz w:val="24"/>
        </w:rPr>
        <w:t>private to the extent allowed by</w:t>
      </w:r>
      <w:r w:rsidR="008759B3" w:rsidRPr="008D60C0">
        <w:rPr>
          <w:sz w:val="24"/>
        </w:rPr>
        <w:t xml:space="preserve"> application laws/regulations.</w:t>
      </w:r>
      <w:r w:rsidR="008759B3">
        <w:rPr>
          <w:sz w:val="24"/>
        </w:rPr>
        <w:t xml:space="preserve"> </w:t>
      </w:r>
    </w:p>
    <w:p w:rsidR="00906EF0" w:rsidRDefault="00906EF0" w:rsidP="00F623D5">
      <w:pPr>
        <w:ind w:firstLine="720"/>
        <w:rPr>
          <w:sz w:val="24"/>
        </w:rPr>
      </w:pPr>
    </w:p>
    <w:p w:rsidR="00906EF0" w:rsidRDefault="00146780" w:rsidP="00F623D5">
      <w:pPr>
        <w:numPr>
          <w:ilvl w:val="0"/>
          <w:numId w:val="1"/>
          <w:numberingChange w:id="14" w:author="Laura Dash" w:date="2010-06-24T09:41:00Z" w:original="%1:11:0:."/>
        </w:numPr>
        <w:rPr>
          <w:b/>
          <w:sz w:val="24"/>
        </w:rPr>
      </w:pPr>
      <w:r>
        <w:rPr>
          <w:b/>
          <w:sz w:val="24"/>
          <w:u w:val="single"/>
        </w:rPr>
        <w:t>Justification for Sensitive Questions</w:t>
      </w:r>
    </w:p>
    <w:p w:rsidR="00906EF0" w:rsidRDefault="00906EF0" w:rsidP="00F623D5">
      <w:pPr>
        <w:rPr>
          <w:b/>
          <w:sz w:val="24"/>
        </w:rPr>
      </w:pPr>
    </w:p>
    <w:p w:rsidR="00146780" w:rsidRDefault="002F32F8" w:rsidP="00993C59">
      <w:pPr>
        <w:ind w:left="360"/>
        <w:rPr>
          <w:sz w:val="24"/>
        </w:rPr>
      </w:pPr>
      <w:r>
        <w:rPr>
          <w:sz w:val="24"/>
        </w:rPr>
        <w:t xml:space="preserve">On March 23, 2010, the President signed into law H.R. 3590, the Patient Protection and Affordable Care Act (Affordable Care Act), Public Law 111-148.  Section 1101 of the law establishes a “temporary high risk health insurance pool program” (which has been named the Pre-Existing Condition Insurance Plan) to provide health insurance coverage to currently uninsured individuals with pre-existing conditions.   Under this section, individuals applying for coverage in the Pre-Existing Condition Insurance Plan must be “a citizen or national of the United States or lawfully present in the United States (as determined in accordance with section 1411).”  Section 1411 of the law establishes that in order to verify citizenship or immigration status the </w:t>
      </w:r>
      <w:r w:rsidR="00E457D3">
        <w:rPr>
          <w:sz w:val="24"/>
        </w:rPr>
        <w:t xml:space="preserve">applicant’s </w:t>
      </w:r>
      <w:r>
        <w:rPr>
          <w:sz w:val="24"/>
        </w:rPr>
        <w:t xml:space="preserve">social security number </w:t>
      </w:r>
      <w:r w:rsidR="00E457D3">
        <w:rPr>
          <w:sz w:val="24"/>
        </w:rPr>
        <w:t xml:space="preserve">or other information related to </w:t>
      </w:r>
      <w:r w:rsidR="00E457D3">
        <w:rPr>
          <w:sz w:val="24"/>
        </w:rPr>
        <w:lastRenderedPageBreak/>
        <w:t xml:space="preserve">establishing the individual’s lawful presence </w:t>
      </w:r>
      <w:r>
        <w:rPr>
          <w:sz w:val="24"/>
        </w:rPr>
        <w:t>shall be provided.</w:t>
      </w:r>
    </w:p>
    <w:p w:rsidR="00617265" w:rsidRDefault="00617265" w:rsidP="00F623D5">
      <w:pPr>
        <w:ind w:left="360"/>
        <w:rPr>
          <w:sz w:val="24"/>
        </w:rPr>
      </w:pPr>
    </w:p>
    <w:p w:rsidR="00146780" w:rsidRDefault="00146780" w:rsidP="00F623D5">
      <w:pPr>
        <w:numPr>
          <w:ilvl w:val="0"/>
          <w:numId w:val="1"/>
          <w:numberingChange w:id="15" w:author="Laura Dash" w:date="2010-06-24T09:41:00Z" w:original="%1:12:0:."/>
        </w:numPr>
        <w:rPr>
          <w:sz w:val="24"/>
        </w:rPr>
      </w:pPr>
      <w:r>
        <w:rPr>
          <w:b/>
          <w:sz w:val="24"/>
          <w:u w:val="single"/>
        </w:rPr>
        <w:t>Estimates</w:t>
      </w:r>
      <w:r w:rsidR="00906EF0">
        <w:rPr>
          <w:b/>
          <w:sz w:val="24"/>
          <w:u w:val="single"/>
        </w:rPr>
        <w:t xml:space="preserve"> of Annualized Burden </w:t>
      </w:r>
      <w:r>
        <w:rPr>
          <w:b/>
          <w:sz w:val="24"/>
          <w:u w:val="single"/>
        </w:rPr>
        <w:t xml:space="preserve">Hours </w:t>
      </w:r>
      <w:r>
        <w:rPr>
          <w:b/>
          <w:sz w:val="24"/>
        </w:rPr>
        <w:t>(Total Hours &amp; Wages</w:t>
      </w:r>
      <w:r>
        <w:rPr>
          <w:sz w:val="24"/>
        </w:rPr>
        <w:t>)</w:t>
      </w:r>
    </w:p>
    <w:p w:rsidR="00146780" w:rsidRDefault="00146780" w:rsidP="00F623D5">
      <w:pPr>
        <w:widowControl/>
        <w:rPr>
          <w:sz w:val="24"/>
        </w:rPr>
      </w:pPr>
    </w:p>
    <w:p w:rsidR="00904379" w:rsidRDefault="00904379" w:rsidP="00F623D5">
      <w:pPr>
        <w:widowControl/>
        <w:rPr>
          <w:sz w:val="24"/>
        </w:rPr>
      </w:pPr>
      <w:r>
        <w:rPr>
          <w:sz w:val="24"/>
        </w:rPr>
        <w:t xml:space="preserve">In order to complete the application for coverage, each applicant will be asked to complete </w:t>
      </w:r>
      <w:r w:rsidR="00CB590D">
        <w:rPr>
          <w:sz w:val="24"/>
        </w:rPr>
        <w:t xml:space="preserve">(1) </w:t>
      </w:r>
      <w:r>
        <w:rPr>
          <w:sz w:val="24"/>
        </w:rPr>
        <w:t xml:space="preserve">information about the person applying for coverage, </w:t>
      </w:r>
      <w:r w:rsidR="00CB590D">
        <w:rPr>
          <w:sz w:val="24"/>
        </w:rPr>
        <w:t xml:space="preserve">(2) </w:t>
      </w:r>
      <w:r>
        <w:rPr>
          <w:sz w:val="24"/>
        </w:rPr>
        <w:t>information about the applicant</w:t>
      </w:r>
      <w:r w:rsidR="00B138BC">
        <w:rPr>
          <w:sz w:val="24"/>
        </w:rPr>
        <w:t>’</w:t>
      </w:r>
      <w:r>
        <w:rPr>
          <w:sz w:val="24"/>
        </w:rPr>
        <w:t xml:space="preserve">s state of residence, </w:t>
      </w:r>
      <w:r w:rsidR="00CB590D">
        <w:rPr>
          <w:sz w:val="24"/>
        </w:rPr>
        <w:t xml:space="preserve">(3) information about prior enrollment in another PCIP, (4) </w:t>
      </w:r>
      <w:r>
        <w:rPr>
          <w:sz w:val="24"/>
        </w:rPr>
        <w:t>information about the applicant</w:t>
      </w:r>
      <w:r w:rsidR="00B138BC">
        <w:rPr>
          <w:sz w:val="24"/>
        </w:rPr>
        <w:t>’</w:t>
      </w:r>
      <w:r>
        <w:rPr>
          <w:sz w:val="24"/>
        </w:rPr>
        <w:t xml:space="preserve">s citizenship or immigration status, </w:t>
      </w:r>
      <w:r w:rsidR="00CB590D">
        <w:rPr>
          <w:sz w:val="24"/>
        </w:rPr>
        <w:t xml:space="preserve">(5) </w:t>
      </w:r>
      <w:r>
        <w:rPr>
          <w:sz w:val="24"/>
        </w:rPr>
        <w:t>information about the applicant</w:t>
      </w:r>
      <w:r w:rsidR="00B138BC">
        <w:rPr>
          <w:sz w:val="24"/>
        </w:rPr>
        <w:t>’</w:t>
      </w:r>
      <w:r>
        <w:rPr>
          <w:sz w:val="24"/>
        </w:rPr>
        <w:t xml:space="preserve">s medical condition or diagnosis, </w:t>
      </w:r>
      <w:r w:rsidR="00CB590D">
        <w:rPr>
          <w:sz w:val="24"/>
        </w:rPr>
        <w:t xml:space="preserve">(6) </w:t>
      </w:r>
      <w:r>
        <w:rPr>
          <w:sz w:val="24"/>
        </w:rPr>
        <w:t>information about the applicant</w:t>
      </w:r>
      <w:r w:rsidR="00B138BC">
        <w:rPr>
          <w:sz w:val="24"/>
        </w:rPr>
        <w:t>’</w:t>
      </w:r>
      <w:r>
        <w:rPr>
          <w:sz w:val="24"/>
        </w:rPr>
        <w:t>s other insurance coverage</w:t>
      </w:r>
      <w:r w:rsidR="00CB590D">
        <w:rPr>
          <w:sz w:val="24"/>
        </w:rPr>
        <w:t xml:space="preserve">, (7) </w:t>
      </w:r>
      <w:r w:rsidR="006D32C6">
        <w:rPr>
          <w:sz w:val="24"/>
        </w:rPr>
        <w:t xml:space="preserve">information about the applicant’s employer, (8) </w:t>
      </w:r>
      <w:r w:rsidR="00CB590D">
        <w:rPr>
          <w:sz w:val="24"/>
        </w:rPr>
        <w:t>what plan to enroll in, and (</w:t>
      </w:r>
      <w:r w:rsidR="006D32C6">
        <w:rPr>
          <w:sz w:val="24"/>
        </w:rPr>
        <w:t>9</w:t>
      </w:r>
      <w:r w:rsidR="00CB590D">
        <w:rPr>
          <w:sz w:val="24"/>
        </w:rPr>
        <w:t xml:space="preserve">) information about </w:t>
      </w:r>
      <w:r w:rsidR="00E457D3">
        <w:rPr>
          <w:sz w:val="24"/>
        </w:rPr>
        <w:t xml:space="preserve">any third party </w:t>
      </w:r>
      <w:r w:rsidR="00CB590D">
        <w:rPr>
          <w:sz w:val="24"/>
        </w:rPr>
        <w:t>payment of the applicant’s monthly premium</w:t>
      </w:r>
      <w:r w:rsidR="00B138BC">
        <w:rPr>
          <w:sz w:val="24"/>
        </w:rPr>
        <w:t xml:space="preserve">. </w:t>
      </w:r>
      <w:r w:rsidR="00E2437C">
        <w:rPr>
          <w:sz w:val="24"/>
        </w:rPr>
        <w:t xml:space="preserve"> </w:t>
      </w:r>
      <w:r w:rsidR="00B138BC">
        <w:rPr>
          <w:sz w:val="24"/>
        </w:rPr>
        <w:t xml:space="preserve">The applicant will also be asked to </w:t>
      </w:r>
      <w:r w:rsidR="00177BAA">
        <w:rPr>
          <w:sz w:val="24"/>
        </w:rPr>
        <w:t xml:space="preserve">verify their understanding of the application and </w:t>
      </w:r>
      <w:r w:rsidR="00B138BC">
        <w:rPr>
          <w:sz w:val="24"/>
        </w:rPr>
        <w:t>s</w:t>
      </w:r>
      <w:r>
        <w:rPr>
          <w:sz w:val="24"/>
        </w:rPr>
        <w:t xml:space="preserve">ign an attestation.  </w:t>
      </w:r>
      <w:r w:rsidR="00177BAA">
        <w:rPr>
          <w:sz w:val="24"/>
        </w:rPr>
        <w:t>As an optional section, the applicant may also indicate how they</w:t>
      </w:r>
      <w:r w:rsidR="00B906D4">
        <w:rPr>
          <w:sz w:val="24"/>
        </w:rPr>
        <w:t xml:space="preserve"> heard about the PCIP program.  Also, if a licensed insurance agent or broker assisted the applicant in applying to the PCIP program, the insurance agent or broker may provide their information to receive compensation for the application.  </w:t>
      </w:r>
      <w:r>
        <w:rPr>
          <w:sz w:val="24"/>
        </w:rPr>
        <w:t xml:space="preserve">The completed application in addition to proof of eligibility will be submitted to HHS.  Coverage will not begin until (1) the completed application and all required documentation are received and approved and (2) the applicant is billed for the first month’s premium and the payment is received and processed. </w:t>
      </w:r>
    </w:p>
    <w:p w:rsidR="00904379" w:rsidRDefault="00904379" w:rsidP="00F623D5">
      <w:pPr>
        <w:widowControl/>
        <w:rPr>
          <w:sz w:val="24"/>
        </w:rPr>
      </w:pPr>
    </w:p>
    <w:p w:rsidR="00866D8C" w:rsidRDefault="008847B4" w:rsidP="00F623D5">
      <w:pPr>
        <w:widowControl/>
        <w:rPr>
          <w:sz w:val="24"/>
        </w:rPr>
      </w:pPr>
      <w:r>
        <w:rPr>
          <w:sz w:val="24"/>
        </w:rPr>
        <w:t>We estimate that it will take approximately 1</w:t>
      </w:r>
      <w:r w:rsidR="008D2E61">
        <w:rPr>
          <w:sz w:val="24"/>
        </w:rPr>
        <w:t>.</w:t>
      </w:r>
      <w:r w:rsidR="008D4510">
        <w:rPr>
          <w:sz w:val="24"/>
        </w:rPr>
        <w:t>2</w:t>
      </w:r>
      <w:r w:rsidR="001F7C63">
        <w:rPr>
          <w:sz w:val="24"/>
        </w:rPr>
        <w:t>5</w:t>
      </w:r>
      <w:r>
        <w:rPr>
          <w:sz w:val="24"/>
        </w:rPr>
        <w:t xml:space="preserve"> hour</w:t>
      </w:r>
      <w:r w:rsidR="00841DBE">
        <w:rPr>
          <w:sz w:val="24"/>
        </w:rPr>
        <w:t>s</w:t>
      </w:r>
      <w:r>
        <w:rPr>
          <w:sz w:val="24"/>
        </w:rPr>
        <w:t xml:space="preserve"> </w:t>
      </w:r>
      <w:r w:rsidR="008D4510">
        <w:rPr>
          <w:sz w:val="24"/>
        </w:rPr>
        <w:t>(</w:t>
      </w:r>
      <w:r w:rsidR="006D32C6">
        <w:rPr>
          <w:sz w:val="24"/>
        </w:rPr>
        <w:t>one hour and fifteen</w:t>
      </w:r>
      <w:r w:rsidR="008D4510">
        <w:rPr>
          <w:sz w:val="24"/>
        </w:rPr>
        <w:t xml:space="preserve"> minutes) </w:t>
      </w:r>
      <w:r>
        <w:rPr>
          <w:sz w:val="24"/>
        </w:rPr>
        <w:t>per applicant to submit a completed application, proof of eligibility, and initial premium payment</w:t>
      </w:r>
      <w:r w:rsidR="00B138BC">
        <w:rPr>
          <w:sz w:val="24"/>
        </w:rPr>
        <w:t>, as broken down below</w:t>
      </w:r>
      <w:r>
        <w:rPr>
          <w:sz w:val="24"/>
        </w:rPr>
        <w:t xml:space="preserve">.  </w:t>
      </w:r>
    </w:p>
    <w:p w:rsidR="00866D8C" w:rsidRDefault="00866D8C" w:rsidP="00F623D5">
      <w:pPr>
        <w:widowControl/>
        <w:rPr>
          <w:sz w:val="24"/>
        </w:rPr>
      </w:pPr>
    </w:p>
    <w:p w:rsidR="005F1B86" w:rsidRDefault="00452540" w:rsidP="00F623D5">
      <w:pPr>
        <w:widowControl/>
        <w:rPr>
          <w:sz w:val="24"/>
        </w:rPr>
      </w:pPr>
      <w:r>
        <w:rPr>
          <w:sz w:val="24"/>
        </w:rPr>
        <w:t xml:space="preserve">We anticipate </w:t>
      </w:r>
      <w:r w:rsidR="007220D9">
        <w:rPr>
          <w:sz w:val="24"/>
        </w:rPr>
        <w:t xml:space="preserve">within the first six months of the program receiving two applications for every one successful enrollment based on our experience implementing prior health care services.  As the program progresses beyond 2010, we anticipate </w:t>
      </w:r>
      <w:r>
        <w:rPr>
          <w:sz w:val="24"/>
        </w:rPr>
        <w:t xml:space="preserve">receiving three applications for every two successful enrollments based on our experience with existing </w:t>
      </w:r>
      <w:r w:rsidR="003A7E57">
        <w:rPr>
          <w:sz w:val="24"/>
        </w:rPr>
        <w:t>s</w:t>
      </w:r>
      <w:r>
        <w:rPr>
          <w:sz w:val="24"/>
        </w:rPr>
        <w:t xml:space="preserve">tate </w:t>
      </w:r>
      <w:r w:rsidR="003A7E57">
        <w:rPr>
          <w:sz w:val="24"/>
        </w:rPr>
        <w:t>h</w:t>
      </w:r>
      <w:r>
        <w:rPr>
          <w:sz w:val="24"/>
        </w:rPr>
        <w:t xml:space="preserve">igh </w:t>
      </w:r>
      <w:r w:rsidR="003A7E57">
        <w:rPr>
          <w:sz w:val="24"/>
        </w:rPr>
        <w:t>r</w:t>
      </w:r>
      <w:r>
        <w:rPr>
          <w:sz w:val="24"/>
        </w:rPr>
        <w:t>isk</w:t>
      </w:r>
      <w:r w:rsidR="003A7E57">
        <w:rPr>
          <w:sz w:val="24"/>
        </w:rPr>
        <w:t xml:space="preserve"> pool</w:t>
      </w:r>
      <w:r>
        <w:rPr>
          <w:sz w:val="24"/>
        </w:rPr>
        <w:t xml:space="preserve"> programs.   The key reasons an applicant would not result in a successful enrollment are (1) the applicant does not satisfy the </w:t>
      </w:r>
      <w:r w:rsidR="00E457D3">
        <w:rPr>
          <w:sz w:val="24"/>
        </w:rPr>
        <w:t xml:space="preserve">eligibility </w:t>
      </w:r>
      <w:r>
        <w:rPr>
          <w:sz w:val="24"/>
        </w:rPr>
        <w:t xml:space="preserve">criteria and/or (2) the applicant fails to pay the premium to activate enrollment.  </w:t>
      </w:r>
      <w:r w:rsidR="00EC788B">
        <w:rPr>
          <w:sz w:val="24"/>
        </w:rPr>
        <w:t xml:space="preserve">Furthermore, historical data in existing </w:t>
      </w:r>
      <w:r w:rsidR="003A7E57">
        <w:rPr>
          <w:sz w:val="24"/>
        </w:rPr>
        <w:t>s</w:t>
      </w:r>
      <w:r w:rsidR="00EC788B">
        <w:rPr>
          <w:sz w:val="24"/>
        </w:rPr>
        <w:t xml:space="preserve">tate </w:t>
      </w:r>
      <w:r w:rsidR="003A7E57">
        <w:rPr>
          <w:sz w:val="24"/>
        </w:rPr>
        <w:t>h</w:t>
      </w:r>
      <w:r w:rsidR="00EC788B">
        <w:rPr>
          <w:sz w:val="24"/>
        </w:rPr>
        <w:t xml:space="preserve">igh </w:t>
      </w:r>
      <w:r w:rsidR="003A7E57">
        <w:rPr>
          <w:sz w:val="24"/>
        </w:rPr>
        <w:t>r</w:t>
      </w:r>
      <w:r w:rsidR="00EC788B">
        <w:rPr>
          <w:sz w:val="24"/>
        </w:rPr>
        <w:t xml:space="preserve">isk </w:t>
      </w:r>
      <w:r w:rsidR="003A7E57">
        <w:rPr>
          <w:sz w:val="24"/>
        </w:rPr>
        <w:t>pools</w:t>
      </w:r>
      <w:r w:rsidR="00EC788B">
        <w:rPr>
          <w:sz w:val="24"/>
        </w:rPr>
        <w:t xml:space="preserve"> show that an enrollee will remain enrolled in the program an average of three years.  Therefore we do not anticipate substantial churning.  </w:t>
      </w:r>
      <w:r>
        <w:rPr>
          <w:sz w:val="24"/>
        </w:rPr>
        <w:t xml:space="preserve">Based on </w:t>
      </w:r>
      <w:r w:rsidR="003A7E57">
        <w:rPr>
          <w:sz w:val="24"/>
        </w:rPr>
        <w:t>the above</w:t>
      </w:r>
      <w:r>
        <w:rPr>
          <w:sz w:val="24"/>
        </w:rPr>
        <w:t xml:space="preserve">, it is estimated that up to </w:t>
      </w:r>
      <w:r w:rsidR="007220D9">
        <w:rPr>
          <w:sz w:val="24"/>
        </w:rPr>
        <w:t>2</w:t>
      </w:r>
      <w:r>
        <w:rPr>
          <w:sz w:val="24"/>
        </w:rPr>
        <w:t>50,000 applicants will apply for coverage over the life of the program</w:t>
      </w:r>
      <w:r w:rsidR="007220D9">
        <w:rPr>
          <w:sz w:val="24"/>
        </w:rPr>
        <w:t xml:space="preserve">, 100,000 projected applicants in the first six months of the program and </w:t>
      </w:r>
      <w:r w:rsidR="009F57BD">
        <w:rPr>
          <w:sz w:val="24"/>
        </w:rPr>
        <w:t>50,000 per year</w:t>
      </w:r>
      <w:r w:rsidR="007220D9">
        <w:rPr>
          <w:sz w:val="24"/>
        </w:rPr>
        <w:t xml:space="preserve"> thereafter</w:t>
      </w:r>
      <w:r w:rsidR="009F57BD">
        <w:rPr>
          <w:sz w:val="24"/>
        </w:rPr>
        <w:t xml:space="preserve">.  </w:t>
      </w:r>
      <w:r>
        <w:rPr>
          <w:sz w:val="24"/>
        </w:rPr>
        <w:t xml:space="preserve">  </w:t>
      </w:r>
    </w:p>
    <w:p w:rsidR="008A27A7" w:rsidRDefault="00C909DA" w:rsidP="00427C01">
      <w:pPr>
        <w:widowControl/>
        <w:ind w:firstLine="720"/>
        <w:rPr>
          <w:b/>
          <w:sz w:val="24"/>
        </w:rPr>
      </w:pPr>
      <w:r>
        <w:rPr>
          <w:sz w:val="24"/>
        </w:rPr>
        <w:t xml:space="preserve"> </w:t>
      </w:r>
    </w:p>
    <w:p w:rsidR="00146780" w:rsidRPr="005F1B86" w:rsidRDefault="00146780">
      <w:pPr>
        <w:widowControl/>
        <w:ind w:left="1440"/>
        <w:rPr>
          <w:b/>
          <w:sz w:val="24"/>
        </w:rPr>
      </w:pPr>
      <w:r w:rsidRPr="005F1B86">
        <w:rPr>
          <w:b/>
          <w:sz w:val="24"/>
        </w:rPr>
        <w:t>12A. Estimated Annualized Burden Hours</w:t>
      </w:r>
    </w:p>
    <w:p w:rsidR="00906EF0" w:rsidRDefault="009B1393" w:rsidP="00906EF0">
      <w:pPr>
        <w:widowControl/>
        <w:rPr>
          <w:sz w:val="24"/>
        </w:rPr>
      </w:pPr>
      <w:r>
        <w:rPr>
          <w:sz w:val="24"/>
        </w:rPr>
        <w:t>In terms of OMB review, annualized burden for 2011, 2012 and 2013 is 1.09 hours</w:t>
      </w:r>
      <w:r w:rsidR="00F164D0">
        <w:rPr>
          <w:sz w:val="24"/>
        </w:rPr>
        <w:t xml:space="preserve"> per applicant</w:t>
      </w:r>
      <w:r>
        <w:rPr>
          <w:sz w:val="24"/>
        </w:rPr>
        <w:t xml:space="preserve"> to complete an enrollment application and submit eligibility information.  Annualized burden for 2011, 2012 and 2013 is .16 hours</w:t>
      </w:r>
      <w:r w:rsidR="00F164D0">
        <w:rPr>
          <w:sz w:val="24"/>
        </w:rPr>
        <w:t xml:space="preserve"> per enrollee</w:t>
      </w:r>
      <w:r>
        <w:rPr>
          <w:sz w:val="24"/>
        </w:rPr>
        <w:t xml:space="preserve"> to </w:t>
      </w:r>
      <w:r w:rsidR="00F345A8">
        <w:rPr>
          <w:sz w:val="24"/>
        </w:rPr>
        <w:t xml:space="preserve">submit premium payment.  </w:t>
      </w:r>
    </w:p>
    <w:p w:rsidR="00F345A8" w:rsidRDefault="00F345A8" w:rsidP="00906EF0">
      <w:pPr>
        <w:widowControl/>
        <w:rPr>
          <w:sz w:val="24"/>
        </w:rPr>
      </w:pPr>
    </w:p>
    <w:p w:rsidR="00E04665" w:rsidRDefault="00E04665" w:rsidP="00906EF0">
      <w:pPr>
        <w:widowControl/>
        <w:rPr>
          <w:sz w:val="24"/>
        </w:rPr>
      </w:pPr>
    </w:p>
    <w:p w:rsidR="00E04665" w:rsidRDefault="00E04665" w:rsidP="00906EF0">
      <w:pPr>
        <w:widowControl/>
        <w:rPr>
          <w:sz w:val="24"/>
        </w:rPr>
      </w:pPr>
    </w:p>
    <w:p w:rsidR="00E04665" w:rsidRDefault="00E04665" w:rsidP="00906EF0">
      <w:pPr>
        <w:widowControl/>
        <w:rPr>
          <w:sz w:val="24"/>
        </w:rPr>
      </w:pPr>
    </w:p>
    <w:p w:rsidR="00E04665" w:rsidRDefault="00E04665" w:rsidP="00906EF0">
      <w:pPr>
        <w:widowControl/>
        <w:rPr>
          <w:sz w:val="24"/>
        </w:rPr>
      </w:pPr>
    </w:p>
    <w:p w:rsidR="00906EF0" w:rsidRPr="00CC65F9" w:rsidRDefault="00906EF0" w:rsidP="00906EF0">
      <w:pPr>
        <w:rPr>
          <w:sz w:val="24"/>
        </w:rPr>
      </w:pPr>
      <w:r w:rsidRPr="00CC65F9">
        <w:rPr>
          <w:sz w:val="24"/>
        </w:rPr>
        <w:lastRenderedPageBreak/>
        <w:t xml:space="preserve">Estimated </w:t>
      </w:r>
      <w:r w:rsidRPr="00CC65F9">
        <w:rPr>
          <w:bCs/>
          <w:sz w:val="24"/>
        </w:rPr>
        <w:t xml:space="preserve">Annualized Burden Table </w:t>
      </w:r>
      <w:r w:rsidR="00F818BE">
        <w:rPr>
          <w:bCs/>
          <w:sz w:val="24"/>
        </w:rPr>
        <w:t>for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1816"/>
        <w:gridCol w:w="1536"/>
        <w:gridCol w:w="1639"/>
        <w:gridCol w:w="1488"/>
        <w:gridCol w:w="1433"/>
      </w:tblGrid>
      <w:tr w:rsidR="00906EF0" w:rsidRPr="0064292E">
        <w:trPr>
          <w:trHeight w:val="285"/>
        </w:trPr>
        <w:tc>
          <w:tcPr>
            <w:tcW w:w="1664" w:type="dxa"/>
          </w:tcPr>
          <w:p w:rsidR="00906EF0" w:rsidRPr="0064292E" w:rsidRDefault="00906EF0" w:rsidP="00146780">
            <w:pPr>
              <w:rPr>
                <w:b/>
                <w:sz w:val="24"/>
              </w:rPr>
            </w:pPr>
            <w:r w:rsidRPr="0064292E">
              <w:rPr>
                <w:b/>
                <w:sz w:val="24"/>
              </w:rPr>
              <w:t xml:space="preserve">Forms </w:t>
            </w:r>
          </w:p>
          <w:p w:rsidR="00906EF0" w:rsidRPr="0064292E" w:rsidRDefault="00906EF0" w:rsidP="00146780">
            <w:pPr>
              <w:rPr>
                <w:b/>
                <w:sz w:val="24"/>
              </w:rPr>
            </w:pPr>
            <w:r w:rsidRPr="0064292E">
              <w:rPr>
                <w:b/>
                <w:sz w:val="24"/>
              </w:rPr>
              <w:t xml:space="preserve">(If necessary) </w:t>
            </w:r>
          </w:p>
        </w:tc>
        <w:tc>
          <w:tcPr>
            <w:tcW w:w="1816" w:type="dxa"/>
          </w:tcPr>
          <w:p w:rsidR="00906EF0" w:rsidRPr="0064292E" w:rsidRDefault="00906EF0" w:rsidP="00146780">
            <w:pPr>
              <w:rPr>
                <w:b/>
                <w:sz w:val="24"/>
              </w:rPr>
            </w:pPr>
            <w:r w:rsidRPr="0064292E">
              <w:rPr>
                <w:b/>
                <w:sz w:val="24"/>
              </w:rPr>
              <w:t>Type of Respondent</w:t>
            </w:r>
          </w:p>
          <w:p w:rsidR="00906EF0" w:rsidRPr="0064292E" w:rsidRDefault="00906EF0" w:rsidP="00146780">
            <w:pPr>
              <w:rPr>
                <w:b/>
                <w:sz w:val="24"/>
              </w:rPr>
            </w:pPr>
          </w:p>
        </w:tc>
        <w:tc>
          <w:tcPr>
            <w:tcW w:w="1536" w:type="dxa"/>
          </w:tcPr>
          <w:p w:rsidR="00906EF0" w:rsidRPr="0064292E" w:rsidRDefault="00906EF0" w:rsidP="00146780">
            <w:pPr>
              <w:rPr>
                <w:b/>
                <w:sz w:val="24"/>
              </w:rPr>
            </w:pPr>
            <w:r w:rsidRPr="0064292E">
              <w:rPr>
                <w:b/>
                <w:sz w:val="24"/>
              </w:rPr>
              <w:t xml:space="preserve">Number of  Respondents   </w:t>
            </w:r>
          </w:p>
        </w:tc>
        <w:tc>
          <w:tcPr>
            <w:tcW w:w="1639" w:type="dxa"/>
          </w:tcPr>
          <w:p w:rsidR="00906EF0" w:rsidRPr="0064292E" w:rsidRDefault="00906EF0" w:rsidP="00146780">
            <w:pPr>
              <w:rPr>
                <w:b/>
                <w:sz w:val="24"/>
              </w:rPr>
            </w:pPr>
            <w:r w:rsidRPr="0064292E">
              <w:rPr>
                <w:b/>
                <w:sz w:val="24"/>
              </w:rPr>
              <w:t xml:space="preserve">Number of Responses per Respondent </w:t>
            </w:r>
          </w:p>
        </w:tc>
        <w:tc>
          <w:tcPr>
            <w:tcW w:w="1488" w:type="dxa"/>
          </w:tcPr>
          <w:p w:rsidR="00906EF0" w:rsidRPr="0064292E" w:rsidRDefault="00906EF0" w:rsidP="00146780">
            <w:pPr>
              <w:rPr>
                <w:b/>
                <w:sz w:val="24"/>
              </w:rPr>
            </w:pPr>
            <w:r w:rsidRPr="0064292E">
              <w:rPr>
                <w:b/>
                <w:sz w:val="24"/>
              </w:rPr>
              <w:t xml:space="preserve">Average Burden hours per Response </w:t>
            </w:r>
          </w:p>
        </w:tc>
        <w:tc>
          <w:tcPr>
            <w:tcW w:w="1433" w:type="dxa"/>
          </w:tcPr>
          <w:p w:rsidR="00906EF0" w:rsidRPr="0064292E" w:rsidRDefault="00906EF0" w:rsidP="00146780">
            <w:pPr>
              <w:rPr>
                <w:b/>
                <w:sz w:val="24"/>
              </w:rPr>
            </w:pPr>
            <w:r w:rsidRPr="0064292E">
              <w:rPr>
                <w:b/>
                <w:sz w:val="24"/>
              </w:rPr>
              <w:t xml:space="preserve">Total Burden Hours </w:t>
            </w:r>
          </w:p>
        </w:tc>
      </w:tr>
      <w:tr w:rsidR="006B6C2F" w:rsidRPr="004D467D">
        <w:trPr>
          <w:trHeight w:val="285"/>
        </w:trPr>
        <w:tc>
          <w:tcPr>
            <w:tcW w:w="1664" w:type="dxa"/>
          </w:tcPr>
          <w:p w:rsidR="006B6C2F" w:rsidRPr="004D467D" w:rsidRDefault="006B6C2F" w:rsidP="00D9282D">
            <w:pPr>
              <w:rPr>
                <w:sz w:val="24"/>
              </w:rPr>
            </w:pPr>
            <w:r>
              <w:rPr>
                <w:sz w:val="24"/>
              </w:rPr>
              <w:t xml:space="preserve">Application </w:t>
            </w:r>
          </w:p>
        </w:tc>
        <w:tc>
          <w:tcPr>
            <w:tcW w:w="1816" w:type="dxa"/>
          </w:tcPr>
          <w:p w:rsidR="006B6C2F" w:rsidRPr="004D467D" w:rsidRDefault="006B6C2F" w:rsidP="00750C00">
            <w:pPr>
              <w:rPr>
                <w:sz w:val="24"/>
              </w:rPr>
            </w:pPr>
            <w:r>
              <w:rPr>
                <w:sz w:val="24"/>
              </w:rPr>
              <w:t>Individual</w:t>
            </w:r>
          </w:p>
        </w:tc>
        <w:tc>
          <w:tcPr>
            <w:tcW w:w="1536" w:type="dxa"/>
          </w:tcPr>
          <w:p w:rsidR="006B6C2F" w:rsidRPr="004D467D" w:rsidRDefault="006B6C2F" w:rsidP="00750C00">
            <w:pPr>
              <w:rPr>
                <w:sz w:val="24"/>
              </w:rPr>
            </w:pPr>
            <w:r>
              <w:rPr>
                <w:sz w:val="24"/>
              </w:rPr>
              <w:t>100,000</w:t>
            </w:r>
          </w:p>
        </w:tc>
        <w:tc>
          <w:tcPr>
            <w:tcW w:w="1639" w:type="dxa"/>
          </w:tcPr>
          <w:p w:rsidR="006B6C2F" w:rsidRPr="004D467D" w:rsidRDefault="006B6C2F" w:rsidP="00750C00">
            <w:pPr>
              <w:rPr>
                <w:sz w:val="24"/>
              </w:rPr>
            </w:pPr>
            <w:r>
              <w:rPr>
                <w:sz w:val="24"/>
              </w:rPr>
              <w:t>1</w:t>
            </w:r>
          </w:p>
        </w:tc>
        <w:tc>
          <w:tcPr>
            <w:tcW w:w="1488" w:type="dxa"/>
          </w:tcPr>
          <w:p w:rsidR="006B6C2F" w:rsidRPr="004D467D" w:rsidRDefault="006B6C2F" w:rsidP="009615FD">
            <w:pPr>
              <w:rPr>
                <w:sz w:val="24"/>
              </w:rPr>
            </w:pPr>
            <w:r>
              <w:rPr>
                <w:sz w:val="24"/>
              </w:rPr>
              <w:t xml:space="preserve"> .34</w:t>
            </w:r>
          </w:p>
        </w:tc>
        <w:tc>
          <w:tcPr>
            <w:tcW w:w="1433" w:type="dxa"/>
            <w:vAlign w:val="bottom"/>
          </w:tcPr>
          <w:p w:rsidR="006B6C2F" w:rsidRPr="006B6C2F" w:rsidRDefault="006B6C2F">
            <w:pPr>
              <w:jc w:val="right"/>
              <w:rPr>
                <w:color w:val="000000"/>
                <w:sz w:val="24"/>
              </w:rPr>
            </w:pPr>
            <w:r w:rsidRPr="006B6C2F">
              <w:rPr>
                <w:color w:val="000000"/>
                <w:sz w:val="24"/>
              </w:rPr>
              <w:t>34</w:t>
            </w:r>
            <w:r>
              <w:rPr>
                <w:color w:val="000000"/>
                <w:sz w:val="24"/>
              </w:rPr>
              <w:t>,</w:t>
            </w:r>
            <w:r w:rsidRPr="006B6C2F">
              <w:rPr>
                <w:color w:val="000000"/>
                <w:sz w:val="24"/>
              </w:rPr>
              <w:t>000</w:t>
            </w:r>
          </w:p>
        </w:tc>
      </w:tr>
      <w:tr w:rsidR="006B6C2F" w:rsidRPr="004D467D">
        <w:trPr>
          <w:trHeight w:val="285"/>
        </w:trPr>
        <w:tc>
          <w:tcPr>
            <w:tcW w:w="1664" w:type="dxa"/>
          </w:tcPr>
          <w:p w:rsidR="006B6C2F" w:rsidRPr="004D467D" w:rsidRDefault="006B6C2F" w:rsidP="00750C00">
            <w:pPr>
              <w:rPr>
                <w:sz w:val="24"/>
              </w:rPr>
            </w:pPr>
            <w:r>
              <w:rPr>
                <w:sz w:val="24"/>
              </w:rPr>
              <w:t>Eligibility Information</w:t>
            </w:r>
            <w:r w:rsidRPr="004D467D">
              <w:rPr>
                <w:sz w:val="24"/>
              </w:rPr>
              <w:t xml:space="preserve"> </w:t>
            </w:r>
          </w:p>
        </w:tc>
        <w:tc>
          <w:tcPr>
            <w:tcW w:w="1816" w:type="dxa"/>
          </w:tcPr>
          <w:p w:rsidR="006B6C2F" w:rsidRPr="004D467D" w:rsidRDefault="006B6C2F" w:rsidP="00750C00">
            <w:pPr>
              <w:rPr>
                <w:sz w:val="24"/>
              </w:rPr>
            </w:pPr>
            <w:r>
              <w:rPr>
                <w:sz w:val="24"/>
              </w:rPr>
              <w:t xml:space="preserve">Individual </w:t>
            </w:r>
          </w:p>
        </w:tc>
        <w:tc>
          <w:tcPr>
            <w:tcW w:w="1536" w:type="dxa"/>
          </w:tcPr>
          <w:p w:rsidR="006B6C2F" w:rsidRPr="004D467D" w:rsidRDefault="006B6C2F" w:rsidP="00750C00">
            <w:pPr>
              <w:rPr>
                <w:sz w:val="24"/>
              </w:rPr>
            </w:pPr>
            <w:r>
              <w:rPr>
                <w:sz w:val="24"/>
              </w:rPr>
              <w:t>100,000</w:t>
            </w:r>
          </w:p>
        </w:tc>
        <w:tc>
          <w:tcPr>
            <w:tcW w:w="1639" w:type="dxa"/>
          </w:tcPr>
          <w:p w:rsidR="006B6C2F" w:rsidRPr="004D467D" w:rsidRDefault="006B6C2F" w:rsidP="00750C00">
            <w:pPr>
              <w:rPr>
                <w:sz w:val="24"/>
              </w:rPr>
            </w:pPr>
            <w:r>
              <w:rPr>
                <w:sz w:val="24"/>
              </w:rPr>
              <w:t>1</w:t>
            </w:r>
          </w:p>
        </w:tc>
        <w:tc>
          <w:tcPr>
            <w:tcW w:w="1488" w:type="dxa"/>
          </w:tcPr>
          <w:p w:rsidR="006B6C2F" w:rsidRPr="004D467D" w:rsidRDefault="006B6C2F" w:rsidP="00750C00">
            <w:pPr>
              <w:rPr>
                <w:sz w:val="24"/>
              </w:rPr>
            </w:pPr>
            <w:r>
              <w:rPr>
                <w:sz w:val="24"/>
              </w:rPr>
              <w:t xml:space="preserve"> .5</w:t>
            </w:r>
          </w:p>
        </w:tc>
        <w:tc>
          <w:tcPr>
            <w:tcW w:w="1433" w:type="dxa"/>
            <w:vAlign w:val="bottom"/>
          </w:tcPr>
          <w:p w:rsidR="006B6C2F" w:rsidRPr="006B6C2F" w:rsidRDefault="006B6C2F">
            <w:pPr>
              <w:jc w:val="right"/>
              <w:rPr>
                <w:color w:val="000000"/>
                <w:sz w:val="24"/>
              </w:rPr>
            </w:pPr>
            <w:r w:rsidRPr="006B6C2F">
              <w:rPr>
                <w:color w:val="000000"/>
                <w:sz w:val="24"/>
              </w:rPr>
              <w:t>50</w:t>
            </w:r>
            <w:r>
              <w:rPr>
                <w:color w:val="000000"/>
                <w:sz w:val="24"/>
              </w:rPr>
              <w:t>,</w:t>
            </w:r>
            <w:r w:rsidRPr="006B6C2F">
              <w:rPr>
                <w:color w:val="000000"/>
                <w:sz w:val="24"/>
              </w:rPr>
              <w:t>000</w:t>
            </w:r>
          </w:p>
        </w:tc>
      </w:tr>
      <w:tr w:rsidR="006B6C2F" w:rsidRPr="004D467D">
        <w:trPr>
          <w:trHeight w:val="285"/>
        </w:trPr>
        <w:tc>
          <w:tcPr>
            <w:tcW w:w="1664" w:type="dxa"/>
          </w:tcPr>
          <w:p w:rsidR="006B6C2F" w:rsidRPr="004D467D" w:rsidRDefault="006B6C2F" w:rsidP="00750C00">
            <w:pPr>
              <w:rPr>
                <w:sz w:val="24"/>
              </w:rPr>
            </w:pPr>
            <w:r>
              <w:rPr>
                <w:sz w:val="24"/>
              </w:rPr>
              <w:t>Premium Payment</w:t>
            </w:r>
          </w:p>
        </w:tc>
        <w:tc>
          <w:tcPr>
            <w:tcW w:w="1816" w:type="dxa"/>
          </w:tcPr>
          <w:p w:rsidR="006B6C2F" w:rsidRPr="004D467D" w:rsidRDefault="006B6C2F" w:rsidP="00750C00">
            <w:pPr>
              <w:rPr>
                <w:sz w:val="24"/>
              </w:rPr>
            </w:pPr>
            <w:r>
              <w:rPr>
                <w:sz w:val="24"/>
              </w:rPr>
              <w:t xml:space="preserve">Individual </w:t>
            </w:r>
          </w:p>
        </w:tc>
        <w:tc>
          <w:tcPr>
            <w:tcW w:w="1536" w:type="dxa"/>
          </w:tcPr>
          <w:p w:rsidR="006B6C2F" w:rsidRPr="004D467D" w:rsidRDefault="006B6C2F" w:rsidP="00750C00">
            <w:pPr>
              <w:rPr>
                <w:sz w:val="24"/>
              </w:rPr>
            </w:pPr>
            <w:r>
              <w:rPr>
                <w:sz w:val="24"/>
              </w:rPr>
              <w:t>50,000</w:t>
            </w:r>
          </w:p>
        </w:tc>
        <w:tc>
          <w:tcPr>
            <w:tcW w:w="1639" w:type="dxa"/>
          </w:tcPr>
          <w:p w:rsidR="006B6C2F" w:rsidRPr="004D467D" w:rsidRDefault="006B6C2F" w:rsidP="00750C00">
            <w:pPr>
              <w:rPr>
                <w:sz w:val="24"/>
              </w:rPr>
            </w:pPr>
            <w:r>
              <w:rPr>
                <w:sz w:val="24"/>
              </w:rPr>
              <w:t>1</w:t>
            </w:r>
          </w:p>
        </w:tc>
        <w:tc>
          <w:tcPr>
            <w:tcW w:w="1488" w:type="dxa"/>
          </w:tcPr>
          <w:p w:rsidR="006B6C2F" w:rsidRDefault="006B6C2F" w:rsidP="00750C00">
            <w:pPr>
              <w:rPr>
                <w:sz w:val="24"/>
              </w:rPr>
            </w:pPr>
            <w:r>
              <w:rPr>
                <w:sz w:val="24"/>
              </w:rPr>
              <w:t>.16</w:t>
            </w:r>
          </w:p>
        </w:tc>
        <w:tc>
          <w:tcPr>
            <w:tcW w:w="1433" w:type="dxa"/>
            <w:vAlign w:val="bottom"/>
          </w:tcPr>
          <w:p w:rsidR="006B6C2F" w:rsidRPr="006B6C2F" w:rsidRDefault="006B6C2F" w:rsidP="00B81DA7">
            <w:pPr>
              <w:jc w:val="right"/>
              <w:rPr>
                <w:color w:val="000000"/>
                <w:sz w:val="24"/>
              </w:rPr>
            </w:pPr>
            <w:r w:rsidRPr="006B6C2F">
              <w:rPr>
                <w:color w:val="000000"/>
                <w:sz w:val="24"/>
              </w:rPr>
              <w:t>8</w:t>
            </w:r>
            <w:r>
              <w:rPr>
                <w:color w:val="000000"/>
                <w:sz w:val="24"/>
              </w:rPr>
              <w:t>,</w:t>
            </w:r>
            <w:r w:rsidRPr="006B6C2F">
              <w:rPr>
                <w:color w:val="000000"/>
                <w:sz w:val="24"/>
              </w:rPr>
              <w:t>000</w:t>
            </w:r>
          </w:p>
        </w:tc>
      </w:tr>
      <w:tr w:rsidR="006B6C2F" w:rsidRPr="004D467D">
        <w:trPr>
          <w:trHeight w:val="285"/>
        </w:trPr>
        <w:tc>
          <w:tcPr>
            <w:tcW w:w="1664" w:type="dxa"/>
          </w:tcPr>
          <w:p w:rsidR="006B6C2F" w:rsidRPr="004D467D" w:rsidRDefault="006B6C2F" w:rsidP="00750C00">
            <w:pPr>
              <w:rPr>
                <w:sz w:val="24"/>
              </w:rPr>
            </w:pPr>
            <w:r w:rsidRPr="004D467D">
              <w:rPr>
                <w:sz w:val="24"/>
              </w:rPr>
              <w:t>Total</w:t>
            </w:r>
          </w:p>
        </w:tc>
        <w:tc>
          <w:tcPr>
            <w:tcW w:w="1816" w:type="dxa"/>
          </w:tcPr>
          <w:p w:rsidR="006B6C2F" w:rsidRPr="004D467D" w:rsidRDefault="006B6C2F" w:rsidP="00750C00">
            <w:pPr>
              <w:rPr>
                <w:sz w:val="24"/>
              </w:rPr>
            </w:pPr>
          </w:p>
        </w:tc>
        <w:tc>
          <w:tcPr>
            <w:tcW w:w="1536" w:type="dxa"/>
          </w:tcPr>
          <w:p w:rsidR="006B6C2F" w:rsidRPr="004D467D" w:rsidRDefault="006B6C2F" w:rsidP="00750C00">
            <w:pPr>
              <w:rPr>
                <w:sz w:val="24"/>
              </w:rPr>
            </w:pPr>
          </w:p>
        </w:tc>
        <w:tc>
          <w:tcPr>
            <w:tcW w:w="1639" w:type="dxa"/>
          </w:tcPr>
          <w:p w:rsidR="006B6C2F" w:rsidRPr="004D467D" w:rsidRDefault="006B6C2F" w:rsidP="00750C00">
            <w:pPr>
              <w:rPr>
                <w:sz w:val="24"/>
              </w:rPr>
            </w:pPr>
          </w:p>
        </w:tc>
        <w:tc>
          <w:tcPr>
            <w:tcW w:w="1488" w:type="dxa"/>
          </w:tcPr>
          <w:p w:rsidR="006B6C2F" w:rsidRPr="004D467D" w:rsidRDefault="006B6C2F" w:rsidP="00E81F20">
            <w:pPr>
              <w:rPr>
                <w:sz w:val="24"/>
              </w:rPr>
            </w:pPr>
            <w:r>
              <w:rPr>
                <w:sz w:val="24"/>
              </w:rPr>
              <w:t xml:space="preserve"> 1</w:t>
            </w:r>
          </w:p>
        </w:tc>
        <w:tc>
          <w:tcPr>
            <w:tcW w:w="1433" w:type="dxa"/>
            <w:vAlign w:val="bottom"/>
          </w:tcPr>
          <w:p w:rsidR="006B6C2F" w:rsidRPr="006B6C2F" w:rsidRDefault="006B6C2F">
            <w:pPr>
              <w:jc w:val="right"/>
              <w:rPr>
                <w:color w:val="000000"/>
                <w:sz w:val="24"/>
              </w:rPr>
            </w:pPr>
            <w:r w:rsidRPr="006B6C2F">
              <w:rPr>
                <w:color w:val="000000"/>
                <w:sz w:val="24"/>
              </w:rPr>
              <w:t>92</w:t>
            </w:r>
            <w:r>
              <w:rPr>
                <w:color w:val="000000"/>
                <w:sz w:val="24"/>
              </w:rPr>
              <w:t>,</w:t>
            </w:r>
            <w:r w:rsidRPr="006B6C2F">
              <w:rPr>
                <w:color w:val="000000"/>
                <w:sz w:val="24"/>
              </w:rPr>
              <w:t>000</w:t>
            </w:r>
          </w:p>
        </w:tc>
      </w:tr>
    </w:tbl>
    <w:p w:rsidR="00B76C47" w:rsidRDefault="00B76C47" w:rsidP="00F818BE">
      <w:pPr>
        <w:rPr>
          <w:sz w:val="24"/>
        </w:rPr>
      </w:pPr>
    </w:p>
    <w:p w:rsidR="00F818BE" w:rsidRPr="00CC65F9" w:rsidRDefault="00F818BE" w:rsidP="00F818BE">
      <w:pPr>
        <w:rPr>
          <w:sz w:val="24"/>
        </w:rPr>
      </w:pPr>
      <w:r w:rsidRPr="00CC65F9">
        <w:rPr>
          <w:sz w:val="24"/>
        </w:rPr>
        <w:t xml:space="preserve">Estimated </w:t>
      </w:r>
      <w:r w:rsidRPr="00CC65F9">
        <w:rPr>
          <w:bCs/>
          <w:sz w:val="24"/>
        </w:rPr>
        <w:t xml:space="preserve">Annualized Burden Table </w:t>
      </w:r>
      <w:r>
        <w:rPr>
          <w:bCs/>
          <w:sz w:val="24"/>
        </w:rPr>
        <w:t>for 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578"/>
        <w:gridCol w:w="1523"/>
        <w:gridCol w:w="1681"/>
        <w:gridCol w:w="1550"/>
        <w:gridCol w:w="1520"/>
      </w:tblGrid>
      <w:tr w:rsidR="00F818BE" w:rsidRPr="0064292E">
        <w:trPr>
          <w:trHeight w:val="285"/>
        </w:trPr>
        <w:tc>
          <w:tcPr>
            <w:tcW w:w="1724" w:type="dxa"/>
          </w:tcPr>
          <w:p w:rsidR="00F818BE" w:rsidRPr="0064292E" w:rsidRDefault="00F818BE" w:rsidP="00BA3DA3">
            <w:pPr>
              <w:rPr>
                <w:b/>
                <w:sz w:val="24"/>
              </w:rPr>
            </w:pPr>
            <w:r w:rsidRPr="0064292E">
              <w:rPr>
                <w:b/>
                <w:sz w:val="24"/>
              </w:rPr>
              <w:t xml:space="preserve">Forms </w:t>
            </w:r>
          </w:p>
          <w:p w:rsidR="00F818BE" w:rsidRPr="0064292E" w:rsidRDefault="00F818BE" w:rsidP="00BA3DA3">
            <w:pPr>
              <w:rPr>
                <w:b/>
                <w:sz w:val="24"/>
              </w:rPr>
            </w:pPr>
            <w:r w:rsidRPr="0064292E">
              <w:rPr>
                <w:b/>
                <w:sz w:val="24"/>
              </w:rPr>
              <w:t xml:space="preserve">(If necessary) </w:t>
            </w:r>
          </w:p>
        </w:tc>
        <w:tc>
          <w:tcPr>
            <w:tcW w:w="1578" w:type="dxa"/>
          </w:tcPr>
          <w:p w:rsidR="00F818BE" w:rsidRPr="0064292E" w:rsidRDefault="00F818BE" w:rsidP="00BA3DA3">
            <w:pPr>
              <w:rPr>
                <w:b/>
                <w:sz w:val="24"/>
              </w:rPr>
            </w:pPr>
            <w:r w:rsidRPr="0064292E">
              <w:rPr>
                <w:b/>
                <w:sz w:val="24"/>
              </w:rPr>
              <w:t>Type of Respondent</w:t>
            </w:r>
          </w:p>
          <w:p w:rsidR="00F818BE" w:rsidRPr="0064292E" w:rsidRDefault="00F818BE" w:rsidP="00BA3DA3">
            <w:pPr>
              <w:rPr>
                <w:b/>
                <w:sz w:val="24"/>
              </w:rPr>
            </w:pPr>
          </w:p>
        </w:tc>
        <w:tc>
          <w:tcPr>
            <w:tcW w:w="1523" w:type="dxa"/>
          </w:tcPr>
          <w:p w:rsidR="00F818BE" w:rsidRPr="0064292E" w:rsidRDefault="00F818BE" w:rsidP="00BA3DA3">
            <w:pPr>
              <w:rPr>
                <w:b/>
                <w:sz w:val="24"/>
              </w:rPr>
            </w:pPr>
            <w:r w:rsidRPr="0064292E">
              <w:rPr>
                <w:b/>
                <w:sz w:val="24"/>
              </w:rPr>
              <w:t xml:space="preserve">Number of  Respondents   </w:t>
            </w:r>
          </w:p>
        </w:tc>
        <w:tc>
          <w:tcPr>
            <w:tcW w:w="1681" w:type="dxa"/>
          </w:tcPr>
          <w:p w:rsidR="00F818BE" w:rsidRPr="0064292E" w:rsidRDefault="00F818BE" w:rsidP="00BA3DA3">
            <w:pPr>
              <w:rPr>
                <w:b/>
                <w:sz w:val="24"/>
              </w:rPr>
            </w:pPr>
            <w:r w:rsidRPr="0064292E">
              <w:rPr>
                <w:b/>
                <w:sz w:val="24"/>
              </w:rPr>
              <w:t xml:space="preserve">Number of Responses per Respondent </w:t>
            </w:r>
          </w:p>
        </w:tc>
        <w:tc>
          <w:tcPr>
            <w:tcW w:w="1550" w:type="dxa"/>
          </w:tcPr>
          <w:p w:rsidR="00F818BE" w:rsidRPr="0064292E" w:rsidRDefault="00F818BE" w:rsidP="00BA3DA3">
            <w:pPr>
              <w:rPr>
                <w:b/>
                <w:sz w:val="24"/>
              </w:rPr>
            </w:pPr>
            <w:r w:rsidRPr="0064292E">
              <w:rPr>
                <w:b/>
                <w:sz w:val="24"/>
              </w:rPr>
              <w:t xml:space="preserve">Average Burden hours per Response </w:t>
            </w:r>
          </w:p>
        </w:tc>
        <w:tc>
          <w:tcPr>
            <w:tcW w:w="1520" w:type="dxa"/>
          </w:tcPr>
          <w:p w:rsidR="00F818BE" w:rsidRPr="0064292E" w:rsidRDefault="00F818BE" w:rsidP="00BA3DA3">
            <w:pPr>
              <w:rPr>
                <w:b/>
                <w:sz w:val="24"/>
              </w:rPr>
            </w:pPr>
            <w:r w:rsidRPr="0064292E">
              <w:rPr>
                <w:b/>
                <w:sz w:val="24"/>
              </w:rPr>
              <w:t xml:space="preserve">Total Burden Hours </w:t>
            </w:r>
          </w:p>
        </w:tc>
      </w:tr>
      <w:tr w:rsidR="001A1E23" w:rsidRPr="004D467D">
        <w:trPr>
          <w:trHeight w:val="285"/>
        </w:trPr>
        <w:tc>
          <w:tcPr>
            <w:tcW w:w="1724" w:type="dxa"/>
          </w:tcPr>
          <w:p w:rsidR="001A1E23" w:rsidRPr="004D467D" w:rsidRDefault="001A1E23" w:rsidP="00BA3DA3">
            <w:pPr>
              <w:rPr>
                <w:sz w:val="24"/>
              </w:rPr>
            </w:pPr>
            <w:r>
              <w:rPr>
                <w:sz w:val="24"/>
              </w:rPr>
              <w:t xml:space="preserve">Application </w:t>
            </w:r>
          </w:p>
        </w:tc>
        <w:tc>
          <w:tcPr>
            <w:tcW w:w="1578" w:type="dxa"/>
          </w:tcPr>
          <w:p w:rsidR="001A1E23" w:rsidRPr="004D467D" w:rsidRDefault="001A1E23" w:rsidP="00BA3DA3">
            <w:pPr>
              <w:rPr>
                <w:sz w:val="24"/>
              </w:rPr>
            </w:pPr>
            <w:r>
              <w:rPr>
                <w:sz w:val="24"/>
              </w:rPr>
              <w:t>Individual</w:t>
            </w:r>
          </w:p>
        </w:tc>
        <w:tc>
          <w:tcPr>
            <w:tcW w:w="1523" w:type="dxa"/>
          </w:tcPr>
          <w:p w:rsidR="001A1E23" w:rsidRPr="004D467D" w:rsidRDefault="001A1E23" w:rsidP="00BA3DA3">
            <w:pPr>
              <w:rPr>
                <w:sz w:val="24"/>
              </w:rPr>
            </w:pPr>
            <w:r>
              <w:rPr>
                <w:sz w:val="24"/>
              </w:rPr>
              <w:t>50,000</w:t>
            </w:r>
          </w:p>
        </w:tc>
        <w:tc>
          <w:tcPr>
            <w:tcW w:w="1681" w:type="dxa"/>
          </w:tcPr>
          <w:p w:rsidR="001A1E23" w:rsidRPr="004D467D" w:rsidRDefault="001A1E23" w:rsidP="00BA3DA3">
            <w:pPr>
              <w:rPr>
                <w:sz w:val="24"/>
              </w:rPr>
            </w:pPr>
            <w:r>
              <w:rPr>
                <w:sz w:val="24"/>
              </w:rPr>
              <w:t>1</w:t>
            </w:r>
          </w:p>
        </w:tc>
        <w:tc>
          <w:tcPr>
            <w:tcW w:w="1550" w:type="dxa"/>
          </w:tcPr>
          <w:p w:rsidR="001A1E23" w:rsidRPr="004D467D" w:rsidRDefault="001A1E23" w:rsidP="00497E38">
            <w:pPr>
              <w:rPr>
                <w:sz w:val="24"/>
              </w:rPr>
            </w:pPr>
            <w:r>
              <w:rPr>
                <w:sz w:val="24"/>
              </w:rPr>
              <w:t xml:space="preserve"> .</w:t>
            </w:r>
            <w:r w:rsidR="00084D87">
              <w:rPr>
                <w:sz w:val="24"/>
              </w:rPr>
              <w:t>5</w:t>
            </w:r>
            <w:r w:rsidR="00497E38">
              <w:rPr>
                <w:sz w:val="24"/>
              </w:rPr>
              <w:t>9</w:t>
            </w:r>
          </w:p>
        </w:tc>
        <w:tc>
          <w:tcPr>
            <w:tcW w:w="1520" w:type="dxa"/>
            <w:vAlign w:val="bottom"/>
          </w:tcPr>
          <w:p w:rsidR="001A1E23" w:rsidRPr="001A1E23" w:rsidRDefault="00497E38" w:rsidP="00084D87">
            <w:pPr>
              <w:jc w:val="right"/>
              <w:rPr>
                <w:color w:val="000000"/>
                <w:sz w:val="24"/>
              </w:rPr>
            </w:pPr>
            <w:r>
              <w:rPr>
                <w:color w:val="000000"/>
                <w:sz w:val="24"/>
              </w:rPr>
              <w:t>2</w:t>
            </w:r>
            <w:r w:rsidR="00084D87">
              <w:rPr>
                <w:color w:val="000000"/>
                <w:sz w:val="24"/>
              </w:rPr>
              <w:t>9</w:t>
            </w:r>
            <w:r>
              <w:rPr>
                <w:color w:val="000000"/>
                <w:sz w:val="24"/>
              </w:rPr>
              <w:t>,500</w:t>
            </w:r>
          </w:p>
        </w:tc>
      </w:tr>
      <w:tr w:rsidR="001A1E23" w:rsidRPr="004D467D">
        <w:trPr>
          <w:trHeight w:val="285"/>
        </w:trPr>
        <w:tc>
          <w:tcPr>
            <w:tcW w:w="1724" w:type="dxa"/>
          </w:tcPr>
          <w:p w:rsidR="001A1E23" w:rsidRPr="004D467D" w:rsidRDefault="001A1E23" w:rsidP="00BA3DA3">
            <w:pPr>
              <w:rPr>
                <w:sz w:val="24"/>
              </w:rPr>
            </w:pPr>
            <w:r>
              <w:rPr>
                <w:sz w:val="24"/>
              </w:rPr>
              <w:t>Eligibility Information</w:t>
            </w:r>
            <w:r w:rsidRPr="004D467D">
              <w:rPr>
                <w:sz w:val="24"/>
              </w:rPr>
              <w:t xml:space="preserve"> </w:t>
            </w:r>
          </w:p>
        </w:tc>
        <w:tc>
          <w:tcPr>
            <w:tcW w:w="1578" w:type="dxa"/>
          </w:tcPr>
          <w:p w:rsidR="001A1E23" w:rsidRPr="004D467D" w:rsidRDefault="001A1E23" w:rsidP="00BA3DA3">
            <w:pPr>
              <w:rPr>
                <w:sz w:val="24"/>
              </w:rPr>
            </w:pPr>
            <w:r>
              <w:rPr>
                <w:sz w:val="24"/>
              </w:rPr>
              <w:t xml:space="preserve">Individual </w:t>
            </w:r>
          </w:p>
        </w:tc>
        <w:tc>
          <w:tcPr>
            <w:tcW w:w="1523" w:type="dxa"/>
          </w:tcPr>
          <w:p w:rsidR="001A1E23" w:rsidRPr="004D467D" w:rsidRDefault="001A1E23" w:rsidP="00BA3DA3">
            <w:pPr>
              <w:rPr>
                <w:sz w:val="24"/>
              </w:rPr>
            </w:pPr>
            <w:r>
              <w:rPr>
                <w:sz w:val="24"/>
              </w:rPr>
              <w:t>50,000</w:t>
            </w:r>
          </w:p>
        </w:tc>
        <w:tc>
          <w:tcPr>
            <w:tcW w:w="1681" w:type="dxa"/>
          </w:tcPr>
          <w:p w:rsidR="001A1E23" w:rsidRPr="004D467D" w:rsidRDefault="001A1E23" w:rsidP="00BA3DA3">
            <w:pPr>
              <w:rPr>
                <w:sz w:val="24"/>
              </w:rPr>
            </w:pPr>
            <w:r>
              <w:rPr>
                <w:sz w:val="24"/>
              </w:rPr>
              <w:t>1</w:t>
            </w:r>
          </w:p>
        </w:tc>
        <w:tc>
          <w:tcPr>
            <w:tcW w:w="1550" w:type="dxa"/>
          </w:tcPr>
          <w:p w:rsidR="001A1E23" w:rsidRPr="004D467D" w:rsidRDefault="001A1E23" w:rsidP="00BA3DA3">
            <w:pPr>
              <w:rPr>
                <w:sz w:val="24"/>
              </w:rPr>
            </w:pPr>
            <w:r>
              <w:rPr>
                <w:sz w:val="24"/>
              </w:rPr>
              <w:t xml:space="preserve"> .5</w:t>
            </w:r>
          </w:p>
        </w:tc>
        <w:tc>
          <w:tcPr>
            <w:tcW w:w="1520" w:type="dxa"/>
            <w:vAlign w:val="bottom"/>
          </w:tcPr>
          <w:p w:rsidR="001A1E23" w:rsidRPr="001A1E23" w:rsidRDefault="001A1E23" w:rsidP="00BA3DA3">
            <w:pPr>
              <w:jc w:val="right"/>
              <w:rPr>
                <w:color w:val="000000"/>
                <w:sz w:val="24"/>
              </w:rPr>
            </w:pPr>
            <w:r w:rsidRPr="001A1E23">
              <w:rPr>
                <w:color w:val="000000"/>
                <w:sz w:val="24"/>
              </w:rPr>
              <w:t>25</w:t>
            </w:r>
            <w:r>
              <w:rPr>
                <w:color w:val="000000"/>
                <w:sz w:val="24"/>
              </w:rPr>
              <w:t>,</w:t>
            </w:r>
            <w:r w:rsidRPr="001A1E23">
              <w:rPr>
                <w:color w:val="000000"/>
                <w:sz w:val="24"/>
              </w:rPr>
              <w:t>000</w:t>
            </w:r>
          </w:p>
        </w:tc>
      </w:tr>
      <w:tr w:rsidR="001A1E23" w:rsidRPr="004D467D">
        <w:trPr>
          <w:trHeight w:val="285"/>
        </w:trPr>
        <w:tc>
          <w:tcPr>
            <w:tcW w:w="1724" w:type="dxa"/>
          </w:tcPr>
          <w:p w:rsidR="001A1E23" w:rsidRPr="004D467D" w:rsidRDefault="001A1E23" w:rsidP="00BA3DA3">
            <w:pPr>
              <w:rPr>
                <w:sz w:val="24"/>
              </w:rPr>
            </w:pPr>
            <w:r>
              <w:rPr>
                <w:sz w:val="24"/>
              </w:rPr>
              <w:t>Premium Payment</w:t>
            </w:r>
          </w:p>
        </w:tc>
        <w:tc>
          <w:tcPr>
            <w:tcW w:w="1578" w:type="dxa"/>
          </w:tcPr>
          <w:p w:rsidR="001A1E23" w:rsidRPr="004D467D" w:rsidRDefault="001A1E23" w:rsidP="00BA3DA3">
            <w:pPr>
              <w:rPr>
                <w:sz w:val="24"/>
              </w:rPr>
            </w:pPr>
            <w:r>
              <w:rPr>
                <w:sz w:val="24"/>
              </w:rPr>
              <w:t xml:space="preserve">Individual </w:t>
            </w:r>
          </w:p>
        </w:tc>
        <w:tc>
          <w:tcPr>
            <w:tcW w:w="1523" w:type="dxa"/>
          </w:tcPr>
          <w:p w:rsidR="001A1E23" w:rsidRPr="004D467D" w:rsidRDefault="001A1E23" w:rsidP="00BA3DA3">
            <w:pPr>
              <w:rPr>
                <w:sz w:val="24"/>
              </w:rPr>
            </w:pPr>
            <w:r>
              <w:rPr>
                <w:sz w:val="24"/>
              </w:rPr>
              <w:t>33,333</w:t>
            </w:r>
          </w:p>
        </w:tc>
        <w:tc>
          <w:tcPr>
            <w:tcW w:w="1681" w:type="dxa"/>
          </w:tcPr>
          <w:p w:rsidR="001A1E23" w:rsidRPr="004D467D" w:rsidRDefault="001A1E23" w:rsidP="00BA3DA3">
            <w:pPr>
              <w:rPr>
                <w:sz w:val="24"/>
              </w:rPr>
            </w:pPr>
            <w:r>
              <w:rPr>
                <w:sz w:val="24"/>
              </w:rPr>
              <w:t>1</w:t>
            </w:r>
          </w:p>
        </w:tc>
        <w:tc>
          <w:tcPr>
            <w:tcW w:w="1550" w:type="dxa"/>
          </w:tcPr>
          <w:p w:rsidR="001A1E23" w:rsidRDefault="001A1E23" w:rsidP="00BA3DA3">
            <w:pPr>
              <w:rPr>
                <w:sz w:val="24"/>
              </w:rPr>
            </w:pPr>
            <w:r>
              <w:rPr>
                <w:sz w:val="24"/>
              </w:rPr>
              <w:t>.16</w:t>
            </w:r>
          </w:p>
        </w:tc>
        <w:tc>
          <w:tcPr>
            <w:tcW w:w="1520" w:type="dxa"/>
            <w:vAlign w:val="bottom"/>
          </w:tcPr>
          <w:p w:rsidR="001A1E23" w:rsidRPr="001A1E23" w:rsidRDefault="001A1E23" w:rsidP="001A1E23">
            <w:pPr>
              <w:jc w:val="right"/>
              <w:rPr>
                <w:color w:val="000000"/>
                <w:sz w:val="24"/>
              </w:rPr>
            </w:pPr>
            <w:r w:rsidRPr="001A1E23">
              <w:rPr>
                <w:color w:val="000000"/>
                <w:sz w:val="24"/>
              </w:rPr>
              <w:t>5</w:t>
            </w:r>
            <w:r>
              <w:rPr>
                <w:color w:val="000000"/>
                <w:sz w:val="24"/>
              </w:rPr>
              <w:t>,</w:t>
            </w:r>
            <w:r w:rsidRPr="001A1E23">
              <w:rPr>
                <w:color w:val="000000"/>
                <w:sz w:val="24"/>
              </w:rPr>
              <w:t>33</w:t>
            </w:r>
            <w:r>
              <w:rPr>
                <w:color w:val="000000"/>
                <w:sz w:val="24"/>
              </w:rPr>
              <w:t>3</w:t>
            </w:r>
          </w:p>
        </w:tc>
      </w:tr>
      <w:tr w:rsidR="001A1E23" w:rsidRPr="004D467D">
        <w:trPr>
          <w:trHeight w:val="285"/>
        </w:trPr>
        <w:tc>
          <w:tcPr>
            <w:tcW w:w="1724" w:type="dxa"/>
          </w:tcPr>
          <w:p w:rsidR="001A1E23" w:rsidRPr="004D467D" w:rsidRDefault="001A1E23" w:rsidP="00BA3DA3">
            <w:pPr>
              <w:rPr>
                <w:sz w:val="24"/>
              </w:rPr>
            </w:pPr>
            <w:r w:rsidRPr="004D467D">
              <w:rPr>
                <w:sz w:val="24"/>
              </w:rPr>
              <w:t>Total</w:t>
            </w:r>
          </w:p>
        </w:tc>
        <w:tc>
          <w:tcPr>
            <w:tcW w:w="1578" w:type="dxa"/>
          </w:tcPr>
          <w:p w:rsidR="001A1E23" w:rsidRPr="004D467D" w:rsidRDefault="001A1E23" w:rsidP="00BA3DA3">
            <w:pPr>
              <w:rPr>
                <w:sz w:val="24"/>
              </w:rPr>
            </w:pPr>
          </w:p>
        </w:tc>
        <w:tc>
          <w:tcPr>
            <w:tcW w:w="1523" w:type="dxa"/>
          </w:tcPr>
          <w:p w:rsidR="001A1E23" w:rsidRPr="004D467D" w:rsidRDefault="001A1E23" w:rsidP="00BA3DA3">
            <w:pPr>
              <w:rPr>
                <w:sz w:val="24"/>
              </w:rPr>
            </w:pPr>
          </w:p>
        </w:tc>
        <w:tc>
          <w:tcPr>
            <w:tcW w:w="1681" w:type="dxa"/>
          </w:tcPr>
          <w:p w:rsidR="001A1E23" w:rsidRPr="004D467D" w:rsidRDefault="001A1E23" w:rsidP="00BA3DA3">
            <w:pPr>
              <w:rPr>
                <w:sz w:val="24"/>
              </w:rPr>
            </w:pPr>
          </w:p>
        </w:tc>
        <w:tc>
          <w:tcPr>
            <w:tcW w:w="1550" w:type="dxa"/>
          </w:tcPr>
          <w:p w:rsidR="001A1E23" w:rsidRPr="004D467D" w:rsidRDefault="001A1E23" w:rsidP="00BA3DA3">
            <w:pPr>
              <w:rPr>
                <w:sz w:val="24"/>
              </w:rPr>
            </w:pPr>
            <w:r>
              <w:rPr>
                <w:sz w:val="24"/>
              </w:rPr>
              <w:t xml:space="preserve"> 1</w:t>
            </w:r>
            <w:r w:rsidR="00084D87">
              <w:rPr>
                <w:sz w:val="24"/>
              </w:rPr>
              <w:t>.2</w:t>
            </w:r>
            <w:r w:rsidR="00497E38">
              <w:rPr>
                <w:sz w:val="24"/>
              </w:rPr>
              <w:t>5</w:t>
            </w:r>
          </w:p>
        </w:tc>
        <w:tc>
          <w:tcPr>
            <w:tcW w:w="1520" w:type="dxa"/>
            <w:vAlign w:val="bottom"/>
          </w:tcPr>
          <w:p w:rsidR="001A1E23" w:rsidRPr="001A1E23" w:rsidRDefault="00497E38" w:rsidP="00084D87">
            <w:pPr>
              <w:jc w:val="right"/>
              <w:rPr>
                <w:color w:val="000000"/>
                <w:sz w:val="24"/>
              </w:rPr>
            </w:pPr>
            <w:r>
              <w:rPr>
                <w:color w:val="000000"/>
                <w:sz w:val="24"/>
              </w:rPr>
              <w:t>5</w:t>
            </w:r>
            <w:r w:rsidR="00084D87">
              <w:rPr>
                <w:color w:val="000000"/>
                <w:sz w:val="24"/>
              </w:rPr>
              <w:t>9,833</w:t>
            </w:r>
          </w:p>
        </w:tc>
      </w:tr>
    </w:tbl>
    <w:p w:rsidR="00F818BE" w:rsidRDefault="00F818BE">
      <w:pPr>
        <w:widowControl/>
        <w:ind w:left="1440"/>
        <w:rPr>
          <w:sz w:val="24"/>
        </w:rPr>
      </w:pPr>
    </w:p>
    <w:p w:rsidR="00F818BE" w:rsidRPr="00CC65F9" w:rsidRDefault="00F818BE" w:rsidP="00F818BE">
      <w:pPr>
        <w:rPr>
          <w:sz w:val="24"/>
        </w:rPr>
      </w:pPr>
      <w:r w:rsidRPr="00CC65F9">
        <w:rPr>
          <w:sz w:val="24"/>
        </w:rPr>
        <w:t xml:space="preserve">Estimated </w:t>
      </w:r>
      <w:r w:rsidRPr="00CC65F9">
        <w:rPr>
          <w:bCs/>
          <w:sz w:val="24"/>
        </w:rPr>
        <w:t xml:space="preserve">Annualized Burden Table </w:t>
      </w:r>
      <w:r>
        <w:rPr>
          <w:bCs/>
          <w:sz w:val="24"/>
        </w:rPr>
        <w:t>for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578"/>
        <w:gridCol w:w="1523"/>
        <w:gridCol w:w="1681"/>
        <w:gridCol w:w="1550"/>
        <w:gridCol w:w="1520"/>
      </w:tblGrid>
      <w:tr w:rsidR="00F818BE" w:rsidRPr="0064292E">
        <w:trPr>
          <w:trHeight w:val="285"/>
        </w:trPr>
        <w:tc>
          <w:tcPr>
            <w:tcW w:w="1724" w:type="dxa"/>
          </w:tcPr>
          <w:p w:rsidR="00F818BE" w:rsidRPr="0064292E" w:rsidRDefault="00F818BE" w:rsidP="00BA3DA3">
            <w:pPr>
              <w:rPr>
                <w:b/>
                <w:sz w:val="24"/>
              </w:rPr>
            </w:pPr>
            <w:r w:rsidRPr="0064292E">
              <w:rPr>
                <w:b/>
                <w:sz w:val="24"/>
              </w:rPr>
              <w:t xml:space="preserve">Forms </w:t>
            </w:r>
          </w:p>
          <w:p w:rsidR="00F818BE" w:rsidRPr="0064292E" w:rsidRDefault="00F818BE" w:rsidP="00BA3DA3">
            <w:pPr>
              <w:rPr>
                <w:b/>
                <w:sz w:val="24"/>
              </w:rPr>
            </w:pPr>
            <w:r w:rsidRPr="0064292E">
              <w:rPr>
                <w:b/>
                <w:sz w:val="24"/>
              </w:rPr>
              <w:t xml:space="preserve">(If necessary) </w:t>
            </w:r>
          </w:p>
        </w:tc>
        <w:tc>
          <w:tcPr>
            <w:tcW w:w="1578" w:type="dxa"/>
          </w:tcPr>
          <w:p w:rsidR="00F818BE" w:rsidRPr="0064292E" w:rsidRDefault="00F818BE" w:rsidP="00BA3DA3">
            <w:pPr>
              <w:rPr>
                <w:b/>
                <w:sz w:val="24"/>
              </w:rPr>
            </w:pPr>
            <w:r w:rsidRPr="0064292E">
              <w:rPr>
                <w:b/>
                <w:sz w:val="24"/>
              </w:rPr>
              <w:t>Type of Respondent</w:t>
            </w:r>
          </w:p>
          <w:p w:rsidR="00F818BE" w:rsidRPr="0064292E" w:rsidRDefault="00F818BE" w:rsidP="00BA3DA3">
            <w:pPr>
              <w:rPr>
                <w:b/>
                <w:sz w:val="24"/>
              </w:rPr>
            </w:pPr>
          </w:p>
        </w:tc>
        <w:tc>
          <w:tcPr>
            <w:tcW w:w="1523" w:type="dxa"/>
          </w:tcPr>
          <w:p w:rsidR="00F818BE" w:rsidRPr="0064292E" w:rsidRDefault="00F818BE" w:rsidP="00BA3DA3">
            <w:pPr>
              <w:rPr>
                <w:b/>
                <w:sz w:val="24"/>
              </w:rPr>
            </w:pPr>
            <w:r w:rsidRPr="0064292E">
              <w:rPr>
                <w:b/>
                <w:sz w:val="24"/>
              </w:rPr>
              <w:t xml:space="preserve">Number of  Respondents   </w:t>
            </w:r>
          </w:p>
        </w:tc>
        <w:tc>
          <w:tcPr>
            <w:tcW w:w="1681" w:type="dxa"/>
          </w:tcPr>
          <w:p w:rsidR="00F818BE" w:rsidRPr="0064292E" w:rsidRDefault="00F818BE" w:rsidP="00BA3DA3">
            <w:pPr>
              <w:rPr>
                <w:b/>
                <w:sz w:val="24"/>
              </w:rPr>
            </w:pPr>
            <w:r w:rsidRPr="0064292E">
              <w:rPr>
                <w:b/>
                <w:sz w:val="24"/>
              </w:rPr>
              <w:t xml:space="preserve">Number of Responses per Respondent </w:t>
            </w:r>
          </w:p>
        </w:tc>
        <w:tc>
          <w:tcPr>
            <w:tcW w:w="1550" w:type="dxa"/>
          </w:tcPr>
          <w:p w:rsidR="00F818BE" w:rsidRPr="0064292E" w:rsidRDefault="00F818BE" w:rsidP="00BA3DA3">
            <w:pPr>
              <w:rPr>
                <w:b/>
                <w:sz w:val="24"/>
              </w:rPr>
            </w:pPr>
            <w:r w:rsidRPr="0064292E">
              <w:rPr>
                <w:b/>
                <w:sz w:val="24"/>
              </w:rPr>
              <w:t xml:space="preserve">Average Burden hours per Response </w:t>
            </w:r>
          </w:p>
        </w:tc>
        <w:tc>
          <w:tcPr>
            <w:tcW w:w="1520" w:type="dxa"/>
          </w:tcPr>
          <w:p w:rsidR="00F818BE" w:rsidRPr="0064292E" w:rsidRDefault="00F818BE" w:rsidP="00BA3DA3">
            <w:pPr>
              <w:rPr>
                <w:b/>
                <w:sz w:val="24"/>
              </w:rPr>
            </w:pPr>
            <w:r w:rsidRPr="0064292E">
              <w:rPr>
                <w:b/>
                <w:sz w:val="24"/>
              </w:rPr>
              <w:t xml:space="preserve">Total Burden Hours </w:t>
            </w:r>
          </w:p>
        </w:tc>
      </w:tr>
      <w:tr w:rsidR="001A1E23" w:rsidRPr="004D467D">
        <w:trPr>
          <w:trHeight w:val="285"/>
        </w:trPr>
        <w:tc>
          <w:tcPr>
            <w:tcW w:w="1724" w:type="dxa"/>
          </w:tcPr>
          <w:p w:rsidR="001A1E23" w:rsidRPr="004D467D" w:rsidRDefault="001A1E23" w:rsidP="00BA3DA3">
            <w:pPr>
              <w:rPr>
                <w:sz w:val="24"/>
              </w:rPr>
            </w:pPr>
            <w:r>
              <w:rPr>
                <w:sz w:val="24"/>
              </w:rPr>
              <w:t xml:space="preserve">Application </w:t>
            </w:r>
          </w:p>
        </w:tc>
        <w:tc>
          <w:tcPr>
            <w:tcW w:w="1578" w:type="dxa"/>
          </w:tcPr>
          <w:p w:rsidR="001A1E23" w:rsidRPr="004D467D" w:rsidRDefault="001A1E23" w:rsidP="00BA3DA3">
            <w:pPr>
              <w:rPr>
                <w:sz w:val="24"/>
              </w:rPr>
            </w:pPr>
            <w:r>
              <w:rPr>
                <w:sz w:val="24"/>
              </w:rPr>
              <w:t>Individual</w:t>
            </w:r>
          </w:p>
        </w:tc>
        <w:tc>
          <w:tcPr>
            <w:tcW w:w="1523" w:type="dxa"/>
          </w:tcPr>
          <w:p w:rsidR="001A1E23" w:rsidRPr="004D467D" w:rsidRDefault="001A1E23" w:rsidP="00BA3DA3">
            <w:pPr>
              <w:rPr>
                <w:sz w:val="24"/>
              </w:rPr>
            </w:pPr>
            <w:r>
              <w:rPr>
                <w:sz w:val="24"/>
              </w:rPr>
              <w:t>50,000</w:t>
            </w:r>
          </w:p>
        </w:tc>
        <w:tc>
          <w:tcPr>
            <w:tcW w:w="1681" w:type="dxa"/>
          </w:tcPr>
          <w:p w:rsidR="001A1E23" w:rsidRPr="004D467D" w:rsidRDefault="001A1E23" w:rsidP="00BA3DA3">
            <w:pPr>
              <w:rPr>
                <w:sz w:val="24"/>
              </w:rPr>
            </w:pPr>
            <w:r>
              <w:rPr>
                <w:sz w:val="24"/>
              </w:rPr>
              <w:t>1</w:t>
            </w:r>
          </w:p>
        </w:tc>
        <w:tc>
          <w:tcPr>
            <w:tcW w:w="1550" w:type="dxa"/>
          </w:tcPr>
          <w:p w:rsidR="001A1E23" w:rsidRPr="004D467D" w:rsidRDefault="001A1E23" w:rsidP="00943D73">
            <w:pPr>
              <w:rPr>
                <w:sz w:val="24"/>
              </w:rPr>
            </w:pPr>
            <w:r>
              <w:rPr>
                <w:sz w:val="24"/>
              </w:rPr>
              <w:t xml:space="preserve"> .</w:t>
            </w:r>
            <w:r w:rsidR="00084D87">
              <w:rPr>
                <w:sz w:val="24"/>
              </w:rPr>
              <w:t>5</w:t>
            </w:r>
            <w:r w:rsidR="00943D73">
              <w:rPr>
                <w:sz w:val="24"/>
              </w:rPr>
              <w:t>9</w:t>
            </w:r>
          </w:p>
        </w:tc>
        <w:tc>
          <w:tcPr>
            <w:tcW w:w="1520" w:type="dxa"/>
            <w:vAlign w:val="bottom"/>
          </w:tcPr>
          <w:p w:rsidR="001A1E23" w:rsidRPr="00B81DA7" w:rsidRDefault="00943D73" w:rsidP="00084D87">
            <w:pPr>
              <w:jc w:val="right"/>
              <w:rPr>
                <w:color w:val="000000"/>
                <w:sz w:val="24"/>
              </w:rPr>
            </w:pPr>
            <w:r>
              <w:rPr>
                <w:color w:val="000000"/>
                <w:sz w:val="24"/>
              </w:rPr>
              <w:t>2</w:t>
            </w:r>
            <w:r w:rsidR="00084D87">
              <w:rPr>
                <w:color w:val="000000"/>
                <w:sz w:val="24"/>
              </w:rPr>
              <w:t>9</w:t>
            </w:r>
            <w:r>
              <w:rPr>
                <w:color w:val="000000"/>
                <w:sz w:val="24"/>
              </w:rPr>
              <w:t>,500</w:t>
            </w:r>
          </w:p>
        </w:tc>
      </w:tr>
      <w:tr w:rsidR="001A1E23" w:rsidRPr="004D467D">
        <w:trPr>
          <w:trHeight w:val="285"/>
        </w:trPr>
        <w:tc>
          <w:tcPr>
            <w:tcW w:w="1724" w:type="dxa"/>
          </w:tcPr>
          <w:p w:rsidR="001A1E23" w:rsidRPr="004D467D" w:rsidRDefault="001A1E23" w:rsidP="00BA3DA3">
            <w:pPr>
              <w:rPr>
                <w:sz w:val="24"/>
              </w:rPr>
            </w:pPr>
            <w:r>
              <w:rPr>
                <w:sz w:val="24"/>
              </w:rPr>
              <w:t>Eligibility Information</w:t>
            </w:r>
            <w:r w:rsidRPr="004D467D">
              <w:rPr>
                <w:sz w:val="24"/>
              </w:rPr>
              <w:t xml:space="preserve"> </w:t>
            </w:r>
          </w:p>
        </w:tc>
        <w:tc>
          <w:tcPr>
            <w:tcW w:w="1578" w:type="dxa"/>
          </w:tcPr>
          <w:p w:rsidR="001A1E23" w:rsidRPr="004D467D" w:rsidRDefault="001A1E23" w:rsidP="00BA3DA3">
            <w:pPr>
              <w:rPr>
                <w:sz w:val="24"/>
              </w:rPr>
            </w:pPr>
            <w:r>
              <w:rPr>
                <w:sz w:val="24"/>
              </w:rPr>
              <w:t xml:space="preserve">Individual </w:t>
            </w:r>
          </w:p>
        </w:tc>
        <w:tc>
          <w:tcPr>
            <w:tcW w:w="1523" w:type="dxa"/>
          </w:tcPr>
          <w:p w:rsidR="001A1E23" w:rsidRPr="004D467D" w:rsidRDefault="001A1E23" w:rsidP="00BA3DA3">
            <w:pPr>
              <w:rPr>
                <w:sz w:val="24"/>
              </w:rPr>
            </w:pPr>
            <w:r>
              <w:rPr>
                <w:sz w:val="24"/>
              </w:rPr>
              <w:t>50,000</w:t>
            </w:r>
          </w:p>
        </w:tc>
        <w:tc>
          <w:tcPr>
            <w:tcW w:w="1681" w:type="dxa"/>
          </w:tcPr>
          <w:p w:rsidR="001A1E23" w:rsidRPr="004D467D" w:rsidRDefault="001A1E23" w:rsidP="00BA3DA3">
            <w:pPr>
              <w:rPr>
                <w:sz w:val="24"/>
              </w:rPr>
            </w:pPr>
            <w:r>
              <w:rPr>
                <w:sz w:val="24"/>
              </w:rPr>
              <w:t>1</w:t>
            </w:r>
          </w:p>
        </w:tc>
        <w:tc>
          <w:tcPr>
            <w:tcW w:w="1550" w:type="dxa"/>
          </w:tcPr>
          <w:p w:rsidR="001A1E23" w:rsidRPr="004D467D" w:rsidRDefault="001A1E23" w:rsidP="00BA3DA3">
            <w:pPr>
              <w:rPr>
                <w:sz w:val="24"/>
              </w:rPr>
            </w:pPr>
            <w:r>
              <w:rPr>
                <w:sz w:val="24"/>
              </w:rPr>
              <w:t xml:space="preserve"> .5</w:t>
            </w:r>
          </w:p>
        </w:tc>
        <w:tc>
          <w:tcPr>
            <w:tcW w:w="1520" w:type="dxa"/>
            <w:vAlign w:val="bottom"/>
          </w:tcPr>
          <w:p w:rsidR="001A1E23" w:rsidRPr="00B81DA7" w:rsidRDefault="001A1E23" w:rsidP="00BA3DA3">
            <w:pPr>
              <w:jc w:val="right"/>
              <w:rPr>
                <w:color w:val="000000"/>
                <w:sz w:val="24"/>
              </w:rPr>
            </w:pPr>
            <w:r w:rsidRPr="001A1E23">
              <w:rPr>
                <w:color w:val="000000"/>
                <w:sz w:val="24"/>
              </w:rPr>
              <w:t>25</w:t>
            </w:r>
            <w:r>
              <w:rPr>
                <w:color w:val="000000"/>
                <w:sz w:val="24"/>
              </w:rPr>
              <w:t>,</w:t>
            </w:r>
            <w:r w:rsidRPr="001A1E23">
              <w:rPr>
                <w:color w:val="000000"/>
                <w:sz w:val="24"/>
              </w:rPr>
              <w:t>000</w:t>
            </w:r>
          </w:p>
        </w:tc>
      </w:tr>
      <w:tr w:rsidR="001A1E23" w:rsidRPr="004D467D">
        <w:trPr>
          <w:trHeight w:val="285"/>
        </w:trPr>
        <w:tc>
          <w:tcPr>
            <w:tcW w:w="1724" w:type="dxa"/>
          </w:tcPr>
          <w:p w:rsidR="001A1E23" w:rsidRPr="004D467D" w:rsidRDefault="001A1E23" w:rsidP="00BA3DA3">
            <w:pPr>
              <w:rPr>
                <w:sz w:val="24"/>
              </w:rPr>
            </w:pPr>
            <w:r>
              <w:rPr>
                <w:sz w:val="24"/>
              </w:rPr>
              <w:t>Premium Payment</w:t>
            </w:r>
          </w:p>
        </w:tc>
        <w:tc>
          <w:tcPr>
            <w:tcW w:w="1578" w:type="dxa"/>
          </w:tcPr>
          <w:p w:rsidR="001A1E23" w:rsidRPr="004D467D" w:rsidRDefault="001A1E23" w:rsidP="00BA3DA3">
            <w:pPr>
              <w:rPr>
                <w:sz w:val="24"/>
              </w:rPr>
            </w:pPr>
            <w:r>
              <w:rPr>
                <w:sz w:val="24"/>
              </w:rPr>
              <w:t xml:space="preserve">Individual </w:t>
            </w:r>
          </w:p>
        </w:tc>
        <w:tc>
          <w:tcPr>
            <w:tcW w:w="1523" w:type="dxa"/>
          </w:tcPr>
          <w:p w:rsidR="001A1E23" w:rsidRPr="004D467D" w:rsidRDefault="001A1E23" w:rsidP="00BA3DA3">
            <w:pPr>
              <w:rPr>
                <w:sz w:val="24"/>
              </w:rPr>
            </w:pPr>
            <w:r>
              <w:rPr>
                <w:sz w:val="24"/>
              </w:rPr>
              <w:t>33,333</w:t>
            </w:r>
          </w:p>
        </w:tc>
        <w:tc>
          <w:tcPr>
            <w:tcW w:w="1681" w:type="dxa"/>
          </w:tcPr>
          <w:p w:rsidR="001A1E23" w:rsidRPr="004D467D" w:rsidRDefault="001A1E23" w:rsidP="00BA3DA3">
            <w:pPr>
              <w:rPr>
                <w:sz w:val="24"/>
              </w:rPr>
            </w:pPr>
            <w:r>
              <w:rPr>
                <w:sz w:val="24"/>
              </w:rPr>
              <w:t>1</w:t>
            </w:r>
          </w:p>
        </w:tc>
        <w:tc>
          <w:tcPr>
            <w:tcW w:w="1550" w:type="dxa"/>
          </w:tcPr>
          <w:p w:rsidR="001A1E23" w:rsidRDefault="001A1E23" w:rsidP="00BA3DA3">
            <w:pPr>
              <w:rPr>
                <w:sz w:val="24"/>
              </w:rPr>
            </w:pPr>
            <w:r>
              <w:rPr>
                <w:sz w:val="24"/>
              </w:rPr>
              <w:t>.16</w:t>
            </w:r>
          </w:p>
        </w:tc>
        <w:tc>
          <w:tcPr>
            <w:tcW w:w="1520" w:type="dxa"/>
            <w:vAlign w:val="bottom"/>
          </w:tcPr>
          <w:p w:rsidR="001A1E23" w:rsidRPr="00B81DA7" w:rsidRDefault="001A1E23" w:rsidP="00BA3DA3">
            <w:pPr>
              <w:jc w:val="right"/>
              <w:rPr>
                <w:color w:val="000000"/>
                <w:sz w:val="24"/>
              </w:rPr>
            </w:pPr>
            <w:r w:rsidRPr="001A1E23">
              <w:rPr>
                <w:color w:val="000000"/>
                <w:sz w:val="24"/>
              </w:rPr>
              <w:t>5</w:t>
            </w:r>
            <w:r>
              <w:rPr>
                <w:color w:val="000000"/>
                <w:sz w:val="24"/>
              </w:rPr>
              <w:t>,</w:t>
            </w:r>
            <w:r w:rsidRPr="001A1E23">
              <w:rPr>
                <w:color w:val="000000"/>
                <w:sz w:val="24"/>
              </w:rPr>
              <w:t>33</w:t>
            </w:r>
            <w:r>
              <w:rPr>
                <w:color w:val="000000"/>
                <w:sz w:val="24"/>
              </w:rPr>
              <w:t>3</w:t>
            </w:r>
          </w:p>
        </w:tc>
      </w:tr>
      <w:tr w:rsidR="001A1E23" w:rsidRPr="004D467D">
        <w:trPr>
          <w:trHeight w:val="285"/>
        </w:trPr>
        <w:tc>
          <w:tcPr>
            <w:tcW w:w="1724" w:type="dxa"/>
          </w:tcPr>
          <w:p w:rsidR="001A1E23" w:rsidRPr="004D467D" w:rsidRDefault="001A1E23" w:rsidP="00BA3DA3">
            <w:pPr>
              <w:rPr>
                <w:sz w:val="24"/>
              </w:rPr>
            </w:pPr>
            <w:r w:rsidRPr="004D467D">
              <w:rPr>
                <w:sz w:val="24"/>
              </w:rPr>
              <w:t>Total</w:t>
            </w:r>
          </w:p>
        </w:tc>
        <w:tc>
          <w:tcPr>
            <w:tcW w:w="1578" w:type="dxa"/>
          </w:tcPr>
          <w:p w:rsidR="001A1E23" w:rsidRPr="004D467D" w:rsidRDefault="001A1E23" w:rsidP="00BA3DA3">
            <w:pPr>
              <w:rPr>
                <w:sz w:val="24"/>
              </w:rPr>
            </w:pPr>
          </w:p>
        </w:tc>
        <w:tc>
          <w:tcPr>
            <w:tcW w:w="1523" w:type="dxa"/>
          </w:tcPr>
          <w:p w:rsidR="001A1E23" w:rsidRPr="004D467D" w:rsidRDefault="001A1E23" w:rsidP="00BA3DA3">
            <w:pPr>
              <w:rPr>
                <w:sz w:val="24"/>
              </w:rPr>
            </w:pPr>
          </w:p>
        </w:tc>
        <w:tc>
          <w:tcPr>
            <w:tcW w:w="1681" w:type="dxa"/>
          </w:tcPr>
          <w:p w:rsidR="001A1E23" w:rsidRPr="004D467D" w:rsidRDefault="001A1E23" w:rsidP="00BA3DA3">
            <w:pPr>
              <w:rPr>
                <w:sz w:val="24"/>
              </w:rPr>
            </w:pPr>
          </w:p>
        </w:tc>
        <w:tc>
          <w:tcPr>
            <w:tcW w:w="1550" w:type="dxa"/>
          </w:tcPr>
          <w:p w:rsidR="001A1E23" w:rsidRPr="004D467D" w:rsidRDefault="001A1E23" w:rsidP="00BA3DA3">
            <w:pPr>
              <w:rPr>
                <w:sz w:val="24"/>
              </w:rPr>
            </w:pPr>
            <w:r>
              <w:rPr>
                <w:sz w:val="24"/>
              </w:rPr>
              <w:t xml:space="preserve"> 1</w:t>
            </w:r>
            <w:r w:rsidR="00084D87">
              <w:rPr>
                <w:sz w:val="24"/>
              </w:rPr>
              <w:t>.2</w:t>
            </w:r>
            <w:r w:rsidR="00943D73">
              <w:rPr>
                <w:sz w:val="24"/>
              </w:rPr>
              <w:t>5</w:t>
            </w:r>
          </w:p>
        </w:tc>
        <w:tc>
          <w:tcPr>
            <w:tcW w:w="1520" w:type="dxa"/>
            <w:vAlign w:val="bottom"/>
          </w:tcPr>
          <w:p w:rsidR="001A1E23" w:rsidRPr="00B81DA7" w:rsidRDefault="00943D73" w:rsidP="00084D87">
            <w:pPr>
              <w:jc w:val="right"/>
              <w:rPr>
                <w:color w:val="000000"/>
                <w:sz w:val="24"/>
              </w:rPr>
            </w:pPr>
            <w:r>
              <w:rPr>
                <w:color w:val="000000"/>
                <w:sz w:val="24"/>
              </w:rPr>
              <w:t>5</w:t>
            </w:r>
            <w:r w:rsidR="00084D87">
              <w:rPr>
                <w:color w:val="000000"/>
                <w:sz w:val="24"/>
              </w:rPr>
              <w:t>9</w:t>
            </w:r>
            <w:r>
              <w:rPr>
                <w:color w:val="000000"/>
                <w:sz w:val="24"/>
              </w:rPr>
              <w:t>,833</w:t>
            </w:r>
          </w:p>
        </w:tc>
      </w:tr>
    </w:tbl>
    <w:p w:rsidR="00F818BE" w:rsidRDefault="00F818BE">
      <w:pPr>
        <w:widowControl/>
        <w:ind w:left="1440"/>
        <w:rPr>
          <w:sz w:val="24"/>
        </w:rPr>
      </w:pPr>
    </w:p>
    <w:p w:rsidR="00F818BE" w:rsidRPr="00CC65F9" w:rsidRDefault="00F818BE" w:rsidP="00F818BE">
      <w:pPr>
        <w:rPr>
          <w:sz w:val="24"/>
        </w:rPr>
      </w:pPr>
      <w:r w:rsidRPr="00CC65F9">
        <w:rPr>
          <w:sz w:val="24"/>
        </w:rPr>
        <w:t xml:space="preserve">Estimated </w:t>
      </w:r>
      <w:r w:rsidRPr="00CC65F9">
        <w:rPr>
          <w:bCs/>
          <w:sz w:val="24"/>
        </w:rPr>
        <w:t xml:space="preserve">Annualized Burden Table </w:t>
      </w:r>
      <w:r>
        <w:rPr>
          <w:bCs/>
          <w:sz w:val="24"/>
        </w:rPr>
        <w:t>for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578"/>
        <w:gridCol w:w="1523"/>
        <w:gridCol w:w="1681"/>
        <w:gridCol w:w="1550"/>
        <w:gridCol w:w="1520"/>
      </w:tblGrid>
      <w:tr w:rsidR="00F818BE" w:rsidRPr="0064292E">
        <w:trPr>
          <w:trHeight w:val="285"/>
        </w:trPr>
        <w:tc>
          <w:tcPr>
            <w:tcW w:w="1724" w:type="dxa"/>
          </w:tcPr>
          <w:p w:rsidR="00F818BE" w:rsidRPr="0064292E" w:rsidRDefault="00F818BE" w:rsidP="00BA3DA3">
            <w:pPr>
              <w:rPr>
                <w:b/>
                <w:sz w:val="24"/>
              </w:rPr>
            </w:pPr>
            <w:r w:rsidRPr="0064292E">
              <w:rPr>
                <w:b/>
                <w:sz w:val="24"/>
              </w:rPr>
              <w:t xml:space="preserve">Forms </w:t>
            </w:r>
          </w:p>
          <w:p w:rsidR="00F818BE" w:rsidRPr="0064292E" w:rsidRDefault="00F818BE" w:rsidP="00BA3DA3">
            <w:pPr>
              <w:rPr>
                <w:b/>
                <w:sz w:val="24"/>
              </w:rPr>
            </w:pPr>
            <w:r w:rsidRPr="0064292E">
              <w:rPr>
                <w:b/>
                <w:sz w:val="24"/>
              </w:rPr>
              <w:t xml:space="preserve">(If necessary) </w:t>
            </w:r>
          </w:p>
        </w:tc>
        <w:tc>
          <w:tcPr>
            <w:tcW w:w="1578" w:type="dxa"/>
          </w:tcPr>
          <w:p w:rsidR="00F818BE" w:rsidRPr="0064292E" w:rsidRDefault="00F818BE" w:rsidP="00BA3DA3">
            <w:pPr>
              <w:rPr>
                <w:b/>
                <w:sz w:val="24"/>
              </w:rPr>
            </w:pPr>
            <w:r w:rsidRPr="0064292E">
              <w:rPr>
                <w:b/>
                <w:sz w:val="24"/>
              </w:rPr>
              <w:t>Type of Respondent</w:t>
            </w:r>
          </w:p>
          <w:p w:rsidR="00F818BE" w:rsidRPr="0064292E" w:rsidRDefault="00F818BE" w:rsidP="00BA3DA3">
            <w:pPr>
              <w:rPr>
                <w:b/>
                <w:sz w:val="24"/>
              </w:rPr>
            </w:pPr>
          </w:p>
        </w:tc>
        <w:tc>
          <w:tcPr>
            <w:tcW w:w="1523" w:type="dxa"/>
          </w:tcPr>
          <w:p w:rsidR="00F818BE" w:rsidRPr="0064292E" w:rsidRDefault="00F818BE" w:rsidP="00BA3DA3">
            <w:pPr>
              <w:rPr>
                <w:b/>
                <w:sz w:val="24"/>
              </w:rPr>
            </w:pPr>
            <w:r w:rsidRPr="0064292E">
              <w:rPr>
                <w:b/>
                <w:sz w:val="24"/>
              </w:rPr>
              <w:t xml:space="preserve">Number of  Respondents   </w:t>
            </w:r>
          </w:p>
        </w:tc>
        <w:tc>
          <w:tcPr>
            <w:tcW w:w="1681" w:type="dxa"/>
          </w:tcPr>
          <w:p w:rsidR="00F818BE" w:rsidRPr="0064292E" w:rsidRDefault="00F818BE" w:rsidP="00BA3DA3">
            <w:pPr>
              <w:rPr>
                <w:b/>
                <w:sz w:val="24"/>
              </w:rPr>
            </w:pPr>
            <w:r w:rsidRPr="0064292E">
              <w:rPr>
                <w:b/>
                <w:sz w:val="24"/>
              </w:rPr>
              <w:t xml:space="preserve">Number of Responses per Respondent </w:t>
            </w:r>
          </w:p>
        </w:tc>
        <w:tc>
          <w:tcPr>
            <w:tcW w:w="1550" w:type="dxa"/>
          </w:tcPr>
          <w:p w:rsidR="00F818BE" w:rsidRPr="0064292E" w:rsidRDefault="00F818BE" w:rsidP="00BA3DA3">
            <w:pPr>
              <w:rPr>
                <w:b/>
                <w:sz w:val="24"/>
              </w:rPr>
            </w:pPr>
            <w:r w:rsidRPr="0064292E">
              <w:rPr>
                <w:b/>
                <w:sz w:val="24"/>
              </w:rPr>
              <w:t xml:space="preserve">Average Burden hours per Response </w:t>
            </w:r>
          </w:p>
        </w:tc>
        <w:tc>
          <w:tcPr>
            <w:tcW w:w="1520" w:type="dxa"/>
          </w:tcPr>
          <w:p w:rsidR="00F818BE" w:rsidRPr="0064292E" w:rsidRDefault="00F818BE" w:rsidP="00BA3DA3">
            <w:pPr>
              <w:rPr>
                <w:b/>
                <w:sz w:val="24"/>
              </w:rPr>
            </w:pPr>
            <w:r w:rsidRPr="0064292E">
              <w:rPr>
                <w:b/>
                <w:sz w:val="24"/>
              </w:rPr>
              <w:t xml:space="preserve">Total Burden Hours </w:t>
            </w:r>
          </w:p>
        </w:tc>
      </w:tr>
      <w:tr w:rsidR="001A1E23" w:rsidRPr="004D467D">
        <w:trPr>
          <w:trHeight w:val="285"/>
        </w:trPr>
        <w:tc>
          <w:tcPr>
            <w:tcW w:w="1724" w:type="dxa"/>
          </w:tcPr>
          <w:p w:rsidR="001A1E23" w:rsidRPr="004D467D" w:rsidRDefault="001A1E23" w:rsidP="00BA3DA3">
            <w:pPr>
              <w:rPr>
                <w:sz w:val="24"/>
              </w:rPr>
            </w:pPr>
            <w:r>
              <w:rPr>
                <w:sz w:val="24"/>
              </w:rPr>
              <w:t xml:space="preserve">Application </w:t>
            </w:r>
          </w:p>
        </w:tc>
        <w:tc>
          <w:tcPr>
            <w:tcW w:w="1578" w:type="dxa"/>
          </w:tcPr>
          <w:p w:rsidR="001A1E23" w:rsidRPr="004D467D" w:rsidRDefault="001A1E23" w:rsidP="00BA3DA3">
            <w:pPr>
              <w:rPr>
                <w:sz w:val="24"/>
              </w:rPr>
            </w:pPr>
            <w:r>
              <w:rPr>
                <w:sz w:val="24"/>
              </w:rPr>
              <w:t>Individual</w:t>
            </w:r>
          </w:p>
        </w:tc>
        <w:tc>
          <w:tcPr>
            <w:tcW w:w="1523" w:type="dxa"/>
          </w:tcPr>
          <w:p w:rsidR="001A1E23" w:rsidRPr="004D467D" w:rsidRDefault="001A1E23" w:rsidP="00BA3DA3">
            <w:pPr>
              <w:rPr>
                <w:sz w:val="24"/>
              </w:rPr>
            </w:pPr>
            <w:r>
              <w:rPr>
                <w:sz w:val="24"/>
              </w:rPr>
              <w:t>50,000</w:t>
            </w:r>
          </w:p>
        </w:tc>
        <w:tc>
          <w:tcPr>
            <w:tcW w:w="1681" w:type="dxa"/>
          </w:tcPr>
          <w:p w:rsidR="001A1E23" w:rsidRPr="004D467D" w:rsidRDefault="001A1E23" w:rsidP="00BA3DA3">
            <w:pPr>
              <w:rPr>
                <w:sz w:val="24"/>
              </w:rPr>
            </w:pPr>
            <w:r>
              <w:rPr>
                <w:sz w:val="24"/>
              </w:rPr>
              <w:t>1</w:t>
            </w:r>
          </w:p>
        </w:tc>
        <w:tc>
          <w:tcPr>
            <w:tcW w:w="1550" w:type="dxa"/>
          </w:tcPr>
          <w:p w:rsidR="001A1E23" w:rsidRPr="004D467D" w:rsidRDefault="001A1E23" w:rsidP="00943D73">
            <w:pPr>
              <w:rPr>
                <w:sz w:val="24"/>
              </w:rPr>
            </w:pPr>
            <w:r>
              <w:rPr>
                <w:sz w:val="24"/>
              </w:rPr>
              <w:t xml:space="preserve"> .</w:t>
            </w:r>
            <w:r w:rsidR="00084D87">
              <w:rPr>
                <w:sz w:val="24"/>
              </w:rPr>
              <w:t>5</w:t>
            </w:r>
            <w:r w:rsidR="00943D73">
              <w:rPr>
                <w:sz w:val="24"/>
              </w:rPr>
              <w:t>9</w:t>
            </w:r>
          </w:p>
        </w:tc>
        <w:tc>
          <w:tcPr>
            <w:tcW w:w="1520" w:type="dxa"/>
            <w:vAlign w:val="bottom"/>
          </w:tcPr>
          <w:p w:rsidR="001A1E23" w:rsidRPr="00B81DA7" w:rsidRDefault="00943D73" w:rsidP="00084D87">
            <w:pPr>
              <w:jc w:val="right"/>
              <w:rPr>
                <w:color w:val="000000"/>
                <w:sz w:val="24"/>
              </w:rPr>
            </w:pPr>
            <w:r>
              <w:rPr>
                <w:color w:val="000000"/>
                <w:sz w:val="24"/>
              </w:rPr>
              <w:t>2</w:t>
            </w:r>
            <w:r w:rsidR="00084D87">
              <w:rPr>
                <w:color w:val="000000"/>
                <w:sz w:val="24"/>
              </w:rPr>
              <w:t>9</w:t>
            </w:r>
            <w:r>
              <w:rPr>
                <w:color w:val="000000"/>
                <w:sz w:val="24"/>
              </w:rPr>
              <w:t>,500</w:t>
            </w:r>
          </w:p>
        </w:tc>
      </w:tr>
      <w:tr w:rsidR="001A1E23" w:rsidRPr="004D467D">
        <w:trPr>
          <w:trHeight w:val="285"/>
        </w:trPr>
        <w:tc>
          <w:tcPr>
            <w:tcW w:w="1724" w:type="dxa"/>
          </w:tcPr>
          <w:p w:rsidR="001A1E23" w:rsidRPr="004D467D" w:rsidRDefault="001A1E23" w:rsidP="00BA3DA3">
            <w:pPr>
              <w:rPr>
                <w:sz w:val="24"/>
              </w:rPr>
            </w:pPr>
            <w:r>
              <w:rPr>
                <w:sz w:val="24"/>
              </w:rPr>
              <w:t>Eligibility Information</w:t>
            </w:r>
            <w:r w:rsidRPr="004D467D">
              <w:rPr>
                <w:sz w:val="24"/>
              </w:rPr>
              <w:t xml:space="preserve"> </w:t>
            </w:r>
          </w:p>
        </w:tc>
        <w:tc>
          <w:tcPr>
            <w:tcW w:w="1578" w:type="dxa"/>
          </w:tcPr>
          <w:p w:rsidR="001A1E23" w:rsidRPr="004D467D" w:rsidRDefault="001A1E23" w:rsidP="00BA3DA3">
            <w:pPr>
              <w:rPr>
                <w:sz w:val="24"/>
              </w:rPr>
            </w:pPr>
            <w:r>
              <w:rPr>
                <w:sz w:val="24"/>
              </w:rPr>
              <w:t xml:space="preserve">Individual </w:t>
            </w:r>
          </w:p>
        </w:tc>
        <w:tc>
          <w:tcPr>
            <w:tcW w:w="1523" w:type="dxa"/>
          </w:tcPr>
          <w:p w:rsidR="001A1E23" w:rsidRPr="004D467D" w:rsidRDefault="001A1E23" w:rsidP="00BA3DA3">
            <w:pPr>
              <w:rPr>
                <w:sz w:val="24"/>
              </w:rPr>
            </w:pPr>
            <w:r>
              <w:rPr>
                <w:sz w:val="24"/>
              </w:rPr>
              <w:t>50,000</w:t>
            </w:r>
          </w:p>
        </w:tc>
        <w:tc>
          <w:tcPr>
            <w:tcW w:w="1681" w:type="dxa"/>
          </w:tcPr>
          <w:p w:rsidR="001A1E23" w:rsidRPr="004D467D" w:rsidRDefault="001A1E23" w:rsidP="00BA3DA3">
            <w:pPr>
              <w:rPr>
                <w:sz w:val="24"/>
              </w:rPr>
            </w:pPr>
            <w:r>
              <w:rPr>
                <w:sz w:val="24"/>
              </w:rPr>
              <w:t>1</w:t>
            </w:r>
          </w:p>
        </w:tc>
        <w:tc>
          <w:tcPr>
            <w:tcW w:w="1550" w:type="dxa"/>
          </w:tcPr>
          <w:p w:rsidR="001A1E23" w:rsidRPr="004D467D" w:rsidRDefault="001A1E23" w:rsidP="00BA3DA3">
            <w:pPr>
              <w:rPr>
                <w:sz w:val="24"/>
              </w:rPr>
            </w:pPr>
            <w:r>
              <w:rPr>
                <w:sz w:val="24"/>
              </w:rPr>
              <w:t xml:space="preserve"> .5</w:t>
            </w:r>
          </w:p>
        </w:tc>
        <w:tc>
          <w:tcPr>
            <w:tcW w:w="1520" w:type="dxa"/>
            <w:vAlign w:val="bottom"/>
          </w:tcPr>
          <w:p w:rsidR="001A1E23" w:rsidRPr="00B81DA7" w:rsidRDefault="001A1E23" w:rsidP="00BA3DA3">
            <w:pPr>
              <w:jc w:val="right"/>
              <w:rPr>
                <w:color w:val="000000"/>
                <w:sz w:val="24"/>
              </w:rPr>
            </w:pPr>
            <w:r w:rsidRPr="001A1E23">
              <w:rPr>
                <w:color w:val="000000"/>
                <w:sz w:val="24"/>
              </w:rPr>
              <w:t>25</w:t>
            </w:r>
            <w:r>
              <w:rPr>
                <w:color w:val="000000"/>
                <w:sz w:val="24"/>
              </w:rPr>
              <w:t>,</w:t>
            </w:r>
            <w:r w:rsidRPr="001A1E23">
              <w:rPr>
                <w:color w:val="000000"/>
                <w:sz w:val="24"/>
              </w:rPr>
              <w:t>000</w:t>
            </w:r>
          </w:p>
        </w:tc>
      </w:tr>
      <w:tr w:rsidR="001A1E23" w:rsidRPr="004D467D">
        <w:trPr>
          <w:trHeight w:val="285"/>
        </w:trPr>
        <w:tc>
          <w:tcPr>
            <w:tcW w:w="1724" w:type="dxa"/>
          </w:tcPr>
          <w:p w:rsidR="001A1E23" w:rsidRPr="004D467D" w:rsidRDefault="001A1E23" w:rsidP="00BA3DA3">
            <w:pPr>
              <w:rPr>
                <w:sz w:val="24"/>
              </w:rPr>
            </w:pPr>
            <w:r>
              <w:rPr>
                <w:sz w:val="24"/>
              </w:rPr>
              <w:lastRenderedPageBreak/>
              <w:t>Premium Payment</w:t>
            </w:r>
          </w:p>
        </w:tc>
        <w:tc>
          <w:tcPr>
            <w:tcW w:w="1578" w:type="dxa"/>
          </w:tcPr>
          <w:p w:rsidR="001A1E23" w:rsidRPr="004D467D" w:rsidRDefault="001A1E23" w:rsidP="00BA3DA3">
            <w:pPr>
              <w:rPr>
                <w:sz w:val="24"/>
              </w:rPr>
            </w:pPr>
            <w:r>
              <w:rPr>
                <w:sz w:val="24"/>
              </w:rPr>
              <w:t xml:space="preserve">Individual </w:t>
            </w:r>
          </w:p>
        </w:tc>
        <w:tc>
          <w:tcPr>
            <w:tcW w:w="1523" w:type="dxa"/>
          </w:tcPr>
          <w:p w:rsidR="001A1E23" w:rsidRPr="004D467D" w:rsidRDefault="001A1E23" w:rsidP="00BA3DA3">
            <w:pPr>
              <w:rPr>
                <w:sz w:val="24"/>
              </w:rPr>
            </w:pPr>
            <w:r>
              <w:rPr>
                <w:sz w:val="24"/>
              </w:rPr>
              <w:t>33,333</w:t>
            </w:r>
          </w:p>
        </w:tc>
        <w:tc>
          <w:tcPr>
            <w:tcW w:w="1681" w:type="dxa"/>
          </w:tcPr>
          <w:p w:rsidR="001A1E23" w:rsidRPr="004D467D" w:rsidRDefault="001A1E23" w:rsidP="00BA3DA3">
            <w:pPr>
              <w:rPr>
                <w:sz w:val="24"/>
              </w:rPr>
            </w:pPr>
            <w:r>
              <w:rPr>
                <w:sz w:val="24"/>
              </w:rPr>
              <w:t>1</w:t>
            </w:r>
          </w:p>
        </w:tc>
        <w:tc>
          <w:tcPr>
            <w:tcW w:w="1550" w:type="dxa"/>
          </w:tcPr>
          <w:p w:rsidR="001A1E23" w:rsidRDefault="001A1E23" w:rsidP="00BA3DA3">
            <w:pPr>
              <w:rPr>
                <w:sz w:val="24"/>
              </w:rPr>
            </w:pPr>
            <w:r>
              <w:rPr>
                <w:sz w:val="24"/>
              </w:rPr>
              <w:t>.16</w:t>
            </w:r>
          </w:p>
        </w:tc>
        <w:tc>
          <w:tcPr>
            <w:tcW w:w="1520" w:type="dxa"/>
            <w:vAlign w:val="bottom"/>
          </w:tcPr>
          <w:p w:rsidR="001A1E23" w:rsidRPr="00B81DA7" w:rsidRDefault="001A1E23" w:rsidP="00BA3DA3">
            <w:pPr>
              <w:jc w:val="right"/>
              <w:rPr>
                <w:color w:val="000000"/>
                <w:sz w:val="24"/>
              </w:rPr>
            </w:pPr>
            <w:r w:rsidRPr="001A1E23">
              <w:rPr>
                <w:color w:val="000000"/>
                <w:sz w:val="24"/>
              </w:rPr>
              <w:t>5</w:t>
            </w:r>
            <w:r>
              <w:rPr>
                <w:color w:val="000000"/>
                <w:sz w:val="24"/>
              </w:rPr>
              <w:t>,</w:t>
            </w:r>
            <w:r w:rsidRPr="001A1E23">
              <w:rPr>
                <w:color w:val="000000"/>
                <w:sz w:val="24"/>
              </w:rPr>
              <w:t>33</w:t>
            </w:r>
            <w:r>
              <w:rPr>
                <w:color w:val="000000"/>
                <w:sz w:val="24"/>
              </w:rPr>
              <w:t>3</w:t>
            </w:r>
          </w:p>
        </w:tc>
      </w:tr>
      <w:tr w:rsidR="001A1E23" w:rsidRPr="004D467D">
        <w:trPr>
          <w:trHeight w:val="285"/>
        </w:trPr>
        <w:tc>
          <w:tcPr>
            <w:tcW w:w="1724" w:type="dxa"/>
          </w:tcPr>
          <w:p w:rsidR="001A1E23" w:rsidRPr="004D467D" w:rsidRDefault="001A1E23" w:rsidP="00BA3DA3">
            <w:pPr>
              <w:rPr>
                <w:sz w:val="24"/>
              </w:rPr>
            </w:pPr>
            <w:r w:rsidRPr="004D467D">
              <w:rPr>
                <w:sz w:val="24"/>
              </w:rPr>
              <w:t>Total</w:t>
            </w:r>
          </w:p>
        </w:tc>
        <w:tc>
          <w:tcPr>
            <w:tcW w:w="1578" w:type="dxa"/>
          </w:tcPr>
          <w:p w:rsidR="001A1E23" w:rsidRPr="004D467D" w:rsidRDefault="001A1E23" w:rsidP="00BA3DA3">
            <w:pPr>
              <w:rPr>
                <w:sz w:val="24"/>
              </w:rPr>
            </w:pPr>
          </w:p>
        </w:tc>
        <w:tc>
          <w:tcPr>
            <w:tcW w:w="1523" w:type="dxa"/>
          </w:tcPr>
          <w:p w:rsidR="001A1E23" w:rsidRPr="004D467D" w:rsidRDefault="001A1E23" w:rsidP="00BA3DA3">
            <w:pPr>
              <w:rPr>
                <w:sz w:val="24"/>
              </w:rPr>
            </w:pPr>
          </w:p>
        </w:tc>
        <w:tc>
          <w:tcPr>
            <w:tcW w:w="1681" w:type="dxa"/>
          </w:tcPr>
          <w:p w:rsidR="001A1E23" w:rsidRPr="004D467D" w:rsidRDefault="001A1E23" w:rsidP="00BA3DA3">
            <w:pPr>
              <w:rPr>
                <w:sz w:val="24"/>
              </w:rPr>
            </w:pPr>
          </w:p>
        </w:tc>
        <w:tc>
          <w:tcPr>
            <w:tcW w:w="1550" w:type="dxa"/>
          </w:tcPr>
          <w:p w:rsidR="001A1E23" w:rsidRPr="004D467D" w:rsidRDefault="001A1E23" w:rsidP="00BA3DA3">
            <w:pPr>
              <w:rPr>
                <w:sz w:val="24"/>
              </w:rPr>
            </w:pPr>
            <w:r>
              <w:rPr>
                <w:sz w:val="24"/>
              </w:rPr>
              <w:t xml:space="preserve"> 1</w:t>
            </w:r>
            <w:r w:rsidR="00084D87">
              <w:rPr>
                <w:sz w:val="24"/>
              </w:rPr>
              <w:t>.2</w:t>
            </w:r>
            <w:r w:rsidR="00943D73">
              <w:rPr>
                <w:sz w:val="24"/>
              </w:rPr>
              <w:t>5</w:t>
            </w:r>
          </w:p>
        </w:tc>
        <w:tc>
          <w:tcPr>
            <w:tcW w:w="1520" w:type="dxa"/>
            <w:vAlign w:val="bottom"/>
          </w:tcPr>
          <w:p w:rsidR="001A1E23" w:rsidRPr="00B81DA7" w:rsidRDefault="00943D73" w:rsidP="00084D87">
            <w:pPr>
              <w:jc w:val="right"/>
              <w:rPr>
                <w:color w:val="000000"/>
                <w:sz w:val="24"/>
              </w:rPr>
            </w:pPr>
            <w:r>
              <w:rPr>
                <w:color w:val="000000"/>
                <w:sz w:val="24"/>
              </w:rPr>
              <w:t>5</w:t>
            </w:r>
            <w:r w:rsidR="00084D87">
              <w:rPr>
                <w:color w:val="000000"/>
                <w:sz w:val="24"/>
              </w:rPr>
              <w:t>9</w:t>
            </w:r>
            <w:r>
              <w:rPr>
                <w:color w:val="000000"/>
                <w:sz w:val="24"/>
              </w:rPr>
              <w:t>,833</w:t>
            </w:r>
          </w:p>
        </w:tc>
      </w:tr>
    </w:tbl>
    <w:p w:rsidR="00F818BE" w:rsidRDefault="00F818BE">
      <w:pPr>
        <w:widowControl/>
        <w:ind w:left="1440"/>
        <w:rPr>
          <w:sz w:val="24"/>
        </w:rPr>
      </w:pPr>
    </w:p>
    <w:p w:rsidR="0057235B" w:rsidRDefault="0057235B" w:rsidP="00F159EA">
      <w:pPr>
        <w:widowControl/>
        <w:ind w:left="1440"/>
        <w:rPr>
          <w:b/>
          <w:sz w:val="24"/>
        </w:rPr>
      </w:pPr>
    </w:p>
    <w:p w:rsidR="00F159EA" w:rsidRPr="00F159EA" w:rsidRDefault="00F159EA" w:rsidP="00F159EA">
      <w:pPr>
        <w:widowControl/>
        <w:ind w:left="1440"/>
        <w:rPr>
          <w:b/>
          <w:sz w:val="24"/>
        </w:rPr>
      </w:pPr>
      <w:r w:rsidRPr="00F159EA">
        <w:rPr>
          <w:b/>
          <w:sz w:val="24"/>
        </w:rPr>
        <w:t xml:space="preserve">12B. Cost Estimate for All Respondents Completing the </w:t>
      </w:r>
      <w:r w:rsidR="00F35723">
        <w:rPr>
          <w:b/>
          <w:sz w:val="24"/>
        </w:rPr>
        <w:t xml:space="preserve">Letter of Intent and Contact Information </w:t>
      </w:r>
      <w:r w:rsidR="00F35723" w:rsidRPr="00F159EA">
        <w:rPr>
          <w:b/>
          <w:sz w:val="24"/>
        </w:rPr>
        <w:t xml:space="preserve">  </w:t>
      </w:r>
    </w:p>
    <w:p w:rsidR="00F159EA" w:rsidRDefault="00F159EA" w:rsidP="00F159EA">
      <w:pPr>
        <w:widowControl/>
        <w:ind w:left="1440"/>
        <w:rPr>
          <w:szCs w:val="20"/>
        </w:rPr>
      </w:pPr>
    </w:p>
    <w:p w:rsidR="00E9432F" w:rsidRPr="00E9432F" w:rsidRDefault="00E9432F" w:rsidP="00E9432F">
      <w:pPr>
        <w:rPr>
          <w:bCs/>
          <w:iCs/>
          <w:sz w:val="24"/>
        </w:rPr>
      </w:pPr>
      <w:r w:rsidRPr="00E9432F">
        <w:rPr>
          <w:bCs/>
          <w:iCs/>
          <w:sz w:val="24"/>
        </w:rPr>
        <w:t xml:space="preserve">We have calculated the estimated burden hours associated with complying with this information collection request.  </w:t>
      </w:r>
      <w:r>
        <w:rPr>
          <w:bCs/>
          <w:iCs/>
          <w:sz w:val="24"/>
        </w:rPr>
        <w:t xml:space="preserve"> </w:t>
      </w:r>
      <w:r w:rsidRPr="00E9432F">
        <w:rPr>
          <w:bCs/>
          <w:iCs/>
          <w:sz w:val="24"/>
        </w:rPr>
        <w:t>However, we do not believe the respondents will incur any cost burden above that associated with mailing the application.  </w:t>
      </w:r>
    </w:p>
    <w:p w:rsidR="008D60C0" w:rsidRDefault="008D60C0" w:rsidP="00C909DA">
      <w:pPr>
        <w:rPr>
          <w:b/>
          <w:sz w:val="24"/>
        </w:rPr>
      </w:pPr>
    </w:p>
    <w:p w:rsidR="001B6BFE" w:rsidRPr="009816F9" w:rsidRDefault="001B6BFE" w:rsidP="009816F9">
      <w:pPr>
        <w:rPr>
          <w:b/>
          <w:sz w:val="24"/>
        </w:rPr>
      </w:pPr>
      <w:r w:rsidRPr="009816F9">
        <w:rPr>
          <w:b/>
          <w:sz w:val="24"/>
        </w:rPr>
        <w:t>Application Process</w:t>
      </w:r>
    </w:p>
    <w:p w:rsidR="00D9282D" w:rsidRDefault="00D9282D" w:rsidP="009816F9">
      <w:pPr>
        <w:rPr>
          <w:sz w:val="24"/>
        </w:rPr>
      </w:pPr>
      <w:r>
        <w:rPr>
          <w:sz w:val="24"/>
        </w:rPr>
        <w:t xml:space="preserve">In order to complete the application, each applicant will need to read the </w:t>
      </w:r>
      <w:r w:rsidR="0084116D">
        <w:rPr>
          <w:sz w:val="24"/>
        </w:rPr>
        <w:t xml:space="preserve">application instructions and the actual </w:t>
      </w:r>
      <w:r>
        <w:rPr>
          <w:sz w:val="24"/>
        </w:rPr>
        <w:t xml:space="preserve">application, fill out the required information in the application, and submit the application to HHS.  This burden estimate encompasses the entire process of filling out the application which includes completing </w:t>
      </w:r>
      <w:r w:rsidR="00064D14">
        <w:rPr>
          <w:sz w:val="24"/>
        </w:rPr>
        <w:t xml:space="preserve">(1) information about the person applying for coverage, (2) information about the applicant’s state of residence, (3) information about prior enrollment in another PCIP, (4) information about the applicant’s citizenship or immigration status, (5) information about the applicant’s medical condition or diagnosis, (6) information about the applicant’s other insurance coverage, (7) information about the applicant’s employer, (8) what plan to enroll in, (9) information about any third party payment of the applicant’s monthly premium, </w:t>
      </w:r>
      <w:r w:rsidR="0084116D">
        <w:rPr>
          <w:sz w:val="24"/>
        </w:rPr>
        <w:t>(</w:t>
      </w:r>
      <w:r w:rsidR="00064D14">
        <w:rPr>
          <w:sz w:val="24"/>
        </w:rPr>
        <w:t>10</w:t>
      </w:r>
      <w:r w:rsidR="0084116D">
        <w:rPr>
          <w:sz w:val="24"/>
        </w:rPr>
        <w:t xml:space="preserve">) </w:t>
      </w:r>
      <w:r w:rsidR="006811D3">
        <w:rPr>
          <w:sz w:val="24"/>
        </w:rPr>
        <w:t xml:space="preserve">optional </w:t>
      </w:r>
      <w:r w:rsidR="00BF1FE0">
        <w:rPr>
          <w:sz w:val="24"/>
        </w:rPr>
        <w:t>section</w:t>
      </w:r>
      <w:r w:rsidR="006811D3">
        <w:rPr>
          <w:sz w:val="24"/>
        </w:rPr>
        <w:t xml:space="preserve"> if a licensed insurance agent or broker assisted the applicant in applying to the PCIP program, the insurance agent or broker may provide their information to receive compensation for the application, (11) </w:t>
      </w:r>
      <w:r w:rsidR="0084116D">
        <w:rPr>
          <w:sz w:val="24"/>
        </w:rPr>
        <w:t xml:space="preserve">optional section </w:t>
      </w:r>
      <w:r w:rsidR="006811D3">
        <w:rPr>
          <w:sz w:val="24"/>
        </w:rPr>
        <w:t>asking</w:t>
      </w:r>
      <w:r w:rsidR="0084116D">
        <w:rPr>
          <w:sz w:val="24"/>
        </w:rPr>
        <w:t xml:space="preserve"> how the applicant heard about the PCIP program </w:t>
      </w:r>
      <w:r>
        <w:rPr>
          <w:sz w:val="24"/>
        </w:rPr>
        <w:t xml:space="preserve">and signing an attestation.  The completed application must be submitted to HHS, either by fax, United States mail or electronically, in accordance with directions furnished in the application. </w:t>
      </w:r>
      <w:r w:rsidR="00DD5B9D">
        <w:rPr>
          <w:sz w:val="24"/>
        </w:rPr>
        <w:t xml:space="preserve"> The application may also be completed telephonically by calling the PCIP call center and speaking with a customer service representative</w:t>
      </w:r>
      <w:r w:rsidR="00EB6402">
        <w:rPr>
          <w:sz w:val="24"/>
        </w:rPr>
        <w:t xml:space="preserve"> who will complete the application with the individual over the telephone</w:t>
      </w:r>
      <w:r w:rsidR="00DD5B9D">
        <w:rPr>
          <w:sz w:val="24"/>
        </w:rPr>
        <w:t xml:space="preserve">.  </w:t>
      </w:r>
    </w:p>
    <w:p w:rsidR="0057235B" w:rsidRDefault="0057235B" w:rsidP="009816F9">
      <w:pPr>
        <w:rPr>
          <w:sz w:val="24"/>
        </w:rPr>
      </w:pPr>
    </w:p>
    <w:p w:rsidR="007713DB" w:rsidRDefault="007713DB" w:rsidP="009816F9">
      <w:pPr>
        <w:rPr>
          <w:sz w:val="24"/>
        </w:rPr>
      </w:pPr>
      <w:r w:rsidRPr="009816F9">
        <w:rPr>
          <w:sz w:val="24"/>
        </w:rPr>
        <w:t xml:space="preserve">We estimate that it will take approximately </w:t>
      </w:r>
      <w:r w:rsidR="00F50CC8">
        <w:rPr>
          <w:sz w:val="24"/>
        </w:rPr>
        <w:t>3</w:t>
      </w:r>
      <w:r w:rsidR="009615FD">
        <w:rPr>
          <w:sz w:val="24"/>
        </w:rPr>
        <w:t>5</w:t>
      </w:r>
      <w:r w:rsidR="00F50CC8">
        <w:rPr>
          <w:sz w:val="24"/>
        </w:rPr>
        <w:t xml:space="preserve"> </w:t>
      </w:r>
      <w:r w:rsidR="00D9282D">
        <w:rPr>
          <w:sz w:val="24"/>
        </w:rPr>
        <w:t>minutes</w:t>
      </w:r>
      <w:r w:rsidRPr="009816F9">
        <w:rPr>
          <w:sz w:val="24"/>
        </w:rPr>
        <w:t xml:space="preserve"> per applicant to read, </w:t>
      </w:r>
      <w:r w:rsidR="00D9282D">
        <w:rPr>
          <w:sz w:val="24"/>
        </w:rPr>
        <w:t xml:space="preserve">complete and submit </w:t>
      </w:r>
      <w:r w:rsidRPr="009816F9">
        <w:rPr>
          <w:sz w:val="24"/>
        </w:rPr>
        <w:t xml:space="preserve">their </w:t>
      </w:r>
      <w:r w:rsidR="00644231">
        <w:rPr>
          <w:sz w:val="24"/>
        </w:rPr>
        <w:t xml:space="preserve">completed </w:t>
      </w:r>
      <w:r w:rsidRPr="009816F9">
        <w:rPr>
          <w:sz w:val="24"/>
        </w:rPr>
        <w:t>application to HHS</w:t>
      </w:r>
      <w:r w:rsidR="0057235B">
        <w:rPr>
          <w:sz w:val="24"/>
        </w:rPr>
        <w:t>, including obtaining a licensed insurance agent or broker’s information and signature if that agent or broker seeks compensation for the application</w:t>
      </w:r>
      <w:r w:rsidRPr="009816F9">
        <w:rPr>
          <w:sz w:val="24"/>
        </w:rPr>
        <w:t xml:space="preserve">. </w:t>
      </w:r>
    </w:p>
    <w:p w:rsidR="00070BAC" w:rsidRDefault="00070BAC" w:rsidP="009816F9">
      <w:pPr>
        <w:rPr>
          <w:sz w:val="24"/>
        </w:rPr>
      </w:pPr>
    </w:p>
    <w:p w:rsidR="001B6BFE" w:rsidRPr="009816F9" w:rsidRDefault="007713DB" w:rsidP="009816F9">
      <w:pPr>
        <w:rPr>
          <w:sz w:val="24"/>
        </w:rPr>
      </w:pPr>
      <w:r w:rsidRPr="009816F9">
        <w:rPr>
          <w:sz w:val="24"/>
        </w:rPr>
        <w:t xml:space="preserve">It is estimated that up to </w:t>
      </w:r>
      <w:r w:rsidR="00B6406A">
        <w:rPr>
          <w:sz w:val="24"/>
        </w:rPr>
        <w:t>250</w:t>
      </w:r>
      <w:r w:rsidR="00137AE6">
        <w:rPr>
          <w:sz w:val="24"/>
        </w:rPr>
        <w:t>,000</w:t>
      </w:r>
      <w:r w:rsidRPr="009816F9">
        <w:rPr>
          <w:sz w:val="24"/>
        </w:rPr>
        <w:t xml:space="preserve"> respondents will submit an application. </w:t>
      </w:r>
    </w:p>
    <w:p w:rsidR="001B6BFE" w:rsidRDefault="001B6BFE" w:rsidP="009816F9">
      <w:pPr>
        <w:rPr>
          <w:sz w:val="24"/>
        </w:rPr>
      </w:pPr>
    </w:p>
    <w:p w:rsidR="00452F23" w:rsidRPr="009816F9" w:rsidRDefault="00452F23" w:rsidP="00452F23">
      <w:pPr>
        <w:rPr>
          <w:b/>
          <w:sz w:val="24"/>
        </w:rPr>
      </w:pPr>
      <w:r>
        <w:rPr>
          <w:b/>
          <w:sz w:val="24"/>
        </w:rPr>
        <w:t xml:space="preserve">Eligibility Information </w:t>
      </w:r>
    </w:p>
    <w:p w:rsidR="00644231" w:rsidRDefault="00644231" w:rsidP="00644231">
      <w:pPr>
        <w:rPr>
          <w:sz w:val="24"/>
        </w:rPr>
      </w:pPr>
      <w:r>
        <w:rPr>
          <w:sz w:val="24"/>
        </w:rPr>
        <w:t>When applying for coverage, an applicant must demonstrate th</w:t>
      </w:r>
      <w:r w:rsidR="00B138BC">
        <w:rPr>
          <w:sz w:val="24"/>
        </w:rPr>
        <w:t>at he or she is</w:t>
      </w:r>
      <w:r>
        <w:rPr>
          <w:sz w:val="24"/>
        </w:rPr>
        <w:t xml:space="preserve"> a citizen or lawfully present in the United States and ha</w:t>
      </w:r>
      <w:r w:rsidR="00B138BC">
        <w:rPr>
          <w:sz w:val="24"/>
        </w:rPr>
        <w:t>s</w:t>
      </w:r>
      <w:r>
        <w:rPr>
          <w:sz w:val="24"/>
        </w:rPr>
        <w:t xml:space="preserve"> a pre-existing condition.  This burden estimate includes the process for verifying both</w:t>
      </w:r>
      <w:r w:rsidR="00B00748">
        <w:rPr>
          <w:sz w:val="24"/>
        </w:rPr>
        <w:t xml:space="preserve"> regardless if the individual is a new applicant or has moved out of one PCIP service area into another PCIP service area</w:t>
      </w:r>
      <w:r>
        <w:rPr>
          <w:sz w:val="24"/>
        </w:rPr>
        <w:t xml:space="preserve">.  </w:t>
      </w:r>
    </w:p>
    <w:p w:rsidR="00030518" w:rsidRDefault="00030518" w:rsidP="00644231">
      <w:pPr>
        <w:rPr>
          <w:sz w:val="24"/>
        </w:rPr>
      </w:pPr>
    </w:p>
    <w:p w:rsidR="00030518" w:rsidRPr="00697C34" w:rsidRDefault="00030518" w:rsidP="00030518">
      <w:pPr>
        <w:rPr>
          <w:sz w:val="24"/>
        </w:rPr>
      </w:pPr>
      <w:r w:rsidRPr="00697C34">
        <w:rPr>
          <w:sz w:val="24"/>
        </w:rPr>
        <w:t xml:space="preserve">In recognition of the absence of carriers issuing child-only policies in the individual market, we have added an additional option by which a child may now qualify for the federally-administered </w:t>
      </w:r>
      <w:r w:rsidRPr="00697C34">
        <w:rPr>
          <w:sz w:val="24"/>
        </w:rPr>
        <w:lastRenderedPageBreak/>
        <w:t xml:space="preserve">PCIP on the basis of having a condition that was present before the date of enrollment for such coverage, whether or not any medical advice, diagnosis, care, or treatment was recommended or received before such date, provided that he or she is a U.S. citizen or national or otherwise lawfully present in the U.S. and has been without creditable coverage for at least 6 months.  This will not impact our current burden estimates for completing a PCIP enrollment application because we are not requiring additional proof but instead are providing an additional option by which someone under age 19 may prove a pre-existing condition.  Additionally, the current burden estimate calculates an individual’s time to comply with only one of the current three options to prove eligibility.  This change will not alter that estimate but instead will simply give an applicant under the age of 19 one of four options to prove eligibility. </w:t>
      </w:r>
    </w:p>
    <w:p w:rsidR="00644231" w:rsidRPr="00697C34" w:rsidRDefault="00644231" w:rsidP="00644231">
      <w:pPr>
        <w:rPr>
          <w:sz w:val="24"/>
        </w:rPr>
      </w:pPr>
    </w:p>
    <w:p w:rsidR="00644231" w:rsidRPr="00697C34" w:rsidRDefault="00644231" w:rsidP="00644231">
      <w:pPr>
        <w:rPr>
          <w:sz w:val="24"/>
        </w:rPr>
      </w:pPr>
      <w:r w:rsidRPr="00697C34">
        <w:rPr>
          <w:sz w:val="24"/>
        </w:rPr>
        <w:t>To confirm an applicant is a citizen or lawfully present, the applicant must provide:</w:t>
      </w:r>
    </w:p>
    <w:p w:rsidR="00644231" w:rsidRPr="00697C34" w:rsidRDefault="00644231" w:rsidP="00644231">
      <w:pPr>
        <w:numPr>
          <w:ilvl w:val="0"/>
          <w:numId w:val="34"/>
          <w:numberingChange w:id="16" w:author="Laura Dash" w:date="2010-06-24T09:41:00Z" w:original=""/>
        </w:numPr>
        <w:rPr>
          <w:sz w:val="24"/>
        </w:rPr>
      </w:pPr>
      <w:r w:rsidRPr="00697C34">
        <w:rPr>
          <w:sz w:val="24"/>
        </w:rPr>
        <w:t xml:space="preserve">his/her social security number, or </w:t>
      </w:r>
    </w:p>
    <w:p w:rsidR="00644231" w:rsidRPr="00697C34" w:rsidRDefault="00644231" w:rsidP="00644231">
      <w:pPr>
        <w:numPr>
          <w:ilvl w:val="0"/>
          <w:numId w:val="34"/>
          <w:numberingChange w:id="17" w:author="Laura Dash" w:date="2010-06-24T09:41:00Z" w:original=""/>
        </w:numPr>
        <w:rPr>
          <w:sz w:val="24"/>
        </w:rPr>
      </w:pPr>
      <w:r w:rsidRPr="00697C34">
        <w:rPr>
          <w:sz w:val="24"/>
        </w:rPr>
        <w:t xml:space="preserve">a copy of acceptable documentation demonstrating lawful presence.  </w:t>
      </w:r>
    </w:p>
    <w:p w:rsidR="00644231" w:rsidRPr="00697C34" w:rsidRDefault="00644231" w:rsidP="00644231">
      <w:pPr>
        <w:rPr>
          <w:sz w:val="24"/>
        </w:rPr>
      </w:pPr>
    </w:p>
    <w:p w:rsidR="00644231" w:rsidRPr="00697C34" w:rsidRDefault="00644231" w:rsidP="00644231">
      <w:pPr>
        <w:rPr>
          <w:sz w:val="24"/>
        </w:rPr>
      </w:pPr>
      <w:r w:rsidRPr="00697C34">
        <w:rPr>
          <w:sz w:val="24"/>
        </w:rPr>
        <w:t>To confirm an applicant is medically eligible, the applicant must provide:</w:t>
      </w:r>
    </w:p>
    <w:p w:rsidR="00644231" w:rsidRPr="00697C34" w:rsidRDefault="00644231" w:rsidP="00644231">
      <w:pPr>
        <w:numPr>
          <w:ilvl w:val="0"/>
          <w:numId w:val="35"/>
          <w:numberingChange w:id="18" w:author="Laura Dash" w:date="2010-06-24T09:41:00Z" w:original=""/>
        </w:numPr>
        <w:rPr>
          <w:sz w:val="24"/>
        </w:rPr>
      </w:pPr>
      <w:r w:rsidRPr="00697C34">
        <w:rPr>
          <w:sz w:val="24"/>
        </w:rPr>
        <w:t xml:space="preserve">a letter of rejection from an insurance company </w:t>
      </w:r>
      <w:r w:rsidR="00E457D3">
        <w:rPr>
          <w:sz w:val="24"/>
        </w:rPr>
        <w:t xml:space="preserve">or an agent or broker </w:t>
      </w:r>
      <w:r w:rsidRPr="00697C34">
        <w:rPr>
          <w:sz w:val="24"/>
        </w:rPr>
        <w:t xml:space="preserve">in the </w:t>
      </w:r>
      <w:r w:rsidR="00ED5944" w:rsidRPr="00697C34">
        <w:rPr>
          <w:sz w:val="24"/>
        </w:rPr>
        <w:t>S</w:t>
      </w:r>
      <w:r w:rsidRPr="00697C34">
        <w:rPr>
          <w:sz w:val="24"/>
        </w:rPr>
        <w:t xml:space="preserve">tate of residence that is dated within the past </w:t>
      </w:r>
      <w:r w:rsidR="002D515C" w:rsidRPr="00697C34">
        <w:rPr>
          <w:sz w:val="24"/>
        </w:rPr>
        <w:t xml:space="preserve">12 </w:t>
      </w:r>
      <w:r w:rsidRPr="00697C34">
        <w:rPr>
          <w:sz w:val="24"/>
        </w:rPr>
        <w:t xml:space="preserve">months, or </w:t>
      </w:r>
    </w:p>
    <w:p w:rsidR="00644231" w:rsidRPr="00697C34" w:rsidRDefault="00644231" w:rsidP="00644231">
      <w:pPr>
        <w:numPr>
          <w:ilvl w:val="0"/>
          <w:numId w:val="35"/>
          <w:numberingChange w:id="19" w:author="Laura Dash" w:date="2010-06-24T09:41:00Z" w:original=""/>
        </w:numPr>
        <w:rPr>
          <w:sz w:val="24"/>
        </w:rPr>
      </w:pPr>
      <w:r w:rsidRPr="00697C34">
        <w:rPr>
          <w:sz w:val="24"/>
        </w:rPr>
        <w:t xml:space="preserve">an offer of coverage from an insurance company in the </w:t>
      </w:r>
      <w:r w:rsidR="00ED5944" w:rsidRPr="00697C34">
        <w:rPr>
          <w:sz w:val="24"/>
        </w:rPr>
        <w:t>S</w:t>
      </w:r>
      <w:r w:rsidRPr="00697C34">
        <w:rPr>
          <w:sz w:val="24"/>
        </w:rPr>
        <w:t xml:space="preserve">tate of residence that is dated within the past </w:t>
      </w:r>
      <w:r w:rsidR="002D515C" w:rsidRPr="00697C34">
        <w:rPr>
          <w:sz w:val="24"/>
        </w:rPr>
        <w:t xml:space="preserve">12 </w:t>
      </w:r>
      <w:r w:rsidRPr="00697C34">
        <w:rPr>
          <w:sz w:val="24"/>
        </w:rPr>
        <w:t>months that has a rider that excludes coverage for the applicant</w:t>
      </w:r>
      <w:r w:rsidR="00B138BC" w:rsidRPr="00697C34">
        <w:rPr>
          <w:sz w:val="24"/>
        </w:rPr>
        <w:t>’</w:t>
      </w:r>
      <w:r w:rsidRPr="00697C34">
        <w:rPr>
          <w:sz w:val="24"/>
        </w:rPr>
        <w:t xml:space="preserve">s medical condition, or </w:t>
      </w:r>
    </w:p>
    <w:p w:rsidR="00644231" w:rsidRDefault="00ED5944" w:rsidP="00644231">
      <w:pPr>
        <w:numPr>
          <w:ilvl w:val="0"/>
          <w:numId w:val="35"/>
          <w:numberingChange w:id="20" w:author="Laura Dash" w:date="2010-06-24T09:41:00Z" w:original=""/>
        </w:numPr>
        <w:rPr>
          <w:sz w:val="24"/>
        </w:rPr>
      </w:pPr>
      <w:r w:rsidRPr="00697C34">
        <w:rPr>
          <w:sz w:val="24"/>
        </w:rPr>
        <w:t xml:space="preserve">(for children who are under 19 years of age or for a person who lives </w:t>
      </w:r>
      <w:r w:rsidR="00B81DA7" w:rsidRPr="00697C34">
        <w:rPr>
          <w:sz w:val="24"/>
        </w:rPr>
        <w:t>in Maine</w:t>
      </w:r>
      <w:r w:rsidR="00644231" w:rsidRPr="00697C34">
        <w:rPr>
          <w:sz w:val="24"/>
        </w:rPr>
        <w:t xml:space="preserve">, </w:t>
      </w:r>
      <w:r w:rsidRPr="00697C34">
        <w:rPr>
          <w:sz w:val="24"/>
        </w:rPr>
        <w:t>Massachusetts</w:t>
      </w:r>
      <w:r w:rsidR="00644231" w:rsidRPr="00697C34">
        <w:rPr>
          <w:sz w:val="24"/>
        </w:rPr>
        <w:t>, New Jersey, New York or Vermont</w:t>
      </w:r>
      <w:r w:rsidRPr="00697C34">
        <w:rPr>
          <w:sz w:val="24"/>
        </w:rPr>
        <w:t xml:space="preserve">) an offer of </w:t>
      </w:r>
      <w:r w:rsidR="00E457D3">
        <w:rPr>
          <w:sz w:val="24"/>
        </w:rPr>
        <w:t xml:space="preserve">individual insurance </w:t>
      </w:r>
      <w:r w:rsidRPr="00697C34">
        <w:rPr>
          <w:sz w:val="24"/>
        </w:rPr>
        <w:t xml:space="preserve">coverage from an insurance company in their State of residence that is dated within the past </w:t>
      </w:r>
      <w:r w:rsidR="002D515C" w:rsidRPr="00697C34">
        <w:rPr>
          <w:sz w:val="24"/>
        </w:rPr>
        <w:t xml:space="preserve">12 </w:t>
      </w:r>
      <w:r w:rsidRPr="00697C34">
        <w:rPr>
          <w:sz w:val="24"/>
        </w:rPr>
        <w:t>months where, because of the applicant</w:t>
      </w:r>
      <w:r w:rsidR="00B138BC" w:rsidRPr="00697C34">
        <w:rPr>
          <w:sz w:val="24"/>
        </w:rPr>
        <w:t>’</w:t>
      </w:r>
      <w:r w:rsidRPr="00697C34">
        <w:rPr>
          <w:sz w:val="24"/>
        </w:rPr>
        <w:t>s medical condition, the</w:t>
      </w:r>
      <w:r>
        <w:rPr>
          <w:sz w:val="24"/>
        </w:rPr>
        <w:t xml:space="preserve"> premium for the coverage is at least twice as much as the </w:t>
      </w:r>
      <w:r w:rsidR="00BA3DA3">
        <w:rPr>
          <w:sz w:val="24"/>
        </w:rPr>
        <w:t>PCIP</w:t>
      </w:r>
      <w:r>
        <w:rPr>
          <w:sz w:val="24"/>
        </w:rPr>
        <w:t xml:space="preserve"> premium for </w:t>
      </w:r>
      <w:r w:rsidR="00E457D3">
        <w:rPr>
          <w:sz w:val="24"/>
        </w:rPr>
        <w:t xml:space="preserve">the Standard Option in </w:t>
      </w:r>
      <w:r>
        <w:rPr>
          <w:sz w:val="24"/>
        </w:rPr>
        <w:t>their State.</w:t>
      </w:r>
    </w:p>
    <w:p w:rsidR="00AD3ADB" w:rsidRPr="00697C34" w:rsidRDefault="00AD3ADB" w:rsidP="00AD3ADB">
      <w:pPr>
        <w:pStyle w:val="ListParagraph"/>
        <w:numPr>
          <w:ilvl w:val="0"/>
          <w:numId w:val="35"/>
        </w:numPr>
        <w:rPr>
          <w:rFonts w:ascii="Times New Roman" w:hAnsi="Times New Roman" w:cs="Times New Roman"/>
          <w:sz w:val="24"/>
          <w:szCs w:val="24"/>
        </w:rPr>
      </w:pPr>
      <w:r w:rsidRPr="00697C34">
        <w:rPr>
          <w:rFonts w:ascii="Times New Roman" w:hAnsi="Times New Roman" w:cs="Times New Roman"/>
          <w:sz w:val="24"/>
          <w:szCs w:val="24"/>
        </w:rPr>
        <w:t>(</w:t>
      </w:r>
      <w:r w:rsidR="008C1E71" w:rsidRPr="00697C34">
        <w:rPr>
          <w:rFonts w:ascii="Times New Roman" w:hAnsi="Times New Roman" w:cs="Times New Roman"/>
          <w:sz w:val="24"/>
          <w:szCs w:val="24"/>
        </w:rPr>
        <w:t>Applicable</w:t>
      </w:r>
      <w:r w:rsidRPr="00697C34">
        <w:rPr>
          <w:rFonts w:ascii="Times New Roman" w:hAnsi="Times New Roman" w:cs="Times New Roman"/>
          <w:sz w:val="24"/>
          <w:szCs w:val="24"/>
        </w:rPr>
        <w:t xml:space="preserve"> for a child under age 19) a document dated within the past 12 months from a physician, physician assistant, or nurse practitioner who is licensed that says the applicant used to have or presently has a condition. (Applicant must provide a copy of a document dated within the past 12 months that includes their condition, their name, the name, license number, and signature of a physician, physician assistant, or nurse practitioner licensed in their state.)</w:t>
      </w:r>
    </w:p>
    <w:p w:rsidR="00BD7242" w:rsidRDefault="00B00748" w:rsidP="00155134">
      <w:pPr>
        <w:rPr>
          <w:sz w:val="24"/>
        </w:rPr>
      </w:pPr>
      <w:r>
        <w:rPr>
          <w:sz w:val="24"/>
        </w:rPr>
        <w:t xml:space="preserve">If an applicant was previously </w:t>
      </w:r>
      <w:r w:rsidR="00BD7242">
        <w:rPr>
          <w:sz w:val="24"/>
        </w:rPr>
        <w:t xml:space="preserve">enrolled in another state’s PCIP during the past six months in lieu of submitting the above proof of citizenship and pre-existing condition they may instead submit proof of prior enrollment in another state’s PCIP.  </w:t>
      </w:r>
    </w:p>
    <w:p w:rsidR="00BD7242" w:rsidRDefault="00BD7242" w:rsidP="00155134">
      <w:pPr>
        <w:rPr>
          <w:sz w:val="24"/>
        </w:rPr>
      </w:pPr>
    </w:p>
    <w:p w:rsidR="00155134" w:rsidRDefault="00155134" w:rsidP="00155134">
      <w:pPr>
        <w:rPr>
          <w:sz w:val="24"/>
        </w:rPr>
      </w:pPr>
      <w:r>
        <w:rPr>
          <w:sz w:val="24"/>
        </w:rPr>
        <w:t xml:space="preserve">This burden estimate includes </w:t>
      </w:r>
      <w:r w:rsidR="00644231">
        <w:rPr>
          <w:sz w:val="24"/>
        </w:rPr>
        <w:t xml:space="preserve">obtaining such information </w:t>
      </w:r>
      <w:r>
        <w:rPr>
          <w:sz w:val="24"/>
        </w:rPr>
        <w:t xml:space="preserve">to demonstrate eligibility </w:t>
      </w:r>
      <w:r w:rsidR="00644231">
        <w:rPr>
          <w:sz w:val="24"/>
        </w:rPr>
        <w:t xml:space="preserve">and </w:t>
      </w:r>
      <w:r>
        <w:rPr>
          <w:sz w:val="24"/>
        </w:rPr>
        <w:t xml:space="preserve">submitting to HHS, either by fax, United States mail or electronically, in accordance with directions furnished in the application. </w:t>
      </w:r>
    </w:p>
    <w:p w:rsidR="00644231" w:rsidRDefault="00644231" w:rsidP="00644231">
      <w:pPr>
        <w:rPr>
          <w:sz w:val="24"/>
        </w:rPr>
      </w:pPr>
    </w:p>
    <w:p w:rsidR="008A27A7" w:rsidRDefault="00644231" w:rsidP="0029415D">
      <w:pPr>
        <w:rPr>
          <w:sz w:val="24"/>
        </w:rPr>
      </w:pPr>
      <w:r>
        <w:rPr>
          <w:sz w:val="24"/>
        </w:rPr>
        <w:t>We estimate that it will take approximately 30 minutes per applicant to obtain, review</w:t>
      </w:r>
      <w:r w:rsidR="00155134">
        <w:rPr>
          <w:sz w:val="24"/>
        </w:rPr>
        <w:t>, copy</w:t>
      </w:r>
      <w:r>
        <w:rPr>
          <w:sz w:val="24"/>
        </w:rPr>
        <w:t xml:space="preserve"> and submit </w:t>
      </w:r>
      <w:r w:rsidR="00155134">
        <w:rPr>
          <w:sz w:val="24"/>
        </w:rPr>
        <w:t xml:space="preserve">the above </w:t>
      </w:r>
      <w:r>
        <w:rPr>
          <w:sz w:val="24"/>
        </w:rPr>
        <w:t>proof</w:t>
      </w:r>
      <w:r w:rsidR="00155134">
        <w:rPr>
          <w:sz w:val="24"/>
        </w:rPr>
        <w:t>(s)</w:t>
      </w:r>
      <w:r>
        <w:rPr>
          <w:sz w:val="24"/>
        </w:rPr>
        <w:t xml:space="preserve"> of </w:t>
      </w:r>
      <w:r w:rsidR="00155134">
        <w:rPr>
          <w:sz w:val="24"/>
        </w:rPr>
        <w:t>eligibility</w:t>
      </w:r>
      <w:r>
        <w:rPr>
          <w:sz w:val="24"/>
        </w:rPr>
        <w:t xml:space="preserve">.  </w:t>
      </w:r>
    </w:p>
    <w:p w:rsidR="00332B1E" w:rsidRDefault="00332B1E" w:rsidP="00C909DA">
      <w:pPr>
        <w:rPr>
          <w:sz w:val="24"/>
        </w:rPr>
      </w:pPr>
    </w:p>
    <w:p w:rsidR="0029415D" w:rsidRDefault="0029415D" w:rsidP="00C909DA">
      <w:pPr>
        <w:rPr>
          <w:sz w:val="24"/>
        </w:rPr>
      </w:pPr>
      <w:r w:rsidRPr="009816F9">
        <w:rPr>
          <w:sz w:val="24"/>
        </w:rPr>
        <w:t xml:space="preserve">It is estimated that up to </w:t>
      </w:r>
      <w:r w:rsidR="00B6406A">
        <w:rPr>
          <w:sz w:val="24"/>
        </w:rPr>
        <w:t>250</w:t>
      </w:r>
      <w:r w:rsidR="00881DCC">
        <w:rPr>
          <w:sz w:val="24"/>
        </w:rPr>
        <w:t>,000</w:t>
      </w:r>
      <w:r w:rsidRPr="009816F9">
        <w:rPr>
          <w:sz w:val="24"/>
        </w:rPr>
        <w:t xml:space="preserve"> respondents will submit </w:t>
      </w:r>
      <w:r w:rsidR="00881DCC">
        <w:rPr>
          <w:sz w:val="24"/>
        </w:rPr>
        <w:t>proof of eligibility</w:t>
      </w:r>
      <w:r w:rsidRPr="009816F9">
        <w:rPr>
          <w:sz w:val="24"/>
        </w:rPr>
        <w:t>.</w:t>
      </w:r>
    </w:p>
    <w:p w:rsidR="00A70B09" w:rsidRDefault="00A70B09" w:rsidP="00C909DA">
      <w:pPr>
        <w:rPr>
          <w:sz w:val="24"/>
        </w:rPr>
      </w:pPr>
    </w:p>
    <w:p w:rsidR="00452F23" w:rsidRPr="009816F9" w:rsidRDefault="00452F23" w:rsidP="00452F23">
      <w:pPr>
        <w:rPr>
          <w:b/>
          <w:sz w:val="24"/>
        </w:rPr>
      </w:pPr>
      <w:r>
        <w:rPr>
          <w:b/>
          <w:sz w:val="24"/>
        </w:rPr>
        <w:t>Premium Payment</w:t>
      </w:r>
    </w:p>
    <w:p w:rsidR="00452F23" w:rsidRDefault="006B210F" w:rsidP="00C909DA">
      <w:pPr>
        <w:rPr>
          <w:sz w:val="24"/>
        </w:rPr>
      </w:pPr>
      <w:r>
        <w:rPr>
          <w:sz w:val="24"/>
        </w:rPr>
        <w:t xml:space="preserve">Once a completed application and proof of eligibility has been received and approved, the eligible individual will be billed for the first month’s premium and coverage will be activated once payment is received and processed.  This burden estimate includes execution of payment such as writing a check or obtaining a money order and any associated burden if the eligible individual submits such remittance via United States mail.  </w:t>
      </w:r>
    </w:p>
    <w:p w:rsidR="006B210F" w:rsidRDefault="006B210F" w:rsidP="00C909DA">
      <w:pPr>
        <w:rPr>
          <w:sz w:val="24"/>
        </w:rPr>
      </w:pPr>
    </w:p>
    <w:p w:rsidR="006B210F" w:rsidRDefault="006B210F" w:rsidP="00C909DA">
      <w:pPr>
        <w:rPr>
          <w:sz w:val="24"/>
        </w:rPr>
      </w:pPr>
      <w:r>
        <w:rPr>
          <w:sz w:val="24"/>
        </w:rPr>
        <w:t xml:space="preserve">We estimate that it will take approximately 10 minutes per applicant to obtain, complete, and submit the initial payment to activate the insurance coverage.  </w:t>
      </w:r>
    </w:p>
    <w:p w:rsidR="0029415D" w:rsidRDefault="0029415D" w:rsidP="00C909DA">
      <w:pPr>
        <w:rPr>
          <w:sz w:val="24"/>
        </w:rPr>
      </w:pPr>
    </w:p>
    <w:p w:rsidR="0029415D" w:rsidRDefault="0029415D" w:rsidP="00C909DA">
      <w:pPr>
        <w:rPr>
          <w:sz w:val="24"/>
        </w:rPr>
      </w:pPr>
      <w:r w:rsidRPr="009816F9">
        <w:rPr>
          <w:sz w:val="24"/>
        </w:rPr>
        <w:t xml:space="preserve">It is estimated that up to </w:t>
      </w:r>
      <w:r w:rsidR="00B6406A">
        <w:rPr>
          <w:sz w:val="24"/>
        </w:rPr>
        <w:t>150</w:t>
      </w:r>
      <w:r w:rsidR="00881DCC">
        <w:rPr>
          <w:sz w:val="24"/>
        </w:rPr>
        <w:t>,000 respondents will submit a premium payment activating coverage</w:t>
      </w:r>
      <w:r w:rsidRPr="009816F9">
        <w:rPr>
          <w:sz w:val="24"/>
        </w:rPr>
        <w:t>.</w:t>
      </w:r>
    </w:p>
    <w:p w:rsidR="00070BAC" w:rsidRDefault="00070BAC" w:rsidP="00C909DA">
      <w:pPr>
        <w:rPr>
          <w:sz w:val="24"/>
        </w:rPr>
      </w:pPr>
    </w:p>
    <w:p w:rsidR="00146780" w:rsidRPr="00CF1620" w:rsidRDefault="00146780">
      <w:pPr>
        <w:numPr>
          <w:ilvl w:val="0"/>
          <w:numId w:val="1"/>
          <w:numberingChange w:id="21" w:author="Laura Dash" w:date="2010-06-24T09:41:00Z" w:original="%1:13:0:."/>
        </w:numPr>
        <w:rPr>
          <w:b/>
          <w:sz w:val="24"/>
        </w:rPr>
      </w:pPr>
      <w:r>
        <w:rPr>
          <w:b/>
          <w:sz w:val="24"/>
          <w:u w:val="single"/>
        </w:rPr>
        <w:t xml:space="preserve">Estimates of other Total Annual Cost Burden to Respondents or </w:t>
      </w:r>
      <w:r w:rsidR="003E3F6F">
        <w:rPr>
          <w:b/>
          <w:sz w:val="24"/>
          <w:u w:val="single"/>
        </w:rPr>
        <w:t xml:space="preserve">Record Keepers </w:t>
      </w:r>
      <w:r>
        <w:rPr>
          <w:b/>
          <w:sz w:val="24"/>
          <w:u w:val="single"/>
        </w:rPr>
        <w:t>/Capital Costs</w:t>
      </w:r>
    </w:p>
    <w:p w:rsidR="001C6FFB" w:rsidRDefault="001C6FFB" w:rsidP="001C6FFB">
      <w:pPr>
        <w:rPr>
          <w:b/>
          <w:sz w:val="24"/>
        </w:rPr>
      </w:pPr>
    </w:p>
    <w:p w:rsidR="00146780" w:rsidRDefault="00CF1620" w:rsidP="00B1089D">
      <w:pPr>
        <w:ind w:left="360"/>
        <w:rPr>
          <w:sz w:val="24"/>
        </w:rPr>
      </w:pPr>
      <w:r w:rsidRPr="001C6FFB">
        <w:rPr>
          <w:sz w:val="24"/>
        </w:rPr>
        <w:t>There are no additional record</w:t>
      </w:r>
      <w:r w:rsidR="003E3F6F">
        <w:rPr>
          <w:sz w:val="24"/>
        </w:rPr>
        <w:t xml:space="preserve"> </w:t>
      </w:r>
      <w:r w:rsidRPr="001C6FFB">
        <w:rPr>
          <w:sz w:val="24"/>
        </w:rPr>
        <w:t>keeping/capital costs</w:t>
      </w:r>
      <w:r w:rsidR="003E3F6F">
        <w:rPr>
          <w:sz w:val="24"/>
        </w:rPr>
        <w:t>.</w:t>
      </w:r>
      <w:r w:rsidRPr="001C6FFB">
        <w:rPr>
          <w:sz w:val="24"/>
        </w:rPr>
        <w:t xml:space="preserve"> </w:t>
      </w:r>
    </w:p>
    <w:p w:rsidR="00070BAC" w:rsidRPr="001C6FFB" w:rsidRDefault="00070BAC" w:rsidP="00B1089D">
      <w:pPr>
        <w:ind w:left="360"/>
        <w:rPr>
          <w:sz w:val="24"/>
        </w:rPr>
      </w:pPr>
    </w:p>
    <w:p w:rsidR="00146780" w:rsidRDefault="00146780">
      <w:pPr>
        <w:numPr>
          <w:ilvl w:val="0"/>
          <w:numId w:val="1"/>
          <w:numberingChange w:id="22" w:author="Laura Dash" w:date="2010-06-24T09:41:00Z" w:original="%1:14:0:."/>
        </w:numPr>
        <w:rPr>
          <w:b/>
          <w:sz w:val="24"/>
        </w:rPr>
      </w:pPr>
      <w:r>
        <w:rPr>
          <w:b/>
          <w:sz w:val="24"/>
          <w:u w:val="single"/>
        </w:rPr>
        <w:t>Annualized Cost to Federal Government</w:t>
      </w:r>
    </w:p>
    <w:p w:rsidR="00146780" w:rsidRDefault="00146780">
      <w:pPr>
        <w:ind w:left="720"/>
        <w:rPr>
          <w:sz w:val="24"/>
        </w:rPr>
      </w:pPr>
    </w:p>
    <w:p w:rsidR="000D118E" w:rsidRDefault="00881C8B" w:rsidP="00B1089D">
      <w:pPr>
        <w:ind w:left="360"/>
        <w:rPr>
          <w:sz w:val="24"/>
        </w:rPr>
      </w:pPr>
      <w:r>
        <w:rPr>
          <w:sz w:val="24"/>
        </w:rPr>
        <w:t xml:space="preserve">This is the cost to government to review the program. </w:t>
      </w:r>
    </w:p>
    <w:tbl>
      <w:tblPr>
        <w:tblpPr w:leftFromText="180" w:rightFromText="180" w:vertAnchor="text" w:horzAnchor="page" w:tblpX="1921" w:tblpY="136"/>
        <w:tblW w:w="5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3E3F6F" w:rsidRPr="004D467D">
        <w:tc>
          <w:tcPr>
            <w:tcW w:w="1430" w:type="dxa"/>
          </w:tcPr>
          <w:p w:rsidR="003E3F6F" w:rsidRPr="004D467D" w:rsidRDefault="003E3F6F" w:rsidP="003E3F6F">
            <w:pPr>
              <w:widowControl/>
              <w:rPr>
                <w:sz w:val="24"/>
              </w:rPr>
            </w:pPr>
            <w:r w:rsidRPr="004D467D">
              <w:rPr>
                <w:b/>
                <w:bCs/>
                <w:sz w:val="24"/>
              </w:rPr>
              <w:t>Type Federal employee support</w:t>
            </w:r>
          </w:p>
          <w:p w:rsidR="003E3F6F" w:rsidRPr="004D467D" w:rsidRDefault="003E3F6F" w:rsidP="003E3F6F">
            <w:pPr>
              <w:widowControl/>
              <w:rPr>
                <w:b/>
                <w:bCs/>
                <w:sz w:val="24"/>
              </w:rPr>
            </w:pPr>
          </w:p>
        </w:tc>
        <w:tc>
          <w:tcPr>
            <w:tcW w:w="1330" w:type="dxa"/>
          </w:tcPr>
          <w:p w:rsidR="003E3F6F" w:rsidRPr="004D467D" w:rsidRDefault="003E3F6F" w:rsidP="003E3F6F">
            <w:pPr>
              <w:widowControl/>
              <w:rPr>
                <w:b/>
                <w:bCs/>
                <w:sz w:val="24"/>
              </w:rPr>
            </w:pPr>
            <w:r w:rsidRPr="004D467D">
              <w:rPr>
                <w:b/>
                <w:bCs/>
                <w:sz w:val="24"/>
              </w:rPr>
              <w:t>Total Burden</w:t>
            </w:r>
          </w:p>
          <w:p w:rsidR="003E3F6F" w:rsidRPr="004D467D" w:rsidRDefault="003E3F6F" w:rsidP="003E3F6F">
            <w:pPr>
              <w:widowControl/>
              <w:rPr>
                <w:sz w:val="24"/>
              </w:rPr>
            </w:pPr>
            <w:r w:rsidRPr="004D467D">
              <w:rPr>
                <w:b/>
                <w:bCs/>
                <w:sz w:val="24"/>
              </w:rPr>
              <w:t>Hours</w:t>
            </w:r>
          </w:p>
          <w:p w:rsidR="003E3F6F" w:rsidRPr="004D467D" w:rsidRDefault="003E3F6F" w:rsidP="003E3F6F">
            <w:pPr>
              <w:widowControl/>
              <w:rPr>
                <w:b/>
                <w:bCs/>
                <w:sz w:val="24"/>
              </w:rPr>
            </w:pPr>
          </w:p>
        </w:tc>
        <w:tc>
          <w:tcPr>
            <w:tcW w:w="1429" w:type="dxa"/>
          </w:tcPr>
          <w:p w:rsidR="003E3F6F" w:rsidRPr="004D467D" w:rsidRDefault="003E3F6F" w:rsidP="003E3F6F">
            <w:pPr>
              <w:widowControl/>
              <w:rPr>
                <w:b/>
                <w:bCs/>
                <w:sz w:val="24"/>
              </w:rPr>
            </w:pPr>
            <w:r w:rsidRPr="004D467D">
              <w:rPr>
                <w:b/>
                <w:bCs/>
                <w:sz w:val="24"/>
              </w:rPr>
              <w:t>Hourly</w:t>
            </w:r>
          </w:p>
          <w:p w:rsidR="003E3F6F" w:rsidRPr="004D467D" w:rsidRDefault="003E3F6F" w:rsidP="003E3F6F">
            <w:pPr>
              <w:widowControl/>
              <w:rPr>
                <w:sz w:val="24"/>
              </w:rPr>
            </w:pPr>
            <w:r w:rsidRPr="004D467D">
              <w:rPr>
                <w:b/>
                <w:bCs/>
                <w:sz w:val="24"/>
              </w:rPr>
              <w:t xml:space="preserve">Wage Rate (GS </w:t>
            </w:r>
            <w:r w:rsidR="00B138BC">
              <w:rPr>
                <w:b/>
                <w:bCs/>
                <w:sz w:val="24"/>
              </w:rPr>
              <w:t xml:space="preserve">7 </w:t>
            </w:r>
            <w:r>
              <w:rPr>
                <w:b/>
                <w:bCs/>
                <w:sz w:val="24"/>
              </w:rPr>
              <w:t>equivalent</w:t>
            </w:r>
            <w:r w:rsidRPr="004D467D">
              <w:rPr>
                <w:b/>
                <w:bCs/>
                <w:sz w:val="24"/>
              </w:rPr>
              <w:t>)</w:t>
            </w:r>
          </w:p>
          <w:p w:rsidR="003E3F6F" w:rsidRPr="004D467D" w:rsidRDefault="003E3F6F" w:rsidP="003E3F6F">
            <w:pPr>
              <w:widowControl/>
              <w:rPr>
                <w:b/>
                <w:bCs/>
                <w:sz w:val="24"/>
              </w:rPr>
            </w:pPr>
          </w:p>
        </w:tc>
        <w:tc>
          <w:tcPr>
            <w:tcW w:w="1776" w:type="dxa"/>
          </w:tcPr>
          <w:p w:rsidR="003E3F6F" w:rsidRPr="004D467D" w:rsidRDefault="003E3F6F" w:rsidP="003E3F6F">
            <w:pPr>
              <w:widowControl/>
              <w:rPr>
                <w:b/>
                <w:bCs/>
                <w:sz w:val="24"/>
              </w:rPr>
            </w:pPr>
            <w:r w:rsidRPr="004D467D">
              <w:rPr>
                <w:b/>
                <w:bCs/>
                <w:sz w:val="24"/>
              </w:rPr>
              <w:t>Total Federal</w:t>
            </w:r>
          </w:p>
          <w:p w:rsidR="003E3F6F" w:rsidRPr="004D467D" w:rsidRDefault="003E3F6F" w:rsidP="003E3F6F">
            <w:pPr>
              <w:widowControl/>
              <w:rPr>
                <w:sz w:val="24"/>
              </w:rPr>
            </w:pPr>
            <w:r w:rsidRPr="004D467D">
              <w:rPr>
                <w:b/>
                <w:bCs/>
                <w:sz w:val="24"/>
              </w:rPr>
              <w:t>Government Costs</w:t>
            </w:r>
          </w:p>
          <w:p w:rsidR="003E3F6F" w:rsidRPr="004D467D" w:rsidRDefault="003E3F6F" w:rsidP="003E3F6F">
            <w:pPr>
              <w:widowControl/>
              <w:rPr>
                <w:b/>
                <w:bCs/>
                <w:sz w:val="24"/>
              </w:rPr>
            </w:pPr>
          </w:p>
        </w:tc>
      </w:tr>
      <w:tr w:rsidR="003E3F6F" w:rsidRPr="004D467D">
        <w:tc>
          <w:tcPr>
            <w:tcW w:w="1430" w:type="dxa"/>
          </w:tcPr>
          <w:p w:rsidR="003E3F6F" w:rsidRPr="004D467D" w:rsidRDefault="003E3F6F" w:rsidP="003E3F6F">
            <w:pPr>
              <w:rPr>
                <w:sz w:val="24"/>
              </w:rPr>
            </w:pPr>
            <w:r w:rsidRPr="004D467D">
              <w:rPr>
                <w:sz w:val="24"/>
              </w:rPr>
              <w:t xml:space="preserve">First level reviewer </w:t>
            </w:r>
          </w:p>
        </w:tc>
        <w:tc>
          <w:tcPr>
            <w:tcW w:w="1330" w:type="dxa"/>
          </w:tcPr>
          <w:p w:rsidR="003E3F6F" w:rsidRPr="004D467D" w:rsidRDefault="00CA0FB4" w:rsidP="003E3F6F">
            <w:pPr>
              <w:rPr>
                <w:sz w:val="24"/>
              </w:rPr>
            </w:pPr>
            <w:r>
              <w:rPr>
                <w:sz w:val="24"/>
              </w:rPr>
              <w:t>1</w:t>
            </w:r>
          </w:p>
        </w:tc>
        <w:tc>
          <w:tcPr>
            <w:tcW w:w="1429" w:type="dxa"/>
          </w:tcPr>
          <w:p w:rsidR="003E3F6F" w:rsidRDefault="003E3F6F" w:rsidP="00CA0FB4">
            <w:pPr>
              <w:jc w:val="right"/>
              <w:rPr>
                <w:sz w:val="24"/>
              </w:rPr>
            </w:pPr>
            <w:r w:rsidRPr="004D467D">
              <w:rPr>
                <w:sz w:val="24"/>
              </w:rPr>
              <w:t>$</w:t>
            </w:r>
            <w:r w:rsidR="00CA0FB4">
              <w:rPr>
                <w:sz w:val="24"/>
              </w:rPr>
              <w:t>20.22</w:t>
            </w:r>
          </w:p>
          <w:p w:rsidR="00B138BC" w:rsidRPr="004D467D" w:rsidRDefault="00B138BC" w:rsidP="00CA0FB4">
            <w:pPr>
              <w:jc w:val="right"/>
              <w:rPr>
                <w:sz w:val="24"/>
              </w:rPr>
            </w:pPr>
          </w:p>
        </w:tc>
        <w:tc>
          <w:tcPr>
            <w:tcW w:w="1776" w:type="dxa"/>
          </w:tcPr>
          <w:p w:rsidR="003E3F6F" w:rsidRPr="004D467D" w:rsidRDefault="003E3F6F" w:rsidP="00CA0FB4">
            <w:pPr>
              <w:jc w:val="right"/>
              <w:rPr>
                <w:sz w:val="24"/>
              </w:rPr>
            </w:pPr>
            <w:r>
              <w:rPr>
                <w:sz w:val="24"/>
              </w:rPr>
              <w:t>$</w:t>
            </w:r>
            <w:r w:rsidR="00CA0FB4">
              <w:rPr>
                <w:sz w:val="24"/>
              </w:rPr>
              <w:t>20.22</w:t>
            </w:r>
          </w:p>
        </w:tc>
      </w:tr>
      <w:tr w:rsidR="003E3F6F" w:rsidRPr="004D467D">
        <w:trPr>
          <w:trHeight w:val="440"/>
        </w:trPr>
        <w:tc>
          <w:tcPr>
            <w:tcW w:w="1430" w:type="dxa"/>
          </w:tcPr>
          <w:p w:rsidR="003E3F6F" w:rsidRPr="004D467D" w:rsidRDefault="003E3F6F" w:rsidP="003E3F6F">
            <w:pPr>
              <w:widowControl/>
              <w:rPr>
                <w:sz w:val="24"/>
              </w:rPr>
            </w:pPr>
            <w:r w:rsidRPr="004D467D">
              <w:rPr>
                <w:sz w:val="24"/>
              </w:rPr>
              <w:t>Total</w:t>
            </w:r>
          </w:p>
        </w:tc>
        <w:tc>
          <w:tcPr>
            <w:tcW w:w="1330" w:type="dxa"/>
          </w:tcPr>
          <w:p w:rsidR="003E3F6F" w:rsidRPr="004D467D" w:rsidRDefault="00CA0FB4" w:rsidP="003E3F6F">
            <w:pPr>
              <w:widowControl/>
              <w:rPr>
                <w:sz w:val="24"/>
              </w:rPr>
            </w:pPr>
            <w:r>
              <w:rPr>
                <w:sz w:val="24"/>
              </w:rPr>
              <w:t>1</w:t>
            </w:r>
          </w:p>
        </w:tc>
        <w:tc>
          <w:tcPr>
            <w:tcW w:w="1429" w:type="dxa"/>
          </w:tcPr>
          <w:p w:rsidR="003E3F6F" w:rsidRPr="004D467D" w:rsidRDefault="003E3F6F" w:rsidP="003E3F6F">
            <w:pPr>
              <w:widowControl/>
              <w:jc w:val="right"/>
              <w:rPr>
                <w:sz w:val="24"/>
              </w:rPr>
            </w:pPr>
          </w:p>
        </w:tc>
        <w:tc>
          <w:tcPr>
            <w:tcW w:w="1776" w:type="dxa"/>
          </w:tcPr>
          <w:p w:rsidR="003E3F6F" w:rsidRPr="004D467D" w:rsidRDefault="003E3F6F" w:rsidP="00CA0FB4">
            <w:pPr>
              <w:widowControl/>
              <w:jc w:val="right"/>
              <w:rPr>
                <w:sz w:val="24"/>
              </w:rPr>
            </w:pPr>
            <w:r>
              <w:rPr>
                <w:sz w:val="24"/>
              </w:rPr>
              <w:t>$</w:t>
            </w:r>
            <w:r w:rsidR="00CA0FB4">
              <w:rPr>
                <w:sz w:val="24"/>
              </w:rPr>
              <w:t>20.22</w:t>
            </w:r>
          </w:p>
        </w:tc>
      </w:tr>
    </w:tbl>
    <w:p w:rsidR="000D118E" w:rsidRDefault="000D118E">
      <w:pPr>
        <w:ind w:left="720"/>
        <w:rPr>
          <w:sz w:val="24"/>
        </w:rPr>
      </w:pPr>
    </w:p>
    <w:p w:rsidR="003E3F6F" w:rsidRDefault="003E3F6F" w:rsidP="003E3F6F">
      <w:pPr>
        <w:pStyle w:val="BodyTextIndent"/>
        <w:ind w:left="0" w:firstLine="360"/>
        <w:rPr>
          <w:rFonts w:ascii="Times New Roman" w:hAnsi="Times New Roman"/>
        </w:rPr>
      </w:pPr>
    </w:p>
    <w:p w:rsidR="003E3F6F" w:rsidRDefault="003E3F6F" w:rsidP="003E3F6F">
      <w:pPr>
        <w:pStyle w:val="BodyTextIndent"/>
        <w:ind w:left="0" w:firstLine="360"/>
        <w:rPr>
          <w:rFonts w:ascii="Times New Roman" w:hAnsi="Times New Roman"/>
        </w:rPr>
      </w:pPr>
    </w:p>
    <w:p w:rsidR="003E3F6F" w:rsidRDefault="003E3F6F" w:rsidP="003E3F6F">
      <w:pPr>
        <w:pStyle w:val="BodyTextIndent"/>
        <w:ind w:left="0" w:firstLine="360"/>
        <w:rPr>
          <w:rFonts w:ascii="Times New Roman" w:hAnsi="Times New Roman"/>
        </w:rPr>
      </w:pPr>
    </w:p>
    <w:p w:rsidR="005753D5" w:rsidRDefault="005753D5" w:rsidP="003E3F6F">
      <w:pPr>
        <w:pStyle w:val="BodyTextIndent"/>
        <w:ind w:left="0" w:firstLine="360"/>
        <w:rPr>
          <w:rFonts w:ascii="Times New Roman" w:hAnsi="Times New Roman"/>
        </w:rPr>
      </w:pPr>
    </w:p>
    <w:p w:rsidR="005753D5" w:rsidRDefault="005753D5" w:rsidP="003E3F6F">
      <w:pPr>
        <w:pStyle w:val="BodyTextIndent"/>
        <w:ind w:left="0" w:firstLine="360"/>
        <w:rPr>
          <w:rFonts w:ascii="Times New Roman" w:hAnsi="Times New Roman"/>
        </w:rPr>
      </w:pPr>
    </w:p>
    <w:p w:rsidR="005753D5" w:rsidRDefault="005753D5" w:rsidP="003E3F6F">
      <w:pPr>
        <w:pStyle w:val="BodyTextIndent"/>
        <w:ind w:left="0" w:firstLine="360"/>
        <w:rPr>
          <w:rFonts w:ascii="Times New Roman" w:hAnsi="Times New Roman"/>
        </w:rPr>
      </w:pPr>
    </w:p>
    <w:p w:rsidR="005753D5" w:rsidRDefault="005753D5" w:rsidP="003E3F6F">
      <w:pPr>
        <w:pStyle w:val="BodyTextIndent"/>
        <w:ind w:left="0" w:firstLine="360"/>
        <w:rPr>
          <w:rFonts w:ascii="Times New Roman" w:hAnsi="Times New Roman"/>
        </w:rPr>
      </w:pPr>
    </w:p>
    <w:p w:rsidR="005753D5" w:rsidRDefault="005753D5" w:rsidP="003E3F6F">
      <w:pPr>
        <w:pStyle w:val="BodyTextIndent"/>
        <w:ind w:left="0" w:firstLine="360"/>
        <w:rPr>
          <w:rFonts w:ascii="Times New Roman" w:hAnsi="Times New Roman"/>
        </w:rPr>
      </w:pPr>
    </w:p>
    <w:p w:rsidR="005753D5" w:rsidRDefault="005753D5" w:rsidP="003E3F6F">
      <w:pPr>
        <w:pStyle w:val="BodyTextIndent"/>
        <w:ind w:left="0" w:firstLine="360"/>
        <w:rPr>
          <w:rFonts w:ascii="Times New Roman" w:hAnsi="Times New Roman"/>
        </w:rPr>
      </w:pPr>
    </w:p>
    <w:p w:rsidR="001C6FFB" w:rsidRDefault="00622699" w:rsidP="003E3F6F">
      <w:pPr>
        <w:pStyle w:val="BodyTextIndent"/>
        <w:ind w:left="0" w:firstLine="360"/>
        <w:rPr>
          <w:rFonts w:ascii="Times New Roman" w:hAnsi="Times New Roman"/>
        </w:rPr>
      </w:pPr>
      <w:r>
        <w:rPr>
          <w:rFonts w:ascii="Times New Roman" w:hAnsi="Times New Roman"/>
        </w:rPr>
        <w:t xml:space="preserve">Salaries are based on a </w:t>
      </w:r>
      <w:r w:rsidR="006E6F3B">
        <w:rPr>
          <w:rFonts w:ascii="Times New Roman" w:hAnsi="Times New Roman"/>
        </w:rPr>
        <w:t xml:space="preserve">7 </w:t>
      </w:r>
      <w:r>
        <w:rPr>
          <w:rFonts w:ascii="Times New Roman" w:hAnsi="Times New Roman"/>
        </w:rPr>
        <w:t xml:space="preserve">Grade/Step </w:t>
      </w:r>
      <w:r w:rsidR="003E3F6F">
        <w:rPr>
          <w:rFonts w:ascii="Times New Roman" w:hAnsi="Times New Roman"/>
        </w:rPr>
        <w:t>1</w:t>
      </w:r>
      <w:r>
        <w:rPr>
          <w:rFonts w:ascii="Times New Roman" w:hAnsi="Times New Roman"/>
        </w:rPr>
        <w:t xml:space="preserve"> in Washington DC area. </w:t>
      </w:r>
    </w:p>
    <w:p w:rsidR="00F61BC0" w:rsidRDefault="00F61BC0" w:rsidP="003E3F6F">
      <w:pPr>
        <w:pStyle w:val="BodyTextIndent"/>
        <w:ind w:left="0" w:firstLine="360"/>
        <w:rPr>
          <w:rFonts w:ascii="Times New Roman" w:hAnsi="Times New Roman"/>
        </w:rPr>
      </w:pPr>
    </w:p>
    <w:p w:rsidR="00146780" w:rsidRDefault="00146780">
      <w:pPr>
        <w:numPr>
          <w:ilvl w:val="0"/>
          <w:numId w:val="1"/>
          <w:numberingChange w:id="23" w:author="Laura Dash" w:date="2010-06-24T09:41:00Z" w:original="%1:15:0:."/>
        </w:numPr>
        <w:rPr>
          <w:b/>
          <w:sz w:val="24"/>
        </w:rPr>
      </w:pPr>
      <w:r>
        <w:rPr>
          <w:b/>
          <w:sz w:val="24"/>
          <w:u w:val="single"/>
        </w:rPr>
        <w:t>Explanation for Program Changes or Adjustments</w:t>
      </w:r>
    </w:p>
    <w:p w:rsidR="00146780" w:rsidRDefault="00146780">
      <w:pPr>
        <w:ind w:left="720"/>
        <w:rPr>
          <w:b/>
          <w:sz w:val="24"/>
        </w:rPr>
      </w:pPr>
    </w:p>
    <w:p w:rsidR="006C618B" w:rsidRDefault="00B16EDF" w:rsidP="006E6F3B">
      <w:pPr>
        <w:pStyle w:val="BodyTextIndent"/>
        <w:ind w:left="360"/>
        <w:rPr>
          <w:rFonts w:ascii="Times New Roman" w:hAnsi="Times New Roman"/>
        </w:rPr>
      </w:pPr>
      <w:r>
        <w:rPr>
          <w:rFonts w:ascii="Times New Roman" w:hAnsi="Times New Roman"/>
        </w:rPr>
        <w:t>Burden Adjustments</w:t>
      </w:r>
    </w:p>
    <w:p w:rsidR="00B16EDF" w:rsidRDefault="00B16EDF" w:rsidP="006E6F3B">
      <w:pPr>
        <w:pStyle w:val="BodyTextIndent"/>
        <w:ind w:left="360"/>
        <w:rPr>
          <w:rFonts w:ascii="Times New Roman" w:hAnsi="Times New Roman"/>
        </w:rPr>
      </w:pPr>
    </w:p>
    <w:p w:rsidR="00B16EDF" w:rsidRDefault="00B16EDF" w:rsidP="006E6F3B">
      <w:pPr>
        <w:pStyle w:val="BodyTextIndent"/>
        <w:ind w:left="360"/>
        <w:rPr>
          <w:rFonts w:ascii="Times New Roman" w:hAnsi="Times New Roman"/>
        </w:rPr>
      </w:pPr>
      <w:r>
        <w:rPr>
          <w:rFonts w:ascii="Times New Roman" w:hAnsi="Times New Roman"/>
        </w:rPr>
        <w:t xml:space="preserve">The per task burden associated with this information collection request </w:t>
      </w:r>
      <w:r w:rsidR="00913EDF">
        <w:rPr>
          <w:rFonts w:ascii="Times New Roman" w:hAnsi="Times New Roman"/>
        </w:rPr>
        <w:t xml:space="preserve">has slightly increased. The burden associated with submitting an application has increased from .34 hours to .59 hours. </w:t>
      </w:r>
      <w:r>
        <w:rPr>
          <w:rFonts w:ascii="Times New Roman" w:hAnsi="Times New Roman"/>
        </w:rPr>
        <w:t xml:space="preserve">However, the total burden for which we are seeking approval has been adjusted downward.  Previous submissions of this ICR did not accurately reflect the estimated annual burden. Specifically, previously approved versions of this ICR were quadruple counting the </w:t>
      </w:r>
      <w:r>
        <w:rPr>
          <w:rFonts w:ascii="Times New Roman" w:hAnsi="Times New Roman"/>
        </w:rPr>
        <w:lastRenderedPageBreak/>
        <w:t>burden.  We entered the burden four times in the submission rather than one time. The error has been corrected and the estimated annual burden is 59,883 hours as compared to the previously approved 233,999 hours.</w:t>
      </w:r>
    </w:p>
    <w:p w:rsidR="00B16EDF" w:rsidRDefault="00B16EDF" w:rsidP="006E6F3B">
      <w:pPr>
        <w:pStyle w:val="BodyTextIndent"/>
        <w:ind w:left="360"/>
        <w:rPr>
          <w:rFonts w:ascii="Times New Roman" w:hAnsi="Times New Roman"/>
        </w:rPr>
      </w:pPr>
    </w:p>
    <w:p w:rsidR="00B16EDF" w:rsidRDefault="00B16EDF" w:rsidP="006E6F3B">
      <w:pPr>
        <w:pStyle w:val="BodyTextIndent"/>
        <w:ind w:left="360"/>
        <w:rPr>
          <w:rFonts w:ascii="Times New Roman" w:hAnsi="Times New Roman"/>
        </w:rPr>
      </w:pPr>
      <w:r>
        <w:rPr>
          <w:rFonts w:ascii="Times New Roman" w:hAnsi="Times New Roman"/>
        </w:rPr>
        <w:t>Other Changes</w:t>
      </w:r>
    </w:p>
    <w:p w:rsidR="00B16EDF" w:rsidRDefault="00B16EDF" w:rsidP="006C618B">
      <w:pPr>
        <w:ind w:left="360"/>
        <w:rPr>
          <w:sz w:val="24"/>
        </w:rPr>
      </w:pPr>
    </w:p>
    <w:p w:rsidR="006C618B" w:rsidRDefault="00B16EDF" w:rsidP="006C618B">
      <w:pPr>
        <w:ind w:left="360"/>
        <w:rPr>
          <w:sz w:val="24"/>
        </w:rPr>
      </w:pPr>
      <w:r>
        <w:rPr>
          <w:sz w:val="24"/>
        </w:rPr>
        <w:t xml:space="preserve">In addition to burden changes, we have made several other changes that do not affect the burden associated with this collection. </w:t>
      </w:r>
      <w:r w:rsidR="00E457D3">
        <w:rPr>
          <w:sz w:val="24"/>
        </w:rPr>
        <w:t>W</w:t>
      </w:r>
      <w:r w:rsidR="006C618B" w:rsidRPr="00504B58">
        <w:rPr>
          <w:sz w:val="24"/>
        </w:rPr>
        <w:t xml:space="preserve">e have added an additional option by which a child may now qualify for the federally-administered PCIP on the basis of having a condition that was present before the date of enrollment for such coverage, whether or not any medical advice, diagnosis, care, or treatment was recommended or received before such date, provided that he or she is a U.S. citizen or national or otherwise lawfully present in the U.S. and has been without creditable coverage for at least 6 months.  This will not impact our current burden estimates for completing a PCIP enrollment application because we are not requiring additional proof but instead are providing an additional option by which someone under age 19 may prove a pre-existing condition.  Additionally, the current burden estimate calculates an individual’s time to comply with only one of the current three options to prove eligibility.  This change will not alter that estimate but instead will simply give an applicant under the age of 19 one of four options to prove eligibility. </w:t>
      </w:r>
    </w:p>
    <w:p w:rsidR="005753D5" w:rsidRDefault="005753D5" w:rsidP="006C618B">
      <w:pPr>
        <w:ind w:left="360"/>
        <w:rPr>
          <w:sz w:val="24"/>
        </w:rPr>
      </w:pPr>
    </w:p>
    <w:p w:rsidR="0030179A" w:rsidRDefault="005753D5" w:rsidP="005753D5">
      <w:pPr>
        <w:ind w:left="360"/>
        <w:rPr>
          <w:sz w:val="24"/>
        </w:rPr>
      </w:pPr>
      <w:r>
        <w:rPr>
          <w:sz w:val="24"/>
        </w:rPr>
        <w:t>Additional changes are being requested to (</w:t>
      </w:r>
      <w:r w:rsidR="0030179A">
        <w:rPr>
          <w:sz w:val="24"/>
        </w:rPr>
        <w:t xml:space="preserve">1) provide a mechanism for a PCIP enrollee who has moved from a state-administered PCIP to quickly and efficiently enroll into the federally-administered PCIP </w:t>
      </w:r>
      <w:r w:rsidR="0030179A" w:rsidRPr="000C68B8">
        <w:rPr>
          <w:sz w:val="24"/>
        </w:rPr>
        <w:t>(2) provide a mechanism for a PCIP applicant to identify a third party entity will pay their premium to ensure appropriate premium billing</w:t>
      </w:r>
      <w:r w:rsidR="0030179A">
        <w:rPr>
          <w:sz w:val="24"/>
        </w:rPr>
        <w:t xml:space="preserve"> (3) </w:t>
      </w:r>
      <w:r w:rsidR="00BF1FE0">
        <w:rPr>
          <w:sz w:val="24"/>
        </w:rPr>
        <w:t xml:space="preserve">provide a mechanism whereby a licensed insurance agent or broker may identify their referral of an applicant (4) </w:t>
      </w:r>
      <w:r w:rsidR="0030179A">
        <w:rPr>
          <w:sz w:val="24"/>
        </w:rPr>
        <w:t>request employer information to expand ways to identify and prevent instances of insurer dumping and (</w:t>
      </w:r>
      <w:r w:rsidR="00BF1FE0">
        <w:rPr>
          <w:sz w:val="24"/>
        </w:rPr>
        <w:t>5</w:t>
      </w:r>
      <w:r w:rsidR="0030179A">
        <w:rPr>
          <w:sz w:val="24"/>
        </w:rPr>
        <w:t>) make clarifications to existing application language.</w:t>
      </w:r>
    </w:p>
    <w:p w:rsidR="006C618B" w:rsidRDefault="006C618B" w:rsidP="006E6F3B">
      <w:pPr>
        <w:pStyle w:val="BodyTextIndent"/>
        <w:ind w:left="360"/>
        <w:rPr>
          <w:rFonts w:ascii="Times New Roman" w:hAnsi="Times New Roman"/>
        </w:rPr>
      </w:pPr>
    </w:p>
    <w:p w:rsidR="00146780" w:rsidRDefault="00146780">
      <w:pPr>
        <w:numPr>
          <w:ilvl w:val="0"/>
          <w:numId w:val="1"/>
          <w:numberingChange w:id="24" w:author="Laura Dash" w:date="2010-06-24T09:41:00Z" w:original="%1:16:0:."/>
        </w:numPr>
        <w:rPr>
          <w:b/>
          <w:sz w:val="24"/>
        </w:rPr>
      </w:pPr>
      <w:r>
        <w:rPr>
          <w:b/>
          <w:sz w:val="24"/>
          <w:u w:val="single"/>
        </w:rPr>
        <w:t>Plans for Tabulation and Publication and Project Time Schedule</w:t>
      </w:r>
    </w:p>
    <w:p w:rsidR="00146780" w:rsidRDefault="00146780">
      <w:pPr>
        <w:ind w:left="720"/>
        <w:rPr>
          <w:b/>
          <w:sz w:val="24"/>
        </w:rPr>
      </w:pPr>
    </w:p>
    <w:p w:rsidR="000C637D" w:rsidRDefault="006E6F3B" w:rsidP="006E6F3B">
      <w:pPr>
        <w:ind w:left="360"/>
        <w:rPr>
          <w:sz w:val="24"/>
        </w:rPr>
      </w:pPr>
      <w:r>
        <w:rPr>
          <w:sz w:val="24"/>
        </w:rPr>
        <w:t>Data</w:t>
      </w:r>
      <w:r w:rsidR="00CF1620">
        <w:rPr>
          <w:sz w:val="24"/>
        </w:rPr>
        <w:t xml:space="preserve"> collection </w:t>
      </w:r>
      <w:r w:rsidR="000C637D">
        <w:rPr>
          <w:sz w:val="24"/>
        </w:rPr>
        <w:t xml:space="preserve">which </w:t>
      </w:r>
      <w:r w:rsidR="00CF1620">
        <w:rPr>
          <w:sz w:val="24"/>
        </w:rPr>
        <w:t>will begin as soon as clearance is receive</w:t>
      </w:r>
      <w:r w:rsidR="00881C8B">
        <w:rPr>
          <w:sz w:val="24"/>
        </w:rPr>
        <w:t xml:space="preserve">d and will be </w:t>
      </w:r>
      <w:r>
        <w:rPr>
          <w:sz w:val="24"/>
        </w:rPr>
        <w:t>collected daily</w:t>
      </w:r>
      <w:r w:rsidR="00B41761">
        <w:rPr>
          <w:sz w:val="24"/>
        </w:rPr>
        <w:t>, until January 1, 2014 when the program terminates upon transition to the American Health Benefit Exchanges, established under sections 1311 or 1321 of the Patient Protection and Affordable Care Act.</w:t>
      </w:r>
    </w:p>
    <w:p w:rsidR="00BD7242" w:rsidRDefault="00BD7242" w:rsidP="006E6F3B">
      <w:pPr>
        <w:ind w:left="360"/>
        <w:rPr>
          <w:sz w:val="24"/>
        </w:rPr>
      </w:pPr>
    </w:p>
    <w:p w:rsidR="00146780" w:rsidRDefault="00146780">
      <w:pPr>
        <w:numPr>
          <w:ilvl w:val="0"/>
          <w:numId w:val="1"/>
          <w:numberingChange w:id="25" w:author="Laura Dash" w:date="2010-06-24T09:41:00Z" w:original="%1:17:0:."/>
        </w:numPr>
        <w:rPr>
          <w:b/>
          <w:sz w:val="24"/>
        </w:rPr>
      </w:pPr>
      <w:r>
        <w:rPr>
          <w:b/>
          <w:sz w:val="24"/>
          <w:u w:val="single"/>
        </w:rPr>
        <w:t>Reason(s) Display of OMB Expiration Date is Inappropriate</w:t>
      </w:r>
    </w:p>
    <w:p w:rsidR="001C6FFB" w:rsidRDefault="001C6FFB" w:rsidP="001C6FFB">
      <w:pPr>
        <w:pStyle w:val="BodyTextIndent"/>
        <w:rPr>
          <w:rFonts w:ascii="Times New Roman" w:hAnsi="Times New Roman"/>
        </w:rPr>
      </w:pPr>
    </w:p>
    <w:p w:rsidR="00146780" w:rsidRDefault="00CF1620" w:rsidP="00B1089D">
      <w:pPr>
        <w:pStyle w:val="BodyTextIndent"/>
        <w:ind w:left="360"/>
        <w:rPr>
          <w:rFonts w:ascii="Times New Roman" w:hAnsi="Times New Roman"/>
        </w:rPr>
      </w:pPr>
      <w:r>
        <w:rPr>
          <w:rFonts w:ascii="Times New Roman" w:hAnsi="Times New Roman"/>
        </w:rPr>
        <w:t xml:space="preserve">Not applicable. </w:t>
      </w:r>
    </w:p>
    <w:p w:rsidR="00146780" w:rsidRDefault="00146780">
      <w:pPr>
        <w:ind w:left="360"/>
        <w:rPr>
          <w:sz w:val="24"/>
        </w:rPr>
      </w:pPr>
    </w:p>
    <w:p w:rsidR="00146780" w:rsidRDefault="00146780">
      <w:pPr>
        <w:numPr>
          <w:ilvl w:val="0"/>
          <w:numId w:val="1"/>
          <w:numberingChange w:id="26" w:author="Laura Dash" w:date="2010-06-24T09:41:00Z" w:original="%1:18:0:."/>
        </w:numPr>
        <w:rPr>
          <w:b/>
          <w:sz w:val="24"/>
        </w:rPr>
      </w:pPr>
      <w:r>
        <w:rPr>
          <w:b/>
          <w:sz w:val="24"/>
          <w:u w:val="single"/>
        </w:rPr>
        <w:t>Exceptions to Certification for Paperwork Reduction Act Submissions</w:t>
      </w:r>
    </w:p>
    <w:p w:rsidR="001C6FFB" w:rsidRDefault="001C6FFB" w:rsidP="001C6FFB">
      <w:pPr>
        <w:pStyle w:val="BodyTextIndent"/>
        <w:rPr>
          <w:rFonts w:ascii="Times New Roman" w:hAnsi="Times New Roman"/>
        </w:rPr>
      </w:pPr>
    </w:p>
    <w:p w:rsidR="00146780" w:rsidRDefault="00146780" w:rsidP="00B1089D">
      <w:pPr>
        <w:pStyle w:val="BodyTextIndent"/>
        <w:ind w:left="360"/>
        <w:rPr>
          <w:rFonts w:ascii="Times New Roman" w:hAnsi="Times New Roman"/>
        </w:rPr>
      </w:pPr>
      <w:r>
        <w:rPr>
          <w:rFonts w:ascii="Times New Roman" w:hAnsi="Times New Roman"/>
        </w:rPr>
        <w:t>There are no e</w:t>
      </w:r>
      <w:r w:rsidR="00CF1620">
        <w:rPr>
          <w:rFonts w:ascii="Times New Roman" w:hAnsi="Times New Roman"/>
        </w:rPr>
        <w:t>xceptions to the certification.</w:t>
      </w:r>
    </w:p>
    <w:p w:rsidR="00146780" w:rsidRDefault="00146780">
      <w:pPr>
        <w:rPr>
          <w:sz w:val="24"/>
        </w:rPr>
      </w:pPr>
    </w:p>
    <w:p w:rsidR="00BE6542" w:rsidRDefault="00BE6542" w:rsidP="00BE6542">
      <w:pPr>
        <w:pStyle w:val="Heading1"/>
      </w:pPr>
      <w:r>
        <w:lastRenderedPageBreak/>
        <w:t xml:space="preserve">B.  </w:t>
      </w:r>
      <w:r w:rsidR="00146780">
        <w:t xml:space="preserve">Collection of Information Employing Statistical Methods </w:t>
      </w:r>
    </w:p>
    <w:p w:rsidR="00146780" w:rsidRDefault="00146780" w:rsidP="00CF1620">
      <w:pPr>
        <w:pStyle w:val="Heading1"/>
      </w:pPr>
    </w:p>
    <w:p w:rsidR="00FC5031" w:rsidRDefault="00B635E5">
      <w:r>
        <w:rPr>
          <w:sz w:val="24"/>
        </w:rPr>
        <w:t xml:space="preserve">      </w:t>
      </w:r>
      <w:r w:rsidR="0016014D">
        <w:rPr>
          <w:sz w:val="24"/>
        </w:rPr>
        <w:t>Not applicable</w:t>
      </w:r>
      <w:r w:rsidR="00CF1620" w:rsidRPr="001C6FFB">
        <w:rPr>
          <w:sz w:val="24"/>
        </w:rPr>
        <w:t>.</w:t>
      </w:r>
      <w:r w:rsidR="0016014D">
        <w:rPr>
          <w:sz w:val="24"/>
        </w:rPr>
        <w:t xml:space="preserve">  The information collection does not employ statistical methods.</w:t>
      </w:r>
      <w:r w:rsidR="00CF1620" w:rsidRPr="001C6FFB">
        <w:rPr>
          <w:sz w:val="24"/>
        </w:rPr>
        <w:t xml:space="preserve"> </w:t>
      </w:r>
    </w:p>
    <w:sectPr w:rsidR="00FC5031" w:rsidSect="009E503E">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5E8" w:rsidRDefault="009945E8">
      <w:r>
        <w:separator/>
      </w:r>
    </w:p>
  </w:endnote>
  <w:endnote w:type="continuationSeparator" w:id="0">
    <w:p w:rsidR="009945E8" w:rsidRDefault="0099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A3" w:rsidRDefault="00BA3DA3">
    <w:pPr>
      <w:spacing w:line="240" w:lineRule="exact"/>
    </w:pPr>
  </w:p>
  <w:p w:rsidR="00BA3DA3" w:rsidRDefault="00A17428">
    <w:pPr>
      <w:framePr w:w="9361" w:wrap="notBeside" w:vAnchor="text" w:hAnchor="text" w:x="1" w:y="1"/>
      <w:jc w:val="center"/>
      <w:rPr>
        <w:sz w:val="24"/>
      </w:rPr>
    </w:pPr>
    <w:r>
      <w:rPr>
        <w:sz w:val="24"/>
      </w:rPr>
      <w:fldChar w:fldCharType="begin"/>
    </w:r>
    <w:r w:rsidR="00BA3DA3">
      <w:rPr>
        <w:sz w:val="24"/>
      </w:rPr>
      <w:instrText xml:space="preserve">PAGE </w:instrText>
    </w:r>
    <w:r>
      <w:rPr>
        <w:sz w:val="24"/>
      </w:rPr>
      <w:fldChar w:fldCharType="separate"/>
    </w:r>
    <w:r w:rsidR="00856A61">
      <w:rPr>
        <w:noProof/>
        <w:sz w:val="24"/>
      </w:rPr>
      <w:t>1</w:t>
    </w:r>
    <w:r>
      <w:rPr>
        <w:sz w:val="24"/>
      </w:rPr>
      <w:fldChar w:fldCharType="end"/>
    </w:r>
  </w:p>
  <w:p w:rsidR="00BA3DA3" w:rsidRDefault="00BA3DA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5E8" w:rsidRDefault="009945E8">
      <w:r>
        <w:separator/>
      </w:r>
    </w:p>
  </w:footnote>
  <w:footnote w:type="continuationSeparator" w:id="0">
    <w:p w:rsidR="009945E8" w:rsidRDefault="00994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lowerLetter"/>
      <w:pStyle w:val="Level1"/>
      <w:lvlText w:val="%1."/>
      <w:lvlJc w:val="left"/>
      <w:pPr>
        <w:tabs>
          <w:tab w:val="num" w:pos="720"/>
        </w:tabs>
        <w:ind w:left="720" w:hanging="720"/>
      </w:pPr>
      <w:rPr>
        <w:rFonts w:ascii="CG Times" w:hAnsi="CG Times" w:cs="Times New Roman"/>
        <w:sz w:val="26"/>
        <w:szCs w:val="26"/>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175209F"/>
    <w:multiLevelType w:val="hybridMultilevel"/>
    <w:tmpl w:val="6D4EC28C"/>
    <w:lvl w:ilvl="0" w:tplc="39A49706">
      <w:start w:val="1"/>
      <w:numFmt w:val="bullet"/>
      <w:lvlText w:val=""/>
      <w:lvlJc w:val="left"/>
      <w:pPr>
        <w:tabs>
          <w:tab w:val="num" w:pos="1080"/>
        </w:tabs>
        <w:ind w:left="1080" w:hanging="360"/>
      </w:pPr>
      <w:rPr>
        <w:rFonts w:ascii="Symbol" w:hAnsi="Symbol" w:cs="Courier New" w:hint="default"/>
        <w:color w:val="auto"/>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1D565DE"/>
    <w:multiLevelType w:val="hybridMultilevel"/>
    <w:tmpl w:val="7ED073A2"/>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D403AC"/>
    <w:multiLevelType w:val="hybridMultilevel"/>
    <w:tmpl w:val="04D0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5431"/>
    <w:multiLevelType w:val="hybridMultilevel"/>
    <w:tmpl w:val="2B12A1CA"/>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8542150"/>
    <w:multiLevelType w:val="hybridMultilevel"/>
    <w:tmpl w:val="4C62AD7C"/>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AD0028C"/>
    <w:multiLevelType w:val="hybridMultilevel"/>
    <w:tmpl w:val="AA96EE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1761249"/>
    <w:multiLevelType w:val="hybridMultilevel"/>
    <w:tmpl w:val="58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F5822"/>
    <w:multiLevelType w:val="hybridMultilevel"/>
    <w:tmpl w:val="BF1E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04010"/>
    <w:multiLevelType w:val="hybridMultilevel"/>
    <w:tmpl w:val="F064C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9033C5"/>
    <w:multiLevelType w:val="hybridMultilevel"/>
    <w:tmpl w:val="AED24044"/>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B107287"/>
    <w:multiLevelType w:val="hybridMultilevel"/>
    <w:tmpl w:val="01B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0237B8"/>
    <w:multiLevelType w:val="hybridMultilevel"/>
    <w:tmpl w:val="B240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D344C"/>
    <w:multiLevelType w:val="hybridMultilevel"/>
    <w:tmpl w:val="091CEB36"/>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EAC3668"/>
    <w:multiLevelType w:val="hybridMultilevel"/>
    <w:tmpl w:val="E8A4725A"/>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5">
    <w:nsid w:val="31775AFC"/>
    <w:multiLevelType w:val="multilevel"/>
    <w:tmpl w:val="797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E7272"/>
    <w:multiLevelType w:val="hybridMultilevel"/>
    <w:tmpl w:val="92DA48D4"/>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46A663F"/>
    <w:multiLevelType w:val="multilevel"/>
    <w:tmpl w:val="8ED87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4D6475"/>
    <w:multiLevelType w:val="multilevel"/>
    <w:tmpl w:val="3D98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1D7109"/>
    <w:multiLevelType w:val="hybridMultilevel"/>
    <w:tmpl w:val="22162BC6"/>
    <w:lvl w:ilvl="0" w:tplc="0BF2B5AE">
      <w:start w:val="1"/>
      <w:numFmt w:val="decimal"/>
      <w:lvlText w:val="%1."/>
      <w:lvlJc w:val="left"/>
      <w:pPr>
        <w:tabs>
          <w:tab w:val="num" w:pos="360"/>
        </w:tabs>
        <w:ind w:left="360" w:hanging="360"/>
      </w:pPr>
      <w:rPr>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4FEE301E"/>
    <w:multiLevelType w:val="hybridMultilevel"/>
    <w:tmpl w:val="65A62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50727E4"/>
    <w:multiLevelType w:val="hybridMultilevel"/>
    <w:tmpl w:val="E1FA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0B17C2"/>
    <w:multiLevelType w:val="hybridMultilevel"/>
    <w:tmpl w:val="9F18CC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E231E93"/>
    <w:multiLevelType w:val="multilevel"/>
    <w:tmpl w:val="26E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ED00E7D"/>
    <w:multiLevelType w:val="hybridMultilevel"/>
    <w:tmpl w:val="0CB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1542D6"/>
    <w:multiLevelType w:val="hybridMultilevel"/>
    <w:tmpl w:val="B994EB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612E6B7F"/>
    <w:multiLevelType w:val="hybridMultilevel"/>
    <w:tmpl w:val="4A9E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8A0C83"/>
    <w:multiLevelType w:val="hybridMultilevel"/>
    <w:tmpl w:val="5FC44000"/>
    <w:lvl w:ilvl="0" w:tplc="0409000F">
      <w:start w:val="1"/>
      <w:numFmt w:val="decimal"/>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334017F"/>
    <w:multiLevelType w:val="hybridMultilevel"/>
    <w:tmpl w:val="FCD8926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6F10BCF"/>
    <w:multiLevelType w:val="hybridMultilevel"/>
    <w:tmpl w:val="1A28B7B6"/>
    <w:lvl w:ilvl="0" w:tplc="68AE46BC">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1">
    <w:nsid w:val="6D005E66"/>
    <w:multiLevelType w:val="multilevel"/>
    <w:tmpl w:val="547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E020CC7"/>
    <w:multiLevelType w:val="hybridMultilevel"/>
    <w:tmpl w:val="B2D2B590"/>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765903BE"/>
    <w:multiLevelType w:val="hybridMultilevel"/>
    <w:tmpl w:val="84B49134"/>
    <w:lvl w:ilvl="0" w:tplc="1310D460">
      <w:start w:val="1"/>
      <w:numFmt w:val="bullet"/>
      <w:pStyle w:val="Body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F6E0B3A2">
      <w:start w:val="1"/>
      <w:numFmt w:val="bullet"/>
      <w:pStyle w:val="BodyBulletB"/>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68F2BE3"/>
    <w:multiLevelType w:val="hybridMultilevel"/>
    <w:tmpl w:val="9EF80CF2"/>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77C75FED"/>
    <w:multiLevelType w:val="hybridMultilevel"/>
    <w:tmpl w:val="935E01A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3"/>
  </w:num>
  <w:num w:numId="3">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4"/>
  </w:num>
  <w:num w:numId="6">
    <w:abstractNumId w:val="2"/>
  </w:num>
  <w:num w:numId="7">
    <w:abstractNumId w:val="10"/>
  </w:num>
  <w:num w:numId="8">
    <w:abstractNumId w:val="6"/>
  </w:num>
  <w:num w:numId="9">
    <w:abstractNumId w:val="1"/>
  </w:num>
  <w:num w:numId="10">
    <w:abstractNumId w:val="14"/>
  </w:num>
  <w:num w:numId="11">
    <w:abstractNumId w:val="3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4"/>
  </w:num>
  <w:num w:numId="15">
    <w:abstractNumId w:val="17"/>
  </w:num>
  <w:num w:numId="16">
    <w:abstractNumId w:val="32"/>
  </w:num>
  <w:num w:numId="17">
    <w:abstractNumId w:val="13"/>
  </w:num>
  <w:num w:numId="18">
    <w:abstractNumId w:val="5"/>
  </w:num>
  <w:num w:numId="19">
    <w:abstractNumId w:val="11"/>
  </w:num>
  <w:num w:numId="20">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9"/>
  </w:num>
  <w:num w:numId="22">
    <w:abstractNumId w:val="16"/>
  </w:num>
  <w:num w:numId="23">
    <w:abstractNumId w:val="31"/>
  </w:num>
  <w:num w:numId="24">
    <w:abstractNumId w:val="24"/>
  </w:num>
  <w:num w:numId="25">
    <w:abstractNumId w:val="15"/>
  </w:num>
  <w:num w:numId="26">
    <w:abstractNumId w:val="19"/>
  </w:num>
  <w:num w:numId="27">
    <w:abstractNumId w:val="18"/>
  </w:num>
  <w:num w:numId="28">
    <w:abstractNumId w:val="7"/>
  </w:num>
  <w:num w:numId="29">
    <w:abstractNumId w:val="29"/>
  </w:num>
  <w:num w:numId="30">
    <w:abstractNumId w:val="30"/>
  </w:num>
  <w:num w:numId="31">
    <w:abstractNumId w:val="22"/>
  </w:num>
  <w:num w:numId="32">
    <w:abstractNumId w:val="25"/>
  </w:num>
  <w:num w:numId="33">
    <w:abstractNumId w:val="8"/>
  </w:num>
  <w:num w:numId="34">
    <w:abstractNumId w:val="12"/>
  </w:num>
  <w:num w:numId="35">
    <w:abstractNumId w:val="3"/>
  </w:num>
  <w:num w:numId="36">
    <w:abstractNumId w:val="27"/>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CF1620"/>
    <w:rsid w:val="00004129"/>
    <w:rsid w:val="00005708"/>
    <w:rsid w:val="000135AF"/>
    <w:rsid w:val="00016B51"/>
    <w:rsid w:val="00025ECB"/>
    <w:rsid w:val="00030518"/>
    <w:rsid w:val="000579CB"/>
    <w:rsid w:val="00064D14"/>
    <w:rsid w:val="00070BAC"/>
    <w:rsid w:val="00073D3B"/>
    <w:rsid w:val="000741F5"/>
    <w:rsid w:val="000765D8"/>
    <w:rsid w:val="00084D87"/>
    <w:rsid w:val="000878E2"/>
    <w:rsid w:val="000A1159"/>
    <w:rsid w:val="000A4797"/>
    <w:rsid w:val="000C521F"/>
    <w:rsid w:val="000C637D"/>
    <w:rsid w:val="000C68B8"/>
    <w:rsid w:val="000D118E"/>
    <w:rsid w:val="000E28E9"/>
    <w:rsid w:val="000F1521"/>
    <w:rsid w:val="000F784E"/>
    <w:rsid w:val="0010565D"/>
    <w:rsid w:val="001111F7"/>
    <w:rsid w:val="00117FE9"/>
    <w:rsid w:val="00121866"/>
    <w:rsid w:val="00122041"/>
    <w:rsid w:val="00131051"/>
    <w:rsid w:val="00137AE6"/>
    <w:rsid w:val="00141FDC"/>
    <w:rsid w:val="00142E8F"/>
    <w:rsid w:val="00146780"/>
    <w:rsid w:val="0014682A"/>
    <w:rsid w:val="001506E4"/>
    <w:rsid w:val="00152C38"/>
    <w:rsid w:val="00154560"/>
    <w:rsid w:val="00155134"/>
    <w:rsid w:val="001565A7"/>
    <w:rsid w:val="0016014D"/>
    <w:rsid w:val="0017012F"/>
    <w:rsid w:val="0017410F"/>
    <w:rsid w:val="00177BAA"/>
    <w:rsid w:val="001804D8"/>
    <w:rsid w:val="0018215E"/>
    <w:rsid w:val="00185A55"/>
    <w:rsid w:val="00187F0E"/>
    <w:rsid w:val="00191377"/>
    <w:rsid w:val="00194E5A"/>
    <w:rsid w:val="0019521C"/>
    <w:rsid w:val="001A1E23"/>
    <w:rsid w:val="001A4C8B"/>
    <w:rsid w:val="001B6BFE"/>
    <w:rsid w:val="001C6FFB"/>
    <w:rsid w:val="001D02E4"/>
    <w:rsid w:val="001D77EC"/>
    <w:rsid w:val="001E2912"/>
    <w:rsid w:val="001E32AE"/>
    <w:rsid w:val="001F7C63"/>
    <w:rsid w:val="0020075D"/>
    <w:rsid w:val="002021D7"/>
    <w:rsid w:val="002035B2"/>
    <w:rsid w:val="00204D46"/>
    <w:rsid w:val="00205960"/>
    <w:rsid w:val="002169A4"/>
    <w:rsid w:val="002217C5"/>
    <w:rsid w:val="00241287"/>
    <w:rsid w:val="00250ED5"/>
    <w:rsid w:val="002675F2"/>
    <w:rsid w:val="00281315"/>
    <w:rsid w:val="0029415D"/>
    <w:rsid w:val="002B1A95"/>
    <w:rsid w:val="002D36EA"/>
    <w:rsid w:val="002D515C"/>
    <w:rsid w:val="002E7762"/>
    <w:rsid w:val="002F1E8D"/>
    <w:rsid w:val="002F32F8"/>
    <w:rsid w:val="0030179A"/>
    <w:rsid w:val="00302D6D"/>
    <w:rsid w:val="0031212C"/>
    <w:rsid w:val="0031277E"/>
    <w:rsid w:val="003219C0"/>
    <w:rsid w:val="00325EBF"/>
    <w:rsid w:val="003272C4"/>
    <w:rsid w:val="0033195B"/>
    <w:rsid w:val="00332B1E"/>
    <w:rsid w:val="003350F1"/>
    <w:rsid w:val="00343D37"/>
    <w:rsid w:val="00344E0B"/>
    <w:rsid w:val="00351303"/>
    <w:rsid w:val="003621CE"/>
    <w:rsid w:val="003652F0"/>
    <w:rsid w:val="00366DA1"/>
    <w:rsid w:val="003714CB"/>
    <w:rsid w:val="0037519B"/>
    <w:rsid w:val="00382191"/>
    <w:rsid w:val="003A2555"/>
    <w:rsid w:val="003A7E57"/>
    <w:rsid w:val="003C329A"/>
    <w:rsid w:val="003D1F51"/>
    <w:rsid w:val="003E3F12"/>
    <w:rsid w:val="003E3F6F"/>
    <w:rsid w:val="003F7516"/>
    <w:rsid w:val="004045DD"/>
    <w:rsid w:val="00404A7A"/>
    <w:rsid w:val="00405C07"/>
    <w:rsid w:val="0041268A"/>
    <w:rsid w:val="00424AD3"/>
    <w:rsid w:val="00427C01"/>
    <w:rsid w:val="00431070"/>
    <w:rsid w:val="0044440A"/>
    <w:rsid w:val="00445E2B"/>
    <w:rsid w:val="0045013A"/>
    <w:rsid w:val="0045082D"/>
    <w:rsid w:val="00452540"/>
    <w:rsid w:val="00452F23"/>
    <w:rsid w:val="004636C9"/>
    <w:rsid w:val="00497E38"/>
    <w:rsid w:val="004A65FF"/>
    <w:rsid w:val="004A7CBE"/>
    <w:rsid w:val="004B2A06"/>
    <w:rsid w:val="004D467D"/>
    <w:rsid w:val="004D4F93"/>
    <w:rsid w:val="004F30ED"/>
    <w:rsid w:val="004F4A06"/>
    <w:rsid w:val="004F4BF7"/>
    <w:rsid w:val="00504B58"/>
    <w:rsid w:val="005058C8"/>
    <w:rsid w:val="005105C6"/>
    <w:rsid w:val="00517087"/>
    <w:rsid w:val="0052713C"/>
    <w:rsid w:val="00553BAE"/>
    <w:rsid w:val="0055595B"/>
    <w:rsid w:val="0056113E"/>
    <w:rsid w:val="00571183"/>
    <w:rsid w:val="0057235B"/>
    <w:rsid w:val="005753D5"/>
    <w:rsid w:val="00590788"/>
    <w:rsid w:val="00594F0A"/>
    <w:rsid w:val="005A1E7C"/>
    <w:rsid w:val="005A4BDA"/>
    <w:rsid w:val="005B29D0"/>
    <w:rsid w:val="005D0A24"/>
    <w:rsid w:val="005D7076"/>
    <w:rsid w:val="005D745D"/>
    <w:rsid w:val="005E3A82"/>
    <w:rsid w:val="005F1B86"/>
    <w:rsid w:val="005F1EDC"/>
    <w:rsid w:val="005F51AE"/>
    <w:rsid w:val="0060312A"/>
    <w:rsid w:val="00603A18"/>
    <w:rsid w:val="00604D73"/>
    <w:rsid w:val="00607B38"/>
    <w:rsid w:val="00614549"/>
    <w:rsid w:val="0061477C"/>
    <w:rsid w:val="00617265"/>
    <w:rsid w:val="00622699"/>
    <w:rsid w:val="00630363"/>
    <w:rsid w:val="0064292E"/>
    <w:rsid w:val="00644231"/>
    <w:rsid w:val="00645555"/>
    <w:rsid w:val="00651B23"/>
    <w:rsid w:val="00657DF8"/>
    <w:rsid w:val="00661FFF"/>
    <w:rsid w:val="006650D8"/>
    <w:rsid w:val="00674EB4"/>
    <w:rsid w:val="00677E5A"/>
    <w:rsid w:val="006811D3"/>
    <w:rsid w:val="0068372A"/>
    <w:rsid w:val="00693350"/>
    <w:rsid w:val="00695F6C"/>
    <w:rsid w:val="00697C34"/>
    <w:rsid w:val="006A125A"/>
    <w:rsid w:val="006B19F8"/>
    <w:rsid w:val="006B210F"/>
    <w:rsid w:val="006B6C2F"/>
    <w:rsid w:val="006B70F4"/>
    <w:rsid w:val="006B71BE"/>
    <w:rsid w:val="006C618B"/>
    <w:rsid w:val="006D2FDE"/>
    <w:rsid w:val="006D32C6"/>
    <w:rsid w:val="006E6F3B"/>
    <w:rsid w:val="0070165B"/>
    <w:rsid w:val="0071118C"/>
    <w:rsid w:val="00720815"/>
    <w:rsid w:val="007220D9"/>
    <w:rsid w:val="00724679"/>
    <w:rsid w:val="0073036D"/>
    <w:rsid w:val="00733735"/>
    <w:rsid w:val="007349BC"/>
    <w:rsid w:val="00750C00"/>
    <w:rsid w:val="00762CCB"/>
    <w:rsid w:val="00764ECC"/>
    <w:rsid w:val="007713DB"/>
    <w:rsid w:val="007755D7"/>
    <w:rsid w:val="00777F89"/>
    <w:rsid w:val="0078333D"/>
    <w:rsid w:val="007C1CB3"/>
    <w:rsid w:val="007C2915"/>
    <w:rsid w:val="007C4698"/>
    <w:rsid w:val="007C4EA5"/>
    <w:rsid w:val="007F54BA"/>
    <w:rsid w:val="00806A6F"/>
    <w:rsid w:val="008101F4"/>
    <w:rsid w:val="008228D1"/>
    <w:rsid w:val="0084116D"/>
    <w:rsid w:val="00841DBE"/>
    <w:rsid w:val="00847F5D"/>
    <w:rsid w:val="00850BA6"/>
    <w:rsid w:val="008512BE"/>
    <w:rsid w:val="008517E3"/>
    <w:rsid w:val="00856A61"/>
    <w:rsid w:val="0086109F"/>
    <w:rsid w:val="00866D8C"/>
    <w:rsid w:val="008721D2"/>
    <w:rsid w:val="008732E7"/>
    <w:rsid w:val="008759B3"/>
    <w:rsid w:val="00877067"/>
    <w:rsid w:val="00881C8B"/>
    <w:rsid w:val="00881DCC"/>
    <w:rsid w:val="0088334C"/>
    <w:rsid w:val="008847B4"/>
    <w:rsid w:val="00887EE1"/>
    <w:rsid w:val="008A27A7"/>
    <w:rsid w:val="008A5D95"/>
    <w:rsid w:val="008B19B2"/>
    <w:rsid w:val="008C1E71"/>
    <w:rsid w:val="008C4DF1"/>
    <w:rsid w:val="008D2E61"/>
    <w:rsid w:val="008D4510"/>
    <w:rsid w:val="008D60C0"/>
    <w:rsid w:val="008E30B6"/>
    <w:rsid w:val="008E5C1A"/>
    <w:rsid w:val="008E5E01"/>
    <w:rsid w:val="008F1554"/>
    <w:rsid w:val="00904379"/>
    <w:rsid w:val="00906EF0"/>
    <w:rsid w:val="00912A9F"/>
    <w:rsid w:val="00913EDF"/>
    <w:rsid w:val="00917C46"/>
    <w:rsid w:val="009223A6"/>
    <w:rsid w:val="00932AB1"/>
    <w:rsid w:val="00936F85"/>
    <w:rsid w:val="00943D73"/>
    <w:rsid w:val="009615FD"/>
    <w:rsid w:val="00970572"/>
    <w:rsid w:val="0097469C"/>
    <w:rsid w:val="009816F9"/>
    <w:rsid w:val="009835FB"/>
    <w:rsid w:val="0098796F"/>
    <w:rsid w:val="00993822"/>
    <w:rsid w:val="00993C59"/>
    <w:rsid w:val="009945E8"/>
    <w:rsid w:val="009A7D5E"/>
    <w:rsid w:val="009B1393"/>
    <w:rsid w:val="009D0665"/>
    <w:rsid w:val="009D177E"/>
    <w:rsid w:val="009D649A"/>
    <w:rsid w:val="009E207E"/>
    <w:rsid w:val="009E2ADA"/>
    <w:rsid w:val="009E503E"/>
    <w:rsid w:val="009F3B40"/>
    <w:rsid w:val="009F57BD"/>
    <w:rsid w:val="00A10CEF"/>
    <w:rsid w:val="00A12BD5"/>
    <w:rsid w:val="00A17428"/>
    <w:rsid w:val="00A220A3"/>
    <w:rsid w:val="00A27FBB"/>
    <w:rsid w:val="00A309FE"/>
    <w:rsid w:val="00A3252F"/>
    <w:rsid w:val="00A346C2"/>
    <w:rsid w:val="00A44FEB"/>
    <w:rsid w:val="00A551ED"/>
    <w:rsid w:val="00A60D44"/>
    <w:rsid w:val="00A61BFB"/>
    <w:rsid w:val="00A654C9"/>
    <w:rsid w:val="00A70B09"/>
    <w:rsid w:val="00A723D4"/>
    <w:rsid w:val="00A84D7D"/>
    <w:rsid w:val="00AB18E8"/>
    <w:rsid w:val="00AB2F03"/>
    <w:rsid w:val="00AC146C"/>
    <w:rsid w:val="00AC2A51"/>
    <w:rsid w:val="00AD3ADB"/>
    <w:rsid w:val="00AE119D"/>
    <w:rsid w:val="00AE1632"/>
    <w:rsid w:val="00AF6827"/>
    <w:rsid w:val="00B00748"/>
    <w:rsid w:val="00B1089D"/>
    <w:rsid w:val="00B12420"/>
    <w:rsid w:val="00B138BC"/>
    <w:rsid w:val="00B16EDF"/>
    <w:rsid w:val="00B27045"/>
    <w:rsid w:val="00B31AB2"/>
    <w:rsid w:val="00B333B5"/>
    <w:rsid w:val="00B41761"/>
    <w:rsid w:val="00B4272D"/>
    <w:rsid w:val="00B527AA"/>
    <w:rsid w:val="00B635E5"/>
    <w:rsid w:val="00B6406A"/>
    <w:rsid w:val="00B75935"/>
    <w:rsid w:val="00B76C47"/>
    <w:rsid w:val="00B81DA7"/>
    <w:rsid w:val="00B906D4"/>
    <w:rsid w:val="00B96323"/>
    <w:rsid w:val="00BA151A"/>
    <w:rsid w:val="00BA3DA3"/>
    <w:rsid w:val="00BB4D89"/>
    <w:rsid w:val="00BD7242"/>
    <w:rsid w:val="00BE3C1F"/>
    <w:rsid w:val="00BE6542"/>
    <w:rsid w:val="00BF0EE6"/>
    <w:rsid w:val="00BF1FE0"/>
    <w:rsid w:val="00C11995"/>
    <w:rsid w:val="00C31B3D"/>
    <w:rsid w:val="00C5213A"/>
    <w:rsid w:val="00C56CB7"/>
    <w:rsid w:val="00C60EB3"/>
    <w:rsid w:val="00C64082"/>
    <w:rsid w:val="00C67156"/>
    <w:rsid w:val="00C67D9F"/>
    <w:rsid w:val="00C67EF5"/>
    <w:rsid w:val="00C7139B"/>
    <w:rsid w:val="00C71FDE"/>
    <w:rsid w:val="00C909DA"/>
    <w:rsid w:val="00C93D2D"/>
    <w:rsid w:val="00C97CB3"/>
    <w:rsid w:val="00CA0FB4"/>
    <w:rsid w:val="00CA5EF4"/>
    <w:rsid w:val="00CB39E1"/>
    <w:rsid w:val="00CB590D"/>
    <w:rsid w:val="00CC65F9"/>
    <w:rsid w:val="00CD1C22"/>
    <w:rsid w:val="00CD590B"/>
    <w:rsid w:val="00CE7E72"/>
    <w:rsid w:val="00CF0640"/>
    <w:rsid w:val="00CF0732"/>
    <w:rsid w:val="00CF13A8"/>
    <w:rsid w:val="00CF1620"/>
    <w:rsid w:val="00D01D33"/>
    <w:rsid w:val="00D1220C"/>
    <w:rsid w:val="00D17C70"/>
    <w:rsid w:val="00D57722"/>
    <w:rsid w:val="00D6714F"/>
    <w:rsid w:val="00D702D4"/>
    <w:rsid w:val="00D73478"/>
    <w:rsid w:val="00D9282D"/>
    <w:rsid w:val="00D97E29"/>
    <w:rsid w:val="00DA0909"/>
    <w:rsid w:val="00DA2A19"/>
    <w:rsid w:val="00DB5887"/>
    <w:rsid w:val="00DD3624"/>
    <w:rsid w:val="00DD551D"/>
    <w:rsid w:val="00DD5B9D"/>
    <w:rsid w:val="00DD7011"/>
    <w:rsid w:val="00DE368D"/>
    <w:rsid w:val="00DE5C14"/>
    <w:rsid w:val="00DE648B"/>
    <w:rsid w:val="00DE6D93"/>
    <w:rsid w:val="00DF6704"/>
    <w:rsid w:val="00E04665"/>
    <w:rsid w:val="00E05325"/>
    <w:rsid w:val="00E07C02"/>
    <w:rsid w:val="00E13A22"/>
    <w:rsid w:val="00E1607C"/>
    <w:rsid w:val="00E21E5F"/>
    <w:rsid w:val="00E2437C"/>
    <w:rsid w:val="00E40229"/>
    <w:rsid w:val="00E457D3"/>
    <w:rsid w:val="00E60151"/>
    <w:rsid w:val="00E81F20"/>
    <w:rsid w:val="00E83E90"/>
    <w:rsid w:val="00E9432F"/>
    <w:rsid w:val="00EA730C"/>
    <w:rsid w:val="00EB6402"/>
    <w:rsid w:val="00EB70DF"/>
    <w:rsid w:val="00EC157E"/>
    <w:rsid w:val="00EC3151"/>
    <w:rsid w:val="00EC4C62"/>
    <w:rsid w:val="00EC5A28"/>
    <w:rsid w:val="00EC788B"/>
    <w:rsid w:val="00ED5944"/>
    <w:rsid w:val="00F159A3"/>
    <w:rsid w:val="00F159EA"/>
    <w:rsid w:val="00F164D0"/>
    <w:rsid w:val="00F21169"/>
    <w:rsid w:val="00F24211"/>
    <w:rsid w:val="00F345A8"/>
    <w:rsid w:val="00F35723"/>
    <w:rsid w:val="00F50CC8"/>
    <w:rsid w:val="00F61938"/>
    <w:rsid w:val="00F61BC0"/>
    <w:rsid w:val="00F623D5"/>
    <w:rsid w:val="00F73EBA"/>
    <w:rsid w:val="00F818BE"/>
    <w:rsid w:val="00F93442"/>
    <w:rsid w:val="00F955C4"/>
    <w:rsid w:val="00FC5031"/>
    <w:rsid w:val="00FE167C"/>
    <w:rsid w:val="00FE52DF"/>
    <w:rsid w:val="00FF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FFB"/>
    <w:pPr>
      <w:widowControl w:val="0"/>
      <w:autoSpaceDE w:val="0"/>
      <w:autoSpaceDN w:val="0"/>
      <w:adjustRightInd w:val="0"/>
    </w:pPr>
    <w:rPr>
      <w:szCs w:val="24"/>
    </w:rPr>
  </w:style>
  <w:style w:type="paragraph" w:styleId="Heading1">
    <w:name w:val="heading 1"/>
    <w:basedOn w:val="Normal"/>
    <w:next w:val="Normal"/>
    <w:qFormat/>
    <w:rsid w:val="009E503E"/>
    <w:pPr>
      <w:keepNext/>
      <w:outlineLvl w:val="0"/>
    </w:pPr>
    <w:rPr>
      <w:b/>
      <w:bCs/>
      <w:sz w:val="24"/>
    </w:rPr>
  </w:style>
  <w:style w:type="paragraph" w:styleId="Heading2">
    <w:name w:val="heading 2"/>
    <w:basedOn w:val="Normal"/>
    <w:next w:val="Normal"/>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503E"/>
  </w:style>
  <w:style w:type="paragraph" w:styleId="BodyTextIndent">
    <w:name w:val="Body Text Indent"/>
    <w:basedOn w:val="Normal"/>
    <w:rsid w:val="009E503E"/>
    <w:pPr>
      <w:ind w:left="720"/>
    </w:pPr>
    <w:rPr>
      <w:rFonts w:ascii="Baskerville Old Face" w:hAnsi="Baskerville Old Face"/>
      <w:sz w:val="24"/>
    </w:rPr>
  </w:style>
  <w:style w:type="table" w:styleId="TableGrid">
    <w:name w:val="Table Grid"/>
    <w:basedOn w:val="TableNormal"/>
    <w:rsid w:val="009E503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0165B"/>
    <w:rPr>
      <w:rFonts w:cs="Times New Roman"/>
      <w:color w:val="0000FF"/>
      <w:u w:val="single"/>
    </w:rPr>
  </w:style>
  <w:style w:type="paragraph" w:customStyle="1" w:styleId="Body">
    <w:name w:val="Body"/>
    <w:basedOn w:val="Normal"/>
    <w:rsid w:val="0070165B"/>
    <w:pPr>
      <w:widowControl/>
      <w:adjustRightInd/>
      <w:spacing w:after="120"/>
      <w:ind w:left="720"/>
    </w:pPr>
    <w:rPr>
      <w:rFonts w:eastAsia="Calibri"/>
      <w:sz w:val="24"/>
    </w:rPr>
  </w:style>
  <w:style w:type="paragraph" w:customStyle="1" w:styleId="BodyBulletA">
    <w:name w:val="Body Bullet A"/>
    <w:basedOn w:val="Normal"/>
    <w:link w:val="BodyBulletAChar"/>
    <w:rsid w:val="0070165B"/>
    <w:pPr>
      <w:widowControl/>
      <w:numPr>
        <w:numId w:val="2"/>
      </w:numPr>
      <w:autoSpaceDE/>
      <w:autoSpaceDN/>
      <w:adjustRightInd/>
      <w:spacing w:after="120"/>
      <w:ind w:left="1440"/>
    </w:pPr>
    <w:rPr>
      <w:sz w:val="24"/>
    </w:rPr>
  </w:style>
  <w:style w:type="paragraph" w:customStyle="1" w:styleId="BodyBulletB">
    <w:name w:val="Body Bullet B"/>
    <w:basedOn w:val="BodyBulletA"/>
    <w:link w:val="BodyBulletBChar"/>
    <w:rsid w:val="0070165B"/>
    <w:pPr>
      <w:numPr>
        <w:ilvl w:val="2"/>
      </w:numPr>
    </w:pPr>
  </w:style>
  <w:style w:type="character" w:styleId="CommentReference">
    <w:name w:val="annotation reference"/>
    <w:basedOn w:val="DefaultParagraphFont"/>
    <w:semiHidden/>
    <w:rsid w:val="00C909DA"/>
    <w:rPr>
      <w:rFonts w:cs="Times New Roman"/>
      <w:sz w:val="16"/>
      <w:szCs w:val="16"/>
    </w:rPr>
  </w:style>
  <w:style w:type="paragraph" w:styleId="CommentText">
    <w:name w:val="annotation text"/>
    <w:basedOn w:val="Normal"/>
    <w:link w:val="CommentTextChar"/>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locked/>
    <w:rsid w:val="00C909DA"/>
    <w:rPr>
      <w:rFonts w:ascii="Calibri" w:hAnsi="Calibri"/>
      <w:lang w:val="en-US" w:eastAsia="en-US" w:bidi="ar-SA"/>
    </w:rPr>
  </w:style>
  <w:style w:type="paragraph" w:styleId="NormalIndent">
    <w:name w:val="Normal Indent"/>
    <w:basedOn w:val="Normal"/>
    <w:link w:val="NormalIndentChar"/>
    <w:rsid w:val="00C909DA"/>
    <w:pPr>
      <w:widowControl/>
      <w:autoSpaceDE/>
      <w:autoSpaceDN/>
      <w:adjustRightInd/>
      <w:ind w:left="720"/>
    </w:pPr>
    <w:rPr>
      <w:rFonts w:eastAsia="Calibri"/>
      <w:szCs w:val="20"/>
    </w:rPr>
  </w:style>
  <w:style w:type="paragraph" w:customStyle="1" w:styleId="level10">
    <w:name w:val="level1"/>
    <w:basedOn w:val="Normal"/>
    <w:link w:val="level1Char"/>
    <w:rsid w:val="00C909DA"/>
    <w:pPr>
      <w:widowControl/>
      <w:adjustRightInd/>
      <w:ind w:left="720"/>
    </w:pPr>
    <w:rPr>
      <w:rFonts w:eastAsia="Calibri"/>
      <w:sz w:val="24"/>
    </w:rPr>
  </w:style>
  <w:style w:type="character" w:customStyle="1" w:styleId="level1Char">
    <w:name w:val="level1 Char"/>
    <w:basedOn w:val="DefaultParagraphFont"/>
    <w:link w:val="level10"/>
    <w:rsid w:val="00C909DA"/>
    <w:rPr>
      <w:rFonts w:eastAsia="Calibri"/>
      <w:sz w:val="24"/>
      <w:szCs w:val="24"/>
      <w:lang w:val="en-US" w:eastAsia="en-US" w:bidi="ar-SA"/>
    </w:rPr>
  </w:style>
  <w:style w:type="character" w:customStyle="1" w:styleId="BodyBulletAChar">
    <w:name w:val="Body Bullet A Char"/>
    <w:basedOn w:val="DefaultParagraphFont"/>
    <w:link w:val="BodyBulletA"/>
    <w:rsid w:val="00C909DA"/>
    <w:rPr>
      <w:sz w:val="24"/>
      <w:szCs w:val="24"/>
      <w:lang w:val="en-US" w:eastAsia="en-US" w:bidi="ar-SA"/>
    </w:rPr>
  </w:style>
  <w:style w:type="character" w:customStyle="1" w:styleId="BodyBulletBChar">
    <w:name w:val="Body Bullet B Char"/>
    <w:basedOn w:val="BodyBulletAChar"/>
    <w:link w:val="BodyBulletB"/>
    <w:rsid w:val="00C909DA"/>
    <w:rPr>
      <w:sz w:val="24"/>
      <w:szCs w:val="24"/>
      <w:lang w:val="en-US" w:eastAsia="en-US" w:bidi="ar-SA"/>
    </w:rPr>
  </w:style>
  <w:style w:type="paragraph" w:customStyle="1" w:styleId="default">
    <w:name w:val="default"/>
    <w:basedOn w:val="Normal"/>
    <w:link w:val="defaultChar"/>
    <w:rsid w:val="00C909DA"/>
    <w:pPr>
      <w:widowControl/>
      <w:adjustRightInd/>
      <w:spacing w:after="120"/>
    </w:pPr>
    <w:rPr>
      <w:color w:val="000000"/>
      <w:sz w:val="24"/>
    </w:rPr>
  </w:style>
  <w:style w:type="character" w:customStyle="1" w:styleId="defaultChar">
    <w:name w:val="default Char"/>
    <w:basedOn w:val="DefaultParagraphFont"/>
    <w:link w:val="default"/>
    <w:rsid w:val="00C909DA"/>
    <w:rPr>
      <w:color w:val="000000"/>
      <w:sz w:val="24"/>
      <w:szCs w:val="24"/>
      <w:lang w:val="en-US" w:eastAsia="en-US" w:bidi="ar-SA"/>
    </w:rPr>
  </w:style>
  <w:style w:type="character" w:customStyle="1" w:styleId="NormalIndentChar">
    <w:name w:val="Normal Indent Char"/>
    <w:basedOn w:val="DefaultParagraphFont"/>
    <w:link w:val="NormalIndent"/>
    <w:rsid w:val="00C909DA"/>
    <w:rPr>
      <w:rFonts w:eastAsia="Calibri"/>
      <w:lang w:val="en-US" w:eastAsia="en-US" w:bidi="ar-SA"/>
    </w:rPr>
  </w:style>
  <w:style w:type="paragraph" w:styleId="BalloonText">
    <w:name w:val="Balloon Text"/>
    <w:basedOn w:val="Normal"/>
    <w:semiHidden/>
    <w:rsid w:val="00C909DA"/>
    <w:rPr>
      <w:rFonts w:ascii="Tahoma" w:hAnsi="Tahoma" w:cs="Tahoma"/>
      <w:sz w:val="16"/>
      <w:szCs w:val="16"/>
    </w:rPr>
  </w:style>
  <w:style w:type="paragraph" w:customStyle="1" w:styleId="Default0">
    <w:name w:val="Default"/>
    <w:rsid w:val="00C909DA"/>
    <w:pPr>
      <w:autoSpaceDE w:val="0"/>
      <w:autoSpaceDN w:val="0"/>
      <w:adjustRightInd w:val="0"/>
    </w:pPr>
    <w:rPr>
      <w:rFonts w:ascii="Arial" w:eastAsia="Calibri" w:hAnsi="Arial" w:cs="Arial"/>
      <w:color w:val="000000"/>
      <w:sz w:val="24"/>
      <w:szCs w:val="24"/>
    </w:rPr>
  </w:style>
  <w:style w:type="paragraph" w:styleId="EndnoteText">
    <w:name w:val="endnote text"/>
    <w:basedOn w:val="Normal"/>
    <w:semiHidden/>
    <w:rsid w:val="00630363"/>
    <w:pPr>
      <w:widowControl/>
      <w:autoSpaceDE/>
      <w:autoSpaceDN/>
      <w:adjustRightInd/>
    </w:pPr>
    <w:rPr>
      <w:szCs w:val="20"/>
    </w:rPr>
  </w:style>
  <w:style w:type="paragraph" w:styleId="Header">
    <w:name w:val="header"/>
    <w:basedOn w:val="Normal"/>
    <w:rsid w:val="00750C00"/>
    <w:pPr>
      <w:widowControl/>
      <w:tabs>
        <w:tab w:val="center" w:pos="4320"/>
        <w:tab w:val="right" w:pos="8640"/>
      </w:tabs>
      <w:autoSpaceDE/>
      <w:autoSpaceDN/>
      <w:adjustRightInd/>
    </w:pPr>
    <w:rPr>
      <w:sz w:val="24"/>
    </w:rPr>
  </w:style>
  <w:style w:type="paragraph" w:customStyle="1" w:styleId="TOCHeading3">
    <w:name w:val="TOC Heading 3"/>
    <w:basedOn w:val="Normal"/>
    <w:link w:val="TOCHeading3Char"/>
    <w:rsid w:val="00750C00"/>
    <w:pPr>
      <w:widowControl/>
      <w:autoSpaceDE/>
      <w:autoSpaceDN/>
      <w:adjustRightInd/>
      <w:ind w:left="720"/>
    </w:pPr>
    <w:rPr>
      <w:b/>
      <w:sz w:val="24"/>
    </w:rPr>
  </w:style>
  <w:style w:type="paragraph" w:customStyle="1" w:styleId="Quick1">
    <w:name w:val="Quick 1)"/>
    <w:rsid w:val="009835FB"/>
    <w:pPr>
      <w:autoSpaceDE w:val="0"/>
      <w:autoSpaceDN w:val="0"/>
      <w:adjustRightInd w:val="0"/>
      <w:ind w:left="-1440"/>
    </w:pPr>
    <w:rPr>
      <w:sz w:val="24"/>
      <w:szCs w:val="24"/>
    </w:rPr>
  </w:style>
  <w:style w:type="character" w:customStyle="1" w:styleId="CharChar">
    <w:name w:val="Char Char"/>
    <w:basedOn w:val="DefaultParagraphFont"/>
    <w:semiHidden/>
    <w:locked/>
    <w:rsid w:val="00BA151A"/>
    <w:rPr>
      <w:lang w:val="en-US" w:eastAsia="en-US" w:bidi="ar-SA"/>
    </w:rPr>
  </w:style>
  <w:style w:type="character" w:customStyle="1" w:styleId="EmailStyle40">
    <w:name w:val="EmailStyle40"/>
    <w:basedOn w:val="DefaultParagraphFont"/>
    <w:semiHidden/>
    <w:rsid w:val="00241287"/>
    <w:rPr>
      <w:rFonts w:ascii="Arial" w:hAnsi="Arial" w:cs="Arial"/>
      <w:color w:val="auto"/>
      <w:sz w:val="20"/>
      <w:szCs w:val="20"/>
    </w:rPr>
  </w:style>
  <w:style w:type="paragraph" w:customStyle="1" w:styleId="TOCHeading2">
    <w:name w:val="TOC Heading 2"/>
    <w:basedOn w:val="Normal"/>
    <w:link w:val="TOCHeading2Char"/>
    <w:rsid w:val="00185A55"/>
    <w:pPr>
      <w:widowControl/>
      <w:autoSpaceDE/>
      <w:autoSpaceDN/>
      <w:adjustRightInd/>
    </w:pPr>
    <w:rPr>
      <w:b/>
      <w:color w:val="000000"/>
      <w:sz w:val="24"/>
    </w:rPr>
  </w:style>
  <w:style w:type="character" w:customStyle="1" w:styleId="TOCHeading2Char">
    <w:name w:val="TOC Heading 2 Char"/>
    <w:basedOn w:val="DefaultParagraphFont"/>
    <w:link w:val="TOCHeading2"/>
    <w:rsid w:val="00185A55"/>
    <w:rPr>
      <w:b/>
      <w:color w:val="000000"/>
      <w:sz w:val="24"/>
      <w:szCs w:val="24"/>
      <w:lang w:val="en-US" w:eastAsia="en-US" w:bidi="ar-SA"/>
    </w:rPr>
  </w:style>
  <w:style w:type="paragraph" w:customStyle="1" w:styleId="Level1">
    <w:name w:val="Level 1"/>
    <w:basedOn w:val="Normal"/>
    <w:rsid w:val="00DA0909"/>
    <w:pPr>
      <w:numPr>
        <w:numId w:val="20"/>
      </w:numPr>
      <w:ind w:left="720" w:hanging="720"/>
      <w:outlineLvl w:val="0"/>
    </w:pPr>
    <w:rPr>
      <w:sz w:val="24"/>
    </w:rPr>
  </w:style>
  <w:style w:type="paragraph" w:styleId="FootnoteText">
    <w:name w:val="footnote text"/>
    <w:basedOn w:val="Normal"/>
    <w:semiHidden/>
    <w:rsid w:val="00DA0909"/>
    <w:pPr>
      <w:widowControl/>
      <w:autoSpaceDE/>
      <w:autoSpaceDN/>
      <w:adjustRightInd/>
    </w:pPr>
    <w:rPr>
      <w:szCs w:val="20"/>
    </w:rPr>
  </w:style>
  <w:style w:type="character" w:customStyle="1" w:styleId="TOCHeading3Char">
    <w:name w:val="TOC Heading 3 Char"/>
    <w:basedOn w:val="DefaultParagraphFont"/>
    <w:link w:val="TOCHeading3"/>
    <w:rsid w:val="00DA0909"/>
    <w:rPr>
      <w:b/>
      <w:sz w:val="24"/>
      <w:szCs w:val="24"/>
      <w:lang w:val="en-US" w:eastAsia="en-US" w:bidi="ar-SA"/>
    </w:rPr>
  </w:style>
  <w:style w:type="paragraph" w:styleId="CommentSubject">
    <w:name w:val="annotation subject"/>
    <w:basedOn w:val="CommentText"/>
    <w:next w:val="CommentText"/>
    <w:link w:val="CommentSubjectChar"/>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rsid w:val="00D01D33"/>
    <w:rPr>
      <w:rFonts w:ascii="Calibri" w:hAnsi="Calibri"/>
      <w:b/>
      <w:bCs/>
      <w:lang w:val="en-US" w:eastAsia="en-US" w:bidi="ar-SA"/>
    </w:rPr>
  </w:style>
  <w:style w:type="paragraph" w:styleId="Revision">
    <w:name w:val="Revision"/>
    <w:hidden/>
    <w:uiPriority w:val="99"/>
    <w:semiHidden/>
    <w:rsid w:val="00C67EF5"/>
    <w:rPr>
      <w:szCs w:val="24"/>
    </w:rPr>
  </w:style>
  <w:style w:type="paragraph" w:styleId="ListParagraph">
    <w:name w:val="List Paragraph"/>
    <w:basedOn w:val="Normal"/>
    <w:uiPriority w:val="34"/>
    <w:qFormat/>
    <w:rsid w:val="00A3252F"/>
    <w:pPr>
      <w:widowControl/>
      <w:autoSpaceDE/>
      <w:autoSpaceDN/>
      <w:adjustRightInd/>
      <w:spacing w:after="200"/>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07295">
      <w:bodyDiv w:val="1"/>
      <w:marLeft w:val="0"/>
      <w:marRight w:val="0"/>
      <w:marTop w:val="0"/>
      <w:marBottom w:val="0"/>
      <w:divBdr>
        <w:top w:val="none" w:sz="0" w:space="0" w:color="auto"/>
        <w:left w:val="none" w:sz="0" w:space="0" w:color="auto"/>
        <w:bottom w:val="none" w:sz="0" w:space="0" w:color="auto"/>
        <w:right w:val="none" w:sz="0" w:space="0" w:color="auto"/>
      </w:divBdr>
    </w:div>
    <w:div w:id="720249789">
      <w:bodyDiv w:val="1"/>
      <w:marLeft w:val="0"/>
      <w:marRight w:val="0"/>
      <w:marTop w:val="0"/>
      <w:marBottom w:val="0"/>
      <w:divBdr>
        <w:top w:val="none" w:sz="0" w:space="0" w:color="auto"/>
        <w:left w:val="none" w:sz="0" w:space="0" w:color="auto"/>
        <w:bottom w:val="none" w:sz="0" w:space="0" w:color="auto"/>
        <w:right w:val="none" w:sz="0" w:space="0" w:color="auto"/>
      </w:divBdr>
    </w:div>
    <w:div w:id="1095706671">
      <w:bodyDiv w:val="1"/>
      <w:marLeft w:val="0"/>
      <w:marRight w:val="0"/>
      <w:marTop w:val="0"/>
      <w:marBottom w:val="0"/>
      <w:divBdr>
        <w:top w:val="none" w:sz="0" w:space="0" w:color="auto"/>
        <w:left w:val="none" w:sz="0" w:space="0" w:color="auto"/>
        <w:bottom w:val="none" w:sz="0" w:space="0" w:color="auto"/>
        <w:right w:val="none" w:sz="0" w:space="0" w:color="auto"/>
      </w:divBdr>
    </w:div>
    <w:div w:id="1350833008">
      <w:bodyDiv w:val="1"/>
      <w:marLeft w:val="0"/>
      <w:marRight w:val="0"/>
      <w:marTop w:val="0"/>
      <w:marBottom w:val="0"/>
      <w:divBdr>
        <w:top w:val="none" w:sz="0" w:space="0" w:color="auto"/>
        <w:left w:val="none" w:sz="0" w:space="0" w:color="auto"/>
        <w:bottom w:val="none" w:sz="0" w:space="0" w:color="auto"/>
        <w:right w:val="none" w:sz="0" w:space="0" w:color="auto"/>
      </w:divBdr>
    </w:div>
    <w:div w:id="1396709164">
      <w:bodyDiv w:val="1"/>
      <w:marLeft w:val="0"/>
      <w:marRight w:val="0"/>
      <w:marTop w:val="0"/>
      <w:marBottom w:val="0"/>
      <w:divBdr>
        <w:top w:val="none" w:sz="0" w:space="0" w:color="auto"/>
        <w:left w:val="none" w:sz="0" w:space="0" w:color="auto"/>
        <w:bottom w:val="none" w:sz="0" w:space="0" w:color="auto"/>
        <w:right w:val="none" w:sz="0" w:space="0" w:color="auto"/>
      </w:divBdr>
    </w:div>
    <w:div w:id="1423257968">
      <w:bodyDiv w:val="1"/>
      <w:marLeft w:val="0"/>
      <w:marRight w:val="0"/>
      <w:marTop w:val="0"/>
      <w:marBottom w:val="0"/>
      <w:divBdr>
        <w:top w:val="none" w:sz="0" w:space="0" w:color="auto"/>
        <w:left w:val="none" w:sz="0" w:space="0" w:color="auto"/>
        <w:bottom w:val="none" w:sz="0" w:space="0" w:color="auto"/>
        <w:right w:val="none" w:sz="0" w:space="0" w:color="auto"/>
      </w:divBdr>
    </w:div>
    <w:div w:id="1713844750">
      <w:bodyDiv w:val="1"/>
      <w:marLeft w:val="0"/>
      <w:marRight w:val="0"/>
      <w:marTop w:val="0"/>
      <w:marBottom w:val="0"/>
      <w:divBdr>
        <w:top w:val="none" w:sz="0" w:space="0" w:color="auto"/>
        <w:left w:val="none" w:sz="0" w:space="0" w:color="auto"/>
        <w:bottom w:val="none" w:sz="0" w:space="0" w:color="auto"/>
        <w:right w:val="none" w:sz="0" w:space="0" w:color="auto"/>
      </w:divBdr>
    </w:div>
    <w:div w:id="1871797286">
      <w:bodyDiv w:val="1"/>
      <w:marLeft w:val="0"/>
      <w:marRight w:val="0"/>
      <w:marTop w:val="0"/>
      <w:marBottom w:val="0"/>
      <w:divBdr>
        <w:top w:val="none" w:sz="0" w:space="0" w:color="auto"/>
        <w:left w:val="none" w:sz="0" w:space="0" w:color="auto"/>
        <w:bottom w:val="none" w:sz="0" w:space="0" w:color="auto"/>
        <w:right w:val="none" w:sz="0" w:space="0" w:color="auto"/>
      </w:divBdr>
    </w:div>
    <w:div w:id="20576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71515-DF83-4F2E-8BDC-CC338C30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CTAC</cp:lastModifiedBy>
  <cp:revision>2</cp:revision>
  <cp:lastPrinted>2011-11-21T14:53:00Z</cp:lastPrinted>
  <dcterms:created xsi:type="dcterms:W3CDTF">2012-03-20T14:15:00Z</dcterms:created>
  <dcterms:modified xsi:type="dcterms:W3CDTF">2012-03-20T14:15:00Z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714568574</vt:i4>
  </property>
  <property fmtid="{D5CDD505-2E9C-101B-9397-08002B2CF9AE}" pid="3" name="_NewReviewCycle">
    <vt:lpwstr/>
  </property>
  <property fmtid="{D5CDD505-2E9C-101B-9397-08002B2CF9AE}" pid="4" name="_EmailSubject">
    <vt:lpwstr>ROCIS Uploads for 0938-1095</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983422610</vt:i4>
  </property>
  <property fmtid="{D5CDD505-2E9C-101B-9397-08002B2CF9AE}" pid="8" name="_ReviewingToolsShownOnce">
    <vt:lpwstr/>
  </property>
</Properties>
</file>