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C2" w:rsidRDefault="005C3DC2" w:rsidP="005C3DC2">
      <w:pPr>
        <w:ind w:left="1440" w:firstLine="720"/>
      </w:pPr>
    </w:p>
    <w:p w:rsidR="005C3DC2" w:rsidRDefault="005C3DC2" w:rsidP="005C3DC2">
      <w:pPr>
        <w:ind w:left="1440" w:firstLine="720"/>
      </w:pPr>
    </w:p>
    <w:p w:rsidR="005C3DC2" w:rsidRDefault="005C3DC2" w:rsidP="005C3DC2">
      <w:pPr>
        <w:ind w:left="1440" w:firstLine="720"/>
      </w:pPr>
    </w:p>
    <w:p w:rsidR="005C3DC2" w:rsidRPr="00CA02BF" w:rsidRDefault="00CA02BF" w:rsidP="005C3DC2">
      <w:pPr>
        <w:ind w:left="1440" w:firstLine="720"/>
        <w:rPr>
          <w:sz w:val="32"/>
          <w:szCs w:val="32"/>
        </w:rPr>
      </w:pPr>
      <w:r>
        <w:t xml:space="preserve">       </w:t>
      </w:r>
      <w:r w:rsidR="00D70D0F">
        <w:rPr>
          <w:sz w:val="32"/>
          <w:szCs w:val="32"/>
        </w:rPr>
        <w:t>Supporting Statement B</w:t>
      </w:r>
      <w:r w:rsidR="005C3DC2" w:rsidRPr="00CA02BF">
        <w:rPr>
          <w:sz w:val="32"/>
          <w:szCs w:val="32"/>
        </w:rPr>
        <w:t xml:space="preserve"> for</w:t>
      </w:r>
    </w:p>
    <w:p w:rsidR="005C3DC2" w:rsidRDefault="005C3DC2" w:rsidP="005C3DC2">
      <w:pPr>
        <w:ind w:left="1440" w:firstLine="720"/>
        <w:rPr>
          <w:sz w:val="28"/>
          <w:szCs w:val="28"/>
        </w:rPr>
      </w:pPr>
    </w:p>
    <w:p w:rsidR="00680E77" w:rsidRDefault="005C3DC2" w:rsidP="005C3DC2">
      <w:pPr>
        <w:ind w:left="1440" w:firstLine="720"/>
        <w:rPr>
          <w:sz w:val="28"/>
          <w:szCs w:val="28"/>
        </w:rPr>
      </w:pPr>
      <w:r>
        <w:rPr>
          <w:sz w:val="28"/>
          <w:szCs w:val="28"/>
        </w:rPr>
        <w:t xml:space="preserve">         </w:t>
      </w:r>
    </w:p>
    <w:p w:rsidR="00CA02BF" w:rsidRDefault="00680E77" w:rsidP="005C3DC2">
      <w:pPr>
        <w:ind w:left="1440" w:firstLine="720"/>
        <w:rPr>
          <w:sz w:val="28"/>
          <w:szCs w:val="28"/>
        </w:rPr>
      </w:pPr>
      <w:r>
        <w:rPr>
          <w:sz w:val="28"/>
          <w:szCs w:val="28"/>
        </w:rPr>
        <w:t xml:space="preserve">          </w:t>
      </w:r>
      <w:r w:rsidR="005974BD">
        <w:rPr>
          <w:sz w:val="28"/>
          <w:szCs w:val="28"/>
        </w:rPr>
        <w:t xml:space="preserve">    </w:t>
      </w:r>
    </w:p>
    <w:p w:rsidR="00CA02BF" w:rsidRDefault="00CA02BF" w:rsidP="005C3DC2">
      <w:pPr>
        <w:ind w:left="1440" w:firstLine="720"/>
        <w:rPr>
          <w:sz w:val="28"/>
          <w:szCs w:val="28"/>
        </w:rPr>
      </w:pPr>
    </w:p>
    <w:p w:rsidR="00CA02BF" w:rsidRDefault="00CA02BF" w:rsidP="005C3DC2">
      <w:pPr>
        <w:ind w:left="1440" w:firstLine="720"/>
        <w:rPr>
          <w:sz w:val="28"/>
          <w:szCs w:val="28"/>
        </w:rPr>
      </w:pPr>
    </w:p>
    <w:p w:rsidR="00993D79" w:rsidRDefault="00993D79" w:rsidP="00993D79">
      <w:pPr>
        <w:ind w:left="2160"/>
        <w:rPr>
          <w:sz w:val="28"/>
          <w:szCs w:val="28"/>
        </w:rPr>
      </w:pPr>
      <w:r>
        <w:rPr>
          <w:sz w:val="28"/>
          <w:szCs w:val="28"/>
        </w:rPr>
        <w:t>The SSA-NIH Collaboration to Improve the Disability Determination Process: Validation of IRT-CAT tools</w:t>
      </w:r>
    </w:p>
    <w:p w:rsidR="00993D79" w:rsidRPr="00680E77" w:rsidRDefault="00993D79" w:rsidP="00993D79">
      <w:pPr>
        <w:ind w:left="1440" w:firstLine="720"/>
        <w:rPr>
          <w:sz w:val="28"/>
          <w:szCs w:val="28"/>
        </w:rPr>
      </w:pPr>
      <w:r>
        <w:rPr>
          <w:sz w:val="28"/>
          <w:szCs w:val="28"/>
        </w:rPr>
        <w:t>NIH/CC/RMD</w:t>
      </w:r>
    </w:p>
    <w:p w:rsidR="005C3DC2" w:rsidRPr="005C3DC2" w:rsidRDefault="005C3DC2" w:rsidP="005C3DC2">
      <w:pPr>
        <w:rPr>
          <w:color w:val="0000FF"/>
          <w:sz w:val="32"/>
          <w:szCs w:val="32"/>
        </w:rPr>
      </w:pPr>
    </w:p>
    <w:p w:rsidR="001E2C04" w:rsidRDefault="001E2C04" w:rsidP="005C3DC2">
      <w:pPr>
        <w:rPr>
          <w:color w:val="FF0000"/>
          <w:sz w:val="32"/>
          <w:szCs w:val="32"/>
        </w:rPr>
      </w:pPr>
    </w:p>
    <w:p w:rsidR="00CA02BF" w:rsidRDefault="00CA02BF" w:rsidP="005C3DC2">
      <w:pPr>
        <w:rPr>
          <w:color w:val="FF0000"/>
          <w:sz w:val="32"/>
          <w:szCs w:val="32"/>
        </w:rPr>
      </w:pPr>
    </w:p>
    <w:p w:rsidR="00CA02BF" w:rsidRDefault="00CA02BF" w:rsidP="005C3DC2">
      <w:pPr>
        <w:rPr>
          <w:color w:val="FF0000"/>
          <w:sz w:val="32"/>
          <w:szCs w:val="32"/>
        </w:rPr>
      </w:pPr>
    </w:p>
    <w:p w:rsidR="00CA02BF" w:rsidRDefault="00CA02BF" w:rsidP="005C3DC2">
      <w:pPr>
        <w:rPr>
          <w:color w:val="FF0000"/>
          <w:sz w:val="32"/>
          <w:szCs w:val="32"/>
        </w:rPr>
      </w:pPr>
    </w:p>
    <w:p w:rsidR="005C3DC2" w:rsidRPr="00680E77" w:rsidRDefault="005C3DC2" w:rsidP="005C3DC2">
      <w:pPr>
        <w:rPr>
          <w:color w:val="FF0000"/>
          <w:sz w:val="32"/>
          <w:szCs w:val="32"/>
        </w:rPr>
      </w:pPr>
    </w:p>
    <w:p w:rsidR="005C3DC2" w:rsidRDefault="005C3DC2" w:rsidP="005C3DC2">
      <w:pPr>
        <w:rPr>
          <w:color w:val="0000FF"/>
          <w:sz w:val="32"/>
          <w:szCs w:val="32"/>
        </w:rPr>
      </w:pPr>
    </w:p>
    <w:p w:rsidR="005C3DC2" w:rsidRDefault="005C3DC2" w:rsidP="005C3DC2">
      <w:pPr>
        <w:rPr>
          <w:color w:val="0000FF"/>
          <w:sz w:val="32"/>
          <w:szCs w:val="32"/>
        </w:rPr>
      </w:pPr>
    </w:p>
    <w:p w:rsidR="005C3DC2" w:rsidRDefault="005C3DC2" w:rsidP="005C3DC2">
      <w:pPr>
        <w:rPr>
          <w:color w:val="0000FF"/>
          <w:sz w:val="32"/>
          <w:szCs w:val="32"/>
        </w:rPr>
      </w:pPr>
    </w:p>
    <w:p w:rsidR="005C3DC2" w:rsidRDefault="005C3DC2" w:rsidP="005C3DC2">
      <w:pPr>
        <w:rPr>
          <w:color w:val="0000FF"/>
          <w:sz w:val="32"/>
          <w:szCs w:val="32"/>
        </w:rPr>
      </w:pPr>
    </w:p>
    <w:p w:rsidR="005C3DC2" w:rsidRDefault="005C3DC2" w:rsidP="005C3DC2">
      <w:pPr>
        <w:rPr>
          <w:color w:val="0000FF"/>
          <w:sz w:val="32"/>
          <w:szCs w:val="32"/>
        </w:rPr>
      </w:pPr>
    </w:p>
    <w:p w:rsidR="005C3DC2" w:rsidRDefault="005C3DC2" w:rsidP="005C3DC2">
      <w:pPr>
        <w:rPr>
          <w:color w:val="0000FF"/>
          <w:sz w:val="32"/>
          <w:szCs w:val="32"/>
        </w:rPr>
      </w:pPr>
    </w:p>
    <w:p w:rsidR="005C3DC2" w:rsidRDefault="005C3DC2" w:rsidP="005C3DC2">
      <w:pPr>
        <w:rPr>
          <w:color w:val="0000FF"/>
          <w:sz w:val="32"/>
          <w:szCs w:val="32"/>
        </w:rPr>
      </w:pPr>
    </w:p>
    <w:p w:rsidR="005C3DC2" w:rsidRDefault="005C3DC2" w:rsidP="005C3DC2">
      <w:pPr>
        <w:rPr>
          <w:color w:val="0000FF"/>
          <w:sz w:val="32"/>
          <w:szCs w:val="32"/>
        </w:rPr>
      </w:pPr>
    </w:p>
    <w:p w:rsidR="005C3DC2" w:rsidRDefault="005C3DC2" w:rsidP="005C3DC2">
      <w:pPr>
        <w:rPr>
          <w:color w:val="0000FF"/>
          <w:sz w:val="32"/>
          <w:szCs w:val="32"/>
        </w:rPr>
      </w:pPr>
    </w:p>
    <w:p w:rsidR="005C3DC2" w:rsidRDefault="005C3DC2" w:rsidP="005C3DC2">
      <w:pPr>
        <w:rPr>
          <w:sz w:val="32"/>
          <w:szCs w:val="32"/>
        </w:rPr>
      </w:pPr>
      <w:r>
        <w:rPr>
          <w:sz w:val="32"/>
          <w:szCs w:val="32"/>
        </w:rPr>
        <w:t>Name:</w:t>
      </w:r>
      <w:r w:rsidR="00993D79">
        <w:rPr>
          <w:sz w:val="32"/>
          <w:szCs w:val="32"/>
        </w:rPr>
        <w:t xml:space="preserve"> Meghan Gleason</w:t>
      </w:r>
    </w:p>
    <w:p w:rsidR="005C3DC2" w:rsidRDefault="005C3DC2" w:rsidP="005C3DC2">
      <w:pPr>
        <w:rPr>
          <w:sz w:val="32"/>
          <w:szCs w:val="32"/>
        </w:rPr>
      </w:pPr>
      <w:r>
        <w:rPr>
          <w:sz w:val="32"/>
          <w:szCs w:val="32"/>
        </w:rPr>
        <w:t>Address:</w:t>
      </w:r>
      <w:r w:rsidR="00993D79">
        <w:rPr>
          <w:sz w:val="32"/>
          <w:szCs w:val="32"/>
        </w:rPr>
        <w:t xml:space="preserve"> 10 Center Drive, Rm 1-2420</w:t>
      </w:r>
    </w:p>
    <w:p w:rsidR="005C3DC2" w:rsidRDefault="005C3DC2" w:rsidP="005C3DC2">
      <w:pPr>
        <w:rPr>
          <w:sz w:val="32"/>
          <w:szCs w:val="32"/>
        </w:rPr>
      </w:pPr>
      <w:r>
        <w:rPr>
          <w:sz w:val="32"/>
          <w:szCs w:val="32"/>
        </w:rPr>
        <w:t>Telephone:</w:t>
      </w:r>
      <w:r w:rsidR="00993D79">
        <w:rPr>
          <w:sz w:val="32"/>
          <w:szCs w:val="32"/>
        </w:rPr>
        <w:t xml:space="preserve"> 301-443-9085</w:t>
      </w:r>
    </w:p>
    <w:p w:rsidR="005C3DC2" w:rsidRDefault="005C3DC2" w:rsidP="005C3DC2">
      <w:pPr>
        <w:rPr>
          <w:sz w:val="32"/>
          <w:szCs w:val="32"/>
        </w:rPr>
      </w:pPr>
      <w:r>
        <w:rPr>
          <w:sz w:val="32"/>
          <w:szCs w:val="32"/>
        </w:rPr>
        <w:t>Fax:</w:t>
      </w:r>
    </w:p>
    <w:p w:rsidR="000311E5" w:rsidRDefault="000311E5" w:rsidP="005C3DC2">
      <w:pPr>
        <w:rPr>
          <w:sz w:val="32"/>
          <w:szCs w:val="32"/>
        </w:rPr>
      </w:pPr>
      <w:r>
        <w:rPr>
          <w:sz w:val="32"/>
          <w:szCs w:val="32"/>
        </w:rPr>
        <w:t>Email:</w:t>
      </w:r>
      <w:r w:rsidR="00993D79">
        <w:rPr>
          <w:sz w:val="32"/>
          <w:szCs w:val="32"/>
        </w:rPr>
        <w:t xml:space="preserve"> Meghan.gleason@nih.gov</w:t>
      </w:r>
    </w:p>
    <w:p w:rsidR="005C3DC2" w:rsidRDefault="005C3DC2" w:rsidP="005C3DC2">
      <w:pPr>
        <w:rPr>
          <w:sz w:val="32"/>
          <w:szCs w:val="32"/>
        </w:rPr>
      </w:pPr>
    </w:p>
    <w:p w:rsidR="005C3DC2" w:rsidRDefault="005C3DC2" w:rsidP="005C3DC2">
      <w:pPr>
        <w:rPr>
          <w:sz w:val="32"/>
          <w:szCs w:val="32"/>
        </w:rPr>
      </w:pPr>
    </w:p>
    <w:p w:rsidR="005C3DC2" w:rsidRDefault="005C3DC2" w:rsidP="005C3DC2">
      <w:pPr>
        <w:rPr>
          <w:sz w:val="32"/>
          <w:szCs w:val="32"/>
        </w:rPr>
      </w:pPr>
    </w:p>
    <w:p w:rsidR="005C3DC2" w:rsidRDefault="005C3DC2" w:rsidP="005C3DC2">
      <w:pPr>
        <w:rPr>
          <w:sz w:val="32"/>
          <w:szCs w:val="32"/>
        </w:rPr>
      </w:pPr>
    </w:p>
    <w:p w:rsidR="005C3DC2" w:rsidRDefault="005C3DC2" w:rsidP="005C3DC2">
      <w:pPr>
        <w:rPr>
          <w:sz w:val="32"/>
          <w:szCs w:val="32"/>
        </w:rPr>
      </w:pPr>
    </w:p>
    <w:p w:rsidR="005C3DC2" w:rsidRDefault="005C3DC2" w:rsidP="005C3DC2">
      <w:pPr>
        <w:rPr>
          <w:sz w:val="32"/>
          <w:szCs w:val="32"/>
        </w:rPr>
      </w:pPr>
    </w:p>
    <w:p w:rsidR="00D70D0F" w:rsidRPr="00E41609" w:rsidRDefault="00D70D0F" w:rsidP="00D70D0F">
      <w:pPr>
        <w:pStyle w:val="P1-StandPara"/>
        <w:tabs>
          <w:tab w:val="left" w:pos="720"/>
          <w:tab w:val="right" w:leader="dot" w:pos="9504"/>
        </w:tabs>
        <w:spacing w:before="120" w:after="120" w:line="240" w:lineRule="atLeast"/>
        <w:ind w:firstLine="0"/>
        <w:jc w:val="center"/>
        <w:rPr>
          <w:b/>
          <w:sz w:val="24"/>
          <w:szCs w:val="24"/>
        </w:rPr>
      </w:pPr>
      <w:r w:rsidRPr="00E41609">
        <w:rPr>
          <w:b/>
          <w:sz w:val="24"/>
          <w:szCs w:val="24"/>
        </w:rPr>
        <w:t>Table of contents</w:t>
      </w:r>
    </w:p>
    <w:p w:rsidR="00D70D0F" w:rsidRPr="00E24A6A" w:rsidRDefault="00D70D0F" w:rsidP="00D70D0F">
      <w:pPr>
        <w:pStyle w:val="TOC1"/>
      </w:pPr>
    </w:p>
    <w:p w:rsidR="00D70D0F" w:rsidRPr="00347BE5" w:rsidRDefault="00D70D0F" w:rsidP="00D70D0F">
      <w:pPr>
        <w:pStyle w:val="TOC1"/>
      </w:pPr>
      <w:r w:rsidRPr="00347BE5">
        <w:t>B.</w:t>
      </w:r>
      <w:r>
        <w:tab/>
      </w:r>
      <w:r w:rsidRPr="00347BE5">
        <w:t>COLLECTIONS OF INFORMATION EMPLOYING STATISTICAL METHODS</w:t>
      </w:r>
      <w:r w:rsidRPr="00347BE5">
        <w:tab/>
      </w:r>
      <w:r>
        <w:t>1</w:t>
      </w:r>
    </w:p>
    <w:p w:rsidR="00D70D0F" w:rsidRPr="00E24A6A" w:rsidRDefault="00D70D0F" w:rsidP="00D70D0F">
      <w:pPr>
        <w:pStyle w:val="TOC2"/>
        <w:spacing w:line="480" w:lineRule="auto"/>
        <w:rPr>
          <w:noProof/>
          <w:sz w:val="24"/>
          <w:szCs w:val="24"/>
        </w:rPr>
      </w:pPr>
      <w:r>
        <w:rPr>
          <w:noProof/>
          <w:sz w:val="24"/>
          <w:szCs w:val="24"/>
        </w:rPr>
        <w:t>B.</w:t>
      </w:r>
      <w:r w:rsidRPr="00E24A6A">
        <w:rPr>
          <w:noProof/>
          <w:sz w:val="24"/>
          <w:szCs w:val="24"/>
        </w:rPr>
        <w:t>1</w:t>
      </w:r>
      <w:r w:rsidRPr="00E24A6A">
        <w:rPr>
          <w:noProof/>
          <w:sz w:val="24"/>
          <w:szCs w:val="24"/>
        </w:rPr>
        <w:tab/>
        <w:t>Respondent Universe and Sampling Methods</w:t>
      </w:r>
      <w:r w:rsidRPr="00E24A6A">
        <w:rPr>
          <w:noProof/>
          <w:sz w:val="24"/>
          <w:szCs w:val="24"/>
        </w:rPr>
        <w:tab/>
      </w:r>
      <w:r>
        <w:rPr>
          <w:noProof/>
          <w:sz w:val="24"/>
          <w:szCs w:val="24"/>
        </w:rPr>
        <w:t>1</w:t>
      </w:r>
    </w:p>
    <w:p w:rsidR="00D70D0F" w:rsidRPr="00E24A6A" w:rsidRDefault="00D70D0F" w:rsidP="00D70D0F">
      <w:pPr>
        <w:pStyle w:val="TOC2"/>
        <w:spacing w:line="480" w:lineRule="auto"/>
        <w:rPr>
          <w:noProof/>
          <w:sz w:val="24"/>
          <w:szCs w:val="24"/>
        </w:rPr>
      </w:pPr>
      <w:r>
        <w:rPr>
          <w:noProof/>
          <w:sz w:val="24"/>
          <w:szCs w:val="24"/>
        </w:rPr>
        <w:t>B.2</w:t>
      </w:r>
      <w:r w:rsidRPr="00E24A6A">
        <w:rPr>
          <w:noProof/>
          <w:sz w:val="24"/>
          <w:szCs w:val="24"/>
        </w:rPr>
        <w:tab/>
        <w:t>Procedures for the Collection of Information</w:t>
      </w:r>
      <w:r w:rsidRPr="00E24A6A">
        <w:rPr>
          <w:noProof/>
          <w:sz w:val="24"/>
          <w:szCs w:val="24"/>
        </w:rPr>
        <w:tab/>
      </w:r>
    </w:p>
    <w:p w:rsidR="00D70D0F" w:rsidRPr="00E24A6A" w:rsidRDefault="00D70D0F" w:rsidP="00D70D0F">
      <w:pPr>
        <w:pStyle w:val="TOC2"/>
        <w:spacing w:line="480" w:lineRule="auto"/>
        <w:rPr>
          <w:noProof/>
          <w:sz w:val="24"/>
          <w:szCs w:val="24"/>
        </w:rPr>
      </w:pPr>
      <w:r>
        <w:rPr>
          <w:noProof/>
          <w:sz w:val="24"/>
          <w:szCs w:val="24"/>
        </w:rPr>
        <w:t>B.3</w:t>
      </w:r>
      <w:r w:rsidRPr="00E24A6A">
        <w:rPr>
          <w:noProof/>
          <w:sz w:val="24"/>
          <w:szCs w:val="24"/>
        </w:rPr>
        <w:tab/>
        <w:t>Methods to Maximize Response Rates and Deal with Non-response</w:t>
      </w:r>
      <w:r w:rsidRPr="00E24A6A">
        <w:rPr>
          <w:noProof/>
          <w:sz w:val="24"/>
          <w:szCs w:val="24"/>
        </w:rPr>
        <w:tab/>
      </w:r>
    </w:p>
    <w:p w:rsidR="00D70D0F" w:rsidRPr="00E24A6A" w:rsidRDefault="00D70D0F" w:rsidP="00D70D0F">
      <w:pPr>
        <w:pStyle w:val="TOC2"/>
        <w:spacing w:line="480" w:lineRule="auto"/>
        <w:rPr>
          <w:noProof/>
          <w:sz w:val="24"/>
          <w:szCs w:val="24"/>
        </w:rPr>
      </w:pPr>
      <w:r>
        <w:rPr>
          <w:noProof/>
          <w:sz w:val="24"/>
          <w:szCs w:val="24"/>
        </w:rPr>
        <w:t>B.4</w:t>
      </w:r>
      <w:r w:rsidRPr="00E24A6A">
        <w:rPr>
          <w:noProof/>
          <w:sz w:val="24"/>
          <w:szCs w:val="24"/>
        </w:rPr>
        <w:tab/>
        <w:t>Test of Procedures or Methods to be Undertaken</w:t>
      </w:r>
      <w:r w:rsidRPr="00E24A6A">
        <w:rPr>
          <w:noProof/>
          <w:sz w:val="24"/>
          <w:szCs w:val="24"/>
        </w:rPr>
        <w:tab/>
      </w:r>
    </w:p>
    <w:p w:rsidR="00D70D0F" w:rsidRDefault="00D70D0F" w:rsidP="00D70D0F">
      <w:pPr>
        <w:pStyle w:val="P1-StandPara"/>
        <w:tabs>
          <w:tab w:val="left" w:pos="720"/>
        </w:tabs>
        <w:ind w:left="720" w:right="-216" w:hanging="720"/>
        <w:rPr>
          <w:smallCaps/>
          <w:noProof/>
          <w:sz w:val="24"/>
          <w:szCs w:val="24"/>
        </w:rPr>
      </w:pPr>
      <w:r>
        <w:rPr>
          <w:noProof/>
          <w:sz w:val="24"/>
          <w:szCs w:val="24"/>
        </w:rPr>
        <w:t>B.</w:t>
      </w:r>
      <w:r w:rsidRPr="00E24A6A">
        <w:rPr>
          <w:noProof/>
          <w:sz w:val="24"/>
          <w:szCs w:val="24"/>
        </w:rPr>
        <w:t>5</w:t>
      </w:r>
      <w:r w:rsidRPr="00E24A6A">
        <w:rPr>
          <w:noProof/>
          <w:sz w:val="24"/>
          <w:szCs w:val="24"/>
        </w:rPr>
        <w:tab/>
      </w:r>
      <w:r w:rsidRPr="00C92CC1">
        <w:rPr>
          <w:smallCaps/>
          <w:noProof/>
          <w:sz w:val="24"/>
          <w:szCs w:val="24"/>
        </w:rPr>
        <w:t xml:space="preserve">Individuals Consulted on Statistical Aspects and Individuals Collecting </w:t>
      </w:r>
    </w:p>
    <w:p w:rsidR="00D70D0F" w:rsidRDefault="00D70D0F" w:rsidP="00D70D0F">
      <w:pPr>
        <w:pStyle w:val="P1-StandPara"/>
        <w:tabs>
          <w:tab w:val="left" w:pos="720"/>
        </w:tabs>
        <w:ind w:left="720" w:right="-216" w:hanging="720"/>
        <w:rPr>
          <w:smallCaps/>
          <w:noProof/>
          <w:sz w:val="24"/>
          <w:szCs w:val="24"/>
        </w:rPr>
      </w:pPr>
      <w:r>
        <w:rPr>
          <w:smallCaps/>
          <w:noProof/>
          <w:sz w:val="24"/>
          <w:szCs w:val="24"/>
        </w:rPr>
        <w:tab/>
      </w:r>
      <w:r w:rsidRPr="00C92CC1">
        <w:rPr>
          <w:smallCaps/>
          <w:noProof/>
          <w:sz w:val="24"/>
          <w:szCs w:val="24"/>
        </w:rPr>
        <w:t>and/or Analyzing Data</w:t>
      </w:r>
    </w:p>
    <w:p w:rsidR="005C3DC2" w:rsidRDefault="005C3DC2" w:rsidP="005C3DC2">
      <w:pPr>
        <w:rPr>
          <w:sz w:val="32"/>
          <w:szCs w:val="32"/>
        </w:rPr>
      </w:pPr>
    </w:p>
    <w:p w:rsidR="005C3DC2" w:rsidRDefault="005C3DC2" w:rsidP="005C3DC2">
      <w:pPr>
        <w:rPr>
          <w:sz w:val="32"/>
          <w:szCs w:val="32"/>
        </w:rPr>
      </w:pPr>
    </w:p>
    <w:p w:rsidR="005C3DC2" w:rsidRDefault="005C3DC2" w:rsidP="005C3DC2">
      <w:pPr>
        <w:rPr>
          <w:sz w:val="32"/>
          <w:szCs w:val="32"/>
        </w:rPr>
      </w:pPr>
    </w:p>
    <w:p w:rsidR="002D2CA0" w:rsidRDefault="002D2CA0" w:rsidP="004A70E1">
      <w:pPr>
        <w:pStyle w:val="P1-StandPara"/>
        <w:ind w:right="-216" w:firstLine="0"/>
        <w:jc w:val="center"/>
        <w:rPr>
          <w:b/>
          <w:caps/>
          <w:noProof/>
          <w:color w:val="FF0000"/>
          <w:sz w:val="24"/>
          <w:szCs w:val="24"/>
        </w:rPr>
      </w:pPr>
    </w:p>
    <w:p w:rsidR="00D70D0F" w:rsidRDefault="00D70D0F" w:rsidP="004A70E1">
      <w:pPr>
        <w:pStyle w:val="P1-StandPara"/>
        <w:ind w:right="-216" w:firstLine="0"/>
        <w:jc w:val="center"/>
        <w:rPr>
          <w:b/>
          <w:caps/>
          <w:noProof/>
          <w:color w:val="FF0000"/>
          <w:sz w:val="24"/>
          <w:szCs w:val="24"/>
        </w:rPr>
      </w:pPr>
    </w:p>
    <w:p w:rsidR="00D70D0F" w:rsidRDefault="00D70D0F" w:rsidP="004A70E1">
      <w:pPr>
        <w:pStyle w:val="P1-StandPara"/>
        <w:ind w:right="-216" w:firstLine="0"/>
        <w:jc w:val="center"/>
        <w:rPr>
          <w:b/>
          <w:caps/>
          <w:noProof/>
          <w:color w:val="FF0000"/>
          <w:sz w:val="24"/>
          <w:szCs w:val="24"/>
        </w:rPr>
      </w:pPr>
    </w:p>
    <w:p w:rsidR="00D70D0F" w:rsidRDefault="00D70D0F" w:rsidP="004A70E1">
      <w:pPr>
        <w:pStyle w:val="P1-StandPara"/>
        <w:ind w:right="-216" w:firstLine="0"/>
        <w:jc w:val="center"/>
        <w:rPr>
          <w:b/>
          <w:caps/>
          <w:noProof/>
          <w:color w:val="FF0000"/>
          <w:sz w:val="24"/>
          <w:szCs w:val="24"/>
        </w:rPr>
      </w:pPr>
    </w:p>
    <w:p w:rsidR="00D70D0F" w:rsidRDefault="00D70D0F" w:rsidP="004A70E1">
      <w:pPr>
        <w:pStyle w:val="P1-StandPara"/>
        <w:ind w:right="-216" w:firstLine="0"/>
        <w:jc w:val="center"/>
        <w:rPr>
          <w:b/>
          <w:caps/>
          <w:noProof/>
          <w:color w:val="FF0000"/>
          <w:sz w:val="24"/>
          <w:szCs w:val="24"/>
        </w:rPr>
      </w:pPr>
    </w:p>
    <w:p w:rsidR="00D70D0F" w:rsidRDefault="00D70D0F" w:rsidP="004A70E1">
      <w:pPr>
        <w:pStyle w:val="P1-StandPara"/>
        <w:ind w:right="-216" w:firstLine="0"/>
        <w:jc w:val="center"/>
        <w:rPr>
          <w:b/>
          <w:caps/>
          <w:noProof/>
          <w:color w:val="FF0000"/>
          <w:sz w:val="24"/>
          <w:szCs w:val="24"/>
        </w:rPr>
      </w:pPr>
    </w:p>
    <w:p w:rsidR="00D70D0F" w:rsidRDefault="00D70D0F" w:rsidP="004A70E1">
      <w:pPr>
        <w:pStyle w:val="P1-StandPara"/>
        <w:ind w:right="-216" w:firstLine="0"/>
        <w:jc w:val="center"/>
        <w:rPr>
          <w:b/>
          <w:caps/>
          <w:noProof/>
          <w:color w:val="FF0000"/>
          <w:sz w:val="24"/>
          <w:szCs w:val="24"/>
        </w:rPr>
      </w:pPr>
    </w:p>
    <w:p w:rsidR="00D70D0F" w:rsidRDefault="00D70D0F" w:rsidP="004A70E1">
      <w:pPr>
        <w:pStyle w:val="P1-StandPara"/>
        <w:ind w:right="-216" w:firstLine="0"/>
        <w:jc w:val="center"/>
        <w:rPr>
          <w:b/>
          <w:caps/>
          <w:noProof/>
          <w:color w:val="FF0000"/>
          <w:sz w:val="24"/>
          <w:szCs w:val="24"/>
        </w:rPr>
      </w:pPr>
    </w:p>
    <w:p w:rsidR="00D70D0F" w:rsidRDefault="00D70D0F" w:rsidP="004A70E1">
      <w:pPr>
        <w:pStyle w:val="P1-StandPara"/>
        <w:ind w:right="-216" w:firstLine="0"/>
        <w:jc w:val="center"/>
        <w:rPr>
          <w:b/>
          <w:caps/>
          <w:noProof/>
          <w:color w:val="FF0000"/>
          <w:sz w:val="24"/>
          <w:szCs w:val="24"/>
        </w:rPr>
      </w:pPr>
    </w:p>
    <w:p w:rsidR="00754DCD" w:rsidRPr="00E41609" w:rsidRDefault="00754DCD" w:rsidP="00754DCD">
      <w:pPr>
        <w:pStyle w:val="Heading2"/>
        <w:tabs>
          <w:tab w:val="clear" w:pos="1152"/>
          <w:tab w:val="left" w:pos="720"/>
        </w:tabs>
        <w:spacing w:after="0" w:line="480" w:lineRule="auto"/>
        <w:ind w:left="0" w:firstLine="0"/>
        <w:rPr>
          <w:sz w:val="24"/>
          <w:szCs w:val="24"/>
        </w:rPr>
      </w:pPr>
      <w:bookmarkStart w:id="0" w:name="_Toc443881763"/>
      <w:bookmarkStart w:id="1" w:name="_Toc451592250"/>
      <w:bookmarkStart w:id="2" w:name="_Toc5610291"/>
      <w:bookmarkStart w:id="3" w:name="_Toc99178797"/>
      <w:r w:rsidRPr="00245155">
        <w:rPr>
          <w:sz w:val="24"/>
          <w:szCs w:val="24"/>
        </w:rPr>
        <w:lastRenderedPageBreak/>
        <w:t>B.1</w:t>
      </w:r>
      <w:r w:rsidRPr="00245155">
        <w:rPr>
          <w:sz w:val="24"/>
          <w:szCs w:val="24"/>
        </w:rPr>
        <w:tab/>
        <w:t>Respondent Universe and Sampling Methods</w:t>
      </w:r>
      <w:bookmarkEnd w:id="0"/>
      <w:bookmarkEnd w:id="1"/>
      <w:bookmarkEnd w:id="2"/>
      <w:bookmarkEnd w:id="3"/>
    </w:p>
    <w:p w:rsidR="00A2383B" w:rsidRDefault="009E518D" w:rsidP="009E518D">
      <w:pPr>
        <w:tabs>
          <w:tab w:val="left" w:pos="1740"/>
        </w:tabs>
        <w:rPr>
          <w:sz w:val="22"/>
          <w:szCs w:val="22"/>
        </w:rPr>
      </w:pPr>
      <w:r w:rsidRPr="00926250">
        <w:rPr>
          <w:sz w:val="22"/>
          <w:szCs w:val="22"/>
        </w:rPr>
        <w:t xml:space="preserve">The information from the proposed data collection will be used by </w:t>
      </w:r>
      <w:r>
        <w:rPr>
          <w:sz w:val="22"/>
          <w:szCs w:val="22"/>
        </w:rPr>
        <w:t>the NIH Clinical Center</w:t>
      </w:r>
      <w:r w:rsidRPr="00926250">
        <w:rPr>
          <w:sz w:val="22"/>
          <w:szCs w:val="22"/>
        </w:rPr>
        <w:t xml:space="preserve"> (through a contract with </w:t>
      </w:r>
      <w:r>
        <w:rPr>
          <w:sz w:val="22"/>
          <w:szCs w:val="22"/>
        </w:rPr>
        <w:t>Boston University and sub-contract with YouGovPolimetrix</w:t>
      </w:r>
      <w:r w:rsidR="00ED06EB">
        <w:rPr>
          <w:sz w:val="22"/>
          <w:szCs w:val="22"/>
        </w:rPr>
        <w:t xml:space="preserve"> (YGP)</w:t>
      </w:r>
      <w:r w:rsidR="006954D3">
        <w:rPr>
          <w:sz w:val="22"/>
          <w:szCs w:val="22"/>
        </w:rPr>
        <w:t xml:space="preserve">, </w:t>
      </w:r>
      <w:r>
        <w:rPr>
          <w:sz w:val="22"/>
          <w:szCs w:val="22"/>
        </w:rPr>
        <w:t>a survey research firm based in Palo Alto, CA</w:t>
      </w:r>
      <w:r w:rsidRPr="00926250">
        <w:rPr>
          <w:sz w:val="22"/>
          <w:szCs w:val="22"/>
        </w:rPr>
        <w:t xml:space="preserve">) to </w:t>
      </w:r>
      <w:r>
        <w:rPr>
          <w:sz w:val="22"/>
          <w:szCs w:val="22"/>
        </w:rPr>
        <w:t>validate the CAT</w:t>
      </w:r>
      <w:r w:rsidRPr="00926250">
        <w:rPr>
          <w:sz w:val="22"/>
          <w:szCs w:val="22"/>
        </w:rPr>
        <w:t xml:space="preserve"> instrument</w:t>
      </w:r>
      <w:r>
        <w:rPr>
          <w:sz w:val="22"/>
          <w:szCs w:val="22"/>
        </w:rPr>
        <w:t>s</w:t>
      </w:r>
      <w:r w:rsidRPr="00926250">
        <w:rPr>
          <w:sz w:val="22"/>
          <w:szCs w:val="22"/>
        </w:rPr>
        <w:t>. The proposed information collection will support psychometric testing</w:t>
      </w:r>
      <w:r>
        <w:rPr>
          <w:sz w:val="22"/>
          <w:szCs w:val="22"/>
        </w:rPr>
        <w:t xml:space="preserve">.  </w:t>
      </w:r>
      <w:r w:rsidR="00A2383B">
        <w:rPr>
          <w:sz w:val="22"/>
          <w:szCs w:val="22"/>
        </w:rPr>
        <w:t>Specifically, the validation will seek to address three aims or research questions:</w:t>
      </w:r>
    </w:p>
    <w:p w:rsidR="00A2383B" w:rsidRDefault="00A2383B" w:rsidP="009E518D">
      <w:pPr>
        <w:tabs>
          <w:tab w:val="left" w:pos="1740"/>
        </w:tabs>
        <w:rPr>
          <w:sz w:val="22"/>
          <w:szCs w:val="22"/>
        </w:rPr>
      </w:pPr>
    </w:p>
    <w:p w:rsidR="00A2383B" w:rsidRPr="002E44A8" w:rsidRDefault="00A2383B" w:rsidP="00A2383B">
      <w:pPr>
        <w:rPr>
          <w:u w:val="single"/>
        </w:rPr>
      </w:pPr>
      <w:r w:rsidRPr="002E44A8">
        <w:rPr>
          <w:u w:val="single"/>
        </w:rPr>
        <w:t>Aim #1:  What are the psychometric properties of the SSA</w:t>
      </w:r>
      <w:r>
        <w:rPr>
          <w:u w:val="single"/>
        </w:rPr>
        <w:t>-</w:t>
      </w:r>
      <w:r w:rsidRPr="002E44A8">
        <w:rPr>
          <w:u w:val="single"/>
        </w:rPr>
        <w:t>CATS</w:t>
      </w:r>
      <w:r>
        <w:rPr>
          <w:u w:val="single"/>
        </w:rPr>
        <w:t xml:space="preserve"> compared to legacy instruments</w:t>
      </w:r>
      <w:r w:rsidRPr="002E44A8">
        <w:rPr>
          <w:u w:val="single"/>
        </w:rPr>
        <w:t>?</w:t>
      </w:r>
    </w:p>
    <w:p w:rsidR="00A2383B" w:rsidRDefault="00A2383B" w:rsidP="00A2383B"/>
    <w:p w:rsidR="00A2383B" w:rsidRDefault="00A2383B" w:rsidP="00A2383B">
      <w:r>
        <w:t>The data analysis will address the following psychometric parameters:</w:t>
      </w:r>
    </w:p>
    <w:p w:rsidR="00A2383B" w:rsidRDefault="00A2383B" w:rsidP="00A2383B">
      <w:pPr>
        <w:numPr>
          <w:ilvl w:val="0"/>
          <w:numId w:val="4"/>
        </w:numPr>
        <w:spacing w:before="100" w:beforeAutospacing="1" w:after="100" w:afterAutospacing="1"/>
      </w:pPr>
      <w:r>
        <w:t>Score precision</w:t>
      </w:r>
    </w:p>
    <w:p w:rsidR="00A2383B" w:rsidRDefault="00A2383B" w:rsidP="00A2383B">
      <w:pPr>
        <w:numPr>
          <w:ilvl w:val="0"/>
          <w:numId w:val="4"/>
        </w:numPr>
        <w:spacing w:before="100" w:beforeAutospacing="1" w:after="100" w:afterAutospacing="1"/>
      </w:pPr>
      <w:r>
        <w:t>Internal consistency reliability</w:t>
      </w:r>
    </w:p>
    <w:p w:rsidR="00A2383B" w:rsidRDefault="00A2383B" w:rsidP="00A2383B">
      <w:pPr>
        <w:numPr>
          <w:ilvl w:val="0"/>
          <w:numId w:val="4"/>
        </w:numPr>
        <w:spacing w:before="100" w:beforeAutospacing="1" w:after="100" w:afterAutospacing="1"/>
      </w:pPr>
      <w:r>
        <w:t>Score range (ie., floor or ceiling effects)</w:t>
      </w:r>
    </w:p>
    <w:p w:rsidR="00A2383B" w:rsidRDefault="00A2383B" w:rsidP="00A2383B">
      <w:r>
        <w:t> To monitor the SSA-CATs in real time, we will calculate the standardized log-likelihood statistic (</w:t>
      </w:r>
      <w:r>
        <w:rPr>
          <w:i/>
          <w:iCs/>
        </w:rPr>
        <w:t>l</w:t>
      </w:r>
      <w:r>
        <w:rPr>
          <w:i/>
          <w:iCs/>
          <w:vertAlign w:val="subscript"/>
        </w:rPr>
        <w:t>z</w:t>
      </w:r>
      <w:r>
        <w:t xml:space="preserve">) for polytomous items to test the person fit. The empirical distribution of the log-likelihood statistic is reasonably close to a standardized normal distribution, so we will calculate the percentage of subjects in which </w:t>
      </w:r>
      <w:r>
        <w:rPr>
          <w:i/>
          <w:iCs/>
        </w:rPr>
        <w:t>l</w:t>
      </w:r>
      <w:r>
        <w:rPr>
          <w:i/>
          <w:iCs/>
          <w:vertAlign w:val="subscript"/>
        </w:rPr>
        <w:t>z</w:t>
      </w:r>
      <w:r>
        <w:t xml:space="preserve"> exceeded an alpha level of .05. We will then test the following psychometric parameters:</w:t>
      </w:r>
    </w:p>
    <w:p w:rsidR="00A2383B" w:rsidRDefault="00A2383B" w:rsidP="00A2383B">
      <w:r>
        <w:t>  </w:t>
      </w:r>
    </w:p>
    <w:p w:rsidR="00A2383B" w:rsidRDefault="00A2383B" w:rsidP="00A2383B">
      <w:r w:rsidRPr="002E44A8">
        <w:rPr>
          <w:b/>
          <w:i/>
        </w:rPr>
        <w:t>Precision:</w:t>
      </w:r>
      <w:r>
        <w:t xml:space="preserve"> To illustrate the difference in precision in score range across instruments, we will calculate the average Standard Error (SE) along the entire scale continuum across different instruments. We will use the t-test to assess whether the average SE is significantly different between SSA-CATs and other measurements at different score ranges.</w:t>
      </w:r>
    </w:p>
    <w:p w:rsidR="00A2383B" w:rsidRDefault="00A2383B" w:rsidP="00A2383B">
      <w:r>
        <w:t> </w:t>
      </w:r>
    </w:p>
    <w:p w:rsidR="00A2383B" w:rsidRDefault="00A2383B" w:rsidP="00A2383B">
      <w:r w:rsidRPr="002E44A8">
        <w:rPr>
          <w:b/>
          <w:i/>
        </w:rPr>
        <w:t>Reliability:</w:t>
      </w:r>
      <w:r>
        <w:t xml:space="preserve">  To examine internal consistency, we will use marginal reliability calculations that are specific to item response theory (IRT) which allow us to compare SSA-CATs with other instruments. Marginal reliabilities are similar to Cronbach’s alpha coefficient used in classical measurement theory in that it is a measure of how well items within a domain relate to each other.</w:t>
      </w:r>
    </w:p>
    <w:p w:rsidR="00A2383B" w:rsidRDefault="00A2383B" w:rsidP="00A2383B">
      <w:r>
        <w:t> </w:t>
      </w:r>
    </w:p>
    <w:p w:rsidR="00A2383B" w:rsidRDefault="00A2383B" w:rsidP="00A2383B">
      <w:r>
        <w:t> </w:t>
      </w:r>
      <w:r w:rsidRPr="002E44A8">
        <w:rPr>
          <w:b/>
          <w:i/>
        </w:rPr>
        <w:t>Score range:</w:t>
      </w:r>
      <w:r>
        <w:t xml:space="preserve"> The percentage of ceiling and flooring will be calculated in each instrument.  A chi-square test will be used to test whether the percentages of ceiling or flooring are significant different between SSA-CATs and other instruments.</w:t>
      </w:r>
    </w:p>
    <w:p w:rsidR="00A2383B" w:rsidRDefault="00A2383B" w:rsidP="00A2383B">
      <w:r>
        <w:t> </w:t>
      </w:r>
    </w:p>
    <w:p w:rsidR="00A2383B" w:rsidRPr="002E44A8" w:rsidRDefault="00A2383B" w:rsidP="00A2383B">
      <w:pPr>
        <w:rPr>
          <w:u w:val="single"/>
        </w:rPr>
      </w:pPr>
      <w:r w:rsidRPr="002E44A8">
        <w:rPr>
          <w:u w:val="single"/>
        </w:rPr>
        <w:t xml:space="preserve">Aim </w:t>
      </w:r>
      <w:r>
        <w:rPr>
          <w:u w:val="single"/>
        </w:rPr>
        <w:t>#</w:t>
      </w:r>
      <w:r w:rsidRPr="002E44A8">
        <w:rPr>
          <w:u w:val="single"/>
        </w:rPr>
        <w:t>2:  What is the response burden of the SSA</w:t>
      </w:r>
      <w:r>
        <w:rPr>
          <w:u w:val="single"/>
        </w:rPr>
        <w:t>-</w:t>
      </w:r>
      <w:r w:rsidRPr="002E44A8">
        <w:rPr>
          <w:u w:val="single"/>
        </w:rPr>
        <w:t>CATs c</w:t>
      </w:r>
      <w:r>
        <w:rPr>
          <w:u w:val="single"/>
        </w:rPr>
        <w:t>ompared with legacy instruments?</w:t>
      </w:r>
    </w:p>
    <w:p w:rsidR="00A2383B" w:rsidRPr="002E44A8" w:rsidRDefault="00A2383B" w:rsidP="00A2383B">
      <w:pPr>
        <w:rPr>
          <w:u w:val="single"/>
        </w:rPr>
      </w:pPr>
    </w:p>
    <w:p w:rsidR="00A2383B" w:rsidRDefault="00A2383B" w:rsidP="00A2383B">
      <w:r>
        <w:t>Response burden will be measured as the average amount of time it takes to complete instrument.  A t-test will be used to assess whether the average amount of administration time between the SSA-CATs and other measurements is significantly different.</w:t>
      </w:r>
    </w:p>
    <w:p w:rsidR="00A2383B" w:rsidRDefault="00A2383B" w:rsidP="00A2383B"/>
    <w:p w:rsidR="00A2383B" w:rsidRPr="002E44A8" w:rsidRDefault="00A2383B" w:rsidP="00A2383B">
      <w:pPr>
        <w:rPr>
          <w:u w:val="single"/>
        </w:rPr>
      </w:pPr>
      <w:r w:rsidRPr="002E44A8">
        <w:rPr>
          <w:u w:val="single"/>
        </w:rPr>
        <w:lastRenderedPageBreak/>
        <w:t xml:space="preserve">Aim </w:t>
      </w:r>
      <w:r>
        <w:rPr>
          <w:u w:val="single"/>
        </w:rPr>
        <w:t>#</w:t>
      </w:r>
      <w:r w:rsidRPr="002E44A8">
        <w:rPr>
          <w:u w:val="single"/>
        </w:rPr>
        <w:t>3:  D</w:t>
      </w:r>
      <w:r>
        <w:rPr>
          <w:u w:val="single"/>
        </w:rPr>
        <w:t>o</w:t>
      </w:r>
      <w:r w:rsidRPr="002E44A8">
        <w:rPr>
          <w:u w:val="single"/>
        </w:rPr>
        <w:t xml:space="preserve"> the SSA CATs measure the underlying concept(s) that we purport they are measuring?</w:t>
      </w:r>
    </w:p>
    <w:p w:rsidR="00A2383B" w:rsidRDefault="00A2383B" w:rsidP="00A2383B"/>
    <w:p w:rsidR="00A2383B" w:rsidRDefault="00A2383B" w:rsidP="00A2383B">
      <w:r>
        <w:t>To assess the SSA CATs validity, we will analyze the concurrent validity of the SSA-CATs and selected legacy  measures using Pearson correlation coefficients. Specifically, Pearson correlations coefficients will be calculated between scores from the SSA Physical Capabilities CAT and the SF-36 scale scores, and the PROMIS Physical Function CAT scores; between the SSA Interpersonal Interactions CAT and the SF-36 scale scores, and the BASIS-24 scale scores.</w:t>
      </w:r>
    </w:p>
    <w:p w:rsidR="009E518D" w:rsidRDefault="00A2383B" w:rsidP="009E518D">
      <w:pPr>
        <w:tabs>
          <w:tab w:val="left" w:pos="1740"/>
        </w:tabs>
        <w:rPr>
          <w:sz w:val="22"/>
          <w:szCs w:val="22"/>
        </w:rPr>
      </w:pPr>
      <w:r>
        <w:rPr>
          <w:sz w:val="22"/>
          <w:szCs w:val="22"/>
        </w:rPr>
        <w:t xml:space="preserve"> </w:t>
      </w:r>
    </w:p>
    <w:p w:rsidR="009E518D" w:rsidRDefault="009E518D" w:rsidP="009E518D">
      <w:pPr>
        <w:tabs>
          <w:tab w:val="left" w:pos="1740"/>
        </w:tabs>
        <w:rPr>
          <w:sz w:val="22"/>
          <w:szCs w:val="22"/>
        </w:rPr>
      </w:pPr>
    </w:p>
    <w:p w:rsidR="009E518D" w:rsidRPr="00EF27BB" w:rsidRDefault="00721EA6" w:rsidP="009E518D">
      <w:r w:rsidRPr="00EF27BB">
        <w:t>Respondents will be recruited through Polimetrix, which recruits for studies using an opt-in panel of 1.5 million U.S residents who have agreed to participate in Polimetrix’s Web surveys. Panel members are recruited by a number of methods to help ensure diversity in the panel population. Recruiting methods include Web advertising campaigns (both text and banners), permission-based email campaigns, partner sponsored solicitations (</w:t>
      </w:r>
      <w:r w:rsidRPr="00EF27BB">
        <w:rPr>
          <w:i/>
          <w:iCs/>
        </w:rPr>
        <w:t>e.g.</w:t>
      </w:r>
      <w:r w:rsidRPr="00EF27BB">
        <w:t>, Rock the Vote and Cox Communications), telephone-to-Web recruitment, and mail-to-Web recruitment. By utilizing different modes of recruitment continuously over time, this ensures that hard-to-reach populations will be adequately rep</w:t>
      </w:r>
      <w:r w:rsidRPr="00EF27BB">
        <w:softHyphen/>
        <w:t>resented in survey samples. Participants are not paid to join the PollingPoint panel, but do receive modest incentives through a loyalty program to take individual surveys.</w:t>
      </w:r>
    </w:p>
    <w:p w:rsidR="009E518D" w:rsidRPr="00EF27BB" w:rsidRDefault="009E518D" w:rsidP="009E518D"/>
    <w:p w:rsidR="00993D79" w:rsidRDefault="00721EA6" w:rsidP="009E518D">
      <w:r w:rsidRPr="00EF27BB">
        <w:t xml:space="preserve">Polimetrix tracks employment status within their active participant pools. They currently have about </w:t>
      </w:r>
      <w:r w:rsidR="003B7746">
        <w:t>5</w:t>
      </w:r>
      <w:r w:rsidRPr="00EF27BB">
        <w:t>,</w:t>
      </w:r>
      <w:r w:rsidR="003B7746">
        <w:t>6</w:t>
      </w:r>
      <w:r w:rsidR="003B7746" w:rsidRPr="00EF27BB">
        <w:t xml:space="preserve">00 </w:t>
      </w:r>
      <w:r w:rsidRPr="00EF27BB">
        <w:t xml:space="preserve">"permanently disabled" participants which will serve as the sampling frame for this pilot study.  </w:t>
      </w:r>
      <w:r w:rsidR="00DF490C">
        <w:t xml:space="preserve">YouGov will exclude any permanently disabled respondent who participated in the normative calibration study from participating in the validation study.  </w:t>
      </w:r>
      <w:r w:rsidRPr="00EF27BB">
        <w:t>From this population, Polimetrix will recruit 1,000 participants to answer 70-86 items if they claim a primary physical impairment and 88-96 items if they claim primary mental health impairment.</w:t>
      </w:r>
      <w:r w:rsidR="009E518D" w:rsidRPr="00707268">
        <w:t xml:space="preserve"> </w:t>
      </w:r>
    </w:p>
    <w:p w:rsidR="009E518D" w:rsidRDefault="009E518D" w:rsidP="009E518D"/>
    <w:p w:rsidR="009E518D" w:rsidRPr="00245155" w:rsidRDefault="009E518D" w:rsidP="009E518D">
      <w:pPr>
        <w:jc w:val="both"/>
      </w:pPr>
      <w:r w:rsidRPr="00245155">
        <w:t>Sampling Methods:</w:t>
      </w:r>
    </w:p>
    <w:p w:rsidR="009E518D" w:rsidRPr="00F14434" w:rsidRDefault="009E518D" w:rsidP="009E518D">
      <w:pPr>
        <w:jc w:val="both"/>
      </w:pPr>
      <w:r w:rsidRPr="00245155">
        <w:t xml:space="preserve">Conventionally, one would then attempt to contact the respondents in </w:t>
      </w:r>
      <w:r w:rsidR="00DF490C">
        <w:t>a</w:t>
      </w:r>
      <w:r w:rsidR="00DF490C" w:rsidRPr="00245155">
        <w:t xml:space="preserve"> </w:t>
      </w:r>
      <w:r w:rsidRPr="00245155">
        <w:t xml:space="preserve">target sample.  However, there is no economical way of reaching most members of the target sample as they have </w:t>
      </w:r>
      <w:r w:rsidRPr="00F14434">
        <w:t xml:space="preserve">not provided their email addresses, and many do not have listed phone numbers – and those that do may not agree to </w:t>
      </w:r>
      <w:r w:rsidR="008D19CB" w:rsidRPr="00F14434">
        <w:t>participate</w:t>
      </w:r>
      <w:r w:rsidRPr="00F14434">
        <w:t>.</w:t>
      </w:r>
      <w:r w:rsidR="00DF490C" w:rsidRPr="00F14434">
        <w:t xml:space="preserve">  T</w:t>
      </w:r>
      <w:r w:rsidR="00DF490C" w:rsidRPr="00F14434">
        <w:t>he permanently disabled sample in the validation study</w:t>
      </w:r>
      <w:r w:rsidR="00DF490C" w:rsidRPr="00F14434">
        <w:t xml:space="preserve"> is not anticipated to be matched</w:t>
      </w:r>
      <w:r w:rsidR="00DF490C" w:rsidRPr="00F14434">
        <w:t xml:space="preserve"> to the respondents in the normative study.  However, if </w:t>
      </w:r>
      <w:r w:rsidR="00DF490C" w:rsidRPr="00F14434">
        <w:t xml:space="preserve">the sample is matched, </w:t>
      </w:r>
      <w:r w:rsidR="00DF490C" w:rsidRPr="00F14434">
        <w:t>it would not cause any problems of analysis or interpretation.</w:t>
      </w:r>
    </w:p>
    <w:p w:rsidR="00DF490C" w:rsidRDefault="00DF490C" w:rsidP="009E518D">
      <w:pPr>
        <w:jc w:val="both"/>
      </w:pPr>
    </w:p>
    <w:p w:rsidR="009E518D" w:rsidRPr="00245155" w:rsidRDefault="009E518D" w:rsidP="009E518D">
      <w:pPr>
        <w:jc w:val="both"/>
      </w:pPr>
      <w:r w:rsidRPr="00245155">
        <w:t xml:space="preserve"> </w:t>
      </w:r>
    </w:p>
    <w:p w:rsidR="00DF490C" w:rsidRDefault="009E518D" w:rsidP="009E518D">
      <w:pPr>
        <w:jc w:val="both"/>
      </w:pPr>
      <w:r w:rsidRPr="00245155">
        <w:t xml:space="preserve">Instead, for each member of the target sample, </w:t>
      </w:r>
      <w:r w:rsidR="008D19CB">
        <w:t>Polimetrix</w:t>
      </w:r>
      <w:r w:rsidR="008D19CB" w:rsidRPr="00245155">
        <w:t xml:space="preserve"> </w:t>
      </w:r>
      <w:r w:rsidRPr="00245155">
        <w:t xml:space="preserve">will select one or more matching members from their pool of opt-in respondents.  This pool has been recruited by a variety of means (banner ads, email lists, promotions and offers).   Data drawn from this pool would not be representative of any particular population; individuals who opt-in for taking web surveys have different demographics than either the population of all Internet users or the population of all adults.  </w:t>
      </w:r>
    </w:p>
    <w:p w:rsidR="00F14434" w:rsidRPr="001A325D" w:rsidRDefault="009E518D" w:rsidP="00F14434">
      <w:r w:rsidRPr="00245155">
        <w:lastRenderedPageBreak/>
        <w:t xml:space="preserve">Rather, the matching methodology is required to produce usable samples for individual </w:t>
      </w:r>
      <w:r w:rsidRPr="00F14434">
        <w:t xml:space="preserve">studies.  </w:t>
      </w:r>
      <w:r w:rsidR="00F14434" w:rsidRPr="00F14434">
        <w:t xml:space="preserve"> A</w:t>
      </w:r>
      <w:r w:rsidR="00F14434" w:rsidRPr="00F14434">
        <w:t xml:space="preserve"> “usable samples</w:t>
      </w:r>
      <w:r w:rsidR="00F14434" w:rsidRPr="00F14434">
        <w:t xml:space="preserve">” is defined as </w:t>
      </w:r>
      <w:r w:rsidR="00F14434" w:rsidRPr="00F14434">
        <w:t>individuals with demographic characteristics representative of a target population or group</w:t>
      </w:r>
      <w:r w:rsidR="00F14434" w:rsidRPr="00F14434">
        <w:t>.  Polimetrix uses a model that applies</w:t>
      </w:r>
      <w:r w:rsidR="00F14434" w:rsidRPr="00F14434">
        <w:t xml:space="preserve"> a matching strategy to their vast opt-in pool of potential respondents.  </w:t>
      </w:r>
      <w:r w:rsidR="00F14434" w:rsidRPr="00F14434">
        <w:t>T</w:t>
      </w:r>
      <w:r w:rsidR="00F14434" w:rsidRPr="00F14434">
        <w:t xml:space="preserve">hese respondents are drawn from a group of people who volunteered to do surveys and thus are not necessarily representative in their attitudes (responses) in the same way that a random sample of respondents from the target population would be.  </w:t>
      </w:r>
      <w:r w:rsidR="00F14434" w:rsidRPr="00F14434">
        <w:t>I</w:t>
      </w:r>
      <w:r w:rsidR="00F14434" w:rsidRPr="00F14434">
        <w:t>t is important to remember that the appropriate comparison is not with the results obtained from a hypothetical random sample from a complete sampling frame with a 100% response rate.   Rather, any other approach by phone or mail or e-mail is going to yield a sample with some self-selecti</w:t>
      </w:r>
      <w:bookmarkStart w:id="4" w:name="_GoBack"/>
      <w:bookmarkEnd w:id="4"/>
      <w:r w:rsidR="00F14434" w:rsidRPr="00F14434">
        <w:t xml:space="preserve">on bias as well at much greater cost, assuming that one could even get a complete sampling frame of the target population, involving no errors of omission or commission in the listing of elements to be sampled, in the first place.  In addition, the Polimetrix model has the advantage that the people being contacted are not citizens who are being imposed upon unexpectedly or unwillingly by the survey process.          </w:t>
      </w:r>
    </w:p>
    <w:p w:rsidR="00DF490C" w:rsidRDefault="00DF490C" w:rsidP="009E518D">
      <w:pPr>
        <w:jc w:val="both"/>
      </w:pPr>
    </w:p>
    <w:p w:rsidR="009E518D" w:rsidRDefault="009E518D" w:rsidP="009E518D">
      <w:pPr>
        <w:jc w:val="both"/>
      </w:pPr>
      <w:r w:rsidRPr="00245155">
        <w:t xml:space="preserve">Matching is done on a large set of variables available in both the population enumeration database and the op-in panel.  The purpose of the matching is to find an available respondent who is as similar as possible to the selected member of the target sample.  Various types of matching are possible (e.g., exact matching, propensity score matching); </w:t>
      </w:r>
      <w:r w:rsidR="008D19CB">
        <w:t>Polimetrix</w:t>
      </w:r>
      <w:r w:rsidR="008D19CB" w:rsidRPr="00245155">
        <w:t xml:space="preserve"> </w:t>
      </w:r>
      <w:r w:rsidRPr="00245155">
        <w:t xml:space="preserve">employs a proximity matching method whereby a distance function is computed for each attribute (e.g., age, years of schooling, latitude and longitude of residence) to define the degree of “closeness” between each individual in the target sample (x) and those in the opt-in survey panel (y).  Typically the distance function is the simple absolute value of the difference, |x-y|, and the overall distance between a member of the target sample and a member of the panel is a sum of the distance functions for each attribute being used in the matching.  The distance functions can be weighted and then summed if particular variables are thought to be more important for a given study.  </w:t>
      </w:r>
    </w:p>
    <w:p w:rsidR="00854312" w:rsidRPr="00245155" w:rsidRDefault="00854312" w:rsidP="009E518D">
      <w:pPr>
        <w:jc w:val="both"/>
      </w:pPr>
    </w:p>
    <w:p w:rsidR="009E518D" w:rsidRDefault="009E518D" w:rsidP="009E518D">
      <w:pPr>
        <w:jc w:val="both"/>
      </w:pPr>
      <w:r w:rsidRPr="00245155">
        <w:t>The active participant pool of "permanently disabled" participants is</w:t>
      </w:r>
      <w:r w:rsidR="00ED06EB">
        <w:t xml:space="preserve"> about</w:t>
      </w:r>
      <w:r w:rsidRPr="00245155">
        <w:t xml:space="preserve"> </w:t>
      </w:r>
      <w:r w:rsidR="00686485">
        <w:t>5</w:t>
      </w:r>
      <w:r w:rsidRPr="00245155">
        <w:t>,</w:t>
      </w:r>
      <w:r w:rsidR="00686485">
        <w:t>600</w:t>
      </w:r>
      <w:r w:rsidR="00686485" w:rsidRPr="00245155">
        <w:t xml:space="preserve"> </w:t>
      </w:r>
      <w:r w:rsidRPr="00245155">
        <w:t xml:space="preserve">individuals and their demographic information is </w:t>
      </w:r>
      <w:r w:rsidR="000205DB" w:rsidRPr="00245155">
        <w:t>provided in</w:t>
      </w:r>
      <w:r w:rsidRPr="00245155">
        <w:t xml:space="preserve"> Table 1.</w:t>
      </w:r>
      <w:r w:rsidR="00854312">
        <w:t xml:space="preserve"> The total number of participants differs </w:t>
      </w:r>
      <w:r w:rsidR="000A32F0">
        <w:t xml:space="preserve">somewhat </w:t>
      </w:r>
      <w:r w:rsidR="00854312">
        <w:t xml:space="preserve">across demographic characteristics (from </w:t>
      </w:r>
      <w:r w:rsidR="00686485">
        <w:t xml:space="preserve">5656 </w:t>
      </w:r>
      <w:r w:rsidR="00854312">
        <w:t xml:space="preserve">to </w:t>
      </w:r>
      <w:r w:rsidR="00686485">
        <w:t>5677</w:t>
      </w:r>
      <w:r w:rsidR="00854312">
        <w:t>) due to small amounts of missing data (.4% maximum missing).</w:t>
      </w:r>
    </w:p>
    <w:p w:rsidR="009E518D" w:rsidRDefault="009E518D" w:rsidP="009E518D">
      <w:pPr>
        <w:jc w:val="both"/>
      </w:pPr>
    </w:p>
    <w:p w:rsidR="009E518D" w:rsidRDefault="009E518D" w:rsidP="009E518D">
      <w:pPr>
        <w:jc w:val="both"/>
      </w:pPr>
      <w:r>
        <w:t xml:space="preserve">Table 1. Demographics of “Permanently Disabled” Participants </w:t>
      </w:r>
    </w:p>
    <w:tbl>
      <w:tblPr>
        <w:tblW w:w="3680" w:type="dxa"/>
        <w:tblInd w:w="89" w:type="dxa"/>
        <w:tblLook w:val="04A0" w:firstRow="1" w:lastRow="0" w:firstColumn="1" w:lastColumn="0" w:noHBand="0" w:noVBand="1"/>
      </w:tblPr>
      <w:tblGrid>
        <w:gridCol w:w="1760"/>
        <w:gridCol w:w="960"/>
        <w:gridCol w:w="960"/>
      </w:tblGrid>
      <w:tr w:rsidR="009E518D" w:rsidRPr="009E518D">
        <w:trPr>
          <w:trHeight w:val="300"/>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518D" w:rsidRPr="009E518D" w:rsidRDefault="009E518D" w:rsidP="00A57805">
            <w:pPr>
              <w:jc w:val="center"/>
              <w:rPr>
                <w:rFonts w:ascii="Calibri" w:hAnsi="Calibri" w:cs="Calibri"/>
                <w:b/>
                <w:bCs/>
                <w:color w:val="000000"/>
                <w:sz w:val="22"/>
                <w:szCs w:val="22"/>
              </w:rPr>
            </w:pPr>
            <w:r w:rsidRPr="009E518D">
              <w:rPr>
                <w:rFonts w:ascii="Calibri" w:hAnsi="Calibri" w:cs="Calibri"/>
                <w:b/>
                <w:bCs/>
                <w:color w:val="000000"/>
                <w:sz w:val="22"/>
                <w:szCs w:val="22"/>
              </w:rPr>
              <w:t>Gender</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E518D" w:rsidRPr="009E518D" w:rsidRDefault="00A57805" w:rsidP="00A57805">
            <w:pPr>
              <w:jc w:val="center"/>
              <w:rPr>
                <w:rFonts w:ascii="Calibri" w:hAnsi="Calibri" w:cs="Calibri"/>
                <w:color w:val="000000"/>
                <w:sz w:val="22"/>
                <w:szCs w:val="22"/>
              </w:rPr>
            </w:pPr>
            <w:r>
              <w:rPr>
                <w:rFonts w:ascii="Calibri" w:hAnsi="Calibri" w:cs="Calibri"/>
                <w:color w:val="000000"/>
                <w:sz w:val="22"/>
                <w:szCs w:val="22"/>
              </w:rPr>
              <w:t>#</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E518D" w:rsidRPr="009E518D" w:rsidRDefault="00A57805" w:rsidP="00A57805">
            <w:pPr>
              <w:jc w:val="center"/>
              <w:rPr>
                <w:rFonts w:ascii="Calibri" w:hAnsi="Calibri" w:cs="Calibri"/>
                <w:color w:val="000000"/>
                <w:sz w:val="22"/>
                <w:szCs w:val="22"/>
              </w:rPr>
            </w:pPr>
            <w:r>
              <w:rPr>
                <w:rFonts w:ascii="Calibri" w:hAnsi="Calibri" w:cs="Calibri"/>
                <w:color w:val="000000"/>
                <w:sz w:val="22"/>
                <w:szCs w:val="22"/>
              </w:rPr>
              <w:t>%</w:t>
            </w:r>
          </w:p>
        </w:tc>
      </w:tr>
      <w:tr w:rsidR="009E518D" w:rsidRPr="009E518D">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tcPr>
          <w:p w:rsidR="009E518D" w:rsidRPr="009E518D" w:rsidRDefault="009E518D" w:rsidP="009E518D">
            <w:pPr>
              <w:rPr>
                <w:rFonts w:ascii="Calibri" w:hAnsi="Calibri" w:cs="Calibri"/>
                <w:color w:val="000000"/>
                <w:sz w:val="22"/>
                <w:szCs w:val="22"/>
              </w:rPr>
            </w:pPr>
            <w:r w:rsidRPr="009E518D">
              <w:rPr>
                <w:rFonts w:ascii="Calibri" w:hAnsi="Calibri" w:cs="Calibri"/>
                <w:color w:val="000000"/>
                <w:sz w:val="22"/>
                <w:szCs w:val="22"/>
              </w:rPr>
              <w:t>Men</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686485" w:rsidP="009E518D">
            <w:pPr>
              <w:jc w:val="right"/>
              <w:rPr>
                <w:rFonts w:ascii="Calibri" w:hAnsi="Calibri" w:cs="Calibri"/>
                <w:color w:val="000000"/>
                <w:sz w:val="22"/>
                <w:szCs w:val="22"/>
              </w:rPr>
            </w:pPr>
            <w:r>
              <w:rPr>
                <w:rFonts w:ascii="Calibri" w:hAnsi="Calibri" w:cs="Calibri"/>
                <w:color w:val="000000"/>
                <w:sz w:val="22"/>
                <w:szCs w:val="22"/>
              </w:rPr>
              <w:t>2679</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686485" w:rsidP="009E518D">
            <w:pPr>
              <w:jc w:val="right"/>
              <w:rPr>
                <w:rFonts w:ascii="Calibri" w:hAnsi="Calibri" w:cs="Calibri"/>
                <w:color w:val="000000"/>
                <w:sz w:val="22"/>
                <w:szCs w:val="22"/>
              </w:rPr>
            </w:pPr>
            <w:r>
              <w:rPr>
                <w:rFonts w:ascii="Calibri" w:hAnsi="Calibri" w:cs="Calibri"/>
                <w:color w:val="000000"/>
                <w:sz w:val="22"/>
                <w:szCs w:val="22"/>
              </w:rPr>
              <w:t>47.2%</w:t>
            </w:r>
          </w:p>
        </w:tc>
      </w:tr>
      <w:tr w:rsidR="009E518D" w:rsidRPr="009E518D">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tcPr>
          <w:p w:rsidR="009E518D" w:rsidRPr="009E518D" w:rsidRDefault="009E518D" w:rsidP="009E518D">
            <w:pPr>
              <w:rPr>
                <w:rFonts w:ascii="Calibri" w:hAnsi="Calibri" w:cs="Calibri"/>
                <w:color w:val="000000"/>
                <w:sz w:val="22"/>
                <w:szCs w:val="22"/>
              </w:rPr>
            </w:pPr>
            <w:r w:rsidRPr="009E518D">
              <w:rPr>
                <w:rFonts w:ascii="Calibri" w:hAnsi="Calibri" w:cs="Calibri"/>
                <w:color w:val="000000"/>
                <w:sz w:val="22"/>
                <w:szCs w:val="22"/>
              </w:rPr>
              <w:t>Women</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686485" w:rsidP="009E518D">
            <w:pPr>
              <w:jc w:val="right"/>
              <w:rPr>
                <w:rFonts w:ascii="Calibri" w:hAnsi="Calibri" w:cs="Calibri"/>
                <w:color w:val="000000"/>
                <w:sz w:val="22"/>
                <w:szCs w:val="22"/>
              </w:rPr>
            </w:pPr>
            <w:r>
              <w:rPr>
                <w:rFonts w:ascii="Calibri" w:hAnsi="Calibri" w:cs="Calibri"/>
                <w:color w:val="000000"/>
                <w:sz w:val="22"/>
                <w:szCs w:val="22"/>
              </w:rPr>
              <w:t>2998</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686485" w:rsidP="009E518D">
            <w:pPr>
              <w:jc w:val="right"/>
              <w:rPr>
                <w:rFonts w:ascii="Calibri" w:hAnsi="Calibri" w:cs="Calibri"/>
                <w:color w:val="000000"/>
                <w:sz w:val="22"/>
                <w:szCs w:val="22"/>
              </w:rPr>
            </w:pPr>
            <w:r>
              <w:rPr>
                <w:rFonts w:ascii="Calibri" w:hAnsi="Calibri" w:cs="Calibri"/>
                <w:color w:val="000000"/>
                <w:sz w:val="22"/>
                <w:szCs w:val="22"/>
              </w:rPr>
              <w:t>52.8%</w:t>
            </w:r>
          </w:p>
        </w:tc>
      </w:tr>
      <w:tr w:rsidR="009E518D" w:rsidRPr="009E518D">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tcPr>
          <w:p w:rsidR="009E518D" w:rsidRPr="009E518D" w:rsidRDefault="009E518D" w:rsidP="009E518D">
            <w:pPr>
              <w:rPr>
                <w:rFonts w:ascii="Calibri" w:hAnsi="Calibri" w:cs="Calibri"/>
                <w:color w:val="000000"/>
                <w:sz w:val="22"/>
                <w:szCs w:val="22"/>
              </w:rPr>
            </w:pPr>
            <w:r w:rsidRPr="009E518D">
              <w:rPr>
                <w:rFonts w:ascii="Calibri" w:hAnsi="Calibri" w:cs="Calibri"/>
                <w:color w:val="000000"/>
                <w:sz w:val="22"/>
                <w:szCs w:val="22"/>
              </w:rPr>
              <w:t>Total</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686485" w:rsidP="009E518D">
            <w:pPr>
              <w:jc w:val="right"/>
              <w:rPr>
                <w:rFonts w:ascii="Calibri" w:hAnsi="Calibri" w:cs="Calibri"/>
                <w:color w:val="000000"/>
                <w:sz w:val="22"/>
                <w:szCs w:val="22"/>
              </w:rPr>
            </w:pPr>
            <w:r>
              <w:rPr>
                <w:rFonts w:ascii="Calibri" w:hAnsi="Calibri" w:cs="Calibri"/>
                <w:color w:val="000000"/>
                <w:sz w:val="22"/>
                <w:szCs w:val="22"/>
              </w:rPr>
              <w:t>5677</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9E518D" w:rsidP="009E518D">
            <w:pPr>
              <w:jc w:val="right"/>
              <w:rPr>
                <w:rFonts w:ascii="Calibri" w:hAnsi="Calibri" w:cs="Calibri"/>
                <w:color w:val="000000"/>
                <w:sz w:val="22"/>
                <w:szCs w:val="22"/>
              </w:rPr>
            </w:pPr>
            <w:r w:rsidRPr="009E518D">
              <w:rPr>
                <w:rFonts w:ascii="Calibri" w:hAnsi="Calibri" w:cs="Calibri"/>
                <w:color w:val="000000"/>
                <w:sz w:val="22"/>
                <w:szCs w:val="22"/>
              </w:rPr>
              <w:t>100%</w:t>
            </w:r>
          </w:p>
        </w:tc>
      </w:tr>
      <w:tr w:rsidR="009E518D" w:rsidRPr="009E518D">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tcPr>
          <w:p w:rsidR="009E518D" w:rsidRPr="009E518D" w:rsidRDefault="009E518D" w:rsidP="009E518D">
            <w:pPr>
              <w:rPr>
                <w:rFonts w:ascii="Calibri" w:hAnsi="Calibri" w:cs="Calibri"/>
                <w:b/>
                <w:bCs/>
                <w:color w:val="000000"/>
                <w:sz w:val="22"/>
                <w:szCs w:val="22"/>
              </w:rPr>
            </w:pPr>
            <w:r w:rsidRPr="009E518D">
              <w:rPr>
                <w:rFonts w:ascii="Calibri" w:hAnsi="Calibri" w:cs="Calibri"/>
                <w:b/>
                <w:bCs/>
                <w:color w:val="000000"/>
                <w:sz w:val="22"/>
                <w:szCs w:val="22"/>
              </w:rPr>
              <w:t>Race</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9E518D" w:rsidP="009E518D">
            <w:pPr>
              <w:rPr>
                <w:rFonts w:ascii="Calibri" w:hAnsi="Calibri" w:cs="Calibri"/>
                <w:color w:val="000000"/>
                <w:sz w:val="22"/>
                <w:szCs w:val="22"/>
              </w:rPr>
            </w:pPr>
            <w:r w:rsidRPr="009E518D">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9E518D" w:rsidP="009E518D">
            <w:pPr>
              <w:rPr>
                <w:rFonts w:ascii="Calibri" w:hAnsi="Calibri" w:cs="Calibri"/>
                <w:color w:val="000000"/>
                <w:sz w:val="22"/>
                <w:szCs w:val="22"/>
              </w:rPr>
            </w:pPr>
            <w:r w:rsidRPr="009E518D">
              <w:rPr>
                <w:rFonts w:ascii="Calibri" w:hAnsi="Calibri" w:cs="Calibri"/>
                <w:color w:val="000000"/>
                <w:sz w:val="22"/>
                <w:szCs w:val="22"/>
              </w:rPr>
              <w:t> </w:t>
            </w:r>
          </w:p>
        </w:tc>
      </w:tr>
      <w:tr w:rsidR="009E518D" w:rsidRPr="009E518D">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tcPr>
          <w:p w:rsidR="009E518D" w:rsidRPr="009E518D" w:rsidRDefault="009E518D" w:rsidP="009E518D">
            <w:pPr>
              <w:rPr>
                <w:rFonts w:ascii="Calibri" w:hAnsi="Calibri" w:cs="Calibri"/>
                <w:color w:val="000000"/>
                <w:sz w:val="22"/>
                <w:szCs w:val="22"/>
              </w:rPr>
            </w:pPr>
            <w:r w:rsidRPr="009E518D">
              <w:rPr>
                <w:rFonts w:ascii="Calibri" w:hAnsi="Calibri" w:cs="Calibri"/>
                <w:color w:val="000000"/>
                <w:sz w:val="22"/>
                <w:szCs w:val="22"/>
              </w:rPr>
              <w:t>White</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686485" w:rsidP="009E518D">
            <w:pPr>
              <w:jc w:val="right"/>
              <w:rPr>
                <w:rFonts w:ascii="Calibri" w:hAnsi="Calibri" w:cs="Calibri"/>
                <w:color w:val="000000"/>
                <w:sz w:val="22"/>
                <w:szCs w:val="22"/>
              </w:rPr>
            </w:pPr>
            <w:r>
              <w:rPr>
                <w:rFonts w:ascii="Calibri" w:hAnsi="Calibri" w:cs="Calibri"/>
                <w:color w:val="000000"/>
                <w:sz w:val="22"/>
                <w:szCs w:val="22"/>
              </w:rPr>
              <w:t>4660</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686485" w:rsidP="009E518D">
            <w:pPr>
              <w:jc w:val="right"/>
              <w:rPr>
                <w:rFonts w:ascii="Calibri" w:hAnsi="Calibri" w:cs="Calibri"/>
                <w:color w:val="000000"/>
                <w:sz w:val="22"/>
                <w:szCs w:val="22"/>
              </w:rPr>
            </w:pPr>
            <w:r>
              <w:rPr>
                <w:rFonts w:ascii="Calibri" w:hAnsi="Calibri" w:cs="Calibri"/>
                <w:color w:val="000000"/>
                <w:sz w:val="22"/>
                <w:szCs w:val="22"/>
              </w:rPr>
              <w:t>82.1</w:t>
            </w:r>
            <w:r w:rsidR="009E518D" w:rsidRPr="009E518D">
              <w:rPr>
                <w:rFonts w:ascii="Calibri" w:hAnsi="Calibri" w:cs="Calibri"/>
                <w:color w:val="000000"/>
                <w:sz w:val="22"/>
                <w:szCs w:val="22"/>
              </w:rPr>
              <w:t>%</w:t>
            </w:r>
          </w:p>
        </w:tc>
      </w:tr>
      <w:tr w:rsidR="009E518D" w:rsidRPr="009E518D">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tcPr>
          <w:p w:rsidR="009E518D" w:rsidRPr="009E518D" w:rsidRDefault="009E518D" w:rsidP="009E518D">
            <w:pPr>
              <w:rPr>
                <w:rFonts w:ascii="Calibri" w:hAnsi="Calibri" w:cs="Calibri"/>
                <w:color w:val="000000"/>
                <w:sz w:val="22"/>
                <w:szCs w:val="22"/>
              </w:rPr>
            </w:pPr>
            <w:r w:rsidRPr="009E518D">
              <w:rPr>
                <w:rFonts w:ascii="Calibri" w:hAnsi="Calibri" w:cs="Calibri"/>
                <w:color w:val="000000"/>
                <w:sz w:val="22"/>
                <w:szCs w:val="22"/>
              </w:rPr>
              <w:t>Black</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686485" w:rsidP="009E518D">
            <w:pPr>
              <w:jc w:val="right"/>
              <w:rPr>
                <w:rFonts w:ascii="Calibri" w:hAnsi="Calibri" w:cs="Calibri"/>
                <w:color w:val="000000"/>
                <w:sz w:val="22"/>
                <w:szCs w:val="22"/>
              </w:rPr>
            </w:pPr>
            <w:r>
              <w:rPr>
                <w:rFonts w:ascii="Calibri" w:hAnsi="Calibri" w:cs="Calibri"/>
                <w:color w:val="000000"/>
                <w:sz w:val="22"/>
                <w:szCs w:val="22"/>
              </w:rPr>
              <w:t>341</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9E518D" w:rsidP="009E518D">
            <w:pPr>
              <w:jc w:val="right"/>
              <w:rPr>
                <w:rFonts w:ascii="Calibri" w:hAnsi="Calibri" w:cs="Calibri"/>
                <w:color w:val="000000"/>
                <w:sz w:val="22"/>
                <w:szCs w:val="22"/>
              </w:rPr>
            </w:pPr>
            <w:r w:rsidRPr="009E518D">
              <w:rPr>
                <w:rFonts w:ascii="Calibri" w:hAnsi="Calibri" w:cs="Calibri"/>
                <w:color w:val="000000"/>
                <w:sz w:val="22"/>
                <w:szCs w:val="22"/>
              </w:rPr>
              <w:t>6%</w:t>
            </w:r>
          </w:p>
        </w:tc>
      </w:tr>
      <w:tr w:rsidR="009E518D" w:rsidRPr="009E518D">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tcPr>
          <w:p w:rsidR="009E518D" w:rsidRPr="009E518D" w:rsidRDefault="009E518D" w:rsidP="009E518D">
            <w:pPr>
              <w:rPr>
                <w:rFonts w:ascii="Calibri" w:hAnsi="Calibri" w:cs="Calibri"/>
                <w:color w:val="000000"/>
                <w:sz w:val="22"/>
                <w:szCs w:val="22"/>
              </w:rPr>
            </w:pPr>
            <w:r w:rsidRPr="009E518D">
              <w:rPr>
                <w:rFonts w:ascii="Calibri" w:hAnsi="Calibri" w:cs="Calibri"/>
                <w:color w:val="000000"/>
                <w:sz w:val="22"/>
                <w:szCs w:val="22"/>
              </w:rPr>
              <w:t>Latino</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3B7746" w:rsidP="009E518D">
            <w:pPr>
              <w:jc w:val="right"/>
              <w:rPr>
                <w:rFonts w:ascii="Calibri" w:hAnsi="Calibri" w:cs="Calibri"/>
                <w:color w:val="000000"/>
                <w:sz w:val="22"/>
                <w:szCs w:val="22"/>
              </w:rPr>
            </w:pPr>
            <w:r>
              <w:rPr>
                <w:rFonts w:ascii="Calibri" w:hAnsi="Calibri" w:cs="Calibri"/>
                <w:color w:val="000000"/>
                <w:sz w:val="22"/>
                <w:szCs w:val="22"/>
              </w:rPr>
              <w:t>123</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9E518D" w:rsidP="009E518D">
            <w:pPr>
              <w:jc w:val="right"/>
              <w:rPr>
                <w:rFonts w:ascii="Calibri" w:hAnsi="Calibri" w:cs="Calibri"/>
                <w:color w:val="000000"/>
                <w:sz w:val="22"/>
                <w:szCs w:val="22"/>
              </w:rPr>
            </w:pPr>
            <w:r w:rsidRPr="009E518D">
              <w:rPr>
                <w:rFonts w:ascii="Calibri" w:hAnsi="Calibri" w:cs="Calibri"/>
                <w:color w:val="000000"/>
                <w:sz w:val="22"/>
                <w:szCs w:val="22"/>
              </w:rPr>
              <w:t>2</w:t>
            </w:r>
            <w:r w:rsidR="003B7746">
              <w:rPr>
                <w:rFonts w:ascii="Calibri" w:hAnsi="Calibri" w:cs="Calibri"/>
                <w:color w:val="000000"/>
                <w:sz w:val="22"/>
                <w:szCs w:val="22"/>
              </w:rPr>
              <w:t>.2</w:t>
            </w:r>
            <w:r w:rsidRPr="009E518D">
              <w:rPr>
                <w:rFonts w:ascii="Calibri" w:hAnsi="Calibri" w:cs="Calibri"/>
                <w:color w:val="000000"/>
                <w:sz w:val="22"/>
                <w:szCs w:val="22"/>
              </w:rPr>
              <w:t>%</w:t>
            </w:r>
          </w:p>
        </w:tc>
      </w:tr>
      <w:tr w:rsidR="009E518D" w:rsidRPr="009E518D">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tcPr>
          <w:p w:rsidR="009E518D" w:rsidRPr="009E518D" w:rsidRDefault="009E518D" w:rsidP="009E518D">
            <w:pPr>
              <w:rPr>
                <w:rFonts w:ascii="Calibri" w:hAnsi="Calibri" w:cs="Calibri"/>
                <w:color w:val="000000"/>
                <w:sz w:val="22"/>
                <w:szCs w:val="22"/>
              </w:rPr>
            </w:pPr>
            <w:r w:rsidRPr="009E518D">
              <w:rPr>
                <w:rFonts w:ascii="Calibri" w:hAnsi="Calibri" w:cs="Calibri"/>
                <w:color w:val="000000"/>
                <w:sz w:val="22"/>
                <w:szCs w:val="22"/>
              </w:rPr>
              <w:t>Other</w:t>
            </w:r>
            <w:r w:rsidR="003B7746">
              <w:rPr>
                <w:rFonts w:ascii="Calibri" w:hAnsi="Calibri" w:cs="Calibri"/>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3B7746" w:rsidP="009E518D">
            <w:pPr>
              <w:jc w:val="right"/>
              <w:rPr>
                <w:rFonts w:ascii="Calibri" w:hAnsi="Calibri" w:cs="Calibri"/>
                <w:color w:val="000000"/>
                <w:sz w:val="22"/>
                <w:szCs w:val="22"/>
              </w:rPr>
            </w:pPr>
            <w:r>
              <w:rPr>
                <w:rFonts w:ascii="Calibri" w:hAnsi="Calibri" w:cs="Calibri"/>
                <w:color w:val="000000"/>
                <w:sz w:val="22"/>
                <w:szCs w:val="22"/>
              </w:rPr>
              <w:t>553</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9E518D" w:rsidP="009E518D">
            <w:pPr>
              <w:jc w:val="right"/>
              <w:rPr>
                <w:rFonts w:ascii="Calibri" w:hAnsi="Calibri" w:cs="Calibri"/>
                <w:color w:val="000000"/>
                <w:sz w:val="22"/>
                <w:szCs w:val="22"/>
              </w:rPr>
            </w:pPr>
            <w:r w:rsidRPr="009E518D">
              <w:rPr>
                <w:rFonts w:ascii="Calibri" w:hAnsi="Calibri" w:cs="Calibri"/>
                <w:color w:val="000000"/>
                <w:sz w:val="22"/>
                <w:szCs w:val="22"/>
              </w:rPr>
              <w:t>9</w:t>
            </w:r>
            <w:r w:rsidR="003B7746">
              <w:rPr>
                <w:rFonts w:ascii="Calibri" w:hAnsi="Calibri" w:cs="Calibri"/>
                <w:color w:val="000000"/>
                <w:sz w:val="22"/>
                <w:szCs w:val="22"/>
              </w:rPr>
              <w:t>.7</w:t>
            </w:r>
            <w:r w:rsidRPr="009E518D">
              <w:rPr>
                <w:rFonts w:ascii="Calibri" w:hAnsi="Calibri" w:cs="Calibri"/>
                <w:color w:val="000000"/>
                <w:sz w:val="22"/>
                <w:szCs w:val="22"/>
              </w:rPr>
              <w:t>%</w:t>
            </w:r>
          </w:p>
        </w:tc>
      </w:tr>
      <w:tr w:rsidR="009E518D" w:rsidRPr="009E518D">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tcPr>
          <w:p w:rsidR="009E518D" w:rsidRPr="009E518D" w:rsidRDefault="009E518D" w:rsidP="009E518D">
            <w:pPr>
              <w:rPr>
                <w:rFonts w:ascii="Calibri" w:hAnsi="Calibri" w:cs="Calibri"/>
                <w:color w:val="000000"/>
                <w:sz w:val="22"/>
                <w:szCs w:val="22"/>
              </w:rPr>
            </w:pPr>
            <w:r w:rsidRPr="009E518D">
              <w:rPr>
                <w:rFonts w:ascii="Calibri" w:hAnsi="Calibri" w:cs="Calibri"/>
                <w:color w:val="000000"/>
                <w:sz w:val="22"/>
                <w:szCs w:val="22"/>
              </w:rPr>
              <w:t>Total</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3B7746" w:rsidP="009E518D">
            <w:pPr>
              <w:jc w:val="right"/>
              <w:rPr>
                <w:rFonts w:ascii="Calibri" w:hAnsi="Calibri" w:cs="Calibri"/>
                <w:color w:val="000000"/>
                <w:sz w:val="22"/>
                <w:szCs w:val="22"/>
              </w:rPr>
            </w:pPr>
            <w:r>
              <w:rPr>
                <w:rFonts w:ascii="Calibri" w:hAnsi="Calibri" w:cs="Calibri"/>
                <w:color w:val="000000"/>
                <w:sz w:val="22"/>
                <w:szCs w:val="22"/>
              </w:rPr>
              <w:t>5677</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9E518D" w:rsidP="009E518D">
            <w:pPr>
              <w:jc w:val="right"/>
              <w:rPr>
                <w:rFonts w:ascii="Calibri" w:hAnsi="Calibri" w:cs="Calibri"/>
                <w:color w:val="000000"/>
                <w:sz w:val="22"/>
                <w:szCs w:val="22"/>
              </w:rPr>
            </w:pPr>
            <w:r w:rsidRPr="009E518D">
              <w:rPr>
                <w:rFonts w:ascii="Calibri" w:hAnsi="Calibri" w:cs="Calibri"/>
                <w:color w:val="000000"/>
                <w:sz w:val="22"/>
                <w:szCs w:val="22"/>
              </w:rPr>
              <w:t>100%</w:t>
            </w:r>
          </w:p>
        </w:tc>
      </w:tr>
      <w:tr w:rsidR="009E518D" w:rsidRPr="009E518D">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tcPr>
          <w:p w:rsidR="009E518D" w:rsidRPr="009E518D" w:rsidRDefault="009E518D" w:rsidP="009E518D">
            <w:pPr>
              <w:rPr>
                <w:rFonts w:ascii="Calibri" w:hAnsi="Calibri" w:cs="Calibri"/>
                <w:b/>
                <w:bCs/>
                <w:color w:val="000000"/>
                <w:sz w:val="22"/>
                <w:szCs w:val="22"/>
              </w:rPr>
            </w:pPr>
            <w:r w:rsidRPr="009E518D">
              <w:rPr>
                <w:rFonts w:ascii="Calibri" w:hAnsi="Calibri" w:cs="Calibri"/>
                <w:b/>
                <w:bCs/>
                <w:color w:val="000000"/>
                <w:sz w:val="22"/>
                <w:szCs w:val="22"/>
              </w:rPr>
              <w:lastRenderedPageBreak/>
              <w:t>Education</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9E518D" w:rsidP="009E518D">
            <w:pPr>
              <w:rPr>
                <w:rFonts w:ascii="Calibri" w:hAnsi="Calibri" w:cs="Calibri"/>
                <w:color w:val="000000"/>
                <w:sz w:val="22"/>
                <w:szCs w:val="22"/>
              </w:rPr>
            </w:pPr>
            <w:r w:rsidRPr="009E518D">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9E518D" w:rsidP="009E518D">
            <w:pPr>
              <w:rPr>
                <w:rFonts w:ascii="Calibri" w:hAnsi="Calibri" w:cs="Calibri"/>
                <w:color w:val="000000"/>
                <w:sz w:val="22"/>
                <w:szCs w:val="22"/>
              </w:rPr>
            </w:pPr>
            <w:r w:rsidRPr="009E518D">
              <w:rPr>
                <w:rFonts w:ascii="Calibri" w:hAnsi="Calibri" w:cs="Calibri"/>
                <w:color w:val="000000"/>
                <w:sz w:val="22"/>
                <w:szCs w:val="22"/>
              </w:rPr>
              <w:t> </w:t>
            </w:r>
          </w:p>
        </w:tc>
      </w:tr>
      <w:tr w:rsidR="009E518D" w:rsidRPr="009E518D">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tcPr>
          <w:p w:rsidR="009E518D" w:rsidRPr="009E518D" w:rsidRDefault="009E518D" w:rsidP="009E518D">
            <w:pPr>
              <w:rPr>
                <w:rFonts w:ascii="Calibri" w:hAnsi="Calibri" w:cs="Calibri"/>
                <w:color w:val="000000"/>
                <w:sz w:val="22"/>
                <w:szCs w:val="22"/>
              </w:rPr>
            </w:pPr>
            <w:r w:rsidRPr="009E518D">
              <w:rPr>
                <w:rFonts w:ascii="Calibri" w:hAnsi="Calibri" w:cs="Calibri"/>
                <w:color w:val="000000"/>
                <w:sz w:val="22"/>
                <w:szCs w:val="22"/>
              </w:rPr>
              <w:t>High</w:t>
            </w:r>
            <w:r w:rsidR="000205DB">
              <w:rPr>
                <w:rFonts w:ascii="Calibri" w:hAnsi="Calibri" w:cs="Calibri"/>
                <w:color w:val="000000"/>
                <w:sz w:val="22"/>
                <w:szCs w:val="22"/>
              </w:rPr>
              <w:t xml:space="preserve"> </w:t>
            </w:r>
            <w:r w:rsidRPr="009E518D">
              <w:rPr>
                <w:rFonts w:ascii="Calibri" w:hAnsi="Calibri" w:cs="Calibri"/>
                <w:color w:val="000000"/>
                <w:sz w:val="22"/>
                <w:szCs w:val="22"/>
              </w:rPr>
              <w:t>school or less</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3B7746" w:rsidP="009E518D">
            <w:pPr>
              <w:jc w:val="right"/>
              <w:rPr>
                <w:rFonts w:ascii="Calibri" w:hAnsi="Calibri" w:cs="Calibri"/>
                <w:color w:val="000000"/>
                <w:sz w:val="22"/>
                <w:szCs w:val="22"/>
              </w:rPr>
            </w:pPr>
            <w:r>
              <w:rPr>
                <w:rFonts w:ascii="Calibri" w:hAnsi="Calibri" w:cs="Calibri"/>
                <w:color w:val="000000"/>
                <w:sz w:val="22"/>
                <w:szCs w:val="22"/>
              </w:rPr>
              <w:t>1613</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9E518D" w:rsidP="009E518D">
            <w:pPr>
              <w:jc w:val="right"/>
              <w:rPr>
                <w:rFonts w:ascii="Calibri" w:hAnsi="Calibri" w:cs="Calibri"/>
                <w:color w:val="000000"/>
                <w:sz w:val="22"/>
                <w:szCs w:val="22"/>
              </w:rPr>
            </w:pPr>
            <w:r w:rsidRPr="009E518D">
              <w:rPr>
                <w:rFonts w:ascii="Calibri" w:hAnsi="Calibri" w:cs="Calibri"/>
                <w:color w:val="000000"/>
                <w:sz w:val="22"/>
                <w:szCs w:val="22"/>
              </w:rPr>
              <w:t>29%</w:t>
            </w:r>
          </w:p>
        </w:tc>
      </w:tr>
      <w:tr w:rsidR="003B7746" w:rsidRPr="009E518D">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tcPr>
          <w:p w:rsidR="003B7746" w:rsidRPr="009E518D" w:rsidRDefault="003B7746" w:rsidP="009E518D">
            <w:pPr>
              <w:rPr>
                <w:rFonts w:ascii="Calibri" w:hAnsi="Calibri" w:cs="Calibri"/>
                <w:color w:val="000000"/>
                <w:sz w:val="22"/>
                <w:szCs w:val="22"/>
              </w:rPr>
            </w:pPr>
            <w:r>
              <w:rPr>
                <w:rFonts w:ascii="Calibri" w:hAnsi="Calibri" w:cs="Calibri"/>
                <w:color w:val="000000"/>
                <w:sz w:val="22"/>
                <w:szCs w:val="22"/>
              </w:rPr>
              <w:t>Some post-HS**</w:t>
            </w:r>
          </w:p>
        </w:tc>
        <w:tc>
          <w:tcPr>
            <w:tcW w:w="960" w:type="dxa"/>
            <w:tcBorders>
              <w:top w:val="nil"/>
              <w:left w:val="nil"/>
              <w:bottom w:val="single" w:sz="4" w:space="0" w:color="auto"/>
              <w:right w:val="single" w:sz="4" w:space="0" w:color="auto"/>
            </w:tcBorders>
            <w:shd w:val="clear" w:color="auto" w:fill="auto"/>
            <w:noWrap/>
            <w:vAlign w:val="bottom"/>
          </w:tcPr>
          <w:p w:rsidR="003B7746" w:rsidRPr="009E518D" w:rsidRDefault="003B7746" w:rsidP="009E518D">
            <w:pPr>
              <w:jc w:val="right"/>
              <w:rPr>
                <w:rFonts w:ascii="Calibri" w:hAnsi="Calibri" w:cs="Calibri"/>
                <w:color w:val="000000"/>
                <w:sz w:val="22"/>
                <w:szCs w:val="22"/>
              </w:rPr>
            </w:pPr>
            <w:r>
              <w:rPr>
                <w:rFonts w:ascii="Calibri" w:hAnsi="Calibri" w:cs="Calibri"/>
                <w:color w:val="000000"/>
                <w:sz w:val="22"/>
                <w:szCs w:val="22"/>
              </w:rPr>
              <w:t>2813</w:t>
            </w:r>
          </w:p>
        </w:tc>
        <w:tc>
          <w:tcPr>
            <w:tcW w:w="960" w:type="dxa"/>
            <w:tcBorders>
              <w:top w:val="nil"/>
              <w:left w:val="nil"/>
              <w:bottom w:val="single" w:sz="4" w:space="0" w:color="auto"/>
              <w:right w:val="single" w:sz="4" w:space="0" w:color="auto"/>
            </w:tcBorders>
            <w:shd w:val="clear" w:color="auto" w:fill="auto"/>
            <w:noWrap/>
            <w:vAlign w:val="bottom"/>
          </w:tcPr>
          <w:p w:rsidR="003B7746" w:rsidRPr="009E518D" w:rsidRDefault="003B7746" w:rsidP="009E518D">
            <w:pPr>
              <w:jc w:val="right"/>
              <w:rPr>
                <w:rFonts w:ascii="Calibri" w:hAnsi="Calibri" w:cs="Calibri"/>
                <w:color w:val="000000"/>
                <w:sz w:val="22"/>
                <w:szCs w:val="22"/>
              </w:rPr>
            </w:pPr>
            <w:r>
              <w:rPr>
                <w:rFonts w:ascii="Calibri" w:hAnsi="Calibri" w:cs="Calibri"/>
                <w:color w:val="000000"/>
                <w:sz w:val="22"/>
                <w:szCs w:val="22"/>
              </w:rPr>
              <w:t>49.7%</w:t>
            </w:r>
          </w:p>
        </w:tc>
      </w:tr>
      <w:tr w:rsidR="009E518D" w:rsidRPr="009E518D">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tcPr>
          <w:p w:rsidR="009E518D" w:rsidRPr="009E518D" w:rsidRDefault="009E518D" w:rsidP="009E518D">
            <w:pPr>
              <w:rPr>
                <w:rFonts w:ascii="Calibri" w:hAnsi="Calibri" w:cs="Calibri"/>
                <w:color w:val="000000"/>
                <w:sz w:val="22"/>
                <w:szCs w:val="22"/>
              </w:rPr>
            </w:pPr>
            <w:r w:rsidRPr="009E518D">
              <w:rPr>
                <w:rFonts w:ascii="Calibri" w:hAnsi="Calibri" w:cs="Calibri"/>
                <w:color w:val="000000"/>
                <w:sz w:val="22"/>
                <w:szCs w:val="22"/>
              </w:rPr>
              <w:t>College</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3B7746" w:rsidP="009E518D">
            <w:pPr>
              <w:jc w:val="right"/>
              <w:rPr>
                <w:rFonts w:ascii="Calibri" w:hAnsi="Calibri" w:cs="Calibri"/>
                <w:color w:val="000000"/>
                <w:sz w:val="22"/>
                <w:szCs w:val="22"/>
              </w:rPr>
            </w:pPr>
            <w:r>
              <w:rPr>
                <w:rFonts w:ascii="Calibri" w:hAnsi="Calibri" w:cs="Calibri"/>
                <w:color w:val="000000"/>
                <w:sz w:val="22"/>
                <w:szCs w:val="22"/>
              </w:rPr>
              <w:t>839</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3B7746" w:rsidP="009E518D">
            <w:pPr>
              <w:jc w:val="right"/>
              <w:rPr>
                <w:rFonts w:ascii="Calibri" w:hAnsi="Calibri" w:cs="Calibri"/>
                <w:color w:val="000000"/>
                <w:sz w:val="22"/>
                <w:szCs w:val="22"/>
              </w:rPr>
            </w:pPr>
            <w:r>
              <w:rPr>
                <w:rFonts w:ascii="Calibri" w:hAnsi="Calibri" w:cs="Calibri"/>
                <w:color w:val="000000"/>
                <w:sz w:val="22"/>
                <w:szCs w:val="22"/>
              </w:rPr>
              <w:t>14.8%</w:t>
            </w:r>
          </w:p>
        </w:tc>
      </w:tr>
      <w:tr w:rsidR="009E518D" w:rsidRPr="009E518D">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tcPr>
          <w:p w:rsidR="009E518D" w:rsidRPr="009E518D" w:rsidRDefault="009E518D" w:rsidP="009E518D">
            <w:pPr>
              <w:rPr>
                <w:rFonts w:ascii="Calibri" w:hAnsi="Calibri" w:cs="Calibri"/>
                <w:color w:val="000000"/>
                <w:sz w:val="22"/>
                <w:szCs w:val="22"/>
              </w:rPr>
            </w:pPr>
            <w:r w:rsidRPr="009E518D">
              <w:rPr>
                <w:rFonts w:ascii="Calibri" w:hAnsi="Calibri" w:cs="Calibri"/>
                <w:color w:val="000000"/>
                <w:sz w:val="22"/>
                <w:szCs w:val="22"/>
              </w:rPr>
              <w:t>Post Graduate</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3B7746" w:rsidP="009E518D">
            <w:pPr>
              <w:jc w:val="right"/>
              <w:rPr>
                <w:rFonts w:ascii="Calibri" w:hAnsi="Calibri" w:cs="Calibri"/>
                <w:color w:val="000000"/>
                <w:sz w:val="22"/>
                <w:szCs w:val="22"/>
              </w:rPr>
            </w:pPr>
            <w:r>
              <w:rPr>
                <w:rFonts w:ascii="Calibri" w:hAnsi="Calibri" w:cs="Calibri"/>
                <w:color w:val="000000"/>
                <w:sz w:val="22"/>
                <w:szCs w:val="22"/>
              </w:rPr>
              <w:t>400</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9E518D" w:rsidP="009E518D">
            <w:pPr>
              <w:jc w:val="right"/>
              <w:rPr>
                <w:rFonts w:ascii="Calibri" w:hAnsi="Calibri" w:cs="Calibri"/>
                <w:color w:val="000000"/>
                <w:sz w:val="22"/>
                <w:szCs w:val="22"/>
              </w:rPr>
            </w:pPr>
            <w:r w:rsidRPr="009E518D">
              <w:rPr>
                <w:rFonts w:ascii="Calibri" w:hAnsi="Calibri" w:cs="Calibri"/>
                <w:color w:val="000000"/>
                <w:sz w:val="22"/>
                <w:szCs w:val="22"/>
              </w:rPr>
              <w:t>7</w:t>
            </w:r>
            <w:r w:rsidR="003B7746">
              <w:rPr>
                <w:rFonts w:ascii="Calibri" w:hAnsi="Calibri" w:cs="Calibri"/>
                <w:color w:val="000000"/>
                <w:sz w:val="22"/>
                <w:szCs w:val="22"/>
              </w:rPr>
              <w:t>.1</w:t>
            </w:r>
            <w:r w:rsidRPr="009E518D">
              <w:rPr>
                <w:rFonts w:ascii="Calibri" w:hAnsi="Calibri" w:cs="Calibri"/>
                <w:color w:val="000000"/>
                <w:sz w:val="22"/>
                <w:szCs w:val="22"/>
              </w:rPr>
              <w:t>%</w:t>
            </w:r>
          </w:p>
        </w:tc>
      </w:tr>
      <w:tr w:rsidR="009E518D" w:rsidRPr="009E518D">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tcPr>
          <w:p w:rsidR="009E518D" w:rsidRPr="009E518D" w:rsidRDefault="009E518D" w:rsidP="009E518D">
            <w:pPr>
              <w:rPr>
                <w:rFonts w:ascii="Calibri" w:hAnsi="Calibri" w:cs="Calibri"/>
                <w:color w:val="000000"/>
                <w:sz w:val="22"/>
                <w:szCs w:val="22"/>
              </w:rPr>
            </w:pPr>
            <w:r w:rsidRPr="009E518D">
              <w:rPr>
                <w:rFonts w:ascii="Calibri" w:hAnsi="Calibri" w:cs="Calibri"/>
                <w:color w:val="000000"/>
                <w:sz w:val="22"/>
                <w:szCs w:val="22"/>
              </w:rPr>
              <w:t>Total</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3B7746" w:rsidP="009E518D">
            <w:pPr>
              <w:jc w:val="right"/>
              <w:rPr>
                <w:rFonts w:ascii="Calibri" w:hAnsi="Calibri" w:cs="Calibri"/>
                <w:color w:val="000000"/>
                <w:sz w:val="22"/>
                <w:szCs w:val="22"/>
              </w:rPr>
            </w:pPr>
            <w:r>
              <w:rPr>
                <w:rFonts w:ascii="Calibri" w:hAnsi="Calibri" w:cs="Calibri"/>
                <w:color w:val="000000"/>
                <w:sz w:val="22"/>
                <w:szCs w:val="22"/>
              </w:rPr>
              <w:t>5665</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9E518D" w:rsidP="009E518D">
            <w:pPr>
              <w:jc w:val="right"/>
              <w:rPr>
                <w:rFonts w:ascii="Calibri" w:hAnsi="Calibri" w:cs="Calibri"/>
                <w:color w:val="000000"/>
                <w:sz w:val="22"/>
                <w:szCs w:val="22"/>
              </w:rPr>
            </w:pPr>
            <w:r w:rsidRPr="009E518D">
              <w:rPr>
                <w:rFonts w:ascii="Calibri" w:hAnsi="Calibri" w:cs="Calibri"/>
                <w:color w:val="000000"/>
                <w:sz w:val="22"/>
                <w:szCs w:val="22"/>
              </w:rPr>
              <w:t>100%</w:t>
            </w:r>
          </w:p>
        </w:tc>
      </w:tr>
      <w:tr w:rsidR="009E518D" w:rsidRPr="009E518D">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tcPr>
          <w:p w:rsidR="009E518D" w:rsidRPr="009E518D" w:rsidRDefault="009E518D" w:rsidP="009E518D">
            <w:pPr>
              <w:rPr>
                <w:rFonts w:ascii="Calibri" w:hAnsi="Calibri" w:cs="Calibri"/>
                <w:b/>
                <w:bCs/>
                <w:color w:val="000000"/>
                <w:sz w:val="22"/>
                <w:szCs w:val="22"/>
              </w:rPr>
            </w:pPr>
            <w:r w:rsidRPr="009E518D">
              <w:rPr>
                <w:rFonts w:ascii="Calibri" w:hAnsi="Calibri" w:cs="Calibri"/>
                <w:b/>
                <w:bCs/>
                <w:color w:val="000000"/>
                <w:sz w:val="22"/>
                <w:szCs w:val="22"/>
              </w:rPr>
              <w:t>Region</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9E518D" w:rsidP="009E518D">
            <w:pPr>
              <w:rPr>
                <w:rFonts w:ascii="Calibri" w:hAnsi="Calibri" w:cs="Calibri"/>
                <w:color w:val="000000"/>
                <w:sz w:val="22"/>
                <w:szCs w:val="22"/>
              </w:rPr>
            </w:pPr>
            <w:r w:rsidRPr="009E518D">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9E518D" w:rsidP="009E518D">
            <w:pPr>
              <w:rPr>
                <w:rFonts w:ascii="Calibri" w:hAnsi="Calibri" w:cs="Calibri"/>
                <w:color w:val="000000"/>
                <w:sz w:val="22"/>
                <w:szCs w:val="22"/>
              </w:rPr>
            </w:pPr>
            <w:r w:rsidRPr="009E518D">
              <w:rPr>
                <w:rFonts w:ascii="Calibri" w:hAnsi="Calibri" w:cs="Calibri"/>
                <w:color w:val="000000"/>
                <w:sz w:val="22"/>
                <w:szCs w:val="22"/>
              </w:rPr>
              <w:t> </w:t>
            </w:r>
          </w:p>
        </w:tc>
      </w:tr>
      <w:tr w:rsidR="009E518D" w:rsidRPr="009E518D">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tcPr>
          <w:p w:rsidR="009E518D" w:rsidRPr="009E518D" w:rsidRDefault="003B7746" w:rsidP="003B7746">
            <w:pPr>
              <w:rPr>
                <w:rFonts w:ascii="Calibri" w:hAnsi="Calibri" w:cs="Calibri"/>
                <w:color w:val="000000"/>
                <w:sz w:val="22"/>
                <w:szCs w:val="22"/>
              </w:rPr>
            </w:pPr>
            <w:r w:rsidRPr="009E518D">
              <w:rPr>
                <w:rFonts w:ascii="Calibri" w:hAnsi="Calibri" w:cs="Calibri"/>
                <w:color w:val="000000"/>
                <w:sz w:val="22"/>
                <w:szCs w:val="22"/>
              </w:rPr>
              <w:t>North</w:t>
            </w:r>
            <w:r>
              <w:rPr>
                <w:rFonts w:ascii="Calibri" w:hAnsi="Calibri" w:cs="Calibri"/>
                <w:color w:val="000000"/>
                <w:sz w:val="22"/>
                <w:szCs w:val="22"/>
              </w:rPr>
              <w:t>east</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3B7746" w:rsidP="009E518D">
            <w:pPr>
              <w:jc w:val="right"/>
              <w:rPr>
                <w:rFonts w:ascii="Calibri" w:hAnsi="Calibri" w:cs="Calibri"/>
                <w:color w:val="000000"/>
                <w:sz w:val="22"/>
                <w:szCs w:val="22"/>
              </w:rPr>
            </w:pPr>
            <w:r>
              <w:rPr>
                <w:rFonts w:ascii="Calibri" w:hAnsi="Calibri" w:cs="Calibri"/>
                <w:color w:val="000000"/>
                <w:sz w:val="22"/>
                <w:szCs w:val="22"/>
              </w:rPr>
              <w:t>930</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3B7746" w:rsidP="009E518D">
            <w:pPr>
              <w:jc w:val="right"/>
              <w:rPr>
                <w:rFonts w:ascii="Calibri" w:hAnsi="Calibri" w:cs="Calibri"/>
                <w:color w:val="000000"/>
                <w:sz w:val="22"/>
                <w:szCs w:val="22"/>
              </w:rPr>
            </w:pPr>
            <w:r>
              <w:rPr>
                <w:rFonts w:ascii="Calibri" w:hAnsi="Calibri" w:cs="Calibri"/>
                <w:color w:val="000000"/>
                <w:sz w:val="22"/>
                <w:szCs w:val="22"/>
              </w:rPr>
              <w:t>16.4</w:t>
            </w:r>
            <w:r w:rsidR="009E518D" w:rsidRPr="009E518D">
              <w:rPr>
                <w:rFonts w:ascii="Calibri" w:hAnsi="Calibri" w:cs="Calibri"/>
                <w:color w:val="000000"/>
                <w:sz w:val="22"/>
                <w:szCs w:val="22"/>
              </w:rPr>
              <w:t>%</w:t>
            </w:r>
          </w:p>
        </w:tc>
      </w:tr>
      <w:tr w:rsidR="009E518D" w:rsidRPr="009E518D">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tcPr>
          <w:p w:rsidR="009E518D" w:rsidRPr="009E518D" w:rsidRDefault="009E518D" w:rsidP="009E518D">
            <w:pPr>
              <w:rPr>
                <w:rFonts w:ascii="Calibri" w:hAnsi="Calibri" w:cs="Calibri"/>
                <w:color w:val="000000"/>
                <w:sz w:val="22"/>
                <w:szCs w:val="22"/>
              </w:rPr>
            </w:pPr>
            <w:r w:rsidRPr="009E518D">
              <w:rPr>
                <w:rFonts w:ascii="Calibri" w:hAnsi="Calibri" w:cs="Calibri"/>
                <w:color w:val="000000"/>
                <w:sz w:val="22"/>
                <w:szCs w:val="22"/>
              </w:rPr>
              <w:t>Midwest</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3B7746" w:rsidP="009E518D">
            <w:pPr>
              <w:jc w:val="right"/>
              <w:rPr>
                <w:rFonts w:ascii="Calibri" w:hAnsi="Calibri" w:cs="Calibri"/>
                <w:color w:val="000000"/>
                <w:sz w:val="22"/>
                <w:szCs w:val="22"/>
              </w:rPr>
            </w:pPr>
            <w:r>
              <w:rPr>
                <w:rFonts w:ascii="Calibri" w:hAnsi="Calibri" w:cs="Calibri"/>
                <w:color w:val="000000"/>
                <w:sz w:val="22"/>
                <w:szCs w:val="22"/>
              </w:rPr>
              <w:t>1323</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3B7746" w:rsidP="009E518D">
            <w:pPr>
              <w:jc w:val="right"/>
              <w:rPr>
                <w:rFonts w:ascii="Calibri" w:hAnsi="Calibri" w:cs="Calibri"/>
                <w:color w:val="000000"/>
                <w:sz w:val="22"/>
                <w:szCs w:val="22"/>
              </w:rPr>
            </w:pPr>
            <w:r>
              <w:rPr>
                <w:rFonts w:ascii="Calibri" w:hAnsi="Calibri" w:cs="Calibri"/>
                <w:color w:val="000000"/>
                <w:sz w:val="22"/>
                <w:szCs w:val="22"/>
              </w:rPr>
              <w:t>23.4</w:t>
            </w:r>
            <w:r w:rsidR="009E518D" w:rsidRPr="009E518D">
              <w:rPr>
                <w:rFonts w:ascii="Calibri" w:hAnsi="Calibri" w:cs="Calibri"/>
                <w:color w:val="000000"/>
                <w:sz w:val="22"/>
                <w:szCs w:val="22"/>
              </w:rPr>
              <w:t>%</w:t>
            </w:r>
          </w:p>
        </w:tc>
      </w:tr>
      <w:tr w:rsidR="009E518D" w:rsidRPr="009E518D">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tcPr>
          <w:p w:rsidR="009E518D" w:rsidRPr="009E518D" w:rsidRDefault="009E518D" w:rsidP="009E518D">
            <w:pPr>
              <w:rPr>
                <w:rFonts w:ascii="Calibri" w:hAnsi="Calibri" w:cs="Calibri"/>
                <w:color w:val="000000"/>
                <w:sz w:val="22"/>
                <w:szCs w:val="22"/>
              </w:rPr>
            </w:pPr>
            <w:r w:rsidRPr="009E518D">
              <w:rPr>
                <w:rFonts w:ascii="Calibri" w:hAnsi="Calibri" w:cs="Calibri"/>
                <w:color w:val="000000"/>
                <w:sz w:val="22"/>
                <w:szCs w:val="22"/>
              </w:rPr>
              <w:t>South</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3B7746" w:rsidP="009E518D">
            <w:pPr>
              <w:jc w:val="right"/>
              <w:rPr>
                <w:rFonts w:ascii="Calibri" w:hAnsi="Calibri" w:cs="Calibri"/>
                <w:color w:val="000000"/>
                <w:sz w:val="22"/>
                <w:szCs w:val="22"/>
              </w:rPr>
            </w:pPr>
            <w:r>
              <w:rPr>
                <w:rFonts w:ascii="Calibri" w:hAnsi="Calibri" w:cs="Calibri"/>
                <w:color w:val="000000"/>
                <w:sz w:val="22"/>
                <w:szCs w:val="22"/>
              </w:rPr>
              <w:t>2137</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9E518D" w:rsidP="009E518D">
            <w:pPr>
              <w:jc w:val="right"/>
              <w:rPr>
                <w:rFonts w:ascii="Calibri" w:hAnsi="Calibri" w:cs="Calibri"/>
                <w:color w:val="000000"/>
                <w:sz w:val="22"/>
                <w:szCs w:val="22"/>
              </w:rPr>
            </w:pPr>
            <w:r w:rsidRPr="009E518D">
              <w:rPr>
                <w:rFonts w:ascii="Calibri" w:hAnsi="Calibri" w:cs="Calibri"/>
                <w:color w:val="000000"/>
                <w:sz w:val="22"/>
                <w:szCs w:val="22"/>
              </w:rPr>
              <w:t>37</w:t>
            </w:r>
            <w:r w:rsidR="003B7746">
              <w:rPr>
                <w:rFonts w:ascii="Calibri" w:hAnsi="Calibri" w:cs="Calibri"/>
                <w:color w:val="000000"/>
                <w:sz w:val="22"/>
                <w:szCs w:val="22"/>
              </w:rPr>
              <w:t>.8</w:t>
            </w:r>
            <w:r w:rsidRPr="009E518D">
              <w:rPr>
                <w:rFonts w:ascii="Calibri" w:hAnsi="Calibri" w:cs="Calibri"/>
                <w:color w:val="000000"/>
                <w:sz w:val="22"/>
                <w:szCs w:val="22"/>
              </w:rPr>
              <w:t>%</w:t>
            </w:r>
          </w:p>
        </w:tc>
      </w:tr>
      <w:tr w:rsidR="009E518D" w:rsidRPr="009E518D">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tcPr>
          <w:p w:rsidR="009E518D" w:rsidRPr="009E518D" w:rsidRDefault="009E518D" w:rsidP="009E518D">
            <w:pPr>
              <w:rPr>
                <w:rFonts w:ascii="Calibri" w:hAnsi="Calibri" w:cs="Calibri"/>
                <w:color w:val="000000"/>
                <w:sz w:val="22"/>
                <w:szCs w:val="22"/>
              </w:rPr>
            </w:pPr>
            <w:r w:rsidRPr="009E518D">
              <w:rPr>
                <w:rFonts w:ascii="Calibri" w:hAnsi="Calibri" w:cs="Calibri"/>
                <w:color w:val="000000"/>
                <w:sz w:val="22"/>
                <w:szCs w:val="22"/>
              </w:rPr>
              <w:t>West</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3B7746" w:rsidP="009E518D">
            <w:pPr>
              <w:jc w:val="right"/>
              <w:rPr>
                <w:rFonts w:ascii="Calibri" w:hAnsi="Calibri" w:cs="Calibri"/>
                <w:color w:val="000000"/>
                <w:sz w:val="22"/>
                <w:szCs w:val="22"/>
              </w:rPr>
            </w:pPr>
            <w:r>
              <w:rPr>
                <w:rFonts w:ascii="Calibri" w:hAnsi="Calibri" w:cs="Calibri"/>
                <w:color w:val="000000"/>
                <w:sz w:val="22"/>
                <w:szCs w:val="22"/>
              </w:rPr>
              <w:t>1266</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3B7746" w:rsidP="009E518D">
            <w:pPr>
              <w:jc w:val="right"/>
              <w:rPr>
                <w:rFonts w:ascii="Calibri" w:hAnsi="Calibri" w:cs="Calibri"/>
                <w:color w:val="000000"/>
                <w:sz w:val="22"/>
                <w:szCs w:val="22"/>
              </w:rPr>
            </w:pPr>
            <w:r>
              <w:rPr>
                <w:rFonts w:ascii="Calibri" w:hAnsi="Calibri" w:cs="Calibri"/>
                <w:color w:val="000000"/>
                <w:sz w:val="22"/>
                <w:szCs w:val="22"/>
              </w:rPr>
              <w:t>22.4</w:t>
            </w:r>
            <w:r w:rsidR="009E518D" w:rsidRPr="009E518D">
              <w:rPr>
                <w:rFonts w:ascii="Calibri" w:hAnsi="Calibri" w:cs="Calibri"/>
                <w:color w:val="000000"/>
                <w:sz w:val="22"/>
                <w:szCs w:val="22"/>
              </w:rPr>
              <w:t>%</w:t>
            </w:r>
          </w:p>
        </w:tc>
      </w:tr>
      <w:tr w:rsidR="009E518D" w:rsidRPr="009E518D">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tcPr>
          <w:p w:rsidR="009E518D" w:rsidRPr="009E518D" w:rsidRDefault="009E518D" w:rsidP="009E518D">
            <w:pPr>
              <w:rPr>
                <w:rFonts w:ascii="Calibri" w:hAnsi="Calibri" w:cs="Calibri"/>
                <w:color w:val="000000"/>
                <w:sz w:val="22"/>
                <w:szCs w:val="22"/>
              </w:rPr>
            </w:pPr>
            <w:r w:rsidRPr="009E518D">
              <w:rPr>
                <w:rFonts w:ascii="Calibri" w:hAnsi="Calibri" w:cs="Calibri"/>
                <w:color w:val="000000"/>
                <w:sz w:val="22"/>
                <w:szCs w:val="22"/>
              </w:rPr>
              <w:t>Total</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3B7746" w:rsidP="009E518D">
            <w:pPr>
              <w:jc w:val="right"/>
              <w:rPr>
                <w:rFonts w:ascii="Calibri" w:hAnsi="Calibri" w:cs="Calibri"/>
                <w:color w:val="000000"/>
                <w:sz w:val="22"/>
                <w:szCs w:val="22"/>
              </w:rPr>
            </w:pPr>
            <w:r>
              <w:rPr>
                <w:rFonts w:ascii="Calibri" w:hAnsi="Calibri" w:cs="Calibri"/>
                <w:color w:val="000000"/>
                <w:sz w:val="22"/>
                <w:szCs w:val="22"/>
              </w:rPr>
              <w:t>5656</w:t>
            </w:r>
          </w:p>
        </w:tc>
        <w:tc>
          <w:tcPr>
            <w:tcW w:w="960" w:type="dxa"/>
            <w:tcBorders>
              <w:top w:val="nil"/>
              <w:left w:val="nil"/>
              <w:bottom w:val="single" w:sz="4" w:space="0" w:color="auto"/>
              <w:right w:val="single" w:sz="4" w:space="0" w:color="auto"/>
            </w:tcBorders>
            <w:shd w:val="clear" w:color="auto" w:fill="auto"/>
            <w:noWrap/>
            <w:vAlign w:val="bottom"/>
          </w:tcPr>
          <w:p w:rsidR="009E518D" w:rsidRPr="009E518D" w:rsidRDefault="009E518D" w:rsidP="009E518D">
            <w:pPr>
              <w:jc w:val="right"/>
              <w:rPr>
                <w:rFonts w:ascii="Calibri" w:hAnsi="Calibri" w:cs="Calibri"/>
                <w:color w:val="000000"/>
                <w:sz w:val="22"/>
                <w:szCs w:val="22"/>
              </w:rPr>
            </w:pPr>
            <w:r w:rsidRPr="009E518D">
              <w:rPr>
                <w:rFonts w:ascii="Calibri" w:hAnsi="Calibri" w:cs="Calibri"/>
                <w:color w:val="000000"/>
                <w:sz w:val="22"/>
                <w:szCs w:val="22"/>
              </w:rPr>
              <w:t>100%</w:t>
            </w:r>
          </w:p>
        </w:tc>
      </w:tr>
    </w:tbl>
    <w:p w:rsidR="003B7746" w:rsidRDefault="003B7746" w:rsidP="009E518D"/>
    <w:p w:rsidR="009E518D" w:rsidRDefault="003B7746" w:rsidP="009E518D">
      <w:r>
        <w:t>*Includes Asian, Native American, Middle Eastern, Mixed and Other.</w:t>
      </w:r>
    </w:p>
    <w:p w:rsidR="009E518D" w:rsidRDefault="003B7746" w:rsidP="009E518D">
      <w:r>
        <w:t>** Includes “some college” and 2-year degree graduates.</w:t>
      </w:r>
    </w:p>
    <w:p w:rsidR="003B7746" w:rsidRDefault="003B7746" w:rsidP="009E518D"/>
    <w:p w:rsidR="005A3F40" w:rsidRPr="00696794" w:rsidRDefault="005A3F40" w:rsidP="005A3F40">
      <w:r w:rsidRPr="00696794">
        <w:t>The validation study will involve individuals in the sub-group of the overall YouGov pool of voluntary opt-in survey respondents who have self-reported their employment status as permanently disabled.  For purposes of the validation study, we anticipate sufficient variation on level of disability within this group because (1) it is relatively large (</w:t>
      </w:r>
      <w:r w:rsidR="00686485">
        <w:t>the YouGov pool of “permanently disabled” participants has increased by more than 50% since submission of this application</w:t>
      </w:r>
      <w:r w:rsidR="003B7746">
        <w:t>; Table 1 reflects updated figures</w:t>
      </w:r>
      <w:r w:rsidRPr="00696794">
        <w:t>) and (2) diverse with regard to gender (4</w:t>
      </w:r>
      <w:r w:rsidR="003B7746">
        <w:t>7</w:t>
      </w:r>
      <w:r w:rsidRPr="00696794">
        <w:t>% male, 5</w:t>
      </w:r>
      <w:r w:rsidR="003B7746">
        <w:t>3</w:t>
      </w:r>
      <w:r w:rsidRPr="00696794">
        <w:t>% female), racial/ethnic background (1</w:t>
      </w:r>
      <w:r w:rsidR="003B7746">
        <w:t>8</w:t>
      </w:r>
      <w:r w:rsidRPr="00696794">
        <w:t>% minority), education (2</w:t>
      </w:r>
      <w:r>
        <w:t>9</w:t>
      </w:r>
      <w:r w:rsidRPr="00696794">
        <w:t>% high school or less), and geographic distribution (Northeast 1</w:t>
      </w:r>
      <w:r w:rsidR="003B7746">
        <w:t>6</w:t>
      </w:r>
      <w:r w:rsidRPr="00696794">
        <w:t>%; Midwest 2</w:t>
      </w:r>
      <w:r w:rsidR="003B7746">
        <w:t>3</w:t>
      </w:r>
      <w:r w:rsidRPr="00696794">
        <w:t>%; South 3</w:t>
      </w:r>
      <w:r w:rsidR="003B7746">
        <w:t>8</w:t>
      </w:r>
      <w:r w:rsidRPr="00696794">
        <w:t>%; West 2</w:t>
      </w:r>
      <w:r w:rsidR="003B7746">
        <w:t>2</w:t>
      </w:r>
      <w:r w:rsidRPr="00696794">
        <w:t>%).  Given this</w:t>
      </w:r>
      <w:r>
        <w:t xml:space="preserve"> and the substantial size of the target sample</w:t>
      </w:r>
      <w:r w:rsidRPr="00696794">
        <w:t xml:space="preserve">, we expect that their scores on the both the legacy and new CAT-based scores will exhibit sufficient variation to allow for a reasonable assessment of the strength of their relationship.   </w:t>
      </w:r>
    </w:p>
    <w:p w:rsidR="004A2C1A" w:rsidRDefault="004A2C1A" w:rsidP="00957F14">
      <w:pPr>
        <w:pStyle w:val="Heading2"/>
        <w:tabs>
          <w:tab w:val="left" w:pos="720"/>
        </w:tabs>
        <w:spacing w:after="0" w:line="480" w:lineRule="auto"/>
        <w:ind w:left="0" w:firstLine="0"/>
        <w:rPr>
          <w:sz w:val="24"/>
          <w:szCs w:val="24"/>
        </w:rPr>
      </w:pPr>
    </w:p>
    <w:p w:rsidR="00957F14" w:rsidRPr="00E41609" w:rsidRDefault="0059573E" w:rsidP="00957F14">
      <w:pPr>
        <w:pStyle w:val="Heading2"/>
        <w:tabs>
          <w:tab w:val="left" w:pos="720"/>
        </w:tabs>
        <w:spacing w:after="0" w:line="480" w:lineRule="auto"/>
        <w:ind w:left="0" w:firstLine="0"/>
        <w:rPr>
          <w:sz w:val="24"/>
          <w:szCs w:val="24"/>
        </w:rPr>
      </w:pPr>
      <w:r>
        <w:rPr>
          <w:sz w:val="24"/>
          <w:szCs w:val="24"/>
        </w:rPr>
        <w:t>B</w:t>
      </w:r>
      <w:r w:rsidR="00957F14" w:rsidRPr="00E41609">
        <w:rPr>
          <w:sz w:val="24"/>
          <w:szCs w:val="24"/>
        </w:rPr>
        <w:t>.2</w:t>
      </w:r>
      <w:r w:rsidR="00957F14" w:rsidRPr="00E41609">
        <w:rPr>
          <w:sz w:val="24"/>
          <w:szCs w:val="24"/>
        </w:rPr>
        <w:tab/>
        <w:t>Procedures for the Collection of Information</w:t>
      </w:r>
    </w:p>
    <w:p w:rsidR="0059573E" w:rsidRPr="00707268" w:rsidRDefault="0059573E" w:rsidP="0059573E">
      <w:r w:rsidRPr="00707268">
        <w:t>Polimetrix recruits for studies using an opt-in panel of 1.</w:t>
      </w:r>
      <w:r w:rsidR="008C2DBC">
        <w:t>5</w:t>
      </w:r>
      <w:r w:rsidRPr="00707268">
        <w:t xml:space="preserve"> million U.S residents who have agreed to participate in Polimetrix’s Web surveys. Panel members are recruited by a number of methods to help ensure diversity in the panel population. Recruiting methods include Web advertising campaigns (both text and banners), permission-based email campaigns, partner sponsored solicitations (</w:t>
      </w:r>
      <w:r w:rsidRPr="00707268">
        <w:rPr>
          <w:i/>
          <w:iCs/>
        </w:rPr>
        <w:t>e.g.</w:t>
      </w:r>
      <w:r w:rsidRPr="00707268">
        <w:t>, Rock the Vote and Cox Communications), telephone-to-Web recruitment, and mail-to-Web recruitment. By utilizing different modes of recruitment continuously over time, this ensures that hard-to-reach populations will be adequately rep</w:t>
      </w:r>
      <w:r w:rsidRPr="00707268">
        <w:softHyphen/>
        <w:t xml:space="preserve">resented in survey samples. Participants are not paid to join the PollingPoint panel, but do receive </w:t>
      </w:r>
      <w:r>
        <w:t xml:space="preserve">modest </w:t>
      </w:r>
      <w:r w:rsidRPr="00707268">
        <w:t>incentives through a loyalty program to take individual surveys.</w:t>
      </w:r>
    </w:p>
    <w:p w:rsidR="0059573E" w:rsidRPr="00707268" w:rsidRDefault="0059573E" w:rsidP="0059573E"/>
    <w:p w:rsidR="0059573E" w:rsidRPr="00707268" w:rsidRDefault="0059573E" w:rsidP="0059573E">
      <w:r w:rsidRPr="00707268">
        <w:lastRenderedPageBreak/>
        <w:t>Polimetrix tracks employment status within their active participant pools</w:t>
      </w:r>
      <w:r>
        <w:t>. T</w:t>
      </w:r>
      <w:r w:rsidRPr="00707268">
        <w:t xml:space="preserve">hey currently have </w:t>
      </w:r>
      <w:r w:rsidR="00854312">
        <w:t xml:space="preserve">about </w:t>
      </w:r>
      <w:r w:rsidR="003B7746">
        <w:t>5</w:t>
      </w:r>
      <w:r w:rsidRPr="00707268">
        <w:t>,</w:t>
      </w:r>
      <w:r w:rsidR="003B7746">
        <w:t>6</w:t>
      </w:r>
      <w:r w:rsidR="003B7746" w:rsidRPr="00707268">
        <w:t xml:space="preserve">00 </w:t>
      </w:r>
      <w:r w:rsidRPr="00707268">
        <w:t>"permanently disabled" participants</w:t>
      </w:r>
      <w:r>
        <w:t xml:space="preserve"> which will serve as the sampling frame for this pilot study. </w:t>
      </w:r>
      <w:r w:rsidRPr="00707268">
        <w:t xml:space="preserve"> </w:t>
      </w:r>
      <w:r>
        <w:t xml:space="preserve">From this population, </w:t>
      </w:r>
      <w:r w:rsidRPr="00707268">
        <w:t xml:space="preserve">Polimetrix will recruit </w:t>
      </w:r>
      <w:r w:rsidR="008C2DBC">
        <w:t>1,000</w:t>
      </w:r>
      <w:r w:rsidR="00093E32">
        <w:t xml:space="preserve"> </w:t>
      </w:r>
      <w:r w:rsidRPr="00707268">
        <w:t xml:space="preserve">participants to answer 70-86 items if they claim a primary physical impairment and 88-96 items if they claim primary mental health impairment. The </w:t>
      </w:r>
      <w:r>
        <w:t xml:space="preserve">participants </w:t>
      </w:r>
      <w:r w:rsidRPr="00707268">
        <w:t xml:space="preserve">will be matched with our calibration sample on age, gender, race, </w:t>
      </w:r>
      <w:r>
        <w:t xml:space="preserve">and </w:t>
      </w:r>
      <w:r w:rsidRPr="00707268">
        <w:t>education</w:t>
      </w:r>
      <w:r>
        <w:t xml:space="preserve">. Study participants will be asked a screener question if the reason for their “permanently disabled” employment status is the result of a primary physical or mental health impairment. This information will be used to match each potential subject to the appropriate CAT content domain (ie., Physical </w:t>
      </w:r>
      <w:r w:rsidR="008D19CB">
        <w:t xml:space="preserve">Demands </w:t>
      </w:r>
      <w:r>
        <w:t xml:space="preserve">or Interpersonal Interactions).  If the study participant claims dual impairments, they will be placed into the group requiring more study completes. </w:t>
      </w:r>
    </w:p>
    <w:p w:rsidR="0059573E" w:rsidRPr="00707268" w:rsidRDefault="0059573E" w:rsidP="0059573E"/>
    <w:p w:rsidR="0059573E" w:rsidRDefault="0059573E" w:rsidP="0059573E">
      <w:r w:rsidRPr="00707268">
        <w:t xml:space="preserve">All of the </w:t>
      </w:r>
      <w:r>
        <w:t xml:space="preserve">Polimetrix </w:t>
      </w:r>
      <w:r w:rsidRPr="00707268">
        <w:t xml:space="preserve">panelists have provided their e-mail so that they may receive survey invitations to participate in surveys.  As a policy, no one panelist is invited to take more than 12 surveys in a year.  Additionally, with each survey invitation they are reminded of </w:t>
      </w:r>
      <w:r>
        <w:t xml:space="preserve">the Polimetrix </w:t>
      </w:r>
      <w:r w:rsidRPr="00707268">
        <w:t>policy on privacy, the opportunity to immediately opt-out, and of the voluntary nature of each request regardless of the survey sponsor.</w:t>
      </w:r>
    </w:p>
    <w:p w:rsidR="00A2383B" w:rsidRDefault="00A2383B" w:rsidP="0059573E"/>
    <w:p w:rsidR="0059573E" w:rsidRDefault="0059573E" w:rsidP="0059573E">
      <w:pPr>
        <w:rPr>
          <w:b/>
        </w:rPr>
      </w:pPr>
      <w:r>
        <w:rPr>
          <w:b/>
        </w:rPr>
        <w:t xml:space="preserve">Measures for Assessing Workplace </w:t>
      </w:r>
      <w:r w:rsidRPr="00F048D5">
        <w:rPr>
          <w:b/>
        </w:rPr>
        <w:t xml:space="preserve">Physical </w:t>
      </w:r>
      <w:r>
        <w:rPr>
          <w:b/>
        </w:rPr>
        <w:t xml:space="preserve">Function </w:t>
      </w:r>
      <w:r w:rsidRPr="00F048D5">
        <w:rPr>
          <w:b/>
        </w:rPr>
        <w:t xml:space="preserve">Demands </w:t>
      </w:r>
    </w:p>
    <w:p w:rsidR="0059573E" w:rsidRDefault="0059573E" w:rsidP="0059573E">
      <w:r>
        <w:t xml:space="preserve">Study participants who indicate that their primary reason for not being able to work is the result of a </w:t>
      </w:r>
      <w:r w:rsidR="008D19CB">
        <w:t>physical impairment</w:t>
      </w:r>
      <w:r>
        <w:t xml:space="preserve"> be asked to complete the SSA Physical </w:t>
      </w:r>
      <w:r w:rsidR="00EF27BB">
        <w:t>Demands CAT</w:t>
      </w:r>
      <w:r>
        <w:t xml:space="preserve"> tool</w:t>
      </w:r>
      <w:r w:rsidR="00EF27BB">
        <w:t>, the</w:t>
      </w:r>
      <w:r>
        <w:t xml:space="preserve"> SF-36, and the PROMIS Physical Functioning CAT.  The SF-36 is a widely used </w:t>
      </w:r>
      <w:r w:rsidRPr="00F048D5">
        <w:t>multi-purpose, short-form survey with 36 question</w:t>
      </w:r>
      <w:r>
        <w:t xml:space="preserve">s that measure physical and mental health.  It has been broadly tested in general and disease specific populations.  </w:t>
      </w:r>
      <w:r w:rsidRPr="00031F84">
        <w:t>The SF-36 c</w:t>
      </w:r>
      <w:r>
        <w:t xml:space="preserve">onsists of eight scaled scores: vitality, </w:t>
      </w:r>
      <w:r w:rsidRPr="00031F84">
        <w:t>physical functioning</w:t>
      </w:r>
      <w:r>
        <w:t xml:space="preserve">, </w:t>
      </w:r>
      <w:r w:rsidRPr="00031F84">
        <w:t>bodily pain</w:t>
      </w:r>
      <w:r>
        <w:t>, general health,</w:t>
      </w:r>
      <w:r w:rsidRPr="00031F84">
        <w:t xml:space="preserve"> physical role functioning</w:t>
      </w:r>
      <w:r>
        <w:t xml:space="preserve">, </w:t>
      </w:r>
      <w:r w:rsidRPr="00031F84">
        <w:t>emotional role functioning</w:t>
      </w:r>
      <w:r>
        <w:t xml:space="preserve">, </w:t>
      </w:r>
      <w:r w:rsidRPr="00031F84">
        <w:t>social role functioning</w:t>
      </w:r>
      <w:r>
        <w:t xml:space="preserve">, and </w:t>
      </w:r>
      <w:r w:rsidRPr="00031F84">
        <w:t>mental health</w:t>
      </w:r>
      <w:r>
        <w:t xml:space="preserve">.  We selected the SF-36 as a legacy instrument because of its extensive history and use in research and the content coverage it provides.  The PROMIS Physical Function item pool consists of </w:t>
      </w:r>
      <w:r w:rsidRPr="005109F6">
        <w:t>items covering activities of daily living, lower extremity, and central body functions.</w:t>
      </w:r>
      <w:r>
        <w:t xml:space="preserve">  PROMIS utilizes rigorous methodology for developing its measures and testing their validity. This work integrates qualitative and quantitative research and psychometrics. Content and disease experts as well as thousands of patients provided input into the development process. The PROMIS item pools have been tested and validated in clinical and generic populations. The PROMIS physical function CAT was selected because of the content coverage it provides as well the extensive and rigorous testing process the PROMIS initiative utilized. </w:t>
      </w:r>
    </w:p>
    <w:p w:rsidR="0059573E" w:rsidRDefault="0059573E" w:rsidP="0059573E"/>
    <w:p w:rsidR="008D19CB" w:rsidRDefault="008D19CB" w:rsidP="0059573E"/>
    <w:p w:rsidR="0059573E" w:rsidRDefault="0059573E" w:rsidP="0059573E">
      <w:pPr>
        <w:rPr>
          <w:b/>
        </w:rPr>
      </w:pPr>
      <w:r>
        <w:rPr>
          <w:b/>
        </w:rPr>
        <w:t xml:space="preserve">Measures for Assessing Workplace </w:t>
      </w:r>
      <w:r w:rsidRPr="009E11AF">
        <w:rPr>
          <w:b/>
        </w:rPr>
        <w:t xml:space="preserve">Interpersonal </w:t>
      </w:r>
      <w:r>
        <w:rPr>
          <w:b/>
        </w:rPr>
        <w:t>Interaction Demands</w:t>
      </w:r>
    </w:p>
    <w:p w:rsidR="0059573E" w:rsidRDefault="0059573E" w:rsidP="0059573E">
      <w:r>
        <w:t>Study participants who indicate that their primary reason for not being able to work is the result of a mental health impairment will be asked to complete the SSA Interpersonal Interaction  CAT tool,  the SF-36 and the</w:t>
      </w:r>
      <w:r w:rsidRPr="009E11AF">
        <w:rPr>
          <w:rFonts w:ascii="Arial" w:hAnsi="Arial" w:cs="Arial"/>
          <w:b/>
          <w:bCs/>
          <w:sz w:val="28"/>
          <w:szCs w:val="28"/>
        </w:rPr>
        <w:t xml:space="preserve"> </w:t>
      </w:r>
      <w:r w:rsidRPr="009E11AF">
        <w:rPr>
          <w:bCs/>
        </w:rPr>
        <w:t>Behavior And Symptom Identification Scale</w:t>
      </w:r>
      <w:r w:rsidR="00052911">
        <w:rPr>
          <w:bCs/>
        </w:rPr>
        <w:t xml:space="preserve"> </w:t>
      </w:r>
      <w:r>
        <w:rPr>
          <w:bCs/>
        </w:rPr>
        <w:t>(</w:t>
      </w:r>
      <w:r w:rsidRPr="009E11AF">
        <w:t>BASIS-24.</w:t>
      </w:r>
      <w:r>
        <w:t xml:space="preserve">) </w:t>
      </w:r>
      <w:r w:rsidRPr="009E11AF">
        <w:t xml:space="preserve"> </w:t>
      </w:r>
      <w:r>
        <w:t xml:space="preserve">The BASIS-24 is a leading behavioral health assessment tool. The BASIS-24 underwent extensive field testing as part of a multiyear research and development process. </w:t>
      </w:r>
      <w:r w:rsidRPr="009E7F6F">
        <w:t xml:space="preserve">The survey was tested </w:t>
      </w:r>
      <w:r>
        <w:t>on more</w:t>
      </w:r>
      <w:r w:rsidRPr="009E7F6F">
        <w:t xml:space="preserve"> than 6,000 </w:t>
      </w:r>
      <w:r>
        <w:t>participants</w:t>
      </w:r>
      <w:r w:rsidRPr="009E7F6F">
        <w:t xml:space="preserve"> from racially and ethnically diverse backgrounds receiving inpatient</w:t>
      </w:r>
      <w:r>
        <w:t xml:space="preserve"> </w:t>
      </w:r>
      <w:r w:rsidRPr="009E7F6F">
        <w:t xml:space="preserve">or outpatient treatment for mental </w:t>
      </w:r>
      <w:r w:rsidRPr="009E7F6F">
        <w:lastRenderedPageBreak/>
        <w:t>health or substance abuse at one of 28</w:t>
      </w:r>
      <w:r>
        <w:t xml:space="preserve"> </w:t>
      </w:r>
      <w:r w:rsidRPr="009E7F6F">
        <w:t>facilities across the U.S.</w:t>
      </w:r>
      <w:r>
        <w:t xml:space="preserve">  The development of the survey was grounded in Item Response Theory (IRT) methods.  In order to comply with SSA requests we will remove 4 items from the BASIS-24 that ask about alcohol and drug use. </w:t>
      </w:r>
    </w:p>
    <w:p w:rsidR="0059573E" w:rsidRDefault="0059573E" w:rsidP="0059573E"/>
    <w:p w:rsidR="0059573E" w:rsidRPr="009E11AF" w:rsidRDefault="00992444" w:rsidP="0059573E">
      <w:r>
        <w:t>To address order effects during test administration, w</w:t>
      </w:r>
      <w:r w:rsidRPr="002E44A8">
        <w:t xml:space="preserve">e </w:t>
      </w:r>
      <w:r>
        <w:t xml:space="preserve">are </w:t>
      </w:r>
      <w:r w:rsidRPr="002E44A8">
        <w:t xml:space="preserve">planning </w:t>
      </w:r>
      <w:r>
        <w:t>t</w:t>
      </w:r>
      <w:r w:rsidRPr="002E44A8">
        <w:t>o “counter-balanc</w:t>
      </w:r>
      <w:r>
        <w:t>e</w:t>
      </w:r>
      <w:r w:rsidRPr="002E44A8">
        <w:t xml:space="preserve">” the mode of administration by </w:t>
      </w:r>
      <w:r>
        <w:t xml:space="preserve">randomly assigning </w:t>
      </w:r>
      <w:r w:rsidRPr="002E44A8">
        <w:t xml:space="preserve">half the sample take the </w:t>
      </w:r>
      <w:r>
        <w:t>SSA-</w:t>
      </w:r>
      <w:r w:rsidRPr="002E44A8">
        <w:t xml:space="preserve">CAT first and half the sample </w:t>
      </w:r>
      <w:r>
        <w:t xml:space="preserve">will </w:t>
      </w:r>
      <w:r w:rsidRPr="002E44A8">
        <w:t xml:space="preserve">take the legacy items first. </w:t>
      </w:r>
      <w:r w:rsidR="0059573E">
        <w:t>For both study groups, it should take approximately 30 minute</w:t>
      </w:r>
      <w:r w:rsidR="00245155">
        <w:t xml:space="preserve">s to complete the assessments and </w:t>
      </w:r>
      <w:r w:rsidR="005E5F19">
        <w:t xml:space="preserve">the assessments </w:t>
      </w:r>
      <w:r w:rsidR="00245155">
        <w:t xml:space="preserve">will only be collected once.  </w:t>
      </w:r>
    </w:p>
    <w:p w:rsidR="0059573E" w:rsidRPr="009E11AF" w:rsidRDefault="0059573E" w:rsidP="0059573E"/>
    <w:p w:rsidR="0059573E" w:rsidRDefault="0059573E" w:rsidP="0059573E">
      <w:pPr>
        <w:rPr>
          <w:b/>
        </w:rPr>
      </w:pPr>
    </w:p>
    <w:p w:rsidR="0059573E" w:rsidRPr="00A655E0" w:rsidRDefault="0059573E" w:rsidP="0059573E">
      <w:pPr>
        <w:rPr>
          <w:b/>
        </w:rPr>
      </w:pPr>
      <w:r>
        <w:rPr>
          <w:b/>
        </w:rPr>
        <w:t xml:space="preserve">Table 1.  Summary of Survey Content in Two Domains </w:t>
      </w:r>
    </w:p>
    <w:tbl>
      <w:tblPr>
        <w:tblStyle w:val="TableGrid"/>
        <w:tblW w:w="0" w:type="auto"/>
        <w:tblLook w:val="04A0" w:firstRow="1" w:lastRow="0" w:firstColumn="1" w:lastColumn="0" w:noHBand="0" w:noVBand="1"/>
      </w:tblPr>
      <w:tblGrid>
        <w:gridCol w:w="2245"/>
        <w:gridCol w:w="1227"/>
        <w:gridCol w:w="974"/>
        <w:gridCol w:w="1460"/>
        <w:gridCol w:w="1498"/>
        <w:gridCol w:w="1452"/>
      </w:tblGrid>
      <w:tr w:rsidR="0059573E" w:rsidRPr="000A667D">
        <w:trPr>
          <w:trHeight w:val="800"/>
        </w:trPr>
        <w:tc>
          <w:tcPr>
            <w:tcW w:w="2474" w:type="dxa"/>
            <w:vAlign w:val="bottom"/>
          </w:tcPr>
          <w:p w:rsidR="0059573E" w:rsidRPr="000A667D" w:rsidRDefault="0059573E" w:rsidP="0059573E">
            <w:pPr>
              <w:jc w:val="center"/>
              <w:rPr>
                <w:b/>
                <w:bCs/>
              </w:rPr>
            </w:pPr>
          </w:p>
          <w:p w:rsidR="0059573E" w:rsidRPr="000A667D" w:rsidRDefault="0059573E" w:rsidP="0059573E">
            <w:pPr>
              <w:jc w:val="center"/>
              <w:rPr>
                <w:b/>
                <w:bCs/>
              </w:rPr>
            </w:pPr>
            <w:r w:rsidRPr="000A667D">
              <w:rPr>
                <w:b/>
                <w:bCs/>
              </w:rPr>
              <w:t>Domain</w:t>
            </w:r>
          </w:p>
        </w:tc>
        <w:tc>
          <w:tcPr>
            <w:tcW w:w="1365" w:type="dxa"/>
            <w:vAlign w:val="bottom"/>
          </w:tcPr>
          <w:p w:rsidR="0059573E" w:rsidRPr="000A667D" w:rsidRDefault="0059573E" w:rsidP="0059573E">
            <w:pPr>
              <w:jc w:val="center"/>
              <w:rPr>
                <w:rFonts w:ascii="Calibri" w:hAnsi="Calibri" w:cs="Calibri"/>
                <w:b/>
                <w:bCs/>
                <w:color w:val="000000"/>
              </w:rPr>
            </w:pPr>
          </w:p>
          <w:p w:rsidR="0059573E" w:rsidRPr="000A667D" w:rsidRDefault="0059573E" w:rsidP="0059573E">
            <w:pPr>
              <w:jc w:val="center"/>
              <w:rPr>
                <w:rFonts w:ascii="Calibri" w:hAnsi="Calibri" w:cs="Calibri"/>
                <w:b/>
                <w:bCs/>
                <w:color w:val="000000"/>
              </w:rPr>
            </w:pPr>
            <w:r w:rsidRPr="000A667D">
              <w:rPr>
                <w:rFonts w:ascii="Calibri" w:hAnsi="Calibri" w:cs="Calibri"/>
                <w:b/>
                <w:bCs/>
                <w:color w:val="000000"/>
              </w:rPr>
              <w:t>BU-HDR CAT tool</w:t>
            </w:r>
          </w:p>
        </w:tc>
        <w:tc>
          <w:tcPr>
            <w:tcW w:w="1050" w:type="dxa"/>
            <w:vAlign w:val="bottom"/>
          </w:tcPr>
          <w:p w:rsidR="0059573E" w:rsidRPr="000A667D" w:rsidRDefault="0059573E" w:rsidP="0059573E">
            <w:pPr>
              <w:jc w:val="center"/>
              <w:rPr>
                <w:rFonts w:ascii="Calibri" w:hAnsi="Calibri" w:cs="Calibri"/>
                <w:b/>
                <w:bCs/>
                <w:color w:val="000000"/>
              </w:rPr>
            </w:pPr>
          </w:p>
          <w:p w:rsidR="0059573E" w:rsidRPr="000A667D" w:rsidRDefault="0059573E" w:rsidP="0059573E">
            <w:pPr>
              <w:jc w:val="center"/>
              <w:rPr>
                <w:rFonts w:ascii="Calibri" w:hAnsi="Calibri" w:cs="Calibri"/>
                <w:b/>
                <w:bCs/>
                <w:color w:val="000000"/>
              </w:rPr>
            </w:pPr>
          </w:p>
          <w:p w:rsidR="0059573E" w:rsidRPr="000A667D" w:rsidRDefault="0059573E" w:rsidP="0059573E">
            <w:pPr>
              <w:jc w:val="center"/>
              <w:rPr>
                <w:rFonts w:ascii="Calibri" w:hAnsi="Calibri" w:cs="Calibri"/>
                <w:b/>
                <w:bCs/>
                <w:color w:val="000000"/>
              </w:rPr>
            </w:pPr>
            <w:r w:rsidRPr="000A667D">
              <w:rPr>
                <w:rFonts w:ascii="Calibri" w:hAnsi="Calibri" w:cs="Calibri"/>
                <w:b/>
                <w:bCs/>
                <w:color w:val="000000"/>
              </w:rPr>
              <w:t>SF-36</w:t>
            </w:r>
          </w:p>
        </w:tc>
        <w:tc>
          <w:tcPr>
            <w:tcW w:w="1566" w:type="dxa"/>
            <w:vAlign w:val="bottom"/>
          </w:tcPr>
          <w:p w:rsidR="0059573E" w:rsidRPr="000A667D" w:rsidRDefault="0059573E" w:rsidP="0059573E">
            <w:pPr>
              <w:jc w:val="center"/>
              <w:rPr>
                <w:rFonts w:ascii="Calibri" w:hAnsi="Calibri" w:cs="Calibri"/>
                <w:b/>
                <w:bCs/>
                <w:color w:val="000000"/>
              </w:rPr>
            </w:pPr>
            <w:r w:rsidRPr="000A667D">
              <w:rPr>
                <w:rFonts w:ascii="Calibri" w:hAnsi="Calibri" w:cs="Calibri"/>
                <w:b/>
                <w:bCs/>
                <w:color w:val="000000"/>
              </w:rPr>
              <w:t xml:space="preserve">PROMIS </w:t>
            </w:r>
            <w:r>
              <w:rPr>
                <w:rFonts w:ascii="Calibri" w:hAnsi="Calibri" w:cs="Calibri"/>
                <w:b/>
                <w:bCs/>
                <w:color w:val="000000"/>
              </w:rPr>
              <w:t>PF CAT</w:t>
            </w:r>
          </w:p>
        </w:tc>
        <w:tc>
          <w:tcPr>
            <w:tcW w:w="1557" w:type="dxa"/>
            <w:vAlign w:val="bottom"/>
          </w:tcPr>
          <w:p w:rsidR="0059573E" w:rsidRPr="000A667D" w:rsidRDefault="0059573E" w:rsidP="0059573E">
            <w:pPr>
              <w:jc w:val="center"/>
              <w:rPr>
                <w:rFonts w:ascii="Calibri" w:hAnsi="Calibri" w:cs="Calibri"/>
                <w:b/>
                <w:bCs/>
                <w:color w:val="000000"/>
              </w:rPr>
            </w:pPr>
            <w:r w:rsidRPr="000A667D">
              <w:rPr>
                <w:rFonts w:ascii="Calibri" w:hAnsi="Calibri" w:cs="Calibri"/>
                <w:b/>
                <w:bCs/>
                <w:color w:val="000000"/>
              </w:rPr>
              <w:t>BASIS-24</w:t>
            </w:r>
          </w:p>
        </w:tc>
        <w:tc>
          <w:tcPr>
            <w:tcW w:w="1564" w:type="dxa"/>
            <w:vAlign w:val="bottom"/>
          </w:tcPr>
          <w:p w:rsidR="0059573E" w:rsidRPr="000A667D" w:rsidRDefault="0059573E" w:rsidP="0059573E">
            <w:pPr>
              <w:jc w:val="center"/>
              <w:rPr>
                <w:rFonts w:ascii="Calibri" w:hAnsi="Calibri" w:cs="Calibri"/>
                <w:b/>
                <w:bCs/>
                <w:color w:val="000000"/>
              </w:rPr>
            </w:pPr>
            <w:r w:rsidRPr="000A667D">
              <w:rPr>
                <w:rFonts w:ascii="Calibri" w:hAnsi="Calibri" w:cs="Calibri"/>
                <w:b/>
                <w:bCs/>
                <w:color w:val="000000"/>
              </w:rPr>
              <w:t>Total Per Domain</w:t>
            </w:r>
          </w:p>
        </w:tc>
      </w:tr>
      <w:tr w:rsidR="0059573E">
        <w:trPr>
          <w:trHeight w:val="818"/>
        </w:trPr>
        <w:tc>
          <w:tcPr>
            <w:tcW w:w="2474" w:type="dxa"/>
            <w:vAlign w:val="bottom"/>
          </w:tcPr>
          <w:p w:rsidR="0059573E" w:rsidRPr="000A667D" w:rsidRDefault="0059573E" w:rsidP="0059573E">
            <w:pPr>
              <w:rPr>
                <w:sz w:val="20"/>
                <w:szCs w:val="20"/>
              </w:rPr>
            </w:pPr>
          </w:p>
          <w:p w:rsidR="0059573E" w:rsidRPr="000A667D" w:rsidRDefault="0059573E" w:rsidP="0059573E">
            <w:pPr>
              <w:rPr>
                <w:sz w:val="20"/>
                <w:szCs w:val="20"/>
              </w:rPr>
            </w:pPr>
            <w:r w:rsidRPr="000A667D">
              <w:rPr>
                <w:sz w:val="20"/>
                <w:szCs w:val="20"/>
              </w:rPr>
              <w:t xml:space="preserve">Physical </w:t>
            </w:r>
            <w:r>
              <w:rPr>
                <w:sz w:val="20"/>
                <w:szCs w:val="20"/>
              </w:rPr>
              <w:t xml:space="preserve">Function </w:t>
            </w:r>
          </w:p>
        </w:tc>
        <w:tc>
          <w:tcPr>
            <w:tcW w:w="1365" w:type="dxa"/>
            <w:vAlign w:val="bottom"/>
          </w:tcPr>
          <w:p w:rsidR="0059573E" w:rsidRPr="000A667D" w:rsidRDefault="0059573E" w:rsidP="0059573E">
            <w:pPr>
              <w:jc w:val="center"/>
              <w:rPr>
                <w:rFonts w:ascii="Calibri" w:hAnsi="Calibri" w:cs="Calibri"/>
                <w:color w:val="000000"/>
                <w:sz w:val="20"/>
                <w:szCs w:val="20"/>
              </w:rPr>
            </w:pPr>
          </w:p>
          <w:p w:rsidR="0059573E" w:rsidRPr="000A667D" w:rsidRDefault="0059573E" w:rsidP="0059573E">
            <w:pPr>
              <w:jc w:val="center"/>
              <w:rPr>
                <w:rFonts w:ascii="Calibri" w:hAnsi="Calibri" w:cs="Calibri"/>
                <w:color w:val="000000"/>
                <w:sz w:val="20"/>
                <w:szCs w:val="20"/>
              </w:rPr>
            </w:pPr>
            <w:r w:rsidRPr="000A667D">
              <w:rPr>
                <w:rFonts w:ascii="Calibri" w:hAnsi="Calibri" w:cs="Calibri"/>
                <w:color w:val="000000"/>
                <w:sz w:val="20"/>
                <w:szCs w:val="20"/>
              </w:rPr>
              <w:t>24-30 items</w:t>
            </w:r>
          </w:p>
        </w:tc>
        <w:tc>
          <w:tcPr>
            <w:tcW w:w="1050" w:type="dxa"/>
            <w:vAlign w:val="bottom"/>
          </w:tcPr>
          <w:p w:rsidR="0059573E" w:rsidRPr="000A667D" w:rsidRDefault="0059573E" w:rsidP="0059573E">
            <w:pPr>
              <w:jc w:val="center"/>
              <w:rPr>
                <w:rFonts w:ascii="Calibri" w:hAnsi="Calibri" w:cs="Calibri"/>
                <w:color w:val="000000"/>
                <w:sz w:val="20"/>
                <w:szCs w:val="20"/>
              </w:rPr>
            </w:pPr>
            <w:r w:rsidRPr="000A667D">
              <w:rPr>
                <w:rFonts w:ascii="Calibri" w:hAnsi="Calibri" w:cs="Calibri"/>
                <w:color w:val="000000"/>
                <w:sz w:val="20"/>
                <w:szCs w:val="20"/>
              </w:rPr>
              <w:t>36 items</w:t>
            </w:r>
          </w:p>
        </w:tc>
        <w:tc>
          <w:tcPr>
            <w:tcW w:w="1566" w:type="dxa"/>
            <w:vAlign w:val="bottom"/>
          </w:tcPr>
          <w:p w:rsidR="0059573E" w:rsidRPr="000A667D" w:rsidRDefault="0059573E" w:rsidP="0059573E">
            <w:pPr>
              <w:jc w:val="center"/>
              <w:rPr>
                <w:rFonts w:ascii="Calibri" w:hAnsi="Calibri" w:cs="Calibri"/>
                <w:color w:val="000000"/>
                <w:sz w:val="20"/>
                <w:szCs w:val="20"/>
              </w:rPr>
            </w:pPr>
            <w:r>
              <w:rPr>
                <w:rFonts w:ascii="Calibri" w:hAnsi="Calibri" w:cs="Calibri"/>
                <w:color w:val="000000"/>
                <w:sz w:val="20"/>
                <w:szCs w:val="20"/>
              </w:rPr>
              <w:t>10-20</w:t>
            </w:r>
          </w:p>
        </w:tc>
        <w:tc>
          <w:tcPr>
            <w:tcW w:w="1557" w:type="dxa"/>
            <w:vAlign w:val="bottom"/>
          </w:tcPr>
          <w:p w:rsidR="0059573E" w:rsidRPr="000A667D" w:rsidRDefault="0059573E" w:rsidP="0059573E">
            <w:pPr>
              <w:jc w:val="center"/>
              <w:rPr>
                <w:sz w:val="20"/>
                <w:szCs w:val="20"/>
              </w:rPr>
            </w:pPr>
            <w:r>
              <w:rPr>
                <w:sz w:val="20"/>
                <w:szCs w:val="20"/>
              </w:rPr>
              <w:t>0</w:t>
            </w:r>
          </w:p>
        </w:tc>
        <w:tc>
          <w:tcPr>
            <w:tcW w:w="1564" w:type="dxa"/>
            <w:vAlign w:val="bottom"/>
          </w:tcPr>
          <w:p w:rsidR="0059573E" w:rsidRPr="000A667D" w:rsidRDefault="0059573E" w:rsidP="0059573E">
            <w:pPr>
              <w:jc w:val="center"/>
              <w:rPr>
                <w:rFonts w:ascii="Calibri" w:hAnsi="Calibri" w:cs="Calibri"/>
                <w:color w:val="000000"/>
                <w:sz w:val="20"/>
                <w:szCs w:val="20"/>
              </w:rPr>
            </w:pPr>
            <w:r w:rsidRPr="000A667D">
              <w:rPr>
                <w:rFonts w:ascii="Calibri" w:hAnsi="Calibri" w:cs="Calibri"/>
                <w:color w:val="000000"/>
                <w:sz w:val="20"/>
                <w:szCs w:val="20"/>
              </w:rPr>
              <w:t>70-86 items</w:t>
            </w:r>
          </w:p>
        </w:tc>
      </w:tr>
      <w:tr w:rsidR="0059573E">
        <w:trPr>
          <w:trHeight w:val="170"/>
        </w:trPr>
        <w:tc>
          <w:tcPr>
            <w:tcW w:w="2474" w:type="dxa"/>
            <w:vAlign w:val="bottom"/>
          </w:tcPr>
          <w:p w:rsidR="0059573E" w:rsidRPr="000A667D" w:rsidRDefault="0059573E" w:rsidP="0059573E">
            <w:pPr>
              <w:rPr>
                <w:sz w:val="20"/>
                <w:szCs w:val="20"/>
              </w:rPr>
            </w:pPr>
            <w:r w:rsidRPr="000A667D">
              <w:rPr>
                <w:sz w:val="20"/>
                <w:szCs w:val="20"/>
              </w:rPr>
              <w:t>Interpersonal Interactions</w:t>
            </w:r>
          </w:p>
        </w:tc>
        <w:tc>
          <w:tcPr>
            <w:tcW w:w="1365" w:type="dxa"/>
            <w:vAlign w:val="bottom"/>
          </w:tcPr>
          <w:p w:rsidR="0059573E" w:rsidRPr="000A667D" w:rsidRDefault="0059573E" w:rsidP="0059573E">
            <w:pPr>
              <w:jc w:val="center"/>
              <w:rPr>
                <w:sz w:val="20"/>
                <w:szCs w:val="20"/>
              </w:rPr>
            </w:pPr>
            <w:r w:rsidRPr="000A667D">
              <w:rPr>
                <w:sz w:val="20"/>
                <w:szCs w:val="20"/>
              </w:rPr>
              <w:t>32-40 items</w:t>
            </w:r>
          </w:p>
        </w:tc>
        <w:tc>
          <w:tcPr>
            <w:tcW w:w="1050" w:type="dxa"/>
            <w:vAlign w:val="bottom"/>
          </w:tcPr>
          <w:p w:rsidR="0059573E" w:rsidRPr="000A667D" w:rsidRDefault="0059573E" w:rsidP="0059573E">
            <w:pPr>
              <w:jc w:val="center"/>
              <w:rPr>
                <w:sz w:val="20"/>
                <w:szCs w:val="20"/>
              </w:rPr>
            </w:pPr>
            <w:r w:rsidRPr="000A667D">
              <w:rPr>
                <w:sz w:val="20"/>
                <w:szCs w:val="20"/>
              </w:rPr>
              <w:t>36 items</w:t>
            </w:r>
          </w:p>
        </w:tc>
        <w:tc>
          <w:tcPr>
            <w:tcW w:w="1566" w:type="dxa"/>
            <w:vAlign w:val="bottom"/>
          </w:tcPr>
          <w:p w:rsidR="0059573E" w:rsidRPr="000A667D" w:rsidRDefault="0059573E" w:rsidP="0059573E">
            <w:pPr>
              <w:jc w:val="center"/>
              <w:rPr>
                <w:rFonts w:ascii="Calibri" w:hAnsi="Calibri" w:cs="Calibri"/>
                <w:color w:val="000000"/>
                <w:sz w:val="20"/>
                <w:szCs w:val="20"/>
              </w:rPr>
            </w:pPr>
            <w:r w:rsidRPr="000A667D">
              <w:rPr>
                <w:rFonts w:ascii="Calibri" w:hAnsi="Calibri" w:cs="Calibri"/>
                <w:color w:val="000000"/>
                <w:sz w:val="20"/>
                <w:szCs w:val="20"/>
              </w:rPr>
              <w:t>0</w:t>
            </w:r>
          </w:p>
        </w:tc>
        <w:tc>
          <w:tcPr>
            <w:tcW w:w="1557" w:type="dxa"/>
            <w:vAlign w:val="bottom"/>
          </w:tcPr>
          <w:p w:rsidR="0059573E" w:rsidRPr="000A667D" w:rsidRDefault="0059573E" w:rsidP="0059573E">
            <w:pPr>
              <w:jc w:val="center"/>
              <w:rPr>
                <w:rFonts w:ascii="Calibri" w:hAnsi="Calibri" w:cs="Calibri"/>
                <w:color w:val="000000"/>
                <w:sz w:val="20"/>
                <w:szCs w:val="20"/>
              </w:rPr>
            </w:pPr>
            <w:r w:rsidRPr="000A667D">
              <w:rPr>
                <w:rFonts w:ascii="Calibri" w:hAnsi="Calibri" w:cs="Calibri"/>
                <w:color w:val="000000"/>
                <w:sz w:val="20"/>
                <w:szCs w:val="20"/>
              </w:rPr>
              <w:t>20 (removed 4 alcohol/drug items)</w:t>
            </w:r>
          </w:p>
        </w:tc>
        <w:tc>
          <w:tcPr>
            <w:tcW w:w="1564" w:type="dxa"/>
            <w:vAlign w:val="bottom"/>
          </w:tcPr>
          <w:p w:rsidR="0059573E" w:rsidRPr="000A667D" w:rsidRDefault="0059573E" w:rsidP="0059573E">
            <w:pPr>
              <w:jc w:val="center"/>
              <w:rPr>
                <w:rFonts w:ascii="Calibri" w:hAnsi="Calibri" w:cs="Calibri"/>
                <w:color w:val="000000"/>
                <w:sz w:val="20"/>
                <w:szCs w:val="20"/>
              </w:rPr>
            </w:pPr>
            <w:r w:rsidRPr="000A667D">
              <w:rPr>
                <w:rFonts w:ascii="Calibri" w:hAnsi="Calibri" w:cs="Calibri"/>
                <w:color w:val="000000"/>
                <w:sz w:val="20"/>
                <w:szCs w:val="20"/>
              </w:rPr>
              <w:t>88-96 items</w:t>
            </w:r>
          </w:p>
        </w:tc>
      </w:tr>
      <w:tr w:rsidR="0059573E">
        <w:trPr>
          <w:trHeight w:val="125"/>
        </w:trPr>
        <w:tc>
          <w:tcPr>
            <w:tcW w:w="2474" w:type="dxa"/>
          </w:tcPr>
          <w:p w:rsidR="0059573E" w:rsidRDefault="0059573E" w:rsidP="0059573E"/>
        </w:tc>
        <w:tc>
          <w:tcPr>
            <w:tcW w:w="1365" w:type="dxa"/>
          </w:tcPr>
          <w:p w:rsidR="0059573E" w:rsidRDefault="0059573E" w:rsidP="0059573E"/>
        </w:tc>
        <w:tc>
          <w:tcPr>
            <w:tcW w:w="1050" w:type="dxa"/>
          </w:tcPr>
          <w:p w:rsidR="0059573E" w:rsidRDefault="0059573E" w:rsidP="0059573E"/>
        </w:tc>
        <w:tc>
          <w:tcPr>
            <w:tcW w:w="1566" w:type="dxa"/>
          </w:tcPr>
          <w:p w:rsidR="0059573E" w:rsidRDefault="0059573E" w:rsidP="0059573E"/>
        </w:tc>
        <w:tc>
          <w:tcPr>
            <w:tcW w:w="1557" w:type="dxa"/>
          </w:tcPr>
          <w:p w:rsidR="0059573E" w:rsidRDefault="0059573E" w:rsidP="0059573E"/>
        </w:tc>
        <w:tc>
          <w:tcPr>
            <w:tcW w:w="1564" w:type="dxa"/>
          </w:tcPr>
          <w:p w:rsidR="0059573E" w:rsidRDefault="0059573E" w:rsidP="0059573E"/>
        </w:tc>
      </w:tr>
      <w:tr w:rsidR="0059573E">
        <w:tc>
          <w:tcPr>
            <w:tcW w:w="2474" w:type="dxa"/>
            <w:vAlign w:val="bottom"/>
          </w:tcPr>
          <w:p w:rsidR="0059573E" w:rsidRPr="00A21E13" w:rsidRDefault="0059573E" w:rsidP="0059573E">
            <w:pPr>
              <w:jc w:val="center"/>
              <w:rPr>
                <w:b/>
              </w:rPr>
            </w:pPr>
            <w:r w:rsidRPr="00A21E13">
              <w:rPr>
                <w:b/>
              </w:rPr>
              <w:t>Total</w:t>
            </w:r>
          </w:p>
        </w:tc>
        <w:tc>
          <w:tcPr>
            <w:tcW w:w="1365" w:type="dxa"/>
            <w:vAlign w:val="bottom"/>
          </w:tcPr>
          <w:p w:rsidR="0059573E" w:rsidRPr="00A21E13" w:rsidRDefault="0059573E" w:rsidP="0059573E">
            <w:pPr>
              <w:jc w:val="center"/>
              <w:rPr>
                <w:rFonts w:ascii="Calibri" w:hAnsi="Calibri" w:cs="Calibri"/>
                <w:color w:val="000000"/>
                <w:sz w:val="20"/>
                <w:szCs w:val="20"/>
              </w:rPr>
            </w:pPr>
            <w:r w:rsidRPr="00A21E13">
              <w:rPr>
                <w:rFonts w:ascii="Calibri" w:hAnsi="Calibri" w:cs="Calibri"/>
                <w:color w:val="000000"/>
                <w:sz w:val="20"/>
                <w:szCs w:val="20"/>
              </w:rPr>
              <w:t>56-70</w:t>
            </w:r>
            <w:r>
              <w:rPr>
                <w:rFonts w:ascii="Calibri" w:hAnsi="Calibri" w:cs="Calibri"/>
                <w:color w:val="000000"/>
                <w:sz w:val="20"/>
                <w:szCs w:val="20"/>
              </w:rPr>
              <w:t xml:space="preserve"> items</w:t>
            </w:r>
          </w:p>
        </w:tc>
        <w:tc>
          <w:tcPr>
            <w:tcW w:w="1050" w:type="dxa"/>
            <w:vAlign w:val="bottom"/>
          </w:tcPr>
          <w:p w:rsidR="0059573E" w:rsidRPr="00A21E13" w:rsidRDefault="0059573E" w:rsidP="0059573E">
            <w:pPr>
              <w:jc w:val="center"/>
              <w:rPr>
                <w:rFonts w:ascii="Calibri" w:hAnsi="Calibri" w:cs="Calibri"/>
                <w:color w:val="000000"/>
                <w:sz w:val="20"/>
                <w:szCs w:val="20"/>
              </w:rPr>
            </w:pPr>
            <w:r w:rsidRPr="00A21E13">
              <w:rPr>
                <w:rFonts w:ascii="Calibri" w:hAnsi="Calibri" w:cs="Calibri"/>
                <w:color w:val="000000"/>
                <w:sz w:val="20"/>
                <w:szCs w:val="20"/>
              </w:rPr>
              <w:t>72  items</w:t>
            </w:r>
          </w:p>
        </w:tc>
        <w:tc>
          <w:tcPr>
            <w:tcW w:w="1566" w:type="dxa"/>
            <w:vAlign w:val="bottom"/>
          </w:tcPr>
          <w:p w:rsidR="0059573E" w:rsidRPr="00A21E13" w:rsidRDefault="0059573E" w:rsidP="0059573E">
            <w:pPr>
              <w:jc w:val="center"/>
              <w:rPr>
                <w:rFonts w:ascii="Calibri" w:hAnsi="Calibri" w:cs="Calibri"/>
                <w:color w:val="000000"/>
                <w:sz w:val="20"/>
                <w:szCs w:val="20"/>
              </w:rPr>
            </w:pPr>
            <w:r w:rsidRPr="00A21E13">
              <w:rPr>
                <w:rFonts w:ascii="Calibri" w:hAnsi="Calibri" w:cs="Calibri"/>
                <w:color w:val="000000"/>
                <w:sz w:val="20"/>
                <w:szCs w:val="20"/>
              </w:rPr>
              <w:t>10-20 items</w:t>
            </w:r>
          </w:p>
        </w:tc>
        <w:tc>
          <w:tcPr>
            <w:tcW w:w="1557" w:type="dxa"/>
            <w:vAlign w:val="bottom"/>
          </w:tcPr>
          <w:p w:rsidR="0059573E" w:rsidRPr="00A21E13" w:rsidRDefault="0059573E" w:rsidP="0059573E">
            <w:pPr>
              <w:jc w:val="center"/>
              <w:rPr>
                <w:rFonts w:ascii="Calibri" w:hAnsi="Calibri" w:cs="Calibri"/>
                <w:color w:val="000000"/>
                <w:sz w:val="20"/>
                <w:szCs w:val="20"/>
              </w:rPr>
            </w:pPr>
            <w:r w:rsidRPr="00A21E13">
              <w:rPr>
                <w:rFonts w:ascii="Calibri" w:hAnsi="Calibri" w:cs="Calibri"/>
                <w:color w:val="000000"/>
                <w:sz w:val="20"/>
                <w:szCs w:val="20"/>
              </w:rPr>
              <w:t>20 items</w:t>
            </w:r>
          </w:p>
        </w:tc>
        <w:tc>
          <w:tcPr>
            <w:tcW w:w="1564" w:type="dxa"/>
            <w:vAlign w:val="bottom"/>
          </w:tcPr>
          <w:p w:rsidR="0059573E" w:rsidRPr="00A21E13" w:rsidRDefault="0059573E" w:rsidP="0059573E">
            <w:pPr>
              <w:jc w:val="center"/>
              <w:rPr>
                <w:sz w:val="20"/>
                <w:szCs w:val="20"/>
              </w:rPr>
            </w:pPr>
          </w:p>
        </w:tc>
      </w:tr>
    </w:tbl>
    <w:p w:rsidR="0059573E" w:rsidRDefault="0059573E" w:rsidP="00957F14"/>
    <w:p w:rsidR="00245155" w:rsidRDefault="00245155" w:rsidP="00957F14"/>
    <w:p w:rsidR="00957F14" w:rsidRPr="00E41609" w:rsidRDefault="00957F14" w:rsidP="00957F14">
      <w:pPr>
        <w:pStyle w:val="Heading2"/>
        <w:tabs>
          <w:tab w:val="clear" w:pos="1152"/>
          <w:tab w:val="left" w:pos="720"/>
        </w:tabs>
        <w:spacing w:after="0" w:line="480" w:lineRule="auto"/>
        <w:ind w:left="0" w:firstLine="0"/>
        <w:rPr>
          <w:sz w:val="24"/>
          <w:szCs w:val="24"/>
        </w:rPr>
      </w:pPr>
      <w:bookmarkStart w:id="5" w:name="_Toc443881765"/>
      <w:bookmarkStart w:id="6" w:name="_Toc451592252"/>
      <w:bookmarkStart w:id="7" w:name="_Toc5610293"/>
      <w:bookmarkStart w:id="8" w:name="_Toc99178799"/>
      <w:r>
        <w:rPr>
          <w:sz w:val="24"/>
          <w:szCs w:val="24"/>
        </w:rPr>
        <w:t>B.</w:t>
      </w:r>
      <w:r w:rsidRPr="00E41609">
        <w:rPr>
          <w:sz w:val="24"/>
          <w:szCs w:val="24"/>
        </w:rPr>
        <w:t>3</w:t>
      </w:r>
      <w:r>
        <w:rPr>
          <w:sz w:val="24"/>
          <w:szCs w:val="24"/>
        </w:rPr>
        <w:tab/>
      </w:r>
      <w:r w:rsidRPr="00E41609">
        <w:rPr>
          <w:sz w:val="24"/>
          <w:szCs w:val="24"/>
        </w:rPr>
        <w:t>Methods to Maximize Response Rates and Deal with Nonresponse</w:t>
      </w:r>
      <w:bookmarkEnd w:id="5"/>
      <w:bookmarkEnd w:id="6"/>
      <w:bookmarkEnd w:id="7"/>
      <w:bookmarkEnd w:id="8"/>
    </w:p>
    <w:p w:rsidR="009D05B5" w:rsidRDefault="008D19CB">
      <w:pPr>
        <w:pStyle w:val="Heading2"/>
        <w:tabs>
          <w:tab w:val="clear" w:pos="1152"/>
          <w:tab w:val="left" w:pos="0"/>
        </w:tabs>
        <w:spacing w:after="0" w:line="240" w:lineRule="auto"/>
        <w:ind w:left="0" w:firstLine="0"/>
        <w:rPr>
          <w:b w:val="0"/>
        </w:rPr>
      </w:pPr>
      <w:r w:rsidRPr="00EF27BB">
        <w:rPr>
          <w:b w:val="0"/>
        </w:rPr>
        <w:t xml:space="preserve">Polimetrix </w:t>
      </w:r>
      <w:r w:rsidR="0059573E" w:rsidRPr="00EF27BB">
        <w:rPr>
          <w:b w:val="0"/>
        </w:rPr>
        <w:t xml:space="preserve">adjusts for anticipated non-response by selecting multiple best matches in the opt-in panel for each member of the target sample.  The number of matches is determined by using a hazard model to estimate the probability that an opt-in panelist will respond by the end of the data collection period, and increasing the number of panelists matched to the member of the target sample until that response probability is &gt;=1.  </w:t>
      </w:r>
      <w:r w:rsidR="006954D3" w:rsidRPr="00EF27BB">
        <w:rPr>
          <w:b w:val="0"/>
        </w:rPr>
        <w:t xml:space="preserve">Polimetrix’s response rate is estimated at about 70%.  This response rate is estimated by Polimetrix through tracking respondent rates for other surveys they conduct.  It is important to note that all individuals who will be contacted with respect to this data collection will have already volunteered to participate in Polimetrix’s opt-in survey panel, and therefore represents a low burden on respondents and high likelihood of achieving statistically required completed surveys.  Polimetrix will not re-contact any individual who has refused to participate in this survey.  </w:t>
      </w:r>
      <w:bookmarkStart w:id="9" w:name="_Toc443881766"/>
      <w:bookmarkStart w:id="10" w:name="_Toc451592253"/>
      <w:bookmarkStart w:id="11" w:name="_Toc5610294"/>
      <w:bookmarkStart w:id="12" w:name="_Toc99178800"/>
    </w:p>
    <w:p w:rsidR="00EF27BB" w:rsidRPr="00EF27BB" w:rsidRDefault="00EF27BB" w:rsidP="00EF27BB">
      <w:pPr>
        <w:pStyle w:val="P1-StandPara"/>
      </w:pPr>
    </w:p>
    <w:p w:rsidR="00957F14" w:rsidRPr="00E41609" w:rsidRDefault="00957F14" w:rsidP="00957F14">
      <w:pPr>
        <w:pStyle w:val="Heading2"/>
        <w:tabs>
          <w:tab w:val="clear" w:pos="1152"/>
          <w:tab w:val="left" w:pos="720"/>
        </w:tabs>
        <w:spacing w:after="0" w:line="480" w:lineRule="auto"/>
        <w:ind w:left="0" w:firstLine="0"/>
        <w:rPr>
          <w:sz w:val="24"/>
          <w:szCs w:val="24"/>
        </w:rPr>
      </w:pPr>
      <w:r>
        <w:rPr>
          <w:sz w:val="24"/>
          <w:szCs w:val="24"/>
        </w:rPr>
        <w:t>B.</w:t>
      </w:r>
      <w:r w:rsidRPr="00E41609">
        <w:rPr>
          <w:sz w:val="24"/>
          <w:szCs w:val="24"/>
        </w:rPr>
        <w:t>4</w:t>
      </w:r>
      <w:r>
        <w:rPr>
          <w:sz w:val="24"/>
          <w:szCs w:val="24"/>
        </w:rPr>
        <w:tab/>
      </w:r>
      <w:r w:rsidRPr="00E41609">
        <w:rPr>
          <w:sz w:val="24"/>
          <w:szCs w:val="24"/>
        </w:rPr>
        <w:t>Test of Procedures or Methods to be Undertaken</w:t>
      </w:r>
      <w:bookmarkEnd w:id="9"/>
      <w:bookmarkEnd w:id="10"/>
      <w:bookmarkEnd w:id="11"/>
      <w:bookmarkEnd w:id="12"/>
    </w:p>
    <w:p w:rsidR="0059573E" w:rsidRPr="00EF27BB" w:rsidRDefault="0059573E" w:rsidP="0059573E">
      <w:pPr>
        <w:rPr>
          <w:sz w:val="22"/>
          <w:szCs w:val="22"/>
        </w:rPr>
      </w:pPr>
      <w:r w:rsidRPr="00EF27BB">
        <w:rPr>
          <w:sz w:val="22"/>
          <w:szCs w:val="22"/>
        </w:rPr>
        <w:t>The data analysis will address the following parameters:</w:t>
      </w:r>
    </w:p>
    <w:p w:rsidR="0059573E" w:rsidRPr="00EF27BB" w:rsidRDefault="0059573E" w:rsidP="0059573E">
      <w:pPr>
        <w:pStyle w:val="ListParagraph"/>
        <w:numPr>
          <w:ilvl w:val="0"/>
          <w:numId w:val="3"/>
        </w:numPr>
        <w:spacing w:after="0" w:line="240" w:lineRule="auto"/>
        <w:rPr>
          <w:rFonts w:ascii="Times New Roman" w:hAnsi="Times New Roman" w:cs="Times New Roman"/>
        </w:rPr>
      </w:pPr>
      <w:r w:rsidRPr="00EF27BB">
        <w:rPr>
          <w:rFonts w:ascii="Times New Roman" w:hAnsi="Times New Roman" w:cs="Times New Roman"/>
        </w:rPr>
        <w:t>Response burden</w:t>
      </w:r>
    </w:p>
    <w:p w:rsidR="0059573E" w:rsidRPr="00EF27BB" w:rsidRDefault="0059573E" w:rsidP="0059573E">
      <w:pPr>
        <w:pStyle w:val="ListParagraph"/>
        <w:numPr>
          <w:ilvl w:val="0"/>
          <w:numId w:val="3"/>
        </w:numPr>
        <w:spacing w:after="0" w:line="240" w:lineRule="auto"/>
        <w:rPr>
          <w:rFonts w:ascii="Times New Roman" w:hAnsi="Times New Roman" w:cs="Times New Roman"/>
        </w:rPr>
      </w:pPr>
      <w:r w:rsidRPr="00EF27BB">
        <w:rPr>
          <w:rFonts w:ascii="Times New Roman" w:hAnsi="Times New Roman" w:cs="Times New Roman"/>
        </w:rPr>
        <w:t>Score precision</w:t>
      </w:r>
    </w:p>
    <w:p w:rsidR="0059573E" w:rsidRPr="00EF27BB" w:rsidRDefault="0059573E" w:rsidP="0059573E">
      <w:pPr>
        <w:pStyle w:val="ListParagraph"/>
        <w:numPr>
          <w:ilvl w:val="0"/>
          <w:numId w:val="3"/>
        </w:numPr>
        <w:spacing w:after="0" w:line="240" w:lineRule="auto"/>
        <w:rPr>
          <w:rFonts w:ascii="Times New Roman" w:hAnsi="Times New Roman" w:cs="Times New Roman"/>
        </w:rPr>
      </w:pPr>
      <w:r w:rsidRPr="00EF27BB">
        <w:rPr>
          <w:rFonts w:ascii="Times New Roman" w:hAnsi="Times New Roman" w:cs="Times New Roman"/>
        </w:rPr>
        <w:t>Internal consistency reliability</w:t>
      </w:r>
    </w:p>
    <w:p w:rsidR="0059573E" w:rsidRPr="00EF27BB" w:rsidRDefault="0059573E" w:rsidP="0059573E">
      <w:pPr>
        <w:pStyle w:val="ListParagraph"/>
        <w:numPr>
          <w:ilvl w:val="0"/>
          <w:numId w:val="3"/>
        </w:numPr>
        <w:spacing w:after="0" w:line="240" w:lineRule="auto"/>
        <w:rPr>
          <w:rFonts w:ascii="Times New Roman" w:hAnsi="Times New Roman" w:cs="Times New Roman"/>
        </w:rPr>
      </w:pPr>
      <w:r w:rsidRPr="00EF27BB">
        <w:rPr>
          <w:rFonts w:ascii="Times New Roman" w:hAnsi="Times New Roman" w:cs="Times New Roman"/>
        </w:rPr>
        <w:t>Score range (ie., floor or ceiling effects)</w:t>
      </w:r>
    </w:p>
    <w:p w:rsidR="0059573E" w:rsidRPr="00EF27BB" w:rsidRDefault="0059573E" w:rsidP="0059573E">
      <w:pPr>
        <w:pStyle w:val="ListParagraph"/>
        <w:numPr>
          <w:ilvl w:val="0"/>
          <w:numId w:val="3"/>
        </w:numPr>
        <w:spacing w:after="0" w:line="240" w:lineRule="auto"/>
        <w:rPr>
          <w:rFonts w:ascii="Times New Roman" w:hAnsi="Times New Roman" w:cs="Times New Roman"/>
        </w:rPr>
      </w:pPr>
      <w:r w:rsidRPr="00EF27BB">
        <w:rPr>
          <w:rFonts w:ascii="Times New Roman" w:hAnsi="Times New Roman" w:cs="Times New Roman"/>
        </w:rPr>
        <w:lastRenderedPageBreak/>
        <w:t>Concurrent validity</w:t>
      </w:r>
    </w:p>
    <w:p w:rsidR="0059573E" w:rsidRPr="00EF27BB" w:rsidRDefault="0059573E" w:rsidP="0059573E">
      <w:pPr>
        <w:rPr>
          <w:b/>
          <w:sz w:val="22"/>
          <w:szCs w:val="22"/>
        </w:rPr>
      </w:pPr>
    </w:p>
    <w:p w:rsidR="0059573E" w:rsidRPr="00EF27BB" w:rsidRDefault="0059573E" w:rsidP="0059573E">
      <w:pPr>
        <w:jc w:val="both"/>
        <w:rPr>
          <w:sz w:val="22"/>
          <w:szCs w:val="22"/>
        </w:rPr>
      </w:pPr>
      <w:r w:rsidRPr="00EF27BB">
        <w:rPr>
          <w:sz w:val="22"/>
          <w:szCs w:val="22"/>
        </w:rPr>
        <w:t>To monitor the BU-HDR CAT in real time, we will calculate the standardized log-likelihood statistic (</w:t>
      </w:r>
      <w:r w:rsidRPr="00EF27BB">
        <w:rPr>
          <w:rStyle w:val="Emphasis"/>
          <w:sz w:val="22"/>
          <w:szCs w:val="22"/>
        </w:rPr>
        <w:t>l</w:t>
      </w:r>
      <w:r w:rsidRPr="00EF27BB">
        <w:rPr>
          <w:rStyle w:val="Emphasis"/>
          <w:sz w:val="22"/>
          <w:szCs w:val="22"/>
          <w:vertAlign w:val="subscript"/>
        </w:rPr>
        <w:t>z</w:t>
      </w:r>
      <w:r w:rsidRPr="00EF27BB">
        <w:rPr>
          <w:sz w:val="22"/>
          <w:szCs w:val="22"/>
        </w:rPr>
        <w:t xml:space="preserve">) for polytomous items to test the person fit. The empirical distribution of the log-likelihood statistic is reasonably close to a standardized normal distribution, so we will calculate the percentage of subjects in which </w:t>
      </w:r>
      <w:r w:rsidRPr="00EF27BB">
        <w:rPr>
          <w:rStyle w:val="Emphasis"/>
          <w:sz w:val="22"/>
          <w:szCs w:val="22"/>
        </w:rPr>
        <w:t>l</w:t>
      </w:r>
      <w:r w:rsidRPr="00EF27BB">
        <w:rPr>
          <w:rStyle w:val="Emphasis"/>
          <w:sz w:val="22"/>
          <w:szCs w:val="22"/>
          <w:vertAlign w:val="subscript"/>
        </w:rPr>
        <w:t>z</w:t>
      </w:r>
      <w:r w:rsidRPr="00EF27BB">
        <w:rPr>
          <w:sz w:val="22"/>
          <w:szCs w:val="22"/>
        </w:rPr>
        <w:t xml:space="preserve"> exceeded an alpha level of .05. </w:t>
      </w:r>
    </w:p>
    <w:p w:rsidR="0059573E" w:rsidRPr="00EF27BB" w:rsidRDefault="0059573E" w:rsidP="0059573E">
      <w:pPr>
        <w:jc w:val="both"/>
        <w:rPr>
          <w:sz w:val="22"/>
          <w:szCs w:val="22"/>
        </w:rPr>
      </w:pPr>
    </w:p>
    <w:p w:rsidR="0059573E" w:rsidRPr="00EF27BB" w:rsidRDefault="0059573E" w:rsidP="0059573E">
      <w:pPr>
        <w:jc w:val="both"/>
        <w:rPr>
          <w:sz w:val="22"/>
          <w:szCs w:val="22"/>
        </w:rPr>
      </w:pPr>
      <w:r w:rsidRPr="00EF27BB">
        <w:rPr>
          <w:sz w:val="22"/>
          <w:szCs w:val="22"/>
        </w:rPr>
        <w:t xml:space="preserve">Response burden will be measured as the average amount of time it takes to complete instrument.  A t-test will be used to assess whether the average amount of administration time between the BU-HDR CAT and other measurements is significantly different. </w:t>
      </w:r>
    </w:p>
    <w:p w:rsidR="0059573E" w:rsidRPr="00EF27BB" w:rsidRDefault="0059573E" w:rsidP="0059573E">
      <w:pPr>
        <w:jc w:val="both"/>
        <w:rPr>
          <w:sz w:val="22"/>
          <w:szCs w:val="22"/>
        </w:rPr>
      </w:pPr>
    </w:p>
    <w:p w:rsidR="0059573E" w:rsidRPr="00EF27BB" w:rsidRDefault="0059573E" w:rsidP="0059573E">
      <w:pPr>
        <w:jc w:val="both"/>
        <w:rPr>
          <w:sz w:val="22"/>
          <w:szCs w:val="22"/>
        </w:rPr>
      </w:pPr>
      <w:r w:rsidRPr="00EF27BB">
        <w:rPr>
          <w:sz w:val="22"/>
          <w:szCs w:val="22"/>
        </w:rPr>
        <w:t xml:space="preserve">To illustrate the difference in precision in score range across instruments, we will calculate the average Standard Error (SE) along the entire scale continuum across different instruments. We will use the t-test to assess whether the average SE is significantly different between BU-HDR CAT and other measurements at different score ranges. </w:t>
      </w:r>
    </w:p>
    <w:p w:rsidR="0059573E" w:rsidRPr="00EF27BB" w:rsidRDefault="0059573E" w:rsidP="0059573E">
      <w:pPr>
        <w:jc w:val="both"/>
        <w:rPr>
          <w:sz w:val="22"/>
          <w:szCs w:val="22"/>
        </w:rPr>
      </w:pPr>
    </w:p>
    <w:p w:rsidR="0059573E" w:rsidRPr="00EF27BB" w:rsidRDefault="0059573E" w:rsidP="0059573E">
      <w:pPr>
        <w:jc w:val="both"/>
        <w:rPr>
          <w:sz w:val="22"/>
          <w:szCs w:val="22"/>
        </w:rPr>
      </w:pPr>
      <w:r w:rsidRPr="00EF27BB">
        <w:rPr>
          <w:sz w:val="22"/>
          <w:szCs w:val="22"/>
        </w:rPr>
        <w:t>To examine internal consistency, we will use marginal reliability calculations that are specific to item response theory (IRT) which allow us to compare BU-HDR CAT with other instruments. Marginal reliabilities are similar to Cronbach’s alpha coefficient used in classical measurement theory in that it is a measure of how well items within a domain relate to each other.</w:t>
      </w:r>
    </w:p>
    <w:p w:rsidR="0059573E" w:rsidRPr="00EF27BB" w:rsidRDefault="0059573E" w:rsidP="0059573E">
      <w:pPr>
        <w:jc w:val="both"/>
        <w:rPr>
          <w:sz w:val="22"/>
          <w:szCs w:val="22"/>
        </w:rPr>
      </w:pPr>
      <w:r w:rsidRPr="00EF27BB">
        <w:rPr>
          <w:sz w:val="22"/>
          <w:szCs w:val="22"/>
        </w:rPr>
        <w:t xml:space="preserve">The percentage of ceiling and flooring will be calculated in each instrument.  A chi-square test will be used to test whether the percentages of ceiling or flooring are significant different between BU-HDR CAT and other instruments. </w:t>
      </w:r>
    </w:p>
    <w:p w:rsidR="0059573E" w:rsidRPr="00EF27BB" w:rsidRDefault="0059573E" w:rsidP="0059573E">
      <w:pPr>
        <w:jc w:val="both"/>
        <w:rPr>
          <w:sz w:val="22"/>
          <w:szCs w:val="22"/>
        </w:rPr>
      </w:pPr>
    </w:p>
    <w:p w:rsidR="0059573E" w:rsidRPr="00EF27BB" w:rsidRDefault="0059573E" w:rsidP="0059573E">
      <w:pPr>
        <w:jc w:val="both"/>
        <w:rPr>
          <w:sz w:val="22"/>
          <w:szCs w:val="22"/>
        </w:rPr>
      </w:pPr>
      <w:r w:rsidRPr="00EF27BB">
        <w:rPr>
          <w:sz w:val="22"/>
          <w:szCs w:val="22"/>
        </w:rPr>
        <w:t>We will analyze the concurrent validity of the BU-HDR CATs and other measures using Pearson correlation coefficients. Specifically, Pearson correlations coefficients will be calculated between scores from the BU-HDR physical function CAT and the SF-36 scale scores, and the PROMIS Physical Function CAT scores; between the BU-HDR interpersonal interactions CAT and the SF-36 scale scores, and the BASIS-24 scale scores.</w:t>
      </w:r>
    </w:p>
    <w:p w:rsidR="0059573E" w:rsidRPr="00EF27BB" w:rsidRDefault="0059573E" w:rsidP="00957F14">
      <w:pPr>
        <w:rPr>
          <w:sz w:val="22"/>
          <w:szCs w:val="22"/>
        </w:rPr>
      </w:pPr>
    </w:p>
    <w:p w:rsidR="00A61BED" w:rsidRPr="00696794" w:rsidRDefault="00A61BED" w:rsidP="00A61BED">
      <w:r>
        <w:t>While correction for attenuation of correlation is possible,</w:t>
      </w:r>
      <w:r w:rsidR="00262C40">
        <w:t xml:space="preserve"> this has not been a </w:t>
      </w:r>
      <w:r w:rsidR="005A3F40">
        <w:t xml:space="preserve">focus </w:t>
      </w:r>
      <w:r w:rsidR="00262C40">
        <w:t xml:space="preserve">in </w:t>
      </w:r>
      <w:r w:rsidR="005A3F40">
        <w:t xml:space="preserve">the </w:t>
      </w:r>
      <w:r w:rsidR="005E5F19">
        <w:t>literature with respect to development</w:t>
      </w:r>
      <w:r w:rsidR="00262C40">
        <w:t xml:space="preserve"> of health-related </w:t>
      </w:r>
      <w:r>
        <w:t xml:space="preserve">IRT/CAT </w:t>
      </w:r>
      <w:r w:rsidR="00262C40">
        <w:t>instruments</w:t>
      </w:r>
      <w:r>
        <w:t xml:space="preserve">. </w:t>
      </w:r>
      <w:r w:rsidRPr="00696794">
        <w:t>Attenuation of correlation</w:t>
      </w:r>
      <w:r>
        <w:t xml:space="preserve"> r</w:t>
      </w:r>
      <w:r w:rsidRPr="00696794">
        <w:t xml:space="preserve">efers to the </w:t>
      </w:r>
      <w:r>
        <w:t xml:space="preserve">understanding </w:t>
      </w:r>
      <w:r w:rsidRPr="00696794">
        <w:t>that any observed relationship between two scales is less than it “really” is because measurement error obscur</w:t>
      </w:r>
      <w:r>
        <w:t>es</w:t>
      </w:r>
      <w:r w:rsidRPr="00696794">
        <w:t xml:space="preserve"> the </w:t>
      </w:r>
      <w:r>
        <w:t>‘true’</w:t>
      </w:r>
      <w:r w:rsidRPr="00696794">
        <w:t>relationship</w:t>
      </w:r>
      <w:r w:rsidR="005A3F40">
        <w:t>; without error,</w:t>
      </w:r>
      <w:r w:rsidRPr="00696794">
        <w:t xml:space="preserve"> it would be stronger.  This makes sense if one thinks of any given score as decomposable into true scores plus error.  The error components of two scores being correlated should be unrelated, and so the larger those error components are, the more the observed relationship will be attenuated/masked.  From the theory of measurement error, it is possible to actually estimate how much effect measurement error has on a particular correlation between two measures – i.e., how much the correlation between “true scores” would be higher than those between the observed fallible scores.  Nunnally </w:t>
      </w:r>
      <w:r>
        <w:t xml:space="preserve"> </w:t>
      </w:r>
      <w:r w:rsidRPr="00696794">
        <w:t>observes that the formulate for making this estimate</w:t>
      </w:r>
      <w:r>
        <w:t xml:space="preserve">: </w:t>
      </w:r>
      <w:r w:rsidRPr="00696794">
        <w:t xml:space="preserve"> ‘corrected’ correlation (“..really an estimate of how much the correlation would be if two variables were made perfectly reliable”) =</w:t>
      </w:r>
    </w:p>
    <w:p w:rsidR="00A61BED" w:rsidRPr="00696794" w:rsidRDefault="00A61BED" w:rsidP="00A61BED"/>
    <w:p w:rsidR="00A61BED" w:rsidRPr="00696794" w:rsidRDefault="00A61BED" w:rsidP="00A61BED">
      <w:pPr>
        <w:pStyle w:val="ListParagraph"/>
        <w:numPr>
          <w:ilvl w:val="0"/>
          <w:numId w:val="5"/>
        </w:numPr>
        <w:spacing w:after="0" w:line="240" w:lineRule="auto"/>
        <w:contextualSpacing w:val="0"/>
      </w:pPr>
      <w:r w:rsidRPr="00696794">
        <w:t>Numerator: observed correlation between A and B</w:t>
      </w:r>
    </w:p>
    <w:p w:rsidR="00A61BED" w:rsidRPr="00696794" w:rsidRDefault="00A61BED" w:rsidP="00A61BED">
      <w:pPr>
        <w:pStyle w:val="ListParagraph"/>
        <w:numPr>
          <w:ilvl w:val="0"/>
          <w:numId w:val="5"/>
        </w:numPr>
        <w:spacing w:after="0" w:line="240" w:lineRule="auto"/>
        <w:contextualSpacing w:val="0"/>
      </w:pPr>
      <w:r w:rsidRPr="00696794">
        <w:t>Denominator:  [Sq root of reliability of A] x [Sq root of reliability of B]</w:t>
      </w:r>
    </w:p>
    <w:p w:rsidR="00A61BED" w:rsidRPr="00696794" w:rsidRDefault="00A61BED" w:rsidP="00A61BED"/>
    <w:p w:rsidR="00A61BED" w:rsidRDefault="00A61BED" w:rsidP="00A61BED">
      <w:r>
        <w:lastRenderedPageBreak/>
        <w:t>J</w:t>
      </w:r>
      <w:r w:rsidRPr="00696794">
        <w:t>ournal article</w:t>
      </w:r>
      <w:r>
        <w:t xml:space="preserve">s in our field do not typically make reference </w:t>
      </w:r>
      <w:r w:rsidRPr="00696794">
        <w:t xml:space="preserve">to the correction for attenuation or its implications, so </w:t>
      </w:r>
      <w:r>
        <w:t xml:space="preserve">we are not planning to do so for this validation study. </w:t>
      </w:r>
    </w:p>
    <w:p w:rsidR="00A61BED" w:rsidRDefault="00A61BED" w:rsidP="00A61BED"/>
    <w:p w:rsidR="00A61BED" w:rsidRPr="00696794" w:rsidRDefault="00A61BED" w:rsidP="00A61BED">
      <w:r w:rsidRPr="00696794">
        <w:t xml:space="preserve">Ref:   J.C. Nunnally.  </w:t>
      </w:r>
      <w:r w:rsidRPr="00696794">
        <w:rPr>
          <w:u w:val="single"/>
        </w:rPr>
        <w:t>Psychometric Theory</w:t>
      </w:r>
      <w:r w:rsidRPr="00696794">
        <w:t xml:space="preserve"> (2</w:t>
      </w:r>
      <w:r w:rsidRPr="00696794">
        <w:rPr>
          <w:vertAlign w:val="superscript"/>
        </w:rPr>
        <w:t>nd</w:t>
      </w:r>
      <w:r w:rsidRPr="00696794">
        <w:t xml:space="preserve"> edition).  McGraw Hill: 1978. </w:t>
      </w:r>
    </w:p>
    <w:p w:rsidR="00A61BED" w:rsidRPr="00696794" w:rsidRDefault="00A61BED" w:rsidP="00A61BED">
      <w:pPr>
        <w:rPr>
          <w:b/>
          <w:i/>
        </w:rPr>
      </w:pPr>
    </w:p>
    <w:p w:rsidR="00A2383B" w:rsidRDefault="00A2383B">
      <w:pPr>
        <w:pStyle w:val="P1-StandPara"/>
        <w:tabs>
          <w:tab w:val="left" w:pos="720"/>
          <w:tab w:val="right" w:leader="dot" w:pos="9504"/>
        </w:tabs>
        <w:spacing w:line="240" w:lineRule="auto"/>
        <w:ind w:firstLine="0"/>
        <w:rPr>
          <w:szCs w:val="22"/>
        </w:rPr>
      </w:pPr>
    </w:p>
    <w:p w:rsidR="009D05B5" w:rsidRPr="00EF27BB" w:rsidRDefault="001A0C10">
      <w:pPr>
        <w:pStyle w:val="P1-StandPara"/>
        <w:tabs>
          <w:tab w:val="left" w:pos="720"/>
          <w:tab w:val="right" w:leader="dot" w:pos="9504"/>
        </w:tabs>
        <w:spacing w:line="240" w:lineRule="auto"/>
        <w:ind w:firstLine="0"/>
        <w:rPr>
          <w:szCs w:val="22"/>
        </w:rPr>
      </w:pPr>
      <w:r w:rsidRPr="00EF27BB">
        <w:rPr>
          <w:szCs w:val="22"/>
        </w:rPr>
        <w:t>We are not proposing to pilot test this study prior to the start of data collection</w:t>
      </w:r>
      <w:r w:rsidR="00EF27BB" w:rsidRPr="00EF27BB">
        <w:rPr>
          <w:szCs w:val="22"/>
        </w:rPr>
        <w:t xml:space="preserve">.  </w:t>
      </w:r>
      <w:r w:rsidRPr="00EF27BB">
        <w:rPr>
          <w:szCs w:val="22"/>
        </w:rPr>
        <w:t xml:space="preserve">BU-HDR has demonstrated the ability to design and administer large-scale web-based calibration studies.  For more than a decade, Drs. Haley, Jette, and the BU-HDR team have developed numerous items banks and successfully conducted numerous calibration studies leading to the development and dissemination of health related CATs. The BU-HDR team has developed both on-site and off-site recruiting procedures for calibration studies.  We have been very successful in recruiting the projected numbers for all of the calibration projects. </w:t>
      </w:r>
      <w:r w:rsidR="002F7B7B" w:rsidRPr="00EF27BB">
        <w:rPr>
          <w:szCs w:val="22"/>
        </w:rPr>
        <w:t>Polimetrix has an extensive track record of collaboration with academic and research institutions in the area of health and functional status assessment in general, and BU-HDR has previous experience working with Polimetrix on several studies.</w:t>
      </w:r>
    </w:p>
    <w:p w:rsidR="00957F14" w:rsidRDefault="00957F14" w:rsidP="00957F14">
      <w:pPr>
        <w:rPr>
          <w:b/>
        </w:rPr>
      </w:pPr>
    </w:p>
    <w:p w:rsidR="00A2383B" w:rsidRDefault="00A2383B" w:rsidP="00957F14">
      <w:pPr>
        <w:rPr>
          <w:b/>
        </w:rPr>
      </w:pPr>
    </w:p>
    <w:p w:rsidR="00957F14" w:rsidRDefault="00957F14" w:rsidP="00957F14">
      <w:pPr>
        <w:rPr>
          <w:b/>
        </w:rPr>
      </w:pPr>
    </w:p>
    <w:p w:rsidR="004A2C1A" w:rsidRDefault="004A2C1A" w:rsidP="00957F14">
      <w:pPr>
        <w:pStyle w:val="Heading2"/>
        <w:tabs>
          <w:tab w:val="left" w:pos="720"/>
        </w:tabs>
        <w:spacing w:after="0" w:line="240" w:lineRule="auto"/>
        <w:ind w:left="720" w:hanging="720"/>
        <w:rPr>
          <w:color w:val="000000"/>
          <w:sz w:val="24"/>
          <w:szCs w:val="24"/>
        </w:rPr>
      </w:pPr>
      <w:bookmarkStart w:id="13" w:name="_Toc443881767"/>
      <w:bookmarkStart w:id="14" w:name="_Toc451592254"/>
      <w:bookmarkStart w:id="15" w:name="_Toc5610295"/>
      <w:bookmarkStart w:id="16" w:name="_Toc99178801"/>
    </w:p>
    <w:p w:rsidR="004A2C1A" w:rsidRDefault="004A2C1A" w:rsidP="00957F14">
      <w:pPr>
        <w:pStyle w:val="Heading2"/>
        <w:tabs>
          <w:tab w:val="left" w:pos="720"/>
        </w:tabs>
        <w:spacing w:after="0" w:line="240" w:lineRule="auto"/>
        <w:ind w:left="720" w:hanging="720"/>
        <w:rPr>
          <w:color w:val="000000"/>
          <w:sz w:val="24"/>
          <w:szCs w:val="24"/>
        </w:rPr>
      </w:pPr>
    </w:p>
    <w:p w:rsidR="004A2C1A" w:rsidRDefault="004A2C1A" w:rsidP="00957F14">
      <w:pPr>
        <w:pStyle w:val="Heading2"/>
        <w:tabs>
          <w:tab w:val="left" w:pos="720"/>
        </w:tabs>
        <w:spacing w:after="0" w:line="240" w:lineRule="auto"/>
        <w:ind w:left="720" w:hanging="720"/>
        <w:rPr>
          <w:color w:val="000000"/>
          <w:sz w:val="24"/>
          <w:szCs w:val="24"/>
        </w:rPr>
      </w:pPr>
    </w:p>
    <w:p w:rsidR="00957F14" w:rsidRDefault="00957F14" w:rsidP="00957F14">
      <w:pPr>
        <w:pStyle w:val="Heading2"/>
        <w:tabs>
          <w:tab w:val="left" w:pos="720"/>
        </w:tabs>
        <w:spacing w:after="0" w:line="240" w:lineRule="auto"/>
        <w:ind w:left="720" w:hanging="720"/>
        <w:rPr>
          <w:color w:val="000000"/>
          <w:sz w:val="24"/>
          <w:szCs w:val="24"/>
        </w:rPr>
      </w:pPr>
      <w:r>
        <w:rPr>
          <w:color w:val="000000"/>
          <w:sz w:val="24"/>
          <w:szCs w:val="24"/>
        </w:rPr>
        <w:t>B.5</w:t>
      </w:r>
      <w:r>
        <w:rPr>
          <w:color w:val="000000"/>
          <w:sz w:val="24"/>
          <w:szCs w:val="24"/>
        </w:rPr>
        <w:tab/>
      </w:r>
      <w:r w:rsidRPr="00E41609">
        <w:rPr>
          <w:color w:val="000000"/>
          <w:sz w:val="24"/>
          <w:szCs w:val="24"/>
        </w:rPr>
        <w:t>Individuals Consulted on Statistical Aspects and Individuals Collecting and/or Analyzing Data</w:t>
      </w:r>
      <w:bookmarkEnd w:id="13"/>
      <w:bookmarkEnd w:id="14"/>
      <w:bookmarkEnd w:id="15"/>
      <w:bookmarkEnd w:id="16"/>
    </w:p>
    <w:p w:rsidR="00957F14" w:rsidRPr="00E41609" w:rsidRDefault="00957F14" w:rsidP="00957F14">
      <w:pPr>
        <w:pStyle w:val="P1-StandPara"/>
      </w:pPr>
    </w:p>
    <w:tbl>
      <w:tblPr>
        <w:tblStyle w:val="TableGrid"/>
        <w:tblW w:w="0" w:type="auto"/>
        <w:tblLook w:val="04A0" w:firstRow="1" w:lastRow="0" w:firstColumn="1" w:lastColumn="0" w:noHBand="0" w:noVBand="1"/>
      </w:tblPr>
      <w:tblGrid>
        <w:gridCol w:w="2952"/>
        <w:gridCol w:w="2952"/>
        <w:gridCol w:w="2952"/>
      </w:tblGrid>
      <w:tr w:rsidR="0059573E">
        <w:tc>
          <w:tcPr>
            <w:tcW w:w="8856" w:type="dxa"/>
            <w:gridSpan w:val="3"/>
          </w:tcPr>
          <w:p w:rsidR="0059573E" w:rsidRPr="0059573E" w:rsidRDefault="0059573E" w:rsidP="00D70D0F">
            <w:pPr>
              <w:pStyle w:val="P1-StandPara"/>
              <w:tabs>
                <w:tab w:val="left" w:pos="720"/>
                <w:tab w:val="right" w:leader="dot" w:pos="9504"/>
              </w:tabs>
              <w:spacing w:before="120" w:after="120"/>
              <w:ind w:firstLine="0"/>
              <w:rPr>
                <w:b/>
                <w:sz w:val="24"/>
                <w:szCs w:val="24"/>
              </w:rPr>
            </w:pPr>
            <w:r w:rsidRPr="0059573E">
              <w:rPr>
                <w:b/>
                <w:sz w:val="24"/>
                <w:szCs w:val="24"/>
              </w:rPr>
              <w:t xml:space="preserve">Individuals Consulted </w:t>
            </w:r>
          </w:p>
        </w:tc>
      </w:tr>
      <w:tr w:rsidR="0059573E">
        <w:tc>
          <w:tcPr>
            <w:tcW w:w="2952" w:type="dxa"/>
          </w:tcPr>
          <w:p w:rsidR="0059573E" w:rsidRPr="0059573E" w:rsidRDefault="0059573E" w:rsidP="0059573E">
            <w:pPr>
              <w:pStyle w:val="P1-StandPara"/>
              <w:tabs>
                <w:tab w:val="left" w:pos="720"/>
                <w:tab w:val="right" w:leader="dot" w:pos="9504"/>
              </w:tabs>
              <w:spacing w:line="240" w:lineRule="auto"/>
              <w:ind w:firstLine="0"/>
              <w:rPr>
                <w:sz w:val="24"/>
                <w:szCs w:val="24"/>
              </w:rPr>
            </w:pPr>
            <w:r w:rsidRPr="0059573E">
              <w:rPr>
                <w:sz w:val="24"/>
                <w:szCs w:val="24"/>
              </w:rPr>
              <w:t>Pengsheng Ni</w:t>
            </w:r>
          </w:p>
        </w:tc>
        <w:tc>
          <w:tcPr>
            <w:tcW w:w="2952" w:type="dxa"/>
          </w:tcPr>
          <w:p w:rsidR="0059573E" w:rsidRPr="00EF27BB" w:rsidRDefault="0059573E" w:rsidP="0059573E">
            <w:pPr>
              <w:pStyle w:val="P1-StandPara"/>
              <w:tabs>
                <w:tab w:val="left" w:pos="720"/>
                <w:tab w:val="right" w:leader="dot" w:pos="9504"/>
              </w:tabs>
              <w:spacing w:line="240" w:lineRule="auto"/>
              <w:ind w:firstLine="0"/>
              <w:rPr>
                <w:sz w:val="24"/>
                <w:szCs w:val="24"/>
              </w:rPr>
            </w:pPr>
            <w:r w:rsidRPr="00EF27BB">
              <w:rPr>
                <w:sz w:val="24"/>
                <w:szCs w:val="24"/>
              </w:rPr>
              <w:t>Boston University</w:t>
            </w:r>
          </w:p>
          <w:p w:rsidR="0059573E" w:rsidRPr="00EF27BB" w:rsidRDefault="0059573E" w:rsidP="0059573E">
            <w:pPr>
              <w:pStyle w:val="P1-StandPara"/>
              <w:tabs>
                <w:tab w:val="left" w:pos="720"/>
                <w:tab w:val="right" w:leader="dot" w:pos="9504"/>
              </w:tabs>
              <w:spacing w:line="240" w:lineRule="auto"/>
              <w:ind w:firstLine="0"/>
              <w:rPr>
                <w:sz w:val="24"/>
                <w:szCs w:val="24"/>
              </w:rPr>
            </w:pPr>
            <w:r w:rsidRPr="00EF27BB">
              <w:rPr>
                <w:sz w:val="24"/>
                <w:szCs w:val="24"/>
              </w:rPr>
              <w:t>Boston, MA</w:t>
            </w:r>
          </w:p>
        </w:tc>
        <w:tc>
          <w:tcPr>
            <w:tcW w:w="2952" w:type="dxa"/>
          </w:tcPr>
          <w:p w:rsidR="0059573E" w:rsidRPr="00EF27BB" w:rsidRDefault="008C2DBC" w:rsidP="0059573E">
            <w:pPr>
              <w:pStyle w:val="P1-StandPara"/>
              <w:tabs>
                <w:tab w:val="left" w:pos="720"/>
                <w:tab w:val="right" w:leader="dot" w:pos="9504"/>
              </w:tabs>
              <w:spacing w:before="120"/>
              <w:ind w:firstLine="0"/>
              <w:rPr>
                <w:sz w:val="24"/>
                <w:szCs w:val="24"/>
              </w:rPr>
            </w:pPr>
            <w:r w:rsidRPr="00EF27BB">
              <w:rPr>
                <w:sz w:val="24"/>
                <w:szCs w:val="24"/>
              </w:rPr>
              <w:t>617-638-1989</w:t>
            </w:r>
          </w:p>
        </w:tc>
      </w:tr>
      <w:tr w:rsidR="0059573E">
        <w:tc>
          <w:tcPr>
            <w:tcW w:w="2952" w:type="dxa"/>
          </w:tcPr>
          <w:p w:rsidR="0059573E" w:rsidRPr="0059573E" w:rsidRDefault="0059573E" w:rsidP="0059573E">
            <w:pPr>
              <w:pStyle w:val="P1-StandPara"/>
              <w:tabs>
                <w:tab w:val="left" w:pos="720"/>
                <w:tab w:val="right" w:leader="dot" w:pos="9504"/>
              </w:tabs>
              <w:spacing w:before="120"/>
              <w:ind w:firstLine="0"/>
              <w:rPr>
                <w:sz w:val="24"/>
                <w:szCs w:val="24"/>
              </w:rPr>
            </w:pPr>
            <w:r w:rsidRPr="0059573E">
              <w:rPr>
                <w:sz w:val="24"/>
                <w:szCs w:val="24"/>
              </w:rPr>
              <w:t>Alan Jette</w:t>
            </w:r>
          </w:p>
        </w:tc>
        <w:tc>
          <w:tcPr>
            <w:tcW w:w="2952" w:type="dxa"/>
          </w:tcPr>
          <w:p w:rsidR="0059573E" w:rsidRPr="0059573E" w:rsidRDefault="0059573E" w:rsidP="0059573E">
            <w:pPr>
              <w:pStyle w:val="P1-StandPara"/>
              <w:tabs>
                <w:tab w:val="left" w:pos="720"/>
                <w:tab w:val="right" w:leader="dot" w:pos="9504"/>
              </w:tabs>
              <w:spacing w:line="240" w:lineRule="auto"/>
              <w:ind w:firstLine="0"/>
              <w:rPr>
                <w:sz w:val="24"/>
                <w:szCs w:val="24"/>
              </w:rPr>
            </w:pPr>
            <w:r w:rsidRPr="0059573E">
              <w:rPr>
                <w:sz w:val="24"/>
                <w:szCs w:val="24"/>
              </w:rPr>
              <w:t>Boston University</w:t>
            </w:r>
          </w:p>
          <w:p w:rsidR="0059573E" w:rsidRPr="0059573E" w:rsidRDefault="0059573E" w:rsidP="0059573E">
            <w:pPr>
              <w:pStyle w:val="P1-StandPara"/>
              <w:tabs>
                <w:tab w:val="left" w:pos="720"/>
                <w:tab w:val="right" w:leader="dot" w:pos="9504"/>
              </w:tabs>
              <w:spacing w:line="240" w:lineRule="auto"/>
              <w:ind w:firstLine="0"/>
              <w:rPr>
                <w:sz w:val="24"/>
                <w:szCs w:val="24"/>
              </w:rPr>
            </w:pPr>
            <w:r w:rsidRPr="0059573E">
              <w:rPr>
                <w:sz w:val="24"/>
                <w:szCs w:val="24"/>
              </w:rPr>
              <w:t>Boston, MA</w:t>
            </w:r>
          </w:p>
        </w:tc>
        <w:tc>
          <w:tcPr>
            <w:tcW w:w="2952" w:type="dxa"/>
          </w:tcPr>
          <w:p w:rsidR="0059573E" w:rsidRDefault="0059573E" w:rsidP="0059573E">
            <w:pPr>
              <w:pStyle w:val="P1-StandPara"/>
              <w:tabs>
                <w:tab w:val="left" w:pos="720"/>
                <w:tab w:val="right" w:leader="dot" w:pos="9504"/>
              </w:tabs>
              <w:spacing w:line="240" w:lineRule="auto"/>
              <w:ind w:firstLine="0"/>
              <w:rPr>
                <w:sz w:val="24"/>
                <w:szCs w:val="24"/>
              </w:rPr>
            </w:pPr>
          </w:p>
          <w:p w:rsidR="008C2DBC" w:rsidRPr="0059573E" w:rsidRDefault="008C2DBC" w:rsidP="0059573E">
            <w:pPr>
              <w:pStyle w:val="P1-StandPara"/>
              <w:tabs>
                <w:tab w:val="left" w:pos="720"/>
                <w:tab w:val="right" w:leader="dot" w:pos="9504"/>
              </w:tabs>
              <w:spacing w:line="240" w:lineRule="auto"/>
              <w:ind w:firstLine="0"/>
              <w:rPr>
                <w:sz w:val="24"/>
                <w:szCs w:val="24"/>
              </w:rPr>
            </w:pPr>
            <w:r>
              <w:rPr>
                <w:sz w:val="24"/>
                <w:szCs w:val="24"/>
              </w:rPr>
              <w:t>617-638-1985</w:t>
            </w:r>
          </w:p>
        </w:tc>
      </w:tr>
      <w:tr w:rsidR="0059573E">
        <w:tc>
          <w:tcPr>
            <w:tcW w:w="2952" w:type="dxa"/>
          </w:tcPr>
          <w:p w:rsidR="0059573E" w:rsidRPr="0059573E" w:rsidRDefault="0059573E" w:rsidP="0059573E">
            <w:pPr>
              <w:pStyle w:val="P1-StandPara"/>
              <w:tabs>
                <w:tab w:val="left" w:pos="720"/>
                <w:tab w:val="right" w:leader="dot" w:pos="9504"/>
              </w:tabs>
              <w:spacing w:line="240" w:lineRule="auto"/>
              <w:ind w:firstLine="0"/>
              <w:rPr>
                <w:sz w:val="24"/>
                <w:szCs w:val="24"/>
              </w:rPr>
            </w:pPr>
            <w:r w:rsidRPr="0059573E">
              <w:rPr>
                <w:sz w:val="24"/>
                <w:szCs w:val="24"/>
              </w:rPr>
              <w:t>Mark M</w:t>
            </w:r>
            <w:r w:rsidR="008C2DBC">
              <w:rPr>
                <w:sz w:val="24"/>
                <w:szCs w:val="24"/>
              </w:rPr>
              <w:t>e</w:t>
            </w:r>
            <w:r w:rsidRPr="0059573E">
              <w:rPr>
                <w:sz w:val="24"/>
                <w:szCs w:val="24"/>
              </w:rPr>
              <w:t>terko</w:t>
            </w:r>
          </w:p>
        </w:tc>
        <w:tc>
          <w:tcPr>
            <w:tcW w:w="2952" w:type="dxa"/>
          </w:tcPr>
          <w:p w:rsidR="0059573E" w:rsidRPr="0059573E" w:rsidRDefault="0059573E" w:rsidP="0059573E">
            <w:pPr>
              <w:pStyle w:val="P1-StandPara"/>
              <w:tabs>
                <w:tab w:val="left" w:pos="720"/>
                <w:tab w:val="right" w:leader="dot" w:pos="9504"/>
              </w:tabs>
              <w:spacing w:line="240" w:lineRule="auto"/>
              <w:ind w:firstLine="0"/>
              <w:rPr>
                <w:sz w:val="24"/>
                <w:szCs w:val="24"/>
              </w:rPr>
            </w:pPr>
            <w:r w:rsidRPr="0059573E">
              <w:rPr>
                <w:sz w:val="24"/>
                <w:szCs w:val="24"/>
              </w:rPr>
              <w:t>Boston University</w:t>
            </w:r>
          </w:p>
          <w:p w:rsidR="0059573E" w:rsidRPr="0059573E" w:rsidRDefault="0059573E" w:rsidP="0059573E">
            <w:pPr>
              <w:pStyle w:val="P1-StandPara"/>
              <w:tabs>
                <w:tab w:val="left" w:pos="720"/>
                <w:tab w:val="right" w:leader="dot" w:pos="9504"/>
              </w:tabs>
              <w:spacing w:line="240" w:lineRule="auto"/>
              <w:ind w:firstLine="0"/>
              <w:rPr>
                <w:sz w:val="24"/>
                <w:szCs w:val="24"/>
              </w:rPr>
            </w:pPr>
            <w:r w:rsidRPr="0059573E">
              <w:rPr>
                <w:sz w:val="24"/>
                <w:szCs w:val="24"/>
              </w:rPr>
              <w:t>Boston, MA</w:t>
            </w:r>
          </w:p>
        </w:tc>
        <w:tc>
          <w:tcPr>
            <w:tcW w:w="2952" w:type="dxa"/>
          </w:tcPr>
          <w:p w:rsidR="0059573E" w:rsidRDefault="008C2DBC" w:rsidP="0059573E">
            <w:pPr>
              <w:pStyle w:val="P1-StandPara"/>
              <w:tabs>
                <w:tab w:val="left" w:pos="720"/>
                <w:tab w:val="right" w:leader="dot" w:pos="9504"/>
              </w:tabs>
              <w:spacing w:line="240" w:lineRule="auto"/>
              <w:ind w:firstLine="0"/>
              <w:rPr>
                <w:sz w:val="24"/>
                <w:szCs w:val="24"/>
              </w:rPr>
            </w:pPr>
            <w:r>
              <w:t>(857) 364-4433</w:t>
            </w:r>
          </w:p>
          <w:p w:rsidR="008C2DBC" w:rsidRPr="0059573E" w:rsidRDefault="008C2DBC" w:rsidP="0059573E">
            <w:pPr>
              <w:pStyle w:val="P1-StandPara"/>
              <w:tabs>
                <w:tab w:val="left" w:pos="720"/>
                <w:tab w:val="right" w:leader="dot" w:pos="9504"/>
              </w:tabs>
              <w:spacing w:line="240" w:lineRule="auto"/>
              <w:ind w:firstLine="0"/>
              <w:rPr>
                <w:sz w:val="24"/>
                <w:szCs w:val="24"/>
              </w:rPr>
            </w:pPr>
          </w:p>
        </w:tc>
      </w:tr>
    </w:tbl>
    <w:p w:rsidR="00957F14" w:rsidRDefault="00957F14" w:rsidP="0059573E">
      <w:pPr>
        <w:pStyle w:val="P1-StandPara"/>
        <w:tabs>
          <w:tab w:val="left" w:pos="720"/>
          <w:tab w:val="right" w:leader="dot" w:pos="9504"/>
        </w:tabs>
        <w:spacing w:before="120"/>
        <w:ind w:firstLine="0"/>
        <w:rPr>
          <w:color w:val="FF0000"/>
          <w:sz w:val="24"/>
          <w:szCs w:val="24"/>
        </w:rPr>
      </w:pPr>
    </w:p>
    <w:tbl>
      <w:tblPr>
        <w:tblStyle w:val="TableGrid"/>
        <w:tblW w:w="0" w:type="auto"/>
        <w:tblLook w:val="04A0" w:firstRow="1" w:lastRow="0" w:firstColumn="1" w:lastColumn="0" w:noHBand="0" w:noVBand="1"/>
      </w:tblPr>
      <w:tblGrid>
        <w:gridCol w:w="2952"/>
        <w:gridCol w:w="2952"/>
        <w:gridCol w:w="2952"/>
      </w:tblGrid>
      <w:tr w:rsidR="0059573E">
        <w:tc>
          <w:tcPr>
            <w:tcW w:w="8856" w:type="dxa"/>
            <w:gridSpan w:val="3"/>
          </w:tcPr>
          <w:p w:rsidR="0059573E" w:rsidRPr="0059573E" w:rsidRDefault="0059573E" w:rsidP="0059573E">
            <w:pPr>
              <w:pStyle w:val="P1-StandPara"/>
              <w:tabs>
                <w:tab w:val="left" w:pos="720"/>
                <w:tab w:val="right" w:leader="dot" w:pos="9504"/>
              </w:tabs>
              <w:spacing w:before="120" w:after="120"/>
              <w:ind w:firstLine="0"/>
              <w:rPr>
                <w:b/>
                <w:sz w:val="24"/>
                <w:szCs w:val="24"/>
              </w:rPr>
            </w:pPr>
            <w:r w:rsidRPr="0059573E">
              <w:rPr>
                <w:b/>
                <w:sz w:val="24"/>
                <w:szCs w:val="24"/>
              </w:rPr>
              <w:t>Individuals Collecting and/or Analyzing Data</w:t>
            </w:r>
          </w:p>
        </w:tc>
      </w:tr>
      <w:tr w:rsidR="0059573E" w:rsidRPr="0059573E">
        <w:tc>
          <w:tcPr>
            <w:tcW w:w="2952" w:type="dxa"/>
          </w:tcPr>
          <w:p w:rsidR="0059573E" w:rsidRPr="0059573E" w:rsidRDefault="0059573E" w:rsidP="0059573E">
            <w:pPr>
              <w:pStyle w:val="P1-StandPara"/>
              <w:tabs>
                <w:tab w:val="left" w:pos="720"/>
                <w:tab w:val="right" w:leader="dot" w:pos="9504"/>
              </w:tabs>
              <w:ind w:firstLine="0"/>
              <w:rPr>
                <w:sz w:val="24"/>
                <w:szCs w:val="24"/>
              </w:rPr>
            </w:pPr>
            <w:r w:rsidRPr="0059573E">
              <w:t>YouGovPolimetrix Inc. (YGP)</w:t>
            </w:r>
          </w:p>
        </w:tc>
        <w:tc>
          <w:tcPr>
            <w:tcW w:w="2952" w:type="dxa"/>
          </w:tcPr>
          <w:p w:rsidR="0059573E" w:rsidRPr="0059573E" w:rsidRDefault="0059573E" w:rsidP="0059573E">
            <w:pPr>
              <w:pStyle w:val="P1-StandPara"/>
              <w:tabs>
                <w:tab w:val="left" w:pos="720"/>
                <w:tab w:val="right" w:leader="dot" w:pos="9504"/>
              </w:tabs>
              <w:ind w:firstLine="0"/>
              <w:rPr>
                <w:sz w:val="24"/>
                <w:szCs w:val="24"/>
              </w:rPr>
            </w:pPr>
            <w:r>
              <w:rPr>
                <w:sz w:val="24"/>
                <w:szCs w:val="24"/>
              </w:rPr>
              <w:t>Palo Alto, CA</w:t>
            </w:r>
          </w:p>
        </w:tc>
        <w:tc>
          <w:tcPr>
            <w:tcW w:w="2952" w:type="dxa"/>
          </w:tcPr>
          <w:p w:rsidR="0059573E" w:rsidRPr="0059573E" w:rsidRDefault="0086324A" w:rsidP="0059573E">
            <w:pPr>
              <w:pStyle w:val="P1-StandPara"/>
              <w:tabs>
                <w:tab w:val="left" w:pos="720"/>
                <w:tab w:val="right" w:leader="dot" w:pos="9504"/>
              </w:tabs>
              <w:ind w:firstLine="0"/>
              <w:rPr>
                <w:sz w:val="24"/>
                <w:szCs w:val="24"/>
              </w:rPr>
            </w:pPr>
            <w:r>
              <w:rPr>
                <w:sz w:val="24"/>
                <w:szCs w:val="24"/>
              </w:rPr>
              <w:t>Collect</w:t>
            </w:r>
          </w:p>
        </w:tc>
      </w:tr>
      <w:tr w:rsidR="0059573E" w:rsidRPr="0059573E">
        <w:tc>
          <w:tcPr>
            <w:tcW w:w="2952" w:type="dxa"/>
          </w:tcPr>
          <w:p w:rsidR="0059573E" w:rsidRPr="0059573E" w:rsidRDefault="0059573E" w:rsidP="0059573E">
            <w:pPr>
              <w:pStyle w:val="P1-StandPara"/>
              <w:tabs>
                <w:tab w:val="left" w:pos="720"/>
                <w:tab w:val="right" w:leader="dot" w:pos="9504"/>
              </w:tabs>
              <w:spacing w:line="240" w:lineRule="auto"/>
              <w:ind w:firstLine="0"/>
              <w:rPr>
                <w:sz w:val="24"/>
                <w:szCs w:val="24"/>
              </w:rPr>
            </w:pPr>
            <w:r w:rsidRPr="0059573E">
              <w:rPr>
                <w:sz w:val="24"/>
                <w:szCs w:val="24"/>
              </w:rPr>
              <w:t>Mark M</w:t>
            </w:r>
            <w:r w:rsidR="008C2DBC">
              <w:rPr>
                <w:sz w:val="24"/>
                <w:szCs w:val="24"/>
              </w:rPr>
              <w:t>e</w:t>
            </w:r>
            <w:r w:rsidRPr="0059573E">
              <w:rPr>
                <w:sz w:val="24"/>
                <w:szCs w:val="24"/>
              </w:rPr>
              <w:t>terko</w:t>
            </w:r>
          </w:p>
        </w:tc>
        <w:tc>
          <w:tcPr>
            <w:tcW w:w="2952" w:type="dxa"/>
          </w:tcPr>
          <w:p w:rsidR="0059573E" w:rsidRDefault="0059573E" w:rsidP="0059573E">
            <w:pPr>
              <w:pStyle w:val="P1-StandPara"/>
              <w:tabs>
                <w:tab w:val="left" w:pos="720"/>
                <w:tab w:val="right" w:leader="dot" w:pos="9504"/>
              </w:tabs>
              <w:spacing w:line="240" w:lineRule="auto"/>
              <w:ind w:firstLine="0"/>
              <w:rPr>
                <w:sz w:val="24"/>
                <w:szCs w:val="24"/>
              </w:rPr>
            </w:pPr>
            <w:r w:rsidRPr="0059573E">
              <w:rPr>
                <w:sz w:val="24"/>
                <w:szCs w:val="24"/>
              </w:rPr>
              <w:t>Boston University</w:t>
            </w:r>
          </w:p>
          <w:p w:rsidR="0059573E" w:rsidRPr="0059573E" w:rsidRDefault="0059573E" w:rsidP="0059573E">
            <w:pPr>
              <w:pStyle w:val="P1-StandPara"/>
              <w:tabs>
                <w:tab w:val="left" w:pos="720"/>
                <w:tab w:val="right" w:leader="dot" w:pos="9504"/>
              </w:tabs>
              <w:spacing w:line="240" w:lineRule="auto"/>
              <w:ind w:firstLine="0"/>
              <w:rPr>
                <w:sz w:val="24"/>
                <w:szCs w:val="24"/>
              </w:rPr>
            </w:pPr>
            <w:r>
              <w:rPr>
                <w:sz w:val="24"/>
                <w:szCs w:val="24"/>
              </w:rPr>
              <w:t>Boston, MA</w:t>
            </w:r>
          </w:p>
        </w:tc>
        <w:tc>
          <w:tcPr>
            <w:tcW w:w="2952" w:type="dxa"/>
          </w:tcPr>
          <w:p w:rsidR="0059573E" w:rsidRPr="0059573E" w:rsidRDefault="0086324A" w:rsidP="0059573E">
            <w:pPr>
              <w:pStyle w:val="P1-StandPara"/>
              <w:tabs>
                <w:tab w:val="left" w:pos="720"/>
                <w:tab w:val="right" w:leader="dot" w:pos="9504"/>
              </w:tabs>
              <w:ind w:firstLine="0"/>
              <w:rPr>
                <w:sz w:val="24"/>
                <w:szCs w:val="24"/>
              </w:rPr>
            </w:pPr>
            <w:r>
              <w:rPr>
                <w:sz w:val="24"/>
                <w:szCs w:val="24"/>
              </w:rPr>
              <w:t>Analyze</w:t>
            </w:r>
          </w:p>
        </w:tc>
      </w:tr>
      <w:tr w:rsidR="0059573E" w:rsidRPr="0059573E">
        <w:tc>
          <w:tcPr>
            <w:tcW w:w="2952" w:type="dxa"/>
          </w:tcPr>
          <w:p w:rsidR="0059573E" w:rsidRPr="0059573E" w:rsidRDefault="0059573E" w:rsidP="0059573E">
            <w:pPr>
              <w:pStyle w:val="P1-StandPara"/>
              <w:tabs>
                <w:tab w:val="left" w:pos="720"/>
                <w:tab w:val="right" w:leader="dot" w:pos="9504"/>
              </w:tabs>
              <w:spacing w:line="240" w:lineRule="auto"/>
              <w:ind w:firstLine="0"/>
              <w:rPr>
                <w:sz w:val="24"/>
                <w:szCs w:val="24"/>
              </w:rPr>
            </w:pPr>
            <w:r w:rsidRPr="0059573E">
              <w:rPr>
                <w:sz w:val="24"/>
                <w:szCs w:val="24"/>
              </w:rPr>
              <w:lastRenderedPageBreak/>
              <w:t>Pengsheng Ni</w:t>
            </w:r>
          </w:p>
        </w:tc>
        <w:tc>
          <w:tcPr>
            <w:tcW w:w="2952" w:type="dxa"/>
          </w:tcPr>
          <w:p w:rsidR="0059573E" w:rsidRDefault="0059573E" w:rsidP="0059573E">
            <w:pPr>
              <w:pStyle w:val="P1-StandPara"/>
              <w:tabs>
                <w:tab w:val="left" w:pos="720"/>
                <w:tab w:val="right" w:leader="dot" w:pos="9504"/>
              </w:tabs>
              <w:spacing w:line="240" w:lineRule="auto"/>
              <w:ind w:firstLine="0"/>
              <w:rPr>
                <w:sz w:val="24"/>
                <w:szCs w:val="24"/>
              </w:rPr>
            </w:pPr>
            <w:r w:rsidRPr="0059573E">
              <w:rPr>
                <w:sz w:val="24"/>
                <w:szCs w:val="24"/>
              </w:rPr>
              <w:t>Boston University</w:t>
            </w:r>
          </w:p>
          <w:p w:rsidR="0059573E" w:rsidRPr="0059573E" w:rsidRDefault="0059573E" w:rsidP="0059573E">
            <w:pPr>
              <w:pStyle w:val="P1-StandPara"/>
              <w:tabs>
                <w:tab w:val="left" w:pos="720"/>
                <w:tab w:val="right" w:leader="dot" w:pos="9504"/>
              </w:tabs>
              <w:spacing w:line="240" w:lineRule="auto"/>
              <w:ind w:firstLine="0"/>
              <w:rPr>
                <w:sz w:val="24"/>
                <w:szCs w:val="24"/>
              </w:rPr>
            </w:pPr>
            <w:r>
              <w:rPr>
                <w:sz w:val="24"/>
                <w:szCs w:val="24"/>
              </w:rPr>
              <w:t>Boston, MA</w:t>
            </w:r>
          </w:p>
        </w:tc>
        <w:tc>
          <w:tcPr>
            <w:tcW w:w="2952" w:type="dxa"/>
          </w:tcPr>
          <w:p w:rsidR="0059573E" w:rsidRPr="0059573E" w:rsidRDefault="0086324A" w:rsidP="0059573E">
            <w:pPr>
              <w:pStyle w:val="P1-StandPara"/>
              <w:tabs>
                <w:tab w:val="left" w:pos="720"/>
                <w:tab w:val="right" w:leader="dot" w:pos="9504"/>
              </w:tabs>
              <w:ind w:firstLine="0"/>
              <w:rPr>
                <w:sz w:val="24"/>
                <w:szCs w:val="24"/>
              </w:rPr>
            </w:pPr>
            <w:r>
              <w:rPr>
                <w:sz w:val="24"/>
                <w:szCs w:val="24"/>
              </w:rPr>
              <w:t>Analyze</w:t>
            </w:r>
          </w:p>
        </w:tc>
      </w:tr>
    </w:tbl>
    <w:p w:rsidR="0059573E" w:rsidRPr="0059573E" w:rsidRDefault="0059573E" w:rsidP="00D70D0F">
      <w:pPr>
        <w:pStyle w:val="P1-StandPara"/>
        <w:tabs>
          <w:tab w:val="left" w:pos="720"/>
          <w:tab w:val="right" w:leader="dot" w:pos="9504"/>
        </w:tabs>
        <w:ind w:firstLine="0"/>
        <w:rPr>
          <w:sz w:val="24"/>
          <w:szCs w:val="24"/>
        </w:rPr>
      </w:pPr>
    </w:p>
    <w:p w:rsidR="00957F14" w:rsidRPr="00957F14" w:rsidRDefault="00957F14" w:rsidP="00957F14">
      <w:pPr>
        <w:rPr>
          <w:color w:val="FF0000"/>
        </w:rPr>
      </w:pPr>
    </w:p>
    <w:p w:rsidR="00957F14" w:rsidRPr="00957F14" w:rsidRDefault="00957F14" w:rsidP="00957F14">
      <w:pPr>
        <w:rPr>
          <w:color w:val="FF0000"/>
        </w:rPr>
      </w:pPr>
    </w:p>
    <w:p w:rsidR="00844DD4" w:rsidRPr="0093431F" w:rsidRDefault="00844DD4" w:rsidP="00844DD4">
      <w:r>
        <w:rPr>
          <w:color w:val="FF0000"/>
        </w:rPr>
        <w:t xml:space="preserve">                                                                               </w:t>
      </w:r>
      <w:r>
        <w:t>Updated: 12/04/2007 by: MPC</w:t>
      </w:r>
    </w:p>
    <w:p w:rsidR="00957F14" w:rsidRPr="00957F14" w:rsidRDefault="00957F14" w:rsidP="00D70D0F">
      <w:pPr>
        <w:pStyle w:val="P1-StandPara"/>
        <w:tabs>
          <w:tab w:val="left" w:pos="720"/>
          <w:tab w:val="right" w:leader="dot" w:pos="9504"/>
        </w:tabs>
        <w:spacing w:before="120" w:after="120"/>
        <w:ind w:firstLine="0"/>
        <w:rPr>
          <w:color w:val="FF0000"/>
          <w:sz w:val="24"/>
          <w:szCs w:val="24"/>
        </w:rPr>
      </w:pPr>
    </w:p>
    <w:sectPr w:rsidR="00957F14" w:rsidRPr="00957F14" w:rsidSect="0083442E">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D5A" w:rsidRDefault="00A47D5A">
      <w:r>
        <w:separator/>
      </w:r>
    </w:p>
  </w:endnote>
  <w:endnote w:type="continuationSeparator" w:id="0">
    <w:p w:rsidR="00A47D5A" w:rsidRDefault="00A4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5A" w:rsidRDefault="00A47D5A" w:rsidP="004A70E1">
    <w:pPr>
      <w:pStyle w:val="Footer"/>
      <w:framePr w:wrap="around" w:vAnchor="text" w:hAnchor="margin" w:xAlign="center" w:y="1"/>
      <w:rPr>
        <w:rStyle w:val="PageNumber"/>
        <w:sz w:val="24"/>
        <w:szCs w:val="24"/>
      </w:rPr>
    </w:pPr>
    <w:r>
      <w:rPr>
        <w:rStyle w:val="PageNumber"/>
      </w:rPr>
      <w:fldChar w:fldCharType="begin"/>
    </w:r>
    <w:r>
      <w:rPr>
        <w:rStyle w:val="PageNumber"/>
      </w:rPr>
      <w:instrText xml:space="preserve">PAGE  </w:instrText>
    </w:r>
    <w:r>
      <w:rPr>
        <w:rStyle w:val="PageNumber"/>
      </w:rPr>
      <w:fldChar w:fldCharType="end"/>
    </w:r>
  </w:p>
  <w:p w:rsidR="00A47D5A" w:rsidRDefault="00A47D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5A" w:rsidRDefault="00A47D5A" w:rsidP="004A70E1">
    <w:pPr>
      <w:pStyle w:val="Footer"/>
      <w:framePr w:wrap="around" w:vAnchor="text" w:hAnchor="margin" w:xAlign="center" w:y="1"/>
      <w:rPr>
        <w:rStyle w:val="PageNumber"/>
        <w:sz w:val="24"/>
        <w:szCs w:val="24"/>
      </w:rPr>
    </w:pPr>
    <w:r>
      <w:rPr>
        <w:rStyle w:val="PageNumber"/>
      </w:rPr>
      <w:fldChar w:fldCharType="begin"/>
    </w:r>
    <w:r>
      <w:rPr>
        <w:rStyle w:val="PageNumber"/>
      </w:rPr>
      <w:instrText xml:space="preserve">PAGE  </w:instrText>
    </w:r>
    <w:r>
      <w:rPr>
        <w:rStyle w:val="PageNumber"/>
      </w:rPr>
      <w:fldChar w:fldCharType="separate"/>
    </w:r>
    <w:r w:rsidR="00F14434">
      <w:rPr>
        <w:rStyle w:val="PageNumber"/>
        <w:noProof/>
      </w:rPr>
      <w:t>5</w:t>
    </w:r>
    <w:r>
      <w:rPr>
        <w:rStyle w:val="PageNumber"/>
      </w:rPr>
      <w:fldChar w:fldCharType="end"/>
    </w:r>
  </w:p>
  <w:p w:rsidR="00A47D5A" w:rsidRDefault="00A47D5A"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D5A" w:rsidRDefault="00A47D5A">
      <w:r>
        <w:separator/>
      </w:r>
    </w:p>
  </w:footnote>
  <w:footnote w:type="continuationSeparator" w:id="0">
    <w:p w:rsidR="00A47D5A" w:rsidRDefault="00A47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B329D"/>
    <w:multiLevelType w:val="hybridMultilevel"/>
    <w:tmpl w:val="D638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7262D3"/>
    <w:multiLevelType w:val="multilevel"/>
    <w:tmpl w:val="279C0B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3">
    <w:nsid w:val="63D00181"/>
    <w:multiLevelType w:val="hybridMultilevel"/>
    <w:tmpl w:val="217016BC"/>
    <w:lvl w:ilvl="0" w:tplc="3166708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0E"/>
    <w:rsid w:val="000205DB"/>
    <w:rsid w:val="000311E5"/>
    <w:rsid w:val="0004089F"/>
    <w:rsid w:val="0005035B"/>
    <w:rsid w:val="00052911"/>
    <w:rsid w:val="0005498E"/>
    <w:rsid w:val="0008622A"/>
    <w:rsid w:val="00093E32"/>
    <w:rsid w:val="000A32F0"/>
    <w:rsid w:val="000F1819"/>
    <w:rsid w:val="00101D91"/>
    <w:rsid w:val="001468D4"/>
    <w:rsid w:val="001651AA"/>
    <w:rsid w:val="00197085"/>
    <w:rsid w:val="001A0C10"/>
    <w:rsid w:val="001A324E"/>
    <w:rsid w:val="001E2C04"/>
    <w:rsid w:val="0024029C"/>
    <w:rsid w:val="00244951"/>
    <w:rsid w:val="00245155"/>
    <w:rsid w:val="00253C78"/>
    <w:rsid w:val="00254C02"/>
    <w:rsid w:val="00257A61"/>
    <w:rsid w:val="00261497"/>
    <w:rsid w:val="00262C40"/>
    <w:rsid w:val="002C7687"/>
    <w:rsid w:val="002D2CA0"/>
    <w:rsid w:val="002D6F4A"/>
    <w:rsid w:val="002F3166"/>
    <w:rsid w:val="002F7B7B"/>
    <w:rsid w:val="003217A0"/>
    <w:rsid w:val="0037556F"/>
    <w:rsid w:val="003B7746"/>
    <w:rsid w:val="003C2118"/>
    <w:rsid w:val="003E5D3E"/>
    <w:rsid w:val="00417D07"/>
    <w:rsid w:val="00426C5E"/>
    <w:rsid w:val="004324C7"/>
    <w:rsid w:val="00443D7C"/>
    <w:rsid w:val="004A2C1A"/>
    <w:rsid w:val="004A70E1"/>
    <w:rsid w:val="004E666E"/>
    <w:rsid w:val="00573711"/>
    <w:rsid w:val="0059573E"/>
    <w:rsid w:val="005974BD"/>
    <w:rsid w:val="005A3F40"/>
    <w:rsid w:val="005C111F"/>
    <w:rsid w:val="005C3DC2"/>
    <w:rsid w:val="005D3103"/>
    <w:rsid w:val="005E3002"/>
    <w:rsid w:val="005E5F19"/>
    <w:rsid w:val="006334DD"/>
    <w:rsid w:val="006450B1"/>
    <w:rsid w:val="00680E77"/>
    <w:rsid w:val="00686485"/>
    <w:rsid w:val="006944D1"/>
    <w:rsid w:val="006954D3"/>
    <w:rsid w:val="006A5E7E"/>
    <w:rsid w:val="006E557B"/>
    <w:rsid w:val="00701962"/>
    <w:rsid w:val="007061E6"/>
    <w:rsid w:val="00721EA6"/>
    <w:rsid w:val="00731FF4"/>
    <w:rsid w:val="007407D6"/>
    <w:rsid w:val="00741EE3"/>
    <w:rsid w:val="00754DCD"/>
    <w:rsid w:val="0077506C"/>
    <w:rsid w:val="00783A48"/>
    <w:rsid w:val="007C0A89"/>
    <w:rsid w:val="007C16BD"/>
    <w:rsid w:val="00807E31"/>
    <w:rsid w:val="0081195D"/>
    <w:rsid w:val="00822DC7"/>
    <w:rsid w:val="00830065"/>
    <w:rsid w:val="00833397"/>
    <w:rsid w:val="0083442E"/>
    <w:rsid w:val="00844DD4"/>
    <w:rsid w:val="00854312"/>
    <w:rsid w:val="0085671F"/>
    <w:rsid w:val="0086324A"/>
    <w:rsid w:val="00881E9F"/>
    <w:rsid w:val="008C2DBC"/>
    <w:rsid w:val="008C310E"/>
    <w:rsid w:val="008D19CB"/>
    <w:rsid w:val="008F048F"/>
    <w:rsid w:val="009027AF"/>
    <w:rsid w:val="0093431F"/>
    <w:rsid w:val="00943E75"/>
    <w:rsid w:val="009516B8"/>
    <w:rsid w:val="00957F14"/>
    <w:rsid w:val="00992444"/>
    <w:rsid w:val="00993D79"/>
    <w:rsid w:val="009965F7"/>
    <w:rsid w:val="009D05B5"/>
    <w:rsid w:val="009E3F34"/>
    <w:rsid w:val="009E518D"/>
    <w:rsid w:val="009E52DB"/>
    <w:rsid w:val="00A10AC6"/>
    <w:rsid w:val="00A2383B"/>
    <w:rsid w:val="00A357BC"/>
    <w:rsid w:val="00A47D5A"/>
    <w:rsid w:val="00A56825"/>
    <w:rsid w:val="00A57805"/>
    <w:rsid w:val="00A61BED"/>
    <w:rsid w:val="00A71760"/>
    <w:rsid w:val="00A814B8"/>
    <w:rsid w:val="00A8591C"/>
    <w:rsid w:val="00AA0A3B"/>
    <w:rsid w:val="00AC1848"/>
    <w:rsid w:val="00B262F7"/>
    <w:rsid w:val="00B41EC6"/>
    <w:rsid w:val="00B639C0"/>
    <w:rsid w:val="00B63AA5"/>
    <w:rsid w:val="00B675D1"/>
    <w:rsid w:val="00B97096"/>
    <w:rsid w:val="00BC4E67"/>
    <w:rsid w:val="00BE19B8"/>
    <w:rsid w:val="00C94EE3"/>
    <w:rsid w:val="00CA02BF"/>
    <w:rsid w:val="00CB5D65"/>
    <w:rsid w:val="00CC4DE0"/>
    <w:rsid w:val="00CD679B"/>
    <w:rsid w:val="00D26BE1"/>
    <w:rsid w:val="00D470C4"/>
    <w:rsid w:val="00D70D0F"/>
    <w:rsid w:val="00D82287"/>
    <w:rsid w:val="00D862B1"/>
    <w:rsid w:val="00D86761"/>
    <w:rsid w:val="00DF1CE5"/>
    <w:rsid w:val="00DF490C"/>
    <w:rsid w:val="00E00024"/>
    <w:rsid w:val="00E36A07"/>
    <w:rsid w:val="00EA6E4F"/>
    <w:rsid w:val="00ED06EB"/>
    <w:rsid w:val="00EF27BB"/>
    <w:rsid w:val="00F0511A"/>
    <w:rsid w:val="00F14434"/>
    <w:rsid w:val="00F4506A"/>
    <w:rsid w:val="00F460A8"/>
    <w:rsid w:val="00F6692A"/>
    <w:rsid w:val="00F82654"/>
    <w:rsid w:val="00F933A3"/>
    <w:rsid w:val="00FC0278"/>
    <w:rsid w:val="00FD6E49"/>
    <w:rsid w:val="00FF4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42E"/>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paragraph" w:styleId="BalloonText">
    <w:name w:val="Balloon Text"/>
    <w:basedOn w:val="Normal"/>
    <w:link w:val="BalloonTextChar"/>
    <w:rsid w:val="005C111F"/>
    <w:rPr>
      <w:rFonts w:ascii="Tahoma" w:hAnsi="Tahoma" w:cs="Tahoma"/>
      <w:sz w:val="16"/>
      <w:szCs w:val="16"/>
    </w:rPr>
  </w:style>
  <w:style w:type="character" w:customStyle="1" w:styleId="BalloonTextChar">
    <w:name w:val="Balloon Text Char"/>
    <w:basedOn w:val="DefaultParagraphFont"/>
    <w:link w:val="BalloonText"/>
    <w:rsid w:val="005C111F"/>
    <w:rPr>
      <w:rFonts w:ascii="Tahoma" w:hAnsi="Tahoma" w:cs="Tahoma"/>
      <w:sz w:val="16"/>
      <w:szCs w:val="16"/>
    </w:rPr>
  </w:style>
  <w:style w:type="table" w:styleId="TableGrid">
    <w:name w:val="Table Grid"/>
    <w:basedOn w:val="TableNormal"/>
    <w:uiPriority w:val="59"/>
    <w:rsid w:val="0059573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9573E"/>
    <w:rPr>
      <w:i/>
      <w:iCs/>
    </w:rPr>
  </w:style>
  <w:style w:type="paragraph" w:styleId="ListParagraph">
    <w:name w:val="List Paragraph"/>
    <w:basedOn w:val="Normal"/>
    <w:uiPriority w:val="34"/>
    <w:qFormat/>
    <w:rsid w:val="0059573E"/>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0205DB"/>
    <w:rPr>
      <w:sz w:val="16"/>
      <w:szCs w:val="16"/>
    </w:rPr>
  </w:style>
  <w:style w:type="paragraph" w:styleId="CommentText">
    <w:name w:val="annotation text"/>
    <w:basedOn w:val="Normal"/>
    <w:link w:val="CommentTextChar"/>
    <w:rsid w:val="000205DB"/>
    <w:rPr>
      <w:sz w:val="20"/>
      <w:szCs w:val="20"/>
    </w:rPr>
  </w:style>
  <w:style w:type="character" w:customStyle="1" w:styleId="CommentTextChar">
    <w:name w:val="Comment Text Char"/>
    <w:basedOn w:val="DefaultParagraphFont"/>
    <w:link w:val="CommentText"/>
    <w:rsid w:val="000205DB"/>
  </w:style>
  <w:style w:type="paragraph" w:styleId="CommentSubject">
    <w:name w:val="annotation subject"/>
    <w:basedOn w:val="CommentText"/>
    <w:next w:val="CommentText"/>
    <w:link w:val="CommentSubjectChar"/>
    <w:rsid w:val="000205DB"/>
    <w:rPr>
      <w:b/>
      <w:bCs/>
    </w:rPr>
  </w:style>
  <w:style w:type="character" w:customStyle="1" w:styleId="CommentSubjectChar">
    <w:name w:val="Comment Subject Char"/>
    <w:basedOn w:val="CommentTextChar"/>
    <w:link w:val="CommentSubject"/>
    <w:rsid w:val="000205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42E"/>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paragraph" w:styleId="BalloonText">
    <w:name w:val="Balloon Text"/>
    <w:basedOn w:val="Normal"/>
    <w:link w:val="BalloonTextChar"/>
    <w:rsid w:val="005C111F"/>
    <w:rPr>
      <w:rFonts w:ascii="Tahoma" w:hAnsi="Tahoma" w:cs="Tahoma"/>
      <w:sz w:val="16"/>
      <w:szCs w:val="16"/>
    </w:rPr>
  </w:style>
  <w:style w:type="character" w:customStyle="1" w:styleId="BalloonTextChar">
    <w:name w:val="Balloon Text Char"/>
    <w:basedOn w:val="DefaultParagraphFont"/>
    <w:link w:val="BalloonText"/>
    <w:rsid w:val="005C111F"/>
    <w:rPr>
      <w:rFonts w:ascii="Tahoma" w:hAnsi="Tahoma" w:cs="Tahoma"/>
      <w:sz w:val="16"/>
      <w:szCs w:val="16"/>
    </w:rPr>
  </w:style>
  <w:style w:type="table" w:styleId="TableGrid">
    <w:name w:val="Table Grid"/>
    <w:basedOn w:val="TableNormal"/>
    <w:uiPriority w:val="59"/>
    <w:rsid w:val="0059573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9573E"/>
    <w:rPr>
      <w:i/>
      <w:iCs/>
    </w:rPr>
  </w:style>
  <w:style w:type="paragraph" w:styleId="ListParagraph">
    <w:name w:val="List Paragraph"/>
    <w:basedOn w:val="Normal"/>
    <w:uiPriority w:val="34"/>
    <w:qFormat/>
    <w:rsid w:val="0059573E"/>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0205DB"/>
    <w:rPr>
      <w:sz w:val="16"/>
      <w:szCs w:val="16"/>
    </w:rPr>
  </w:style>
  <w:style w:type="paragraph" w:styleId="CommentText">
    <w:name w:val="annotation text"/>
    <w:basedOn w:val="Normal"/>
    <w:link w:val="CommentTextChar"/>
    <w:rsid w:val="000205DB"/>
    <w:rPr>
      <w:sz w:val="20"/>
      <w:szCs w:val="20"/>
    </w:rPr>
  </w:style>
  <w:style w:type="character" w:customStyle="1" w:styleId="CommentTextChar">
    <w:name w:val="Comment Text Char"/>
    <w:basedOn w:val="DefaultParagraphFont"/>
    <w:link w:val="CommentText"/>
    <w:rsid w:val="000205DB"/>
  </w:style>
  <w:style w:type="paragraph" w:styleId="CommentSubject">
    <w:name w:val="annotation subject"/>
    <w:basedOn w:val="CommentText"/>
    <w:next w:val="CommentText"/>
    <w:link w:val="CommentSubjectChar"/>
    <w:rsid w:val="000205DB"/>
    <w:rPr>
      <w:b/>
      <w:bCs/>
    </w:rPr>
  </w:style>
  <w:style w:type="character" w:customStyle="1" w:styleId="CommentSubjectChar">
    <w:name w:val="Comment Subject Char"/>
    <w:basedOn w:val="CommentTextChar"/>
    <w:link w:val="CommentSubject"/>
    <w:rsid w:val="000205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252288">
      <w:bodyDiv w:val="1"/>
      <w:marLeft w:val="0"/>
      <w:marRight w:val="0"/>
      <w:marTop w:val="0"/>
      <w:marBottom w:val="0"/>
      <w:divBdr>
        <w:top w:val="none" w:sz="0" w:space="0" w:color="auto"/>
        <w:left w:val="none" w:sz="0" w:space="0" w:color="auto"/>
        <w:bottom w:val="none" w:sz="0" w:space="0" w:color="auto"/>
        <w:right w:val="none" w:sz="0" w:space="0" w:color="auto"/>
      </w:divBdr>
    </w:div>
    <w:div w:id="164616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3303</Words>
  <Characters>18829</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2012-05-29T20:00:00Z</dcterms:created>
  <dcterms:modified xsi:type="dcterms:W3CDTF">2012-05-29T20:00:00Z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