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719" w:rsidRDefault="009E2DAA" w:rsidP="00A55C85">
      <w:pPr>
        <w:rPr>
          <w:rFonts w:ascii="Calibri" w:hAnsi="Calibri"/>
          <w:b/>
        </w:rPr>
      </w:pPr>
      <w:bookmarkStart w:id="0" w:name="_GoBack"/>
      <w:bookmarkEnd w:id="0"/>
      <w:r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-571500</wp:posOffset>
                </wp:positionV>
                <wp:extent cx="1624330" cy="1264285"/>
                <wp:effectExtent l="0" t="0" r="4445" b="127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4330" cy="1264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4473" w:rsidRDefault="009E2DA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40815" cy="995045"/>
                                  <wp:effectExtent l="0" t="0" r="6985" b="0"/>
                                  <wp:docPr id="2" name="Picture 2" descr="SEED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SEED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0815" cy="995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50pt;margin-top:-45pt;width:127.9pt;height:99.5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wO9fwIAAA4FAAAOAAAAZHJzL2Uyb0RvYy54bWysVFtv2yAUfp+0/4B4T32pk8ZWnKqXeZrU&#10;XaR2P4AAjtEwIKCxu2n/fQecpOku0jTNDzb4HL5z+b7D6nLsJdpx64RWNc7OUoy4opoJta3x54dm&#10;tsTIeaIYkVrxGj9xhy/Xr1+tBlPxXHdaMm4RgChXDabGnfemShJHO94Td6YNV2Bste2Jh63dJsyS&#10;AdB7meRpukgGbZmxmnLn4O/tZMTriN+2nPqPbeu4R7LGkJuPbxvfm/BO1itSbS0xnaD7NMg/ZNET&#10;oSDoEeqWeIIerfgFqhfUaqdbf0Z1n+i2FZTHGqCaLP2pmvuOGB5rgeY4c2yT+3+w9MPuk0WC1XiB&#10;kSI9UPTAR4+u9YiWoTuDcRU43Rtw8yP8BpZjpc7cafrFIaVvOqK2/MpaPXScMMguCyeTk6MTjgsg&#10;m+G9ZhCGPHodgcbW9qF10AwE6MDS05GZkAoNIRd5cX4OJgq2LF8U+XIeY5DqcNxY599y3aOwqLEF&#10;6iM82d05H9Ih1cElRHNaCtYIKePGbjc30qIdAZk08dmjv3CTKjgrHY5NiNMfyBJiBFvIN9L+rczy&#10;Ir3Oy1mzWF7MiqaYz8qLdDlLs/K6XKRFWdw230OCWVF1gjGu7oTiBwlmxd9RvB+GSTxRhGiocTnP&#10;5xNHfywyjc/viuyFh4mUoq/x8uhEqsDsG8WgbFJ5IuS0Tl6mH7sMPTh8Y1eiDgL1kwj8uBkBJYhj&#10;o9kTKMJq4Au4hWsEFp22XzEaYCRrrODOwEi+U6CpMiuKMMFxU8wvctjYU8vm1EIUBaAae4ym5Y2f&#10;pv7RWLHtIM5BxVegw0ZEhTzntFcvDF0sZX9BhKk+3Uev52ts/QMAAP//AwBQSwMEFAAGAAgAAAAh&#10;APGSipvgAAAACwEAAA8AAABkcnMvZG93bnJldi54bWxMj9FKwzAUhu8F3yEcwbstmaPTdk2HKIIi&#10;DDZ9gDTJ2rLmpCbZWt/esyt3dw7n4z/fX24m17OzDbHzKGExF8Asam86bCR8f73NnoDFpNCo3qOV&#10;8GsjbKrbm1IVxo+4s+d9ahiFYCyUhDaloeA86tY6Fed+sEi3gw9OJVpDw01QI4W7nj8IseJOdUgf&#10;WjXYl9bq4/7kJLx2of7Rfvm+evzM9XYXD+PHlkt5fzc9r4ElO6V/GC76pA4VOdX+hCayXsJSCOqS&#10;JMzyy0BElmVUpiZU5AvgVcmvO1R/AAAA//8DAFBLAQItABQABgAIAAAAIQC2gziS/gAAAOEBAAAT&#10;AAAAAAAAAAAAAAAAAAAAAABbQ29udGVudF9UeXBlc10ueG1sUEsBAi0AFAAGAAgAAAAhADj9If/W&#10;AAAAlAEAAAsAAAAAAAAAAAAAAAAALwEAAF9yZWxzLy5yZWxzUEsBAi0AFAAGAAgAAAAhAMdbA71/&#10;AgAADgUAAA4AAAAAAAAAAAAAAAAALgIAAGRycy9lMm9Eb2MueG1sUEsBAi0AFAAGAAgAAAAhAPGS&#10;ipvgAAAACwEAAA8AAAAAAAAAAAAAAAAA2QQAAGRycy9kb3ducmV2LnhtbFBLBQYAAAAABAAEAPMA&#10;AADmBQAAAAA=&#10;" stroked="f">
                <v:textbox style="mso-fit-shape-to-text:t">
                  <w:txbxContent>
                    <w:p w:rsidR="009A4473" w:rsidRDefault="009E2DA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440815" cy="995045"/>
                            <wp:effectExtent l="0" t="0" r="6985" b="0"/>
                            <wp:docPr id="2" name="Picture 2" descr="SEED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SEED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0815" cy="9950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5562600</wp:posOffset>
                </wp:positionH>
                <wp:positionV relativeFrom="paragraph">
                  <wp:posOffset>-53975</wp:posOffset>
                </wp:positionV>
                <wp:extent cx="666115" cy="113665"/>
                <wp:effectExtent l="0" t="3175" r="63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115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77F8" w:rsidRPr="00AF6985" w:rsidRDefault="00E477F8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AF6985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SEED network 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438pt;margin-top:-4.25pt;width:52.4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DXQhQIAABUFAAAOAAAAZHJzL2Uyb0RvYy54bWysVNuO2yAQfa/Uf0C8Z32p442tOKtNtqkq&#10;bS/Sbj+AGByjYqBAYm+r/nsHnGTdy0NV1Q8YmOFwZuYMy5uhE+jIjOVKVji5ijFislaUy32FPz1u&#10;ZwuMrCOSEqEkq/ATs/hm9fLFstclS1WrBGUGAYi0Za8r3Dqnyyiydcs6Yq+UZhKMjTIdcbA0+4ga&#10;0gN6J6I0jvOoV4Zqo2pmLezejUa8CvhNw2r3oWksc0hUGLi5MJow7vwYrZak3BuiW16faJB/YNER&#10;LuHSC9QdcQQdDP8NquO1UVY17qpWXaSahtcsxADRJPEv0Ty0RLMQCyTH6kua7P+Drd8fPxrEKdQO&#10;I0k6KNEjGxxaqwGlPju9tiU4PWhwcwNse08fqdX3qv5skVSblsg9uzVG9S0jFNgl/mQ0OTriWA+y&#10;698pCteQg1MBaGhM5wEhGQjQoUpPl8p4KjVs5nmeJHOMajAlyas8n4cbSHk+rI11b5jqkJ9U2EDh&#10;Azg53lvnyZDy7BLIK8HplgsRFma/2wiDjgREsg3fCd1O3YT0zlL5YyPiuAMc4Q5v82xD0b8VSZrF&#10;67SYbfPF9SzbZvNZcR0vZnFSrIs8zorsbvvdE0yysuWUMnnPJTsLMMn+rsCnVhilEySI+goX83Q+&#10;VmjK3k6DjMP3pyA77qAfBe8qvLg4kdLX9bWkEDYpHeFinEc/0w9Zhhyc/yErQQW+8KME3LAbTnID&#10;MK+QnaJPIAujoGxQe3hLYNIq8xWjHvqywvbLgRiGkXgrQVpFkmW+kcMim1+nsDBTy25qIbIGqAo7&#10;jMbpxo3Nf9CG71u4aRSzVLcgx4YHqTyzOokYei/EdHonfHNP18Hr+TVb/QAAAP//AwBQSwMEFAAG&#10;AAgAAAAhAHo1hELdAAAACAEAAA8AAABkcnMvZG93bnJldi54bWxMj81Ow0AMhO9IvMPKSFxQuwG1&#10;+SObCpBAXFv6AE7iJhFZb5TdNunbY05wG2tG42+K3WIHdaHJ944NPK4jUMS1a3puDRy/3lcpKB+Q&#10;Gxwck4ErediVtzcF5o2beU+XQ2iVlLDP0UAXwphr7euOLPq1G4nFO7nJYpBzanUz4SzldtBPURRr&#10;iz3Lhw5Heuuo/j6crYHT5/ywzebqIxyT/SZ+xT6p3NWY+7vl5RlUoCX8heEXX9ChFKbKnbnxajCQ&#10;JrFsCQZW6RaUBLI0ykBVIjagy0L/H1D+AAAA//8DAFBLAQItABQABgAIAAAAIQC2gziS/gAAAOEB&#10;AAATAAAAAAAAAAAAAAAAAAAAAABbQ29udGVudF9UeXBlc10ueG1sUEsBAi0AFAAGAAgAAAAhADj9&#10;If/WAAAAlAEAAAsAAAAAAAAAAAAAAAAALwEAAF9yZWxzLy5yZWxzUEsBAi0AFAAGAAgAAAAhANaI&#10;NdCFAgAAFQUAAA4AAAAAAAAAAAAAAAAALgIAAGRycy9lMm9Eb2MueG1sUEsBAi0AFAAGAAgAAAAh&#10;AHo1hELdAAAACAEAAA8AAAAAAAAAAAAAAAAA3wQAAGRycy9kb3ducmV2LnhtbFBLBQYAAAAABAAE&#10;APMAAADpBQAAAAA=&#10;" stroked="f">
                <v:textbox>
                  <w:txbxContent>
                    <w:p w:rsidR="00E477F8" w:rsidRPr="00AF6985" w:rsidRDefault="00E477F8">
                      <w:pPr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AF6985">
                        <w:rPr>
                          <w:rFonts w:ascii="Calibri" w:hAnsi="Calibri"/>
                          <w:sz w:val="16"/>
                          <w:szCs w:val="16"/>
                        </w:rPr>
                        <w:t>SEED network logo</w:t>
                      </w:r>
                    </w:p>
                  </w:txbxContent>
                </v:textbox>
              </v:shape>
            </w:pict>
          </mc:Fallback>
        </mc:AlternateContent>
      </w:r>
    </w:p>
    <w:p w:rsidR="00E42719" w:rsidRDefault="00E42719" w:rsidP="00E42719">
      <w:pPr>
        <w:rPr>
          <w:rFonts w:ascii="Calibri" w:hAnsi="Calibri"/>
          <w:b/>
        </w:rPr>
      </w:pPr>
    </w:p>
    <w:p w:rsidR="00E42719" w:rsidRPr="00E42719" w:rsidRDefault="00A55C85" w:rsidP="00E42719">
      <w:pPr>
        <w:spacing w:before="0" w:beforeAutospacing="0" w:after="0" w:afterAutospacing="0"/>
        <w:jc w:val="center"/>
        <w:rPr>
          <w:rFonts w:ascii="Calibri" w:hAnsi="Calibri"/>
          <w:b/>
          <w:sz w:val="32"/>
          <w:szCs w:val="32"/>
        </w:rPr>
      </w:pPr>
      <w:r w:rsidRPr="00E42719">
        <w:rPr>
          <w:rFonts w:ascii="Calibri" w:hAnsi="Calibri"/>
          <w:b/>
          <w:sz w:val="32"/>
          <w:szCs w:val="32"/>
        </w:rPr>
        <w:t>What do families get from participating</w:t>
      </w:r>
    </w:p>
    <w:p w:rsidR="00A55C85" w:rsidRDefault="00A55C85" w:rsidP="00E42719">
      <w:pPr>
        <w:spacing w:before="0" w:beforeAutospacing="0" w:after="0" w:afterAutospacing="0"/>
        <w:jc w:val="center"/>
        <w:rPr>
          <w:rFonts w:ascii="Calibri" w:hAnsi="Calibri"/>
          <w:b/>
          <w:sz w:val="32"/>
          <w:szCs w:val="32"/>
        </w:rPr>
      </w:pPr>
      <w:r w:rsidRPr="00E42719">
        <w:rPr>
          <w:rFonts w:ascii="Calibri" w:hAnsi="Calibri"/>
          <w:b/>
          <w:sz w:val="32"/>
          <w:szCs w:val="32"/>
        </w:rPr>
        <w:t>in the Study to Explore Early Development?</w:t>
      </w:r>
    </w:p>
    <w:p w:rsidR="00E42719" w:rsidRPr="00A62650" w:rsidRDefault="00E42719" w:rsidP="00E42719">
      <w:pPr>
        <w:spacing w:before="0" w:beforeAutospacing="0" w:after="0" w:afterAutospacing="0"/>
        <w:jc w:val="center"/>
        <w:rPr>
          <w:rFonts w:ascii="Calibri" w:hAnsi="Calibri"/>
          <w:b/>
          <w:sz w:val="22"/>
          <w:szCs w:val="22"/>
        </w:rPr>
      </w:pPr>
    </w:p>
    <w:p w:rsidR="004F1FC3" w:rsidRPr="00A62650" w:rsidRDefault="00A55C85" w:rsidP="00E477F8">
      <w:pPr>
        <w:pStyle w:val="NormalWeb"/>
        <w:spacing w:before="0" w:beforeAutospacing="0" w:after="0" w:afterAutospacing="0"/>
        <w:ind w:left="120" w:right="120"/>
        <w:rPr>
          <w:rFonts w:ascii="Calibri" w:hAnsi="Calibri"/>
          <w:sz w:val="22"/>
          <w:szCs w:val="22"/>
        </w:rPr>
      </w:pPr>
      <w:r w:rsidRPr="00A62650">
        <w:rPr>
          <w:rFonts w:ascii="Calibri" w:hAnsi="Calibri"/>
          <w:sz w:val="22"/>
          <w:szCs w:val="22"/>
        </w:rPr>
        <w:t xml:space="preserve">Although the primary goal of SEED is to learn about genetic and environmental risk factors associated with autism spectrum disorders, </w:t>
      </w:r>
      <w:r w:rsidRPr="00A62650">
        <w:rPr>
          <w:rFonts w:ascii="Calibri" w:hAnsi="Calibri"/>
          <w:i/>
          <w:sz w:val="22"/>
          <w:szCs w:val="22"/>
        </w:rPr>
        <w:t>all</w:t>
      </w:r>
      <w:r w:rsidRPr="00A62650">
        <w:rPr>
          <w:rFonts w:ascii="Calibri" w:hAnsi="Calibri"/>
          <w:sz w:val="22"/>
          <w:szCs w:val="22"/>
        </w:rPr>
        <w:t xml:space="preserve"> families who participate can learn a gr</w:t>
      </w:r>
      <w:r w:rsidR="00E42719" w:rsidRPr="00A62650">
        <w:rPr>
          <w:rFonts w:ascii="Calibri" w:hAnsi="Calibri"/>
          <w:sz w:val="22"/>
          <w:szCs w:val="22"/>
        </w:rPr>
        <w:t xml:space="preserve">eat deal about their </w:t>
      </w:r>
      <w:r w:rsidRPr="00A62650">
        <w:rPr>
          <w:rFonts w:ascii="Calibri" w:hAnsi="Calibri"/>
          <w:sz w:val="22"/>
          <w:szCs w:val="22"/>
        </w:rPr>
        <w:t>child</w:t>
      </w:r>
      <w:r w:rsidR="00E42719" w:rsidRPr="00A62650">
        <w:rPr>
          <w:rFonts w:ascii="Calibri" w:hAnsi="Calibri"/>
          <w:sz w:val="22"/>
          <w:szCs w:val="22"/>
        </w:rPr>
        <w:t>’s development</w:t>
      </w:r>
      <w:r w:rsidRPr="00A62650">
        <w:rPr>
          <w:rFonts w:ascii="Calibri" w:hAnsi="Calibri"/>
          <w:sz w:val="22"/>
          <w:szCs w:val="22"/>
        </w:rPr>
        <w:t xml:space="preserve">, regardless of whether the child </w:t>
      </w:r>
      <w:r w:rsidR="00E42719" w:rsidRPr="00A62650">
        <w:rPr>
          <w:rFonts w:ascii="Calibri" w:hAnsi="Calibri"/>
          <w:sz w:val="22"/>
          <w:szCs w:val="22"/>
        </w:rPr>
        <w:t>has a delay or is typica</w:t>
      </w:r>
      <w:r w:rsidRPr="00A62650">
        <w:rPr>
          <w:rFonts w:ascii="Calibri" w:hAnsi="Calibri"/>
          <w:sz w:val="22"/>
          <w:szCs w:val="22"/>
        </w:rPr>
        <w:t>l.   D</w:t>
      </w:r>
      <w:r w:rsidR="004F1FC3" w:rsidRPr="00A62650">
        <w:rPr>
          <w:rFonts w:ascii="Calibri" w:hAnsi="Calibri"/>
          <w:sz w:val="22"/>
          <w:szCs w:val="22"/>
        </w:rPr>
        <w:t xml:space="preserve">evelopmental researchers at </w:t>
      </w:r>
      <w:r w:rsidRPr="00A62650">
        <w:rPr>
          <w:rFonts w:ascii="Calibri" w:hAnsi="Calibri"/>
          <w:sz w:val="22"/>
          <w:szCs w:val="22"/>
        </w:rPr>
        <w:t xml:space="preserve">the </w:t>
      </w:r>
      <w:r w:rsidR="004F1FC3" w:rsidRPr="00A62650">
        <w:rPr>
          <w:rFonts w:ascii="Calibri" w:hAnsi="Calibri"/>
          <w:sz w:val="22"/>
          <w:szCs w:val="22"/>
        </w:rPr>
        <w:t>Kennedy Krieger Institute</w:t>
      </w:r>
      <w:r w:rsidRPr="00A62650">
        <w:rPr>
          <w:rFonts w:ascii="Calibri" w:hAnsi="Calibri"/>
          <w:sz w:val="22"/>
          <w:szCs w:val="22"/>
        </w:rPr>
        <w:t xml:space="preserve"> conduct the play-based assessments with each child</w:t>
      </w:r>
      <w:r w:rsidR="00E477F8" w:rsidRPr="00A62650">
        <w:rPr>
          <w:rFonts w:ascii="Calibri" w:hAnsi="Calibri"/>
          <w:sz w:val="22"/>
          <w:szCs w:val="22"/>
        </w:rPr>
        <w:t xml:space="preserve"> in the study</w:t>
      </w:r>
      <w:r w:rsidRPr="00A62650">
        <w:rPr>
          <w:rFonts w:ascii="Calibri" w:hAnsi="Calibri"/>
          <w:sz w:val="22"/>
          <w:szCs w:val="22"/>
        </w:rPr>
        <w:t xml:space="preserve">, and </w:t>
      </w:r>
      <w:r w:rsidR="00E477F8" w:rsidRPr="00A62650">
        <w:rPr>
          <w:rFonts w:ascii="Calibri" w:hAnsi="Calibri"/>
          <w:sz w:val="22"/>
          <w:szCs w:val="22"/>
        </w:rPr>
        <w:t>parents receive</w:t>
      </w:r>
      <w:r w:rsidRPr="00A62650">
        <w:rPr>
          <w:rFonts w:ascii="Calibri" w:hAnsi="Calibri"/>
          <w:sz w:val="22"/>
          <w:szCs w:val="22"/>
        </w:rPr>
        <w:t xml:space="preserve"> a written report that briefly summarizes their child’s performa</w:t>
      </w:r>
      <w:r w:rsidR="00E42719" w:rsidRPr="00A62650">
        <w:rPr>
          <w:rFonts w:ascii="Calibri" w:hAnsi="Calibri"/>
          <w:sz w:val="22"/>
          <w:szCs w:val="22"/>
        </w:rPr>
        <w:t xml:space="preserve">nce, including </w:t>
      </w:r>
      <w:r w:rsidRPr="00A62650">
        <w:rPr>
          <w:rFonts w:ascii="Calibri" w:hAnsi="Calibri"/>
          <w:sz w:val="22"/>
          <w:szCs w:val="22"/>
        </w:rPr>
        <w:t xml:space="preserve">whether the child’s abilities are as </w:t>
      </w:r>
      <w:r w:rsidR="00E477F8" w:rsidRPr="00A62650">
        <w:rPr>
          <w:rFonts w:ascii="Calibri" w:hAnsi="Calibri"/>
          <w:sz w:val="22"/>
          <w:szCs w:val="22"/>
        </w:rPr>
        <w:t>expected for their</w:t>
      </w:r>
      <w:r w:rsidRPr="00A62650">
        <w:rPr>
          <w:rFonts w:ascii="Calibri" w:hAnsi="Calibri"/>
          <w:sz w:val="22"/>
          <w:szCs w:val="22"/>
        </w:rPr>
        <w:t xml:space="preserve"> age.  </w:t>
      </w:r>
      <w:r w:rsidR="003B68DC" w:rsidRPr="00A62650">
        <w:rPr>
          <w:rFonts w:ascii="Calibri" w:hAnsi="Calibri"/>
          <w:sz w:val="22"/>
          <w:szCs w:val="22"/>
        </w:rPr>
        <w:t>Many families tell us they gain a deeper insight about their child’s development and have shared the repor</w:t>
      </w:r>
      <w:r w:rsidR="00E477F8" w:rsidRPr="00A62650">
        <w:rPr>
          <w:rFonts w:ascii="Calibri" w:hAnsi="Calibri"/>
          <w:sz w:val="22"/>
          <w:szCs w:val="22"/>
        </w:rPr>
        <w:t xml:space="preserve">t with </w:t>
      </w:r>
      <w:r w:rsidR="00BC5246">
        <w:rPr>
          <w:rFonts w:ascii="Calibri" w:hAnsi="Calibri"/>
          <w:sz w:val="22"/>
          <w:szCs w:val="22"/>
        </w:rPr>
        <w:t xml:space="preserve">their </w:t>
      </w:r>
      <w:r w:rsidR="003B68DC" w:rsidRPr="00A62650">
        <w:rPr>
          <w:rFonts w:ascii="Calibri" w:hAnsi="Calibri"/>
          <w:sz w:val="22"/>
          <w:szCs w:val="22"/>
        </w:rPr>
        <w:t>healthcare and educa</w:t>
      </w:r>
      <w:r w:rsidR="00E477F8" w:rsidRPr="00A62650">
        <w:rPr>
          <w:rFonts w:ascii="Calibri" w:hAnsi="Calibri"/>
          <w:sz w:val="22"/>
          <w:szCs w:val="22"/>
        </w:rPr>
        <w:t xml:space="preserve">tional providers. Through </w:t>
      </w:r>
      <w:r w:rsidR="00BC5246">
        <w:rPr>
          <w:rFonts w:ascii="Calibri" w:hAnsi="Calibri"/>
          <w:sz w:val="22"/>
          <w:szCs w:val="22"/>
        </w:rPr>
        <w:t xml:space="preserve">participation in </w:t>
      </w:r>
      <w:r w:rsidR="00E477F8" w:rsidRPr="00A62650">
        <w:rPr>
          <w:rFonts w:ascii="Calibri" w:hAnsi="Calibri"/>
          <w:sz w:val="22"/>
          <w:szCs w:val="22"/>
        </w:rPr>
        <w:t xml:space="preserve">the study, </w:t>
      </w:r>
      <w:r w:rsidR="003B68DC" w:rsidRPr="00A62650">
        <w:rPr>
          <w:rFonts w:ascii="Calibri" w:hAnsi="Calibri"/>
          <w:sz w:val="22"/>
          <w:szCs w:val="22"/>
        </w:rPr>
        <w:t xml:space="preserve">families get </w:t>
      </w:r>
      <w:r w:rsidR="00BC5246">
        <w:rPr>
          <w:rFonts w:ascii="Calibri" w:hAnsi="Calibri"/>
          <w:sz w:val="22"/>
          <w:szCs w:val="22"/>
        </w:rPr>
        <w:t xml:space="preserve">fast, prioritized appointments at </w:t>
      </w:r>
      <w:r w:rsidR="003B68DC" w:rsidRPr="00A62650">
        <w:rPr>
          <w:rFonts w:ascii="Calibri" w:hAnsi="Calibri"/>
          <w:sz w:val="22"/>
          <w:szCs w:val="22"/>
        </w:rPr>
        <w:t xml:space="preserve">the clinic for these </w:t>
      </w:r>
      <w:r w:rsidR="00E477F8" w:rsidRPr="00A62650">
        <w:rPr>
          <w:rFonts w:ascii="Calibri" w:hAnsi="Calibri"/>
          <w:sz w:val="22"/>
          <w:szCs w:val="22"/>
        </w:rPr>
        <w:t xml:space="preserve">high-demand, expensive assessments, which they receive for free.  </w:t>
      </w:r>
      <w:r w:rsidR="00710FEB" w:rsidRPr="00A62650">
        <w:rPr>
          <w:rFonts w:ascii="Calibri" w:hAnsi="Calibri"/>
          <w:sz w:val="22"/>
          <w:szCs w:val="22"/>
        </w:rPr>
        <w:t xml:space="preserve">In fact, </w:t>
      </w:r>
      <w:r w:rsidR="004F1FC3" w:rsidRPr="00A62650">
        <w:rPr>
          <w:rFonts w:ascii="Calibri" w:hAnsi="Calibri"/>
          <w:sz w:val="22"/>
          <w:szCs w:val="22"/>
        </w:rPr>
        <w:t>SEED compensates families $</w:t>
      </w:r>
      <w:r w:rsidR="009A633E" w:rsidRPr="00A62650">
        <w:rPr>
          <w:rFonts w:ascii="Calibri" w:hAnsi="Calibri"/>
          <w:sz w:val="22"/>
          <w:szCs w:val="22"/>
        </w:rPr>
        <w:t>2</w:t>
      </w:r>
      <w:r w:rsidR="005F0BC7">
        <w:rPr>
          <w:rFonts w:ascii="Calibri" w:hAnsi="Calibri"/>
          <w:sz w:val="22"/>
          <w:szCs w:val="22"/>
        </w:rPr>
        <w:t>00</w:t>
      </w:r>
      <w:r w:rsidR="004F1FC3" w:rsidRPr="00A62650">
        <w:rPr>
          <w:rFonts w:ascii="Calibri" w:hAnsi="Calibri"/>
          <w:sz w:val="22"/>
          <w:szCs w:val="22"/>
        </w:rPr>
        <w:t>-$</w:t>
      </w:r>
      <w:r w:rsidR="009A633E" w:rsidRPr="00A62650">
        <w:rPr>
          <w:rFonts w:ascii="Calibri" w:hAnsi="Calibri"/>
          <w:sz w:val="22"/>
          <w:szCs w:val="22"/>
        </w:rPr>
        <w:t>3</w:t>
      </w:r>
      <w:r w:rsidR="005F0BC7">
        <w:rPr>
          <w:rFonts w:ascii="Calibri" w:hAnsi="Calibri"/>
          <w:sz w:val="22"/>
          <w:szCs w:val="22"/>
        </w:rPr>
        <w:t>25</w:t>
      </w:r>
      <w:r w:rsidR="009A633E">
        <w:rPr>
          <w:rFonts w:ascii="Calibri" w:hAnsi="Calibri"/>
          <w:sz w:val="22"/>
          <w:szCs w:val="22"/>
        </w:rPr>
        <w:t xml:space="preserve"> </w:t>
      </w:r>
      <w:r w:rsidR="00BC5246">
        <w:rPr>
          <w:rFonts w:ascii="Calibri" w:hAnsi="Calibri"/>
          <w:sz w:val="22"/>
          <w:szCs w:val="22"/>
        </w:rPr>
        <w:t>for their time</w:t>
      </w:r>
      <w:r w:rsidR="004F1FC3" w:rsidRPr="00A62650">
        <w:rPr>
          <w:rFonts w:ascii="Calibri" w:hAnsi="Calibri"/>
          <w:sz w:val="22"/>
          <w:szCs w:val="22"/>
        </w:rPr>
        <w:t xml:space="preserve">, depending on which of the below assessments </w:t>
      </w:r>
      <w:r w:rsidR="00710FEB" w:rsidRPr="00A62650">
        <w:rPr>
          <w:rFonts w:ascii="Calibri" w:hAnsi="Calibri"/>
          <w:sz w:val="22"/>
          <w:szCs w:val="22"/>
        </w:rPr>
        <w:t xml:space="preserve">are </w:t>
      </w:r>
      <w:r w:rsidR="004F1FC3" w:rsidRPr="00A62650">
        <w:rPr>
          <w:rFonts w:ascii="Calibri" w:hAnsi="Calibri"/>
          <w:sz w:val="22"/>
          <w:szCs w:val="22"/>
        </w:rPr>
        <w:t>needed:</w:t>
      </w:r>
    </w:p>
    <w:p w:rsidR="00E42719" w:rsidRPr="00A62650" w:rsidRDefault="00E42719" w:rsidP="00E42719">
      <w:pPr>
        <w:pStyle w:val="NormalWeb"/>
        <w:spacing w:before="0" w:beforeAutospacing="0" w:after="0" w:afterAutospacing="0"/>
        <w:ind w:left="120" w:right="120"/>
        <w:rPr>
          <w:rFonts w:ascii="Calibri" w:hAnsi="Calibri"/>
          <w:sz w:val="22"/>
          <w:szCs w:val="22"/>
        </w:rPr>
      </w:pPr>
    </w:p>
    <w:p w:rsidR="00F83D31" w:rsidRPr="00A62650" w:rsidRDefault="00F83D31" w:rsidP="00F83D31">
      <w:pPr>
        <w:pStyle w:val="NormalWeb"/>
        <w:numPr>
          <w:ilvl w:val="1"/>
          <w:numId w:val="1"/>
        </w:numPr>
        <w:spacing w:before="0" w:beforeAutospacing="0" w:after="0" w:afterAutospacing="0" w:line="276" w:lineRule="auto"/>
        <w:ind w:right="60"/>
        <w:rPr>
          <w:rFonts w:ascii="Calibri" w:hAnsi="Calibri"/>
          <w:sz w:val="22"/>
          <w:szCs w:val="22"/>
        </w:rPr>
      </w:pPr>
      <w:r w:rsidRPr="00A62650">
        <w:rPr>
          <w:rFonts w:ascii="Calibri" w:hAnsi="Calibri"/>
          <w:b/>
          <w:bCs/>
          <w:sz w:val="22"/>
          <w:szCs w:val="22"/>
        </w:rPr>
        <w:t xml:space="preserve">Child Behavior Checklist: </w:t>
      </w:r>
      <w:r w:rsidRPr="00A62650">
        <w:rPr>
          <w:rFonts w:ascii="Calibri" w:hAnsi="Calibri"/>
          <w:sz w:val="22"/>
          <w:szCs w:val="22"/>
        </w:rPr>
        <w:t>A parent questionnaire that assesses a child’s behavior and social abilities.  Given to all participants.</w:t>
      </w:r>
    </w:p>
    <w:p w:rsidR="00F83D31" w:rsidRPr="00A62650" w:rsidRDefault="00F83D31" w:rsidP="00F83D31">
      <w:pPr>
        <w:pStyle w:val="NormalWeb"/>
        <w:numPr>
          <w:ilvl w:val="1"/>
          <w:numId w:val="1"/>
        </w:numPr>
        <w:spacing w:before="0" w:beforeAutospacing="0" w:after="0" w:afterAutospacing="0" w:line="276" w:lineRule="auto"/>
        <w:ind w:right="60"/>
        <w:rPr>
          <w:rFonts w:ascii="Calibri" w:hAnsi="Calibri"/>
          <w:sz w:val="22"/>
          <w:szCs w:val="22"/>
        </w:rPr>
      </w:pPr>
      <w:r w:rsidRPr="00A62650">
        <w:rPr>
          <w:rFonts w:ascii="Calibri" w:hAnsi="Calibri"/>
          <w:b/>
          <w:bCs/>
          <w:sz w:val="22"/>
          <w:szCs w:val="22"/>
        </w:rPr>
        <w:t>Mullen Scales of Early Learning</w:t>
      </w:r>
      <w:r w:rsidRPr="00A62650">
        <w:rPr>
          <w:rFonts w:ascii="Calibri" w:hAnsi="Calibri"/>
          <w:sz w:val="22"/>
          <w:szCs w:val="22"/>
        </w:rPr>
        <w:t>: A child assessment that measures four areas of development: fine motor, visual reception, receptive language, expressive language.  The Mullen also gives an early learning composite score, an overall assessment of the child’s learning abilities.  Given to all participants.</w:t>
      </w:r>
    </w:p>
    <w:p w:rsidR="00F83D31" w:rsidRPr="00A62650" w:rsidRDefault="00F83D31" w:rsidP="00F83D31">
      <w:pPr>
        <w:pStyle w:val="NormalWeb"/>
        <w:numPr>
          <w:ilvl w:val="1"/>
          <w:numId w:val="1"/>
        </w:numPr>
        <w:spacing w:before="0" w:beforeAutospacing="0" w:after="0" w:afterAutospacing="0" w:line="276" w:lineRule="auto"/>
        <w:rPr>
          <w:rFonts w:ascii="Calibri" w:hAnsi="Calibri"/>
          <w:sz w:val="22"/>
          <w:szCs w:val="22"/>
        </w:rPr>
      </w:pPr>
      <w:r w:rsidRPr="00A62650">
        <w:rPr>
          <w:rFonts w:ascii="Calibri" w:hAnsi="Calibri"/>
          <w:b/>
          <w:bCs/>
          <w:sz w:val="22"/>
          <w:szCs w:val="22"/>
        </w:rPr>
        <w:t>Vineland Adaptive Behavior Scales</w:t>
      </w:r>
      <w:r w:rsidRPr="00A62650">
        <w:rPr>
          <w:rFonts w:ascii="Calibri" w:hAnsi="Calibri"/>
          <w:sz w:val="22"/>
          <w:szCs w:val="22"/>
        </w:rPr>
        <w:t>: Parent questionnaire that assesses a child’s communication, daily living, socialization, and motor skills.  Given to parents whose children meet certain scores on either the Mullen or a screening called the Social Communication Questionnaire (SCQ).</w:t>
      </w:r>
    </w:p>
    <w:p w:rsidR="00F83D31" w:rsidRPr="00A62650" w:rsidRDefault="00F83D31" w:rsidP="00F83D31">
      <w:pPr>
        <w:pStyle w:val="NormalWeb"/>
        <w:numPr>
          <w:ilvl w:val="1"/>
          <w:numId w:val="1"/>
        </w:numPr>
        <w:spacing w:line="276" w:lineRule="auto"/>
        <w:rPr>
          <w:rFonts w:ascii="Calibri" w:hAnsi="Calibri"/>
          <w:sz w:val="22"/>
          <w:szCs w:val="22"/>
        </w:rPr>
      </w:pPr>
      <w:r w:rsidRPr="00A62650">
        <w:rPr>
          <w:rFonts w:ascii="Calibri" w:hAnsi="Calibri"/>
          <w:b/>
          <w:bCs/>
          <w:sz w:val="22"/>
          <w:szCs w:val="22"/>
        </w:rPr>
        <w:t>Autism Diagnostic Observation Schedule (ADOS)</w:t>
      </w:r>
      <w:r w:rsidRPr="00A62650">
        <w:rPr>
          <w:rFonts w:ascii="Calibri" w:hAnsi="Calibri"/>
          <w:sz w:val="22"/>
          <w:szCs w:val="22"/>
        </w:rPr>
        <w:t>: A play-based child assessment that is used to look for signs of autism spectrum disorders. Given to children based on their SCQ score.</w:t>
      </w:r>
    </w:p>
    <w:p w:rsidR="00F83D31" w:rsidRPr="00A62650" w:rsidRDefault="00F83D31" w:rsidP="00F83D31">
      <w:pPr>
        <w:pStyle w:val="NormalWeb"/>
        <w:numPr>
          <w:ilvl w:val="1"/>
          <w:numId w:val="1"/>
        </w:numPr>
        <w:spacing w:beforeAutospacing="0" w:afterAutospacing="0"/>
        <w:ind w:right="120"/>
        <w:rPr>
          <w:rFonts w:ascii="Calibri" w:hAnsi="Calibri"/>
          <w:sz w:val="22"/>
          <w:szCs w:val="22"/>
        </w:rPr>
      </w:pPr>
      <w:r w:rsidRPr="00A62650">
        <w:rPr>
          <w:rFonts w:ascii="Calibri" w:hAnsi="Calibri"/>
          <w:b/>
          <w:bCs/>
          <w:sz w:val="22"/>
          <w:szCs w:val="22"/>
        </w:rPr>
        <w:t>Autism Diagnostic Interview-Revised (ADI-R)</w:t>
      </w:r>
      <w:r w:rsidRPr="00A62650">
        <w:rPr>
          <w:rFonts w:ascii="Calibri" w:hAnsi="Calibri"/>
          <w:sz w:val="22"/>
          <w:szCs w:val="22"/>
        </w:rPr>
        <w:t>: A parent interview that is useful for identifying features of an autism spectrum disorder, and distinguishing it from other developmental disorders. Given to a parent based on their child’s SCQ score.</w:t>
      </w:r>
    </w:p>
    <w:p w:rsidR="00F83D31" w:rsidRPr="00F83D31" w:rsidRDefault="00F83D31" w:rsidP="00F83D31">
      <w:pPr>
        <w:pStyle w:val="NormalWeb"/>
        <w:spacing w:beforeAutospacing="0" w:afterAutospacing="0"/>
        <w:ind w:left="1440" w:right="120"/>
        <w:rPr>
          <w:rFonts w:ascii="Calibri" w:hAnsi="Calibri"/>
        </w:rPr>
      </w:pPr>
    </w:p>
    <w:p w:rsidR="004F1FC3" w:rsidRDefault="009E2DAA" w:rsidP="00F83D31">
      <w:pPr>
        <w:pStyle w:val="NormalWeb"/>
        <w:spacing w:beforeAutospacing="0" w:afterAutospacing="0"/>
        <w:ind w:right="120" w:firstLine="720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>
            <wp:extent cx="1257935" cy="541020"/>
            <wp:effectExtent l="0" t="0" r="0" b="0"/>
            <wp:docPr id="3" name="Picture 3" descr="KKI blk MAST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KI blk MASTER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935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247F">
        <w:rPr>
          <w:rFonts w:ascii="Calibri" w:hAnsi="Calibri"/>
          <w:sz w:val="22"/>
          <w:szCs w:val="22"/>
        </w:rPr>
        <w:t xml:space="preserve">               </w:t>
      </w:r>
      <w:r>
        <w:rPr>
          <w:rFonts w:ascii="Calibri" w:hAnsi="Calibri"/>
          <w:noProof/>
          <w:sz w:val="22"/>
          <w:szCs w:val="22"/>
        </w:rPr>
        <w:drawing>
          <wp:inline distT="0" distB="0" distL="0" distR="0">
            <wp:extent cx="1499870" cy="373380"/>
            <wp:effectExtent l="0" t="0" r="5080" b="7620"/>
            <wp:docPr id="4" name="Picture 4" descr="JH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HU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87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247F">
        <w:rPr>
          <w:rFonts w:ascii="Calibri" w:hAnsi="Calibri"/>
          <w:sz w:val="22"/>
          <w:szCs w:val="22"/>
        </w:rPr>
        <w:t xml:space="preserve">           </w:t>
      </w:r>
      <w:r>
        <w:rPr>
          <w:rFonts w:ascii="Calibri" w:hAnsi="Calibri"/>
          <w:noProof/>
          <w:sz w:val="22"/>
          <w:szCs w:val="22"/>
        </w:rPr>
        <w:drawing>
          <wp:inline distT="0" distB="0" distL="0" distR="0">
            <wp:extent cx="1470660" cy="387985"/>
            <wp:effectExtent l="0" t="0" r="0" b="0"/>
            <wp:docPr id="5" name="Picture 5" descr="JHSP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HSPH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F1FC3" w:rsidSect="00E4271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D8B" w:rsidRDefault="00AF3D8B" w:rsidP="00F12686">
      <w:pPr>
        <w:spacing w:before="0" w:after="0"/>
      </w:pPr>
      <w:r>
        <w:separator/>
      </w:r>
    </w:p>
  </w:endnote>
  <w:endnote w:type="continuationSeparator" w:id="0">
    <w:p w:rsidR="00AF3D8B" w:rsidRDefault="00AF3D8B" w:rsidP="00F1268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ED1" w:rsidRDefault="007D5ED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7F8" w:rsidRPr="00F12686" w:rsidRDefault="007D5ED1">
    <w:pPr>
      <w:pStyle w:val="Foo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Appendix B.14</w:t>
    </w:r>
    <w:r>
      <w:rPr>
        <w:rFonts w:ascii="Calibri" w:hAnsi="Calibri"/>
        <w:sz w:val="22"/>
        <w:szCs w:val="22"/>
      </w:rPr>
      <w:tab/>
    </w:r>
    <w:r w:rsidR="00E477F8" w:rsidRPr="00F12686">
      <w:rPr>
        <w:rFonts w:ascii="Calibri" w:hAnsi="Calibri"/>
        <w:sz w:val="22"/>
        <w:szCs w:val="22"/>
      </w:rPr>
      <w:t>SEED II Study Handout</w:t>
    </w:r>
    <w:r>
      <w:rPr>
        <w:rFonts w:ascii="Calibri" w:hAnsi="Calibri"/>
        <w:sz w:val="22"/>
        <w:szCs w:val="22"/>
      </w:rPr>
      <w:tab/>
      <w:t>Version 1, 12/5/2011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ED1" w:rsidRDefault="007D5E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D8B" w:rsidRDefault="00AF3D8B" w:rsidP="00F12686">
      <w:pPr>
        <w:spacing w:before="0" w:after="0"/>
      </w:pPr>
      <w:r>
        <w:separator/>
      </w:r>
    </w:p>
  </w:footnote>
  <w:footnote w:type="continuationSeparator" w:id="0">
    <w:p w:rsidR="00AF3D8B" w:rsidRDefault="00AF3D8B" w:rsidP="00F1268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ED1" w:rsidRDefault="007D5ED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ED1" w:rsidRDefault="007D5ED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ED1" w:rsidRDefault="007D5ED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ED108E"/>
    <w:multiLevelType w:val="hybridMultilevel"/>
    <w:tmpl w:val="8C0AC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trackRevision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FC3"/>
    <w:rsid w:val="000B4382"/>
    <w:rsid w:val="001A3832"/>
    <w:rsid w:val="002C6444"/>
    <w:rsid w:val="00396008"/>
    <w:rsid w:val="003B68DC"/>
    <w:rsid w:val="003E2492"/>
    <w:rsid w:val="004F1FC3"/>
    <w:rsid w:val="00566D4F"/>
    <w:rsid w:val="005F0BC7"/>
    <w:rsid w:val="00710FEB"/>
    <w:rsid w:val="007860E6"/>
    <w:rsid w:val="007B532B"/>
    <w:rsid w:val="007D5ED1"/>
    <w:rsid w:val="00821EF4"/>
    <w:rsid w:val="00833005"/>
    <w:rsid w:val="0086205C"/>
    <w:rsid w:val="00876304"/>
    <w:rsid w:val="008C4447"/>
    <w:rsid w:val="009A4473"/>
    <w:rsid w:val="009A633E"/>
    <w:rsid w:val="009E2DAA"/>
    <w:rsid w:val="00A55C85"/>
    <w:rsid w:val="00A62650"/>
    <w:rsid w:val="00AF3D8B"/>
    <w:rsid w:val="00AF6985"/>
    <w:rsid w:val="00B431F5"/>
    <w:rsid w:val="00BC5246"/>
    <w:rsid w:val="00D657DA"/>
    <w:rsid w:val="00E42719"/>
    <w:rsid w:val="00E477F8"/>
    <w:rsid w:val="00E5247F"/>
    <w:rsid w:val="00F12686"/>
    <w:rsid w:val="00F44B21"/>
    <w:rsid w:val="00F8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FC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1FC3"/>
  </w:style>
  <w:style w:type="paragraph" w:styleId="ListParagraph">
    <w:name w:val="List Paragraph"/>
    <w:basedOn w:val="Normal"/>
    <w:uiPriority w:val="34"/>
    <w:qFormat/>
    <w:rsid w:val="004F1FC3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F126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2686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126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2686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24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2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FC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1FC3"/>
  </w:style>
  <w:style w:type="paragraph" w:styleId="ListParagraph">
    <w:name w:val="List Paragraph"/>
    <w:basedOn w:val="Normal"/>
    <w:uiPriority w:val="34"/>
    <w:qFormat/>
    <w:rsid w:val="004F1FC3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F126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2686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126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2686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24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2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9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1939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 Bloomberg School of Public Health</Company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Landrum</dc:creator>
  <cp:keywords/>
  <dc:description/>
  <cp:lastModifiedBy>Grant, Dorthina G. (CDC/ONDIEH/NCBDDD)</cp:lastModifiedBy>
  <cp:revision>2</cp:revision>
  <dcterms:created xsi:type="dcterms:W3CDTF">2012-06-13T13:26:00Z</dcterms:created>
  <dcterms:modified xsi:type="dcterms:W3CDTF">2012-06-13T13:26:00Z</dcterms:modified>
</cp:coreProperties>
</file>