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w:t>
      </w:r>
      <w:r w:rsidRPr="00301202">
        <w:rPr>
          <w:sz w:val="28"/>
        </w:rPr>
        <w:t>Number:</w:t>
      </w:r>
      <w:r w:rsidR="003B58CD">
        <w:rPr>
          <w:sz w:val="28"/>
        </w:rPr>
        <w:t xml:space="preserve"> 0920-0919</w:t>
      </w:r>
      <w:r w:rsidRPr="00301202">
        <w:rPr>
          <w:sz w:val="28"/>
        </w:rPr>
        <w:t>)</w:t>
      </w:r>
    </w:p>
    <w:p w:rsidR="004C0133" w:rsidRDefault="00E04545" w:rsidP="00434E33">
      <w:r>
        <w:rPr>
          <w:noProof/>
        </w:rPr>
        <mc:AlternateContent>
          <mc:Choice Requires="wps">
            <w:drawing>
              <wp:anchor distT="4294967291" distB="4294967291"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p>
    <w:p w:rsidR="004C0133" w:rsidRDefault="004C0133" w:rsidP="00434E33"/>
    <w:p w:rsidR="00B46F2C" w:rsidRPr="009239AA" w:rsidRDefault="004C0133" w:rsidP="00434E33">
      <w:pPr>
        <w:rPr>
          <w:b/>
        </w:rPr>
      </w:pPr>
      <w:r>
        <w:t>Raising Public Awareness for Deep Vein Thrombosis/Pulmonary Embolism</w:t>
      </w:r>
      <w:r w:rsidR="00951F36">
        <w:t xml:space="preserve"> (DVT/PE)</w:t>
      </w:r>
    </w:p>
    <w:p w:rsidR="00B46F2C" w:rsidRDefault="00B46F2C"/>
    <w:p w:rsidR="00B46F2C" w:rsidRDefault="00B46F2C">
      <w:r>
        <w:rPr>
          <w:b/>
        </w:rPr>
        <w:t>PURPOSE</w:t>
      </w:r>
      <w:r w:rsidRPr="009239AA">
        <w:rPr>
          <w:b/>
        </w:rPr>
        <w:t xml:space="preserve">:  </w:t>
      </w:r>
    </w:p>
    <w:p w:rsidR="00B46F2C" w:rsidRDefault="00B46F2C"/>
    <w:p w:rsidR="00A24ED9" w:rsidRDefault="00A24ED9" w:rsidP="00A24ED9">
      <w:r>
        <w:t xml:space="preserve">The purpose of this project is to develop messaging concepts that can be used in a public awareness campaign to build knowledge and awareness of DVT/PE; increase recognition of the symptoms and risk factors for DVT/PE; and empower </w:t>
      </w:r>
      <w:r w:rsidRPr="00982217">
        <w:t xml:space="preserve">people to take action.  </w:t>
      </w:r>
    </w:p>
    <w:p w:rsidR="00A24ED9" w:rsidRPr="00982217" w:rsidRDefault="00A24ED9" w:rsidP="00A24ED9"/>
    <w:p w:rsidR="00A24ED9" w:rsidRDefault="00A24ED9" w:rsidP="00A24ED9">
      <w:r>
        <w:t>M</w:t>
      </w:r>
      <w:r w:rsidRPr="00982217">
        <w:t>essage concepts were developed from insights emerg</w:t>
      </w:r>
      <w:r>
        <w:t>ing</w:t>
      </w:r>
      <w:r w:rsidRPr="00982217">
        <w:t xml:space="preserve"> from formative research on consumer knowledge, attitudes, and beliefs (KABs) toward DVT.  Th</w:t>
      </w:r>
      <w:r>
        <w:t xml:space="preserve">e current </w:t>
      </w:r>
      <w:r w:rsidRPr="00982217">
        <w:t>stage of the research will test the message concepts</w:t>
      </w:r>
      <w:r>
        <w:t>, identify effective ways to present the messages,</w:t>
      </w:r>
      <w:r w:rsidRPr="00982217">
        <w:t xml:space="preserve"> and identify</w:t>
      </w:r>
      <w:r>
        <w:t xml:space="preserve"> effective channel</w:t>
      </w:r>
      <w:r w:rsidR="00EE30A5">
        <w:t>s to disseminate the messages</w:t>
      </w:r>
      <w:r w:rsidRPr="00982217">
        <w:t xml:space="preserve">.  </w:t>
      </w:r>
    </w:p>
    <w:p w:rsidR="00A24ED9" w:rsidRDefault="00A24ED9" w:rsidP="00A24ED9"/>
    <w:p w:rsidR="00A24ED9" w:rsidRDefault="00A24ED9" w:rsidP="00A24ED9">
      <w:r w:rsidRPr="00A27D5F">
        <w:t xml:space="preserve">This Plan focuses on the message testing stage of the project and will investigate: </w:t>
      </w:r>
    </w:p>
    <w:p w:rsidR="00A24ED9" w:rsidRDefault="00A24ED9" w:rsidP="00A24ED9">
      <w:pPr>
        <w:pStyle w:val="NoSpacing"/>
        <w:rPr>
          <w:b/>
          <w:i/>
        </w:rPr>
      </w:pPr>
      <w:r w:rsidRPr="00AD1CF0">
        <w:rPr>
          <w:b/>
          <w:i/>
        </w:rPr>
        <w:t xml:space="preserve">What messaging frameworks </w:t>
      </w:r>
      <w:r>
        <w:rPr>
          <w:b/>
          <w:i/>
        </w:rPr>
        <w:t>increases recognition of symptoms and risk factors for DVT/PE and empower people to take action</w:t>
      </w:r>
      <w:r w:rsidRPr="00AD1CF0">
        <w:rPr>
          <w:b/>
          <w:i/>
        </w:rPr>
        <w:t>?</w:t>
      </w:r>
    </w:p>
    <w:p w:rsidR="00A24ED9" w:rsidRPr="00AD1CF0" w:rsidRDefault="00A24ED9" w:rsidP="00A24ED9">
      <w:pPr>
        <w:pStyle w:val="NoSpacing"/>
        <w:rPr>
          <w:b/>
          <w:i/>
        </w:rPr>
      </w:pPr>
    </w:p>
    <w:p w:rsidR="00A24ED9" w:rsidRDefault="00A24ED9" w:rsidP="00A24ED9">
      <w:r w:rsidRPr="00AD1CF0">
        <w:t xml:space="preserve">Specifically, the message testing research will </w:t>
      </w:r>
      <w:r>
        <w:t xml:space="preserve">help develop message concepts and determine most effective channels to capture the attention of and motivate DVT/PE-related action by the target audience. </w:t>
      </w:r>
      <w:r w:rsidR="00EE30A5">
        <w:t xml:space="preserve"> </w:t>
      </w:r>
      <w:r w:rsidR="003302A2">
        <w:t xml:space="preserve">Eight focus groups will be conducted in Atlanta, Georgia and Baltimore, Maryland. </w:t>
      </w:r>
      <w:r w:rsidR="00EE30A5">
        <w:t>During the focus groups,</w:t>
      </w:r>
      <w:r>
        <w:t xml:space="preserve"> </w:t>
      </w:r>
      <w:r w:rsidR="00EE30A5">
        <w:t>participants will be presented with a worksheet of message concepts, a set of print ads, and a slideshow. These m</w:t>
      </w:r>
      <w:r>
        <w:t>essage m</w:t>
      </w:r>
      <w:r w:rsidRPr="00982217">
        <w:t>aterials will be tested to</w:t>
      </w:r>
      <w:r>
        <w:t>:</w:t>
      </w:r>
      <w:r w:rsidRPr="00982217">
        <w:t xml:space="preserve"> </w:t>
      </w:r>
    </w:p>
    <w:p w:rsidR="00A24ED9" w:rsidRDefault="00A24ED9" w:rsidP="00A24ED9">
      <w:pPr>
        <w:pStyle w:val="ListParagraph"/>
        <w:numPr>
          <w:ilvl w:val="0"/>
          <w:numId w:val="19"/>
        </w:numPr>
        <w:spacing w:after="200" w:line="276" w:lineRule="auto"/>
      </w:pPr>
      <w:r w:rsidRPr="00982217">
        <w:t>assess</w:t>
      </w:r>
      <w:r>
        <w:t xml:space="preserve"> </w:t>
      </w:r>
      <w:r w:rsidRPr="00982217">
        <w:t>comprehens</w:t>
      </w:r>
      <w:r>
        <w:t>ion;</w:t>
      </w:r>
    </w:p>
    <w:p w:rsidR="00A24ED9" w:rsidRDefault="00A24ED9" w:rsidP="00A24ED9">
      <w:pPr>
        <w:pStyle w:val="ListParagraph"/>
        <w:numPr>
          <w:ilvl w:val="0"/>
          <w:numId w:val="19"/>
        </w:numPr>
        <w:spacing w:after="200" w:line="276" w:lineRule="auto"/>
      </w:pPr>
      <w:r>
        <w:t>assess overall appeal;</w:t>
      </w:r>
      <w:r w:rsidRPr="00982217">
        <w:t xml:space="preserve"> </w:t>
      </w:r>
    </w:p>
    <w:p w:rsidR="00A24ED9" w:rsidRDefault="00A24ED9" w:rsidP="00A24ED9">
      <w:pPr>
        <w:pStyle w:val="ListParagraph"/>
        <w:numPr>
          <w:ilvl w:val="0"/>
          <w:numId w:val="19"/>
        </w:numPr>
        <w:spacing w:after="200" w:line="276" w:lineRule="auto"/>
      </w:pPr>
      <w:r>
        <w:t>identify</w:t>
      </w:r>
      <w:r w:rsidRPr="00982217">
        <w:t xml:space="preserve"> confusing, sensitive or controversial </w:t>
      </w:r>
      <w:r>
        <w:t xml:space="preserve">written or visual </w:t>
      </w:r>
      <w:r w:rsidRPr="00982217">
        <w:t>elements</w:t>
      </w:r>
      <w:r>
        <w:t>;</w:t>
      </w:r>
    </w:p>
    <w:p w:rsidR="00A24ED9" w:rsidRDefault="00A24ED9" w:rsidP="00A24ED9">
      <w:pPr>
        <w:pStyle w:val="ListParagraph"/>
        <w:numPr>
          <w:ilvl w:val="0"/>
          <w:numId w:val="19"/>
        </w:numPr>
        <w:spacing w:after="200" w:line="276" w:lineRule="auto"/>
      </w:pPr>
      <w:r>
        <w:t>determine personal relevance;</w:t>
      </w:r>
    </w:p>
    <w:p w:rsidR="00A24ED9" w:rsidRDefault="00A24ED9" w:rsidP="00A24ED9">
      <w:pPr>
        <w:pStyle w:val="ListParagraph"/>
        <w:numPr>
          <w:ilvl w:val="0"/>
          <w:numId w:val="19"/>
        </w:numPr>
        <w:spacing w:after="200" w:line="276" w:lineRule="auto"/>
      </w:pPr>
      <w:r>
        <w:t xml:space="preserve">assess </w:t>
      </w:r>
      <w:r w:rsidRPr="00982217">
        <w:t>credibility</w:t>
      </w:r>
      <w:r>
        <w:t>;</w:t>
      </w:r>
    </w:p>
    <w:p w:rsidR="00A24ED9" w:rsidRDefault="00A24ED9" w:rsidP="00A24ED9">
      <w:pPr>
        <w:pStyle w:val="ListParagraph"/>
        <w:numPr>
          <w:ilvl w:val="0"/>
          <w:numId w:val="19"/>
        </w:numPr>
        <w:spacing w:after="200" w:line="276" w:lineRule="auto"/>
      </w:pPr>
      <w:r>
        <w:t>assess the effectiveness of the calls to action;</w:t>
      </w:r>
    </w:p>
    <w:p w:rsidR="00A24ED9" w:rsidRDefault="00A24ED9" w:rsidP="00A24ED9">
      <w:pPr>
        <w:pStyle w:val="ListParagraph"/>
        <w:numPr>
          <w:ilvl w:val="0"/>
          <w:numId w:val="19"/>
        </w:numPr>
        <w:spacing w:after="200" w:line="276" w:lineRule="auto"/>
      </w:pPr>
      <w:r>
        <w:t>identify desired dissemination channels; and</w:t>
      </w:r>
    </w:p>
    <w:p w:rsidR="00A24ED9" w:rsidRDefault="00A24ED9" w:rsidP="00A24ED9">
      <w:pPr>
        <w:pStyle w:val="ListParagraph"/>
        <w:numPr>
          <w:ilvl w:val="0"/>
          <w:numId w:val="19"/>
        </w:numPr>
        <w:spacing w:after="200" w:line="276" w:lineRule="auto"/>
      </w:pPr>
      <w:proofErr w:type="gramStart"/>
      <w:r>
        <w:t>identify</w:t>
      </w:r>
      <w:proofErr w:type="gramEnd"/>
      <w:r>
        <w:t xml:space="preserve"> credible messengers.</w:t>
      </w:r>
    </w:p>
    <w:p w:rsidR="00B46F2C" w:rsidRDefault="00B46F2C"/>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170D91" w:rsidRDefault="00175A1A" w:rsidP="00170D91">
      <w:r>
        <w:t xml:space="preserve">Respondents will be recently hospitalized and representing a mix of demographic factors, including age and gender. </w:t>
      </w:r>
      <w:r w:rsidRPr="00E53144">
        <w:t xml:space="preserve">  </w:t>
      </w:r>
      <w:r>
        <w:t xml:space="preserve">We focus on these audiences, as recent hospitalization is a leading risk factor for DVT/PE and these participants will be more likely to relate to the risk factors associated with injury and being sedentary.  </w:t>
      </w:r>
      <w:r w:rsidRPr="00E53144">
        <w:t xml:space="preserve">In order to promote active group dynamics, </w:t>
      </w:r>
      <w:r>
        <w:t xml:space="preserve">all groups will be separated by gender. Because we encountered age-specific responses to the messaging in the formative research, we also recommend segmenting these message testing groups by age.  We recommend conducting groups of young and middle aged to capture a wider breadth of opinions of this target. Older aged groups will be conducted to capture whether </w:t>
      </w:r>
      <w:r>
        <w:lastRenderedPageBreak/>
        <w:t xml:space="preserve">message concepts are relevant to this audiences’ age-specific needs.  </w:t>
      </w:r>
      <w:r w:rsidR="00170D91">
        <w:t xml:space="preserve">Table A.1 below outlines our proposed segmentation design.  </w:t>
      </w:r>
    </w:p>
    <w:p w:rsidR="00170D91" w:rsidRDefault="00170D91" w:rsidP="00170D91"/>
    <w:p w:rsidR="007F2722" w:rsidRPr="007F2722" w:rsidRDefault="00A369FB">
      <w:pPr>
        <w:pStyle w:val="Table"/>
        <w:rPr>
          <w:b/>
        </w:rPr>
      </w:pPr>
      <w:r w:rsidRPr="007F2722">
        <w:rPr>
          <w:b/>
        </w:rPr>
        <w:t xml:space="preserve">Table A.1. Segmentation Design </w:t>
      </w:r>
    </w:p>
    <w:tbl>
      <w:tblPr>
        <w:tblW w:w="8100" w:type="dxa"/>
        <w:tblInd w:w="108" w:type="dxa"/>
        <w:tblBorders>
          <w:top w:val="single" w:sz="4" w:space="0" w:color="auto"/>
          <w:bottom w:val="single" w:sz="4" w:space="0" w:color="auto"/>
        </w:tblBorders>
        <w:tblLayout w:type="fixed"/>
        <w:tblLook w:val="01E0" w:firstRow="1" w:lastRow="1" w:firstColumn="1" w:lastColumn="1" w:noHBand="0" w:noVBand="0"/>
      </w:tblPr>
      <w:tblGrid>
        <w:gridCol w:w="1620"/>
        <w:gridCol w:w="2340"/>
        <w:gridCol w:w="1620"/>
        <w:gridCol w:w="2520"/>
      </w:tblGrid>
      <w:tr w:rsidR="00170D91" w:rsidTr="00170D91">
        <w:trPr>
          <w:trHeight w:val="773"/>
        </w:trPr>
        <w:tc>
          <w:tcPr>
            <w:tcW w:w="3960" w:type="dxa"/>
            <w:gridSpan w:val="2"/>
            <w:tcBorders>
              <w:top w:val="single" w:sz="4" w:space="0" w:color="auto"/>
              <w:bottom w:val="single" w:sz="4" w:space="0" w:color="auto"/>
              <w:right w:val="nil"/>
            </w:tcBorders>
            <w:shd w:val="clear" w:color="auto" w:fill="AFBED7"/>
          </w:tcPr>
          <w:p w:rsidR="00170D91" w:rsidRPr="001E52FE" w:rsidRDefault="00170D91" w:rsidP="00170D91">
            <w:pPr>
              <w:pStyle w:val="TH-TableHeading"/>
            </w:pPr>
            <w:r>
              <w:t>Males hospitalized in last 12 months: surgery, trauma (falls, car accidents), cancer treatment</w:t>
            </w:r>
          </w:p>
        </w:tc>
        <w:tc>
          <w:tcPr>
            <w:tcW w:w="4140" w:type="dxa"/>
            <w:gridSpan w:val="2"/>
            <w:tcBorders>
              <w:top w:val="single" w:sz="4" w:space="0" w:color="auto"/>
              <w:left w:val="nil"/>
              <w:bottom w:val="single" w:sz="4" w:space="0" w:color="auto"/>
              <w:right w:val="nil"/>
            </w:tcBorders>
            <w:shd w:val="clear" w:color="auto" w:fill="AFBED7"/>
          </w:tcPr>
          <w:p w:rsidR="00170D91" w:rsidRPr="001E52FE" w:rsidRDefault="00170D91" w:rsidP="00170D91">
            <w:pPr>
              <w:pStyle w:val="TH-TableHeading"/>
            </w:pPr>
            <w:r>
              <w:t>Females hospitalized in last 12 months: surgery, trauma (falls, car accidents), birth, cancer treatment</w:t>
            </w:r>
          </w:p>
        </w:tc>
      </w:tr>
      <w:tr w:rsidR="00170D91" w:rsidTr="00170D91">
        <w:tc>
          <w:tcPr>
            <w:tcW w:w="1620" w:type="dxa"/>
            <w:tcBorders>
              <w:top w:val="single" w:sz="4" w:space="0" w:color="auto"/>
            </w:tcBorders>
          </w:tcPr>
          <w:p w:rsidR="00170D91" w:rsidRPr="00D2646C" w:rsidRDefault="00170D91" w:rsidP="00170D91">
            <w:pPr>
              <w:pStyle w:val="TX-TableText"/>
              <w:spacing w:after="60"/>
              <w:ind w:left="158" w:hanging="158"/>
              <w:jc w:val="center"/>
            </w:pPr>
            <w:r>
              <w:t>No. of Groups</w:t>
            </w:r>
          </w:p>
        </w:tc>
        <w:tc>
          <w:tcPr>
            <w:tcW w:w="2340" w:type="dxa"/>
            <w:tcBorders>
              <w:top w:val="single" w:sz="4" w:space="0" w:color="auto"/>
              <w:right w:val="single" w:sz="4" w:space="0" w:color="auto"/>
            </w:tcBorders>
          </w:tcPr>
          <w:p w:rsidR="00170D91" w:rsidRDefault="00170D91" w:rsidP="00170D91">
            <w:pPr>
              <w:pStyle w:val="TX-TableText"/>
              <w:spacing w:after="60"/>
              <w:ind w:left="158" w:hanging="158"/>
              <w:jc w:val="center"/>
            </w:pPr>
            <w:r>
              <w:t>Ages</w:t>
            </w:r>
          </w:p>
        </w:tc>
        <w:tc>
          <w:tcPr>
            <w:tcW w:w="1620" w:type="dxa"/>
            <w:tcBorders>
              <w:top w:val="single" w:sz="4" w:space="0" w:color="auto"/>
              <w:left w:val="single" w:sz="4" w:space="0" w:color="auto"/>
            </w:tcBorders>
          </w:tcPr>
          <w:p w:rsidR="00170D91" w:rsidRDefault="00170D91" w:rsidP="00170D91">
            <w:pPr>
              <w:pStyle w:val="TX-TableText"/>
              <w:spacing w:after="60"/>
              <w:jc w:val="center"/>
            </w:pPr>
            <w:r>
              <w:t>No. of Groups</w:t>
            </w:r>
          </w:p>
        </w:tc>
        <w:tc>
          <w:tcPr>
            <w:tcW w:w="2520" w:type="dxa"/>
            <w:tcBorders>
              <w:top w:val="single" w:sz="4" w:space="0" w:color="auto"/>
              <w:bottom w:val="single" w:sz="4" w:space="0" w:color="auto"/>
              <w:right w:val="nil"/>
            </w:tcBorders>
          </w:tcPr>
          <w:p w:rsidR="00170D91" w:rsidRDefault="00170D91" w:rsidP="00170D91">
            <w:pPr>
              <w:pStyle w:val="TX-TableText"/>
              <w:spacing w:after="60"/>
              <w:jc w:val="center"/>
            </w:pPr>
            <w:r>
              <w:t>Ages</w:t>
            </w:r>
          </w:p>
        </w:tc>
      </w:tr>
      <w:tr w:rsidR="00170D91" w:rsidTr="00170D91">
        <w:tc>
          <w:tcPr>
            <w:tcW w:w="1620" w:type="dxa"/>
            <w:tcBorders>
              <w:top w:val="single" w:sz="4" w:space="0" w:color="auto"/>
            </w:tcBorders>
          </w:tcPr>
          <w:p w:rsidR="00170D91" w:rsidRPr="00D2646C" w:rsidRDefault="00170D91" w:rsidP="00170D91">
            <w:pPr>
              <w:pStyle w:val="TX-TableText"/>
              <w:spacing w:after="60"/>
              <w:ind w:left="158" w:hanging="158"/>
              <w:jc w:val="center"/>
            </w:pPr>
            <w:r>
              <w:t>1</w:t>
            </w:r>
          </w:p>
        </w:tc>
        <w:tc>
          <w:tcPr>
            <w:tcW w:w="2340" w:type="dxa"/>
            <w:tcBorders>
              <w:top w:val="single" w:sz="4" w:space="0" w:color="auto"/>
              <w:right w:val="single" w:sz="4" w:space="0" w:color="auto"/>
            </w:tcBorders>
          </w:tcPr>
          <w:p w:rsidR="00170D91" w:rsidRPr="00D2646C" w:rsidRDefault="00170D91" w:rsidP="00170D91">
            <w:pPr>
              <w:pStyle w:val="TX-TableText"/>
              <w:spacing w:after="60"/>
              <w:ind w:left="158" w:hanging="158"/>
              <w:jc w:val="center"/>
            </w:pPr>
            <w:r>
              <w:t>18-39</w:t>
            </w:r>
          </w:p>
        </w:tc>
        <w:tc>
          <w:tcPr>
            <w:tcW w:w="1620" w:type="dxa"/>
            <w:tcBorders>
              <w:top w:val="single" w:sz="4" w:space="0" w:color="auto"/>
              <w:left w:val="single" w:sz="4" w:space="0" w:color="auto"/>
            </w:tcBorders>
          </w:tcPr>
          <w:p w:rsidR="00170D91" w:rsidRPr="00D2646C" w:rsidRDefault="00170D91" w:rsidP="00170D91">
            <w:pPr>
              <w:pStyle w:val="TX-TableText"/>
              <w:spacing w:after="60"/>
              <w:jc w:val="center"/>
            </w:pPr>
            <w:r>
              <w:t>2</w:t>
            </w:r>
          </w:p>
        </w:tc>
        <w:tc>
          <w:tcPr>
            <w:tcW w:w="2520" w:type="dxa"/>
            <w:tcBorders>
              <w:top w:val="single" w:sz="4" w:space="0" w:color="auto"/>
              <w:bottom w:val="nil"/>
              <w:right w:val="nil"/>
            </w:tcBorders>
          </w:tcPr>
          <w:p w:rsidR="00170D91" w:rsidRPr="00E1607A" w:rsidRDefault="00170D91" w:rsidP="00170D91">
            <w:pPr>
              <w:pStyle w:val="TX-TableText"/>
              <w:spacing w:after="60"/>
              <w:jc w:val="center"/>
            </w:pPr>
            <w:r>
              <w:t>18-39</w:t>
            </w:r>
          </w:p>
        </w:tc>
      </w:tr>
      <w:tr w:rsidR="00170D91" w:rsidTr="00170D91">
        <w:tc>
          <w:tcPr>
            <w:tcW w:w="1620" w:type="dxa"/>
          </w:tcPr>
          <w:p w:rsidR="00170D91" w:rsidRPr="00D2646C" w:rsidRDefault="00170D91" w:rsidP="00170D91">
            <w:pPr>
              <w:pStyle w:val="TX-TableText"/>
              <w:spacing w:after="60"/>
              <w:ind w:left="162" w:hanging="162"/>
              <w:jc w:val="center"/>
            </w:pPr>
            <w:r>
              <w:t>2</w:t>
            </w:r>
          </w:p>
        </w:tc>
        <w:tc>
          <w:tcPr>
            <w:tcW w:w="2340" w:type="dxa"/>
            <w:tcBorders>
              <w:bottom w:val="nil"/>
              <w:right w:val="single" w:sz="4" w:space="0" w:color="auto"/>
            </w:tcBorders>
          </w:tcPr>
          <w:p w:rsidR="00170D91" w:rsidRPr="00D2646C" w:rsidRDefault="00170D91" w:rsidP="00170D91">
            <w:pPr>
              <w:pStyle w:val="TX-TableText"/>
              <w:spacing w:after="60"/>
              <w:ind w:left="162" w:hanging="162"/>
              <w:jc w:val="center"/>
            </w:pPr>
            <w:r>
              <w:t>40-64</w:t>
            </w:r>
          </w:p>
        </w:tc>
        <w:tc>
          <w:tcPr>
            <w:tcW w:w="1620" w:type="dxa"/>
            <w:tcBorders>
              <w:left w:val="single" w:sz="4" w:space="0" w:color="auto"/>
            </w:tcBorders>
          </w:tcPr>
          <w:p w:rsidR="00170D91" w:rsidRPr="00D2646C" w:rsidRDefault="00170D91" w:rsidP="00170D91">
            <w:pPr>
              <w:pStyle w:val="TX-TableText"/>
              <w:spacing w:after="60"/>
              <w:jc w:val="center"/>
            </w:pPr>
            <w:r>
              <w:t>1</w:t>
            </w:r>
          </w:p>
        </w:tc>
        <w:tc>
          <w:tcPr>
            <w:tcW w:w="2520" w:type="dxa"/>
            <w:tcBorders>
              <w:top w:val="nil"/>
              <w:bottom w:val="nil"/>
              <w:right w:val="nil"/>
            </w:tcBorders>
          </w:tcPr>
          <w:p w:rsidR="00170D91" w:rsidRPr="00E1607A" w:rsidRDefault="00170D91" w:rsidP="00170D91">
            <w:pPr>
              <w:pStyle w:val="TX-TableText"/>
              <w:spacing w:after="60"/>
              <w:jc w:val="center"/>
            </w:pPr>
            <w:r>
              <w:t>40-64</w:t>
            </w:r>
          </w:p>
        </w:tc>
      </w:tr>
      <w:tr w:rsidR="00170D91" w:rsidTr="00DB3DF0">
        <w:tc>
          <w:tcPr>
            <w:tcW w:w="1620" w:type="dxa"/>
          </w:tcPr>
          <w:p w:rsidR="00170D91" w:rsidRPr="00D2646C" w:rsidRDefault="00170D91" w:rsidP="00170D91">
            <w:pPr>
              <w:pStyle w:val="TX-TableText"/>
              <w:spacing w:after="60"/>
              <w:ind w:left="162" w:hanging="162"/>
              <w:jc w:val="center"/>
            </w:pPr>
            <w:r>
              <w:t>1</w:t>
            </w:r>
          </w:p>
        </w:tc>
        <w:tc>
          <w:tcPr>
            <w:tcW w:w="2340" w:type="dxa"/>
            <w:tcBorders>
              <w:top w:val="nil"/>
              <w:bottom w:val="nil"/>
              <w:right w:val="single" w:sz="4" w:space="0" w:color="auto"/>
            </w:tcBorders>
          </w:tcPr>
          <w:p w:rsidR="00170D91" w:rsidRPr="00D2646C" w:rsidRDefault="00170D91" w:rsidP="00170D91">
            <w:pPr>
              <w:pStyle w:val="TX-TableText"/>
              <w:spacing w:after="60"/>
              <w:ind w:left="162" w:hanging="162"/>
              <w:jc w:val="center"/>
            </w:pPr>
            <w:r>
              <w:t>65-80</w:t>
            </w:r>
          </w:p>
        </w:tc>
        <w:tc>
          <w:tcPr>
            <w:tcW w:w="1620" w:type="dxa"/>
            <w:tcBorders>
              <w:left w:val="single" w:sz="4" w:space="0" w:color="auto"/>
            </w:tcBorders>
          </w:tcPr>
          <w:p w:rsidR="00170D91" w:rsidRPr="00D2646C" w:rsidRDefault="00170D91" w:rsidP="00170D91">
            <w:pPr>
              <w:pStyle w:val="TX-TableText"/>
              <w:spacing w:after="60"/>
              <w:jc w:val="center"/>
            </w:pPr>
            <w:r>
              <w:t>1</w:t>
            </w:r>
          </w:p>
        </w:tc>
        <w:tc>
          <w:tcPr>
            <w:tcW w:w="2520" w:type="dxa"/>
            <w:tcBorders>
              <w:top w:val="nil"/>
              <w:bottom w:val="nil"/>
              <w:right w:val="nil"/>
            </w:tcBorders>
          </w:tcPr>
          <w:p w:rsidR="00170D91" w:rsidRPr="00D2646C" w:rsidRDefault="00170D91" w:rsidP="00170D91">
            <w:pPr>
              <w:pStyle w:val="TX-TableText"/>
              <w:spacing w:after="60"/>
              <w:jc w:val="center"/>
            </w:pPr>
            <w:r>
              <w:t>65-80</w:t>
            </w:r>
          </w:p>
        </w:tc>
      </w:tr>
      <w:tr w:rsidR="00DB3DF0" w:rsidTr="00A32CC3">
        <w:tc>
          <w:tcPr>
            <w:tcW w:w="8100" w:type="dxa"/>
            <w:gridSpan w:val="4"/>
          </w:tcPr>
          <w:p w:rsidR="00DB3DF0" w:rsidRDefault="00DB3DF0" w:rsidP="00DB3DF0">
            <w:pPr>
              <w:pStyle w:val="TX-TableText"/>
              <w:spacing w:after="60"/>
              <w:jc w:val="both"/>
            </w:pPr>
            <w:r>
              <w:t>TOTAL: 4 focus groups in Atlanta, GA / 4 focus groups in Baltimore, MD</w:t>
            </w:r>
          </w:p>
        </w:tc>
      </w:tr>
    </w:tbl>
    <w:p w:rsidR="00B46F2C" w:rsidRDefault="00B46F2C">
      <w:pPr>
        <w:rPr>
          <w:b/>
        </w:rPr>
      </w:pPr>
    </w:p>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w:t>
      </w:r>
      <w:r w:rsidR="004C0133">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w:t>
      </w:r>
      <w:r w:rsidRPr="00301202">
        <w:rPr>
          <w:u w:val="single"/>
        </w:rPr>
        <w:t>:</w:t>
      </w:r>
      <w:r w:rsidR="00301202">
        <w:rPr>
          <w:u w:val="single"/>
        </w:rPr>
        <w:t xml:space="preserve"> </w:t>
      </w:r>
      <w:r w:rsidRPr="00301202">
        <w:rPr>
          <w:u w:val="single"/>
        </w:rPr>
        <w:t>_________</w:t>
      </w:r>
      <w:r w:rsidR="00301202" w:rsidRPr="00301202">
        <w:rPr>
          <w:u w:val="single"/>
        </w:rPr>
        <w:t>Cynthia A. Sayers (cay1@cdc.gov)</w:t>
      </w:r>
      <w:r w:rsidRPr="00301202">
        <w:rPr>
          <w:u w:val="single"/>
        </w:rPr>
        <w:t>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t>Personally Identifiable Information:</w:t>
      </w:r>
    </w:p>
    <w:p w:rsidR="00B46F2C" w:rsidRDefault="00B46F2C" w:rsidP="00C86E91">
      <w:pPr>
        <w:pStyle w:val="ListParagraph"/>
        <w:numPr>
          <w:ilvl w:val="0"/>
          <w:numId w:val="18"/>
        </w:numPr>
      </w:pPr>
      <w:r>
        <w:t>Is personally identifiable information (PII) collected?  [  ] Yes  [</w:t>
      </w:r>
      <w:r w:rsidR="004C0133">
        <w:t>X</w:t>
      </w:r>
      <w:r>
        <w:t xml:space="preserve"> ]  No </w:t>
      </w:r>
    </w:p>
    <w:p w:rsidR="00B46F2C" w:rsidRDefault="00B46F2C" w:rsidP="00C86E91">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  ] Yes [  ] No   </w:t>
      </w:r>
    </w:p>
    <w:p w:rsidR="00B46F2C" w:rsidRDefault="00B46F2C" w:rsidP="00C86E91">
      <w:pPr>
        <w:pStyle w:val="ListParagraph"/>
        <w:numPr>
          <w:ilvl w:val="0"/>
          <w:numId w:val="18"/>
        </w:numPr>
      </w:pPr>
      <w:r>
        <w:t>If Applicable, has a System or Records Notice been published?  [  ] Yes  [  ] No</w:t>
      </w:r>
    </w:p>
    <w:p w:rsidR="001A0F5C" w:rsidRDefault="001A0F5C" w:rsidP="00C86E91">
      <w:pPr>
        <w:pStyle w:val="ListParagraph"/>
        <w:ind w:left="0"/>
        <w:rPr>
          <w:b/>
        </w:rPr>
      </w:pPr>
    </w:p>
    <w:p w:rsidR="00B46F2C" w:rsidRPr="00C86E91" w:rsidRDefault="00B46F2C" w:rsidP="00C86E91">
      <w:pPr>
        <w:pStyle w:val="ListParagraph"/>
        <w:ind w:left="0"/>
        <w:rPr>
          <w:b/>
        </w:rPr>
      </w:pPr>
      <w:r>
        <w:rPr>
          <w:b/>
        </w:rPr>
        <w:t>Gifts or Payments:</w:t>
      </w:r>
    </w:p>
    <w:p w:rsidR="00B46F2C" w:rsidRDefault="00B46F2C" w:rsidP="00C86E91">
      <w:r>
        <w:t xml:space="preserve">Is an incentive (e.g., money or reimbursement of expenses, token of appreciation) provided to participants?  </w:t>
      </w:r>
      <w:proofErr w:type="gramStart"/>
      <w:r>
        <w:t xml:space="preserve">[ </w:t>
      </w:r>
      <w:r w:rsidR="004C0133">
        <w:t>X</w:t>
      </w:r>
      <w:proofErr w:type="gramEnd"/>
      <w:r>
        <w:t xml:space="preserve"> ] Yes [  ] No  </w:t>
      </w:r>
    </w:p>
    <w:p w:rsidR="00B46F2C" w:rsidRDefault="00B46F2C">
      <w:pPr>
        <w:rPr>
          <w:b/>
        </w:rPr>
      </w:pPr>
    </w:p>
    <w:p w:rsidR="00A019F1" w:rsidRDefault="00A019F1">
      <w:pPr>
        <w:rPr>
          <w:b/>
          <w:i/>
        </w:rPr>
      </w:pPr>
    </w:p>
    <w:p w:rsidR="00A019F1" w:rsidRDefault="00A019F1">
      <w:pPr>
        <w:rPr>
          <w:b/>
          <w:i/>
        </w:rPr>
      </w:pPr>
    </w:p>
    <w:p w:rsidR="006A08B6" w:rsidRDefault="006A08B6">
      <w:pPr>
        <w:rPr>
          <w:b/>
          <w:i/>
        </w:rPr>
      </w:pPr>
    </w:p>
    <w:p w:rsidR="00B46F2C" w:rsidRDefault="001A0F5C">
      <w:pPr>
        <w:rPr>
          <w:b/>
          <w:i/>
        </w:rPr>
      </w:pPr>
      <w:r w:rsidRPr="001A0F5C">
        <w:rPr>
          <w:b/>
          <w:i/>
        </w:rPr>
        <w:t>Justification</w:t>
      </w:r>
    </w:p>
    <w:p w:rsidR="001A0F5C" w:rsidRDefault="001A0F5C">
      <w:pPr>
        <w:rPr>
          <w:b/>
        </w:rPr>
      </w:pPr>
    </w:p>
    <w:p w:rsidR="006A08B6" w:rsidRPr="00C452DD" w:rsidRDefault="006A08B6" w:rsidP="006A08B6">
      <w:pPr>
        <w:jc w:val="both"/>
      </w:pPr>
      <w:r w:rsidRPr="00C452DD">
        <w:t>It is proposed that respondents will be given $75 for their participation, effort, transportation, and possible childcare costs. This amount is comparable to what has been the level of reimbursement for the target audiences in similar CDC funded activities. Focus groups require a bigger commitment from participating individuals than other forms of data collection (Krueger &amp; Casey, 2009)</w:t>
      </w:r>
      <w:r>
        <w:rPr>
          <w:rStyle w:val="FootnoteReference"/>
          <w:rFonts w:eastAsiaTheme="majorEastAsia"/>
        </w:rPr>
        <w:footnoteReference w:id="1"/>
      </w:r>
      <w:r>
        <w:t xml:space="preserve"> and</w:t>
      </w:r>
      <w:r w:rsidRPr="00C452DD">
        <w:t xml:space="preserve"> the payment of incentives can provide significant advantages to the government in terms of direct cost savings and improved data quality.</w:t>
      </w:r>
    </w:p>
    <w:p w:rsidR="006A08B6" w:rsidRPr="00C452DD" w:rsidRDefault="006A08B6" w:rsidP="006A08B6">
      <w:pPr>
        <w:jc w:val="both"/>
      </w:pPr>
    </w:p>
    <w:p w:rsidR="006A08B6" w:rsidRPr="00C452DD" w:rsidRDefault="006A08B6" w:rsidP="006A08B6">
      <w:pPr>
        <w:jc w:val="both"/>
      </w:pPr>
      <w:r w:rsidRPr="00C452DD">
        <w:t>Because we are conducting in-person focus groups, success of the study relies on a set of participants traveling to a common location at a specified time and actively participating in the research. Our focus is people who were hospitalized in the last 12 months for medical incidents that include cancer treatments, surgery, falls, car accidents, and childbearing for younger female groups</w:t>
      </w:r>
      <w:r>
        <w:t xml:space="preserve"> to gauge their awareness and knowledge of DVT/PE</w:t>
      </w:r>
      <w:r w:rsidRPr="00C452DD">
        <w:t xml:space="preserve">. Recent CDC data shows that 6% of Americans experienced an overnight hospital stay in the last 12 months, and this proportion decreases among adults under </w:t>
      </w:r>
      <w:r>
        <w:t xml:space="preserve">age </w:t>
      </w:r>
      <w:r w:rsidRPr="00C452DD">
        <w:t>65, which comprise six of our eight focus groups (Adams et al, 2010).</w:t>
      </w:r>
      <w:r w:rsidRPr="00C452DD">
        <w:rPr>
          <w:rStyle w:val="FootnoteReference"/>
          <w:rFonts w:eastAsiaTheme="majorEastAsia"/>
        </w:rPr>
        <w:footnoteReference w:id="2"/>
      </w:r>
      <w:r w:rsidRPr="00C452DD">
        <w:t xml:space="preserve"> Because this is a low incidence population, it may be challenging to locate and recruit eligible participants. Respondents will be recruited from a 30 mile radius for groups to be held in Baltimore, Maryland, and in Atlanta, Georgia, 90 percent of respondents will be recruited from a 50 mile radius with 10 percent outside of this metropolitan range. These participants will incur additional time and costs as some will travel from long distances to attend. Moreover, two of our eight groups will be of recently hospitalized women ages 18-39. Women of childbearing age are often more difficult to recruit because they often have children and need to cover childcare costs to be able to attend the focus group session</w:t>
      </w:r>
      <w:r>
        <w:t xml:space="preserve"> (</w:t>
      </w:r>
      <w:r w:rsidRPr="00C452DD">
        <w:t>It is assumed that the $75 incentive received for participating in the groups would go toward the transportation costs for participants to arrive at the facility, as well as the cost for off-site childcare to make it possible for them to attend.</w:t>
      </w:r>
    </w:p>
    <w:p w:rsidR="006A08B6" w:rsidRPr="00C452DD" w:rsidRDefault="006A08B6" w:rsidP="006A08B6">
      <w:pPr>
        <w:ind w:left="1440"/>
        <w:jc w:val="both"/>
      </w:pPr>
    </w:p>
    <w:p w:rsidR="006A08B6" w:rsidRPr="00C452DD" w:rsidRDefault="006A08B6" w:rsidP="006A08B6">
      <w:pPr>
        <w:jc w:val="both"/>
      </w:pPr>
      <w:r w:rsidRPr="00C452DD">
        <w:t xml:space="preserve">There have been citations in the literature referencing the importance of monetary compensation for focus group participation. Krueger </w:t>
      </w:r>
      <w:r>
        <w:t xml:space="preserve">and Casey (2009) </w:t>
      </w:r>
      <w:proofErr w:type="gramStart"/>
      <w:r w:rsidRPr="00C452DD">
        <w:t>indicate</w:t>
      </w:r>
      <w:r>
        <w:t>s</w:t>
      </w:r>
      <w:proofErr w:type="gramEnd"/>
      <w:r w:rsidRPr="00C452DD">
        <w:t xml:space="preserve"> that offering minimal levels of monetary compensation will help ensure that sufficient numbers of participants will attend thereby yielding useful results. Further, in a meta-analysis of 38 experiments and quasi-experiments, Church (1993)</w:t>
      </w:r>
      <w:r>
        <w:rPr>
          <w:rStyle w:val="FootnoteReference"/>
          <w:rFonts w:eastAsiaTheme="majorEastAsia"/>
        </w:rPr>
        <w:footnoteReference w:id="3"/>
      </w:r>
      <w:r w:rsidRPr="00C452DD">
        <w:t xml:space="preserve"> found that providing cash incentives for participation was far more effective than nonmonetary gifts in generating survey response, and prepaid monetary incentives yielded an average increase of 19.1 percentage points over comparison groups.  </w:t>
      </w:r>
    </w:p>
    <w:p w:rsidR="006A08B6" w:rsidRPr="00C452DD" w:rsidRDefault="006A08B6" w:rsidP="006A08B6">
      <w:pPr>
        <w:ind w:left="1440"/>
        <w:jc w:val="both"/>
      </w:pPr>
    </w:p>
    <w:p w:rsidR="006A08B6" w:rsidRPr="00C452DD" w:rsidRDefault="006A08B6" w:rsidP="006A08B6">
      <w:pPr>
        <w:jc w:val="both"/>
      </w:pPr>
      <w:r w:rsidRPr="00C452DD">
        <w:t xml:space="preserve">Offering a monetary incentive at the proposed level will help ensure that respondents honor their commitment of participating in the focus group, and show up on time. Lower incentives could actually result in higher recruiting costs due to the need to over recruit by higher percentages (Krueger &amp; Casey, 2009). Conversations with our </w:t>
      </w:r>
      <w:r w:rsidR="00A243C9">
        <w:t xml:space="preserve">focus group </w:t>
      </w:r>
      <w:bookmarkStart w:id="0" w:name="_GoBack"/>
      <w:bookmarkEnd w:id="0"/>
      <w:r w:rsidRPr="00C452DD">
        <w:t xml:space="preserve">facilities have indicated that </w:t>
      </w:r>
      <w:r w:rsidRPr="00C452DD">
        <w:lastRenderedPageBreak/>
        <w:t>offering a lower incentive would necessitate recruiting 50% more people in order to assure a show rate of 8-9 participants.</w:t>
      </w:r>
    </w:p>
    <w:p w:rsidR="006A08B6" w:rsidRDefault="006A08B6">
      <w:pPr>
        <w:rPr>
          <w:b/>
        </w:rPr>
      </w:pPr>
    </w:p>
    <w:p w:rsidR="001A0F5C" w:rsidRPr="001A0F5C" w:rsidRDefault="001A0F5C">
      <w:r w:rsidRPr="001A0F5C">
        <w:t>For mo</w:t>
      </w:r>
      <w:r>
        <w:t>re details, please see our discussion below on Methods to Maximize Response Rates and reduce Non-Response.</w:t>
      </w:r>
    </w:p>
    <w:p w:rsidR="001A0F5C" w:rsidRDefault="001A0F5C">
      <w:pPr>
        <w:rPr>
          <w:b/>
        </w:rPr>
      </w:pPr>
    </w:p>
    <w:p w:rsidR="00B46F2C" w:rsidRDefault="00B46F2C" w:rsidP="00C86E91">
      <w:r>
        <w:rPr>
          <w:b/>
        </w:rPr>
        <w:t>BURDEN HOURS</w:t>
      </w:r>
      <w:r>
        <w:t xml:space="preserve"> </w:t>
      </w:r>
    </w:p>
    <w:p w:rsidR="00856A5C" w:rsidRDefault="00856A5C" w:rsidP="00C86E91">
      <w:pPr>
        <w:rPr>
          <w:i/>
        </w:rPr>
      </w:pPr>
    </w:p>
    <w:p w:rsidR="00D03891" w:rsidRDefault="00D03891" w:rsidP="00D03891">
      <w:pPr>
        <w:pStyle w:val="Table"/>
      </w:pPr>
      <w:r>
        <w:rPr>
          <w:b/>
        </w:rPr>
        <w:t>Table A.2: Burden Hours</w:t>
      </w:r>
    </w:p>
    <w:tbl>
      <w:tblPr>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6"/>
        <w:gridCol w:w="1350"/>
        <w:gridCol w:w="1350"/>
        <w:gridCol w:w="1260"/>
        <w:gridCol w:w="1619"/>
        <w:gridCol w:w="900"/>
      </w:tblGrid>
      <w:tr w:rsidR="00D03891" w:rsidTr="00D03891">
        <w:tc>
          <w:tcPr>
            <w:tcW w:w="3166"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rPr>
                <w:rFonts w:ascii="Calibri" w:hAnsi="Calibri"/>
                <w:b/>
                <w:bCs/>
                <w:sz w:val="20"/>
                <w:szCs w:val="20"/>
              </w:rPr>
            </w:pPr>
            <w:r>
              <w:rPr>
                <w:rFonts w:ascii="Calibri" w:hAnsi="Calibri"/>
                <w:b/>
                <w:bCs/>
                <w:sz w:val="20"/>
                <w:szCs w:val="20"/>
              </w:rPr>
              <w:t>Type of Respondent</w:t>
            </w:r>
          </w:p>
        </w:tc>
        <w:tc>
          <w:tcPr>
            <w:tcW w:w="1350"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rPr>
                <w:rFonts w:ascii="Calibri" w:hAnsi="Calibri"/>
                <w:b/>
                <w:bCs/>
                <w:sz w:val="20"/>
                <w:szCs w:val="20"/>
              </w:rPr>
            </w:pPr>
            <w:r>
              <w:rPr>
                <w:rFonts w:ascii="Calibri" w:hAnsi="Calibri"/>
                <w:b/>
                <w:bCs/>
                <w:sz w:val="20"/>
                <w:szCs w:val="20"/>
              </w:rPr>
              <w:t>Form Name</w:t>
            </w:r>
          </w:p>
        </w:tc>
        <w:tc>
          <w:tcPr>
            <w:tcW w:w="1350"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No. of Respondents</w:t>
            </w:r>
          </w:p>
        </w:tc>
        <w:tc>
          <w:tcPr>
            <w:tcW w:w="1260"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No. Responses per Respondent</w:t>
            </w:r>
          </w:p>
        </w:tc>
        <w:tc>
          <w:tcPr>
            <w:tcW w:w="1619"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Average Burden per Response (in hours)</w:t>
            </w:r>
          </w:p>
        </w:tc>
        <w:tc>
          <w:tcPr>
            <w:tcW w:w="900"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Total Burden Hours</w:t>
            </w:r>
          </w:p>
        </w:tc>
      </w:tr>
      <w:tr w:rsidR="00D03891" w:rsidTr="00B82107">
        <w:trPr>
          <w:trHeight w:val="458"/>
        </w:trPr>
        <w:tc>
          <w:tcPr>
            <w:tcW w:w="3166"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rPr>
                <w:rFonts w:ascii="Calibri" w:hAnsi="Calibri"/>
                <w:bCs/>
                <w:sz w:val="20"/>
                <w:szCs w:val="20"/>
              </w:rPr>
            </w:pPr>
            <w:r>
              <w:rPr>
                <w:rFonts w:ascii="Calibri" w:hAnsi="Calibri"/>
                <w:bCs/>
                <w:sz w:val="20"/>
                <w:szCs w:val="20"/>
              </w:rPr>
              <w:t>Seniors (65-80) recently hospitalized</w:t>
            </w:r>
          </w:p>
        </w:tc>
        <w:tc>
          <w:tcPr>
            <w:tcW w:w="1350" w:type="dxa"/>
            <w:vMerge w:val="restart"/>
            <w:tcBorders>
              <w:top w:val="single" w:sz="4" w:space="0" w:color="000000"/>
              <w:left w:val="single" w:sz="4" w:space="0" w:color="000000"/>
              <w:right w:val="single" w:sz="4" w:space="0" w:color="000000"/>
            </w:tcBorders>
            <w:vAlign w:val="center"/>
            <w:hideMark/>
          </w:tcPr>
          <w:p w:rsidR="00D03891" w:rsidRDefault="00D03891" w:rsidP="00D03891">
            <w:pPr>
              <w:pStyle w:val="ListBullet"/>
              <w:numPr>
                <w:ilvl w:val="0"/>
                <w:numId w:val="0"/>
              </w:numPr>
              <w:tabs>
                <w:tab w:val="left" w:pos="720"/>
              </w:tabs>
              <w:rPr>
                <w:rFonts w:ascii="Calibri" w:hAnsi="Calibri"/>
                <w:bCs/>
                <w:sz w:val="20"/>
                <w:szCs w:val="20"/>
              </w:rPr>
            </w:pPr>
            <w:r>
              <w:rPr>
                <w:rFonts w:ascii="Calibri" w:hAnsi="Calibri"/>
                <w:bCs/>
                <w:sz w:val="20"/>
                <w:szCs w:val="20"/>
              </w:rPr>
              <w:t>Participant Screener and Recruitment Script</w:t>
            </w:r>
          </w:p>
        </w:tc>
        <w:tc>
          <w:tcPr>
            <w:tcW w:w="1350" w:type="dxa"/>
            <w:vMerge w:val="restart"/>
            <w:tcBorders>
              <w:top w:val="single" w:sz="4" w:space="0" w:color="000000"/>
              <w:left w:val="single" w:sz="4" w:space="0" w:color="000000"/>
              <w:right w:val="single" w:sz="4" w:space="0" w:color="000000"/>
            </w:tcBorders>
            <w:vAlign w:val="center"/>
            <w:hideMark/>
          </w:tcPr>
          <w:p w:rsidR="00D03891" w:rsidRDefault="001E3BA5">
            <w:pPr>
              <w:pStyle w:val="ListBullet"/>
              <w:numPr>
                <w:ilvl w:val="0"/>
                <w:numId w:val="0"/>
              </w:numPr>
              <w:tabs>
                <w:tab w:val="left" w:pos="720"/>
              </w:tabs>
              <w:jc w:val="center"/>
              <w:rPr>
                <w:rFonts w:ascii="Calibri" w:hAnsi="Calibri"/>
                <w:bCs/>
                <w:sz w:val="20"/>
                <w:szCs w:val="20"/>
              </w:rPr>
            </w:pPr>
            <w:r>
              <w:rPr>
                <w:rFonts w:ascii="Calibri" w:hAnsi="Calibri"/>
                <w:bCs/>
                <w:sz w:val="20"/>
                <w:szCs w:val="20"/>
              </w:rPr>
              <w:t>192</w:t>
            </w:r>
          </w:p>
        </w:tc>
        <w:tc>
          <w:tcPr>
            <w:tcW w:w="1260" w:type="dxa"/>
            <w:vMerge w:val="restart"/>
            <w:tcBorders>
              <w:top w:val="single" w:sz="4" w:space="0" w:color="000000"/>
              <w:left w:val="single" w:sz="4" w:space="0" w:color="000000"/>
              <w:right w:val="single" w:sz="4" w:space="0" w:color="000000"/>
            </w:tcBorders>
            <w:vAlign w:val="center"/>
            <w:hideMark/>
          </w:tcPr>
          <w:p w:rsidR="00D03891" w:rsidRDefault="00D03891">
            <w:pPr>
              <w:pStyle w:val="ListBullet"/>
              <w:numPr>
                <w:ilvl w:val="0"/>
                <w:numId w:val="0"/>
              </w:numPr>
              <w:tabs>
                <w:tab w:val="left" w:pos="720"/>
              </w:tabs>
              <w:jc w:val="center"/>
              <w:rPr>
                <w:rFonts w:ascii="Calibri" w:hAnsi="Calibri"/>
                <w:bCs/>
                <w:sz w:val="20"/>
                <w:szCs w:val="20"/>
              </w:rPr>
            </w:pPr>
            <w:r>
              <w:rPr>
                <w:rFonts w:ascii="Calibri" w:hAnsi="Calibri"/>
                <w:bCs/>
                <w:sz w:val="20"/>
                <w:szCs w:val="20"/>
              </w:rPr>
              <w:t>1</w:t>
            </w:r>
          </w:p>
        </w:tc>
        <w:tc>
          <w:tcPr>
            <w:tcW w:w="1619" w:type="dxa"/>
            <w:vMerge w:val="restart"/>
            <w:tcBorders>
              <w:top w:val="single" w:sz="4" w:space="0" w:color="000000"/>
              <w:left w:val="single" w:sz="4" w:space="0" w:color="000000"/>
              <w:right w:val="single" w:sz="4" w:space="0" w:color="000000"/>
            </w:tcBorders>
            <w:vAlign w:val="center"/>
            <w:hideMark/>
          </w:tcPr>
          <w:p w:rsidR="00D03891" w:rsidRDefault="00D03891">
            <w:pPr>
              <w:pStyle w:val="ListBullet"/>
              <w:numPr>
                <w:ilvl w:val="0"/>
                <w:numId w:val="0"/>
              </w:numPr>
              <w:tabs>
                <w:tab w:val="left" w:pos="720"/>
              </w:tabs>
              <w:jc w:val="center"/>
              <w:rPr>
                <w:rFonts w:ascii="Calibri" w:hAnsi="Calibri"/>
                <w:bCs/>
                <w:sz w:val="20"/>
                <w:szCs w:val="20"/>
              </w:rPr>
            </w:pPr>
            <w:r>
              <w:rPr>
                <w:rFonts w:ascii="Calibri" w:hAnsi="Calibri"/>
                <w:bCs/>
                <w:sz w:val="20"/>
                <w:szCs w:val="20"/>
              </w:rPr>
              <w:t>5/60</w:t>
            </w:r>
          </w:p>
        </w:tc>
        <w:tc>
          <w:tcPr>
            <w:tcW w:w="900" w:type="dxa"/>
            <w:vMerge w:val="restart"/>
            <w:tcBorders>
              <w:top w:val="single" w:sz="4" w:space="0" w:color="000000"/>
              <w:left w:val="single" w:sz="4" w:space="0" w:color="000000"/>
              <w:right w:val="single" w:sz="4" w:space="0" w:color="000000"/>
            </w:tcBorders>
            <w:vAlign w:val="center"/>
            <w:hideMark/>
          </w:tcPr>
          <w:p w:rsidR="00D03891" w:rsidRDefault="001E3BA5" w:rsidP="001E3BA5">
            <w:pPr>
              <w:pStyle w:val="ListBullet"/>
              <w:numPr>
                <w:ilvl w:val="0"/>
                <w:numId w:val="0"/>
              </w:numPr>
              <w:tabs>
                <w:tab w:val="left" w:pos="720"/>
              </w:tabs>
              <w:jc w:val="center"/>
            </w:pPr>
            <w:r>
              <w:rPr>
                <w:rFonts w:ascii="Calibri" w:hAnsi="Calibri"/>
                <w:bCs/>
                <w:sz w:val="20"/>
                <w:szCs w:val="20"/>
              </w:rPr>
              <w:t>16</w:t>
            </w:r>
          </w:p>
        </w:tc>
      </w:tr>
      <w:tr w:rsidR="00D03891" w:rsidTr="00B82107">
        <w:trPr>
          <w:trHeight w:val="375"/>
        </w:trPr>
        <w:tc>
          <w:tcPr>
            <w:tcW w:w="3166" w:type="dxa"/>
            <w:tcBorders>
              <w:top w:val="single" w:sz="4" w:space="0" w:color="000000"/>
              <w:left w:val="single" w:sz="4" w:space="0" w:color="000000"/>
              <w:bottom w:val="single" w:sz="4" w:space="0" w:color="000000"/>
              <w:right w:val="single" w:sz="4" w:space="0" w:color="000000"/>
            </w:tcBorders>
            <w:hideMark/>
          </w:tcPr>
          <w:p w:rsidR="00D03891" w:rsidRDefault="00D03891" w:rsidP="00D03891">
            <w:pPr>
              <w:pStyle w:val="ListBullet"/>
              <w:numPr>
                <w:ilvl w:val="0"/>
                <w:numId w:val="0"/>
              </w:numPr>
              <w:tabs>
                <w:tab w:val="left" w:pos="720"/>
              </w:tabs>
              <w:rPr>
                <w:rFonts w:ascii="Calibri" w:hAnsi="Calibri"/>
                <w:bCs/>
                <w:sz w:val="20"/>
                <w:szCs w:val="20"/>
              </w:rPr>
            </w:pPr>
            <w:r>
              <w:rPr>
                <w:rFonts w:ascii="Calibri" w:hAnsi="Calibri"/>
                <w:bCs/>
                <w:sz w:val="20"/>
                <w:szCs w:val="20"/>
              </w:rPr>
              <w:t>Adults (40-64) recently hospitalized</w:t>
            </w:r>
          </w:p>
        </w:tc>
        <w:tc>
          <w:tcPr>
            <w:tcW w:w="1350" w:type="dxa"/>
            <w:vMerge/>
            <w:tcBorders>
              <w:left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350" w:type="dxa"/>
            <w:vMerge/>
            <w:tcBorders>
              <w:left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260" w:type="dxa"/>
            <w:vMerge/>
            <w:tcBorders>
              <w:left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619" w:type="dxa"/>
            <w:vMerge/>
            <w:tcBorders>
              <w:left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900" w:type="dxa"/>
            <w:vMerge/>
            <w:tcBorders>
              <w:left w:val="single" w:sz="4" w:space="0" w:color="000000"/>
              <w:right w:val="single" w:sz="4" w:space="0" w:color="000000"/>
            </w:tcBorders>
            <w:vAlign w:val="center"/>
            <w:hideMark/>
          </w:tcPr>
          <w:p w:rsidR="00D03891" w:rsidRDefault="00D03891">
            <w:pPr>
              <w:rPr>
                <w:kern w:val="24"/>
              </w:rPr>
            </w:pPr>
          </w:p>
        </w:tc>
      </w:tr>
      <w:tr w:rsidR="00D03891" w:rsidTr="00B82107">
        <w:trPr>
          <w:trHeight w:val="375"/>
        </w:trPr>
        <w:tc>
          <w:tcPr>
            <w:tcW w:w="3166" w:type="dxa"/>
            <w:tcBorders>
              <w:top w:val="single" w:sz="4" w:space="0" w:color="000000"/>
              <w:left w:val="single" w:sz="4" w:space="0" w:color="000000"/>
              <w:bottom w:val="single" w:sz="4" w:space="0" w:color="000000"/>
              <w:right w:val="single" w:sz="4" w:space="0" w:color="000000"/>
            </w:tcBorders>
          </w:tcPr>
          <w:p w:rsidR="00D03891" w:rsidRDefault="00D03891" w:rsidP="00D03891">
            <w:pPr>
              <w:pStyle w:val="ListBullet"/>
              <w:numPr>
                <w:ilvl w:val="0"/>
                <w:numId w:val="0"/>
              </w:numPr>
              <w:tabs>
                <w:tab w:val="left" w:pos="720"/>
              </w:tabs>
              <w:rPr>
                <w:rFonts w:ascii="Calibri" w:hAnsi="Calibri"/>
                <w:bCs/>
                <w:sz w:val="20"/>
                <w:szCs w:val="20"/>
              </w:rPr>
            </w:pPr>
            <w:r>
              <w:rPr>
                <w:rFonts w:ascii="Calibri" w:hAnsi="Calibri"/>
                <w:bCs/>
                <w:sz w:val="20"/>
                <w:szCs w:val="20"/>
              </w:rPr>
              <w:t>Adults (18-39) recently hospitalized</w:t>
            </w:r>
          </w:p>
        </w:tc>
        <w:tc>
          <w:tcPr>
            <w:tcW w:w="1350" w:type="dxa"/>
            <w:vMerge/>
            <w:tcBorders>
              <w:left w:val="single" w:sz="4" w:space="0" w:color="000000"/>
              <w:bottom w:val="single" w:sz="4" w:space="0" w:color="000000"/>
              <w:right w:val="single" w:sz="4" w:space="0" w:color="000000"/>
            </w:tcBorders>
            <w:vAlign w:val="center"/>
          </w:tcPr>
          <w:p w:rsidR="00D03891" w:rsidRDefault="00D03891">
            <w:pPr>
              <w:rPr>
                <w:rFonts w:ascii="Calibri" w:hAnsi="Calibri"/>
                <w:bCs/>
                <w:kern w:val="24"/>
                <w:sz w:val="20"/>
                <w:szCs w:val="20"/>
              </w:rPr>
            </w:pPr>
          </w:p>
        </w:tc>
        <w:tc>
          <w:tcPr>
            <w:tcW w:w="1350" w:type="dxa"/>
            <w:vMerge/>
            <w:tcBorders>
              <w:left w:val="single" w:sz="4" w:space="0" w:color="000000"/>
              <w:bottom w:val="single" w:sz="4" w:space="0" w:color="000000"/>
              <w:right w:val="single" w:sz="4" w:space="0" w:color="000000"/>
            </w:tcBorders>
            <w:vAlign w:val="center"/>
          </w:tcPr>
          <w:p w:rsidR="00D03891" w:rsidRDefault="00D03891">
            <w:pPr>
              <w:rPr>
                <w:rFonts w:ascii="Calibri" w:hAnsi="Calibri"/>
                <w:bCs/>
                <w:kern w:val="24"/>
                <w:sz w:val="20"/>
                <w:szCs w:val="20"/>
              </w:rPr>
            </w:pPr>
          </w:p>
        </w:tc>
        <w:tc>
          <w:tcPr>
            <w:tcW w:w="1260" w:type="dxa"/>
            <w:vMerge/>
            <w:tcBorders>
              <w:left w:val="single" w:sz="4" w:space="0" w:color="000000"/>
              <w:bottom w:val="single" w:sz="4" w:space="0" w:color="000000"/>
              <w:right w:val="single" w:sz="4" w:space="0" w:color="000000"/>
            </w:tcBorders>
            <w:vAlign w:val="center"/>
          </w:tcPr>
          <w:p w:rsidR="00D03891" w:rsidRDefault="00D03891">
            <w:pPr>
              <w:rPr>
                <w:rFonts w:ascii="Calibri" w:hAnsi="Calibri"/>
                <w:bCs/>
                <w:kern w:val="24"/>
                <w:sz w:val="20"/>
                <w:szCs w:val="20"/>
              </w:rPr>
            </w:pPr>
          </w:p>
        </w:tc>
        <w:tc>
          <w:tcPr>
            <w:tcW w:w="1619" w:type="dxa"/>
            <w:vMerge/>
            <w:tcBorders>
              <w:left w:val="single" w:sz="4" w:space="0" w:color="000000"/>
              <w:bottom w:val="single" w:sz="4" w:space="0" w:color="000000"/>
              <w:right w:val="single" w:sz="4" w:space="0" w:color="000000"/>
            </w:tcBorders>
            <w:vAlign w:val="center"/>
          </w:tcPr>
          <w:p w:rsidR="00D03891" w:rsidRDefault="00D03891">
            <w:pPr>
              <w:rPr>
                <w:rFonts w:ascii="Calibri" w:hAnsi="Calibri"/>
                <w:bCs/>
                <w:kern w:val="24"/>
                <w:sz w:val="20"/>
                <w:szCs w:val="20"/>
              </w:rPr>
            </w:pPr>
          </w:p>
        </w:tc>
        <w:tc>
          <w:tcPr>
            <w:tcW w:w="900" w:type="dxa"/>
            <w:vMerge/>
            <w:tcBorders>
              <w:left w:val="single" w:sz="4" w:space="0" w:color="000000"/>
              <w:bottom w:val="single" w:sz="4" w:space="0" w:color="000000"/>
              <w:right w:val="single" w:sz="4" w:space="0" w:color="000000"/>
            </w:tcBorders>
            <w:vAlign w:val="center"/>
          </w:tcPr>
          <w:p w:rsidR="00D03891" w:rsidRDefault="00D03891">
            <w:pPr>
              <w:rPr>
                <w:kern w:val="24"/>
              </w:rPr>
            </w:pPr>
          </w:p>
        </w:tc>
      </w:tr>
      <w:tr w:rsidR="001E3BA5" w:rsidTr="00B82107">
        <w:trPr>
          <w:trHeight w:val="458"/>
        </w:trPr>
        <w:tc>
          <w:tcPr>
            <w:tcW w:w="3166" w:type="dxa"/>
            <w:tcBorders>
              <w:top w:val="single" w:sz="4" w:space="0" w:color="000000"/>
              <w:left w:val="single" w:sz="4" w:space="0" w:color="000000"/>
              <w:bottom w:val="single" w:sz="4" w:space="0" w:color="000000"/>
              <w:right w:val="single" w:sz="4" w:space="0" w:color="000000"/>
            </w:tcBorders>
          </w:tcPr>
          <w:p w:rsidR="001E3BA5" w:rsidRDefault="001E3BA5">
            <w:pPr>
              <w:pStyle w:val="ListBullet"/>
              <w:numPr>
                <w:ilvl w:val="0"/>
                <w:numId w:val="0"/>
              </w:numPr>
              <w:tabs>
                <w:tab w:val="left" w:pos="720"/>
              </w:tabs>
              <w:rPr>
                <w:rFonts w:ascii="Calibri" w:hAnsi="Calibri"/>
                <w:bCs/>
                <w:sz w:val="20"/>
                <w:szCs w:val="20"/>
              </w:rPr>
            </w:pPr>
            <w:r>
              <w:rPr>
                <w:rFonts w:ascii="Calibri" w:hAnsi="Calibri"/>
                <w:bCs/>
                <w:sz w:val="20"/>
                <w:szCs w:val="20"/>
              </w:rPr>
              <w:t>Seniors (65-80) recently hospitalized</w:t>
            </w:r>
          </w:p>
        </w:tc>
        <w:tc>
          <w:tcPr>
            <w:tcW w:w="1350" w:type="dxa"/>
            <w:vMerge w:val="restart"/>
            <w:tcBorders>
              <w:top w:val="single" w:sz="4" w:space="0" w:color="000000"/>
              <w:left w:val="single" w:sz="4" w:space="0" w:color="000000"/>
              <w:right w:val="single" w:sz="4" w:space="0" w:color="000000"/>
            </w:tcBorders>
            <w:vAlign w:val="center"/>
          </w:tcPr>
          <w:p w:rsidR="001E3BA5" w:rsidRDefault="001E3BA5" w:rsidP="0023576A">
            <w:pPr>
              <w:pStyle w:val="ListBullet"/>
              <w:numPr>
                <w:ilvl w:val="0"/>
                <w:numId w:val="0"/>
              </w:numPr>
              <w:tabs>
                <w:tab w:val="left" w:pos="720"/>
              </w:tabs>
              <w:rPr>
                <w:rFonts w:ascii="Calibri" w:hAnsi="Calibri"/>
                <w:bCs/>
                <w:sz w:val="20"/>
                <w:szCs w:val="20"/>
              </w:rPr>
            </w:pPr>
            <w:r>
              <w:rPr>
                <w:rFonts w:ascii="Calibri" w:hAnsi="Calibri"/>
                <w:bCs/>
                <w:sz w:val="20"/>
                <w:szCs w:val="20"/>
              </w:rPr>
              <w:t>Re</w:t>
            </w:r>
            <w:r w:rsidR="00EC680A">
              <w:rPr>
                <w:rFonts w:ascii="Calibri" w:hAnsi="Calibri"/>
                <w:bCs/>
                <w:sz w:val="20"/>
                <w:szCs w:val="20"/>
              </w:rPr>
              <w:t>-</w:t>
            </w:r>
            <w:r>
              <w:rPr>
                <w:rFonts w:ascii="Calibri" w:hAnsi="Calibri"/>
                <w:bCs/>
                <w:sz w:val="20"/>
                <w:szCs w:val="20"/>
              </w:rPr>
              <w:t>screener</w:t>
            </w:r>
            <w:r w:rsidR="0023576A">
              <w:rPr>
                <w:rFonts w:ascii="Calibri" w:hAnsi="Calibri"/>
                <w:bCs/>
                <w:sz w:val="20"/>
                <w:szCs w:val="20"/>
              </w:rPr>
              <w:t>; Informed Consent</w:t>
            </w:r>
          </w:p>
        </w:tc>
        <w:tc>
          <w:tcPr>
            <w:tcW w:w="1350" w:type="dxa"/>
            <w:vMerge w:val="restart"/>
            <w:tcBorders>
              <w:top w:val="single" w:sz="4" w:space="0" w:color="000000"/>
              <w:left w:val="single" w:sz="4" w:space="0" w:color="000000"/>
              <w:right w:val="single" w:sz="4" w:space="0" w:color="000000"/>
            </w:tcBorders>
            <w:vAlign w:val="center"/>
          </w:tcPr>
          <w:p w:rsidR="001E3BA5" w:rsidDel="00D03891" w:rsidRDefault="001E3BA5" w:rsidP="00EC680A">
            <w:pPr>
              <w:pStyle w:val="ListBullet"/>
              <w:numPr>
                <w:ilvl w:val="0"/>
                <w:numId w:val="0"/>
              </w:numPr>
              <w:tabs>
                <w:tab w:val="left" w:pos="720"/>
              </w:tabs>
              <w:jc w:val="center"/>
              <w:rPr>
                <w:rFonts w:ascii="Calibri" w:hAnsi="Calibri"/>
                <w:bCs/>
                <w:sz w:val="20"/>
                <w:szCs w:val="20"/>
              </w:rPr>
            </w:pPr>
            <w:r>
              <w:rPr>
                <w:rFonts w:ascii="Calibri" w:hAnsi="Calibri"/>
                <w:bCs/>
                <w:sz w:val="20"/>
                <w:szCs w:val="20"/>
              </w:rPr>
              <w:t xml:space="preserve">96 </w:t>
            </w:r>
          </w:p>
        </w:tc>
        <w:tc>
          <w:tcPr>
            <w:tcW w:w="1260" w:type="dxa"/>
            <w:vMerge w:val="restart"/>
            <w:tcBorders>
              <w:top w:val="single" w:sz="4" w:space="0" w:color="000000"/>
              <w:left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r>
              <w:rPr>
                <w:rFonts w:ascii="Calibri" w:hAnsi="Calibri"/>
                <w:bCs/>
                <w:sz w:val="20"/>
                <w:szCs w:val="20"/>
              </w:rPr>
              <w:t>1</w:t>
            </w:r>
          </w:p>
        </w:tc>
        <w:tc>
          <w:tcPr>
            <w:tcW w:w="1619" w:type="dxa"/>
            <w:vMerge w:val="restart"/>
            <w:tcBorders>
              <w:top w:val="single" w:sz="4" w:space="0" w:color="000000"/>
              <w:left w:val="single" w:sz="4" w:space="0" w:color="000000"/>
              <w:right w:val="single" w:sz="4" w:space="0" w:color="000000"/>
            </w:tcBorders>
            <w:vAlign w:val="center"/>
          </w:tcPr>
          <w:p w:rsidR="001E3BA5" w:rsidRDefault="00B82107" w:rsidP="00B82107">
            <w:pPr>
              <w:pStyle w:val="ListBullet"/>
              <w:numPr>
                <w:ilvl w:val="0"/>
                <w:numId w:val="0"/>
              </w:numPr>
              <w:tabs>
                <w:tab w:val="left" w:pos="720"/>
              </w:tabs>
              <w:jc w:val="center"/>
              <w:rPr>
                <w:rFonts w:ascii="Calibri" w:hAnsi="Calibri"/>
                <w:bCs/>
                <w:sz w:val="20"/>
                <w:szCs w:val="20"/>
              </w:rPr>
            </w:pPr>
            <w:r>
              <w:rPr>
                <w:rFonts w:ascii="Calibri" w:hAnsi="Calibri"/>
                <w:bCs/>
                <w:sz w:val="20"/>
                <w:szCs w:val="20"/>
              </w:rPr>
              <w:t>15</w:t>
            </w:r>
            <w:r w:rsidR="001E3BA5">
              <w:rPr>
                <w:rFonts w:ascii="Calibri" w:hAnsi="Calibri"/>
                <w:bCs/>
                <w:sz w:val="20"/>
                <w:szCs w:val="20"/>
              </w:rPr>
              <w:t>/60</w:t>
            </w:r>
          </w:p>
        </w:tc>
        <w:tc>
          <w:tcPr>
            <w:tcW w:w="900" w:type="dxa"/>
            <w:vMerge w:val="restart"/>
            <w:tcBorders>
              <w:top w:val="single" w:sz="4" w:space="0" w:color="000000"/>
              <w:left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r>
              <w:rPr>
                <w:rFonts w:ascii="Calibri" w:hAnsi="Calibri"/>
                <w:bCs/>
                <w:sz w:val="20"/>
                <w:szCs w:val="20"/>
              </w:rPr>
              <w:t>24</w:t>
            </w:r>
          </w:p>
        </w:tc>
      </w:tr>
      <w:tr w:rsidR="001E3BA5" w:rsidTr="00B82107">
        <w:trPr>
          <w:trHeight w:val="458"/>
        </w:trPr>
        <w:tc>
          <w:tcPr>
            <w:tcW w:w="3166" w:type="dxa"/>
            <w:tcBorders>
              <w:top w:val="single" w:sz="4" w:space="0" w:color="000000"/>
              <w:left w:val="single" w:sz="4" w:space="0" w:color="000000"/>
              <w:bottom w:val="single" w:sz="4" w:space="0" w:color="000000"/>
              <w:right w:val="single" w:sz="4" w:space="0" w:color="000000"/>
            </w:tcBorders>
          </w:tcPr>
          <w:p w:rsidR="001E3BA5" w:rsidRDefault="001E3BA5">
            <w:pPr>
              <w:pStyle w:val="ListBullet"/>
              <w:numPr>
                <w:ilvl w:val="0"/>
                <w:numId w:val="0"/>
              </w:numPr>
              <w:tabs>
                <w:tab w:val="left" w:pos="720"/>
              </w:tabs>
              <w:rPr>
                <w:rFonts w:ascii="Calibri" w:hAnsi="Calibri"/>
                <w:bCs/>
                <w:sz w:val="20"/>
                <w:szCs w:val="20"/>
              </w:rPr>
            </w:pPr>
            <w:r>
              <w:rPr>
                <w:rFonts w:ascii="Calibri" w:hAnsi="Calibri"/>
                <w:bCs/>
                <w:sz w:val="20"/>
                <w:szCs w:val="20"/>
              </w:rPr>
              <w:t>Adults (40-64) recently hospitalized</w:t>
            </w:r>
          </w:p>
        </w:tc>
        <w:tc>
          <w:tcPr>
            <w:tcW w:w="1350" w:type="dxa"/>
            <w:vMerge/>
            <w:tcBorders>
              <w:left w:val="single" w:sz="4" w:space="0" w:color="000000"/>
              <w:right w:val="single" w:sz="4" w:space="0" w:color="000000"/>
            </w:tcBorders>
            <w:vAlign w:val="center"/>
          </w:tcPr>
          <w:p w:rsidR="001E3BA5" w:rsidRDefault="001E3BA5">
            <w:pPr>
              <w:pStyle w:val="ListBullet"/>
              <w:numPr>
                <w:ilvl w:val="0"/>
                <w:numId w:val="0"/>
              </w:numPr>
              <w:tabs>
                <w:tab w:val="left" w:pos="720"/>
              </w:tabs>
              <w:rPr>
                <w:rFonts w:ascii="Calibri" w:hAnsi="Calibri"/>
                <w:bCs/>
                <w:sz w:val="20"/>
                <w:szCs w:val="20"/>
              </w:rPr>
            </w:pPr>
          </w:p>
        </w:tc>
        <w:tc>
          <w:tcPr>
            <w:tcW w:w="1350" w:type="dxa"/>
            <w:vMerge/>
            <w:tcBorders>
              <w:left w:val="single" w:sz="4" w:space="0" w:color="000000"/>
              <w:right w:val="single" w:sz="4" w:space="0" w:color="000000"/>
            </w:tcBorders>
            <w:vAlign w:val="center"/>
          </w:tcPr>
          <w:p w:rsidR="001E3BA5" w:rsidDel="00D03891" w:rsidRDefault="001E3BA5" w:rsidP="00600F0F">
            <w:pPr>
              <w:pStyle w:val="ListBullet"/>
              <w:numPr>
                <w:ilvl w:val="0"/>
                <w:numId w:val="0"/>
              </w:numPr>
              <w:tabs>
                <w:tab w:val="left" w:pos="720"/>
              </w:tabs>
              <w:jc w:val="center"/>
              <w:rPr>
                <w:rFonts w:ascii="Calibri" w:hAnsi="Calibri"/>
                <w:bCs/>
                <w:sz w:val="20"/>
                <w:szCs w:val="20"/>
              </w:rPr>
            </w:pPr>
          </w:p>
        </w:tc>
        <w:tc>
          <w:tcPr>
            <w:tcW w:w="1260" w:type="dxa"/>
            <w:vMerge/>
            <w:tcBorders>
              <w:left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p>
        </w:tc>
        <w:tc>
          <w:tcPr>
            <w:tcW w:w="1619" w:type="dxa"/>
            <w:vMerge/>
            <w:tcBorders>
              <w:left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p>
        </w:tc>
        <w:tc>
          <w:tcPr>
            <w:tcW w:w="900" w:type="dxa"/>
            <w:vMerge/>
            <w:tcBorders>
              <w:left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p>
        </w:tc>
      </w:tr>
      <w:tr w:rsidR="001E3BA5" w:rsidTr="00B82107">
        <w:trPr>
          <w:trHeight w:val="458"/>
        </w:trPr>
        <w:tc>
          <w:tcPr>
            <w:tcW w:w="3166" w:type="dxa"/>
            <w:tcBorders>
              <w:top w:val="single" w:sz="4" w:space="0" w:color="000000"/>
              <w:left w:val="single" w:sz="4" w:space="0" w:color="000000"/>
              <w:bottom w:val="single" w:sz="4" w:space="0" w:color="000000"/>
              <w:right w:val="single" w:sz="4" w:space="0" w:color="000000"/>
            </w:tcBorders>
          </w:tcPr>
          <w:p w:rsidR="001E3BA5" w:rsidRDefault="001E3BA5">
            <w:pPr>
              <w:pStyle w:val="ListBullet"/>
              <w:numPr>
                <w:ilvl w:val="0"/>
                <w:numId w:val="0"/>
              </w:numPr>
              <w:tabs>
                <w:tab w:val="left" w:pos="720"/>
              </w:tabs>
              <w:rPr>
                <w:rFonts w:ascii="Calibri" w:hAnsi="Calibri"/>
                <w:bCs/>
                <w:sz w:val="20"/>
                <w:szCs w:val="20"/>
              </w:rPr>
            </w:pPr>
            <w:r>
              <w:rPr>
                <w:rFonts w:ascii="Calibri" w:hAnsi="Calibri"/>
                <w:bCs/>
                <w:sz w:val="20"/>
                <w:szCs w:val="20"/>
              </w:rPr>
              <w:t>Adults (18-39) recently hospitalized</w:t>
            </w:r>
          </w:p>
        </w:tc>
        <w:tc>
          <w:tcPr>
            <w:tcW w:w="1350" w:type="dxa"/>
            <w:vMerge/>
            <w:tcBorders>
              <w:left w:val="single" w:sz="4" w:space="0" w:color="000000"/>
              <w:bottom w:val="single" w:sz="4" w:space="0" w:color="000000"/>
              <w:right w:val="single" w:sz="4" w:space="0" w:color="000000"/>
            </w:tcBorders>
            <w:vAlign w:val="center"/>
          </w:tcPr>
          <w:p w:rsidR="001E3BA5" w:rsidRDefault="001E3BA5">
            <w:pPr>
              <w:pStyle w:val="ListBullet"/>
              <w:numPr>
                <w:ilvl w:val="0"/>
                <w:numId w:val="0"/>
              </w:numPr>
              <w:tabs>
                <w:tab w:val="left" w:pos="720"/>
              </w:tabs>
              <w:rPr>
                <w:rFonts w:ascii="Calibri" w:hAnsi="Calibri"/>
                <w:bCs/>
                <w:sz w:val="20"/>
                <w:szCs w:val="20"/>
              </w:rPr>
            </w:pPr>
          </w:p>
        </w:tc>
        <w:tc>
          <w:tcPr>
            <w:tcW w:w="1350" w:type="dxa"/>
            <w:vMerge/>
            <w:tcBorders>
              <w:left w:val="single" w:sz="4" w:space="0" w:color="000000"/>
              <w:bottom w:val="single" w:sz="4" w:space="0" w:color="000000"/>
              <w:right w:val="single" w:sz="4" w:space="0" w:color="000000"/>
            </w:tcBorders>
            <w:vAlign w:val="center"/>
          </w:tcPr>
          <w:p w:rsidR="001E3BA5" w:rsidDel="00D03891" w:rsidRDefault="001E3BA5">
            <w:pPr>
              <w:pStyle w:val="ListBullet"/>
              <w:numPr>
                <w:ilvl w:val="0"/>
                <w:numId w:val="0"/>
              </w:numPr>
              <w:tabs>
                <w:tab w:val="left" w:pos="720"/>
              </w:tabs>
              <w:jc w:val="center"/>
              <w:rPr>
                <w:rFonts w:ascii="Calibri" w:hAnsi="Calibri"/>
                <w:bCs/>
                <w:sz w:val="20"/>
                <w:szCs w:val="20"/>
              </w:rPr>
            </w:pPr>
          </w:p>
        </w:tc>
        <w:tc>
          <w:tcPr>
            <w:tcW w:w="1260" w:type="dxa"/>
            <w:vMerge/>
            <w:tcBorders>
              <w:left w:val="single" w:sz="4" w:space="0" w:color="000000"/>
              <w:bottom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p>
        </w:tc>
        <w:tc>
          <w:tcPr>
            <w:tcW w:w="1619" w:type="dxa"/>
            <w:vMerge/>
            <w:tcBorders>
              <w:left w:val="single" w:sz="4" w:space="0" w:color="000000"/>
              <w:bottom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p>
        </w:tc>
        <w:tc>
          <w:tcPr>
            <w:tcW w:w="900" w:type="dxa"/>
            <w:vMerge/>
            <w:tcBorders>
              <w:left w:val="single" w:sz="4" w:space="0" w:color="000000"/>
              <w:bottom w:val="single" w:sz="4" w:space="0" w:color="000000"/>
              <w:right w:val="single" w:sz="4" w:space="0" w:color="000000"/>
            </w:tcBorders>
            <w:vAlign w:val="center"/>
          </w:tcPr>
          <w:p w:rsidR="001E3BA5" w:rsidRDefault="001E3BA5">
            <w:pPr>
              <w:pStyle w:val="ListBullet"/>
              <w:numPr>
                <w:ilvl w:val="0"/>
                <w:numId w:val="0"/>
              </w:numPr>
              <w:tabs>
                <w:tab w:val="left" w:pos="720"/>
              </w:tabs>
              <w:jc w:val="center"/>
              <w:rPr>
                <w:rFonts w:ascii="Calibri" w:hAnsi="Calibri"/>
                <w:bCs/>
                <w:sz w:val="20"/>
                <w:szCs w:val="20"/>
              </w:rPr>
            </w:pPr>
          </w:p>
        </w:tc>
      </w:tr>
      <w:tr w:rsidR="00D03891" w:rsidTr="00D03891">
        <w:trPr>
          <w:trHeight w:val="458"/>
        </w:trPr>
        <w:tc>
          <w:tcPr>
            <w:tcW w:w="3166"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rPr>
                <w:rFonts w:ascii="Calibri" w:hAnsi="Calibri"/>
                <w:bCs/>
                <w:sz w:val="20"/>
                <w:szCs w:val="20"/>
              </w:rPr>
            </w:pPr>
            <w:r>
              <w:rPr>
                <w:rFonts w:ascii="Calibri" w:hAnsi="Calibri"/>
                <w:bCs/>
                <w:sz w:val="20"/>
                <w:szCs w:val="20"/>
              </w:rPr>
              <w:t>Seniors (65-80) recently hospitalized</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rsidR="00D03891" w:rsidRDefault="00D03891" w:rsidP="00D03891">
            <w:pPr>
              <w:pStyle w:val="ListBullet"/>
              <w:numPr>
                <w:ilvl w:val="0"/>
                <w:numId w:val="0"/>
              </w:numPr>
              <w:tabs>
                <w:tab w:val="left" w:pos="720"/>
              </w:tabs>
              <w:rPr>
                <w:rFonts w:ascii="Calibri" w:hAnsi="Calibri"/>
                <w:bCs/>
                <w:sz w:val="20"/>
                <w:szCs w:val="20"/>
              </w:rPr>
            </w:pPr>
            <w:r>
              <w:rPr>
                <w:rFonts w:ascii="Calibri" w:hAnsi="Calibri"/>
                <w:bCs/>
                <w:sz w:val="20"/>
                <w:szCs w:val="20"/>
              </w:rPr>
              <w:t xml:space="preserve">Moderator’s Guide </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hideMark/>
          </w:tcPr>
          <w:p w:rsidR="00EC680A" w:rsidRDefault="00EC680A">
            <w:pPr>
              <w:pStyle w:val="ListBullet"/>
              <w:numPr>
                <w:ilvl w:val="0"/>
                <w:numId w:val="0"/>
              </w:numPr>
              <w:tabs>
                <w:tab w:val="left" w:pos="720"/>
              </w:tabs>
              <w:jc w:val="center"/>
              <w:rPr>
                <w:rFonts w:ascii="Calibri" w:hAnsi="Calibri"/>
                <w:bCs/>
                <w:sz w:val="20"/>
                <w:szCs w:val="20"/>
              </w:rPr>
            </w:pPr>
          </w:p>
          <w:p w:rsidR="00D03891" w:rsidRDefault="00D03891">
            <w:pPr>
              <w:pStyle w:val="ListBullet"/>
              <w:numPr>
                <w:ilvl w:val="0"/>
                <w:numId w:val="0"/>
              </w:numPr>
              <w:tabs>
                <w:tab w:val="left" w:pos="720"/>
              </w:tabs>
              <w:jc w:val="center"/>
              <w:rPr>
                <w:rFonts w:ascii="Calibri" w:hAnsi="Calibri"/>
                <w:bCs/>
                <w:sz w:val="20"/>
                <w:szCs w:val="20"/>
              </w:rPr>
            </w:pPr>
            <w:r>
              <w:rPr>
                <w:rFonts w:ascii="Calibri" w:hAnsi="Calibri"/>
                <w:bCs/>
                <w:sz w:val="20"/>
                <w:szCs w:val="20"/>
              </w:rPr>
              <w:t>72</w:t>
            </w:r>
          </w:p>
          <w:p w:rsidR="00D03891" w:rsidRDefault="00D03891" w:rsidP="00EC680A">
            <w:pPr>
              <w:pStyle w:val="ListBullet"/>
              <w:numPr>
                <w:ilvl w:val="0"/>
                <w:numId w:val="0"/>
              </w:numPr>
              <w:tabs>
                <w:tab w:val="left" w:pos="720"/>
              </w:tabs>
              <w:jc w:val="center"/>
              <w:rPr>
                <w:rFonts w:ascii="Calibri" w:hAnsi="Calibri"/>
                <w:bCs/>
                <w:sz w:val="20"/>
                <w:szCs w:val="20"/>
              </w:rPr>
            </w:pPr>
          </w:p>
        </w:tc>
        <w:tc>
          <w:tcPr>
            <w:tcW w:w="1260" w:type="dxa"/>
            <w:vMerge w:val="restart"/>
            <w:tcBorders>
              <w:top w:val="single" w:sz="4" w:space="0" w:color="000000"/>
              <w:left w:val="single" w:sz="4" w:space="0" w:color="000000"/>
              <w:bottom w:val="single" w:sz="4" w:space="0" w:color="000000"/>
              <w:right w:val="single" w:sz="4" w:space="0" w:color="000000"/>
            </w:tcBorders>
            <w:vAlign w:val="center"/>
            <w:hideMark/>
          </w:tcPr>
          <w:p w:rsidR="00D03891" w:rsidRDefault="00D03891">
            <w:pPr>
              <w:pStyle w:val="ListBullet"/>
              <w:numPr>
                <w:ilvl w:val="0"/>
                <w:numId w:val="0"/>
              </w:numPr>
              <w:tabs>
                <w:tab w:val="left" w:pos="720"/>
              </w:tabs>
              <w:jc w:val="center"/>
              <w:rPr>
                <w:rFonts w:ascii="Calibri" w:hAnsi="Calibri"/>
                <w:bCs/>
                <w:sz w:val="20"/>
                <w:szCs w:val="20"/>
              </w:rPr>
            </w:pPr>
            <w:r>
              <w:rPr>
                <w:rFonts w:ascii="Calibri" w:hAnsi="Calibri"/>
                <w:bCs/>
                <w:sz w:val="20"/>
                <w:szCs w:val="20"/>
              </w:rPr>
              <w:t>1</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hideMark/>
          </w:tcPr>
          <w:p w:rsidR="00C21410" w:rsidRDefault="00C21410">
            <w:pPr>
              <w:pStyle w:val="ListBullet"/>
              <w:numPr>
                <w:ilvl w:val="0"/>
                <w:numId w:val="0"/>
              </w:numPr>
              <w:tabs>
                <w:tab w:val="left" w:pos="720"/>
              </w:tabs>
              <w:jc w:val="center"/>
              <w:rPr>
                <w:rFonts w:ascii="Calibri" w:hAnsi="Calibri"/>
                <w:bCs/>
                <w:sz w:val="20"/>
                <w:szCs w:val="20"/>
              </w:rPr>
            </w:pPr>
          </w:p>
          <w:p w:rsidR="00D03891" w:rsidRDefault="00C21410">
            <w:pPr>
              <w:pStyle w:val="ListBullet"/>
              <w:numPr>
                <w:ilvl w:val="0"/>
                <w:numId w:val="0"/>
              </w:numPr>
              <w:tabs>
                <w:tab w:val="left" w:pos="720"/>
              </w:tabs>
              <w:jc w:val="center"/>
              <w:rPr>
                <w:rFonts w:ascii="Calibri" w:hAnsi="Calibri"/>
                <w:bCs/>
                <w:sz w:val="20"/>
                <w:szCs w:val="20"/>
              </w:rPr>
            </w:pPr>
            <w:r>
              <w:rPr>
                <w:rFonts w:ascii="Calibri" w:hAnsi="Calibri"/>
                <w:bCs/>
                <w:sz w:val="20"/>
                <w:szCs w:val="20"/>
              </w:rPr>
              <w:t>1.5</w:t>
            </w:r>
          </w:p>
          <w:p w:rsidR="00D03891" w:rsidRDefault="00D03891" w:rsidP="00D03891">
            <w:pPr>
              <w:pStyle w:val="ListBullet"/>
              <w:numPr>
                <w:ilvl w:val="0"/>
                <w:numId w:val="0"/>
              </w:numPr>
              <w:tabs>
                <w:tab w:val="left" w:pos="720"/>
              </w:tabs>
              <w:jc w:val="center"/>
              <w:rPr>
                <w:rFonts w:ascii="Calibri" w:hAnsi="Calibri"/>
                <w:bCs/>
                <w:sz w:val="20"/>
                <w:szCs w:val="20"/>
              </w:rPr>
            </w:pPr>
          </w:p>
        </w:tc>
        <w:tc>
          <w:tcPr>
            <w:tcW w:w="900" w:type="dxa"/>
            <w:vMerge w:val="restart"/>
            <w:tcBorders>
              <w:top w:val="single" w:sz="4" w:space="0" w:color="000000"/>
              <w:left w:val="single" w:sz="4" w:space="0" w:color="000000"/>
              <w:bottom w:val="single" w:sz="4" w:space="0" w:color="000000"/>
              <w:right w:val="single" w:sz="4" w:space="0" w:color="000000"/>
            </w:tcBorders>
            <w:vAlign w:val="center"/>
            <w:hideMark/>
          </w:tcPr>
          <w:p w:rsidR="00D03891" w:rsidRDefault="00600F0F">
            <w:pPr>
              <w:pStyle w:val="ListBullet"/>
              <w:numPr>
                <w:ilvl w:val="0"/>
                <w:numId w:val="0"/>
              </w:numPr>
              <w:tabs>
                <w:tab w:val="left" w:pos="720"/>
              </w:tabs>
              <w:jc w:val="center"/>
              <w:rPr>
                <w:rFonts w:ascii="Calibri" w:hAnsi="Calibri"/>
                <w:bCs/>
                <w:sz w:val="20"/>
                <w:szCs w:val="20"/>
              </w:rPr>
            </w:pPr>
            <w:r>
              <w:rPr>
                <w:rFonts w:ascii="Calibri" w:hAnsi="Calibri"/>
                <w:bCs/>
                <w:sz w:val="20"/>
                <w:szCs w:val="20"/>
              </w:rPr>
              <w:t>108</w:t>
            </w:r>
          </w:p>
        </w:tc>
      </w:tr>
      <w:tr w:rsidR="00D03891" w:rsidTr="00D03891">
        <w:trPr>
          <w:trHeight w:val="457"/>
        </w:trPr>
        <w:tc>
          <w:tcPr>
            <w:tcW w:w="3166"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rPr>
                <w:rFonts w:ascii="Calibri" w:hAnsi="Calibri"/>
                <w:bCs/>
                <w:sz w:val="20"/>
                <w:szCs w:val="20"/>
              </w:rPr>
            </w:pPr>
            <w:r>
              <w:rPr>
                <w:rFonts w:ascii="Calibri" w:hAnsi="Calibri"/>
                <w:bCs/>
                <w:sz w:val="20"/>
                <w:szCs w:val="20"/>
              </w:rPr>
              <w:t>Adults (40-64) recently hospitalized</w:t>
            </w: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619"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r>
      <w:tr w:rsidR="00D03891" w:rsidTr="00D03891">
        <w:trPr>
          <w:trHeight w:val="457"/>
        </w:trPr>
        <w:tc>
          <w:tcPr>
            <w:tcW w:w="3166"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rPr>
                <w:rFonts w:ascii="Calibri" w:hAnsi="Calibri"/>
                <w:bCs/>
                <w:sz w:val="20"/>
                <w:szCs w:val="20"/>
              </w:rPr>
            </w:pPr>
            <w:r>
              <w:rPr>
                <w:rFonts w:ascii="Calibri" w:hAnsi="Calibri"/>
                <w:bCs/>
                <w:sz w:val="20"/>
                <w:szCs w:val="20"/>
              </w:rPr>
              <w:t>Adults (18-39) recently hospitalized</w:t>
            </w: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35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1619"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D03891" w:rsidRDefault="00D03891">
            <w:pPr>
              <w:rPr>
                <w:rFonts w:ascii="Calibri" w:hAnsi="Calibri"/>
                <w:bCs/>
                <w:kern w:val="24"/>
                <w:sz w:val="20"/>
                <w:szCs w:val="20"/>
              </w:rPr>
            </w:pPr>
          </w:p>
        </w:tc>
      </w:tr>
      <w:tr w:rsidR="00D03891" w:rsidTr="00D03891">
        <w:tc>
          <w:tcPr>
            <w:tcW w:w="3166" w:type="dxa"/>
            <w:tcBorders>
              <w:top w:val="single" w:sz="4" w:space="0" w:color="000000"/>
              <w:left w:val="single" w:sz="4" w:space="0" w:color="000000"/>
              <w:bottom w:val="single" w:sz="4" w:space="0" w:color="000000"/>
              <w:right w:val="single" w:sz="4" w:space="0" w:color="000000"/>
            </w:tcBorders>
            <w:hideMark/>
          </w:tcPr>
          <w:p w:rsidR="00D03891" w:rsidRDefault="00D03891">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TOTAL</w:t>
            </w:r>
          </w:p>
        </w:tc>
        <w:tc>
          <w:tcPr>
            <w:tcW w:w="1350" w:type="dxa"/>
            <w:tcBorders>
              <w:top w:val="single" w:sz="4" w:space="0" w:color="000000"/>
              <w:left w:val="single" w:sz="4" w:space="0" w:color="000000"/>
              <w:bottom w:val="single" w:sz="4" w:space="0" w:color="000000"/>
              <w:right w:val="single" w:sz="4" w:space="0" w:color="000000"/>
            </w:tcBorders>
            <w:vAlign w:val="center"/>
          </w:tcPr>
          <w:p w:rsidR="00D03891" w:rsidRDefault="00D03891">
            <w:pPr>
              <w:pStyle w:val="ListBullet"/>
              <w:numPr>
                <w:ilvl w:val="0"/>
                <w:numId w:val="0"/>
              </w:numPr>
              <w:tabs>
                <w:tab w:val="left" w:pos="720"/>
              </w:tabs>
              <w:jc w:val="center"/>
              <w:rPr>
                <w:rFonts w:ascii="Calibri" w:hAnsi="Calibri"/>
                <w:b/>
                <w:bCs/>
                <w:sz w:val="20"/>
                <w:szCs w:val="20"/>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D03891" w:rsidRDefault="00D03891">
            <w:pPr>
              <w:pStyle w:val="ListBullet"/>
              <w:numPr>
                <w:ilvl w:val="0"/>
                <w:numId w:val="0"/>
              </w:numPr>
              <w:tabs>
                <w:tab w:val="left" w:pos="720"/>
              </w:tabs>
              <w:jc w:val="center"/>
              <w:rPr>
                <w:rFonts w:ascii="Calibri" w:hAnsi="Calibri"/>
                <w:b/>
                <w:bCs/>
                <w:sz w:val="20"/>
                <w:szCs w:val="20"/>
              </w:rPr>
            </w:pPr>
          </w:p>
        </w:tc>
        <w:tc>
          <w:tcPr>
            <w:tcW w:w="1260" w:type="dxa"/>
            <w:tcBorders>
              <w:top w:val="single" w:sz="4" w:space="0" w:color="000000"/>
              <w:left w:val="single" w:sz="4" w:space="0" w:color="000000"/>
              <w:bottom w:val="single" w:sz="4" w:space="0" w:color="000000"/>
              <w:right w:val="single" w:sz="4" w:space="0" w:color="000000"/>
            </w:tcBorders>
            <w:vAlign w:val="center"/>
            <w:hideMark/>
          </w:tcPr>
          <w:p w:rsidR="00D03891" w:rsidRDefault="00D03891">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w:t>
            </w:r>
          </w:p>
        </w:tc>
        <w:tc>
          <w:tcPr>
            <w:tcW w:w="1619" w:type="dxa"/>
            <w:tcBorders>
              <w:top w:val="single" w:sz="4" w:space="0" w:color="000000"/>
              <w:left w:val="single" w:sz="4" w:space="0" w:color="000000"/>
              <w:bottom w:val="single" w:sz="4" w:space="0" w:color="000000"/>
              <w:right w:val="single" w:sz="4" w:space="0" w:color="000000"/>
            </w:tcBorders>
            <w:vAlign w:val="center"/>
            <w:hideMark/>
          </w:tcPr>
          <w:p w:rsidR="00D03891" w:rsidRDefault="00D03891">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w:t>
            </w:r>
          </w:p>
        </w:tc>
        <w:tc>
          <w:tcPr>
            <w:tcW w:w="900" w:type="dxa"/>
            <w:tcBorders>
              <w:top w:val="single" w:sz="4" w:space="0" w:color="000000"/>
              <w:left w:val="single" w:sz="4" w:space="0" w:color="000000"/>
              <w:bottom w:val="single" w:sz="4" w:space="0" w:color="000000"/>
              <w:right w:val="single" w:sz="4" w:space="0" w:color="000000"/>
            </w:tcBorders>
            <w:vAlign w:val="center"/>
            <w:hideMark/>
          </w:tcPr>
          <w:p w:rsidR="00D03891" w:rsidRDefault="00600F0F" w:rsidP="001E3BA5">
            <w:pPr>
              <w:pStyle w:val="ListBullet"/>
              <w:numPr>
                <w:ilvl w:val="0"/>
                <w:numId w:val="0"/>
              </w:numPr>
              <w:tabs>
                <w:tab w:val="left" w:pos="720"/>
              </w:tabs>
              <w:jc w:val="center"/>
              <w:rPr>
                <w:rFonts w:ascii="Calibri" w:hAnsi="Calibri"/>
                <w:b/>
                <w:bCs/>
                <w:sz w:val="20"/>
                <w:szCs w:val="20"/>
              </w:rPr>
            </w:pPr>
            <w:r>
              <w:rPr>
                <w:rFonts w:ascii="Calibri" w:hAnsi="Calibri"/>
                <w:b/>
                <w:bCs/>
                <w:sz w:val="20"/>
                <w:szCs w:val="20"/>
              </w:rPr>
              <w:t>14</w:t>
            </w:r>
            <w:r w:rsidR="001E3BA5">
              <w:rPr>
                <w:rFonts w:ascii="Calibri" w:hAnsi="Calibri"/>
                <w:b/>
                <w:bCs/>
                <w:sz w:val="20"/>
                <w:szCs w:val="20"/>
              </w:rPr>
              <w:t>8</w:t>
            </w:r>
          </w:p>
        </w:tc>
      </w:tr>
    </w:tbl>
    <w:p w:rsidR="00D03891" w:rsidRDefault="00D03891" w:rsidP="00D03891">
      <w:pPr>
        <w:pStyle w:val="ListBullet"/>
        <w:numPr>
          <w:ilvl w:val="0"/>
          <w:numId w:val="0"/>
        </w:numPr>
        <w:tabs>
          <w:tab w:val="left" w:pos="720"/>
        </w:tabs>
        <w:rPr>
          <w:bCs/>
        </w:rPr>
      </w:pPr>
      <w:r>
        <w:rPr>
          <w:bCs/>
        </w:rPr>
        <w:t xml:space="preserve"> </w:t>
      </w:r>
    </w:p>
    <w:p w:rsidR="00605463" w:rsidRDefault="00605463">
      <w:pPr>
        <w:rPr>
          <w:i/>
        </w:rPr>
      </w:pPr>
    </w:p>
    <w:p w:rsidR="00B46F2C" w:rsidRPr="008A71A5" w:rsidRDefault="00B46F2C">
      <w:pPr>
        <w:rPr>
          <w:b/>
          <w:bCs/>
          <w:u w:val="single"/>
        </w:rPr>
      </w:pPr>
      <w:r w:rsidRPr="008A71A5">
        <w:rPr>
          <w:b/>
        </w:rPr>
        <w:t xml:space="preserve">FEDERAL COST:  </w:t>
      </w:r>
      <w:r w:rsidRPr="008A71A5">
        <w:t xml:space="preserve">The estimated annual cost to the Federal government is </w:t>
      </w:r>
      <w:r w:rsidR="00170D91" w:rsidRPr="008A71A5">
        <w:t>$160,200</w:t>
      </w:r>
    </w:p>
    <w:p w:rsidR="006A7B32" w:rsidRPr="008A71A5" w:rsidRDefault="006A7B32" w:rsidP="006A7B32">
      <w:pPr>
        <w:spacing w:before="240"/>
      </w:pPr>
      <w:r w:rsidRPr="008A71A5">
        <w:t>The average annualized cost to the Federal Government to collect this information is $</w:t>
      </w:r>
      <w:r w:rsidR="00170D91" w:rsidRPr="008A71A5">
        <w:t>160,200</w:t>
      </w:r>
      <w:r w:rsidRPr="008A71A5">
        <w:t xml:space="preserve">. </w:t>
      </w:r>
      <w:r w:rsidR="00170D91" w:rsidRPr="008A71A5">
        <w:t>T</w:t>
      </w:r>
      <w:r w:rsidRPr="008A71A5">
        <w:t>his estimate is based on eight message testing focus groups and cost of the Federal Project Officer (see Table A.</w:t>
      </w:r>
      <w:r w:rsidR="00170D91" w:rsidRPr="008A71A5">
        <w:t>3</w:t>
      </w:r>
      <w:r w:rsidRPr="008A71A5">
        <w:t xml:space="preserve">). These figures include the costs of study design, materials development, </w:t>
      </w:r>
      <w:proofErr w:type="gramStart"/>
      <w:r w:rsidRPr="008A71A5">
        <w:t>facility</w:t>
      </w:r>
      <w:proofErr w:type="gramEnd"/>
      <w:r w:rsidRPr="008A71A5">
        <w:t xml:space="preserve"> rental, participant tokens of appreciation, data collection, analysis, and report writing. </w:t>
      </w:r>
    </w:p>
    <w:p w:rsidR="006A7B32" w:rsidRDefault="006A7B32" w:rsidP="006A7B32">
      <w:pPr>
        <w:rPr>
          <w:sz w:val="22"/>
          <w:szCs w:val="22"/>
        </w:rPr>
      </w:pPr>
    </w:p>
    <w:p w:rsidR="006A7B32" w:rsidRDefault="006A7B32">
      <w:pPr>
        <w:rPr>
          <w:b/>
          <w:bCs/>
          <w:u w:val="single"/>
        </w:rPr>
      </w:pPr>
    </w:p>
    <w:p w:rsidR="00B46F2C" w:rsidRDefault="00B46F2C"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C0133">
        <w:t>X</w:t>
      </w:r>
      <w:r>
        <w:t xml:space="preserve"> ] Yes</w:t>
      </w:r>
      <w:r>
        <w:tab/>
        <w:t>[ ] No</w:t>
      </w:r>
    </w:p>
    <w:p w:rsidR="00B46F2C" w:rsidRDefault="00B46F2C" w:rsidP="00636621">
      <w:pPr>
        <w:pStyle w:val="ListParagraph"/>
      </w:pPr>
    </w:p>
    <w:p w:rsidR="00B46F2C" w:rsidRDefault="00B46F2C"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1C68EA" w:rsidRDefault="001C68EA" w:rsidP="001B0AAA"/>
    <w:p w:rsidR="00B15851" w:rsidRDefault="00B15851" w:rsidP="004C0133">
      <w:pPr>
        <w:rPr>
          <w:b/>
          <w:i/>
        </w:rPr>
      </w:pPr>
      <w:r w:rsidRPr="00B15851">
        <w:rPr>
          <w:b/>
          <w:i/>
        </w:rPr>
        <w:t>Sampling Method</w:t>
      </w:r>
    </w:p>
    <w:p w:rsidR="00D93485" w:rsidRPr="00B15851" w:rsidRDefault="00D93485" w:rsidP="004C0133">
      <w:pPr>
        <w:rPr>
          <w:b/>
          <w:i/>
        </w:rPr>
      </w:pPr>
    </w:p>
    <w:p w:rsidR="00587EB0" w:rsidRDefault="00226283" w:rsidP="004C0133">
      <w:r>
        <w:t>A series of 8 focus groups will be conducted.  Participants will be recruited from a database of participants that is developed and maintained by the individual focus group facilities. No probability-based</w:t>
      </w:r>
      <w:r w:rsidR="00897DD9">
        <w:t xml:space="preserve"> </w:t>
      </w:r>
      <w:r>
        <w:t>sampling</w:t>
      </w:r>
      <w:r w:rsidR="00897DD9">
        <w:t xml:space="preserve"> methods will be used </w:t>
      </w:r>
      <w:r w:rsidR="008730F5">
        <w:t>to select</w:t>
      </w:r>
      <w:r w:rsidR="00897DD9">
        <w:t xml:space="preserve"> respondents for the study</w:t>
      </w:r>
      <w:r>
        <w:t xml:space="preserve">; rather, the facility will use criteria provided by </w:t>
      </w:r>
      <w:proofErr w:type="spellStart"/>
      <w:r>
        <w:t>Westat</w:t>
      </w:r>
      <w:proofErr w:type="spellEnd"/>
      <w:r>
        <w:t xml:space="preserve"> and will recruit from the subset of participants that meet these criteria</w:t>
      </w:r>
      <w:r w:rsidR="00897DD9">
        <w:t>.</w:t>
      </w:r>
      <w:r>
        <w:t xml:space="preserve"> For more details, please see attached screening instruments.</w:t>
      </w:r>
      <w:r w:rsidR="00897DD9">
        <w:t xml:space="preserve"> </w:t>
      </w:r>
      <w:r w:rsidR="00B46969">
        <w:t xml:space="preserve">Each focus group will seat </w:t>
      </w:r>
      <w:r w:rsidR="003778A9">
        <w:t>8-</w:t>
      </w:r>
      <w:r w:rsidR="00B46969">
        <w:t xml:space="preserve">9 participants, for an approximate total of 72 human subjects. </w:t>
      </w:r>
      <w:r w:rsidR="00587EB0">
        <w:t>The audience for the messaging is potentially the general public since anyone is at risk for DVT. However, risk is higher for recently hospitalized</w:t>
      </w:r>
      <w:r w:rsidR="00CF509D">
        <w:t xml:space="preserve"> therefore a</w:t>
      </w:r>
      <w:r w:rsidR="00587EB0">
        <w:t xml:space="preserve">udience is segmented among </w:t>
      </w:r>
      <w:r w:rsidR="00CF509D">
        <w:t xml:space="preserve">this group </w:t>
      </w:r>
      <w:r w:rsidR="00587EB0">
        <w:t xml:space="preserve">and by a mix of demographic factors, including age and gender: </w:t>
      </w:r>
      <w:r w:rsidR="002A7E3B">
        <w:t>Male and female adult</w:t>
      </w:r>
      <w:r>
        <w:t>s</w:t>
      </w:r>
      <w:r w:rsidR="00587EB0">
        <w:t xml:space="preserve"> ages 18-39, 40-64, and 65-80.  </w:t>
      </w:r>
    </w:p>
    <w:p w:rsidR="00E5000F" w:rsidRDefault="00E5000F" w:rsidP="004C0133"/>
    <w:p w:rsidR="00E5000F" w:rsidRDefault="00E5000F" w:rsidP="004C0133">
      <w:r>
        <w:t>The groups will be conducted in:</w:t>
      </w:r>
    </w:p>
    <w:p w:rsidR="00E5000F" w:rsidRDefault="00E5000F" w:rsidP="00E5000F">
      <w:pPr>
        <w:pStyle w:val="ListParagraph"/>
        <w:numPr>
          <w:ilvl w:val="0"/>
          <w:numId w:val="22"/>
        </w:numPr>
      </w:pPr>
      <w:r>
        <w:t>Atlanta</w:t>
      </w:r>
      <w:r w:rsidR="003302A2">
        <w:t>, GA</w:t>
      </w:r>
      <w:r>
        <w:t xml:space="preserve"> (Atlanta </w:t>
      </w:r>
      <w:proofErr w:type="spellStart"/>
      <w:r>
        <w:t>Outloud</w:t>
      </w:r>
      <w:proofErr w:type="spellEnd"/>
      <w:r>
        <w:t>, Inc.)</w:t>
      </w:r>
    </w:p>
    <w:p w:rsidR="00E5000F" w:rsidRDefault="00E5000F" w:rsidP="00E5000F">
      <w:pPr>
        <w:pStyle w:val="ListParagraph"/>
        <w:numPr>
          <w:ilvl w:val="0"/>
          <w:numId w:val="22"/>
        </w:numPr>
      </w:pPr>
      <w:r>
        <w:t>Baltimore</w:t>
      </w:r>
      <w:r w:rsidR="003302A2">
        <w:t>, MD</w:t>
      </w:r>
      <w:r>
        <w:t xml:space="preserve"> (Baltimore Research)  </w:t>
      </w:r>
    </w:p>
    <w:p w:rsidR="00587EB0" w:rsidRDefault="00587EB0" w:rsidP="004C0133"/>
    <w:p w:rsidR="00235D2F" w:rsidRDefault="00235D2F" w:rsidP="004C0133">
      <w:r>
        <w:t xml:space="preserve">These </w:t>
      </w:r>
      <w:r w:rsidR="003778A9">
        <w:t xml:space="preserve">two </w:t>
      </w:r>
      <w:r>
        <w:t xml:space="preserve">cities were selected by CDC on the basis that (1) these MSAs provide for more diversity of age and race for recently hospitalized, (2) </w:t>
      </w:r>
      <w:r w:rsidR="00E458B5">
        <w:t xml:space="preserve">DVT/PE incidence rates and numbers of cases in these cities, (3) cost associated with conducting focus groups in these locations, and (4) </w:t>
      </w:r>
      <w:r>
        <w:t xml:space="preserve">conveniently located to </w:t>
      </w:r>
      <w:proofErr w:type="spellStart"/>
      <w:r>
        <w:t>Westat</w:t>
      </w:r>
      <w:proofErr w:type="spellEnd"/>
      <w:r>
        <w:t xml:space="preserve"> and CDC offices. </w:t>
      </w:r>
    </w:p>
    <w:p w:rsidR="00E458B5" w:rsidRDefault="00E458B5" w:rsidP="004C0133"/>
    <w:p w:rsidR="008B7D8A" w:rsidRPr="008B7D8A" w:rsidRDefault="008B7D8A" w:rsidP="004C0133">
      <w:pPr>
        <w:rPr>
          <w:b/>
          <w:i/>
        </w:rPr>
      </w:pPr>
      <w:r>
        <w:rPr>
          <w:b/>
          <w:i/>
        </w:rPr>
        <w:t>Identifying and Contacting Participants</w:t>
      </w:r>
    </w:p>
    <w:p w:rsidR="008B7D8A" w:rsidRDefault="008B7D8A" w:rsidP="004C0133"/>
    <w:p w:rsidR="007724FB" w:rsidRDefault="008031B3" w:rsidP="004C0133">
      <w:r>
        <w:t xml:space="preserve">Respondents will be selected through </w:t>
      </w:r>
      <w:r w:rsidR="004C0133">
        <w:t xml:space="preserve">focus group facilities that maintain lists of interested participants from </w:t>
      </w:r>
      <w:r w:rsidR="00C94ABA">
        <w:t xml:space="preserve">the </w:t>
      </w:r>
      <w:r w:rsidR="004C0133">
        <w:t xml:space="preserve">general population that are new to this study.  </w:t>
      </w:r>
      <w:r w:rsidR="001B3804">
        <w:t>These participants will include adults 18-39</w:t>
      </w:r>
      <w:r w:rsidR="00226283">
        <w:t>,</w:t>
      </w:r>
      <w:r w:rsidR="001B3804">
        <w:t xml:space="preserve"> 40-64</w:t>
      </w:r>
      <w:r w:rsidR="00226283">
        <w:t>, and 65-80</w:t>
      </w:r>
      <w:r w:rsidR="001B3804">
        <w:t xml:space="preserve"> who have been recently hospitalized. </w:t>
      </w:r>
      <w:r w:rsidR="001E3BA5">
        <w:t xml:space="preserve">For purposes of calculating burden, we assume that 50% of the participants contacted will screen into the group. Possible reasons for not screening into the group may include not meeting the screening criteria or being unavailable at the scheduled time for the focus group. </w:t>
      </w:r>
      <w:proofErr w:type="spellStart"/>
      <w:r w:rsidR="00B26CA7" w:rsidRPr="000C31C9">
        <w:t>Westat</w:t>
      </w:r>
      <w:proofErr w:type="spellEnd"/>
      <w:r w:rsidR="00B26CA7" w:rsidRPr="000C31C9">
        <w:t xml:space="preserve"> will specify standard over-recruitment stra</w:t>
      </w:r>
      <w:r w:rsidR="00B26CA7">
        <w:t>tegies to assure attendance by 8-9</w:t>
      </w:r>
      <w:r w:rsidR="00B26CA7" w:rsidRPr="000C31C9">
        <w:t xml:space="preserve"> participants</w:t>
      </w:r>
      <w:r w:rsidR="00B26CA7">
        <w:t xml:space="preserve">.  </w:t>
      </w:r>
      <w:proofErr w:type="spellStart"/>
      <w:r w:rsidR="00B26CA7">
        <w:t>Westat</w:t>
      </w:r>
      <w:proofErr w:type="spellEnd"/>
      <w:r w:rsidR="00B26CA7">
        <w:t xml:space="preserve"> will consult with the focus group facilities for </w:t>
      </w:r>
      <w:r w:rsidR="00B26CA7" w:rsidRPr="003E206F">
        <w:t xml:space="preserve">over-recruit recommendations based on their experience.  </w:t>
      </w:r>
      <w:r w:rsidR="009015E4" w:rsidRPr="00856A5C">
        <w:t xml:space="preserve">For </w:t>
      </w:r>
      <w:r w:rsidR="00372E04" w:rsidRPr="00856A5C">
        <w:t>all groups,</w:t>
      </w:r>
      <w:r w:rsidR="009015E4" w:rsidRPr="00856A5C">
        <w:t xml:space="preserve"> we anticipate recruiting 1</w:t>
      </w:r>
      <w:r w:rsidR="00372E04" w:rsidRPr="00856A5C">
        <w:t>2</w:t>
      </w:r>
      <w:r w:rsidR="009015E4" w:rsidRPr="00856A5C">
        <w:t xml:space="preserve"> participants to ensure that 8-9 are seated in each of the 8 focus groups.</w:t>
      </w:r>
      <w:r w:rsidR="001B3804" w:rsidRPr="00856A5C">
        <w:t xml:space="preserve"> Because anyone can be at risk for DVT/PE, participants will be recruited</w:t>
      </w:r>
      <w:r w:rsidR="001B3804" w:rsidRPr="003E206F">
        <w:t xml:space="preserve"> using standard focus group recruitment methods</w:t>
      </w:r>
      <w:r w:rsidR="007724FB" w:rsidRPr="003E206F">
        <w:t xml:space="preserve">, </w:t>
      </w:r>
      <w:r w:rsidR="009015E4" w:rsidRPr="003E206F">
        <w:t>by calling their household and administering a screening questionnaire to pre-qualify them (</w:t>
      </w:r>
      <w:r w:rsidR="007724FB" w:rsidRPr="003E206F">
        <w:t>see</w:t>
      </w:r>
      <w:r w:rsidR="007724FB">
        <w:t xml:space="preserve"> Attachment</w:t>
      </w:r>
      <w:r w:rsidR="00226283" w:rsidRPr="001C68EA">
        <w:rPr>
          <w:color w:val="000000" w:themeColor="text1"/>
        </w:rPr>
        <w:t>s</w:t>
      </w:r>
      <w:r w:rsidR="007724FB">
        <w:t xml:space="preserve">).  Most will come from an existing database (or list) owned and maintained by each focus group facility of potential participants new to the study. </w:t>
      </w:r>
    </w:p>
    <w:p w:rsidR="007724FB" w:rsidRDefault="007724FB" w:rsidP="004C0133"/>
    <w:p w:rsidR="002A7E3B" w:rsidRDefault="004C0133" w:rsidP="004C0133">
      <w:r>
        <w:t xml:space="preserve">During the recruit, focus group facilities will provide recruitment updates to </w:t>
      </w:r>
      <w:proofErr w:type="spellStart"/>
      <w:r>
        <w:t>Westat</w:t>
      </w:r>
      <w:proofErr w:type="spellEnd"/>
      <w:r>
        <w:t xml:space="preserve"> at least twice a week.  </w:t>
      </w:r>
      <w:proofErr w:type="spellStart"/>
      <w:r>
        <w:t>Westat</w:t>
      </w:r>
      <w:proofErr w:type="spellEnd"/>
      <w:r>
        <w:t xml:space="preserve"> will work with the selected focus group facilities to monitor the recruitment, ensuring that the facility is recruiting appropriate respondents, on schedule, getting a demographic mix, etc. These reports will be compiled </w:t>
      </w:r>
      <w:r w:rsidRPr="000C31C9">
        <w:t xml:space="preserve">into an overall summary report </w:t>
      </w:r>
      <w:r>
        <w:t>for each</w:t>
      </w:r>
      <w:r w:rsidRPr="000C31C9">
        <w:t xml:space="preserve"> </w:t>
      </w:r>
      <w:r w:rsidR="001C68EA">
        <w:t xml:space="preserve">focus group. </w:t>
      </w:r>
    </w:p>
    <w:p w:rsidR="001C68EA" w:rsidRDefault="001C68EA" w:rsidP="004C0133"/>
    <w:p w:rsidR="008A71A5" w:rsidRDefault="008A71A5" w:rsidP="004C0133"/>
    <w:p w:rsidR="008A71A5" w:rsidRDefault="008A71A5" w:rsidP="004C0133"/>
    <w:p w:rsidR="00D93485" w:rsidRDefault="00D93485" w:rsidP="004C0133">
      <w:pPr>
        <w:rPr>
          <w:b/>
          <w:i/>
        </w:rPr>
      </w:pPr>
      <w:r w:rsidRPr="00D93485">
        <w:rPr>
          <w:b/>
          <w:i/>
        </w:rPr>
        <w:t>Methods to Maximize Response Rates and Address Non-Response</w:t>
      </w:r>
    </w:p>
    <w:p w:rsidR="00D93485" w:rsidRPr="00D93485" w:rsidRDefault="00D93485" w:rsidP="004C0133">
      <w:pPr>
        <w:rPr>
          <w:b/>
          <w:i/>
        </w:rPr>
      </w:pPr>
    </w:p>
    <w:p w:rsidR="002A7E3B" w:rsidRDefault="002A7E3B" w:rsidP="004C0133">
      <w:r>
        <w:t>To maximize response rates, professional recruitment firms will be used in each city to meet the target sample size.  Professional agencies are able to recruit participants very efficiently and can ensure that the appro</w:t>
      </w:r>
      <w:r w:rsidR="008D5AA9">
        <w:t xml:space="preserve">priate </w:t>
      </w:r>
      <w:r w:rsidR="00651BB3">
        <w:t>number of participants is</w:t>
      </w:r>
      <w:r>
        <w:t xml:space="preserve"> available for the focus groups.  </w:t>
      </w:r>
      <w:r w:rsidR="00BB4B15">
        <w:t xml:space="preserve">These firms have been briefed on the requirements of the focus groups. </w:t>
      </w:r>
    </w:p>
    <w:p w:rsidR="00BB4B15" w:rsidRDefault="00BB4B15" w:rsidP="004C0133"/>
    <w:p w:rsidR="00BB4B15" w:rsidRDefault="00BB4B15" w:rsidP="004C0133">
      <w:r>
        <w:t>To further maximize</w:t>
      </w:r>
      <w:r w:rsidR="008D5AA9">
        <w:t xml:space="preserve"> response rates, focus groups will be held during the afternoon for </w:t>
      </w:r>
      <w:r w:rsidR="00F06116">
        <w:t>senior</w:t>
      </w:r>
      <w:r w:rsidR="008D5AA9">
        <w:t xml:space="preserve"> adults</w:t>
      </w:r>
      <w:r w:rsidR="00651BB3">
        <w:t>,</w:t>
      </w:r>
      <w:r w:rsidR="008D5AA9">
        <w:t xml:space="preserve"> and after working hours </w:t>
      </w:r>
      <w:r w:rsidR="00F06116">
        <w:t xml:space="preserve">for younger adults </w:t>
      </w:r>
      <w:r w:rsidR="008D5AA9">
        <w:t xml:space="preserve">in settings that allow participants to feel comfortable and to articulate their views and feelings.  The market research firms in each selected city are located within close proximity to potential </w:t>
      </w:r>
      <w:r w:rsidR="00226283">
        <w:t>participants</w:t>
      </w:r>
      <w:r w:rsidR="008D5AA9">
        <w:t xml:space="preserve">.  </w:t>
      </w:r>
    </w:p>
    <w:p w:rsidR="008D5AA9" w:rsidRDefault="008D5AA9" w:rsidP="004C0133"/>
    <w:p w:rsidR="007F04A7" w:rsidRDefault="00B15851" w:rsidP="004C0133">
      <w:r>
        <w:t xml:space="preserve">Research has consistently shown the value of offering a modest remuneration for motivating respondents to participate in a research study. </w:t>
      </w:r>
      <w:r w:rsidR="007F04A7">
        <w:t xml:space="preserve">For participating in the focus group, </w:t>
      </w:r>
      <w:r w:rsidR="00F62D50">
        <w:t xml:space="preserve">recently hospitalized </w:t>
      </w:r>
      <w:r w:rsidR="007F04A7">
        <w:t>participants will receive the following incentive:</w:t>
      </w:r>
    </w:p>
    <w:p w:rsidR="008D5AA9" w:rsidRPr="008730F5" w:rsidRDefault="007F04A7" w:rsidP="007F04A7">
      <w:pPr>
        <w:pStyle w:val="ListParagraph"/>
        <w:numPr>
          <w:ilvl w:val="0"/>
          <w:numId w:val="21"/>
        </w:numPr>
      </w:pPr>
      <w:r w:rsidRPr="008730F5">
        <w:t>Atlanta</w:t>
      </w:r>
      <w:r w:rsidR="00186E0D">
        <w:t>, GA</w:t>
      </w:r>
      <w:r w:rsidRPr="008730F5">
        <w:t xml:space="preserve"> </w:t>
      </w:r>
      <w:r w:rsidR="00C94ABA">
        <w:t>participants will receive $</w:t>
      </w:r>
      <w:r w:rsidR="006A08B6">
        <w:t>75</w:t>
      </w:r>
    </w:p>
    <w:p w:rsidR="00651BB3" w:rsidRPr="008730F5" w:rsidRDefault="00651BB3" w:rsidP="007F04A7">
      <w:pPr>
        <w:pStyle w:val="ListParagraph"/>
        <w:numPr>
          <w:ilvl w:val="0"/>
          <w:numId w:val="21"/>
        </w:numPr>
      </w:pPr>
      <w:r w:rsidRPr="008730F5">
        <w:t>Baltimore</w:t>
      </w:r>
      <w:r w:rsidR="00186E0D">
        <w:t>, MD</w:t>
      </w:r>
      <w:r w:rsidR="008730F5" w:rsidRPr="008730F5">
        <w:t xml:space="preserve"> </w:t>
      </w:r>
      <w:r w:rsidR="00C94ABA">
        <w:t>participants will</w:t>
      </w:r>
      <w:r w:rsidR="008730F5" w:rsidRPr="008730F5">
        <w:t xml:space="preserve"> receive </w:t>
      </w:r>
      <w:r w:rsidR="001C68EA" w:rsidRPr="008730F5">
        <w:t>$</w:t>
      </w:r>
      <w:r w:rsidR="006A08B6">
        <w:t>75</w:t>
      </w:r>
    </w:p>
    <w:p w:rsidR="004C0133" w:rsidRDefault="004C0133" w:rsidP="00A403BB"/>
    <w:p w:rsidR="00651BB3" w:rsidRDefault="00D93485" w:rsidP="00A403BB">
      <w:r>
        <w:t xml:space="preserve">The recruiting firm in each city will follow up with a reminder phone call to each participant a few days prior to the focus group, reminding them of their participation and confirming their attendance.  </w:t>
      </w:r>
    </w:p>
    <w:p w:rsidR="00D93485" w:rsidRDefault="00D93485" w:rsidP="00A403BB">
      <w:pPr>
        <w:rPr>
          <w:b/>
        </w:rPr>
      </w:pPr>
    </w:p>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 xml:space="preserve">[  </w:t>
      </w:r>
      <w:r w:rsidR="00372E04">
        <w:t xml:space="preserve"> </w:t>
      </w:r>
      <w:r>
        <w:t xml:space="preserve">] Web-based or other forms of Social Media </w:t>
      </w:r>
    </w:p>
    <w:p w:rsidR="00B46F2C" w:rsidRDefault="00B46F2C" w:rsidP="001B0AAA">
      <w:pPr>
        <w:ind w:left="720"/>
      </w:pPr>
      <w:r>
        <w:t xml:space="preserve">[ </w:t>
      </w:r>
      <w:r w:rsidR="00372E04">
        <w:t xml:space="preserve"> </w:t>
      </w:r>
      <w:r>
        <w:t xml:space="preserve"> ] Telephone</w:t>
      </w:r>
      <w:r>
        <w:tab/>
      </w:r>
    </w:p>
    <w:p w:rsidR="00B46F2C" w:rsidRDefault="00B46F2C" w:rsidP="001B0AAA">
      <w:pPr>
        <w:ind w:left="720"/>
      </w:pPr>
      <w:r>
        <w:t>[</w:t>
      </w:r>
      <w:r w:rsidR="00050A1D">
        <w:t>X</w:t>
      </w:r>
      <w:r>
        <w:t>] In-person</w:t>
      </w:r>
      <w:r>
        <w:tab/>
      </w:r>
    </w:p>
    <w:p w:rsidR="00B46F2C" w:rsidRDefault="00B46F2C" w:rsidP="001B0AAA">
      <w:pPr>
        <w:ind w:left="720"/>
      </w:pPr>
      <w:r>
        <w:t xml:space="preserve">[ </w:t>
      </w:r>
      <w:r w:rsidR="00372E04">
        <w:t xml:space="preserve"> </w:t>
      </w:r>
      <w:r>
        <w:t xml:space="preserve"> ] Mail </w:t>
      </w:r>
    </w:p>
    <w:p w:rsidR="00B46F2C" w:rsidRDefault="00B46F2C" w:rsidP="001B0AAA">
      <w:pPr>
        <w:ind w:left="720"/>
      </w:pPr>
      <w:r>
        <w:t>[</w:t>
      </w:r>
      <w:r w:rsidR="00372E04">
        <w:t xml:space="preserve"> </w:t>
      </w:r>
      <w:r>
        <w:t xml:space="preserve">  ] Other, Explain</w:t>
      </w:r>
    </w:p>
    <w:p w:rsidR="000D5955" w:rsidRDefault="000D5955" w:rsidP="001B0AAA">
      <w:pPr>
        <w:ind w:left="720"/>
      </w:pPr>
    </w:p>
    <w:p w:rsidR="00B46F2C" w:rsidRDefault="00B46F2C" w:rsidP="00F24CFC">
      <w:pPr>
        <w:pStyle w:val="ListParagraph"/>
        <w:numPr>
          <w:ilvl w:val="0"/>
          <w:numId w:val="17"/>
        </w:numPr>
      </w:pPr>
      <w:r>
        <w:t>Will interviewers or facilitators be used?  [</w:t>
      </w:r>
      <w:r w:rsidR="00050A1D">
        <w:t>X</w:t>
      </w:r>
      <w:r>
        <w:t xml:space="preserve"> ] Yes [  ] No</w:t>
      </w:r>
    </w:p>
    <w:p w:rsidR="00B46F2C" w:rsidRDefault="00B46F2C" w:rsidP="00F24CFC">
      <w:pPr>
        <w:pStyle w:val="ListParagraph"/>
        <w:ind w:left="360"/>
      </w:pPr>
      <w:r>
        <w:t xml:space="preserve"> </w:t>
      </w:r>
    </w:p>
    <w:p w:rsidR="00B46F2C" w:rsidRDefault="00B46F2C" w:rsidP="0024521E">
      <w:pPr>
        <w:rPr>
          <w:b/>
        </w:rPr>
      </w:pPr>
      <w:r w:rsidRPr="00F24CFC">
        <w:rPr>
          <w:b/>
        </w:rPr>
        <w:t>Please make sure that all instruments, instructions, and scripts are submitted with the request.</w:t>
      </w:r>
    </w:p>
    <w:p w:rsidR="000D5955" w:rsidRPr="00F24CFC" w:rsidRDefault="000D5955" w:rsidP="0024521E">
      <w:pPr>
        <w:rPr>
          <w:b/>
        </w:rPr>
      </w:pPr>
    </w:p>
    <w:p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RDefault="00E04545" w:rsidP="00F24CFC">
      <w:pPr>
        <w:rPr>
          <w:b/>
        </w:rPr>
      </w:pPr>
      <w:r>
        <w:rPr>
          <w:noProof/>
        </w:rPr>
        <mc:AlternateContent>
          <mc:Choice Requires="wps">
            <w:drawing>
              <wp:anchor distT="4294967291" distB="4294967291"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B46F2C" w:rsidRPr="008F50D4" w:rsidRDefault="00B46F2C" w:rsidP="00F24CFC"/>
    <w:p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RDefault="00B46F2C" w:rsidP="00F24CFC">
      <w:pPr>
        <w:pStyle w:val="Header"/>
        <w:tabs>
          <w:tab w:val="clear" w:pos="4320"/>
          <w:tab w:val="clear" w:pos="8640"/>
        </w:tabs>
        <w:rPr>
          <w:b/>
        </w:rPr>
      </w:pPr>
    </w:p>
    <w:p w:rsidR="00B46F2C" w:rsidRPr="008F50D4" w:rsidRDefault="00B46F2C" w:rsidP="00F24CFC">
      <w:pPr>
        <w:pStyle w:val="Header"/>
        <w:tabs>
          <w:tab w:val="clear" w:pos="4320"/>
          <w:tab w:val="clear" w:pos="8640"/>
        </w:tabs>
      </w:pPr>
      <w:r w:rsidRPr="008F50D4">
        <w:rPr>
          <w:b/>
        </w:rPr>
        <w:t>DESCRIPTION OF RESPONDENTS</w:t>
      </w:r>
      <w:r w:rsidRPr="008F50D4">
        <w:t xml:space="preserve">: Provide a brief description of the targeted group or </w:t>
      </w:r>
      <w:r w:rsidRPr="008F50D4">
        <w:lastRenderedPageBreak/>
        <w:t>groups for this collection of information.  These groups must have experience with the program.</w:t>
      </w:r>
    </w:p>
    <w:p w:rsidR="00B46F2C" w:rsidRPr="008F50D4" w:rsidRDefault="00B46F2C" w:rsidP="00F24CFC">
      <w:pPr>
        <w:rPr>
          <w:b/>
        </w:rPr>
      </w:pPr>
    </w:p>
    <w:p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RDefault="00B46F2C" w:rsidP="00F24CFC">
      <w:pPr>
        <w:pStyle w:val="BodyTextIndent"/>
        <w:tabs>
          <w:tab w:val="left" w:pos="360"/>
        </w:tabs>
        <w:ind w:left="0"/>
        <w:rPr>
          <w:bCs/>
          <w:sz w:val="24"/>
          <w:szCs w:val="24"/>
        </w:rPr>
      </w:pPr>
    </w:p>
    <w:p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rsidR="00B46F2C" w:rsidRDefault="00B46F2C" w:rsidP="00F24CFC">
      <w:pPr>
        <w:rPr>
          <w:sz w:val="16"/>
          <w:szCs w:val="16"/>
        </w:rPr>
      </w:pPr>
    </w:p>
    <w:p w:rsidR="00B46F2C" w:rsidRDefault="00B46F2C" w:rsidP="00F24CFC">
      <w:r w:rsidRPr="00C86E91">
        <w:rPr>
          <w:b/>
        </w:rPr>
        <w:t>Personally Identifiable Information:</w:t>
      </w:r>
      <w:r>
        <w:rPr>
          <w:b/>
        </w:rPr>
        <w:t xml:space="preserve">  </w:t>
      </w:r>
      <w:r>
        <w:t xml:space="preserve">Provide answers to the questions.  </w:t>
      </w:r>
    </w:p>
    <w:p w:rsidR="00B46F2C" w:rsidRPr="008F50D4" w:rsidRDefault="00B46F2C" w:rsidP="00F24CFC"/>
    <w:p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B46F2C" w:rsidRDefault="00B46F2C" w:rsidP="00F24CFC">
      <w:pPr>
        <w:rPr>
          <w:b/>
        </w:rPr>
      </w:pPr>
    </w:p>
    <w:p w:rsidR="00B46F2C" w:rsidRDefault="00B46F2C" w:rsidP="00F24CFC">
      <w:pPr>
        <w:rPr>
          <w:b/>
        </w:rPr>
      </w:pPr>
      <w:r>
        <w:rPr>
          <w:b/>
        </w:rPr>
        <w:t>BURDEN HOURS:</w:t>
      </w:r>
    </w:p>
    <w:p w:rsidR="00B46F2C" w:rsidRDefault="00B46F2C"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B46F2C" w:rsidRDefault="00B46F2C" w:rsidP="00F24CFC">
      <w:r w:rsidRPr="008F50D4">
        <w:rPr>
          <w:b/>
        </w:rPr>
        <w:t>No</w:t>
      </w:r>
      <w:r>
        <w:rPr>
          <w:b/>
        </w:rPr>
        <w:t>.</w:t>
      </w:r>
      <w:r w:rsidRPr="008F50D4">
        <w:rPr>
          <w:b/>
        </w:rPr>
        <w:t xml:space="preserve"> of Respondents:</w:t>
      </w:r>
      <w:r>
        <w:t xml:space="preserve">  Provide an estimate of the Number of respondents.</w:t>
      </w:r>
    </w:p>
    <w:p w:rsidR="00B46F2C" w:rsidRDefault="00B46F2C" w:rsidP="00F24CFC">
      <w:r>
        <w:rPr>
          <w:b/>
        </w:rPr>
        <w:t xml:space="preserve">Participation Time:  </w:t>
      </w:r>
      <w:r>
        <w:t>Provide an estimate of the amount of time required for a respondent to participate (e.g. fill out a survey or participate in a focus group)</w:t>
      </w:r>
    </w:p>
    <w:p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RDefault="00B46F2C" w:rsidP="00F24CFC">
      <w:pPr>
        <w:keepNext/>
        <w:keepLines/>
        <w:rPr>
          <w:b/>
        </w:rPr>
      </w:pPr>
    </w:p>
    <w:p w:rsidR="00B46F2C" w:rsidRDefault="00B46F2C" w:rsidP="00F24CFC">
      <w:pPr>
        <w:rPr>
          <w:b/>
        </w:rPr>
      </w:pPr>
      <w:r>
        <w:rPr>
          <w:b/>
        </w:rPr>
        <w:t xml:space="preserve">FEDERAL COST: </w:t>
      </w:r>
      <w:r>
        <w:t>Provide an estimate of the annual cost to the Federal government.</w:t>
      </w:r>
    </w:p>
    <w:p w:rsidR="00B46F2C" w:rsidRDefault="00B46F2C" w:rsidP="00F24CFC">
      <w:pPr>
        <w:rPr>
          <w:b/>
          <w:bCs/>
          <w:u w:val="single"/>
        </w:rPr>
      </w:pPr>
    </w:p>
    <w:p w:rsidR="00B46F2C" w:rsidRDefault="00B46F2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RDefault="00B46F2C" w:rsidP="00F24CFC">
      <w:pPr>
        <w:rPr>
          <w:b/>
        </w:rPr>
      </w:pPr>
    </w:p>
    <w:p w:rsidR="00B46F2C" w:rsidRDefault="00B46F2C"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RDefault="00B46F2C" w:rsidP="00F24CFC">
      <w:pPr>
        <w:rPr>
          <w:b/>
        </w:rPr>
      </w:pPr>
    </w:p>
    <w:p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B46F2C" w:rsidRPr="00F24CFC" w:rsidRDefault="00B46F2C" w:rsidP="00F24CFC">
      <w:pPr>
        <w:rPr>
          <w:b/>
        </w:rPr>
      </w:pPr>
      <w:r w:rsidRPr="00F24CFC">
        <w:rPr>
          <w:b/>
        </w:rPr>
        <w:t>Please make sure that all instruments, instructions, and scripts are submitted with the request.</w:t>
      </w:r>
    </w:p>
    <w:p w:rsidR="00B46F2C" w:rsidRDefault="00B46F2C" w:rsidP="00F24CFC">
      <w:pPr>
        <w:tabs>
          <w:tab w:val="left" w:pos="5670"/>
        </w:tabs>
        <w:suppressAutoHyphens/>
      </w:pPr>
    </w:p>
    <w:sectPr w:rsidR="00B46F2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C3" w:rsidRDefault="00A32CC3">
      <w:r>
        <w:separator/>
      </w:r>
    </w:p>
  </w:endnote>
  <w:endnote w:type="continuationSeparator" w:id="0">
    <w:p w:rsidR="00A32CC3" w:rsidRDefault="00A32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C3" w:rsidRDefault="00A32CC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243C9">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C3" w:rsidRDefault="00A32CC3">
      <w:r>
        <w:separator/>
      </w:r>
    </w:p>
  </w:footnote>
  <w:footnote w:type="continuationSeparator" w:id="0">
    <w:p w:rsidR="00A32CC3" w:rsidRDefault="00A32CC3">
      <w:r>
        <w:continuationSeparator/>
      </w:r>
    </w:p>
  </w:footnote>
  <w:footnote w:id="1">
    <w:p w:rsidR="006A08B6" w:rsidRPr="006942AC" w:rsidRDefault="006A08B6" w:rsidP="006A08B6">
      <w:pPr>
        <w:pStyle w:val="FootnoteText"/>
        <w:rPr>
          <w:rFonts w:cstheme="minorHAnsi"/>
        </w:rPr>
      </w:pPr>
      <w:r>
        <w:rPr>
          <w:rStyle w:val="FootnoteReference"/>
        </w:rPr>
        <w:footnoteRef/>
      </w:r>
      <w:r>
        <w:t xml:space="preserve"> </w:t>
      </w:r>
      <w:proofErr w:type="gramStart"/>
      <w:r w:rsidRPr="00FE029E">
        <w:rPr>
          <w:rFonts w:cstheme="minorHAnsi"/>
        </w:rPr>
        <w:t>Krueger, RA, and Casey, MA (2009).</w:t>
      </w:r>
      <w:proofErr w:type="gramEnd"/>
      <w:r w:rsidRPr="00FE029E">
        <w:rPr>
          <w:rFonts w:cstheme="minorHAnsi"/>
        </w:rPr>
        <w:t xml:space="preserve"> </w:t>
      </w:r>
      <w:r w:rsidRPr="00584B67">
        <w:rPr>
          <w:rFonts w:cstheme="minorHAnsi"/>
          <w:i/>
        </w:rPr>
        <w:t>Focus Groups: A Practical Guide for Applied Research, 4</w:t>
      </w:r>
      <w:r w:rsidRPr="0065482F">
        <w:rPr>
          <w:rFonts w:cstheme="minorHAnsi"/>
          <w:i/>
          <w:vertAlign w:val="superscript"/>
        </w:rPr>
        <w:t>th</w:t>
      </w:r>
      <w:r w:rsidRPr="00FE029E">
        <w:rPr>
          <w:rFonts w:cstheme="minorHAnsi"/>
          <w:i/>
        </w:rPr>
        <w:t xml:space="preserve"> ed</w:t>
      </w:r>
      <w:r w:rsidRPr="00584B67">
        <w:rPr>
          <w:rFonts w:cstheme="minorHAnsi"/>
          <w:i/>
        </w:rPr>
        <w:t>.</w:t>
      </w:r>
      <w:r w:rsidRPr="00584B67">
        <w:rPr>
          <w:rFonts w:cstheme="minorHAnsi"/>
        </w:rPr>
        <w:t xml:space="preserve"> Sage: Thousand Oaks, CA.</w:t>
      </w:r>
    </w:p>
  </w:footnote>
  <w:footnote w:id="2">
    <w:p w:rsidR="006A08B6" w:rsidRPr="0065482F" w:rsidRDefault="006A08B6" w:rsidP="006A08B6">
      <w:pPr>
        <w:pStyle w:val="FootnoteText"/>
        <w:rPr>
          <w:rFonts w:cstheme="minorHAnsi"/>
        </w:rPr>
      </w:pPr>
      <w:r w:rsidRPr="0065482F">
        <w:rPr>
          <w:rStyle w:val="FootnoteReference"/>
          <w:rFonts w:cstheme="minorHAnsi"/>
        </w:rPr>
        <w:footnoteRef/>
      </w:r>
      <w:r w:rsidRPr="0065482F">
        <w:rPr>
          <w:rFonts w:cstheme="minorHAnsi"/>
        </w:rPr>
        <w:t xml:space="preserve"> Adams PF, Martinez ME, </w:t>
      </w:r>
      <w:proofErr w:type="spellStart"/>
      <w:r w:rsidRPr="0065482F">
        <w:rPr>
          <w:rFonts w:cstheme="minorHAnsi"/>
        </w:rPr>
        <w:t>Vickerie</w:t>
      </w:r>
      <w:proofErr w:type="spellEnd"/>
      <w:r w:rsidRPr="0065482F">
        <w:rPr>
          <w:rFonts w:cstheme="minorHAnsi"/>
        </w:rPr>
        <w:t xml:space="preserve"> JL, </w:t>
      </w:r>
      <w:proofErr w:type="spellStart"/>
      <w:r w:rsidRPr="0065482F">
        <w:rPr>
          <w:rFonts w:cstheme="minorHAnsi"/>
        </w:rPr>
        <w:t>Kirzinger</w:t>
      </w:r>
      <w:proofErr w:type="spellEnd"/>
      <w:r w:rsidRPr="0065482F">
        <w:rPr>
          <w:rFonts w:cstheme="minorHAnsi"/>
        </w:rPr>
        <w:t xml:space="preserve"> WK. Summary health statistics for the U.S. population: National Health Interview Survey, 2010. </w:t>
      </w:r>
      <w:proofErr w:type="gramStart"/>
      <w:r w:rsidRPr="0065482F">
        <w:rPr>
          <w:rFonts w:cstheme="minorHAnsi"/>
        </w:rPr>
        <w:t>National Center for Health Statistics.</w:t>
      </w:r>
      <w:proofErr w:type="gramEnd"/>
      <w:r w:rsidRPr="0065482F">
        <w:rPr>
          <w:rFonts w:cstheme="minorHAnsi"/>
        </w:rPr>
        <w:t xml:space="preserve"> </w:t>
      </w:r>
      <w:proofErr w:type="gramStart"/>
      <w:r w:rsidRPr="0065482F">
        <w:rPr>
          <w:rFonts w:cstheme="minorHAnsi"/>
        </w:rPr>
        <w:t>Vital Health Stat 10(251).</w:t>
      </w:r>
      <w:proofErr w:type="gramEnd"/>
      <w:r w:rsidRPr="0065482F">
        <w:rPr>
          <w:rFonts w:cstheme="minorHAnsi"/>
        </w:rPr>
        <w:t xml:space="preserve"> Available online at: </w:t>
      </w:r>
      <w:hyperlink r:id="rId1" w:history="1">
        <w:r w:rsidRPr="0065482F">
          <w:rPr>
            <w:rStyle w:val="Hyperlink"/>
            <w:rFonts w:cstheme="minorHAnsi"/>
          </w:rPr>
          <w:t>http://www.cdc.gov/nchs/data/series/sr_10/sr10_251.pdf</w:t>
        </w:r>
      </w:hyperlink>
      <w:r w:rsidRPr="0065482F">
        <w:rPr>
          <w:rFonts w:cstheme="minorHAnsi"/>
        </w:rPr>
        <w:t xml:space="preserve"> [accessed 3/27/2012]</w:t>
      </w:r>
    </w:p>
  </w:footnote>
  <w:footnote w:id="3">
    <w:p w:rsidR="006A08B6" w:rsidRDefault="006A08B6" w:rsidP="006A08B6">
      <w:pPr>
        <w:pStyle w:val="FootnoteText"/>
      </w:pPr>
      <w:r w:rsidRPr="00584B67">
        <w:rPr>
          <w:rStyle w:val="FootnoteReference"/>
          <w:rFonts w:cstheme="minorHAnsi"/>
        </w:rPr>
        <w:footnoteRef/>
      </w:r>
      <w:r w:rsidRPr="00584B67">
        <w:rPr>
          <w:rFonts w:cstheme="minorHAnsi"/>
        </w:rPr>
        <w:t xml:space="preserve"> Church, A.H. (1993). </w:t>
      </w:r>
      <w:proofErr w:type="gramStart"/>
      <w:r w:rsidRPr="00584B67">
        <w:rPr>
          <w:rFonts w:cstheme="minorHAnsi"/>
        </w:rPr>
        <w:t>Estimating the Effect of Incentives on Mail Survey Response Rates: A Meta-Analysis.</w:t>
      </w:r>
      <w:proofErr w:type="gramEnd"/>
      <w:r w:rsidRPr="00584B67">
        <w:rPr>
          <w:rFonts w:cstheme="minorHAnsi"/>
        </w:rPr>
        <w:t xml:space="preserve"> </w:t>
      </w:r>
      <w:proofErr w:type="gramStart"/>
      <w:r w:rsidRPr="00584B67">
        <w:rPr>
          <w:rFonts w:cstheme="minorHAnsi"/>
        </w:rPr>
        <w:t>Public Opinion Quarterly, 57, 62 –79.</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CC3" w:rsidRDefault="00A32C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006F25"/>
    <w:multiLevelType w:val="hybridMultilevel"/>
    <w:tmpl w:val="44E227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46B3D54"/>
    <w:multiLevelType w:val="hybridMultilevel"/>
    <w:tmpl w:val="E42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E8709E"/>
    <w:multiLevelType w:val="hybridMultilevel"/>
    <w:tmpl w:val="C448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2"/>
  </w:num>
  <w:num w:numId="7">
    <w:abstractNumId w:val="11"/>
  </w:num>
  <w:num w:numId="8">
    <w:abstractNumId w:val="16"/>
  </w:num>
  <w:num w:numId="9">
    <w:abstractNumId w:val="12"/>
  </w:num>
  <w:num w:numId="10">
    <w:abstractNumId w:val="3"/>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21"/>
  </w:num>
  <w:num w:numId="20">
    <w:abstractNumId w:val="7"/>
  </w:num>
  <w:num w:numId="21">
    <w:abstractNumId w:val="1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129"/>
    <w:rsid w:val="00047A64"/>
    <w:rsid w:val="00050A1D"/>
    <w:rsid w:val="00067329"/>
    <w:rsid w:val="000B005B"/>
    <w:rsid w:val="000B2838"/>
    <w:rsid w:val="000C0DF9"/>
    <w:rsid w:val="000D3B04"/>
    <w:rsid w:val="000D44CA"/>
    <w:rsid w:val="000D5955"/>
    <w:rsid w:val="000E200B"/>
    <w:rsid w:val="000E58CF"/>
    <w:rsid w:val="000F68BE"/>
    <w:rsid w:val="00170D91"/>
    <w:rsid w:val="00175A1A"/>
    <w:rsid w:val="00186DC7"/>
    <w:rsid w:val="00186E0D"/>
    <w:rsid w:val="001927A4"/>
    <w:rsid w:val="00194AC6"/>
    <w:rsid w:val="00197E00"/>
    <w:rsid w:val="001A0F5C"/>
    <w:rsid w:val="001A23B0"/>
    <w:rsid w:val="001A25CC"/>
    <w:rsid w:val="001B0AAA"/>
    <w:rsid w:val="001B3804"/>
    <w:rsid w:val="001C39F7"/>
    <w:rsid w:val="001C68EA"/>
    <w:rsid w:val="001E3BA5"/>
    <w:rsid w:val="001F6C0B"/>
    <w:rsid w:val="00215666"/>
    <w:rsid w:val="00226283"/>
    <w:rsid w:val="0023576A"/>
    <w:rsid w:val="00235D2F"/>
    <w:rsid w:val="00237B48"/>
    <w:rsid w:val="0024521E"/>
    <w:rsid w:val="00261D1F"/>
    <w:rsid w:val="00263C3D"/>
    <w:rsid w:val="00274D0B"/>
    <w:rsid w:val="002821FF"/>
    <w:rsid w:val="002A7E3B"/>
    <w:rsid w:val="002B3C95"/>
    <w:rsid w:val="002C6308"/>
    <w:rsid w:val="002D0B92"/>
    <w:rsid w:val="00301202"/>
    <w:rsid w:val="003302A2"/>
    <w:rsid w:val="003675DB"/>
    <w:rsid w:val="00372E04"/>
    <w:rsid w:val="003775CB"/>
    <w:rsid w:val="003778A9"/>
    <w:rsid w:val="003B58CD"/>
    <w:rsid w:val="003D3E23"/>
    <w:rsid w:val="003D5BBE"/>
    <w:rsid w:val="003E206F"/>
    <w:rsid w:val="003E3C61"/>
    <w:rsid w:val="003F1C5B"/>
    <w:rsid w:val="0041337D"/>
    <w:rsid w:val="00434E33"/>
    <w:rsid w:val="00441434"/>
    <w:rsid w:val="0045264C"/>
    <w:rsid w:val="004876EC"/>
    <w:rsid w:val="004C0133"/>
    <w:rsid w:val="004D6E14"/>
    <w:rsid w:val="005009B0"/>
    <w:rsid w:val="00506DBB"/>
    <w:rsid w:val="00512CA7"/>
    <w:rsid w:val="00533597"/>
    <w:rsid w:val="005526FB"/>
    <w:rsid w:val="00577AE2"/>
    <w:rsid w:val="00587EB0"/>
    <w:rsid w:val="00595A29"/>
    <w:rsid w:val="005A1006"/>
    <w:rsid w:val="005E714A"/>
    <w:rsid w:val="00600F0F"/>
    <w:rsid w:val="00605463"/>
    <w:rsid w:val="006140A0"/>
    <w:rsid w:val="00636621"/>
    <w:rsid w:val="00642B49"/>
    <w:rsid w:val="00651BB3"/>
    <w:rsid w:val="00654A2F"/>
    <w:rsid w:val="006662E1"/>
    <w:rsid w:val="006832D9"/>
    <w:rsid w:val="00683DAD"/>
    <w:rsid w:val="0069403B"/>
    <w:rsid w:val="006A08B6"/>
    <w:rsid w:val="006A7B32"/>
    <w:rsid w:val="006F3DDE"/>
    <w:rsid w:val="00704678"/>
    <w:rsid w:val="0071752C"/>
    <w:rsid w:val="00723E87"/>
    <w:rsid w:val="007425E7"/>
    <w:rsid w:val="007724FB"/>
    <w:rsid w:val="007D5CD9"/>
    <w:rsid w:val="007F04A7"/>
    <w:rsid w:val="007F080D"/>
    <w:rsid w:val="007F2722"/>
    <w:rsid w:val="00802607"/>
    <w:rsid w:val="008031B3"/>
    <w:rsid w:val="00803C6E"/>
    <w:rsid w:val="008101A5"/>
    <w:rsid w:val="00822664"/>
    <w:rsid w:val="00843796"/>
    <w:rsid w:val="00852992"/>
    <w:rsid w:val="00856A5C"/>
    <w:rsid w:val="008730F5"/>
    <w:rsid w:val="00895229"/>
    <w:rsid w:val="00897DD9"/>
    <w:rsid w:val="008A3F4B"/>
    <w:rsid w:val="008A71A5"/>
    <w:rsid w:val="008B7D8A"/>
    <w:rsid w:val="008D5AA9"/>
    <w:rsid w:val="008E58DD"/>
    <w:rsid w:val="008E69CD"/>
    <w:rsid w:val="008F0203"/>
    <w:rsid w:val="008F50D4"/>
    <w:rsid w:val="009015E4"/>
    <w:rsid w:val="009239AA"/>
    <w:rsid w:val="00935ADA"/>
    <w:rsid w:val="00946B6C"/>
    <w:rsid w:val="00951F36"/>
    <w:rsid w:val="00955A71"/>
    <w:rsid w:val="0096108F"/>
    <w:rsid w:val="009B37B3"/>
    <w:rsid w:val="009C13B9"/>
    <w:rsid w:val="009D01A2"/>
    <w:rsid w:val="009E5407"/>
    <w:rsid w:val="009F10EA"/>
    <w:rsid w:val="009F5923"/>
    <w:rsid w:val="00A019F1"/>
    <w:rsid w:val="00A243C9"/>
    <w:rsid w:val="00A24ED9"/>
    <w:rsid w:val="00A32CC3"/>
    <w:rsid w:val="00A369FB"/>
    <w:rsid w:val="00A403BB"/>
    <w:rsid w:val="00A674DF"/>
    <w:rsid w:val="00A83AA6"/>
    <w:rsid w:val="00A852AE"/>
    <w:rsid w:val="00AB416A"/>
    <w:rsid w:val="00AE1809"/>
    <w:rsid w:val="00AE3A68"/>
    <w:rsid w:val="00B0096A"/>
    <w:rsid w:val="00B15851"/>
    <w:rsid w:val="00B26CA7"/>
    <w:rsid w:val="00B339B3"/>
    <w:rsid w:val="00B46969"/>
    <w:rsid w:val="00B46F2C"/>
    <w:rsid w:val="00B47996"/>
    <w:rsid w:val="00B5307A"/>
    <w:rsid w:val="00B80D76"/>
    <w:rsid w:val="00B82107"/>
    <w:rsid w:val="00BA2105"/>
    <w:rsid w:val="00BA7E06"/>
    <w:rsid w:val="00BB43B5"/>
    <w:rsid w:val="00BB4B15"/>
    <w:rsid w:val="00BB6219"/>
    <w:rsid w:val="00BD290F"/>
    <w:rsid w:val="00C008AA"/>
    <w:rsid w:val="00C14CC4"/>
    <w:rsid w:val="00C21410"/>
    <w:rsid w:val="00C32D34"/>
    <w:rsid w:val="00C33C52"/>
    <w:rsid w:val="00C40D8B"/>
    <w:rsid w:val="00C8407A"/>
    <w:rsid w:val="00C8488C"/>
    <w:rsid w:val="00C86E91"/>
    <w:rsid w:val="00C94ABA"/>
    <w:rsid w:val="00CA2650"/>
    <w:rsid w:val="00CB1078"/>
    <w:rsid w:val="00CC3E73"/>
    <w:rsid w:val="00CC6FAF"/>
    <w:rsid w:val="00CF509D"/>
    <w:rsid w:val="00D03891"/>
    <w:rsid w:val="00D24698"/>
    <w:rsid w:val="00D6383F"/>
    <w:rsid w:val="00D71221"/>
    <w:rsid w:val="00D76D30"/>
    <w:rsid w:val="00D93485"/>
    <w:rsid w:val="00DB3DF0"/>
    <w:rsid w:val="00DB59D0"/>
    <w:rsid w:val="00DC33D3"/>
    <w:rsid w:val="00E04545"/>
    <w:rsid w:val="00E26329"/>
    <w:rsid w:val="00E40B50"/>
    <w:rsid w:val="00E458B5"/>
    <w:rsid w:val="00E5000F"/>
    <w:rsid w:val="00E50293"/>
    <w:rsid w:val="00E65FFC"/>
    <w:rsid w:val="00E80951"/>
    <w:rsid w:val="00E854FE"/>
    <w:rsid w:val="00E86CC6"/>
    <w:rsid w:val="00E93D9E"/>
    <w:rsid w:val="00EB56B3"/>
    <w:rsid w:val="00EC09B2"/>
    <w:rsid w:val="00EC680A"/>
    <w:rsid w:val="00ED6492"/>
    <w:rsid w:val="00ED75AB"/>
    <w:rsid w:val="00EE30A5"/>
    <w:rsid w:val="00EF2095"/>
    <w:rsid w:val="00EF4954"/>
    <w:rsid w:val="00F06116"/>
    <w:rsid w:val="00F06866"/>
    <w:rsid w:val="00F15956"/>
    <w:rsid w:val="00F24CFC"/>
    <w:rsid w:val="00F31577"/>
    <w:rsid w:val="00F3170F"/>
    <w:rsid w:val="00F3472B"/>
    <w:rsid w:val="00F4017B"/>
    <w:rsid w:val="00F539D4"/>
    <w:rsid w:val="00F62D50"/>
    <w:rsid w:val="00F976B0"/>
    <w:rsid w:val="00F97F63"/>
    <w:rsid w:val="00FA2D49"/>
    <w:rsid w:val="00FA6DE7"/>
    <w:rsid w:val="00FC0A8E"/>
    <w:rsid w:val="00FC30E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4C0133"/>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C0133"/>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C0133"/>
    <w:rPr>
      <w:vertAlign w:val="superscript"/>
    </w:rPr>
  </w:style>
  <w:style w:type="paragraph" w:customStyle="1" w:styleId="TH-TableHeading">
    <w:name w:val="TH-Table Heading"/>
    <w:basedOn w:val="Heading1"/>
    <w:uiPriority w:val="99"/>
    <w:rsid w:val="004C0133"/>
    <w:pPr>
      <w:spacing w:line="240" w:lineRule="atLeast"/>
      <w:ind w:right="0"/>
      <w:jc w:val="center"/>
    </w:pPr>
    <w:rPr>
      <w:rFonts w:ascii="Franklin Gothic Medium" w:hAnsi="Franklin Gothic Medium" w:cs="Franklin Gothic Medium"/>
      <w:sz w:val="20"/>
      <w:szCs w:val="20"/>
    </w:rPr>
  </w:style>
  <w:style w:type="paragraph" w:customStyle="1" w:styleId="TX-TableText">
    <w:name w:val="TX-Table Text"/>
    <w:basedOn w:val="Normal"/>
    <w:uiPriority w:val="99"/>
    <w:rsid w:val="004C0133"/>
    <w:pPr>
      <w:spacing w:line="240" w:lineRule="atLeast"/>
    </w:pPr>
    <w:rPr>
      <w:rFonts w:ascii="Franklin Gothic Medium" w:hAnsi="Franklin Gothic Medium" w:cs="Franklin Gothic Medium"/>
      <w:sz w:val="20"/>
      <w:szCs w:val="20"/>
    </w:rPr>
  </w:style>
  <w:style w:type="paragraph" w:styleId="NoSpacing">
    <w:name w:val="No Spacing"/>
    <w:uiPriority w:val="1"/>
    <w:qFormat/>
    <w:rsid w:val="00A24ED9"/>
    <w:rPr>
      <w:rFonts w:asciiTheme="minorHAnsi" w:eastAsiaTheme="minorEastAsia" w:hAnsiTheme="minorHAnsi" w:cstheme="minorBidi"/>
    </w:rPr>
  </w:style>
  <w:style w:type="paragraph" w:customStyle="1" w:styleId="TT-TableTitle">
    <w:name w:val="TT-Table Title"/>
    <w:basedOn w:val="Heading1"/>
    <w:uiPriority w:val="99"/>
    <w:rsid w:val="008031B3"/>
    <w:pPr>
      <w:tabs>
        <w:tab w:val="left" w:pos="1440"/>
      </w:tabs>
      <w:spacing w:line="240" w:lineRule="atLeast"/>
      <w:ind w:left="1440" w:right="0" w:hanging="1440"/>
    </w:pPr>
    <w:rPr>
      <w:rFonts w:ascii="Franklin Gothic Medium" w:hAnsi="Franklin Gothic Medium" w:cs="Franklin Gothic Medium"/>
      <w:b w:val="0"/>
      <w:bCs w:val="0"/>
      <w:sz w:val="22"/>
      <w:szCs w:val="22"/>
    </w:rPr>
  </w:style>
  <w:style w:type="paragraph" w:styleId="ListBullet">
    <w:name w:val="List Bullet"/>
    <w:basedOn w:val="Normal"/>
    <w:link w:val="ListBulletChar"/>
    <w:rsid w:val="006A7B32"/>
    <w:pPr>
      <w:numPr>
        <w:numId w:val="20"/>
      </w:numPr>
      <w:overflowPunct w:val="0"/>
      <w:autoSpaceDE w:val="0"/>
      <w:autoSpaceDN w:val="0"/>
      <w:adjustRightInd w:val="0"/>
      <w:textAlignment w:val="baseline"/>
    </w:pPr>
    <w:rPr>
      <w:kern w:val="24"/>
      <w:sz w:val="22"/>
      <w:szCs w:val="22"/>
    </w:rPr>
  </w:style>
  <w:style w:type="paragraph" w:customStyle="1" w:styleId="Table">
    <w:name w:val="Table"/>
    <w:basedOn w:val="ListBullet"/>
    <w:link w:val="TableChar"/>
    <w:qFormat/>
    <w:rsid w:val="006A7B32"/>
    <w:pPr>
      <w:numPr>
        <w:numId w:val="0"/>
      </w:numPr>
    </w:pPr>
    <w:rPr>
      <w:bCs/>
    </w:rPr>
  </w:style>
  <w:style w:type="character" w:customStyle="1" w:styleId="ListBulletChar">
    <w:name w:val="List Bullet Char"/>
    <w:basedOn w:val="DefaultParagraphFont"/>
    <w:link w:val="ListBullet"/>
    <w:rsid w:val="006A7B32"/>
    <w:rPr>
      <w:kern w:val="24"/>
    </w:rPr>
  </w:style>
  <w:style w:type="character" w:customStyle="1" w:styleId="TableChar">
    <w:name w:val="Table Char"/>
    <w:basedOn w:val="ListBulletChar"/>
    <w:link w:val="Table"/>
    <w:rsid w:val="006A7B32"/>
    <w:rPr>
      <w:bCs/>
      <w:kern w:val="24"/>
    </w:rPr>
  </w:style>
  <w:style w:type="character" w:styleId="Hyperlink">
    <w:name w:val="Hyperlink"/>
    <w:basedOn w:val="DefaultParagraphFont"/>
    <w:uiPriority w:val="99"/>
    <w:unhideWhenUsed/>
    <w:rsid w:val="006662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Bullet"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semiHidden/>
    <w:unhideWhenUsed/>
    <w:rsid w:val="004C0133"/>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C0133"/>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C0133"/>
    <w:rPr>
      <w:vertAlign w:val="superscript"/>
    </w:rPr>
  </w:style>
  <w:style w:type="paragraph" w:customStyle="1" w:styleId="TH-TableHeading">
    <w:name w:val="TH-Table Heading"/>
    <w:basedOn w:val="Heading1"/>
    <w:uiPriority w:val="99"/>
    <w:rsid w:val="004C0133"/>
    <w:pPr>
      <w:spacing w:line="240" w:lineRule="atLeast"/>
      <w:ind w:right="0"/>
      <w:jc w:val="center"/>
    </w:pPr>
    <w:rPr>
      <w:rFonts w:ascii="Franklin Gothic Medium" w:hAnsi="Franklin Gothic Medium" w:cs="Franklin Gothic Medium"/>
      <w:sz w:val="20"/>
      <w:szCs w:val="20"/>
    </w:rPr>
  </w:style>
  <w:style w:type="paragraph" w:customStyle="1" w:styleId="TX-TableText">
    <w:name w:val="TX-Table Text"/>
    <w:basedOn w:val="Normal"/>
    <w:uiPriority w:val="99"/>
    <w:rsid w:val="004C0133"/>
    <w:pPr>
      <w:spacing w:line="240" w:lineRule="atLeast"/>
    </w:pPr>
    <w:rPr>
      <w:rFonts w:ascii="Franklin Gothic Medium" w:hAnsi="Franklin Gothic Medium" w:cs="Franklin Gothic Medium"/>
      <w:sz w:val="20"/>
      <w:szCs w:val="20"/>
    </w:rPr>
  </w:style>
  <w:style w:type="paragraph" w:styleId="NoSpacing">
    <w:name w:val="No Spacing"/>
    <w:uiPriority w:val="1"/>
    <w:qFormat/>
    <w:rsid w:val="00A24ED9"/>
    <w:rPr>
      <w:rFonts w:asciiTheme="minorHAnsi" w:eastAsiaTheme="minorEastAsia" w:hAnsiTheme="minorHAnsi" w:cstheme="minorBidi"/>
    </w:rPr>
  </w:style>
  <w:style w:type="paragraph" w:customStyle="1" w:styleId="TT-TableTitle">
    <w:name w:val="TT-Table Title"/>
    <w:basedOn w:val="Heading1"/>
    <w:uiPriority w:val="99"/>
    <w:rsid w:val="008031B3"/>
    <w:pPr>
      <w:tabs>
        <w:tab w:val="left" w:pos="1440"/>
      </w:tabs>
      <w:spacing w:line="240" w:lineRule="atLeast"/>
      <w:ind w:left="1440" w:right="0" w:hanging="1440"/>
    </w:pPr>
    <w:rPr>
      <w:rFonts w:ascii="Franklin Gothic Medium" w:hAnsi="Franklin Gothic Medium" w:cs="Franklin Gothic Medium"/>
      <w:b w:val="0"/>
      <w:bCs w:val="0"/>
      <w:sz w:val="22"/>
      <w:szCs w:val="22"/>
    </w:rPr>
  </w:style>
  <w:style w:type="paragraph" w:styleId="ListBullet">
    <w:name w:val="List Bullet"/>
    <w:basedOn w:val="Normal"/>
    <w:link w:val="ListBulletChar"/>
    <w:rsid w:val="006A7B32"/>
    <w:pPr>
      <w:numPr>
        <w:numId w:val="20"/>
      </w:numPr>
      <w:overflowPunct w:val="0"/>
      <w:autoSpaceDE w:val="0"/>
      <w:autoSpaceDN w:val="0"/>
      <w:adjustRightInd w:val="0"/>
      <w:textAlignment w:val="baseline"/>
    </w:pPr>
    <w:rPr>
      <w:kern w:val="24"/>
      <w:sz w:val="22"/>
      <w:szCs w:val="22"/>
    </w:rPr>
  </w:style>
  <w:style w:type="paragraph" w:customStyle="1" w:styleId="Table">
    <w:name w:val="Table"/>
    <w:basedOn w:val="ListBullet"/>
    <w:link w:val="TableChar"/>
    <w:qFormat/>
    <w:rsid w:val="006A7B32"/>
    <w:pPr>
      <w:numPr>
        <w:numId w:val="0"/>
      </w:numPr>
    </w:pPr>
    <w:rPr>
      <w:bCs/>
    </w:rPr>
  </w:style>
  <w:style w:type="character" w:customStyle="1" w:styleId="ListBulletChar">
    <w:name w:val="List Bullet Char"/>
    <w:basedOn w:val="DefaultParagraphFont"/>
    <w:link w:val="ListBullet"/>
    <w:rsid w:val="006A7B32"/>
    <w:rPr>
      <w:kern w:val="24"/>
    </w:rPr>
  </w:style>
  <w:style w:type="character" w:customStyle="1" w:styleId="TableChar">
    <w:name w:val="Table Char"/>
    <w:basedOn w:val="ListBulletChar"/>
    <w:link w:val="Table"/>
    <w:rsid w:val="006A7B32"/>
    <w:rPr>
      <w:bCs/>
      <w:kern w:val="24"/>
    </w:rPr>
  </w:style>
  <w:style w:type="character" w:styleId="Hyperlink">
    <w:name w:val="Hyperlink"/>
    <w:basedOn w:val="DefaultParagraphFont"/>
    <w:uiPriority w:val="99"/>
    <w:unhideWhenUsed/>
    <w:rsid w:val="00666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705180">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214126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series/sr_10/sr10_2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18E45-B3CF-4D53-939D-7545B81C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2605</Words>
  <Characters>14578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Grant, Dorthina G. (CDC/ONDIEH/NCBDDD)</cp:lastModifiedBy>
  <cp:revision>2</cp:revision>
  <cp:lastPrinted>2010-10-04T16:59:00Z</cp:lastPrinted>
  <dcterms:created xsi:type="dcterms:W3CDTF">2012-06-01T14:22:00Z</dcterms:created>
  <dcterms:modified xsi:type="dcterms:W3CDTF">2012-06-01T14:22:00Z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