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75575">
        <w:rPr>
          <w:sz w:val="28"/>
        </w:rPr>
        <w:t>0920-0919</w:t>
      </w:r>
      <w:r>
        <w:rPr>
          <w:sz w:val="28"/>
        </w:rPr>
        <w:t>)</w:t>
      </w:r>
    </w:p>
    <w:p w:rsidR="00B46F2C" w:rsidRPr="009239AA" w:rsidRDefault="00142715"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E75575">
        <w:t>English Language Folic Acid Educational Materials: Message Testing and Materials Development</w:t>
      </w:r>
    </w:p>
    <w:p w:rsidR="00B46F2C" w:rsidRDefault="00B46F2C"/>
    <w:p w:rsidR="00B46F2C" w:rsidRPr="00E75575" w:rsidRDefault="00B46F2C">
      <w:r>
        <w:rPr>
          <w:b/>
        </w:rPr>
        <w:t>PURPOSE</w:t>
      </w:r>
      <w:r w:rsidRPr="009239AA">
        <w:rPr>
          <w:b/>
        </w:rPr>
        <w:t xml:space="preserve">:  </w:t>
      </w:r>
      <w:r w:rsidR="00E75575">
        <w:t xml:space="preserve">The purpose of this activity is to examine the response of </w:t>
      </w:r>
      <w:r w:rsidR="00E563D1">
        <w:t xml:space="preserve">English speaking </w:t>
      </w:r>
      <w:r w:rsidR="00E75575">
        <w:t xml:space="preserve">women to existing CDC folic acid educational materials. </w:t>
      </w:r>
      <w:r w:rsidR="00E563D1" w:rsidRPr="0023327B">
        <w:t xml:space="preserve">A number of CDC’s </w:t>
      </w:r>
      <w:r w:rsidR="00E563D1" w:rsidRPr="0023327B">
        <w:rPr>
          <w:color w:val="000000"/>
        </w:rPr>
        <w:t>English-language folic acid educational materials currently being used were developed over 10 years ago.  Research to determine whether these materials continue to be appealing and resonate with the target audience is imperative to the success of our folic acid education efforts.</w:t>
      </w:r>
      <w:r w:rsidR="00E563D1" w:rsidRPr="0023327B">
        <w:t xml:space="preserve">  The focus group sessions shall be structured to identify women’s awareness and knowledge about folic acid, and how they would like to see folic acid information portrayed in a written format.</w:t>
      </w:r>
      <w:r w:rsidR="00E563D1">
        <w:t xml:space="preserve"> </w:t>
      </w:r>
      <w:r w:rsidR="00E75575">
        <w:t>This activity is consistent with the national research agenda of CDC’s Division of Birth Defects and Developmental Disabilities.</w:t>
      </w:r>
    </w:p>
    <w:p w:rsidR="00B46F2C" w:rsidRDefault="00B46F2C"/>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E75575">
      <w:r>
        <w:t xml:space="preserve">The respondents will be </w:t>
      </w:r>
      <w:r w:rsidR="00142715">
        <w:t xml:space="preserve">non-pregnant </w:t>
      </w:r>
      <w:r>
        <w:t>English speaking women, ages 18-44.</w:t>
      </w:r>
      <w:r w:rsidR="00E563D1">
        <w:t xml:space="preserve"> </w:t>
      </w:r>
    </w:p>
    <w:p w:rsidR="00B46F2C" w:rsidRDefault="00B46F2C"/>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E563D1">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Name:___________</w:t>
      </w:r>
      <w:r w:rsidR="00E563D1" w:rsidRPr="00E563D1">
        <w:rPr>
          <w:i/>
        </w:rPr>
        <w:t>Alina Flores</w:t>
      </w:r>
      <w:r w:rsidR="00E563D1">
        <w:t xml:space="preserve"> </w:t>
      </w:r>
      <w:r>
        <w:t>___</w:t>
      </w:r>
      <w:r w:rsidR="00E563D1">
        <w:t>ail5@cdc.gov</w:t>
      </w:r>
      <w:r>
        <w:t>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information (PII) collected?  [  ] Yes  [ </w:t>
      </w:r>
      <w:r w:rsidR="00E563D1">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223431" w:rsidRDefault="00223431" w:rsidP="00C86E91">
      <w:pPr>
        <w:pStyle w:val="ListParagraph"/>
        <w:ind w:left="0"/>
        <w:rPr>
          <w:b/>
        </w:rPr>
      </w:pPr>
    </w:p>
    <w:p w:rsidR="00B46F2C" w:rsidRPr="00C86E91" w:rsidRDefault="00B46F2C" w:rsidP="00C86E91">
      <w:pPr>
        <w:pStyle w:val="ListParagraph"/>
        <w:ind w:left="0"/>
        <w:rPr>
          <w:b/>
        </w:rPr>
      </w:pPr>
      <w:r>
        <w:rPr>
          <w:b/>
        </w:rPr>
        <w:lastRenderedPageBreak/>
        <w:t>Gifts or Payments:</w:t>
      </w:r>
    </w:p>
    <w:p w:rsidR="00B46F2C" w:rsidRDefault="00B46F2C" w:rsidP="00C86E91">
      <w:r>
        <w:t>Is an incentive (e.g., money or reimbursement of expenses, token of appreciation) provided to participants?  [</w:t>
      </w:r>
      <w:r w:rsidR="00E563D1">
        <w:t>X</w:t>
      </w:r>
      <w:r>
        <w:t xml:space="preserve">  ] Yes [  ] No  </w:t>
      </w:r>
    </w:p>
    <w:p w:rsidR="00B46F2C" w:rsidRDefault="00B46F2C">
      <w:pPr>
        <w:rPr>
          <w:b/>
        </w:rPr>
      </w:pPr>
    </w:p>
    <w:p w:rsidR="00E563D1" w:rsidRPr="00E563D1" w:rsidRDefault="00E563D1" w:rsidP="00E563D1">
      <w:pPr>
        <w:ind w:left="1440"/>
        <w:jc w:val="both"/>
        <w:rPr>
          <w:rFonts w:eastAsia="Calibri"/>
        </w:rPr>
      </w:pPr>
    </w:p>
    <w:p w:rsidR="00E563D1" w:rsidRPr="00E563D1" w:rsidRDefault="00E563D1" w:rsidP="00E563D1">
      <w:pPr>
        <w:jc w:val="both"/>
        <w:rPr>
          <w:rFonts w:eastAsia="Calibri"/>
        </w:rPr>
      </w:pPr>
      <w:r w:rsidRPr="00E563D1">
        <w:rPr>
          <w:rFonts w:eastAsia="Calibri"/>
        </w:rPr>
        <w:t>It is proposed that respondents will be given $</w:t>
      </w:r>
      <w:r w:rsidR="00A40E41">
        <w:rPr>
          <w:rFonts w:eastAsia="Calibri"/>
        </w:rPr>
        <w:t>60</w:t>
      </w:r>
      <w:r w:rsidRPr="00E563D1">
        <w:rPr>
          <w:rFonts w:eastAsia="Calibri"/>
        </w:rPr>
        <w:t xml:space="preserve"> for their participation, effort, transportation and possible childcare costs. This amount </w:t>
      </w:r>
      <w:r w:rsidR="00A40E41">
        <w:rPr>
          <w:rFonts w:eastAsia="Calibri"/>
        </w:rPr>
        <w:t xml:space="preserve">is comparable to </w:t>
      </w:r>
      <w:r w:rsidRPr="00E563D1">
        <w:rPr>
          <w:rFonts w:eastAsia="Calibri"/>
        </w:rPr>
        <w:t xml:space="preserve">what has been the level of reimbursement for the target audiences in similar CDC funded activities. </w:t>
      </w:r>
      <w:r w:rsidR="00A40E41">
        <w:rPr>
          <w:rFonts w:eastAsia="Calibri"/>
        </w:rPr>
        <w:t>W</w:t>
      </w:r>
      <w:r w:rsidRPr="00E563D1">
        <w:rPr>
          <w:rFonts w:eastAsia="Calibri"/>
        </w:rPr>
        <w:t xml:space="preserve">omen </w:t>
      </w:r>
      <w:r w:rsidR="00A40E41">
        <w:rPr>
          <w:rFonts w:eastAsia="Calibri"/>
        </w:rPr>
        <w:t xml:space="preserve">of childbearing age </w:t>
      </w:r>
      <w:r w:rsidRPr="00E563D1">
        <w:rPr>
          <w:rFonts w:eastAsia="Calibri"/>
        </w:rPr>
        <w:t>are often more difficult to recruit than more general audiences</w:t>
      </w:r>
      <w:r w:rsidR="00A40E41">
        <w:rPr>
          <w:rFonts w:eastAsia="Calibri"/>
        </w:rPr>
        <w:t xml:space="preserve"> because they often have children and need to cover childcare costs to be able to attend the focus group session. Focus group facilities will not offer childcare services due to liability concerns, so the incentive needs to be enough to help the participants cover outside childcare costs if needed. </w:t>
      </w:r>
      <w:r w:rsidRPr="00E563D1">
        <w:rPr>
          <w:rFonts w:eastAsia="Calibri"/>
        </w:rPr>
        <w:t>It is assumed that the $</w:t>
      </w:r>
      <w:r w:rsidR="00A40E41">
        <w:rPr>
          <w:rFonts w:eastAsia="Calibri"/>
        </w:rPr>
        <w:t>60</w:t>
      </w:r>
      <w:r w:rsidR="00A40E41" w:rsidRPr="00E563D1">
        <w:rPr>
          <w:rFonts w:eastAsia="Calibri"/>
        </w:rPr>
        <w:t xml:space="preserve"> </w:t>
      </w:r>
      <w:r w:rsidRPr="00E563D1">
        <w:rPr>
          <w:rFonts w:eastAsia="Calibri"/>
        </w:rPr>
        <w:t xml:space="preserve">incentive the women receive for participating in the groups would go toward the transportation costs for many of them to arrive at the facility, as well as the cost for off-site childcare to make it possible for them to attend. Every effort is being made to utilize a focus group facility that is located close to public transportation as well. As shown by the literature referenced below, the payment of incentives can provide significant advantages to the government in terms of direct cost savings and improved data quality. </w:t>
      </w:r>
    </w:p>
    <w:p w:rsidR="00E563D1" w:rsidRPr="00E563D1" w:rsidRDefault="00E563D1" w:rsidP="00E563D1">
      <w:pPr>
        <w:ind w:left="1440"/>
        <w:jc w:val="both"/>
        <w:rPr>
          <w:rFonts w:eastAsia="Calibri"/>
        </w:rPr>
      </w:pPr>
    </w:p>
    <w:p w:rsidR="00E563D1" w:rsidRPr="00E563D1" w:rsidRDefault="00E563D1" w:rsidP="00E563D1">
      <w:pPr>
        <w:jc w:val="both"/>
        <w:rPr>
          <w:rFonts w:eastAsia="Calibri"/>
        </w:rPr>
      </w:pPr>
      <w:r w:rsidRPr="00E563D1">
        <w:rPr>
          <w:rFonts w:eastAsia="Calibri"/>
        </w:rPr>
        <w:t>There have been citations in the literature referencing the importance of monetary compensation for focus group participation. Kruegar (1994) indicates that offering minimal levels of monetary compensation will help ensure that sufficient numbers of participants will attend thereby yielding useful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findings related to the importance of monetary incentives is corroborated in the National Adult Literacy Survey by Berlin (1992) and colleagues (OMB No. 1850-0654, exp. 8/31/1993),</w:t>
      </w:r>
      <w:r w:rsidR="00C94D83">
        <w:rPr>
          <w:rFonts w:eastAsia="Calibri"/>
        </w:rPr>
        <w:t xml:space="preserve"> </w:t>
      </w:r>
      <w:bookmarkStart w:id="0" w:name="_GoBack"/>
      <w:bookmarkEnd w:id="0"/>
      <w:r w:rsidRPr="00E563D1">
        <w:rPr>
          <w:rFonts w:eastAsia="Calibri"/>
        </w:rPr>
        <w:t>and the National Survey of Family Growth.</w:t>
      </w:r>
    </w:p>
    <w:p w:rsidR="00E563D1" w:rsidRPr="00E563D1" w:rsidRDefault="00E563D1" w:rsidP="00E563D1">
      <w:pPr>
        <w:ind w:left="1440"/>
        <w:jc w:val="both"/>
        <w:rPr>
          <w:rFonts w:eastAsia="Calibri"/>
        </w:rPr>
      </w:pPr>
    </w:p>
    <w:p w:rsidR="00E563D1" w:rsidRPr="00E563D1" w:rsidRDefault="00E563D1" w:rsidP="00E563D1">
      <w:pPr>
        <w:jc w:val="both"/>
        <w:rPr>
          <w:rFonts w:eastAsia="Calibri"/>
        </w:rPr>
      </w:pPr>
      <w:r w:rsidRPr="00E563D1">
        <w:rPr>
          <w:rFonts w:eastAsia="Calibri"/>
        </w:rPr>
        <w:t>Offering a monetary incentive at the proposed level will help ensure that respondents honor their commitment of participating in the focus group. Lower incentives could actually result in higher recruiting costs due to the need to over recruit by higher percentages.</w:t>
      </w:r>
    </w:p>
    <w:p w:rsidR="00E563D1" w:rsidRPr="00E563D1" w:rsidRDefault="00E563D1" w:rsidP="00E563D1">
      <w:pPr>
        <w:jc w:val="both"/>
        <w:rPr>
          <w:rFonts w:eastAsia="Calibri"/>
        </w:rPr>
      </w:pPr>
    </w:p>
    <w:p w:rsidR="00B46F2C" w:rsidRDefault="00B46F2C">
      <w:pPr>
        <w:rPr>
          <w:b/>
        </w:rPr>
      </w:pPr>
    </w:p>
    <w:p w:rsidR="00B46F2C" w:rsidRDefault="00B46F2C" w:rsidP="00C86E91">
      <w:r>
        <w:rPr>
          <w:b/>
        </w:rPr>
        <w:t>BURDEN HOURS</w:t>
      </w:r>
      <w:r>
        <w:t xml:space="preserve"> </w:t>
      </w:r>
    </w:p>
    <w:p w:rsidR="00E563D1" w:rsidRDefault="00E563D1" w:rsidP="00C86E91"/>
    <w:p w:rsidR="00E563D1" w:rsidRPr="0023327B" w:rsidRDefault="00E563D1" w:rsidP="00E563D1">
      <w:r w:rsidRPr="00E563D1">
        <w:t>The estimates of annualized burden hours are based on the results of pilot testing, past experience with recruitment, and the administration of similar focus groups</w:t>
      </w:r>
      <w:r>
        <w:t>. I</w:t>
      </w:r>
      <w:r w:rsidRPr="0023327B">
        <w:t xml:space="preserve">t is estimated that 320 respondents will have to be screened in order to recruit </w:t>
      </w:r>
      <w:r w:rsidRPr="0023327B">
        <w:rPr>
          <w:u w:val="single"/>
        </w:rPr>
        <w:t>80</w:t>
      </w:r>
      <w:r w:rsidRPr="0023327B">
        <w:t xml:space="preserve"> participants.  Each screening will take approximately </w:t>
      </w:r>
      <w:r w:rsidRPr="0023327B">
        <w:rPr>
          <w:u w:val="single"/>
        </w:rPr>
        <w:t>6</w:t>
      </w:r>
      <w:r w:rsidRPr="0023327B">
        <w:t xml:space="preserve"> minutes to complete.  The estimated response burden for the screening process is 32 hours per project.</w:t>
      </w:r>
    </w:p>
    <w:p w:rsidR="00E563D1" w:rsidRPr="00E563D1" w:rsidRDefault="00E563D1" w:rsidP="00C86E91"/>
    <w:p w:rsidR="00431F38" w:rsidRPr="003F2655" w:rsidRDefault="00431F38" w:rsidP="00431F38">
      <w:r>
        <w:t xml:space="preserve">A total of 16 focus groups will be conducted. </w:t>
      </w:r>
      <w:r w:rsidRPr="0023327B">
        <w:t xml:space="preserve">Each focus group will have an average of 4-5 participants.  Assuming the larger number of participants (5) in each group, a total of </w:t>
      </w:r>
      <w:r>
        <w:t xml:space="preserve">80 </w:t>
      </w:r>
      <w:r w:rsidRPr="0023327B">
        <w:t xml:space="preserve">participants will be included. Each focus group will last 1.5 hours.  </w:t>
      </w:r>
      <w:r w:rsidR="003F2655">
        <w:t xml:space="preserve">An Informed Consent form will be reviewed with each respondent. The estimated burden for completion of  the informed consent form is </w:t>
      </w:r>
      <w:r w:rsidR="003F2655">
        <w:rPr>
          <w:u w:val="single"/>
        </w:rPr>
        <w:t>6</w:t>
      </w:r>
      <w:r w:rsidR="003F2655">
        <w:t xml:space="preserve"> minutes, for a total burden of 8 hours.</w:t>
      </w:r>
    </w:p>
    <w:p w:rsidR="00431F38" w:rsidRPr="0023327B" w:rsidRDefault="00431F38" w:rsidP="00431F38">
      <w:pPr>
        <w:pStyle w:val="BodyText"/>
        <w:rPr>
          <w:i w:val="0"/>
          <w:szCs w:val="24"/>
        </w:rPr>
      </w:pPr>
    </w:p>
    <w:p w:rsidR="00431F38" w:rsidRPr="00431F38" w:rsidRDefault="00431F38" w:rsidP="00431F38">
      <w:pPr>
        <w:pStyle w:val="BodyText"/>
        <w:rPr>
          <w:i w:val="0"/>
          <w:sz w:val="24"/>
          <w:szCs w:val="24"/>
        </w:rPr>
      </w:pPr>
      <w:r w:rsidRPr="00431F38">
        <w:rPr>
          <w:i w:val="0"/>
          <w:sz w:val="24"/>
          <w:szCs w:val="24"/>
        </w:rPr>
        <w:t xml:space="preserve">The total estimated burden in hours, including screening and focus group participation, is shown in </w:t>
      </w:r>
      <w:r>
        <w:rPr>
          <w:i w:val="0"/>
          <w:sz w:val="24"/>
          <w:szCs w:val="24"/>
        </w:rPr>
        <w:t xml:space="preserve">the table below. </w:t>
      </w:r>
      <w:r w:rsidRPr="00431F38">
        <w:rPr>
          <w:i w:val="0"/>
          <w:sz w:val="24"/>
          <w:szCs w:val="24"/>
        </w:rPr>
        <w:t xml:space="preserve">Overall, we estimate the total annual burden for participation in this study, to be </w:t>
      </w:r>
      <w:r>
        <w:rPr>
          <w:i w:val="0"/>
          <w:sz w:val="24"/>
          <w:szCs w:val="24"/>
        </w:rPr>
        <w:t>1</w:t>
      </w:r>
      <w:r w:rsidR="003F2655">
        <w:rPr>
          <w:i w:val="0"/>
          <w:sz w:val="24"/>
          <w:szCs w:val="24"/>
        </w:rPr>
        <w:t>60</w:t>
      </w:r>
      <w:r w:rsidRPr="00431F38">
        <w:rPr>
          <w:i w:val="0"/>
          <w:sz w:val="24"/>
          <w:szCs w:val="24"/>
        </w:rPr>
        <w:t xml:space="preserve"> hours. </w:t>
      </w:r>
    </w:p>
    <w:p w:rsidR="00E563D1" w:rsidRPr="00431F38" w:rsidRDefault="00E563D1" w:rsidP="00C86E91"/>
    <w:p w:rsidR="00B46F2C" w:rsidRPr="006832D9" w:rsidRDefault="00B46F2C" w:rsidP="00F3170F">
      <w:pPr>
        <w:keepNext/>
        <w:keepLines/>
        <w:rPr>
          <w:b/>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620"/>
        <w:gridCol w:w="2160"/>
        <w:gridCol w:w="1710"/>
        <w:gridCol w:w="2070"/>
      </w:tblGrid>
      <w:tr w:rsidR="00E563D1" w:rsidTr="00ED7CA9">
        <w:trPr>
          <w:trHeight w:val="274"/>
        </w:trPr>
        <w:tc>
          <w:tcPr>
            <w:tcW w:w="2610" w:type="dxa"/>
          </w:tcPr>
          <w:p w:rsidR="00E563D1" w:rsidRPr="00512CA7" w:rsidRDefault="00E563D1" w:rsidP="00C8488C">
            <w:pPr>
              <w:rPr>
                <w:b/>
              </w:rPr>
            </w:pPr>
            <w:r w:rsidRPr="00512CA7">
              <w:rPr>
                <w:b/>
              </w:rPr>
              <w:t xml:space="preserve">Category of Respondent </w:t>
            </w:r>
          </w:p>
        </w:tc>
        <w:tc>
          <w:tcPr>
            <w:tcW w:w="1620" w:type="dxa"/>
          </w:tcPr>
          <w:p w:rsidR="00E563D1" w:rsidRPr="00512CA7" w:rsidRDefault="00E563D1" w:rsidP="00843796">
            <w:pPr>
              <w:rPr>
                <w:b/>
              </w:rPr>
            </w:pPr>
            <w:r>
              <w:rPr>
                <w:b/>
              </w:rPr>
              <w:t>Form Name</w:t>
            </w:r>
          </w:p>
        </w:tc>
        <w:tc>
          <w:tcPr>
            <w:tcW w:w="2160" w:type="dxa"/>
          </w:tcPr>
          <w:p w:rsidR="00E563D1" w:rsidRPr="00512CA7" w:rsidRDefault="00E563D1" w:rsidP="00843796">
            <w:pPr>
              <w:rPr>
                <w:b/>
              </w:rPr>
            </w:pPr>
            <w:r w:rsidRPr="00512CA7">
              <w:rPr>
                <w:b/>
              </w:rPr>
              <w:t>No. of Respondents</w:t>
            </w:r>
          </w:p>
        </w:tc>
        <w:tc>
          <w:tcPr>
            <w:tcW w:w="1710" w:type="dxa"/>
          </w:tcPr>
          <w:p w:rsidR="00E563D1" w:rsidRPr="00512CA7" w:rsidRDefault="00E563D1" w:rsidP="00843796">
            <w:pPr>
              <w:rPr>
                <w:b/>
              </w:rPr>
            </w:pPr>
            <w:r w:rsidRPr="00512CA7">
              <w:rPr>
                <w:b/>
              </w:rPr>
              <w:t>Participation Time</w:t>
            </w:r>
          </w:p>
        </w:tc>
        <w:tc>
          <w:tcPr>
            <w:tcW w:w="2070" w:type="dxa"/>
          </w:tcPr>
          <w:p w:rsidR="00E563D1" w:rsidRPr="00512CA7" w:rsidRDefault="00E563D1" w:rsidP="00843796">
            <w:pPr>
              <w:rPr>
                <w:b/>
              </w:rPr>
            </w:pPr>
            <w:r w:rsidRPr="00512CA7">
              <w:rPr>
                <w:b/>
              </w:rPr>
              <w:t>Burden</w:t>
            </w:r>
          </w:p>
        </w:tc>
      </w:tr>
      <w:tr w:rsidR="00E563D1" w:rsidTr="00ED7CA9">
        <w:trPr>
          <w:trHeight w:val="274"/>
        </w:trPr>
        <w:tc>
          <w:tcPr>
            <w:tcW w:w="2610" w:type="dxa"/>
          </w:tcPr>
          <w:p w:rsidR="00E563D1" w:rsidRDefault="00142715" w:rsidP="00843796">
            <w:r>
              <w:t xml:space="preserve">Non-pregnant </w:t>
            </w:r>
            <w:r w:rsidR="00E563D1">
              <w:t>Women (ages 18-44)</w:t>
            </w:r>
          </w:p>
        </w:tc>
        <w:tc>
          <w:tcPr>
            <w:tcW w:w="1620" w:type="dxa"/>
          </w:tcPr>
          <w:p w:rsidR="00E563D1" w:rsidRDefault="00E563D1" w:rsidP="00843796">
            <w:r>
              <w:t>Screener</w:t>
            </w:r>
          </w:p>
        </w:tc>
        <w:tc>
          <w:tcPr>
            <w:tcW w:w="2160" w:type="dxa"/>
          </w:tcPr>
          <w:p w:rsidR="00E563D1" w:rsidRDefault="00E563D1" w:rsidP="00843796">
            <w:r>
              <w:t>320</w:t>
            </w:r>
          </w:p>
        </w:tc>
        <w:tc>
          <w:tcPr>
            <w:tcW w:w="1710" w:type="dxa"/>
          </w:tcPr>
          <w:p w:rsidR="00E563D1" w:rsidRDefault="00E563D1" w:rsidP="00843796">
            <w:r>
              <w:t>6/60</w:t>
            </w:r>
          </w:p>
        </w:tc>
        <w:tc>
          <w:tcPr>
            <w:tcW w:w="2070" w:type="dxa"/>
          </w:tcPr>
          <w:p w:rsidR="00E563D1" w:rsidRDefault="00E563D1" w:rsidP="00843796">
            <w:r>
              <w:t>32</w:t>
            </w:r>
          </w:p>
        </w:tc>
      </w:tr>
      <w:tr w:rsidR="00E563D1" w:rsidTr="00ED7CA9">
        <w:trPr>
          <w:trHeight w:val="274"/>
        </w:trPr>
        <w:tc>
          <w:tcPr>
            <w:tcW w:w="2610" w:type="dxa"/>
          </w:tcPr>
          <w:p w:rsidR="00E563D1" w:rsidRDefault="00142715" w:rsidP="00843796">
            <w:r>
              <w:t xml:space="preserve">Non-pregnant </w:t>
            </w:r>
            <w:r w:rsidR="00E563D1">
              <w:t>Women (ages 18-44)</w:t>
            </w:r>
          </w:p>
        </w:tc>
        <w:tc>
          <w:tcPr>
            <w:tcW w:w="1620" w:type="dxa"/>
          </w:tcPr>
          <w:p w:rsidR="00E563D1" w:rsidRDefault="00E563D1" w:rsidP="00843796">
            <w:r>
              <w:t>Focus group guide</w:t>
            </w:r>
          </w:p>
        </w:tc>
        <w:tc>
          <w:tcPr>
            <w:tcW w:w="2160" w:type="dxa"/>
          </w:tcPr>
          <w:p w:rsidR="00E563D1" w:rsidRDefault="00E563D1" w:rsidP="00843796">
            <w:r>
              <w:t>80</w:t>
            </w:r>
          </w:p>
        </w:tc>
        <w:tc>
          <w:tcPr>
            <w:tcW w:w="1710" w:type="dxa"/>
          </w:tcPr>
          <w:p w:rsidR="00E563D1" w:rsidRDefault="00E563D1" w:rsidP="00843796">
            <w:r>
              <w:t>1.5</w:t>
            </w:r>
          </w:p>
        </w:tc>
        <w:tc>
          <w:tcPr>
            <w:tcW w:w="2070" w:type="dxa"/>
          </w:tcPr>
          <w:p w:rsidR="00E563D1" w:rsidRDefault="00E563D1" w:rsidP="00843796">
            <w:r>
              <w:t>120</w:t>
            </w:r>
          </w:p>
        </w:tc>
      </w:tr>
      <w:tr w:rsidR="003F2655" w:rsidTr="00ED7CA9">
        <w:trPr>
          <w:trHeight w:val="274"/>
        </w:trPr>
        <w:tc>
          <w:tcPr>
            <w:tcW w:w="2610" w:type="dxa"/>
          </w:tcPr>
          <w:p w:rsidR="003F2655" w:rsidRDefault="003F2655" w:rsidP="00843796">
            <w:r>
              <w:t>Non-pregnant Women (ages 18-44)</w:t>
            </w:r>
          </w:p>
        </w:tc>
        <w:tc>
          <w:tcPr>
            <w:tcW w:w="1620" w:type="dxa"/>
          </w:tcPr>
          <w:p w:rsidR="003F2655" w:rsidRDefault="003F2655" w:rsidP="00843796">
            <w:r>
              <w:t>Informed consent</w:t>
            </w:r>
          </w:p>
        </w:tc>
        <w:tc>
          <w:tcPr>
            <w:tcW w:w="2160" w:type="dxa"/>
          </w:tcPr>
          <w:p w:rsidR="003F2655" w:rsidRDefault="003F2655" w:rsidP="00843796">
            <w:r>
              <w:t>80</w:t>
            </w:r>
          </w:p>
        </w:tc>
        <w:tc>
          <w:tcPr>
            <w:tcW w:w="1710" w:type="dxa"/>
          </w:tcPr>
          <w:p w:rsidR="003F2655" w:rsidRDefault="003F2655" w:rsidP="00843796">
            <w:r>
              <w:t>6/60</w:t>
            </w:r>
          </w:p>
        </w:tc>
        <w:tc>
          <w:tcPr>
            <w:tcW w:w="2070" w:type="dxa"/>
          </w:tcPr>
          <w:p w:rsidR="003F2655" w:rsidRDefault="003F2655" w:rsidP="00843796">
            <w:r>
              <w:t>8</w:t>
            </w:r>
          </w:p>
        </w:tc>
      </w:tr>
      <w:tr w:rsidR="00E563D1" w:rsidTr="00ED7CA9">
        <w:trPr>
          <w:trHeight w:val="289"/>
        </w:trPr>
        <w:tc>
          <w:tcPr>
            <w:tcW w:w="2610" w:type="dxa"/>
          </w:tcPr>
          <w:p w:rsidR="00E563D1" w:rsidRPr="00512CA7" w:rsidRDefault="00E563D1" w:rsidP="00843796">
            <w:pPr>
              <w:rPr>
                <w:b/>
              </w:rPr>
            </w:pPr>
            <w:r w:rsidRPr="00512CA7">
              <w:rPr>
                <w:b/>
              </w:rPr>
              <w:t>Totals</w:t>
            </w:r>
          </w:p>
        </w:tc>
        <w:tc>
          <w:tcPr>
            <w:tcW w:w="1620" w:type="dxa"/>
          </w:tcPr>
          <w:p w:rsidR="00E563D1" w:rsidRPr="00512CA7" w:rsidRDefault="00E563D1" w:rsidP="00843796">
            <w:pPr>
              <w:rPr>
                <w:b/>
              </w:rPr>
            </w:pPr>
          </w:p>
        </w:tc>
        <w:tc>
          <w:tcPr>
            <w:tcW w:w="2160" w:type="dxa"/>
          </w:tcPr>
          <w:p w:rsidR="00E563D1" w:rsidRPr="00512CA7" w:rsidRDefault="00E563D1" w:rsidP="00843796">
            <w:pPr>
              <w:rPr>
                <w:b/>
              </w:rPr>
            </w:pPr>
          </w:p>
        </w:tc>
        <w:tc>
          <w:tcPr>
            <w:tcW w:w="1710" w:type="dxa"/>
          </w:tcPr>
          <w:p w:rsidR="00E563D1" w:rsidRDefault="00E563D1" w:rsidP="00843796"/>
        </w:tc>
        <w:tc>
          <w:tcPr>
            <w:tcW w:w="2070" w:type="dxa"/>
          </w:tcPr>
          <w:p w:rsidR="00E563D1" w:rsidRPr="00512CA7" w:rsidRDefault="00E563D1" w:rsidP="003F2655">
            <w:pPr>
              <w:rPr>
                <w:b/>
              </w:rPr>
            </w:pPr>
            <w:r>
              <w:rPr>
                <w:b/>
              </w:rPr>
              <w:t>1</w:t>
            </w:r>
            <w:r w:rsidR="003F2655">
              <w:rPr>
                <w:b/>
              </w:rPr>
              <w:t>60</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Federal government is  _</w:t>
      </w:r>
      <w:r w:rsidR="00431F38">
        <w:t>$119,750</w:t>
      </w:r>
      <w:r>
        <w:t>______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431F38">
        <w:t xml:space="preserve">X </w:t>
      </w:r>
      <w:r>
        <w:t>] No</w:t>
      </w:r>
    </w:p>
    <w:p w:rsidR="00B46F2C" w:rsidRDefault="00B46F2C" w:rsidP="00636621">
      <w:pPr>
        <w:pStyle w:val="ListParagraph"/>
      </w:pPr>
    </w:p>
    <w:p w:rsidR="00B46F2C" w:rsidRDefault="00B46F2C" w:rsidP="00431F3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31F38" w:rsidRPr="00431F38" w:rsidRDefault="00431F38" w:rsidP="00431F38">
      <w:pPr>
        <w:rPr>
          <w:b/>
        </w:rPr>
      </w:pPr>
    </w:p>
    <w:p w:rsidR="00431F38" w:rsidRPr="00431F38" w:rsidRDefault="00431F38" w:rsidP="00431F38">
      <w:pPr>
        <w:rPr>
          <w:b/>
        </w:rPr>
      </w:pPr>
      <w:r w:rsidRPr="00431F38">
        <w:rPr>
          <w:b/>
        </w:rPr>
        <w:t>Recruitment of Participants</w:t>
      </w:r>
    </w:p>
    <w:p w:rsidR="00B46F2C" w:rsidRDefault="00B46F2C" w:rsidP="00A403BB"/>
    <w:p w:rsidR="00142715" w:rsidRPr="00553D3D" w:rsidRDefault="00142715" w:rsidP="00142715">
      <w:r w:rsidRPr="00553D3D">
        <w:t xml:space="preserve">Information for this study will be collected using focus groups with </w:t>
      </w:r>
      <w:r w:rsidR="00116886">
        <w:t xml:space="preserve">English-speaking </w:t>
      </w:r>
      <w:r w:rsidRPr="00553D3D">
        <w:t xml:space="preserve">non-pregnant women 18-44 years of age who meet the eligibility criteria for the study. </w:t>
      </w:r>
    </w:p>
    <w:p w:rsidR="00142715" w:rsidRPr="00553D3D" w:rsidRDefault="00142715" w:rsidP="00142715"/>
    <w:p w:rsidR="00142715" w:rsidRPr="00553D3D" w:rsidRDefault="00116886" w:rsidP="00142715">
      <w:r>
        <w:t>Battelle will conduct a</w:t>
      </w:r>
      <w:r w:rsidR="00142715" w:rsidRPr="00553D3D">
        <w:t xml:space="preserve">ll </w:t>
      </w:r>
      <w:r w:rsidR="00142715">
        <w:t>16</w:t>
      </w:r>
      <w:r w:rsidR="00142715" w:rsidRPr="00553D3D">
        <w:t xml:space="preserve"> focus groups </w:t>
      </w:r>
      <w:r>
        <w:t xml:space="preserve">using </w:t>
      </w:r>
      <w:r w:rsidR="00142715" w:rsidRPr="00553D3D">
        <w:t>a 2-person team consisting of two experienced qualitative researchers. One person will serve as the moderator and will be responsible for reviewing the consent form and asking questions using the moderator’s guide</w:t>
      </w:r>
      <w:r w:rsidR="00142715">
        <w:t>.</w:t>
      </w:r>
      <w:r w:rsidR="00142715" w:rsidRPr="00553D3D">
        <w:t xml:space="preserve"> </w:t>
      </w:r>
      <w:r w:rsidR="00142715">
        <w:t xml:space="preserve"> </w:t>
      </w:r>
      <w:r w:rsidR="00142715" w:rsidRPr="00553D3D">
        <w:t>The second person, the co-moderator, will serve as the assistant and will take detailed notes.  All interviews will be audiotaped and transcribed by a professional transcriptionist at a later date.  Each focus group will last approximately 1.5 hours and light refreshments will be provided.</w:t>
      </w:r>
    </w:p>
    <w:p w:rsidR="00142715" w:rsidRPr="00553D3D" w:rsidRDefault="00142715" w:rsidP="00142715"/>
    <w:p w:rsidR="00142715" w:rsidRPr="00553D3D" w:rsidRDefault="00142715" w:rsidP="00142715">
      <w:r w:rsidRPr="00553D3D">
        <w:t xml:space="preserve">The focus group moderator’s guide will be followed to ensure that all of the important topics are addressed in each group.  Focus group topic development was based on the study aims and on our review of recent literature concerning food fortification and other complex health conditions. </w:t>
      </w:r>
    </w:p>
    <w:p w:rsidR="00142715" w:rsidRPr="00553D3D" w:rsidRDefault="00142715" w:rsidP="00142715">
      <w:r w:rsidRPr="00553D3D">
        <w:t xml:space="preserve">Discussion topics will include topics on awareness, knowledge of healthy diets, vitamin intake, and folic acid.  Additionally, participants will be shown a few educational brochures about folic </w:t>
      </w:r>
      <w:r w:rsidRPr="00553D3D">
        <w:lastRenderedPageBreak/>
        <w:t xml:space="preserve">acid and birth defects.  They will be asked about their opinions on the message, layout, design, color, and length of each brochure. </w:t>
      </w:r>
    </w:p>
    <w:p w:rsidR="00142715" w:rsidRDefault="00142715" w:rsidP="00A403BB"/>
    <w:p w:rsidR="00116886" w:rsidRDefault="00116886" w:rsidP="00116886">
      <w:r>
        <w:t>R</w:t>
      </w:r>
      <w:r w:rsidRPr="00553D3D">
        <w:t>ecruitment will be conducted in Atlanta and St. Louis. These two cities were selected primarily for convenience and to reduce travel costs for project staff -- Battelle has offices in both cities and CDC has offices in Atlanta</w:t>
      </w:r>
      <w:r>
        <w:t>.</w:t>
      </w:r>
      <w:r w:rsidRPr="00553D3D">
        <w:t xml:space="preserve"> </w:t>
      </w:r>
      <w:r>
        <w:t>T</w:t>
      </w:r>
      <w:r w:rsidRPr="00553D3D">
        <w:t xml:space="preserve">he target audience for </w:t>
      </w:r>
      <w:r>
        <w:t>this project</w:t>
      </w:r>
      <w:r w:rsidRPr="00553D3D">
        <w:t xml:space="preserve"> is broad and can </w:t>
      </w:r>
      <w:r>
        <w:t xml:space="preserve">readily </w:t>
      </w:r>
      <w:r w:rsidRPr="00553D3D">
        <w:t xml:space="preserve">be found in these cities. </w:t>
      </w:r>
    </w:p>
    <w:p w:rsidR="00116886" w:rsidRPr="00553D3D" w:rsidRDefault="00116886" w:rsidP="00116886"/>
    <w:p w:rsidR="00116886" w:rsidRDefault="00116886" w:rsidP="00116886">
      <w:r w:rsidRPr="00553D3D">
        <w:t xml:space="preserve">Battelle will subcontract with experienced, reputable focus group facilities and recruiting services providers in the </w:t>
      </w:r>
      <w:r>
        <w:t>two</w:t>
      </w:r>
      <w:r w:rsidRPr="00553D3D">
        <w:t xml:space="preserve"> study sites to conduct screening and recruiting of participants.  These subcontractors have up-to-date databases with demographic information including gender, country of origin, race/ethnicity to help them identify potential focus group participants.  Contact information of potentially eligible participants will be drawn from these databases based on age (18-44 years old) and gender (female).  Whenever potential participants refuse to participate, the subcontractor will draw more names from the database of other potential participants.  The day prior to the focus groups, the subcontractors will call each women who have agreed to participate to remind her about the attending the focus group. Because we are conducting ‘mini-groups’, we expect to have </w:t>
      </w:r>
      <w:r>
        <w:t>4-5</w:t>
      </w:r>
      <w:r w:rsidRPr="00553D3D">
        <w:t xml:space="preserve"> participants per group. </w:t>
      </w:r>
    </w:p>
    <w:p w:rsidR="00116886" w:rsidRPr="00553D3D" w:rsidRDefault="00116886" w:rsidP="00116886"/>
    <w:p w:rsidR="00431F38" w:rsidRPr="00553D3D" w:rsidRDefault="00431F38" w:rsidP="00431F38">
      <w:r w:rsidRPr="00553D3D">
        <w:t xml:space="preserve">Purposive sampling is a non-probability sampling technique used in qualitative research.  This type of sampling permits the selection of interviewees whose qualities or experiences permit an understanding of the phenomena in question, and are therefore valuable. We will use a purposive sampling technique to select participants for </w:t>
      </w:r>
      <w:r w:rsidR="00142715">
        <w:t>this project</w:t>
      </w:r>
      <w:r w:rsidRPr="00553D3D">
        <w:t xml:space="preserve">.  </w:t>
      </w:r>
      <w:r w:rsidR="00142715">
        <w:t>I</w:t>
      </w:r>
      <w:r w:rsidRPr="00553D3D">
        <w:t xml:space="preserve">nclusion criteria </w:t>
      </w:r>
      <w:r w:rsidRPr="00553D3D">
        <w:rPr>
          <w:bCs/>
        </w:rPr>
        <w:t xml:space="preserve">are: being female, age </w:t>
      </w:r>
      <w:r w:rsidRPr="00553D3D">
        <w:t>18 to 44 of age, English-speaker, not pregnant at the time of the focus groups, and have not had children with the birth defects spina bifida or anencephaly.</w:t>
      </w:r>
    </w:p>
    <w:p w:rsidR="00431F38" w:rsidRPr="00553D3D" w:rsidRDefault="00431F38" w:rsidP="00431F38"/>
    <w:p w:rsidR="00431F38" w:rsidRPr="00553D3D" w:rsidRDefault="00431F38" w:rsidP="00431F38"/>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 xml:space="preserve">[ </w:t>
      </w:r>
      <w:r w:rsidR="00431F38">
        <w:t>X</w:t>
      </w:r>
      <w:r>
        <w:t>]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w:t>
      </w:r>
      <w:r w:rsidR="00431F38">
        <w:t>X</w:t>
      </w:r>
      <w:r>
        <w:t>]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142715"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27" w:rsidRDefault="00C77E27">
      <w:r>
        <w:separator/>
      </w:r>
    </w:p>
  </w:endnote>
  <w:endnote w:type="continuationSeparator" w:id="0">
    <w:p w:rsidR="00C77E27" w:rsidRDefault="00C7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8" w:rsidRDefault="00431F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94D8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27" w:rsidRDefault="00C77E27">
      <w:r>
        <w:separator/>
      </w:r>
    </w:p>
  </w:footnote>
  <w:footnote w:type="continuationSeparator" w:id="0">
    <w:p w:rsidR="00C77E27" w:rsidRDefault="00C7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38" w:rsidRDefault="00431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40901B3"/>
    <w:multiLevelType w:val="hybridMultilevel"/>
    <w:tmpl w:val="9670B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16886"/>
    <w:rsid w:val="00142715"/>
    <w:rsid w:val="001927A4"/>
    <w:rsid w:val="00194AC6"/>
    <w:rsid w:val="001A23B0"/>
    <w:rsid w:val="001A25CC"/>
    <w:rsid w:val="001B0AAA"/>
    <w:rsid w:val="001C39F7"/>
    <w:rsid w:val="00223431"/>
    <w:rsid w:val="00237B48"/>
    <w:rsid w:val="0024521E"/>
    <w:rsid w:val="00263C3D"/>
    <w:rsid w:val="00274D0B"/>
    <w:rsid w:val="002821FF"/>
    <w:rsid w:val="002B3C95"/>
    <w:rsid w:val="002D0B92"/>
    <w:rsid w:val="003675DB"/>
    <w:rsid w:val="003D5BBE"/>
    <w:rsid w:val="003E3C61"/>
    <w:rsid w:val="003F1C5B"/>
    <w:rsid w:val="003F2655"/>
    <w:rsid w:val="0041337D"/>
    <w:rsid w:val="00431F38"/>
    <w:rsid w:val="00434E33"/>
    <w:rsid w:val="00441434"/>
    <w:rsid w:val="0044427F"/>
    <w:rsid w:val="0045264C"/>
    <w:rsid w:val="004876EC"/>
    <w:rsid w:val="004D6E14"/>
    <w:rsid w:val="005009B0"/>
    <w:rsid w:val="00512CA7"/>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40E41"/>
    <w:rsid w:val="00A526F9"/>
    <w:rsid w:val="00A674DF"/>
    <w:rsid w:val="00A83AA6"/>
    <w:rsid w:val="00AE1809"/>
    <w:rsid w:val="00B46F2C"/>
    <w:rsid w:val="00B80D76"/>
    <w:rsid w:val="00BA2105"/>
    <w:rsid w:val="00BA7E06"/>
    <w:rsid w:val="00BB43B5"/>
    <w:rsid w:val="00BB6219"/>
    <w:rsid w:val="00BD290F"/>
    <w:rsid w:val="00C008AA"/>
    <w:rsid w:val="00C14CC4"/>
    <w:rsid w:val="00C33C52"/>
    <w:rsid w:val="00C40D8B"/>
    <w:rsid w:val="00C77E27"/>
    <w:rsid w:val="00C8407A"/>
    <w:rsid w:val="00C8488C"/>
    <w:rsid w:val="00C86E91"/>
    <w:rsid w:val="00C94D83"/>
    <w:rsid w:val="00CA2650"/>
    <w:rsid w:val="00CB1078"/>
    <w:rsid w:val="00CC6FAF"/>
    <w:rsid w:val="00D24698"/>
    <w:rsid w:val="00D6383F"/>
    <w:rsid w:val="00D71221"/>
    <w:rsid w:val="00DB59D0"/>
    <w:rsid w:val="00DC33D3"/>
    <w:rsid w:val="00E26329"/>
    <w:rsid w:val="00E40B50"/>
    <w:rsid w:val="00E50293"/>
    <w:rsid w:val="00E563D1"/>
    <w:rsid w:val="00E65FFC"/>
    <w:rsid w:val="00E75575"/>
    <w:rsid w:val="00E80951"/>
    <w:rsid w:val="00E854FE"/>
    <w:rsid w:val="00E86CC6"/>
    <w:rsid w:val="00EB56B3"/>
    <w:rsid w:val="00ED6492"/>
    <w:rsid w:val="00ED7CA9"/>
    <w:rsid w:val="00EF2095"/>
    <w:rsid w:val="00F06866"/>
    <w:rsid w:val="00F15956"/>
    <w:rsid w:val="00F24CFC"/>
    <w:rsid w:val="00F3170F"/>
    <w:rsid w:val="00F3472B"/>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ListBullet">
    <w:name w:val="List Bullet"/>
    <w:basedOn w:val="Normal"/>
    <w:rsid w:val="00E75575"/>
    <w:pPr>
      <w:numPr>
        <w:numId w:val="19"/>
      </w:numPr>
      <w:overflowPunct w:val="0"/>
      <w:autoSpaceDE w:val="0"/>
      <w:autoSpaceDN w:val="0"/>
      <w:adjustRightInd w:val="0"/>
      <w:textAlignment w:val="baseline"/>
    </w:pPr>
    <w:rPr>
      <w:kern w:val="24"/>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ListBullet">
    <w:name w:val="List Bullet"/>
    <w:basedOn w:val="Normal"/>
    <w:rsid w:val="00E75575"/>
    <w:pPr>
      <w:numPr>
        <w:numId w:val="19"/>
      </w:numPr>
      <w:overflowPunct w:val="0"/>
      <w:autoSpaceDE w:val="0"/>
      <w:autoSpaceDN w:val="0"/>
      <w:adjustRightInd w:val="0"/>
      <w:textAlignment w:val="baseline"/>
    </w:pPr>
    <w:rPr>
      <w:kern w:val="2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2012-04-25T13:58:00Z</dcterms:created>
  <dcterms:modified xsi:type="dcterms:W3CDTF">2012-04-25T13:58:00Z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