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BD" w:rsidRDefault="00051492" w:rsidP="00FD6EBD">
      <w:pPr>
        <w:pStyle w:val="Default"/>
        <w:rPr>
          <w:sz w:val="20"/>
          <w:szCs w:val="20"/>
        </w:rPr>
      </w:pPr>
      <w:bookmarkStart w:id="0" w:name="_Toc193511832"/>
      <w:r w:rsidRPr="00FD6EBD">
        <w:rPr>
          <w:szCs w:val="22"/>
        </w:rPr>
        <w:t xml:space="preserve"> </w:t>
      </w:r>
      <w:bookmarkEnd w:id="0"/>
      <w:r w:rsidR="00FD6EBD">
        <w:rPr>
          <w:b/>
          <w:bCs/>
          <w:sz w:val="32"/>
          <w:szCs w:val="32"/>
        </w:rPr>
        <w:t>Table XX. Instructions for Completion of the NH Laboratory-identified</w:t>
      </w:r>
      <w:r w:rsidR="000D2298">
        <w:rPr>
          <w:b/>
          <w:bCs/>
          <w:sz w:val="32"/>
          <w:szCs w:val="32"/>
        </w:rPr>
        <w:t xml:space="preserve"> (LAB ID)</w:t>
      </w:r>
      <w:r w:rsidR="00FD6EBD">
        <w:rPr>
          <w:b/>
          <w:bCs/>
          <w:sz w:val="32"/>
          <w:szCs w:val="32"/>
        </w:rPr>
        <w:t xml:space="preserve"> MDRO or CDI Event form (CDC 57.138) </w:t>
      </w:r>
      <w:r w:rsidR="00FD6EBD">
        <w:rPr>
          <w:sz w:val="20"/>
          <w:szCs w:val="20"/>
        </w:rPr>
        <w:t>(</w:t>
      </w:r>
      <w:r w:rsidR="00FD6EBD">
        <w:rPr>
          <w:b/>
          <w:bCs/>
          <w:color w:val="0000FF"/>
          <w:sz w:val="20"/>
          <w:szCs w:val="20"/>
          <w:u w:val="single"/>
        </w:rPr>
        <w:t>Tables of Instructions List</w:t>
      </w:r>
      <w:r w:rsidR="00FD6EBD">
        <w:rPr>
          <w:sz w:val="20"/>
          <w:szCs w:val="20"/>
        </w:rPr>
        <w:t xml:space="preserve">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1642"/>
        <w:gridCol w:w="8467"/>
      </w:tblGrid>
      <w:tr w:rsidR="00B228F2" w:rsidTr="000D0FDA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b/>
                <w:bCs/>
                <w:sz w:val="22"/>
                <w:szCs w:val="22"/>
              </w:rPr>
              <w:t xml:space="preserve">Data Field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b/>
                <w:bCs/>
                <w:sz w:val="22"/>
                <w:szCs w:val="22"/>
              </w:rPr>
              <w:t xml:space="preserve">Instructions for Form Completion </w:t>
            </w:r>
          </w:p>
        </w:tc>
      </w:tr>
      <w:tr w:rsidR="00B228F2" w:rsidTr="000D0FDA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Facility ID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The NHSN-assigned facility ID number will be auto-entered by the computer. </w:t>
            </w:r>
          </w:p>
        </w:tc>
      </w:tr>
      <w:tr w:rsidR="00B228F2" w:rsidTr="000D0FDA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Event #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Event ID number will be auto-entered by the computer. </w:t>
            </w:r>
          </w:p>
        </w:tc>
      </w:tr>
      <w:tr w:rsidR="00B228F2" w:rsidTr="00426004">
        <w:trPr>
          <w:trHeight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Resident ID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Enter the alphanumeric resident ID. This is the resident identifier assigned by the hospital and may consist of any combination of numbers and/or letters. This should be an ID that remains the same for the resident across all visits and admissions. </w:t>
            </w:r>
          </w:p>
        </w:tc>
      </w:tr>
      <w:tr w:rsidR="00B228F2" w:rsidTr="000D0FDA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Social Security #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2F0AB7" w:rsidP="000D0F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</w:t>
            </w:r>
            <w:r w:rsidR="00FD6EBD" w:rsidRPr="000D0FDA">
              <w:rPr>
                <w:sz w:val="22"/>
                <w:szCs w:val="22"/>
              </w:rPr>
              <w:t xml:space="preserve">. Enter the 9-digit numeric resident Social Security Number. </w:t>
            </w:r>
          </w:p>
        </w:tc>
      </w:tr>
      <w:tr w:rsidR="00B228F2" w:rsidTr="000D0FDA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Medicare number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Optional. Enter the resident Medicare number or comparable railroad insurance number </w:t>
            </w:r>
          </w:p>
        </w:tc>
      </w:tr>
      <w:tr w:rsidR="00B228F2" w:rsidTr="000D0FDA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Resident Name, Last </w:t>
            </w: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First, Middle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Optional. Enter the name of the resident. If available, data will be auto-entered from Resident Form. </w:t>
            </w:r>
          </w:p>
        </w:tc>
      </w:tr>
      <w:tr w:rsidR="00B228F2" w:rsidTr="00426004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Gender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Select M (Male) or F (Female) to indicate the gender of the resident. </w:t>
            </w:r>
          </w:p>
        </w:tc>
      </w:tr>
      <w:tr w:rsidR="00B228F2" w:rsidTr="0042600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Date of Birth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Record the date of the resident birth using this format: MM/DD/YYYY. </w:t>
            </w:r>
          </w:p>
        </w:tc>
      </w:tr>
      <w:tr w:rsidR="00B228F2" w:rsidTr="000D0FDA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Ethnicity (specify)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Optional. Enter the resident’s ethnicity: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Hispanic or Latino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Not Hispanic or Not Latino </w:t>
            </w:r>
          </w:p>
        </w:tc>
      </w:tr>
      <w:tr w:rsidR="00B228F2" w:rsidTr="000D0FDA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Race (specify)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Optional. Enter the resident’s race: Select all that apply.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American Indian or Alaska Native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Asian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Black or African American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Native Hawaiian or Other Pacific Islander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White </w:t>
            </w:r>
          </w:p>
        </w:tc>
      </w:tr>
      <w:tr w:rsidR="00FD6EBD" w:rsidTr="000D0FDA">
        <w:trPr>
          <w:trHeight w:val="51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b/>
                <w:sz w:val="22"/>
                <w:szCs w:val="22"/>
              </w:rPr>
              <w:t>Event Details</w:t>
            </w:r>
          </w:p>
        </w:tc>
      </w:tr>
      <w:tr w:rsidR="00B228F2" w:rsidTr="000D0FDA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Resident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Required. Select either short-stay (less than 90 days) or long-stay (greater than 90 days) to indicate the resident type</w:t>
            </w:r>
          </w:p>
        </w:tc>
      </w:tr>
      <w:tr w:rsidR="00B228F2" w:rsidTr="000D0FDA">
        <w:trPr>
          <w:trHeight w:val="7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Date of first admission to Facility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B7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</w:t>
            </w:r>
            <w:r w:rsidR="002F0AB7">
              <w:rPr>
                <w:sz w:val="22"/>
                <w:szCs w:val="22"/>
              </w:rPr>
              <w:t>The date of first admission is the date</w:t>
            </w:r>
            <w:r w:rsidR="00B228F2">
              <w:rPr>
                <w:sz w:val="22"/>
                <w:szCs w:val="22"/>
              </w:rPr>
              <w:t xml:space="preserve"> the resident first</w:t>
            </w:r>
            <w:r w:rsidR="002F0AB7">
              <w:rPr>
                <w:sz w:val="22"/>
                <w:szCs w:val="22"/>
              </w:rPr>
              <w:t xml:space="preserve"> ent</w:t>
            </w:r>
            <w:r w:rsidR="00B228F2">
              <w:rPr>
                <w:sz w:val="22"/>
                <w:szCs w:val="22"/>
              </w:rPr>
              <w:t>e</w:t>
            </w:r>
            <w:r w:rsidR="002F0AB7">
              <w:rPr>
                <w:sz w:val="22"/>
                <w:szCs w:val="22"/>
              </w:rPr>
              <w:t>r</w:t>
            </w:r>
            <w:r w:rsidR="00B228F2">
              <w:rPr>
                <w:sz w:val="22"/>
                <w:szCs w:val="22"/>
              </w:rPr>
              <w:t>ed</w:t>
            </w:r>
            <w:r w:rsidR="002F0AB7">
              <w:rPr>
                <w:sz w:val="22"/>
                <w:szCs w:val="22"/>
              </w:rPr>
              <w:t xml:space="preserve"> the facility</w:t>
            </w:r>
            <w:r w:rsidR="00B228F2">
              <w:rPr>
                <w:sz w:val="22"/>
                <w:szCs w:val="22"/>
              </w:rPr>
              <w:t xml:space="preserve"> and stayed</w:t>
            </w:r>
            <w:r w:rsidR="002F0AB7">
              <w:rPr>
                <w:sz w:val="22"/>
                <w:szCs w:val="22"/>
              </w:rPr>
              <w:t xml:space="preserve"> without a break greater than 15 consecutive months</w:t>
            </w:r>
            <w:r w:rsidR="00B71243">
              <w:rPr>
                <w:sz w:val="22"/>
                <w:szCs w:val="22"/>
              </w:rPr>
              <w:t xml:space="preserve"> </w:t>
            </w:r>
            <w:r w:rsidR="00B71243" w:rsidRPr="000D0FDA">
              <w:rPr>
                <w:sz w:val="22"/>
                <w:szCs w:val="22"/>
              </w:rPr>
              <w:t>using this format: MM/DD/YYYY</w:t>
            </w: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</w:p>
        </w:tc>
      </w:tr>
      <w:tr w:rsidR="00B228F2" w:rsidTr="000D0FDA">
        <w:trPr>
          <w:trHeight w:val="7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Date of current admission to Facility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Record the current (i.e. the most recent) date the resident </w:t>
            </w:r>
            <w:r w:rsidR="00426004">
              <w:rPr>
                <w:sz w:val="22"/>
                <w:szCs w:val="22"/>
              </w:rPr>
              <w:t xml:space="preserve">was </w:t>
            </w:r>
            <w:r w:rsidR="00B228F2" w:rsidRPr="00426004">
              <w:rPr>
                <w:sz w:val="22"/>
                <w:szCs w:val="22"/>
              </w:rPr>
              <w:t>re</w:t>
            </w:r>
            <w:r w:rsidR="00B228F2">
              <w:rPr>
                <w:sz w:val="22"/>
                <w:szCs w:val="22"/>
              </w:rPr>
              <w:t>-</w:t>
            </w:r>
            <w:r w:rsidRPr="000D0FDA">
              <w:rPr>
                <w:sz w:val="22"/>
                <w:szCs w:val="22"/>
              </w:rPr>
              <w:t>admitted</w:t>
            </w:r>
            <w:r w:rsidR="00426004">
              <w:rPr>
                <w:sz w:val="22"/>
                <w:szCs w:val="22"/>
              </w:rPr>
              <w:t xml:space="preserve"> to </w:t>
            </w:r>
            <w:r w:rsidRPr="000D0FDA">
              <w:rPr>
                <w:sz w:val="22"/>
                <w:szCs w:val="22"/>
              </w:rPr>
              <w:t>this LTCF using this format: MM/DD/YYYY</w:t>
            </w:r>
          </w:p>
          <w:p w:rsidR="002F0AB7" w:rsidRPr="000D0FDA" w:rsidRDefault="002F0AB7" w:rsidP="002F0A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Example: If the resident was </w:t>
            </w:r>
            <w:r w:rsidR="00426004">
              <w:rPr>
                <w:sz w:val="22"/>
                <w:szCs w:val="22"/>
              </w:rPr>
              <w:t>transferred</w:t>
            </w:r>
            <w:r>
              <w:rPr>
                <w:sz w:val="22"/>
                <w:szCs w:val="22"/>
              </w:rPr>
              <w:t xml:space="preserve"> to an</w:t>
            </w:r>
            <w:r w:rsidR="00A76B63">
              <w:rPr>
                <w:sz w:val="22"/>
                <w:szCs w:val="22"/>
              </w:rPr>
              <w:t xml:space="preserve"> acute care facility and </w:t>
            </w:r>
            <w:r w:rsidR="00426004">
              <w:rPr>
                <w:sz w:val="22"/>
                <w:szCs w:val="22"/>
              </w:rPr>
              <w:t xml:space="preserve">then </w:t>
            </w:r>
            <w:r w:rsidR="00A76B63">
              <w:rPr>
                <w:sz w:val="22"/>
                <w:szCs w:val="22"/>
              </w:rPr>
              <w:t>re-admitted to your facility 4 days later</w:t>
            </w:r>
            <w:r>
              <w:rPr>
                <w:sz w:val="22"/>
                <w:szCs w:val="22"/>
              </w:rPr>
              <w:t xml:space="preserve"> </w:t>
            </w:r>
            <w:r w:rsidR="00A76B63">
              <w:rPr>
                <w:sz w:val="22"/>
                <w:szCs w:val="22"/>
              </w:rPr>
              <w:t>(a re-entry) the date of re-entry is considered the current admission date</w:t>
            </w:r>
            <w:r w:rsidR="00B228F2">
              <w:rPr>
                <w:sz w:val="22"/>
                <w:szCs w:val="22"/>
              </w:rPr>
              <w:t xml:space="preserve">. If the resident has not been discharged or transferred </w:t>
            </w:r>
            <w:r w:rsidR="00426004">
              <w:rPr>
                <w:sz w:val="22"/>
                <w:szCs w:val="22"/>
              </w:rPr>
              <w:t xml:space="preserve">out of your facility, </w:t>
            </w:r>
            <w:r w:rsidR="00B228F2">
              <w:rPr>
                <w:sz w:val="22"/>
                <w:szCs w:val="22"/>
              </w:rPr>
              <w:t xml:space="preserve">then the date of current admission would be the same as the date of first admission to facility. </w:t>
            </w:r>
          </w:p>
        </w:tc>
      </w:tr>
      <w:tr w:rsidR="00B228F2" w:rsidTr="000D0FDA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Event Type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Event type = LabID. </w:t>
            </w:r>
          </w:p>
        </w:tc>
      </w:tr>
      <w:tr w:rsidR="00B228F2" w:rsidTr="000D0FDA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Date Specimen Collected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Enter the date the specimen was collected for this event using format: MM/DD/YYYY </w:t>
            </w:r>
          </w:p>
        </w:tc>
      </w:tr>
      <w:tr w:rsidR="00B228F2" w:rsidTr="000D0FDA">
        <w:trPr>
          <w:trHeight w:val="10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lastRenderedPageBreak/>
              <w:t xml:space="preserve">Specific Organism Type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Check the pathogen identified for this specimen for one of the following laboratory-identified MDRO types: </w:t>
            </w:r>
            <w:r w:rsidRPr="000D0FDA">
              <w:rPr>
                <w:i/>
                <w:iCs/>
                <w:sz w:val="22"/>
                <w:szCs w:val="22"/>
              </w:rPr>
              <w:t>C. difficile</w:t>
            </w:r>
            <w:r w:rsidRPr="000D0FDA">
              <w:rPr>
                <w:sz w:val="22"/>
                <w:szCs w:val="22"/>
              </w:rPr>
              <w:t xml:space="preserve"> , MRSA, VRE, MDR-</w:t>
            </w:r>
            <w:r w:rsidRPr="000D0FDA">
              <w:rPr>
                <w:i/>
                <w:iCs/>
                <w:sz w:val="22"/>
                <w:szCs w:val="22"/>
              </w:rPr>
              <w:t>Klebsiella</w:t>
            </w:r>
            <w:r w:rsidRPr="000D0FDA">
              <w:rPr>
                <w:sz w:val="22"/>
                <w:szCs w:val="22"/>
              </w:rPr>
              <w:t>, or MDR-</w:t>
            </w:r>
            <w:r w:rsidRPr="000D0FDA">
              <w:rPr>
                <w:i/>
                <w:iCs/>
                <w:sz w:val="22"/>
                <w:szCs w:val="22"/>
              </w:rPr>
              <w:t>Acinetobacter.</w:t>
            </w:r>
          </w:p>
          <w:p w:rsidR="00FD6EBD" w:rsidRPr="000D0FDA" w:rsidRDefault="00B228F2" w:rsidP="00B228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multiple MDROs being reported were identified in the same culture, create a new event report for each one </w:t>
            </w:r>
            <w:r w:rsidR="00FD6EBD" w:rsidRPr="000D0FDA">
              <w:rPr>
                <w:sz w:val="22"/>
                <w:szCs w:val="22"/>
              </w:rPr>
              <w:t xml:space="preserve"> (i.e., 1 form for each pathogen). </w:t>
            </w:r>
          </w:p>
        </w:tc>
      </w:tr>
      <w:tr w:rsidR="00B228F2" w:rsidTr="000D0FDA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Specimen Body Site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</w:pPr>
            <w:r w:rsidRPr="000D0FDA">
              <w:rPr>
                <w:sz w:val="22"/>
                <w:szCs w:val="22"/>
              </w:rPr>
              <w:t xml:space="preserve">Required. Enter the main body site from which the specimen was taken using the description that is most specific. (e.g., </w:t>
            </w:r>
            <w:r w:rsidR="00B228F2">
              <w:rPr>
                <w:sz w:val="22"/>
                <w:szCs w:val="22"/>
              </w:rPr>
              <w:t>respiratory system, GU system</w:t>
            </w:r>
            <w:r w:rsidRPr="000D0FDA">
              <w:rPr>
                <w:sz w:val="22"/>
                <w:szCs w:val="22"/>
              </w:rPr>
              <w:t>, etc)</w:t>
            </w: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</w:p>
        </w:tc>
      </w:tr>
      <w:tr w:rsidR="00B228F2" w:rsidTr="000D0FDA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Specimen Source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B228F2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Enter the specific anatomic site from which the specimen was taken using the source description that is most accurate from the available choices (e.g., </w:t>
            </w:r>
            <w:r w:rsidR="00B228F2">
              <w:rPr>
                <w:sz w:val="22"/>
                <w:szCs w:val="22"/>
              </w:rPr>
              <w:t>sputum, urine</w:t>
            </w:r>
            <w:r w:rsidRPr="000D0FDA">
              <w:rPr>
                <w:sz w:val="22"/>
                <w:szCs w:val="22"/>
              </w:rPr>
              <w:t>, etc.)</w:t>
            </w:r>
          </w:p>
        </w:tc>
      </w:tr>
    </w:tbl>
    <w:p w:rsidR="00FD6EBD" w:rsidRDefault="00FD6EBD" w:rsidP="00FD6EBD"/>
    <w:p w:rsidR="00FD6EBD" w:rsidRDefault="00FD6EBD" w:rsidP="00FD6EBD"/>
    <w:p w:rsidR="00FD6EBD" w:rsidRDefault="00FD6EBD" w:rsidP="00FD6EBD"/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2042"/>
        <w:gridCol w:w="8067"/>
      </w:tblGrid>
      <w:tr w:rsidR="00FD6EBD" w:rsidTr="000D0FDA">
        <w:trPr>
          <w:trHeight w:val="28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b/>
                <w:bCs/>
                <w:sz w:val="22"/>
                <w:szCs w:val="22"/>
              </w:rPr>
              <w:t xml:space="preserve">Data Field 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b/>
                <w:bCs/>
                <w:sz w:val="22"/>
                <w:szCs w:val="22"/>
              </w:rPr>
              <w:t xml:space="preserve">Instructions for Form Completion </w:t>
            </w:r>
          </w:p>
        </w:tc>
      </w:tr>
      <w:tr w:rsidR="00FD6EBD" w:rsidTr="000D0FDA">
        <w:trPr>
          <w:trHeight w:val="53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Resident care location 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Enter the care location where the where the resident was assigned when the laboratory-identified MDRO or </w:t>
            </w:r>
            <w:r w:rsidRPr="000D0FDA">
              <w:rPr>
                <w:i/>
                <w:iCs/>
                <w:sz w:val="22"/>
                <w:szCs w:val="22"/>
              </w:rPr>
              <w:t xml:space="preserve">C. difficile </w:t>
            </w:r>
            <w:r w:rsidRPr="000D0FDA">
              <w:rPr>
                <w:sz w:val="22"/>
                <w:szCs w:val="22"/>
              </w:rPr>
              <w:t>event specimen was collected</w:t>
            </w:r>
          </w:p>
        </w:tc>
      </w:tr>
      <w:tr w:rsidR="00FD6EBD" w:rsidTr="000D0FDA">
        <w:trPr>
          <w:trHeight w:val="107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Primary resident service type 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Required. Check just one of the primary resident services types that best represents the type of service the resident </w:t>
            </w:r>
            <w:r w:rsidR="00B228F2">
              <w:rPr>
                <w:sz w:val="22"/>
                <w:szCs w:val="22"/>
              </w:rPr>
              <w:t xml:space="preserve">is </w:t>
            </w:r>
            <w:r w:rsidRPr="000D0FDA">
              <w:rPr>
                <w:sz w:val="22"/>
                <w:szCs w:val="22"/>
              </w:rPr>
              <w:t>receiv</w:t>
            </w:r>
            <w:r w:rsidR="00B228F2">
              <w:rPr>
                <w:sz w:val="22"/>
                <w:szCs w:val="22"/>
              </w:rPr>
              <w:t>ing at the time of the event</w:t>
            </w:r>
            <w:r w:rsidRPr="000D0FDA">
              <w:rPr>
                <w:sz w:val="22"/>
                <w:szCs w:val="22"/>
              </w:rPr>
              <w:t xml:space="preserve">.  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Long-term general nursing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Long-term dementia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Long-term psychiatric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Skilled nursing/short-term rehab (subacute)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Ventilator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Bariatric</w:t>
            </w:r>
          </w:p>
          <w:p w:rsidR="00FD6EBD" w:rsidRPr="000D0FDA" w:rsidRDefault="00FD6EBD" w:rsidP="00FD6EBD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Other (check only if not one of the previously listed service types)</w:t>
            </w:r>
          </w:p>
        </w:tc>
      </w:tr>
      <w:tr w:rsidR="00FD6EBD" w:rsidTr="000D0FDA">
        <w:trPr>
          <w:trHeight w:val="104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Has resident been transferred from an acute care facility in the past 3 months?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Required. Select “Yes” if the resident has been an inpatient of an acute care facility and transferred to your facility in the past three months, otherwise select “No”.</w:t>
            </w:r>
          </w:p>
        </w:tc>
      </w:tr>
      <w:tr w:rsidR="00FD6EBD" w:rsidTr="000D0FDA">
        <w:trPr>
          <w:trHeight w:val="8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If yes, date of last transfer from acute care to your facility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Conditionally Required. If the resident was transferred from acute care to your facility in the past 3 months, enter the most recent date of transfer from acute care to this facility. Use format: MM/DD/YYYY</w:t>
            </w:r>
          </w:p>
        </w:tc>
      </w:tr>
      <w:tr w:rsidR="00FD6EBD" w:rsidTr="000D0FDA">
        <w:trPr>
          <w:trHeight w:val="104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If yes, was the resident on antibiotic therapy for this specific organism type at the time of transfer to your facility?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Conditionally Required. If the resident was on antibiotic therapy for this specific organism type at the time of transfer to your facility select “Yes”, otherwise select</w:t>
            </w:r>
            <w:r w:rsidR="00A76B63">
              <w:rPr>
                <w:sz w:val="22"/>
                <w:szCs w:val="22"/>
              </w:rPr>
              <w:t xml:space="preserve"> </w:t>
            </w:r>
            <w:r w:rsidRPr="000D0FDA">
              <w:rPr>
                <w:sz w:val="22"/>
                <w:szCs w:val="22"/>
              </w:rPr>
              <w:t xml:space="preserve">“No”. </w:t>
            </w:r>
          </w:p>
        </w:tc>
      </w:tr>
      <w:tr w:rsidR="00FD6EBD" w:rsidTr="00426004">
        <w:trPr>
          <w:trHeight w:val="50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Documented prior evidence of infection or colonization with this specific organism type from a previously reported laboratory </w:t>
            </w:r>
            <w:r w:rsidRPr="000D0FDA">
              <w:rPr>
                <w:sz w:val="22"/>
                <w:szCs w:val="22"/>
              </w:rPr>
              <w:lastRenderedPageBreak/>
              <w:t>ID event?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</w:pPr>
            <w:r w:rsidRPr="000D0FDA">
              <w:rPr>
                <w:sz w:val="22"/>
                <w:szCs w:val="22"/>
              </w:rPr>
              <w:lastRenderedPageBreak/>
              <w:t xml:space="preserve"> “Yes” or “No” will be auto-filled by the system only, depending on whether there is prior LabID Event entered for the same organism and same resident. Cannot be edited by user. If there is a previous LabID event for this organism type entered in NHSN in a prior month, the system will auto-populate with a “Yes.”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FD6EBD" w:rsidTr="000D0FDA">
              <w:trPr>
                <w:trHeight w:val="289"/>
              </w:trPr>
              <w:tc>
                <w:tcPr>
                  <w:tcW w:w="0" w:type="auto"/>
                </w:tcPr>
                <w:p w:rsidR="00FD6EBD" w:rsidRPr="000D0FDA" w:rsidRDefault="00FD6EBD" w:rsidP="000D0FD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D6EBD" w:rsidRPr="000D0FDA" w:rsidRDefault="00FD6EBD" w:rsidP="000D0FDA">
            <w:pPr>
              <w:pStyle w:val="Default"/>
              <w:rPr>
                <w:color w:val="auto"/>
              </w:rPr>
            </w:pP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</w:p>
        </w:tc>
      </w:tr>
      <w:tr w:rsidR="00FD6EBD" w:rsidTr="000D0FDA">
        <w:trPr>
          <w:trHeight w:val="262"/>
        </w:trPr>
        <w:tc>
          <w:tcPr>
            <w:tcW w:w="10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6EBD" w:rsidRPr="000D0FDA" w:rsidRDefault="00FD6EBD" w:rsidP="000D0FDA">
            <w:pPr>
              <w:pStyle w:val="Default"/>
              <w:jc w:val="center"/>
              <w:rPr>
                <w:sz w:val="22"/>
                <w:szCs w:val="22"/>
              </w:rPr>
            </w:pPr>
            <w:r w:rsidRPr="000D0FDA">
              <w:rPr>
                <w:b/>
                <w:sz w:val="22"/>
                <w:szCs w:val="22"/>
              </w:rPr>
              <w:lastRenderedPageBreak/>
              <w:t>Custom Fields</w:t>
            </w:r>
          </w:p>
        </w:tc>
      </w:tr>
      <w:tr w:rsidR="00FD6EBD" w:rsidTr="000D0FDA">
        <w:trPr>
          <w:trHeight w:val="104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Labels </w:t>
            </w: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Comments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 xml:space="preserve">Optional. Up to two date fields, 2 numeric and 10 alphanumeric fields that may be customized for local use. </w:t>
            </w:r>
            <w:r w:rsidRPr="000D0FDA">
              <w:rPr>
                <w:b/>
                <w:bCs/>
                <w:sz w:val="22"/>
                <w:szCs w:val="22"/>
              </w:rPr>
              <w:t xml:space="preserve">NOTE: </w:t>
            </w:r>
            <w:r w:rsidRPr="000D0FDA">
              <w:rPr>
                <w:sz w:val="22"/>
                <w:szCs w:val="22"/>
              </w:rPr>
              <w:t xml:space="preserve">Each Custom Field must be set up in the Facility/Custom Options section of the application before the field can be selected for use. </w:t>
            </w:r>
          </w:p>
          <w:p w:rsidR="00FD6EBD" w:rsidRPr="000D0FDA" w:rsidRDefault="00FD6EBD" w:rsidP="000D0FDA">
            <w:pPr>
              <w:pStyle w:val="Default"/>
              <w:rPr>
                <w:sz w:val="22"/>
                <w:szCs w:val="22"/>
              </w:rPr>
            </w:pPr>
            <w:r w:rsidRPr="000D0FDA">
              <w:rPr>
                <w:sz w:val="22"/>
                <w:szCs w:val="22"/>
              </w:rPr>
              <w:t>Optional.</w:t>
            </w:r>
          </w:p>
        </w:tc>
      </w:tr>
    </w:tbl>
    <w:p w:rsidR="00051492" w:rsidRPr="00FD6EBD" w:rsidRDefault="00051492" w:rsidP="00FD6EBD">
      <w:pPr>
        <w:rPr>
          <w:szCs w:val="22"/>
        </w:rPr>
      </w:pPr>
    </w:p>
    <w:sectPr w:rsidR="00051492" w:rsidRPr="00FD6EBD" w:rsidSect="006E1D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7" w:right="907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B8" w:rsidRDefault="009D1AB8">
      <w:r>
        <w:separator/>
      </w:r>
    </w:p>
  </w:endnote>
  <w:endnote w:type="continuationSeparator" w:id="0">
    <w:p w:rsidR="009D1AB8" w:rsidRDefault="009D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63" w:rsidRDefault="00A76B63" w:rsidP="00A422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B63" w:rsidRDefault="00A76B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63" w:rsidRDefault="00A76B63" w:rsidP="00E453FB">
    <w:pPr>
      <w:pStyle w:val="Footer"/>
      <w:jc w:val="center"/>
    </w:pPr>
    <w:r>
      <w:rPr>
        <w:rStyle w:val="PageNumber"/>
      </w:rPr>
      <w:t>8 -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1CE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63" w:rsidRPr="00BE48D0" w:rsidRDefault="00DA703D" w:rsidP="001C0754">
    <w:pPr>
      <w:pStyle w:val="Footer"/>
    </w:pPr>
    <w:r>
      <w:rPr>
        <w:rStyle w:val="PageNumber"/>
      </w:rPr>
      <w:t>July</w:t>
    </w:r>
    <w:r w:rsidR="00A76B63">
      <w:rPr>
        <w:rStyle w:val="PageNumber"/>
      </w:rPr>
      <w:t xml:space="preserve">, </w:t>
    </w:r>
    <w:r>
      <w:rPr>
        <w:rStyle w:val="PageNumber"/>
      </w:rPr>
      <w:t>2011</w:t>
    </w:r>
    <w:r w:rsidR="00A76B63">
      <w:rPr>
        <w:rStyle w:val="PageNumber"/>
      </w:rPr>
      <w:tab/>
      <w:t xml:space="preserve">8 </w:t>
    </w:r>
    <w:r w:rsidR="00A76B63" w:rsidRPr="00E453FB">
      <w:rPr>
        <w:rStyle w:val="PageNumber"/>
      </w:rPr>
      <w:t xml:space="preserve">- </w:t>
    </w:r>
    <w:r w:rsidR="00A76B63" w:rsidRPr="00E453FB">
      <w:rPr>
        <w:rStyle w:val="PageNumber"/>
      </w:rPr>
      <w:fldChar w:fldCharType="begin"/>
    </w:r>
    <w:r w:rsidR="00A76B63" w:rsidRPr="00E453FB">
      <w:rPr>
        <w:rStyle w:val="PageNumber"/>
      </w:rPr>
      <w:instrText xml:space="preserve"> PAGE </w:instrText>
    </w:r>
    <w:r w:rsidR="00A76B63">
      <w:rPr>
        <w:rStyle w:val="PageNumber"/>
      </w:rPr>
      <w:fldChar w:fldCharType="separate"/>
    </w:r>
    <w:r w:rsidR="00BA1CE4">
      <w:rPr>
        <w:rStyle w:val="PageNumber"/>
        <w:noProof/>
      </w:rPr>
      <w:t>1</w:t>
    </w:r>
    <w:r w:rsidR="00A76B63" w:rsidRPr="00E453FB">
      <w:rPr>
        <w:rStyle w:val="PageNumber"/>
      </w:rPr>
      <w:fldChar w:fldCharType="end"/>
    </w:r>
    <w:r w:rsidR="00A76B63" w:rsidRPr="00E453FB">
      <w:rPr>
        <w:rStyle w:val="PageNumber"/>
      </w:rPr>
      <w:t xml:space="preserve"> </w:t>
    </w:r>
    <w:r w:rsidR="00A76B63" w:rsidRPr="00BE48D0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B8" w:rsidRDefault="009D1AB8">
      <w:r>
        <w:separator/>
      </w:r>
    </w:p>
  </w:footnote>
  <w:footnote w:type="continuationSeparator" w:id="0">
    <w:p w:rsidR="009D1AB8" w:rsidRDefault="009D1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63" w:rsidRPr="00A64AEC" w:rsidRDefault="00A76B63" w:rsidP="00A64AEC">
    <w:pPr>
      <w:pStyle w:val="Header"/>
    </w:pPr>
    <w:r>
      <w:rPr>
        <w:noProof/>
        <w:sz w:val="12"/>
        <w:szCs w:val="12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in;margin-top:-8.65pt;width:203.35pt;height:36.35pt;z-index:251658240" filled="f" stroked="f">
          <v:textbox>
            <w:txbxContent>
              <w:p w:rsidR="00A76B63" w:rsidRPr="006932DA" w:rsidRDefault="00A76B63" w:rsidP="00A64AEC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>NHSN Patient Safety Component</w:t>
                </w:r>
              </w:p>
              <w:p w:rsidR="00A76B63" w:rsidRPr="006932DA" w:rsidRDefault="00A76B63" w:rsidP="00A64AEC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>Tables of Instructions</w:t>
                </w:r>
              </w:p>
            </w:txbxContent>
          </v:textbox>
        </v:shape>
      </w:pict>
    </w:r>
    <w:r w:rsidR="00BA1CE4">
      <w:rPr>
        <w:noProof/>
        <w:sz w:val="12"/>
        <w:szCs w:val="12"/>
      </w:rPr>
      <w:drawing>
        <wp:inline distT="0" distB="0" distL="0" distR="0">
          <wp:extent cx="6172200" cy="819150"/>
          <wp:effectExtent l="19050" t="0" r="0" b="0"/>
          <wp:docPr id="2" name="Picture 2" descr="no_topic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_topic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63" w:rsidRDefault="00A76B63" w:rsidP="006932DA">
    <w:pPr>
      <w:pStyle w:val="Header"/>
      <w:ind w:right="100"/>
      <w:jc w:val="right"/>
    </w:pPr>
    <w:r>
      <w:rPr>
        <w:noProof/>
        <w:sz w:val="12"/>
        <w:szCs w:val="12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91.65pt;margin-top:-8.65pt;width:203.35pt;height:36.35pt;z-index:251657216" filled="f" stroked="f">
          <v:textbox>
            <w:txbxContent>
              <w:p w:rsidR="00A76B63" w:rsidRPr="006932DA" w:rsidRDefault="00A76B63" w:rsidP="006932DA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 xml:space="preserve">NHSN </w:t>
                </w:r>
                <w:r>
                  <w:rPr>
                    <w:i/>
                    <w:iCs/>
                    <w:sz w:val="20"/>
                    <w:szCs w:val="20"/>
                  </w:rPr>
                  <w:t>Long Term Care Facility</w:t>
                </w:r>
                <w:r w:rsidRPr="006932DA">
                  <w:rPr>
                    <w:i/>
                    <w:iCs/>
                    <w:sz w:val="20"/>
                    <w:szCs w:val="20"/>
                  </w:rPr>
                  <w:t xml:space="preserve"> Component</w:t>
                </w:r>
              </w:p>
              <w:p w:rsidR="00A76B63" w:rsidRPr="006932DA" w:rsidRDefault="00A76B63" w:rsidP="006932DA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>Tables of Instructions</w:t>
                </w:r>
              </w:p>
            </w:txbxContent>
          </v:textbox>
        </v:shape>
      </w:pict>
    </w:r>
    <w:r w:rsidR="00BA1CE4">
      <w:rPr>
        <w:noProof/>
        <w:sz w:val="12"/>
        <w:szCs w:val="12"/>
      </w:rPr>
      <w:drawing>
        <wp:inline distT="0" distB="0" distL="0" distR="0">
          <wp:extent cx="6172200" cy="819150"/>
          <wp:effectExtent l="19050" t="0" r="0" b="0"/>
          <wp:docPr id="1" name="Picture 1" descr="no_topic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_topic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CC36EB"/>
    <w:multiLevelType w:val="multilevel"/>
    <w:tmpl w:val="41B8A480"/>
    <w:lvl w:ilvl="0">
      <w:start w:val="1"/>
      <w:numFmt w:val="upperLetter"/>
      <w:pStyle w:val="Listlevel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0D63A48"/>
    <w:multiLevelType w:val="hybridMultilevel"/>
    <w:tmpl w:val="7764BF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E0264D"/>
    <w:multiLevelType w:val="hybridMultilevel"/>
    <w:tmpl w:val="4DF2D3E4"/>
    <w:lvl w:ilvl="0" w:tplc="72605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3721EC"/>
    <w:multiLevelType w:val="multilevel"/>
    <w:tmpl w:val="361A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07032F95"/>
    <w:multiLevelType w:val="hybridMultilevel"/>
    <w:tmpl w:val="46545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2D7407"/>
    <w:multiLevelType w:val="hybridMultilevel"/>
    <w:tmpl w:val="EC808874"/>
    <w:lvl w:ilvl="0" w:tplc="EC6A2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50F25"/>
    <w:multiLevelType w:val="hybridMultilevel"/>
    <w:tmpl w:val="3C7CE9D0"/>
    <w:lvl w:ilvl="0" w:tplc="5524A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AD036D"/>
    <w:multiLevelType w:val="hybridMultilevel"/>
    <w:tmpl w:val="201E8CB6"/>
    <w:lvl w:ilvl="0" w:tplc="49CC9BA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57364"/>
    <w:multiLevelType w:val="hybridMultilevel"/>
    <w:tmpl w:val="15F4B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F433C95"/>
    <w:multiLevelType w:val="hybridMultilevel"/>
    <w:tmpl w:val="8C528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BC3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33E649F"/>
    <w:multiLevelType w:val="hybridMultilevel"/>
    <w:tmpl w:val="C7DCE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363B21"/>
    <w:multiLevelType w:val="hybridMultilevel"/>
    <w:tmpl w:val="FBE8BC2C"/>
    <w:lvl w:ilvl="0" w:tplc="CB622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C3975"/>
    <w:multiLevelType w:val="hybridMultilevel"/>
    <w:tmpl w:val="613255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A51333"/>
    <w:multiLevelType w:val="hybridMultilevel"/>
    <w:tmpl w:val="607A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BE5A21"/>
    <w:multiLevelType w:val="hybridMultilevel"/>
    <w:tmpl w:val="0088DD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A81F48"/>
    <w:multiLevelType w:val="hybridMultilevel"/>
    <w:tmpl w:val="7E5C0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702B80"/>
    <w:multiLevelType w:val="hybridMultilevel"/>
    <w:tmpl w:val="B072ADFC"/>
    <w:lvl w:ilvl="0" w:tplc="8CDC7D6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C87B08"/>
    <w:multiLevelType w:val="hybridMultilevel"/>
    <w:tmpl w:val="5AC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8725886"/>
    <w:multiLevelType w:val="hybridMultilevel"/>
    <w:tmpl w:val="834A1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6404AB"/>
    <w:multiLevelType w:val="multilevel"/>
    <w:tmpl w:val="A65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C78360E"/>
    <w:multiLevelType w:val="hybridMultilevel"/>
    <w:tmpl w:val="834A1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591530"/>
    <w:multiLevelType w:val="hybridMultilevel"/>
    <w:tmpl w:val="1C184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F75F99"/>
    <w:multiLevelType w:val="hybridMultilevel"/>
    <w:tmpl w:val="51C4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03190"/>
    <w:multiLevelType w:val="hybridMultilevel"/>
    <w:tmpl w:val="2326ADDA"/>
    <w:lvl w:ilvl="0" w:tplc="649C5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385F30"/>
    <w:multiLevelType w:val="hybridMultilevel"/>
    <w:tmpl w:val="1BC0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82CF4"/>
    <w:multiLevelType w:val="hybridMultilevel"/>
    <w:tmpl w:val="8746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226FAE"/>
    <w:multiLevelType w:val="hybridMultilevel"/>
    <w:tmpl w:val="651AF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63716F3"/>
    <w:multiLevelType w:val="hybridMultilevel"/>
    <w:tmpl w:val="55FE8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893E17"/>
    <w:multiLevelType w:val="hybridMultilevel"/>
    <w:tmpl w:val="9202E592"/>
    <w:lvl w:ilvl="0" w:tplc="CB622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102172"/>
    <w:multiLevelType w:val="hybridMultilevel"/>
    <w:tmpl w:val="BB3471F4"/>
    <w:lvl w:ilvl="0" w:tplc="5524A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BF59B2"/>
    <w:multiLevelType w:val="hybridMultilevel"/>
    <w:tmpl w:val="94E24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EF1042"/>
    <w:multiLevelType w:val="hybridMultilevel"/>
    <w:tmpl w:val="D7E04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555CAF"/>
    <w:multiLevelType w:val="hybridMultilevel"/>
    <w:tmpl w:val="20E67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D5A13"/>
    <w:multiLevelType w:val="hybridMultilevel"/>
    <w:tmpl w:val="35D201CA"/>
    <w:lvl w:ilvl="0" w:tplc="3F4E242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11798"/>
    <w:multiLevelType w:val="hybridMultilevel"/>
    <w:tmpl w:val="8E609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CF60D5"/>
    <w:multiLevelType w:val="hybridMultilevel"/>
    <w:tmpl w:val="0DA4A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BE0585"/>
    <w:multiLevelType w:val="hybridMultilevel"/>
    <w:tmpl w:val="04BA9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FA453AB"/>
    <w:multiLevelType w:val="hybridMultilevel"/>
    <w:tmpl w:val="12B2A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2D8554C"/>
    <w:multiLevelType w:val="hybridMultilevel"/>
    <w:tmpl w:val="1BE472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E50C86"/>
    <w:multiLevelType w:val="hybridMultilevel"/>
    <w:tmpl w:val="D228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E5B28"/>
    <w:multiLevelType w:val="hybridMultilevel"/>
    <w:tmpl w:val="909E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234BCB"/>
    <w:multiLevelType w:val="hybridMultilevel"/>
    <w:tmpl w:val="BD200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67B35"/>
    <w:multiLevelType w:val="hybridMultilevel"/>
    <w:tmpl w:val="486010BC"/>
    <w:lvl w:ilvl="0" w:tplc="678E45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EA0489"/>
    <w:multiLevelType w:val="hybridMultilevel"/>
    <w:tmpl w:val="133E9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C41F3B"/>
    <w:multiLevelType w:val="hybridMultilevel"/>
    <w:tmpl w:val="27CE4F22"/>
    <w:lvl w:ilvl="0" w:tplc="CB622B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8B6003"/>
    <w:multiLevelType w:val="hybridMultilevel"/>
    <w:tmpl w:val="3C62FE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E51FC"/>
    <w:multiLevelType w:val="hybridMultilevel"/>
    <w:tmpl w:val="E258090E"/>
    <w:lvl w:ilvl="0" w:tplc="3530BD1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F545AD"/>
    <w:multiLevelType w:val="hybridMultilevel"/>
    <w:tmpl w:val="655CF510"/>
    <w:lvl w:ilvl="0" w:tplc="3530BD1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C907636"/>
    <w:multiLevelType w:val="hybridMultilevel"/>
    <w:tmpl w:val="7A90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4"/>
  </w:num>
  <w:num w:numId="3">
    <w:abstractNumId w:val="10"/>
  </w:num>
  <w:num w:numId="4">
    <w:abstractNumId w:val="1"/>
  </w:num>
  <w:num w:numId="5">
    <w:abstractNumId w:val="27"/>
  </w:num>
  <w:num w:numId="6">
    <w:abstractNumId w:val="22"/>
  </w:num>
  <w:num w:numId="7">
    <w:abstractNumId w:val="11"/>
  </w:num>
  <w:num w:numId="8">
    <w:abstractNumId w:val="32"/>
  </w:num>
  <w:num w:numId="9">
    <w:abstractNumId w:val="45"/>
  </w:num>
  <w:num w:numId="10">
    <w:abstractNumId w:val="29"/>
  </w:num>
  <w:num w:numId="11">
    <w:abstractNumId w:val="12"/>
  </w:num>
  <w:num w:numId="12">
    <w:abstractNumId w:val="31"/>
  </w:num>
  <w:num w:numId="13">
    <w:abstractNumId w:val="28"/>
  </w:num>
  <w:num w:numId="14">
    <w:abstractNumId w:val="4"/>
  </w:num>
  <w:num w:numId="15">
    <w:abstractNumId w:val="23"/>
  </w:num>
  <w:num w:numId="16">
    <w:abstractNumId w:val="9"/>
  </w:num>
  <w:num w:numId="17">
    <w:abstractNumId w:val="20"/>
  </w:num>
  <w:num w:numId="18">
    <w:abstractNumId w:val="4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5"/>
  </w:num>
  <w:num w:numId="22">
    <w:abstractNumId w:val="41"/>
  </w:num>
  <w:num w:numId="23">
    <w:abstractNumId w:val="40"/>
  </w:num>
  <w:num w:numId="24">
    <w:abstractNumId w:val="49"/>
  </w:num>
  <w:num w:numId="25">
    <w:abstractNumId w:val="46"/>
  </w:num>
  <w:num w:numId="26">
    <w:abstractNumId w:val="5"/>
  </w:num>
  <w:num w:numId="27">
    <w:abstractNumId w:val="36"/>
  </w:num>
  <w:num w:numId="28">
    <w:abstractNumId w:val="47"/>
  </w:num>
  <w:num w:numId="29">
    <w:abstractNumId w:val="15"/>
  </w:num>
  <w:num w:numId="30">
    <w:abstractNumId w:val="2"/>
  </w:num>
  <w:num w:numId="31">
    <w:abstractNumId w:val="13"/>
  </w:num>
  <w:num w:numId="32">
    <w:abstractNumId w:val="6"/>
  </w:num>
  <w:num w:numId="33">
    <w:abstractNumId w:val="39"/>
  </w:num>
  <w:num w:numId="34">
    <w:abstractNumId w:val="21"/>
  </w:num>
  <w:num w:numId="35">
    <w:abstractNumId w:val="42"/>
  </w:num>
  <w:num w:numId="36">
    <w:abstractNumId w:val="34"/>
  </w:num>
  <w:num w:numId="37">
    <w:abstractNumId w:val="8"/>
  </w:num>
  <w:num w:numId="38">
    <w:abstractNumId w:val="43"/>
  </w:num>
  <w:num w:numId="39">
    <w:abstractNumId w:val="48"/>
  </w:num>
  <w:num w:numId="40">
    <w:abstractNumId w:val="17"/>
  </w:num>
  <w:num w:numId="41">
    <w:abstractNumId w:val="35"/>
  </w:num>
  <w:num w:numId="42">
    <w:abstractNumId w:val="33"/>
  </w:num>
  <w:num w:numId="43">
    <w:abstractNumId w:val="19"/>
  </w:num>
  <w:num w:numId="44">
    <w:abstractNumId w:val="38"/>
  </w:num>
  <w:num w:numId="45">
    <w:abstractNumId w:val="18"/>
  </w:num>
  <w:num w:numId="46">
    <w:abstractNumId w:val="16"/>
  </w:num>
  <w:num w:numId="47">
    <w:abstractNumId w:val="26"/>
  </w:num>
  <w:num w:numId="48">
    <w:abstractNumId w:val="3"/>
  </w:num>
  <w:num w:numId="49">
    <w:abstractNumId w:val="7"/>
  </w:num>
  <w:num w:numId="50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64D5"/>
    <w:rsid w:val="00002573"/>
    <w:rsid w:val="00006F27"/>
    <w:rsid w:val="00016835"/>
    <w:rsid w:val="000277CD"/>
    <w:rsid w:val="00036FA2"/>
    <w:rsid w:val="00044C2E"/>
    <w:rsid w:val="00051492"/>
    <w:rsid w:val="00052DC3"/>
    <w:rsid w:val="00052EB0"/>
    <w:rsid w:val="00053946"/>
    <w:rsid w:val="00061BBA"/>
    <w:rsid w:val="000717B1"/>
    <w:rsid w:val="00077E61"/>
    <w:rsid w:val="00081B35"/>
    <w:rsid w:val="00082497"/>
    <w:rsid w:val="00083414"/>
    <w:rsid w:val="00091E6F"/>
    <w:rsid w:val="000943E7"/>
    <w:rsid w:val="000A2020"/>
    <w:rsid w:val="000A3BE0"/>
    <w:rsid w:val="000B6036"/>
    <w:rsid w:val="000C26F0"/>
    <w:rsid w:val="000C4694"/>
    <w:rsid w:val="000C65B5"/>
    <w:rsid w:val="000D0FDA"/>
    <w:rsid w:val="000D2298"/>
    <w:rsid w:val="000F0B2D"/>
    <w:rsid w:val="001020CB"/>
    <w:rsid w:val="00107CD1"/>
    <w:rsid w:val="00117DA7"/>
    <w:rsid w:val="001223F8"/>
    <w:rsid w:val="00125781"/>
    <w:rsid w:val="00130D08"/>
    <w:rsid w:val="00132480"/>
    <w:rsid w:val="00152B43"/>
    <w:rsid w:val="00152CCB"/>
    <w:rsid w:val="0016136F"/>
    <w:rsid w:val="001667DD"/>
    <w:rsid w:val="00170742"/>
    <w:rsid w:val="00173579"/>
    <w:rsid w:val="00174783"/>
    <w:rsid w:val="00192D51"/>
    <w:rsid w:val="001B503A"/>
    <w:rsid w:val="001C0754"/>
    <w:rsid w:val="001C13C8"/>
    <w:rsid w:val="001C179E"/>
    <w:rsid w:val="001E1281"/>
    <w:rsid w:val="001E1868"/>
    <w:rsid w:val="001F313A"/>
    <w:rsid w:val="001F7245"/>
    <w:rsid w:val="0020449C"/>
    <w:rsid w:val="00235C06"/>
    <w:rsid w:val="002376C5"/>
    <w:rsid w:val="002472C2"/>
    <w:rsid w:val="00255C5F"/>
    <w:rsid w:val="00261BB5"/>
    <w:rsid w:val="00262822"/>
    <w:rsid w:val="00267454"/>
    <w:rsid w:val="002760A8"/>
    <w:rsid w:val="00284EB8"/>
    <w:rsid w:val="002959DF"/>
    <w:rsid w:val="002A4B21"/>
    <w:rsid w:val="002A6B80"/>
    <w:rsid w:val="002A7DBF"/>
    <w:rsid w:val="002A7F60"/>
    <w:rsid w:val="002B29EE"/>
    <w:rsid w:val="002C5C56"/>
    <w:rsid w:val="002C7B86"/>
    <w:rsid w:val="002E47C1"/>
    <w:rsid w:val="002F0AB7"/>
    <w:rsid w:val="002F59F6"/>
    <w:rsid w:val="0031044E"/>
    <w:rsid w:val="00323180"/>
    <w:rsid w:val="00331528"/>
    <w:rsid w:val="0034161F"/>
    <w:rsid w:val="003511E7"/>
    <w:rsid w:val="003579E8"/>
    <w:rsid w:val="0036219D"/>
    <w:rsid w:val="00370F67"/>
    <w:rsid w:val="00375529"/>
    <w:rsid w:val="003837D0"/>
    <w:rsid w:val="003910D1"/>
    <w:rsid w:val="003A23B1"/>
    <w:rsid w:val="003A3AD2"/>
    <w:rsid w:val="003A598F"/>
    <w:rsid w:val="003B1F20"/>
    <w:rsid w:val="003C7F95"/>
    <w:rsid w:val="003D2279"/>
    <w:rsid w:val="003D3704"/>
    <w:rsid w:val="003D7247"/>
    <w:rsid w:val="0041054C"/>
    <w:rsid w:val="004154C6"/>
    <w:rsid w:val="004222E9"/>
    <w:rsid w:val="00426004"/>
    <w:rsid w:val="00441D1E"/>
    <w:rsid w:val="004842F0"/>
    <w:rsid w:val="00486A6D"/>
    <w:rsid w:val="00492B26"/>
    <w:rsid w:val="00493DCC"/>
    <w:rsid w:val="00496B3D"/>
    <w:rsid w:val="004A5153"/>
    <w:rsid w:val="004E36FA"/>
    <w:rsid w:val="004F0D93"/>
    <w:rsid w:val="004F798B"/>
    <w:rsid w:val="00500E24"/>
    <w:rsid w:val="00506F8D"/>
    <w:rsid w:val="005102D2"/>
    <w:rsid w:val="005205F5"/>
    <w:rsid w:val="0053056E"/>
    <w:rsid w:val="0053193A"/>
    <w:rsid w:val="00542C73"/>
    <w:rsid w:val="005505E3"/>
    <w:rsid w:val="00551A91"/>
    <w:rsid w:val="00565AA8"/>
    <w:rsid w:val="005823A6"/>
    <w:rsid w:val="00582D19"/>
    <w:rsid w:val="00586283"/>
    <w:rsid w:val="005931AA"/>
    <w:rsid w:val="005A72B5"/>
    <w:rsid w:val="005D2BE5"/>
    <w:rsid w:val="005E3729"/>
    <w:rsid w:val="005F183F"/>
    <w:rsid w:val="005F47FA"/>
    <w:rsid w:val="005F4A41"/>
    <w:rsid w:val="005F6BD7"/>
    <w:rsid w:val="00617186"/>
    <w:rsid w:val="00620CCB"/>
    <w:rsid w:val="006234BE"/>
    <w:rsid w:val="00624B3F"/>
    <w:rsid w:val="00645B45"/>
    <w:rsid w:val="006536F1"/>
    <w:rsid w:val="006541C9"/>
    <w:rsid w:val="006663AB"/>
    <w:rsid w:val="006932DA"/>
    <w:rsid w:val="006A31BC"/>
    <w:rsid w:val="006A3633"/>
    <w:rsid w:val="006B2407"/>
    <w:rsid w:val="006B7945"/>
    <w:rsid w:val="006C0868"/>
    <w:rsid w:val="006C5F2F"/>
    <w:rsid w:val="006D20B0"/>
    <w:rsid w:val="006E1D4B"/>
    <w:rsid w:val="006F11DC"/>
    <w:rsid w:val="00715206"/>
    <w:rsid w:val="00717354"/>
    <w:rsid w:val="007201D5"/>
    <w:rsid w:val="00723D89"/>
    <w:rsid w:val="00742F1C"/>
    <w:rsid w:val="007448C8"/>
    <w:rsid w:val="00745238"/>
    <w:rsid w:val="00746E0D"/>
    <w:rsid w:val="0075665B"/>
    <w:rsid w:val="00761A16"/>
    <w:rsid w:val="00771DE7"/>
    <w:rsid w:val="007770DB"/>
    <w:rsid w:val="00781732"/>
    <w:rsid w:val="00783D45"/>
    <w:rsid w:val="007860CC"/>
    <w:rsid w:val="00787B4F"/>
    <w:rsid w:val="00792221"/>
    <w:rsid w:val="007A2F66"/>
    <w:rsid w:val="007A77C9"/>
    <w:rsid w:val="007C3594"/>
    <w:rsid w:val="007D1F60"/>
    <w:rsid w:val="007E0BC3"/>
    <w:rsid w:val="007E5645"/>
    <w:rsid w:val="00831B0F"/>
    <w:rsid w:val="0083414B"/>
    <w:rsid w:val="00834E54"/>
    <w:rsid w:val="00842F2A"/>
    <w:rsid w:val="008457F4"/>
    <w:rsid w:val="008464D7"/>
    <w:rsid w:val="008521F6"/>
    <w:rsid w:val="00860908"/>
    <w:rsid w:val="00865BCB"/>
    <w:rsid w:val="00867AD3"/>
    <w:rsid w:val="00871120"/>
    <w:rsid w:val="00876B82"/>
    <w:rsid w:val="008813CC"/>
    <w:rsid w:val="008869A3"/>
    <w:rsid w:val="00890C6C"/>
    <w:rsid w:val="0089225F"/>
    <w:rsid w:val="0089275E"/>
    <w:rsid w:val="008B711D"/>
    <w:rsid w:val="008C001B"/>
    <w:rsid w:val="008C1518"/>
    <w:rsid w:val="008C1591"/>
    <w:rsid w:val="008E0701"/>
    <w:rsid w:val="008F2A9E"/>
    <w:rsid w:val="0090018B"/>
    <w:rsid w:val="0090388A"/>
    <w:rsid w:val="009072EA"/>
    <w:rsid w:val="00910A47"/>
    <w:rsid w:val="009252A3"/>
    <w:rsid w:val="00942FD9"/>
    <w:rsid w:val="0096258B"/>
    <w:rsid w:val="00963237"/>
    <w:rsid w:val="009757D6"/>
    <w:rsid w:val="00990C91"/>
    <w:rsid w:val="009978EF"/>
    <w:rsid w:val="009A38D8"/>
    <w:rsid w:val="009C52EF"/>
    <w:rsid w:val="009D1AB8"/>
    <w:rsid w:val="009D1EB6"/>
    <w:rsid w:val="009D2724"/>
    <w:rsid w:val="009D6675"/>
    <w:rsid w:val="009E07FB"/>
    <w:rsid w:val="009E294D"/>
    <w:rsid w:val="009E3A51"/>
    <w:rsid w:val="009E7EBC"/>
    <w:rsid w:val="009F393B"/>
    <w:rsid w:val="00A04C73"/>
    <w:rsid w:val="00A2441F"/>
    <w:rsid w:val="00A25DC5"/>
    <w:rsid w:val="00A27BDD"/>
    <w:rsid w:val="00A4223B"/>
    <w:rsid w:val="00A42691"/>
    <w:rsid w:val="00A5241D"/>
    <w:rsid w:val="00A5758F"/>
    <w:rsid w:val="00A64AEC"/>
    <w:rsid w:val="00A7520A"/>
    <w:rsid w:val="00A76B63"/>
    <w:rsid w:val="00A7707F"/>
    <w:rsid w:val="00A82824"/>
    <w:rsid w:val="00A84F2F"/>
    <w:rsid w:val="00A96B7C"/>
    <w:rsid w:val="00AA4247"/>
    <w:rsid w:val="00AC6223"/>
    <w:rsid w:val="00AD3BA4"/>
    <w:rsid w:val="00AD6880"/>
    <w:rsid w:val="00AE3C16"/>
    <w:rsid w:val="00AE51B0"/>
    <w:rsid w:val="00AF07B0"/>
    <w:rsid w:val="00AF1629"/>
    <w:rsid w:val="00AF3144"/>
    <w:rsid w:val="00AF580B"/>
    <w:rsid w:val="00B005AC"/>
    <w:rsid w:val="00B00A8F"/>
    <w:rsid w:val="00B05EA4"/>
    <w:rsid w:val="00B06DC7"/>
    <w:rsid w:val="00B11F8D"/>
    <w:rsid w:val="00B21B04"/>
    <w:rsid w:val="00B228F2"/>
    <w:rsid w:val="00B2655E"/>
    <w:rsid w:val="00B33518"/>
    <w:rsid w:val="00B35818"/>
    <w:rsid w:val="00B54278"/>
    <w:rsid w:val="00B659DB"/>
    <w:rsid w:val="00B71243"/>
    <w:rsid w:val="00B754CB"/>
    <w:rsid w:val="00BA13B2"/>
    <w:rsid w:val="00BA1B62"/>
    <w:rsid w:val="00BA1CE4"/>
    <w:rsid w:val="00BB1C2D"/>
    <w:rsid w:val="00BD4D18"/>
    <w:rsid w:val="00BE3694"/>
    <w:rsid w:val="00BE48D0"/>
    <w:rsid w:val="00C0348B"/>
    <w:rsid w:val="00C04E18"/>
    <w:rsid w:val="00C05886"/>
    <w:rsid w:val="00C1435B"/>
    <w:rsid w:val="00C1696A"/>
    <w:rsid w:val="00C278E5"/>
    <w:rsid w:val="00C3084B"/>
    <w:rsid w:val="00C37B8B"/>
    <w:rsid w:val="00C40A98"/>
    <w:rsid w:val="00C4720A"/>
    <w:rsid w:val="00C500AF"/>
    <w:rsid w:val="00C57963"/>
    <w:rsid w:val="00C76266"/>
    <w:rsid w:val="00C813F5"/>
    <w:rsid w:val="00C868BB"/>
    <w:rsid w:val="00C86C03"/>
    <w:rsid w:val="00C93A73"/>
    <w:rsid w:val="00C93D95"/>
    <w:rsid w:val="00C94537"/>
    <w:rsid w:val="00CA0BDB"/>
    <w:rsid w:val="00CA523C"/>
    <w:rsid w:val="00CB393E"/>
    <w:rsid w:val="00CB52D7"/>
    <w:rsid w:val="00CD4BA8"/>
    <w:rsid w:val="00CD71D9"/>
    <w:rsid w:val="00CE344D"/>
    <w:rsid w:val="00CE3A4B"/>
    <w:rsid w:val="00CF0885"/>
    <w:rsid w:val="00D00CEE"/>
    <w:rsid w:val="00D04AC2"/>
    <w:rsid w:val="00D058B6"/>
    <w:rsid w:val="00D41034"/>
    <w:rsid w:val="00D45B54"/>
    <w:rsid w:val="00D50092"/>
    <w:rsid w:val="00D54002"/>
    <w:rsid w:val="00D61887"/>
    <w:rsid w:val="00D81B3F"/>
    <w:rsid w:val="00D8288A"/>
    <w:rsid w:val="00D83FE7"/>
    <w:rsid w:val="00D91AB4"/>
    <w:rsid w:val="00DA1386"/>
    <w:rsid w:val="00DA4034"/>
    <w:rsid w:val="00DA703D"/>
    <w:rsid w:val="00DC01B8"/>
    <w:rsid w:val="00DD2437"/>
    <w:rsid w:val="00DE4A1E"/>
    <w:rsid w:val="00DF179A"/>
    <w:rsid w:val="00E06BC9"/>
    <w:rsid w:val="00E103F1"/>
    <w:rsid w:val="00E222BB"/>
    <w:rsid w:val="00E2453C"/>
    <w:rsid w:val="00E25AB9"/>
    <w:rsid w:val="00E35D6C"/>
    <w:rsid w:val="00E43485"/>
    <w:rsid w:val="00E44868"/>
    <w:rsid w:val="00E453FB"/>
    <w:rsid w:val="00E5798C"/>
    <w:rsid w:val="00E624B7"/>
    <w:rsid w:val="00E65F9B"/>
    <w:rsid w:val="00E678D9"/>
    <w:rsid w:val="00E75375"/>
    <w:rsid w:val="00E75555"/>
    <w:rsid w:val="00E77EBD"/>
    <w:rsid w:val="00E81F2E"/>
    <w:rsid w:val="00E8438D"/>
    <w:rsid w:val="00E9647E"/>
    <w:rsid w:val="00EA6F9E"/>
    <w:rsid w:val="00EB70F9"/>
    <w:rsid w:val="00EB7EC1"/>
    <w:rsid w:val="00EC318A"/>
    <w:rsid w:val="00ED185C"/>
    <w:rsid w:val="00ED22B8"/>
    <w:rsid w:val="00ED571D"/>
    <w:rsid w:val="00ED63AE"/>
    <w:rsid w:val="00EE282C"/>
    <w:rsid w:val="00EE6531"/>
    <w:rsid w:val="00EF27DE"/>
    <w:rsid w:val="00EF644E"/>
    <w:rsid w:val="00EF64D5"/>
    <w:rsid w:val="00F004D6"/>
    <w:rsid w:val="00F12EE0"/>
    <w:rsid w:val="00F24356"/>
    <w:rsid w:val="00F34FB3"/>
    <w:rsid w:val="00F558EF"/>
    <w:rsid w:val="00F5592C"/>
    <w:rsid w:val="00F6016B"/>
    <w:rsid w:val="00F65818"/>
    <w:rsid w:val="00F70427"/>
    <w:rsid w:val="00F80C6E"/>
    <w:rsid w:val="00FB4071"/>
    <w:rsid w:val="00FC1AB1"/>
    <w:rsid w:val="00FD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4D5"/>
    <w:rPr>
      <w:sz w:val="24"/>
      <w:szCs w:val="24"/>
    </w:rPr>
  </w:style>
  <w:style w:type="paragraph" w:styleId="Heading1">
    <w:name w:val="heading 1"/>
    <w:basedOn w:val="Normal"/>
    <w:next w:val="Normal"/>
    <w:qFormat/>
    <w:rsid w:val="00EF64D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64D5"/>
    <w:pPr>
      <w:keepNext/>
      <w:spacing w:before="240" w:after="60"/>
      <w:outlineLvl w:val="2"/>
    </w:pPr>
    <w:rPr>
      <w:rFonts w:ascii="Arial" w:hAnsi="Arial" w:cs="Arial"/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F64D5"/>
    <w:pPr>
      <w:widowControl w:val="0"/>
      <w:tabs>
        <w:tab w:val="center" w:pos="4320"/>
        <w:tab w:val="right" w:pos="8640"/>
      </w:tabs>
      <w:autoSpaceDE w:val="0"/>
      <w:autoSpaceDN w:val="0"/>
      <w:outlineLvl w:val="0"/>
    </w:pPr>
    <w:rPr>
      <w:sz w:val="20"/>
      <w:szCs w:val="20"/>
    </w:rPr>
  </w:style>
  <w:style w:type="paragraph" w:styleId="Footer">
    <w:name w:val="footer"/>
    <w:basedOn w:val="Normal"/>
    <w:rsid w:val="00EF64D5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EF64D5"/>
    <w:pPr>
      <w:spacing w:before="120" w:after="120"/>
    </w:pPr>
    <w:rPr>
      <w:b/>
      <w:bCs/>
      <w:sz w:val="20"/>
      <w:szCs w:val="20"/>
    </w:rPr>
  </w:style>
  <w:style w:type="table" w:styleId="TableGrid">
    <w:name w:val="Table Grid"/>
    <w:basedOn w:val="TableNormal"/>
    <w:rsid w:val="00EF6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EF64D5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</w:style>
  <w:style w:type="paragraph" w:customStyle="1" w:styleId="Strikethrough">
    <w:name w:val="Strikethrough"/>
    <w:basedOn w:val="Normal"/>
    <w:link w:val="StrikethroughChar"/>
    <w:rsid w:val="00EF64D5"/>
    <w:rPr>
      <w:rFonts w:ascii="Arial" w:hAnsi="Arial" w:cs="Arial"/>
      <w:strike/>
      <w:color w:val="FF0000"/>
    </w:rPr>
  </w:style>
  <w:style w:type="character" w:customStyle="1" w:styleId="StrikethroughChar">
    <w:name w:val="Strikethrough Char"/>
    <w:basedOn w:val="DefaultParagraphFont"/>
    <w:link w:val="Strikethrough"/>
    <w:rsid w:val="00EF64D5"/>
    <w:rPr>
      <w:rFonts w:ascii="Arial" w:hAnsi="Arial" w:cs="Arial"/>
      <w:strike/>
      <w:color w:val="FF0000"/>
      <w:sz w:val="24"/>
      <w:szCs w:val="24"/>
      <w:lang w:val="en-US" w:eastAsia="en-US" w:bidi="ar-SA"/>
    </w:rPr>
  </w:style>
  <w:style w:type="paragraph" w:customStyle="1" w:styleId="Listlevel2">
    <w:name w:val="List level 2"/>
    <w:basedOn w:val="Normal"/>
    <w:rsid w:val="00EF64D5"/>
    <w:pPr>
      <w:numPr>
        <w:numId w:val="4"/>
      </w:numPr>
      <w:spacing w:line="480" w:lineRule="atLeast"/>
    </w:pPr>
    <w:rPr>
      <w:szCs w:val="20"/>
    </w:rPr>
  </w:style>
  <w:style w:type="character" w:styleId="Hyperlink">
    <w:name w:val="Hyperlink"/>
    <w:basedOn w:val="DefaultParagraphFont"/>
    <w:rsid w:val="00DE4A1E"/>
    <w:rPr>
      <w:color w:val="0000FF"/>
      <w:u w:val="single"/>
    </w:rPr>
  </w:style>
  <w:style w:type="paragraph" w:styleId="BodyText">
    <w:name w:val="Body Text"/>
    <w:basedOn w:val="Normal"/>
    <w:rsid w:val="00DE4A1E"/>
    <w:pPr>
      <w:spacing w:after="12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rsid w:val="006541C9"/>
    <w:pPr>
      <w:tabs>
        <w:tab w:val="right" w:leader="dot" w:pos="9883"/>
      </w:tabs>
      <w:ind w:left="1080" w:hanging="1080"/>
      <w:jc w:val="center"/>
    </w:pPr>
    <w:rPr>
      <w:b/>
    </w:rPr>
  </w:style>
  <w:style w:type="paragraph" w:styleId="TOC3">
    <w:name w:val="toc 3"/>
    <w:basedOn w:val="Normal"/>
    <w:next w:val="Normal"/>
    <w:autoRedefine/>
    <w:semiHidden/>
    <w:rsid w:val="00BA1B62"/>
    <w:pPr>
      <w:ind w:left="480"/>
    </w:pPr>
  </w:style>
  <w:style w:type="table" w:customStyle="1" w:styleId="Style13ptBold">
    <w:name w:val="Style 13 pt Bold"/>
    <w:basedOn w:val="TableNormal"/>
    <w:rsid w:val="00BA1B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E1D4B"/>
  </w:style>
  <w:style w:type="paragraph" w:styleId="DocumentMap">
    <w:name w:val="Document Map"/>
    <w:basedOn w:val="Normal"/>
    <w:semiHidden/>
    <w:rsid w:val="00AE51B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6D20B0"/>
    <w:rPr>
      <w:i/>
      <w:iCs/>
    </w:rPr>
  </w:style>
  <w:style w:type="paragraph" w:styleId="ListParagraph">
    <w:name w:val="List Paragraph"/>
    <w:basedOn w:val="Normal"/>
    <w:uiPriority w:val="34"/>
    <w:qFormat/>
    <w:rsid w:val="00006F27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92221"/>
    <w:pPr>
      <w:spacing w:before="100" w:beforeAutospacing="1" w:after="100" w:afterAutospacing="1"/>
    </w:pPr>
  </w:style>
  <w:style w:type="paragraph" w:customStyle="1" w:styleId="Default">
    <w:name w:val="Default"/>
    <w:rsid w:val="00FD6EB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65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A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76B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B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B63"/>
  </w:style>
  <w:style w:type="paragraph" w:styleId="CommentSubject">
    <w:name w:val="annotation subject"/>
    <w:basedOn w:val="CommentText"/>
    <w:next w:val="CommentText"/>
    <w:link w:val="CommentSubjectChar"/>
    <w:rsid w:val="00A7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6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6852-CCA1-49B1-A3AE-45AF5503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ITSO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Mary Andrus</dc:creator>
  <cp:keywords/>
  <dc:description/>
  <cp:lastModifiedBy>Amy Schneider</cp:lastModifiedBy>
  <cp:revision>2</cp:revision>
  <cp:lastPrinted>2011-07-05T19:23:00Z</cp:lastPrinted>
  <dcterms:created xsi:type="dcterms:W3CDTF">2011-08-24T14:03:00Z</dcterms:created>
  <dcterms:modified xsi:type="dcterms:W3CDTF">2011-08-24T14:03:00Z</dcterms:modified>
</cp:coreProperties>
</file>