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7E" w:rsidRDefault="00AA3E7E">
      <w:pPr>
        <w:jc w:val="center"/>
        <w:outlineLvl w:val="0"/>
        <w:rPr>
          <w:b/>
          <w:sz w:val="28"/>
        </w:rPr>
      </w:pPr>
      <w:r>
        <w:rPr>
          <w:b/>
          <w:sz w:val="28"/>
        </w:rPr>
        <w:t>ANNEX II</w:t>
      </w:r>
    </w:p>
    <w:p w:rsidR="00AA3E7E" w:rsidRDefault="00AA3E7E">
      <w:pPr>
        <w:jc w:val="center"/>
        <w:outlineLvl w:val="0"/>
        <w:rPr>
          <w:sz w:val="28"/>
        </w:rPr>
      </w:pPr>
      <w:r>
        <w:rPr>
          <w:b/>
          <w:sz w:val="28"/>
        </w:rPr>
        <w:t xml:space="preserve">Institutional </w:t>
      </w:r>
      <w:smartTag w:uri="urn:schemas-microsoft-com:office:smarttags" w:element="place">
        <w:smartTag w:uri="urn:schemas-microsoft-com:office:smarttags" w:element="PlaceName">
          <w:r>
            <w:rPr>
              <w:b/>
              <w:sz w:val="28"/>
            </w:rPr>
            <w:t>Capacity</w:t>
          </w:r>
        </w:smartTag>
        <w:r>
          <w:rPr>
            <w:b/>
            <w:sz w:val="28"/>
          </w:rPr>
          <w:t xml:space="preserve"> </w:t>
        </w:r>
        <w:smartTag w:uri="urn:schemas-microsoft-com:office:smarttags" w:element="PlaceType">
          <w:r>
            <w:rPr>
              <w:b/>
              <w:sz w:val="28"/>
            </w:rPr>
            <w:t>Building</w:t>
          </w:r>
        </w:smartTag>
      </w:smartTag>
    </w:p>
    <w:p w:rsidR="00AA3E7E" w:rsidRDefault="00AA3E7E">
      <w:pPr>
        <w:jc w:val="both"/>
        <w:rPr>
          <w:sz w:val="24"/>
        </w:rPr>
      </w:pPr>
    </w:p>
    <w:p w:rsidR="00AA3E7E" w:rsidRDefault="00AA3E7E">
      <w:pPr>
        <w:jc w:val="both"/>
        <w:rPr>
          <w:sz w:val="24"/>
        </w:rPr>
      </w:pPr>
    </w:p>
    <w:p w:rsidR="00606098" w:rsidRDefault="00B4583A" w:rsidP="00FB1C48">
      <w:pPr>
        <w:jc w:val="both"/>
        <w:rPr>
          <w:b/>
          <w:bCs/>
          <w:sz w:val="24"/>
        </w:rPr>
      </w:pPr>
      <w:r>
        <w:rPr>
          <w:sz w:val="24"/>
        </w:rPr>
        <w:t>CAE</w:t>
      </w:r>
      <w:r w:rsidR="00AA3E7E">
        <w:rPr>
          <w:sz w:val="24"/>
        </w:rPr>
        <w:t xml:space="preserve">s </w:t>
      </w:r>
      <w:r w:rsidR="00AA3E7E">
        <w:rPr>
          <w:i/>
          <w:sz w:val="24"/>
          <w:u w:val="single"/>
        </w:rPr>
        <w:t>may, but are not required to</w:t>
      </w:r>
      <w:r w:rsidR="00AA3E7E">
        <w:rPr>
          <w:sz w:val="24"/>
        </w:rPr>
        <w:t xml:space="preserve">, address this section of the solicitation with a separate ANNEX II to their proposals titled “Proposal for Capacity Building.”  </w:t>
      </w:r>
      <w:r w:rsidR="00A85B0A" w:rsidRPr="00953477">
        <w:rPr>
          <w:sz w:val="24"/>
          <w:szCs w:val="24"/>
        </w:rPr>
        <w:t xml:space="preserve">Funds for ANNEX II </w:t>
      </w:r>
      <w:r w:rsidR="00A85B0A">
        <w:rPr>
          <w:sz w:val="24"/>
          <w:szCs w:val="24"/>
        </w:rPr>
        <w:t>may</w:t>
      </w:r>
      <w:r w:rsidR="00A85B0A" w:rsidRPr="00953477">
        <w:rPr>
          <w:sz w:val="24"/>
          <w:szCs w:val="24"/>
        </w:rPr>
        <w:t xml:space="preserve"> be awarded </w:t>
      </w:r>
      <w:r w:rsidR="00A85B0A" w:rsidRPr="00A85B0A">
        <w:rPr>
          <w:sz w:val="24"/>
          <w:szCs w:val="24"/>
          <w:u w:val="single"/>
        </w:rPr>
        <w:t>only if</w:t>
      </w:r>
      <w:r w:rsidR="00A85B0A" w:rsidRPr="00953477">
        <w:rPr>
          <w:sz w:val="24"/>
          <w:szCs w:val="24"/>
        </w:rPr>
        <w:t xml:space="preserve"> the institution submits a qualified basic proposal and/or AN</w:t>
      </w:r>
      <w:r w:rsidR="00A85B0A">
        <w:rPr>
          <w:sz w:val="24"/>
          <w:szCs w:val="24"/>
        </w:rPr>
        <w:t>NEX I as appropriate</w:t>
      </w:r>
      <w:r w:rsidR="00A85B0A" w:rsidRPr="00953477">
        <w:rPr>
          <w:sz w:val="24"/>
          <w:szCs w:val="24"/>
        </w:rPr>
        <w:t>.  Specific projects should be identified and addressed separately.</w:t>
      </w:r>
      <w:r w:rsidR="00A85B0A">
        <w:rPr>
          <w:sz w:val="24"/>
          <w:szCs w:val="24"/>
        </w:rPr>
        <w:t xml:space="preserve"> </w:t>
      </w:r>
      <w:r w:rsidR="00AA3E7E">
        <w:rPr>
          <w:sz w:val="24"/>
        </w:rPr>
        <w:t xml:space="preserve">This submission will be evaluated separately from </w:t>
      </w:r>
      <w:r w:rsidR="00216367">
        <w:rPr>
          <w:sz w:val="24"/>
        </w:rPr>
        <w:t>the CAE’s</w:t>
      </w:r>
      <w:r w:rsidR="00AA3E7E">
        <w:rPr>
          <w:sz w:val="24"/>
        </w:rPr>
        <w:t xml:space="preserve"> basic proposal in response to the broader solicitation. </w:t>
      </w:r>
      <w:r w:rsidR="00216367" w:rsidRPr="00A376F8">
        <w:rPr>
          <w:b/>
          <w:sz w:val="24"/>
        </w:rPr>
        <w:t>While</w:t>
      </w:r>
      <w:r w:rsidR="00216367">
        <w:rPr>
          <w:sz w:val="24"/>
        </w:rPr>
        <w:t xml:space="preserve"> s</w:t>
      </w:r>
      <w:r w:rsidR="00216367">
        <w:rPr>
          <w:b/>
          <w:bCs/>
          <w:sz w:val="24"/>
        </w:rPr>
        <w:t>cholarships will be funded prior to any capacity building</w:t>
      </w:r>
      <w:r w:rsidR="00A376F8">
        <w:rPr>
          <w:b/>
          <w:bCs/>
          <w:sz w:val="24"/>
        </w:rPr>
        <w:t xml:space="preserve">, </w:t>
      </w:r>
      <w:r w:rsidR="00D96F0C">
        <w:rPr>
          <w:b/>
          <w:bCs/>
          <w:sz w:val="24"/>
        </w:rPr>
        <w:t xml:space="preserve">approximately </w:t>
      </w:r>
      <w:r w:rsidR="00D96F0C" w:rsidRPr="00210043">
        <w:rPr>
          <w:b/>
          <w:bCs/>
          <w:sz w:val="24"/>
        </w:rPr>
        <w:t>$</w:t>
      </w:r>
      <w:r w:rsidR="00216367" w:rsidRPr="00CF4D38">
        <w:rPr>
          <w:b/>
          <w:bCs/>
          <w:sz w:val="24"/>
        </w:rPr>
        <w:t>1,000,000</w:t>
      </w:r>
      <w:r w:rsidR="00216367">
        <w:rPr>
          <w:b/>
          <w:bCs/>
          <w:sz w:val="24"/>
        </w:rPr>
        <w:t xml:space="preserve"> will be set aside for capacity building.</w:t>
      </w:r>
      <w:r w:rsidR="00216367" w:rsidDel="00216367">
        <w:rPr>
          <w:b/>
          <w:bCs/>
          <w:sz w:val="24"/>
        </w:rPr>
        <w:t xml:space="preserve"> </w:t>
      </w:r>
    </w:p>
    <w:p w:rsidR="00606098" w:rsidRDefault="00606098" w:rsidP="00A85B0A">
      <w:pPr>
        <w:rPr>
          <w:b/>
          <w:bCs/>
          <w:sz w:val="24"/>
        </w:rPr>
      </w:pPr>
    </w:p>
    <w:p w:rsidR="00AA3E7E" w:rsidRDefault="00C05DED" w:rsidP="00FB1C48">
      <w:pPr>
        <w:jc w:val="both"/>
        <w:rPr>
          <w:sz w:val="24"/>
        </w:rPr>
      </w:pPr>
      <w:r w:rsidRPr="00606098">
        <w:rPr>
          <w:b/>
          <w:bCs/>
          <w:sz w:val="24"/>
        </w:rPr>
        <w:t xml:space="preserve">You may submit one proposal for each of the </w:t>
      </w:r>
      <w:r w:rsidR="00B03936">
        <w:rPr>
          <w:b/>
          <w:bCs/>
          <w:sz w:val="24"/>
        </w:rPr>
        <w:t xml:space="preserve">focus </w:t>
      </w:r>
      <w:r w:rsidRPr="00606098">
        <w:rPr>
          <w:b/>
          <w:bCs/>
          <w:sz w:val="24"/>
        </w:rPr>
        <w:t>areas</w:t>
      </w:r>
      <w:r w:rsidR="00B60AD5">
        <w:rPr>
          <w:b/>
          <w:bCs/>
          <w:sz w:val="24"/>
        </w:rPr>
        <w:t xml:space="preserve"> identified </w:t>
      </w:r>
      <w:r w:rsidR="00ED2F8B">
        <w:rPr>
          <w:b/>
          <w:bCs/>
          <w:sz w:val="24"/>
        </w:rPr>
        <w:t>below</w:t>
      </w:r>
      <w:r w:rsidR="00B03936">
        <w:rPr>
          <w:b/>
          <w:bCs/>
          <w:sz w:val="24"/>
        </w:rPr>
        <w:t>.</w:t>
      </w:r>
      <w:r w:rsidRPr="00606098">
        <w:rPr>
          <w:b/>
          <w:bCs/>
          <w:sz w:val="24"/>
        </w:rPr>
        <w:t xml:space="preserve"> </w:t>
      </w:r>
      <w:r w:rsidR="00B03936">
        <w:rPr>
          <w:b/>
          <w:bCs/>
          <w:sz w:val="24"/>
        </w:rPr>
        <w:t>The total proposal submission per CAE should not exceed $100,000.  As a result, all</w:t>
      </w:r>
      <w:r w:rsidRPr="00606098">
        <w:rPr>
          <w:b/>
          <w:bCs/>
          <w:sz w:val="24"/>
        </w:rPr>
        <w:t xml:space="preserve"> proposal(s) submitted should </w:t>
      </w:r>
      <w:r w:rsidR="00B03936">
        <w:rPr>
          <w:b/>
          <w:bCs/>
          <w:sz w:val="24"/>
        </w:rPr>
        <w:t xml:space="preserve">clearly articulate the expected benefits and impact </w:t>
      </w:r>
      <w:r w:rsidRPr="00606098">
        <w:rPr>
          <w:b/>
          <w:bCs/>
          <w:sz w:val="24"/>
        </w:rPr>
        <w:t xml:space="preserve">to </w:t>
      </w:r>
      <w:r w:rsidR="00B03936">
        <w:rPr>
          <w:b/>
          <w:bCs/>
          <w:sz w:val="24"/>
        </w:rPr>
        <w:t xml:space="preserve">the Department of Defense (DoD) and/or </w:t>
      </w:r>
      <w:r w:rsidRPr="00606098">
        <w:rPr>
          <w:b/>
          <w:bCs/>
          <w:sz w:val="24"/>
        </w:rPr>
        <w:t xml:space="preserve">the </w:t>
      </w:r>
      <w:r w:rsidR="00B03936">
        <w:rPr>
          <w:b/>
          <w:bCs/>
          <w:sz w:val="24"/>
        </w:rPr>
        <w:t xml:space="preserve">broader </w:t>
      </w:r>
      <w:r w:rsidRPr="00606098">
        <w:rPr>
          <w:b/>
          <w:bCs/>
          <w:sz w:val="24"/>
        </w:rPr>
        <w:t xml:space="preserve">community. </w:t>
      </w:r>
    </w:p>
    <w:p w:rsidR="005A40A9" w:rsidRDefault="005A40A9" w:rsidP="00216367">
      <w:pPr>
        <w:jc w:val="both"/>
      </w:pPr>
    </w:p>
    <w:p w:rsidR="00AA3E7E" w:rsidRDefault="00AA3E7E">
      <w:pPr>
        <w:jc w:val="both"/>
        <w:outlineLvl w:val="0"/>
        <w:rPr>
          <w:b/>
          <w:sz w:val="24"/>
        </w:rPr>
      </w:pPr>
      <w:r>
        <w:rPr>
          <w:b/>
          <w:sz w:val="24"/>
        </w:rPr>
        <w:t>I.  OVERVIEW</w:t>
      </w:r>
    </w:p>
    <w:p w:rsidR="00333D0A" w:rsidRDefault="00AA3E7E" w:rsidP="00FB1C48">
      <w:pPr>
        <w:pStyle w:val="BodyTextIndent"/>
        <w:autoSpaceDE/>
        <w:autoSpaceDN/>
        <w:rPr>
          <w:szCs w:val="20"/>
        </w:rPr>
      </w:pPr>
      <w:r>
        <w:rPr>
          <w:szCs w:val="20"/>
        </w:rPr>
        <w:t xml:space="preserve">In accordance with 10 U.S.C. 2200b, CAEs may request modest support for building the institution’s capacity for research and education in information assurance. </w:t>
      </w:r>
      <w:r w:rsidR="00333D0A">
        <w:rPr>
          <w:szCs w:val="20"/>
        </w:rPr>
        <w:t xml:space="preserve">The DoD has determined </w:t>
      </w:r>
      <w:r w:rsidR="00333D0A" w:rsidRPr="00E3112E">
        <w:rPr>
          <w:b/>
          <w:szCs w:val="20"/>
        </w:rPr>
        <w:t xml:space="preserve">two </w:t>
      </w:r>
      <w:r w:rsidR="007F21E4">
        <w:rPr>
          <w:b/>
          <w:szCs w:val="20"/>
        </w:rPr>
        <w:t>f</w:t>
      </w:r>
      <w:r w:rsidR="00333D0A" w:rsidRPr="00E3112E">
        <w:rPr>
          <w:b/>
          <w:szCs w:val="20"/>
        </w:rPr>
        <w:t>ocus areas</w:t>
      </w:r>
      <w:r w:rsidR="00333D0A">
        <w:rPr>
          <w:szCs w:val="20"/>
        </w:rPr>
        <w:t xml:space="preserve"> for this opportunity</w:t>
      </w:r>
      <w:r w:rsidR="00E3112E">
        <w:rPr>
          <w:szCs w:val="20"/>
        </w:rPr>
        <w:t xml:space="preserve">. </w:t>
      </w:r>
      <w:r w:rsidR="000A02B0">
        <w:rPr>
          <w:szCs w:val="20"/>
        </w:rPr>
        <w:t xml:space="preserve"> Proposals</w:t>
      </w:r>
      <w:r w:rsidR="00E3112E">
        <w:rPr>
          <w:szCs w:val="20"/>
        </w:rPr>
        <w:t xml:space="preserve"> </w:t>
      </w:r>
      <w:r w:rsidR="000A02B0">
        <w:rPr>
          <w:szCs w:val="20"/>
        </w:rPr>
        <w:t xml:space="preserve">submitted </w:t>
      </w:r>
      <w:r w:rsidR="00E3112E">
        <w:rPr>
          <w:szCs w:val="20"/>
        </w:rPr>
        <w:t xml:space="preserve">should </w:t>
      </w:r>
      <w:r w:rsidR="000A02B0">
        <w:rPr>
          <w:szCs w:val="20"/>
        </w:rPr>
        <w:t xml:space="preserve">reflect </w:t>
      </w:r>
      <w:r w:rsidR="00E3112E">
        <w:rPr>
          <w:szCs w:val="20"/>
        </w:rPr>
        <w:t xml:space="preserve">opportunities for the CAE students to participate and gain additional </w:t>
      </w:r>
      <w:r w:rsidR="009A3D92">
        <w:rPr>
          <w:szCs w:val="20"/>
        </w:rPr>
        <w:t>understanding of IA, IT and Cyber</w:t>
      </w:r>
      <w:r w:rsidR="00B60AD5">
        <w:rPr>
          <w:szCs w:val="20"/>
        </w:rPr>
        <w:t>security</w:t>
      </w:r>
      <w:r w:rsidR="009A3D92">
        <w:rPr>
          <w:szCs w:val="20"/>
        </w:rPr>
        <w:t xml:space="preserve"> as it relates to the extended community and DoD. </w:t>
      </w:r>
      <w:r w:rsidR="000A02B0">
        <w:rPr>
          <w:szCs w:val="20"/>
        </w:rPr>
        <w:t xml:space="preserve"> </w:t>
      </w:r>
      <w:r w:rsidR="009A3D92">
        <w:rPr>
          <w:szCs w:val="20"/>
        </w:rPr>
        <w:t xml:space="preserve">The </w:t>
      </w:r>
      <w:r w:rsidR="000A02B0">
        <w:rPr>
          <w:szCs w:val="20"/>
        </w:rPr>
        <w:t xml:space="preserve">two focus </w:t>
      </w:r>
      <w:r w:rsidR="009A3D92">
        <w:rPr>
          <w:szCs w:val="20"/>
        </w:rPr>
        <w:t>areas are:</w:t>
      </w:r>
    </w:p>
    <w:p w:rsidR="00DE3B2F" w:rsidRDefault="00606098" w:rsidP="00DE3B2F">
      <w:pPr>
        <w:pStyle w:val="BodyTextIndent"/>
        <w:numPr>
          <w:ilvl w:val="0"/>
          <w:numId w:val="43"/>
        </w:numPr>
        <w:autoSpaceDE/>
        <w:autoSpaceDN/>
        <w:rPr>
          <w:szCs w:val="20"/>
        </w:rPr>
      </w:pPr>
      <w:r w:rsidRPr="00606098">
        <w:rPr>
          <w:b/>
          <w:color w:val="006600"/>
          <w:szCs w:val="20"/>
          <w:u w:val="single"/>
        </w:rPr>
        <w:t>Outreach to Academia</w:t>
      </w:r>
      <w:r w:rsidR="00333D0A" w:rsidRPr="00DE3B2F">
        <w:rPr>
          <w:b/>
          <w:szCs w:val="20"/>
        </w:rPr>
        <w:t>:</w:t>
      </w:r>
      <w:r w:rsidR="00333D0A" w:rsidRPr="00333D0A">
        <w:rPr>
          <w:szCs w:val="20"/>
        </w:rPr>
        <w:t xml:space="preserve"> </w:t>
      </w:r>
      <w:r w:rsidR="00B03936">
        <w:rPr>
          <w:szCs w:val="20"/>
        </w:rPr>
        <w:t xml:space="preserve"> </w:t>
      </w:r>
      <w:r w:rsidR="00333D0A" w:rsidRPr="00333D0A">
        <w:rPr>
          <w:szCs w:val="20"/>
        </w:rPr>
        <w:t>Middle and High Schools, Technical and Community Colleges,</w:t>
      </w:r>
      <w:r w:rsidR="00DE3B2F">
        <w:rPr>
          <w:szCs w:val="20"/>
        </w:rPr>
        <w:t xml:space="preserve"> and</w:t>
      </w:r>
      <w:r w:rsidR="009D5E04">
        <w:rPr>
          <w:szCs w:val="20"/>
        </w:rPr>
        <w:t xml:space="preserve">/or Minority </w:t>
      </w:r>
      <w:r w:rsidR="00DE3B2F">
        <w:rPr>
          <w:szCs w:val="20"/>
        </w:rPr>
        <w:t>Institutions</w:t>
      </w:r>
      <w:r w:rsidR="009D5E04">
        <w:rPr>
          <w:rStyle w:val="FootnoteReference"/>
          <w:szCs w:val="20"/>
        </w:rPr>
        <w:footnoteReference w:id="1"/>
      </w:r>
      <w:r w:rsidR="00333D0A" w:rsidRPr="00333D0A">
        <w:rPr>
          <w:szCs w:val="20"/>
        </w:rPr>
        <w:t xml:space="preserve">. </w:t>
      </w:r>
    </w:p>
    <w:p w:rsidR="00D9678B" w:rsidRDefault="00333D0A" w:rsidP="00DE3B2F">
      <w:pPr>
        <w:pStyle w:val="BodyTextIndent"/>
        <w:numPr>
          <w:ilvl w:val="1"/>
          <w:numId w:val="42"/>
        </w:numPr>
        <w:autoSpaceDE/>
        <w:autoSpaceDN/>
        <w:rPr>
          <w:szCs w:val="20"/>
        </w:rPr>
      </w:pPr>
      <w:r w:rsidRPr="00DE3B2F">
        <w:rPr>
          <w:b/>
          <w:szCs w:val="20"/>
        </w:rPr>
        <w:t>Purpose:</w:t>
      </w:r>
      <w:r w:rsidRPr="00333D0A">
        <w:rPr>
          <w:szCs w:val="20"/>
        </w:rPr>
        <w:t xml:space="preserve"> To increase the pipeline of students in the areas of IA, IT, and Cybersecurity. The goal should be to build stronger </w:t>
      </w:r>
      <w:r w:rsidR="00B60AD5">
        <w:rPr>
          <w:szCs w:val="20"/>
        </w:rPr>
        <w:t xml:space="preserve">education </w:t>
      </w:r>
      <w:r w:rsidRPr="00333D0A">
        <w:rPr>
          <w:szCs w:val="20"/>
        </w:rPr>
        <w:t xml:space="preserve">programs in these areas to advance the state of the nation </w:t>
      </w:r>
      <w:r w:rsidR="00B60AD5">
        <w:rPr>
          <w:szCs w:val="20"/>
        </w:rPr>
        <w:t xml:space="preserve">and to grow and expand the pool of qualified candidates for future </w:t>
      </w:r>
      <w:r w:rsidR="00FB1C48">
        <w:rPr>
          <w:szCs w:val="20"/>
        </w:rPr>
        <w:t>employment</w:t>
      </w:r>
      <w:r w:rsidRPr="00333D0A">
        <w:rPr>
          <w:szCs w:val="20"/>
        </w:rPr>
        <w:t xml:space="preserve">. </w:t>
      </w:r>
    </w:p>
    <w:p w:rsidR="00333D0A" w:rsidRDefault="00B60AD5" w:rsidP="00DE3B2F">
      <w:pPr>
        <w:pStyle w:val="BodyTextIndent"/>
        <w:numPr>
          <w:ilvl w:val="1"/>
          <w:numId w:val="42"/>
        </w:numPr>
        <w:autoSpaceDE/>
        <w:autoSpaceDN/>
        <w:rPr>
          <w:szCs w:val="20"/>
        </w:rPr>
      </w:pPr>
      <w:r>
        <w:rPr>
          <w:szCs w:val="20"/>
        </w:rPr>
        <w:t>A</w:t>
      </w:r>
      <w:r w:rsidRPr="00D9678B">
        <w:rPr>
          <w:szCs w:val="20"/>
        </w:rPr>
        <w:t>ctivities</w:t>
      </w:r>
      <w:r w:rsidRPr="00333D0A">
        <w:rPr>
          <w:szCs w:val="20"/>
        </w:rPr>
        <w:t xml:space="preserve"> </w:t>
      </w:r>
      <w:r w:rsidR="00333D0A" w:rsidRPr="00333D0A">
        <w:rPr>
          <w:szCs w:val="20"/>
        </w:rPr>
        <w:t>that may support proposals in this area include:</w:t>
      </w:r>
    </w:p>
    <w:p w:rsidR="00E23F4E" w:rsidRPr="00E23F4E" w:rsidRDefault="00384957" w:rsidP="00DE3B2F">
      <w:pPr>
        <w:pStyle w:val="BodyTextIndent"/>
        <w:numPr>
          <w:ilvl w:val="2"/>
          <w:numId w:val="42"/>
        </w:numPr>
        <w:autoSpaceDE/>
        <w:autoSpaceDN/>
        <w:rPr>
          <w:bCs/>
          <w:iCs/>
        </w:rPr>
      </w:pPr>
      <w:r>
        <w:t xml:space="preserve">Laboratory </w:t>
      </w:r>
      <w:r w:rsidR="00333D0A">
        <w:t>equipment</w:t>
      </w:r>
      <w:r w:rsidR="00E23F4E">
        <w:rPr>
          <w:rStyle w:val="FootnoteReference"/>
        </w:rPr>
        <w:footnoteReference w:id="2"/>
      </w:r>
      <w:r w:rsidR="00D9678B">
        <w:t xml:space="preserve"> purchase and/or</w:t>
      </w:r>
      <w:r w:rsidR="00333D0A">
        <w:t xml:space="preserve"> installation and </w:t>
      </w:r>
      <w:r w:rsidR="00D9678B">
        <w:t xml:space="preserve">lab </w:t>
      </w:r>
      <w:r w:rsidR="00333D0A">
        <w:t xml:space="preserve">exercises </w:t>
      </w:r>
      <w:r w:rsidR="00D9678B">
        <w:t xml:space="preserve">to be provided </w:t>
      </w:r>
      <w:r w:rsidR="00333D0A">
        <w:t xml:space="preserve">at </w:t>
      </w:r>
      <w:r w:rsidR="00D9678B">
        <w:t xml:space="preserve">non-CAE </w:t>
      </w:r>
      <w:r w:rsidR="00333D0A">
        <w:t>institutions</w:t>
      </w:r>
      <w:r w:rsidR="00D9678B">
        <w:t>. These activities would</w:t>
      </w:r>
      <w:r w:rsidR="008745D4">
        <w:t xml:space="preserve"> afford the students from the different academic </w:t>
      </w:r>
      <w:r w:rsidR="00B60AD5">
        <w:t xml:space="preserve">populations </w:t>
      </w:r>
      <w:r w:rsidR="00333D0A">
        <w:t>to gain</w:t>
      </w:r>
      <w:r w:rsidR="00B60AD5">
        <w:t>:</w:t>
      </w:r>
      <w:r w:rsidR="00333D0A">
        <w:t xml:space="preserve"> hands-on experience</w:t>
      </w:r>
      <w:r w:rsidR="008745D4">
        <w:t xml:space="preserve">; a better understanding of the </w:t>
      </w:r>
      <w:r w:rsidR="00B60AD5">
        <w:t xml:space="preserve">IA, IT, Cybersecurity </w:t>
      </w:r>
      <w:r w:rsidR="008745D4">
        <w:t xml:space="preserve">career </w:t>
      </w:r>
      <w:r w:rsidR="00FB1C48">
        <w:t>fields an</w:t>
      </w:r>
      <w:r w:rsidR="00B60AD5">
        <w:t xml:space="preserve"> increased awareness of </w:t>
      </w:r>
      <w:r w:rsidR="008745D4">
        <w:t xml:space="preserve">the </w:t>
      </w:r>
      <w:r w:rsidR="00FB1C48">
        <w:t>potential security</w:t>
      </w:r>
      <w:r w:rsidR="00B60AD5">
        <w:t xml:space="preserve"> </w:t>
      </w:r>
      <w:r w:rsidR="008745D4">
        <w:t>threats and vulnerabilities and</w:t>
      </w:r>
      <w:r w:rsidR="00B60AD5">
        <w:t xml:space="preserve"> knowledge on improving</w:t>
      </w:r>
      <w:r w:rsidR="008745D4">
        <w:t xml:space="preserve"> the security posture for themselves and </w:t>
      </w:r>
      <w:r w:rsidR="00B60AD5">
        <w:t xml:space="preserve">others </w:t>
      </w:r>
      <w:r w:rsidR="008745D4">
        <w:t>around them.</w:t>
      </w:r>
      <w:r w:rsidR="00D9678B">
        <w:t xml:space="preserve"> </w:t>
      </w:r>
      <w:r w:rsidR="008745D4">
        <w:t xml:space="preserve">   </w:t>
      </w:r>
    </w:p>
    <w:p w:rsidR="00DE3B2F" w:rsidRPr="00E23F4E" w:rsidRDefault="00AA3E7E" w:rsidP="00DE3B2F">
      <w:pPr>
        <w:pStyle w:val="BodyTextIndent"/>
        <w:numPr>
          <w:ilvl w:val="2"/>
          <w:numId w:val="42"/>
        </w:numPr>
        <w:autoSpaceDE/>
        <w:autoSpaceDN/>
        <w:rPr>
          <w:bCs/>
          <w:iCs/>
        </w:rPr>
      </w:pPr>
      <w:r w:rsidRPr="00E23F4E">
        <w:rPr>
          <w:bCs/>
          <w:iCs/>
        </w:rPr>
        <w:lastRenderedPageBreak/>
        <w:t>IA curriculum development</w:t>
      </w:r>
      <w:r w:rsidR="00D9678B">
        <w:rPr>
          <w:bCs/>
          <w:iCs/>
        </w:rPr>
        <w:t xml:space="preserve"> for these populations</w:t>
      </w:r>
      <w:r w:rsidRPr="00E23F4E">
        <w:rPr>
          <w:bCs/>
          <w:iCs/>
        </w:rPr>
        <w:t xml:space="preserve">, </w:t>
      </w:r>
    </w:p>
    <w:p w:rsidR="00DE3B2F" w:rsidRPr="00DE3B2F" w:rsidRDefault="00384957" w:rsidP="00DE3B2F">
      <w:pPr>
        <w:pStyle w:val="BodyTextIndent"/>
        <w:numPr>
          <w:ilvl w:val="2"/>
          <w:numId w:val="42"/>
        </w:numPr>
        <w:autoSpaceDE/>
        <w:autoSpaceDN/>
        <w:rPr>
          <w:szCs w:val="20"/>
        </w:rPr>
      </w:pPr>
      <w:r>
        <w:t xml:space="preserve">IA </w:t>
      </w:r>
      <w:r w:rsidRPr="00DE3B2F">
        <w:rPr>
          <w:bCs/>
          <w:iCs/>
        </w:rPr>
        <w:t xml:space="preserve">faculty </w:t>
      </w:r>
      <w:r w:rsidR="00A376F8" w:rsidRPr="00DE3B2F">
        <w:rPr>
          <w:bCs/>
          <w:iCs/>
        </w:rPr>
        <w:t>development</w:t>
      </w:r>
      <w:r w:rsidR="00FE08B7">
        <w:rPr>
          <w:bCs/>
          <w:iCs/>
        </w:rPr>
        <w:t xml:space="preserve">, </w:t>
      </w:r>
      <w:r w:rsidR="00D9678B">
        <w:rPr>
          <w:bCs/>
          <w:iCs/>
        </w:rPr>
        <w:t xml:space="preserve"> </w:t>
      </w:r>
      <w:r w:rsidR="00A376F8" w:rsidRPr="00DE3B2F">
        <w:rPr>
          <w:bCs/>
          <w:iCs/>
        </w:rPr>
        <w:t xml:space="preserve"> and</w:t>
      </w:r>
      <w:r w:rsidR="00AA3E7E" w:rsidRPr="00DE3B2F">
        <w:rPr>
          <w:bCs/>
          <w:iCs/>
        </w:rPr>
        <w:t xml:space="preserve">/or </w:t>
      </w:r>
    </w:p>
    <w:p w:rsidR="00DE3B2F" w:rsidRDefault="00384957" w:rsidP="00DE3B2F">
      <w:pPr>
        <w:pStyle w:val="BodyTextIndent"/>
        <w:numPr>
          <w:ilvl w:val="2"/>
          <w:numId w:val="42"/>
        </w:numPr>
        <w:autoSpaceDE/>
        <w:autoSpaceDN/>
        <w:rPr>
          <w:szCs w:val="20"/>
        </w:rPr>
      </w:pPr>
      <w:r w:rsidRPr="00DE3B2F">
        <w:rPr>
          <w:bCs/>
          <w:iCs/>
        </w:rPr>
        <w:t>Faculty</w:t>
      </w:r>
      <w:r w:rsidR="00AA3E7E" w:rsidRPr="00DE3B2F">
        <w:rPr>
          <w:bCs/>
          <w:iCs/>
        </w:rPr>
        <w:t xml:space="preserve"> and student research in information technology/security </w:t>
      </w:r>
      <w:r w:rsidR="00AA3E7E" w:rsidRPr="00DE3B2F">
        <w:rPr>
          <w:szCs w:val="20"/>
        </w:rPr>
        <w:t xml:space="preserve">in order to develop a strong foundation for an Information Assurance Program. </w:t>
      </w:r>
    </w:p>
    <w:p w:rsidR="00DE3B2F" w:rsidRPr="00606098" w:rsidRDefault="00F6729C" w:rsidP="00D9678B">
      <w:pPr>
        <w:pStyle w:val="BodyTextIndent"/>
        <w:numPr>
          <w:ilvl w:val="0"/>
          <w:numId w:val="43"/>
        </w:numPr>
        <w:autoSpaceDE/>
        <w:autoSpaceDN/>
        <w:rPr>
          <w:szCs w:val="20"/>
        </w:rPr>
      </w:pPr>
      <w:r w:rsidRPr="00606098">
        <w:rPr>
          <w:b/>
          <w:color w:val="CC0099"/>
          <w:szCs w:val="20"/>
          <w:u w:val="single"/>
        </w:rPr>
        <w:t xml:space="preserve">Outreach </w:t>
      </w:r>
      <w:r w:rsidR="00DE3B2F" w:rsidRPr="00606098">
        <w:rPr>
          <w:b/>
          <w:color w:val="CC0099"/>
          <w:szCs w:val="20"/>
          <w:u w:val="single"/>
        </w:rPr>
        <w:t>to the DoD</w:t>
      </w:r>
      <w:r w:rsidR="00BC120B" w:rsidRPr="00BC120B">
        <w:rPr>
          <w:b/>
          <w:color w:val="CC0099"/>
          <w:szCs w:val="20"/>
          <w:u w:val="single"/>
        </w:rPr>
        <w:t>:</w:t>
      </w:r>
      <w:r w:rsidR="00DE3B2F" w:rsidRPr="00606098">
        <w:rPr>
          <w:szCs w:val="20"/>
        </w:rPr>
        <w:t xml:space="preserve"> </w:t>
      </w:r>
      <w:r w:rsidR="00FE08B7">
        <w:rPr>
          <w:szCs w:val="20"/>
        </w:rPr>
        <w:t>S</w:t>
      </w:r>
      <w:r w:rsidRPr="00606098">
        <w:rPr>
          <w:szCs w:val="20"/>
        </w:rPr>
        <w:t>up</w:t>
      </w:r>
      <w:r w:rsidR="009A3D92" w:rsidRPr="00606098">
        <w:rPr>
          <w:szCs w:val="20"/>
        </w:rPr>
        <w:t>port on</w:t>
      </w:r>
      <w:r w:rsidR="00FE08B7">
        <w:rPr>
          <w:szCs w:val="20"/>
        </w:rPr>
        <w:t xml:space="preserve">-going DoD </w:t>
      </w:r>
      <w:r w:rsidR="009A3D92" w:rsidRPr="00606098">
        <w:rPr>
          <w:szCs w:val="20"/>
        </w:rPr>
        <w:t xml:space="preserve"> programs</w:t>
      </w:r>
      <w:r w:rsidR="00FE08B7">
        <w:rPr>
          <w:szCs w:val="20"/>
        </w:rPr>
        <w:t xml:space="preserve"> and </w:t>
      </w:r>
      <w:r w:rsidR="009A3D92" w:rsidRPr="00606098">
        <w:rPr>
          <w:szCs w:val="20"/>
        </w:rPr>
        <w:t xml:space="preserve">projects, </w:t>
      </w:r>
      <w:r w:rsidR="00E3112E" w:rsidRPr="00606098">
        <w:rPr>
          <w:i/>
          <w:szCs w:val="20"/>
        </w:rPr>
        <w:t>strongly encouraging</w:t>
      </w:r>
      <w:r w:rsidR="00DE3B2F" w:rsidRPr="00606098">
        <w:rPr>
          <w:i/>
          <w:szCs w:val="20"/>
        </w:rPr>
        <w:t xml:space="preserve"> CAE student participation</w:t>
      </w:r>
      <w:r w:rsidR="00E3112E" w:rsidRPr="00606098">
        <w:rPr>
          <w:szCs w:val="20"/>
        </w:rPr>
        <w:t>.</w:t>
      </w:r>
    </w:p>
    <w:p w:rsidR="00BC120B" w:rsidRDefault="00DE3B2F" w:rsidP="00BC120B">
      <w:pPr>
        <w:pStyle w:val="BodyTextIndent"/>
        <w:numPr>
          <w:ilvl w:val="0"/>
          <w:numId w:val="47"/>
        </w:numPr>
        <w:autoSpaceDE/>
        <w:autoSpaceDN/>
        <w:rPr>
          <w:szCs w:val="20"/>
        </w:rPr>
      </w:pPr>
      <w:r w:rsidRPr="00DE3B2F">
        <w:rPr>
          <w:b/>
          <w:szCs w:val="20"/>
        </w:rPr>
        <w:t xml:space="preserve">Purpose: </w:t>
      </w:r>
      <w:r w:rsidRPr="00333D0A">
        <w:rPr>
          <w:szCs w:val="20"/>
        </w:rPr>
        <w:t xml:space="preserve">To increase the </w:t>
      </w:r>
      <w:r>
        <w:rPr>
          <w:szCs w:val="20"/>
        </w:rPr>
        <w:t xml:space="preserve">knowledge and skills </w:t>
      </w:r>
      <w:r w:rsidRPr="00333D0A">
        <w:rPr>
          <w:szCs w:val="20"/>
        </w:rPr>
        <w:t>of students</w:t>
      </w:r>
      <w:r w:rsidR="00AD2E61">
        <w:rPr>
          <w:szCs w:val="20"/>
        </w:rPr>
        <w:t xml:space="preserve"> </w:t>
      </w:r>
      <w:r w:rsidRPr="00333D0A">
        <w:rPr>
          <w:szCs w:val="20"/>
        </w:rPr>
        <w:t>in the areas of</w:t>
      </w:r>
      <w:r w:rsidR="00AD2E61">
        <w:rPr>
          <w:szCs w:val="20"/>
        </w:rPr>
        <w:t xml:space="preserve"> </w:t>
      </w:r>
      <w:r w:rsidRPr="00333D0A">
        <w:rPr>
          <w:szCs w:val="20"/>
        </w:rPr>
        <w:t xml:space="preserve">IA, IT, and Cybersecurity. The goals should </w:t>
      </w:r>
      <w:r w:rsidR="00FE08B7">
        <w:rPr>
          <w:szCs w:val="20"/>
        </w:rPr>
        <w:t>include</w:t>
      </w:r>
      <w:r w:rsidR="00E3112E">
        <w:rPr>
          <w:szCs w:val="20"/>
        </w:rPr>
        <w:t xml:space="preserve"> providing students hands-</w:t>
      </w:r>
      <w:r>
        <w:rPr>
          <w:szCs w:val="20"/>
        </w:rPr>
        <w:t>on</w:t>
      </w:r>
      <w:r w:rsidR="00FE08B7">
        <w:rPr>
          <w:szCs w:val="20"/>
        </w:rPr>
        <w:t>, real-world</w:t>
      </w:r>
      <w:r>
        <w:rPr>
          <w:szCs w:val="20"/>
        </w:rPr>
        <w:t xml:space="preserve"> opportunities</w:t>
      </w:r>
      <w:r w:rsidR="00E3112E">
        <w:rPr>
          <w:szCs w:val="20"/>
        </w:rPr>
        <w:t>,</w:t>
      </w:r>
      <w:r w:rsidR="00AD2E61">
        <w:rPr>
          <w:szCs w:val="20"/>
        </w:rPr>
        <w:t xml:space="preserve"> while </w:t>
      </w:r>
      <w:r>
        <w:rPr>
          <w:szCs w:val="20"/>
        </w:rPr>
        <w:t>improv</w:t>
      </w:r>
      <w:r w:rsidR="00AD2E61">
        <w:rPr>
          <w:szCs w:val="20"/>
        </w:rPr>
        <w:t>ing</w:t>
      </w:r>
      <w:r w:rsidR="00FE08B7">
        <w:rPr>
          <w:szCs w:val="20"/>
        </w:rPr>
        <w:t xml:space="preserve"> existing</w:t>
      </w:r>
      <w:r>
        <w:rPr>
          <w:szCs w:val="20"/>
        </w:rPr>
        <w:t xml:space="preserve"> DoD programs and </w:t>
      </w:r>
      <w:r w:rsidR="00FE08B7">
        <w:rPr>
          <w:szCs w:val="20"/>
        </w:rPr>
        <w:t>projects</w:t>
      </w:r>
      <w:r w:rsidR="00AD2E61">
        <w:rPr>
          <w:szCs w:val="20"/>
        </w:rPr>
        <w:t xml:space="preserve">. </w:t>
      </w:r>
      <w:r w:rsidRPr="00333D0A">
        <w:rPr>
          <w:szCs w:val="20"/>
        </w:rPr>
        <w:t>Activities that may support proposals in this area include</w:t>
      </w:r>
      <w:r w:rsidR="00AD2E61">
        <w:rPr>
          <w:szCs w:val="20"/>
        </w:rPr>
        <w:t xml:space="preserve"> (</w:t>
      </w:r>
      <w:r w:rsidR="00FE08B7">
        <w:rPr>
          <w:szCs w:val="20"/>
        </w:rPr>
        <w:t xml:space="preserve">but are </w:t>
      </w:r>
      <w:r w:rsidR="00AD2E61">
        <w:rPr>
          <w:szCs w:val="20"/>
        </w:rPr>
        <w:t>not limited to)</w:t>
      </w:r>
      <w:r w:rsidRPr="00333D0A">
        <w:rPr>
          <w:szCs w:val="20"/>
        </w:rPr>
        <w:t>:</w:t>
      </w:r>
    </w:p>
    <w:p w:rsidR="00AD2E61" w:rsidRPr="00F6729C" w:rsidRDefault="00F6729C" w:rsidP="00AD2E61">
      <w:pPr>
        <w:pStyle w:val="BodyTextIndent"/>
        <w:numPr>
          <w:ilvl w:val="2"/>
          <w:numId w:val="42"/>
        </w:numPr>
        <w:autoSpaceDE/>
        <w:autoSpaceDN/>
        <w:rPr>
          <w:szCs w:val="20"/>
        </w:rPr>
      </w:pPr>
      <w:r>
        <w:rPr>
          <w:szCs w:val="20"/>
        </w:rPr>
        <w:t>Outreach</w:t>
      </w:r>
      <w:r w:rsidR="00E3112E">
        <w:rPr>
          <w:szCs w:val="20"/>
        </w:rPr>
        <w:t xml:space="preserve"> </w:t>
      </w:r>
      <w:r w:rsidR="00FE08B7">
        <w:rPr>
          <w:szCs w:val="20"/>
        </w:rPr>
        <w:t xml:space="preserve">to </w:t>
      </w:r>
      <w:r w:rsidR="00AD2E61" w:rsidRPr="00F6729C">
        <w:rPr>
          <w:szCs w:val="20"/>
        </w:rPr>
        <w:t>DoD organizations and installations</w:t>
      </w:r>
      <w:r w:rsidR="00E3112E">
        <w:rPr>
          <w:szCs w:val="20"/>
        </w:rPr>
        <w:t xml:space="preserve"> in the area of </w:t>
      </w:r>
      <w:r w:rsidR="00E3112E" w:rsidRPr="00E3112E">
        <w:rPr>
          <w:szCs w:val="20"/>
        </w:rPr>
        <w:t xml:space="preserve"> </w:t>
      </w:r>
      <w:r w:rsidR="00FE08B7">
        <w:rPr>
          <w:szCs w:val="20"/>
        </w:rPr>
        <w:t>e</w:t>
      </w:r>
      <w:r w:rsidR="00FE08B7" w:rsidRPr="00F6729C">
        <w:rPr>
          <w:szCs w:val="20"/>
        </w:rPr>
        <w:t>xercise</w:t>
      </w:r>
      <w:r w:rsidR="00FE08B7">
        <w:rPr>
          <w:szCs w:val="20"/>
        </w:rPr>
        <w:t>s</w:t>
      </w:r>
      <w:r w:rsidR="00FE08B7" w:rsidRPr="00F6729C">
        <w:rPr>
          <w:szCs w:val="20"/>
        </w:rPr>
        <w:t xml:space="preserve"> </w:t>
      </w:r>
      <w:r w:rsidR="00E3112E" w:rsidRPr="00F6729C">
        <w:rPr>
          <w:szCs w:val="20"/>
        </w:rPr>
        <w:t xml:space="preserve">and </w:t>
      </w:r>
      <w:r w:rsidR="00FE08B7">
        <w:rPr>
          <w:szCs w:val="20"/>
        </w:rPr>
        <w:t>l</w:t>
      </w:r>
      <w:r w:rsidR="00FE08B7" w:rsidRPr="00F6729C">
        <w:rPr>
          <w:szCs w:val="20"/>
        </w:rPr>
        <w:t>ab</w:t>
      </w:r>
      <w:r w:rsidR="00FE08B7">
        <w:rPr>
          <w:szCs w:val="20"/>
        </w:rPr>
        <w:t xml:space="preserve">s that </w:t>
      </w:r>
      <w:r w:rsidR="00E3112E">
        <w:rPr>
          <w:szCs w:val="20"/>
        </w:rPr>
        <w:t xml:space="preserve">improve their ability to train and educate their </w:t>
      </w:r>
      <w:r w:rsidR="00FE08B7">
        <w:rPr>
          <w:szCs w:val="20"/>
        </w:rPr>
        <w:t xml:space="preserve">IA/IT and Cybersecurity </w:t>
      </w:r>
      <w:r w:rsidR="00E3112E">
        <w:rPr>
          <w:szCs w:val="20"/>
        </w:rPr>
        <w:t>workforce</w:t>
      </w:r>
      <w:r w:rsidR="00AD2E61" w:rsidRPr="00F6729C">
        <w:rPr>
          <w:szCs w:val="20"/>
        </w:rPr>
        <w:t>;</w:t>
      </w:r>
    </w:p>
    <w:p w:rsidR="00AD2E61" w:rsidRDefault="00F6729C" w:rsidP="00AD2E61">
      <w:pPr>
        <w:pStyle w:val="BodyTextIndent"/>
        <w:numPr>
          <w:ilvl w:val="2"/>
          <w:numId w:val="42"/>
        </w:numPr>
        <w:autoSpaceDE/>
        <w:autoSpaceDN/>
        <w:rPr>
          <w:szCs w:val="20"/>
        </w:rPr>
      </w:pPr>
      <w:r>
        <w:rPr>
          <w:szCs w:val="20"/>
        </w:rPr>
        <w:t xml:space="preserve">Outreach to </w:t>
      </w:r>
      <w:r w:rsidR="00FE08B7">
        <w:rPr>
          <w:szCs w:val="20"/>
        </w:rPr>
        <w:t xml:space="preserve">the DoD </w:t>
      </w:r>
      <w:r w:rsidR="00AD2E61">
        <w:rPr>
          <w:szCs w:val="20"/>
        </w:rPr>
        <w:t>Wounded Warrior</w:t>
      </w:r>
      <w:r w:rsidR="00FE08B7">
        <w:rPr>
          <w:szCs w:val="20"/>
        </w:rPr>
        <w:t>s</w:t>
      </w:r>
      <w:r w:rsidR="00AD2E61">
        <w:rPr>
          <w:szCs w:val="20"/>
        </w:rPr>
        <w:t xml:space="preserve"> and returning veterans organizations and programs, which help transition </w:t>
      </w:r>
      <w:r w:rsidR="00FE08B7">
        <w:rPr>
          <w:szCs w:val="20"/>
        </w:rPr>
        <w:t xml:space="preserve">military employees </w:t>
      </w:r>
      <w:r w:rsidR="00AD2E61">
        <w:rPr>
          <w:szCs w:val="20"/>
        </w:rPr>
        <w:t xml:space="preserve">to non-military positions </w:t>
      </w:r>
      <w:r w:rsidR="00FE08B7">
        <w:rPr>
          <w:szCs w:val="20"/>
        </w:rPr>
        <w:t xml:space="preserve">through training and education is the </w:t>
      </w:r>
      <w:r>
        <w:rPr>
          <w:szCs w:val="20"/>
        </w:rPr>
        <w:t>IA, IT and Cyber</w:t>
      </w:r>
      <w:r w:rsidR="00FE08B7">
        <w:rPr>
          <w:szCs w:val="20"/>
        </w:rPr>
        <w:t>security fields.</w:t>
      </w:r>
      <w:r w:rsidR="00AD2E61">
        <w:rPr>
          <w:szCs w:val="20"/>
        </w:rPr>
        <w:t>.</w:t>
      </w:r>
    </w:p>
    <w:p w:rsidR="00AD2E61" w:rsidRPr="00E3112E" w:rsidRDefault="00F6729C" w:rsidP="00E3112E">
      <w:pPr>
        <w:pStyle w:val="BodyTextIndent"/>
        <w:numPr>
          <w:ilvl w:val="2"/>
          <w:numId w:val="42"/>
        </w:numPr>
        <w:autoSpaceDE/>
        <w:autoSpaceDN/>
        <w:rPr>
          <w:szCs w:val="20"/>
        </w:rPr>
      </w:pPr>
      <w:r>
        <w:rPr>
          <w:szCs w:val="20"/>
        </w:rPr>
        <w:t>Support to the National Guard</w:t>
      </w:r>
      <w:r w:rsidR="00E3112E">
        <w:rPr>
          <w:szCs w:val="20"/>
        </w:rPr>
        <w:t xml:space="preserve"> Bureau to improve their ability to train and educate their </w:t>
      </w:r>
      <w:r w:rsidR="00FE08B7">
        <w:rPr>
          <w:szCs w:val="20"/>
        </w:rPr>
        <w:t xml:space="preserve">IA/IT and Cybersecurity </w:t>
      </w:r>
      <w:r w:rsidR="00E3112E">
        <w:rPr>
          <w:szCs w:val="20"/>
        </w:rPr>
        <w:t>workforce.</w:t>
      </w:r>
    </w:p>
    <w:p w:rsidR="00BC120B" w:rsidRDefault="00E3112E" w:rsidP="00BC120B">
      <w:pPr>
        <w:pStyle w:val="BodyTextIndent"/>
        <w:numPr>
          <w:ilvl w:val="0"/>
          <w:numId w:val="47"/>
        </w:numPr>
        <w:autoSpaceDE/>
        <w:autoSpaceDN/>
        <w:rPr>
          <w:szCs w:val="20"/>
        </w:rPr>
      </w:pPr>
      <w:r w:rsidRPr="00333D0A">
        <w:rPr>
          <w:szCs w:val="20"/>
        </w:rPr>
        <w:t>Activities that may support proposals in this area include:</w:t>
      </w:r>
    </w:p>
    <w:p w:rsidR="00E3112E" w:rsidRPr="00D96F0C" w:rsidRDefault="00E3112E" w:rsidP="00E3112E">
      <w:pPr>
        <w:numPr>
          <w:ilvl w:val="2"/>
          <w:numId w:val="42"/>
        </w:numPr>
        <w:autoSpaceDE w:val="0"/>
        <w:autoSpaceDN w:val="0"/>
        <w:adjustRightInd w:val="0"/>
        <w:rPr>
          <w:sz w:val="24"/>
          <w:szCs w:val="24"/>
        </w:rPr>
      </w:pPr>
      <w:r w:rsidRPr="00D96F0C">
        <w:rPr>
          <w:sz w:val="24"/>
          <w:szCs w:val="24"/>
        </w:rPr>
        <w:t>Faculty Development:  Provide experiential learning opportunities for IA faculty and stude</w:t>
      </w:r>
      <w:r w:rsidR="00D33D78">
        <w:rPr>
          <w:sz w:val="24"/>
          <w:szCs w:val="24"/>
        </w:rPr>
        <w:t xml:space="preserve">nts (i.e., hands-on training </w:t>
      </w:r>
      <w:r w:rsidR="00D33D78" w:rsidRPr="00606098">
        <w:rPr>
          <w:sz w:val="24"/>
          <w:szCs w:val="24"/>
        </w:rPr>
        <w:t xml:space="preserve">in the appropriate academic </w:t>
      </w:r>
      <w:r w:rsidRPr="00606098">
        <w:rPr>
          <w:sz w:val="24"/>
          <w:szCs w:val="24"/>
        </w:rPr>
        <w:t xml:space="preserve">topics </w:t>
      </w:r>
      <w:r w:rsidR="00D33D78" w:rsidRPr="00606098">
        <w:rPr>
          <w:sz w:val="24"/>
          <w:szCs w:val="24"/>
        </w:rPr>
        <w:t xml:space="preserve">identified in Section II. </w:t>
      </w:r>
      <w:r w:rsidR="00B03936">
        <w:rPr>
          <w:sz w:val="24"/>
          <w:szCs w:val="24"/>
        </w:rPr>
        <w:t xml:space="preserve"> </w:t>
      </w:r>
      <w:r w:rsidR="00D33D78" w:rsidRPr="00606098">
        <w:rPr>
          <w:sz w:val="24"/>
          <w:szCs w:val="24"/>
        </w:rPr>
        <w:t>Terminology and/or</w:t>
      </w:r>
      <w:r w:rsidR="00D33D78">
        <w:rPr>
          <w:sz w:val="24"/>
          <w:szCs w:val="24"/>
        </w:rPr>
        <w:t xml:space="preserve"> </w:t>
      </w:r>
      <w:r w:rsidRPr="00D96F0C">
        <w:rPr>
          <w:sz w:val="24"/>
          <w:szCs w:val="24"/>
        </w:rPr>
        <w:t xml:space="preserve">including ethical hacking, SCADA, penetration testing, </w:t>
      </w:r>
      <w:r w:rsidR="00E23F4E">
        <w:rPr>
          <w:sz w:val="24"/>
          <w:szCs w:val="24"/>
        </w:rPr>
        <w:t xml:space="preserve">digital forensics </w:t>
      </w:r>
      <w:r w:rsidRPr="00D96F0C">
        <w:rPr>
          <w:sz w:val="24"/>
          <w:szCs w:val="24"/>
        </w:rPr>
        <w:t xml:space="preserve">and social engineering); </w:t>
      </w:r>
      <w:r w:rsidR="00FE08B7">
        <w:rPr>
          <w:sz w:val="24"/>
          <w:szCs w:val="24"/>
        </w:rPr>
        <w:t>d</w:t>
      </w:r>
      <w:r w:rsidR="00FE08B7" w:rsidRPr="00D96F0C">
        <w:rPr>
          <w:sz w:val="24"/>
          <w:szCs w:val="24"/>
        </w:rPr>
        <w:t xml:space="preserve">evelop </w:t>
      </w:r>
      <w:r w:rsidRPr="00D96F0C">
        <w:rPr>
          <w:sz w:val="24"/>
          <w:szCs w:val="24"/>
        </w:rPr>
        <w:t>scenario-based exercises and simulation tools</w:t>
      </w:r>
      <w:r>
        <w:rPr>
          <w:sz w:val="24"/>
          <w:szCs w:val="24"/>
        </w:rPr>
        <w:t>.</w:t>
      </w:r>
      <w:r w:rsidRPr="00D96F0C">
        <w:rPr>
          <w:sz w:val="24"/>
          <w:szCs w:val="24"/>
        </w:rPr>
        <w:t xml:space="preserve"> </w:t>
      </w:r>
    </w:p>
    <w:p w:rsidR="00E3112E" w:rsidRPr="00D96F0C" w:rsidRDefault="00E3112E" w:rsidP="00E3112E">
      <w:pPr>
        <w:numPr>
          <w:ilvl w:val="2"/>
          <w:numId w:val="42"/>
        </w:numPr>
        <w:autoSpaceDE w:val="0"/>
        <w:autoSpaceDN w:val="0"/>
        <w:adjustRightInd w:val="0"/>
        <w:rPr>
          <w:sz w:val="24"/>
          <w:szCs w:val="24"/>
        </w:rPr>
      </w:pPr>
      <w:r w:rsidRPr="00D96F0C">
        <w:rPr>
          <w:sz w:val="24"/>
          <w:szCs w:val="24"/>
        </w:rPr>
        <w:t>Lab/Technology Development:  Provide labs and equipment that may be accessible by other departments and institutions (i.e., to test software</w:t>
      </w:r>
      <w:r w:rsidR="00B03936">
        <w:rPr>
          <w:sz w:val="24"/>
          <w:szCs w:val="24"/>
        </w:rPr>
        <w:t xml:space="preserve"> and/or provide hands-on instruction</w:t>
      </w:r>
      <w:r w:rsidRPr="00D96F0C">
        <w:rPr>
          <w:sz w:val="24"/>
          <w:szCs w:val="24"/>
        </w:rPr>
        <w:t xml:space="preserve">) </w:t>
      </w:r>
    </w:p>
    <w:p w:rsidR="00DE3B2F" w:rsidRPr="00D9678B" w:rsidRDefault="00E3112E" w:rsidP="00D9678B">
      <w:pPr>
        <w:numPr>
          <w:ilvl w:val="2"/>
          <w:numId w:val="42"/>
        </w:numPr>
        <w:autoSpaceDE w:val="0"/>
        <w:autoSpaceDN w:val="0"/>
        <w:adjustRightInd w:val="0"/>
        <w:rPr>
          <w:sz w:val="24"/>
          <w:szCs w:val="24"/>
        </w:rPr>
      </w:pPr>
      <w:r w:rsidRPr="00D96F0C">
        <w:rPr>
          <w:sz w:val="24"/>
          <w:szCs w:val="24"/>
        </w:rPr>
        <w:t>Curriculum Development:  Develop curriculum and toolsets for critical IA topics such as: cybersecurity, secure programming, SCADA, and ethical hacking</w:t>
      </w:r>
      <w:r>
        <w:rPr>
          <w:sz w:val="24"/>
          <w:szCs w:val="24"/>
        </w:rPr>
        <w:t>,</w:t>
      </w:r>
      <w:r w:rsidRPr="00D96F0C">
        <w:rPr>
          <w:sz w:val="24"/>
          <w:szCs w:val="24"/>
        </w:rPr>
        <w:t xml:space="preserve"> that may be downloaded or offered as shared modules; </w:t>
      </w:r>
      <w:r w:rsidR="00FE08B7">
        <w:rPr>
          <w:sz w:val="24"/>
          <w:szCs w:val="24"/>
        </w:rPr>
        <w:t>d</w:t>
      </w:r>
      <w:r w:rsidR="00FE08B7" w:rsidRPr="00D96F0C">
        <w:rPr>
          <w:sz w:val="24"/>
          <w:szCs w:val="24"/>
        </w:rPr>
        <w:t xml:space="preserve">evelop </w:t>
      </w:r>
      <w:r w:rsidRPr="00D96F0C">
        <w:rPr>
          <w:sz w:val="24"/>
          <w:szCs w:val="24"/>
        </w:rPr>
        <w:t xml:space="preserve">a security awareness module for cross-departmental and community use. </w:t>
      </w:r>
    </w:p>
    <w:p w:rsidR="00D96F0C" w:rsidRDefault="00D96F0C" w:rsidP="00D96F0C">
      <w:pPr>
        <w:autoSpaceDE w:val="0"/>
        <w:autoSpaceDN w:val="0"/>
        <w:adjustRightInd w:val="0"/>
        <w:rPr>
          <w:rFonts w:ascii="Courier New" w:hAnsi="Courier New" w:cs="Courier New"/>
        </w:rPr>
      </w:pPr>
    </w:p>
    <w:p w:rsidR="00AA3E7E" w:rsidRPr="001A6089" w:rsidRDefault="00AA3E7E" w:rsidP="00A376F8">
      <w:pPr>
        <w:rPr>
          <w:rStyle w:val="a"/>
          <w:color w:val="000000"/>
          <w:sz w:val="24"/>
          <w:szCs w:val="24"/>
        </w:rPr>
      </w:pPr>
    </w:p>
    <w:p w:rsidR="00B57F6F" w:rsidRDefault="00AA3E7E" w:rsidP="00B57F6F">
      <w:pPr>
        <w:pStyle w:val="BodyTextIndent"/>
        <w:numPr>
          <w:ilvl w:val="0"/>
          <w:numId w:val="43"/>
        </w:numPr>
        <w:autoSpaceDE/>
        <w:autoSpaceDN/>
        <w:rPr>
          <w:szCs w:val="20"/>
        </w:rPr>
      </w:pPr>
      <w:r>
        <w:rPr>
          <w:u w:val="single"/>
        </w:rPr>
        <w:t>ANNEX II Technical Proposals</w:t>
      </w:r>
      <w:r>
        <w:t xml:space="preserve">: </w:t>
      </w:r>
      <w:r w:rsidR="00606098">
        <w:t>(See Template</w:t>
      </w:r>
      <w:r w:rsidR="00FB1C48">
        <w:t xml:space="preserve"> also</w:t>
      </w:r>
      <w:r w:rsidR="00606098">
        <w:t xml:space="preserve">) </w:t>
      </w:r>
      <w:r>
        <w:t xml:space="preserve">In proposing support for </w:t>
      </w:r>
      <w:r w:rsidR="00FD21F2">
        <w:t>capacity building activity</w:t>
      </w:r>
      <w:r>
        <w:t>, CAE techn</w:t>
      </w:r>
      <w:r w:rsidR="00B6139A">
        <w:t xml:space="preserve">ical proposals to ANNEX II </w:t>
      </w:r>
      <w:r w:rsidR="00B6139A">
        <w:rPr>
          <w:szCs w:val="20"/>
        </w:rPr>
        <w:t xml:space="preserve">must provide a </w:t>
      </w:r>
      <w:r w:rsidR="00D9678B">
        <w:rPr>
          <w:szCs w:val="20"/>
        </w:rPr>
        <w:t>clear</w:t>
      </w:r>
      <w:r w:rsidR="00B6139A">
        <w:rPr>
          <w:szCs w:val="20"/>
        </w:rPr>
        <w:t xml:space="preserve"> state</w:t>
      </w:r>
      <w:r w:rsidR="00D9678B">
        <w:rPr>
          <w:szCs w:val="20"/>
        </w:rPr>
        <w:t>ment as to</w:t>
      </w:r>
      <w:r w:rsidR="00B6139A">
        <w:rPr>
          <w:szCs w:val="20"/>
        </w:rPr>
        <w:t xml:space="preserve"> which of the two focus areas they are </w:t>
      </w:r>
      <w:r w:rsidR="00F948A5">
        <w:rPr>
          <w:szCs w:val="20"/>
        </w:rPr>
        <w:t>addressing</w:t>
      </w:r>
      <w:r w:rsidR="00B37BE6">
        <w:rPr>
          <w:szCs w:val="20"/>
        </w:rPr>
        <w:t>.</w:t>
      </w:r>
      <w:r w:rsidR="00F948A5">
        <w:rPr>
          <w:szCs w:val="20"/>
        </w:rPr>
        <w:t xml:space="preserve"> </w:t>
      </w:r>
      <w:r w:rsidR="00B57F6F">
        <w:rPr>
          <w:szCs w:val="20"/>
        </w:rPr>
        <w:t>The proposal must also clearly address the following:</w:t>
      </w:r>
    </w:p>
    <w:p w:rsidR="00D9678B" w:rsidRPr="00606098" w:rsidRDefault="00D9678B" w:rsidP="00727988">
      <w:pPr>
        <w:pStyle w:val="BodyTextIndent"/>
        <w:autoSpaceDE/>
        <w:autoSpaceDN/>
        <w:ind w:left="630" w:firstLine="0"/>
      </w:pPr>
    </w:p>
    <w:p w:rsidR="00B57F6F" w:rsidRPr="00D9678B" w:rsidRDefault="00B57F6F" w:rsidP="00B57F6F">
      <w:pPr>
        <w:pStyle w:val="BodyTextIndent"/>
        <w:numPr>
          <w:ilvl w:val="1"/>
          <w:numId w:val="43"/>
        </w:numPr>
        <w:autoSpaceDE/>
        <w:autoSpaceDN/>
        <w:adjustRightInd w:val="0"/>
      </w:pPr>
      <w:r w:rsidRPr="00D9678B">
        <w:rPr>
          <w:szCs w:val="20"/>
        </w:rPr>
        <w:t>The intellectual merit of the proposed activity</w:t>
      </w:r>
      <w:r>
        <w:rPr>
          <w:szCs w:val="20"/>
        </w:rPr>
        <w:t>.</w:t>
      </w:r>
    </w:p>
    <w:p w:rsidR="00B57F6F" w:rsidRDefault="00B57F6F" w:rsidP="00B57F6F">
      <w:pPr>
        <w:pStyle w:val="BodyTextIndent"/>
        <w:numPr>
          <w:ilvl w:val="1"/>
          <w:numId w:val="43"/>
        </w:numPr>
        <w:autoSpaceDE/>
        <w:autoSpaceDN/>
        <w:adjustRightInd w:val="0"/>
      </w:pPr>
      <w:r w:rsidRPr="00D9678B">
        <w:rPr>
          <w:szCs w:val="20"/>
        </w:rPr>
        <w:t xml:space="preserve">The broader impacts resulting from the proposed activity to include </w:t>
      </w:r>
      <w:r w:rsidRPr="00DE3B2F">
        <w:t>articulat</w:t>
      </w:r>
      <w:r>
        <w:t>ing</w:t>
      </w:r>
      <w:r w:rsidRPr="00DE3B2F">
        <w:t xml:space="preserve"> how </w:t>
      </w:r>
      <w:r>
        <w:t xml:space="preserve">the </w:t>
      </w:r>
      <w:r w:rsidRPr="00DE3B2F">
        <w:t>funding will benefit the students</w:t>
      </w:r>
      <w:r>
        <w:t>,</w:t>
      </w:r>
      <w:r w:rsidRPr="00DE3B2F">
        <w:t xml:space="preserve"> the CAE, </w:t>
      </w:r>
      <w:r>
        <w:t>the community and/or the DoD.</w:t>
      </w:r>
    </w:p>
    <w:p w:rsidR="00B57F6F" w:rsidRDefault="00B57F6F" w:rsidP="00B57F6F">
      <w:pPr>
        <w:numPr>
          <w:ilvl w:val="1"/>
          <w:numId w:val="43"/>
        </w:numPr>
        <w:jc w:val="both"/>
        <w:rPr>
          <w:sz w:val="24"/>
        </w:rPr>
      </w:pPr>
      <w:r>
        <w:rPr>
          <w:sz w:val="24"/>
        </w:rPr>
        <w:lastRenderedPageBreak/>
        <w:t>The specific elements of the Scholarship Program that will be enhanced or strengthened by the requested support.</w:t>
      </w:r>
    </w:p>
    <w:p w:rsidR="00B57F6F" w:rsidRDefault="00B57F6F" w:rsidP="00B57F6F">
      <w:pPr>
        <w:numPr>
          <w:ilvl w:val="1"/>
          <w:numId w:val="43"/>
        </w:numPr>
        <w:jc w:val="both"/>
        <w:rPr>
          <w:sz w:val="24"/>
        </w:rPr>
      </w:pPr>
      <w:r>
        <w:rPr>
          <w:sz w:val="24"/>
        </w:rPr>
        <w:t>The impact to the Scholarship Program</w:t>
      </w:r>
      <w:r w:rsidR="00B03936">
        <w:rPr>
          <w:sz w:val="24"/>
        </w:rPr>
        <w:t xml:space="preserve">, </w:t>
      </w:r>
      <w:r>
        <w:rPr>
          <w:sz w:val="24"/>
        </w:rPr>
        <w:t xml:space="preserve">the CAE </w:t>
      </w:r>
      <w:r w:rsidR="00B03936">
        <w:rPr>
          <w:sz w:val="24"/>
        </w:rPr>
        <w:t>and potentially the broader community if the support is not received</w:t>
      </w:r>
      <w:r>
        <w:rPr>
          <w:sz w:val="24"/>
        </w:rPr>
        <w:t xml:space="preserve">. </w:t>
      </w:r>
    </w:p>
    <w:p w:rsidR="00606098" w:rsidRDefault="00606098" w:rsidP="00606098">
      <w:pPr>
        <w:pStyle w:val="BodyTextIndent"/>
        <w:autoSpaceDE/>
        <w:autoSpaceDN/>
        <w:ind w:left="630" w:firstLine="0"/>
      </w:pPr>
    </w:p>
    <w:p w:rsidR="00AA3E7E" w:rsidRPr="00D9678B" w:rsidRDefault="00AA3E7E" w:rsidP="00D9678B">
      <w:pPr>
        <w:pStyle w:val="ListParagraph"/>
        <w:numPr>
          <w:ilvl w:val="0"/>
          <w:numId w:val="43"/>
        </w:numPr>
        <w:jc w:val="both"/>
        <w:rPr>
          <w:sz w:val="24"/>
        </w:rPr>
      </w:pPr>
      <w:r w:rsidRPr="00D9678B">
        <w:rPr>
          <w:sz w:val="24"/>
          <w:u w:val="single"/>
        </w:rPr>
        <w:t>ANNEX II Cost Proposals</w:t>
      </w:r>
      <w:r w:rsidRPr="00D9678B">
        <w:rPr>
          <w:sz w:val="24"/>
        </w:rPr>
        <w:t xml:space="preserve">:  Cost proposals supporting ANNEX II should be submitted separately and should detail salaries, materials, equipment, and related direct and indirect costs for supporting the capacity building initiative(s) proposed.  CAEs are advised that </w:t>
      </w:r>
      <w:r w:rsidR="00580DB9" w:rsidRPr="00D9678B">
        <w:rPr>
          <w:sz w:val="24"/>
        </w:rPr>
        <w:t xml:space="preserve">the request </w:t>
      </w:r>
      <w:r w:rsidR="00A376F8" w:rsidRPr="00D9678B">
        <w:rPr>
          <w:b/>
          <w:i/>
          <w:color w:val="FF0000"/>
          <w:sz w:val="24"/>
        </w:rPr>
        <w:t>s</w:t>
      </w:r>
      <w:r w:rsidRPr="00D9678B">
        <w:rPr>
          <w:b/>
          <w:i/>
          <w:color w:val="FF0000"/>
          <w:sz w:val="24"/>
        </w:rPr>
        <w:t>hall be limited to $</w:t>
      </w:r>
      <w:r w:rsidR="00384957" w:rsidRPr="00D9678B">
        <w:rPr>
          <w:b/>
          <w:i/>
          <w:color w:val="FF0000"/>
          <w:sz w:val="24"/>
        </w:rPr>
        <w:t>1</w:t>
      </w:r>
      <w:r w:rsidR="00D9678B">
        <w:rPr>
          <w:b/>
          <w:i/>
          <w:color w:val="FF0000"/>
          <w:sz w:val="24"/>
        </w:rPr>
        <w:t>00</w:t>
      </w:r>
      <w:r w:rsidRPr="00D9678B">
        <w:rPr>
          <w:b/>
          <w:i/>
          <w:color w:val="FF0000"/>
          <w:sz w:val="24"/>
        </w:rPr>
        <w:t>,000 or less</w:t>
      </w:r>
      <w:r w:rsidR="00B57F6F">
        <w:rPr>
          <w:b/>
          <w:i/>
          <w:color w:val="FF0000"/>
          <w:sz w:val="24"/>
        </w:rPr>
        <w:t xml:space="preserve"> in total</w:t>
      </w:r>
      <w:r w:rsidRPr="00D9678B">
        <w:rPr>
          <w:b/>
          <w:i/>
          <w:color w:val="FF0000"/>
          <w:sz w:val="24"/>
        </w:rPr>
        <w:t>.</w:t>
      </w:r>
      <w:r w:rsidRPr="00D9678B">
        <w:rPr>
          <w:sz w:val="24"/>
        </w:rPr>
        <w:t xml:space="preserve"> </w:t>
      </w:r>
      <w:r w:rsidR="002027AF">
        <w:rPr>
          <w:sz w:val="24"/>
        </w:rPr>
        <w:t xml:space="preserve">No more than one proposal </w:t>
      </w:r>
      <w:r w:rsidR="00B03936">
        <w:rPr>
          <w:sz w:val="24"/>
        </w:rPr>
        <w:t>per</w:t>
      </w:r>
      <w:r w:rsidR="002027AF">
        <w:rPr>
          <w:sz w:val="24"/>
        </w:rPr>
        <w:t xml:space="preserve"> focus area may be submitted. </w:t>
      </w:r>
      <w:r w:rsidRPr="00D9678B">
        <w:rPr>
          <w:sz w:val="24"/>
          <w:szCs w:val="24"/>
        </w:rPr>
        <w:t xml:space="preserve">In order to be considered, </w:t>
      </w:r>
      <w:r w:rsidR="00580DB9" w:rsidRPr="00D9678B">
        <w:rPr>
          <w:sz w:val="24"/>
          <w:szCs w:val="24"/>
        </w:rPr>
        <w:t>the c</w:t>
      </w:r>
      <w:r w:rsidRPr="00D9678B">
        <w:rPr>
          <w:sz w:val="24"/>
          <w:szCs w:val="24"/>
        </w:rPr>
        <w:t>apacity building initiative proposed must be accompanied by a separate cost proposal</w:t>
      </w:r>
      <w:r w:rsidR="00580DB9" w:rsidRPr="00D9678B">
        <w:rPr>
          <w:sz w:val="24"/>
          <w:szCs w:val="24"/>
        </w:rPr>
        <w:t>.</w:t>
      </w:r>
      <w:r w:rsidR="00B03936">
        <w:rPr>
          <w:sz w:val="24"/>
          <w:szCs w:val="24"/>
        </w:rPr>
        <w:t xml:space="preserve">  A template has been provided to prepare the cost proposal.</w:t>
      </w:r>
      <w:r w:rsidR="00F9632D" w:rsidRPr="00D9678B">
        <w:rPr>
          <w:sz w:val="24"/>
          <w:szCs w:val="24"/>
        </w:rPr>
        <w:t xml:space="preserve"> </w:t>
      </w:r>
    </w:p>
    <w:p w:rsidR="00AA3E7E" w:rsidRDefault="00AA3E7E">
      <w:pPr>
        <w:ind w:firstLine="720"/>
        <w:jc w:val="both"/>
        <w:rPr>
          <w:sz w:val="24"/>
        </w:rPr>
      </w:pPr>
    </w:p>
    <w:p w:rsidR="00AA3E7E" w:rsidRDefault="00AA3E7E">
      <w:pPr>
        <w:jc w:val="both"/>
        <w:outlineLvl w:val="0"/>
        <w:rPr>
          <w:b/>
          <w:sz w:val="24"/>
        </w:rPr>
      </w:pPr>
      <w:r>
        <w:rPr>
          <w:b/>
          <w:sz w:val="24"/>
        </w:rPr>
        <w:t>II. EVALUATION CRITERIA</w:t>
      </w:r>
    </w:p>
    <w:p w:rsidR="00AA3E7E" w:rsidRDefault="00AA3E7E">
      <w:pPr>
        <w:ind w:firstLine="720"/>
        <w:jc w:val="both"/>
        <w:rPr>
          <w:sz w:val="24"/>
        </w:rPr>
      </w:pPr>
      <w:r>
        <w:rPr>
          <w:sz w:val="24"/>
        </w:rPr>
        <w:t>The ANNEX II “Proposal for Institutional Capacity Building” will be evaluated separately from the rest of the CAE</w:t>
      </w:r>
      <w:r w:rsidR="00D86A18">
        <w:rPr>
          <w:sz w:val="24"/>
        </w:rPr>
        <w:t>’s</w:t>
      </w:r>
      <w:r>
        <w:rPr>
          <w:sz w:val="24"/>
        </w:rPr>
        <w:t xml:space="preserve"> proposal </w:t>
      </w:r>
      <w:r w:rsidR="00D86A18">
        <w:rPr>
          <w:sz w:val="24"/>
        </w:rPr>
        <w:t xml:space="preserve">package </w:t>
      </w:r>
      <w:r>
        <w:rPr>
          <w:sz w:val="24"/>
        </w:rPr>
        <w:t xml:space="preserve">using the following criteria.  </w:t>
      </w:r>
    </w:p>
    <w:p w:rsidR="00AA3E7E" w:rsidRDefault="00AA3E7E">
      <w:pPr>
        <w:ind w:firstLine="720"/>
        <w:jc w:val="both"/>
        <w:rPr>
          <w:sz w:val="24"/>
        </w:rPr>
      </w:pPr>
      <w:r>
        <w:rPr>
          <w:sz w:val="24"/>
        </w:rPr>
        <w:t xml:space="preserve">A. The merits of the proposed capacity building initiative(s) and their contributions to laying a strong foundation for the </w:t>
      </w:r>
      <w:r w:rsidR="003A56CD">
        <w:rPr>
          <w:sz w:val="24"/>
        </w:rPr>
        <w:t>IASP</w:t>
      </w:r>
      <w:r>
        <w:rPr>
          <w:sz w:val="24"/>
        </w:rPr>
        <w:t xml:space="preserve"> are fully described.  The elements of the </w:t>
      </w:r>
      <w:r w:rsidR="00384957">
        <w:rPr>
          <w:sz w:val="24"/>
        </w:rPr>
        <w:t>program</w:t>
      </w:r>
      <w:r>
        <w:rPr>
          <w:sz w:val="24"/>
        </w:rPr>
        <w:t xml:space="preserve"> should be clearly articulated; </w:t>
      </w:r>
      <w:r w:rsidR="00D86A18">
        <w:rPr>
          <w:sz w:val="24"/>
        </w:rPr>
        <w:t xml:space="preserve">and </w:t>
      </w:r>
      <w:r>
        <w:rPr>
          <w:sz w:val="24"/>
        </w:rPr>
        <w:t>the institution must have a defined process to promote the IASP to its students and deliver high quality scholarship candidates (if applicable).</w:t>
      </w:r>
    </w:p>
    <w:p w:rsidR="00AA3E7E" w:rsidRDefault="00AA3E7E">
      <w:pPr>
        <w:ind w:firstLine="720"/>
        <w:rPr>
          <w:sz w:val="24"/>
        </w:rPr>
      </w:pPr>
      <w:r>
        <w:rPr>
          <w:sz w:val="24"/>
        </w:rPr>
        <w:t xml:space="preserve">B. </w:t>
      </w:r>
      <w:r>
        <w:rPr>
          <w:sz w:val="24"/>
          <w:u w:val="single"/>
        </w:rPr>
        <w:t xml:space="preserve">The </w:t>
      </w:r>
      <w:r w:rsidR="003A56CD">
        <w:rPr>
          <w:sz w:val="24"/>
          <w:u w:val="single"/>
        </w:rPr>
        <w:t xml:space="preserve">CAE’s </w:t>
      </w:r>
      <w:r>
        <w:rPr>
          <w:sz w:val="24"/>
          <w:u w:val="single"/>
        </w:rPr>
        <w:t xml:space="preserve">current academic programs and proposed enhancements provide significant benefits to potential IA Scholarship students and </w:t>
      </w:r>
      <w:r w:rsidR="00A376F8">
        <w:rPr>
          <w:sz w:val="24"/>
          <w:u w:val="single"/>
        </w:rPr>
        <w:t>support DoD</w:t>
      </w:r>
      <w:r>
        <w:rPr>
          <w:sz w:val="24"/>
          <w:u w:val="single"/>
        </w:rPr>
        <w:t xml:space="preserve"> mission needs.</w:t>
      </w:r>
      <w:r>
        <w:rPr>
          <w:sz w:val="24"/>
        </w:rPr>
        <w:t xml:space="preserve">   The CAE should identify key activities</w:t>
      </w:r>
      <w:r w:rsidR="00D86A18">
        <w:rPr>
          <w:sz w:val="24"/>
        </w:rPr>
        <w:t xml:space="preserve"> (</w:t>
      </w:r>
      <w:r>
        <w:rPr>
          <w:sz w:val="24"/>
        </w:rPr>
        <w:t>e.g., programs, forums or partnerships with DoD, other government agencies, academia or private industry that enhance its IA/IT academic credentials and contribute to faculty</w:t>
      </w:r>
      <w:r w:rsidR="00D86A18">
        <w:rPr>
          <w:sz w:val="24"/>
        </w:rPr>
        <w:t>,</w:t>
      </w:r>
      <w:r>
        <w:rPr>
          <w:sz w:val="24"/>
        </w:rPr>
        <w:t>staff</w:t>
      </w:r>
      <w:r w:rsidR="00D86A18">
        <w:rPr>
          <w:sz w:val="24"/>
        </w:rPr>
        <w:t xml:space="preserve">, and </w:t>
      </w:r>
      <w:r>
        <w:rPr>
          <w:sz w:val="24"/>
        </w:rPr>
        <w:t xml:space="preserve">student awareness and experiences in current IA/IT trends.  Requested research funding should align with DoD areas of interest and provide meaningful learning opportunities for both faculty and IASP students.   Lab activities and curricula enhancements should provide students with critical IA skills and knowledge.  Diversity of student population and potential scholarship applicants should be supported through student demographics and partnerships with historically under-represented colleges and universities.   </w:t>
      </w:r>
    </w:p>
    <w:p w:rsidR="00AA3E7E" w:rsidRDefault="00AA3E7E">
      <w:pPr>
        <w:ind w:firstLine="720"/>
        <w:rPr>
          <w:sz w:val="24"/>
        </w:rPr>
      </w:pPr>
      <w:r>
        <w:rPr>
          <w:sz w:val="24"/>
        </w:rPr>
        <w:t xml:space="preserve">C.   </w:t>
      </w:r>
      <w:r>
        <w:rPr>
          <w:sz w:val="24"/>
          <w:u w:val="single"/>
        </w:rPr>
        <w:t>The costs of the proposal have been clearly articulated</w:t>
      </w:r>
      <w:r>
        <w:rPr>
          <w:sz w:val="24"/>
        </w:rPr>
        <w:t xml:space="preserve">.   Cost summations should be provided for 1) Total Funding Request for the Proposal; 2) Funding Request per Initiative.  Additionally, each initiative must have costs identified for each relevant cost category (labor, equipment, travel, etc.).   </w:t>
      </w:r>
      <w:r w:rsidR="00A376F8">
        <w:rPr>
          <w:sz w:val="24"/>
        </w:rPr>
        <w:t xml:space="preserve">Estimates should be provided for single equipment purchases over $5K. </w:t>
      </w:r>
      <w:r>
        <w:rPr>
          <w:sz w:val="24"/>
        </w:rPr>
        <w:t>All costs are realistic and reasonable.</w:t>
      </w:r>
    </w:p>
    <w:p w:rsidR="00AA3E7E" w:rsidRDefault="00AA3E7E">
      <w:pPr>
        <w:ind w:firstLine="720"/>
        <w:rPr>
          <w:sz w:val="24"/>
        </w:rPr>
      </w:pPr>
      <w:r>
        <w:rPr>
          <w:sz w:val="24"/>
        </w:rPr>
        <w:t xml:space="preserve">D.  There are factors that </w:t>
      </w:r>
      <w:r w:rsidR="00F9632D">
        <w:rPr>
          <w:sz w:val="24"/>
        </w:rPr>
        <w:t xml:space="preserve">will </w:t>
      </w:r>
      <w:r>
        <w:rPr>
          <w:sz w:val="24"/>
        </w:rPr>
        <w:t>reduce the total evaluation score (if applicable).  Those factors are:</w:t>
      </w:r>
    </w:p>
    <w:p w:rsidR="00AA3E7E" w:rsidRDefault="00AA3E7E">
      <w:pPr>
        <w:numPr>
          <w:ilvl w:val="0"/>
          <w:numId w:val="40"/>
        </w:numPr>
        <w:jc w:val="both"/>
        <w:rPr>
          <w:sz w:val="24"/>
        </w:rPr>
      </w:pPr>
      <w:r>
        <w:rPr>
          <w:sz w:val="24"/>
        </w:rPr>
        <w:t>Failure to provide adequate administrative and/or academic support to current IASP students enrolled at the CAE institution.</w:t>
      </w:r>
    </w:p>
    <w:p w:rsidR="00AA3E7E" w:rsidRDefault="00AA3E7E">
      <w:pPr>
        <w:numPr>
          <w:ilvl w:val="0"/>
          <w:numId w:val="40"/>
        </w:numPr>
        <w:jc w:val="both"/>
        <w:rPr>
          <w:sz w:val="24"/>
        </w:rPr>
      </w:pPr>
      <w:r>
        <w:rPr>
          <w:sz w:val="24"/>
        </w:rPr>
        <w:t>Failure to properly invoice for previous IASP funding received.</w:t>
      </w:r>
    </w:p>
    <w:p w:rsidR="00AA3E7E" w:rsidRDefault="00AA3E7E">
      <w:pPr>
        <w:numPr>
          <w:ilvl w:val="0"/>
          <w:numId w:val="40"/>
        </w:numPr>
        <w:jc w:val="both"/>
        <w:rPr>
          <w:sz w:val="24"/>
        </w:rPr>
      </w:pPr>
      <w:r>
        <w:rPr>
          <w:sz w:val="24"/>
        </w:rPr>
        <w:t>Failure to submit annual DoD IASP Grant Report</w:t>
      </w:r>
      <w:r w:rsidR="00A376F8">
        <w:rPr>
          <w:sz w:val="24"/>
        </w:rPr>
        <w:t>s as required</w:t>
      </w:r>
      <w:r>
        <w:rPr>
          <w:sz w:val="24"/>
        </w:rPr>
        <w:t xml:space="preserve">.  </w:t>
      </w:r>
    </w:p>
    <w:p w:rsidR="00BD1E25" w:rsidRPr="00BD1E25" w:rsidRDefault="00BD1E25" w:rsidP="00BD1E25">
      <w:pPr>
        <w:jc w:val="both"/>
        <w:rPr>
          <w:sz w:val="24"/>
          <w:szCs w:val="24"/>
        </w:rPr>
      </w:pPr>
    </w:p>
    <w:p w:rsidR="00BD1E25" w:rsidRPr="00BD1E25" w:rsidRDefault="00BD1E25" w:rsidP="00BD1E25">
      <w:pPr>
        <w:rPr>
          <w:b/>
          <w:sz w:val="24"/>
          <w:szCs w:val="24"/>
        </w:rPr>
      </w:pPr>
      <w:r w:rsidRPr="00BD1E25">
        <w:rPr>
          <w:b/>
          <w:sz w:val="24"/>
          <w:szCs w:val="24"/>
        </w:rPr>
        <w:t>III.TIMELINE</w:t>
      </w:r>
    </w:p>
    <w:p w:rsidR="00BD1E25" w:rsidRPr="00BD1E25" w:rsidRDefault="00BD1E25" w:rsidP="00BD1E25">
      <w:pPr>
        <w:rPr>
          <w:b/>
          <w:sz w:val="24"/>
          <w:szCs w:val="24"/>
        </w:rPr>
      </w:pPr>
    </w:p>
    <w:p w:rsidR="00BD1E25" w:rsidRPr="00BD1E25" w:rsidRDefault="00BD1E25" w:rsidP="00210043">
      <w:pPr>
        <w:rPr>
          <w:sz w:val="24"/>
          <w:szCs w:val="24"/>
        </w:rPr>
      </w:pPr>
      <w:r w:rsidRPr="00BD1E25">
        <w:rPr>
          <w:sz w:val="24"/>
          <w:szCs w:val="24"/>
        </w:rPr>
        <w:t xml:space="preserve">All Annex II proposals are due to the IASP Program Office by </w:t>
      </w:r>
      <w:r w:rsidR="00210043">
        <w:rPr>
          <w:sz w:val="24"/>
          <w:szCs w:val="24"/>
        </w:rPr>
        <w:t xml:space="preserve">February </w:t>
      </w:r>
      <w:r w:rsidR="00580DB9">
        <w:rPr>
          <w:sz w:val="24"/>
          <w:szCs w:val="24"/>
        </w:rPr>
        <w:t>28</w:t>
      </w:r>
      <w:r w:rsidR="00210043">
        <w:rPr>
          <w:sz w:val="24"/>
          <w:szCs w:val="24"/>
        </w:rPr>
        <w:t>,</w:t>
      </w:r>
      <w:r w:rsidRPr="00BD1E25">
        <w:rPr>
          <w:sz w:val="24"/>
          <w:szCs w:val="24"/>
        </w:rPr>
        <w:t xml:space="preserve"> 201</w:t>
      </w:r>
      <w:r w:rsidR="00580DB9">
        <w:rPr>
          <w:sz w:val="24"/>
          <w:szCs w:val="24"/>
        </w:rPr>
        <w:t>1</w:t>
      </w:r>
      <w:r w:rsidRPr="00BD1E25">
        <w:rPr>
          <w:sz w:val="24"/>
          <w:szCs w:val="24"/>
        </w:rPr>
        <w:t>.</w:t>
      </w:r>
    </w:p>
    <w:p w:rsidR="00AA3E7E" w:rsidRDefault="00AA3E7E" w:rsidP="00210043">
      <w:pPr>
        <w:tabs>
          <w:tab w:val="left" w:pos="1800"/>
        </w:tabs>
        <w:rPr>
          <w:sz w:val="24"/>
        </w:rPr>
      </w:pPr>
    </w:p>
    <w:sectPr w:rsidR="00AA3E7E" w:rsidSect="00262E99">
      <w:headerReference w:type="default" r:id="rId8"/>
      <w:footerReference w:type="default" r:id="rId9"/>
      <w:footerReference w:type="first" r:id="rId10"/>
      <w:pgSz w:w="12240" w:h="15840"/>
      <w:pgMar w:top="900" w:right="1440" w:bottom="1440" w:left="1440" w:header="720" w:footer="70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936" w:rsidRDefault="00B03936">
      <w:r>
        <w:separator/>
      </w:r>
    </w:p>
  </w:endnote>
  <w:endnote w:type="continuationSeparator" w:id="0">
    <w:p w:rsidR="00B03936" w:rsidRDefault="00B039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71178"/>
      <w:docPartObj>
        <w:docPartGallery w:val="Page Numbers (Bottom of Page)"/>
        <w:docPartUnique/>
      </w:docPartObj>
    </w:sdtPr>
    <w:sdtContent>
      <w:p w:rsidR="00B03936" w:rsidRDefault="00BC120B">
        <w:pPr>
          <w:pStyle w:val="Footer"/>
          <w:jc w:val="right"/>
        </w:pPr>
        <w:r w:rsidRPr="00262E99">
          <w:rPr>
            <w:rFonts w:ascii="Franklin Gothic Medium" w:hAnsi="Franklin Gothic Medium"/>
            <w:b/>
          </w:rPr>
          <w:fldChar w:fldCharType="begin"/>
        </w:r>
        <w:r w:rsidR="00B03936" w:rsidRPr="00262E99">
          <w:rPr>
            <w:rFonts w:ascii="Franklin Gothic Medium" w:hAnsi="Franklin Gothic Medium"/>
            <w:b/>
          </w:rPr>
          <w:instrText xml:space="preserve"> PAGE   \* MERGEFORMAT </w:instrText>
        </w:r>
        <w:r w:rsidRPr="00262E99">
          <w:rPr>
            <w:rFonts w:ascii="Franklin Gothic Medium" w:hAnsi="Franklin Gothic Medium"/>
            <w:b/>
          </w:rPr>
          <w:fldChar w:fldCharType="separate"/>
        </w:r>
        <w:r w:rsidR="00BF6440">
          <w:rPr>
            <w:rFonts w:ascii="Franklin Gothic Medium" w:hAnsi="Franklin Gothic Medium"/>
            <w:b/>
            <w:noProof/>
          </w:rPr>
          <w:t>3</w:t>
        </w:r>
        <w:r w:rsidRPr="00262E99">
          <w:rPr>
            <w:rFonts w:ascii="Franklin Gothic Medium" w:hAnsi="Franklin Gothic Medium"/>
            <w:b/>
          </w:rPr>
          <w:fldChar w:fldCharType="end"/>
        </w:r>
      </w:p>
    </w:sdtContent>
  </w:sdt>
  <w:p w:rsidR="00B03936" w:rsidRDefault="00B03936" w:rsidP="00262E99">
    <w:pPr>
      <w:pStyle w:val="Footer"/>
      <w:jc w:val="center"/>
      <w:rPr>
        <w:rFonts w:ascii="Garamond" w:hAnsi="Garamond"/>
        <w:b/>
        <w:bCs/>
        <w:sz w:val="32"/>
        <w:szCs w:val="32"/>
      </w:rPr>
    </w:pPr>
    <w:r>
      <w:rPr>
        <w:rFonts w:ascii="Garamond" w:hAnsi="Garamond"/>
        <w:b/>
        <w:bCs/>
        <w:sz w:val="32"/>
        <w:szCs w:val="32"/>
      </w:rPr>
      <w:t>05 October 2011</w:t>
    </w:r>
  </w:p>
  <w:p w:rsidR="00B03936" w:rsidRDefault="00B03936" w:rsidP="00B4583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71177"/>
      <w:docPartObj>
        <w:docPartGallery w:val="Page Numbers (Bottom of Page)"/>
        <w:docPartUnique/>
      </w:docPartObj>
    </w:sdtPr>
    <w:sdtContent>
      <w:p w:rsidR="00B03936" w:rsidRDefault="00BC120B">
        <w:pPr>
          <w:pStyle w:val="Footer"/>
          <w:jc w:val="right"/>
        </w:pPr>
        <w:r w:rsidRPr="00262E99">
          <w:rPr>
            <w:rFonts w:ascii="Franklin Gothic Medium" w:hAnsi="Franklin Gothic Medium"/>
            <w:b/>
          </w:rPr>
          <w:fldChar w:fldCharType="begin"/>
        </w:r>
        <w:r w:rsidR="00B03936" w:rsidRPr="00262E99">
          <w:rPr>
            <w:rFonts w:ascii="Franklin Gothic Medium" w:hAnsi="Franklin Gothic Medium"/>
            <w:b/>
          </w:rPr>
          <w:instrText xml:space="preserve"> PAGE   \* MERGEFORMAT </w:instrText>
        </w:r>
        <w:r w:rsidRPr="00262E99">
          <w:rPr>
            <w:rFonts w:ascii="Franklin Gothic Medium" w:hAnsi="Franklin Gothic Medium"/>
            <w:b/>
          </w:rPr>
          <w:fldChar w:fldCharType="separate"/>
        </w:r>
        <w:r w:rsidR="00BF6440">
          <w:rPr>
            <w:rFonts w:ascii="Franklin Gothic Medium" w:hAnsi="Franklin Gothic Medium"/>
            <w:b/>
            <w:noProof/>
          </w:rPr>
          <w:t>1</w:t>
        </w:r>
        <w:r w:rsidRPr="00262E99">
          <w:rPr>
            <w:rFonts w:ascii="Franklin Gothic Medium" w:hAnsi="Franklin Gothic Medium"/>
            <w:b/>
          </w:rPr>
          <w:fldChar w:fldCharType="end"/>
        </w:r>
      </w:p>
    </w:sdtContent>
  </w:sdt>
  <w:p w:rsidR="00B03936" w:rsidRDefault="00B03936" w:rsidP="00262E99">
    <w:pPr>
      <w:pStyle w:val="Footer"/>
      <w:jc w:val="center"/>
      <w:rPr>
        <w:rFonts w:ascii="Garamond" w:hAnsi="Garamond"/>
        <w:b/>
        <w:bCs/>
        <w:sz w:val="32"/>
        <w:szCs w:val="32"/>
      </w:rPr>
    </w:pPr>
    <w:r>
      <w:rPr>
        <w:rFonts w:ascii="Garamond" w:hAnsi="Garamond"/>
        <w:b/>
        <w:bCs/>
        <w:sz w:val="32"/>
        <w:szCs w:val="32"/>
      </w:rPr>
      <w:t>05 October 2011</w:t>
    </w:r>
  </w:p>
  <w:p w:rsidR="00B03936" w:rsidRPr="00C71AE1" w:rsidRDefault="00B03936">
    <w:pPr>
      <w:pStyle w:val="Footer"/>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936" w:rsidRDefault="00B03936">
      <w:r>
        <w:separator/>
      </w:r>
    </w:p>
  </w:footnote>
  <w:footnote w:type="continuationSeparator" w:id="0">
    <w:p w:rsidR="00B03936" w:rsidRDefault="00B03936">
      <w:r>
        <w:continuationSeparator/>
      </w:r>
    </w:p>
  </w:footnote>
  <w:footnote w:id="1">
    <w:p w:rsidR="00B03936" w:rsidRPr="00606098" w:rsidRDefault="00B03936" w:rsidP="009D5E04">
      <w:pPr>
        <w:pStyle w:val="HTMLPreformatted"/>
        <w:shd w:val="clear" w:color="auto" w:fill="FFFFFF"/>
        <w:rPr>
          <w:rFonts w:ascii="Times New Roman" w:hAnsi="Times New Roman" w:cs="Times New Roman"/>
          <w:i/>
        </w:rPr>
      </w:pPr>
      <w:r w:rsidRPr="00606098">
        <w:rPr>
          <w:rStyle w:val="FootnoteReference"/>
          <w:sz w:val="22"/>
        </w:rPr>
        <w:footnoteRef/>
      </w:r>
      <w:r w:rsidRPr="00606098">
        <w:rPr>
          <w:sz w:val="22"/>
        </w:rPr>
        <w:t xml:space="preserve"> </w:t>
      </w:r>
      <w:r w:rsidRPr="00606098">
        <w:rPr>
          <w:rFonts w:ascii="Times New Roman" w:hAnsi="Times New Roman" w:cs="Times New Roman"/>
          <w:i/>
          <w:iCs/>
        </w:rPr>
        <w:t xml:space="preserve">The U. S. Department of Education reference for minority institutions is located at: </w:t>
      </w:r>
      <w:hyperlink r:id="rId1" w:history="1">
        <w:r w:rsidRPr="00606098">
          <w:rPr>
            <w:rStyle w:val="Hyperlink"/>
            <w:rFonts w:ascii="Times New Roman" w:hAnsi="Times New Roman" w:cs="Times New Roman"/>
            <w:i/>
            <w:iCs/>
          </w:rPr>
          <w:t>http://www2.ed.gov/about/offices/list/ocr/edlite-minorityinst-list-tab.html</w:t>
        </w:r>
      </w:hyperlink>
      <w:r w:rsidRPr="00606098">
        <w:rPr>
          <w:rFonts w:ascii="Times New Roman" w:hAnsi="Times New Roman" w:cs="Times New Roman"/>
          <w:i/>
          <w:iCs/>
        </w:rPr>
        <w:t xml:space="preserve">  and the United States code  </w:t>
      </w:r>
      <w:r w:rsidRPr="00606098">
        <w:rPr>
          <w:rFonts w:ascii="Times New Roman" w:hAnsi="Times New Roman" w:cs="Times New Roman"/>
          <w:i/>
          <w:iCs/>
          <w:u w:val="single"/>
        </w:rPr>
        <w:t>20 U.S.C. 1067k</w:t>
      </w:r>
      <w:r w:rsidRPr="00606098">
        <w:rPr>
          <w:rFonts w:ascii="Times New Roman" w:hAnsi="Times New Roman" w:cs="Times New Roman"/>
          <w:i/>
          <w:iCs/>
        </w:rPr>
        <w:t xml:space="preserve"> refers to </w:t>
      </w:r>
      <w:r w:rsidRPr="00606098">
        <w:rPr>
          <w:rFonts w:ascii="Times New Roman" w:hAnsi="Times New Roman" w:cs="Times New Roman"/>
          <w:i/>
        </w:rPr>
        <w:t>the term "minority institution" as an institution of higher education whose enrollment of a single minority or a combination of minorities include: American Indian, Alaskan Native, Black (not of Hispanic origin), Hispanic (including persons of Mexican, Puerto Rican, Cuban, and Central or South American origin), or Pacific Islander.</w:t>
      </w:r>
    </w:p>
    <w:p w:rsidR="00B03936" w:rsidRPr="00606098" w:rsidRDefault="00B03936">
      <w:pPr>
        <w:pStyle w:val="FootnoteText"/>
      </w:pPr>
    </w:p>
  </w:footnote>
  <w:footnote w:id="2">
    <w:p w:rsidR="00B03936" w:rsidRPr="00606098" w:rsidRDefault="00B03936" w:rsidP="00E23F4E">
      <w:pPr>
        <w:pStyle w:val="BodyTextIndent"/>
        <w:autoSpaceDE/>
        <w:autoSpaceDN/>
        <w:ind w:firstLine="0"/>
        <w:rPr>
          <w:bCs/>
          <w:iCs/>
          <w:sz w:val="20"/>
          <w:szCs w:val="20"/>
        </w:rPr>
      </w:pPr>
      <w:r w:rsidRPr="00606098">
        <w:rPr>
          <w:rStyle w:val="FootnoteReference"/>
          <w:sz w:val="20"/>
          <w:szCs w:val="20"/>
        </w:rPr>
        <w:footnoteRef/>
      </w:r>
      <w:r w:rsidRPr="00606098">
        <w:rPr>
          <w:sz w:val="20"/>
          <w:szCs w:val="20"/>
        </w:rPr>
        <w:t xml:space="preserve">  The use of “Virtual” labs and/or proven models is acceptable and desired for efficiency where appropriate</w:t>
      </w:r>
      <w:r>
        <w:rPr>
          <w:sz w:val="20"/>
          <w:szCs w:val="20"/>
        </w:rPr>
        <w:t xml:space="preserve"> (</w:t>
      </w:r>
      <w:r w:rsidRPr="00606098">
        <w:rPr>
          <w:sz w:val="20"/>
          <w:szCs w:val="20"/>
        </w:rPr>
        <w:t xml:space="preserve"> e</w:t>
      </w:r>
      <w:r>
        <w:rPr>
          <w:sz w:val="20"/>
          <w:szCs w:val="20"/>
        </w:rPr>
        <w:t>.g</w:t>
      </w:r>
      <w:r w:rsidRPr="00606098">
        <w:rPr>
          <w:sz w:val="20"/>
          <w:szCs w:val="20"/>
        </w:rPr>
        <w:t>. “Capture the Flag” and Cyber Defense type challenges, etc.</w:t>
      </w:r>
      <w:r>
        <w:rPr>
          <w:sz w:val="20"/>
          <w:szCs w:val="20"/>
        </w:rPr>
        <w:t>)</w:t>
      </w:r>
    </w:p>
    <w:p w:rsidR="00B03936" w:rsidRDefault="00B0393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936" w:rsidRDefault="00BC120B">
    <w:pPr>
      <w:pStyle w:val="Header"/>
      <w:ind w:right="360"/>
    </w:pPr>
    <w:r>
      <w:rPr>
        <w:noProof/>
      </w:rPr>
      <w:pict>
        <v:shapetype id="_x0000_t202" coordsize="21600,21600" o:spt="202" path="m,l,21600r21600,l21600,xe">
          <v:stroke joinstyle="miter"/>
          <v:path gradientshapeok="t" o:connecttype="rect"/>
        </v:shapetype>
        <v:shape id="_x0000_s2049" type="#_x0000_t202" style="position:absolute;margin-left:31.05pt;margin-top:225.2pt;width:333pt;height:117pt;z-index:-251658752;mso-wrap-edited:f" wrapcoords="-49 0 -49 21600 21649 21600 21649 0 -49 0" stroked="f" strokeweight="0">
          <v:textbox>
            <w:txbxContent>
              <w:p w:rsidR="00B03936" w:rsidRDefault="00B03936">
                <w:pPr>
                  <w:rPr>
                    <w:color w:val="FFFF99"/>
                    <w:sz w:val="172"/>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05F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617B04"/>
    <w:multiLevelType w:val="hybridMultilevel"/>
    <w:tmpl w:val="4E92B222"/>
    <w:lvl w:ilvl="0" w:tplc="26CE36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5E3630E"/>
    <w:multiLevelType w:val="singleLevel"/>
    <w:tmpl w:val="9D66B90A"/>
    <w:lvl w:ilvl="0">
      <w:start w:val="1"/>
      <w:numFmt w:val="decimal"/>
      <w:lvlText w:val="(%1)"/>
      <w:lvlJc w:val="left"/>
      <w:pPr>
        <w:tabs>
          <w:tab w:val="num" w:pos="1080"/>
        </w:tabs>
        <w:ind w:left="1080" w:hanging="360"/>
      </w:pPr>
      <w:rPr>
        <w:rFonts w:hint="default"/>
      </w:rPr>
    </w:lvl>
  </w:abstractNum>
  <w:abstractNum w:abstractNumId="3">
    <w:nsid w:val="18327A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4B33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6C20C0"/>
    <w:multiLevelType w:val="multilevel"/>
    <w:tmpl w:val="3BC68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A603D8"/>
    <w:multiLevelType w:val="hybridMultilevel"/>
    <w:tmpl w:val="5E2EA6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B60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3025B4"/>
    <w:multiLevelType w:val="hybridMultilevel"/>
    <w:tmpl w:val="AC58357E"/>
    <w:lvl w:ilvl="0" w:tplc="6CC2DF58">
      <w:start w:val="1"/>
      <w:numFmt w:val="decimal"/>
      <w:lvlText w:val="%1."/>
      <w:lvlJc w:val="left"/>
      <w:pPr>
        <w:tabs>
          <w:tab w:val="num" w:pos="1080"/>
        </w:tabs>
        <w:ind w:left="1080" w:hanging="360"/>
      </w:pPr>
      <w:rPr>
        <w:rFonts w:hint="default"/>
      </w:rPr>
    </w:lvl>
    <w:lvl w:ilvl="1" w:tplc="C39A9140" w:tentative="1">
      <w:start w:val="1"/>
      <w:numFmt w:val="lowerLetter"/>
      <w:lvlText w:val="%2."/>
      <w:lvlJc w:val="left"/>
      <w:pPr>
        <w:tabs>
          <w:tab w:val="num" w:pos="1800"/>
        </w:tabs>
        <w:ind w:left="1800" w:hanging="360"/>
      </w:pPr>
    </w:lvl>
    <w:lvl w:ilvl="2" w:tplc="E442600C" w:tentative="1">
      <w:start w:val="1"/>
      <w:numFmt w:val="lowerRoman"/>
      <w:lvlText w:val="%3."/>
      <w:lvlJc w:val="right"/>
      <w:pPr>
        <w:tabs>
          <w:tab w:val="num" w:pos="2520"/>
        </w:tabs>
        <w:ind w:left="2520" w:hanging="180"/>
      </w:pPr>
    </w:lvl>
    <w:lvl w:ilvl="3" w:tplc="356E2700" w:tentative="1">
      <w:start w:val="1"/>
      <w:numFmt w:val="decimal"/>
      <w:lvlText w:val="%4."/>
      <w:lvlJc w:val="left"/>
      <w:pPr>
        <w:tabs>
          <w:tab w:val="num" w:pos="3240"/>
        </w:tabs>
        <w:ind w:left="3240" w:hanging="360"/>
      </w:pPr>
    </w:lvl>
    <w:lvl w:ilvl="4" w:tplc="90FC95E2" w:tentative="1">
      <w:start w:val="1"/>
      <w:numFmt w:val="lowerLetter"/>
      <w:lvlText w:val="%5."/>
      <w:lvlJc w:val="left"/>
      <w:pPr>
        <w:tabs>
          <w:tab w:val="num" w:pos="3960"/>
        </w:tabs>
        <w:ind w:left="3960" w:hanging="360"/>
      </w:pPr>
    </w:lvl>
    <w:lvl w:ilvl="5" w:tplc="96D4B4E8" w:tentative="1">
      <w:start w:val="1"/>
      <w:numFmt w:val="lowerRoman"/>
      <w:lvlText w:val="%6."/>
      <w:lvlJc w:val="right"/>
      <w:pPr>
        <w:tabs>
          <w:tab w:val="num" w:pos="4680"/>
        </w:tabs>
        <w:ind w:left="4680" w:hanging="180"/>
      </w:pPr>
    </w:lvl>
    <w:lvl w:ilvl="6" w:tplc="A99675CA" w:tentative="1">
      <w:start w:val="1"/>
      <w:numFmt w:val="decimal"/>
      <w:lvlText w:val="%7."/>
      <w:lvlJc w:val="left"/>
      <w:pPr>
        <w:tabs>
          <w:tab w:val="num" w:pos="5400"/>
        </w:tabs>
        <w:ind w:left="5400" w:hanging="360"/>
      </w:pPr>
    </w:lvl>
    <w:lvl w:ilvl="7" w:tplc="2438E15A" w:tentative="1">
      <w:start w:val="1"/>
      <w:numFmt w:val="lowerLetter"/>
      <w:lvlText w:val="%8."/>
      <w:lvlJc w:val="left"/>
      <w:pPr>
        <w:tabs>
          <w:tab w:val="num" w:pos="6120"/>
        </w:tabs>
        <w:ind w:left="6120" w:hanging="360"/>
      </w:pPr>
    </w:lvl>
    <w:lvl w:ilvl="8" w:tplc="D3F052D6" w:tentative="1">
      <w:start w:val="1"/>
      <w:numFmt w:val="lowerRoman"/>
      <w:lvlText w:val="%9."/>
      <w:lvlJc w:val="right"/>
      <w:pPr>
        <w:tabs>
          <w:tab w:val="num" w:pos="6840"/>
        </w:tabs>
        <w:ind w:left="6840" w:hanging="180"/>
      </w:pPr>
    </w:lvl>
  </w:abstractNum>
  <w:abstractNum w:abstractNumId="9">
    <w:nsid w:val="244C1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2476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EC91F68"/>
    <w:multiLevelType w:val="hybridMultilevel"/>
    <w:tmpl w:val="5130288C"/>
    <w:lvl w:ilvl="0" w:tplc="05260584">
      <w:start w:val="1"/>
      <w:numFmt w:val="decimal"/>
      <w:lvlText w:val="%1."/>
      <w:lvlJc w:val="left"/>
      <w:pPr>
        <w:tabs>
          <w:tab w:val="num" w:pos="1740"/>
        </w:tabs>
        <w:ind w:left="1740" w:hanging="1020"/>
      </w:pPr>
      <w:rPr>
        <w:rFonts w:hint="default"/>
      </w:rPr>
    </w:lvl>
    <w:lvl w:ilvl="1" w:tplc="E214C82C">
      <w:start w:val="1"/>
      <w:numFmt w:val="lowerLetter"/>
      <w:lvlText w:val="%2."/>
      <w:lvlJc w:val="left"/>
      <w:pPr>
        <w:tabs>
          <w:tab w:val="num" w:pos="1800"/>
        </w:tabs>
        <w:ind w:left="1800" w:hanging="360"/>
      </w:pPr>
    </w:lvl>
    <w:lvl w:ilvl="2" w:tplc="DAB25FEE">
      <w:start w:val="1"/>
      <w:numFmt w:val="lowerRoman"/>
      <w:lvlText w:val="%3."/>
      <w:lvlJc w:val="right"/>
      <w:pPr>
        <w:tabs>
          <w:tab w:val="num" w:pos="2520"/>
        </w:tabs>
        <w:ind w:left="2520" w:hanging="180"/>
      </w:pPr>
    </w:lvl>
    <w:lvl w:ilvl="3" w:tplc="B470B890">
      <w:start w:val="1"/>
      <w:numFmt w:val="decimal"/>
      <w:lvlText w:val="%4."/>
      <w:lvlJc w:val="left"/>
      <w:pPr>
        <w:tabs>
          <w:tab w:val="num" w:pos="3240"/>
        </w:tabs>
        <w:ind w:left="3240" w:hanging="360"/>
      </w:pPr>
    </w:lvl>
    <w:lvl w:ilvl="4" w:tplc="FCEA4622">
      <w:start w:val="1"/>
      <w:numFmt w:val="lowerLetter"/>
      <w:lvlText w:val="%5."/>
      <w:lvlJc w:val="left"/>
      <w:pPr>
        <w:tabs>
          <w:tab w:val="num" w:pos="3960"/>
        </w:tabs>
        <w:ind w:left="3960" w:hanging="360"/>
      </w:pPr>
    </w:lvl>
    <w:lvl w:ilvl="5" w:tplc="FD509E8E">
      <w:start w:val="1"/>
      <w:numFmt w:val="lowerRoman"/>
      <w:lvlText w:val="%6."/>
      <w:lvlJc w:val="right"/>
      <w:pPr>
        <w:tabs>
          <w:tab w:val="num" w:pos="4680"/>
        </w:tabs>
        <w:ind w:left="4680" w:hanging="180"/>
      </w:pPr>
    </w:lvl>
    <w:lvl w:ilvl="6" w:tplc="2DD6B0D8">
      <w:start w:val="1"/>
      <w:numFmt w:val="decimal"/>
      <w:lvlText w:val="%7."/>
      <w:lvlJc w:val="left"/>
      <w:pPr>
        <w:tabs>
          <w:tab w:val="num" w:pos="5400"/>
        </w:tabs>
        <w:ind w:left="5400" w:hanging="360"/>
      </w:pPr>
    </w:lvl>
    <w:lvl w:ilvl="7" w:tplc="C458E414">
      <w:start w:val="1"/>
      <w:numFmt w:val="lowerLetter"/>
      <w:lvlText w:val="%8."/>
      <w:lvlJc w:val="left"/>
      <w:pPr>
        <w:tabs>
          <w:tab w:val="num" w:pos="6120"/>
        </w:tabs>
        <w:ind w:left="6120" w:hanging="360"/>
      </w:pPr>
    </w:lvl>
    <w:lvl w:ilvl="8" w:tplc="74A0B1EC">
      <w:start w:val="1"/>
      <w:numFmt w:val="lowerRoman"/>
      <w:lvlText w:val="%9."/>
      <w:lvlJc w:val="right"/>
      <w:pPr>
        <w:tabs>
          <w:tab w:val="num" w:pos="6840"/>
        </w:tabs>
        <w:ind w:left="6840" w:hanging="180"/>
      </w:pPr>
    </w:lvl>
  </w:abstractNum>
  <w:abstractNum w:abstractNumId="12">
    <w:nsid w:val="30D46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873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45F6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EB598F"/>
    <w:multiLevelType w:val="hybridMultilevel"/>
    <w:tmpl w:val="C71889C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167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F17C51"/>
    <w:multiLevelType w:val="hybridMultilevel"/>
    <w:tmpl w:val="F6BAE142"/>
    <w:lvl w:ilvl="0" w:tplc="012EC17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81B6B"/>
    <w:multiLevelType w:val="hybridMultilevel"/>
    <w:tmpl w:val="606470F0"/>
    <w:lvl w:ilvl="0" w:tplc="92D2FD06">
      <w:start w:val="1"/>
      <w:numFmt w:val="decimal"/>
      <w:lvlText w:val="%1."/>
      <w:lvlJc w:val="left"/>
      <w:pPr>
        <w:tabs>
          <w:tab w:val="num" w:pos="1104"/>
        </w:tabs>
        <w:ind w:left="1104" w:hanging="384"/>
      </w:pPr>
    </w:lvl>
    <w:lvl w:ilvl="1" w:tplc="7F30B104">
      <w:start w:val="1"/>
      <w:numFmt w:val="decimal"/>
      <w:lvlText w:val="%2."/>
      <w:lvlJc w:val="left"/>
      <w:pPr>
        <w:tabs>
          <w:tab w:val="num" w:pos="1440"/>
        </w:tabs>
        <w:ind w:left="1440" w:hanging="360"/>
      </w:pPr>
    </w:lvl>
    <w:lvl w:ilvl="2" w:tplc="8B2C7AEC">
      <w:start w:val="1"/>
      <w:numFmt w:val="decimal"/>
      <w:lvlText w:val="%3."/>
      <w:lvlJc w:val="left"/>
      <w:pPr>
        <w:tabs>
          <w:tab w:val="num" w:pos="2160"/>
        </w:tabs>
        <w:ind w:left="2160" w:hanging="360"/>
      </w:pPr>
    </w:lvl>
    <w:lvl w:ilvl="3" w:tplc="2634F55E">
      <w:start w:val="1"/>
      <w:numFmt w:val="decimal"/>
      <w:lvlText w:val="%4."/>
      <w:lvlJc w:val="left"/>
      <w:pPr>
        <w:tabs>
          <w:tab w:val="num" w:pos="2880"/>
        </w:tabs>
        <w:ind w:left="2880" w:hanging="360"/>
      </w:pPr>
    </w:lvl>
    <w:lvl w:ilvl="4" w:tplc="CBC261F2">
      <w:start w:val="1"/>
      <w:numFmt w:val="decimal"/>
      <w:lvlText w:val="%5."/>
      <w:lvlJc w:val="left"/>
      <w:pPr>
        <w:tabs>
          <w:tab w:val="num" w:pos="3600"/>
        </w:tabs>
        <w:ind w:left="3600" w:hanging="360"/>
      </w:pPr>
    </w:lvl>
    <w:lvl w:ilvl="5" w:tplc="E9E6E2E6">
      <w:start w:val="1"/>
      <w:numFmt w:val="decimal"/>
      <w:lvlText w:val="%6."/>
      <w:lvlJc w:val="left"/>
      <w:pPr>
        <w:tabs>
          <w:tab w:val="num" w:pos="4320"/>
        </w:tabs>
        <w:ind w:left="4320" w:hanging="360"/>
      </w:pPr>
    </w:lvl>
    <w:lvl w:ilvl="6" w:tplc="414A1620">
      <w:start w:val="1"/>
      <w:numFmt w:val="decimal"/>
      <w:lvlText w:val="%7."/>
      <w:lvlJc w:val="left"/>
      <w:pPr>
        <w:tabs>
          <w:tab w:val="num" w:pos="5040"/>
        </w:tabs>
        <w:ind w:left="5040" w:hanging="360"/>
      </w:pPr>
    </w:lvl>
    <w:lvl w:ilvl="7" w:tplc="40DCBC94">
      <w:start w:val="1"/>
      <w:numFmt w:val="decimal"/>
      <w:lvlText w:val="%8."/>
      <w:lvlJc w:val="left"/>
      <w:pPr>
        <w:tabs>
          <w:tab w:val="num" w:pos="5760"/>
        </w:tabs>
        <w:ind w:left="5760" w:hanging="360"/>
      </w:pPr>
    </w:lvl>
    <w:lvl w:ilvl="8" w:tplc="2A70650C">
      <w:start w:val="1"/>
      <w:numFmt w:val="decimal"/>
      <w:lvlText w:val="%9."/>
      <w:lvlJc w:val="left"/>
      <w:pPr>
        <w:tabs>
          <w:tab w:val="num" w:pos="6480"/>
        </w:tabs>
        <w:ind w:left="6480" w:hanging="360"/>
      </w:pPr>
    </w:lvl>
  </w:abstractNum>
  <w:abstractNum w:abstractNumId="19">
    <w:nsid w:val="3BA020A7"/>
    <w:multiLevelType w:val="singleLevel"/>
    <w:tmpl w:val="04090011"/>
    <w:lvl w:ilvl="0">
      <w:start w:val="1"/>
      <w:numFmt w:val="decimal"/>
      <w:lvlText w:val="%1)"/>
      <w:lvlJc w:val="left"/>
      <w:pPr>
        <w:tabs>
          <w:tab w:val="num" w:pos="360"/>
        </w:tabs>
        <w:ind w:left="360" w:hanging="360"/>
      </w:pPr>
      <w:rPr>
        <w:rFonts w:hint="default"/>
      </w:rPr>
    </w:lvl>
  </w:abstractNum>
  <w:abstractNum w:abstractNumId="20">
    <w:nsid w:val="3CBF2DBE"/>
    <w:multiLevelType w:val="hybridMultilevel"/>
    <w:tmpl w:val="AC6AE44A"/>
    <w:lvl w:ilvl="0" w:tplc="6D9EBCC2">
      <w:start w:val="1"/>
      <w:numFmt w:val="upperLetter"/>
      <w:lvlText w:val="%1."/>
      <w:lvlJc w:val="left"/>
      <w:pPr>
        <w:tabs>
          <w:tab w:val="num" w:pos="1125"/>
        </w:tabs>
        <w:ind w:left="1125" w:hanging="40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207E50"/>
    <w:multiLevelType w:val="hybridMultilevel"/>
    <w:tmpl w:val="1012F9DC"/>
    <w:lvl w:ilvl="0" w:tplc="26CE36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7E313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630E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3B3CB3"/>
    <w:multiLevelType w:val="hybridMultilevel"/>
    <w:tmpl w:val="AE766B82"/>
    <w:lvl w:ilvl="0" w:tplc="F29E21DA">
      <w:start w:val="1"/>
      <w:numFmt w:val="decimal"/>
      <w:lvlText w:val="%1."/>
      <w:lvlJc w:val="left"/>
      <w:pPr>
        <w:tabs>
          <w:tab w:val="num" w:pos="1080"/>
        </w:tabs>
        <w:ind w:left="1080" w:hanging="360"/>
      </w:pPr>
      <w:rPr>
        <w:rFonts w:hint="default"/>
      </w:rPr>
    </w:lvl>
    <w:lvl w:ilvl="1" w:tplc="F00A76EA">
      <w:start w:val="1"/>
      <w:numFmt w:val="lowerLetter"/>
      <w:lvlText w:val="%2."/>
      <w:lvlJc w:val="left"/>
      <w:pPr>
        <w:tabs>
          <w:tab w:val="num" w:pos="1800"/>
        </w:tabs>
        <w:ind w:left="1800" w:hanging="360"/>
      </w:pPr>
    </w:lvl>
    <w:lvl w:ilvl="2" w:tplc="8D8E2740">
      <w:start w:val="1"/>
      <w:numFmt w:val="lowerRoman"/>
      <w:lvlText w:val="%3."/>
      <w:lvlJc w:val="right"/>
      <w:pPr>
        <w:tabs>
          <w:tab w:val="num" w:pos="2520"/>
        </w:tabs>
        <w:ind w:left="2520" w:hanging="180"/>
      </w:pPr>
    </w:lvl>
    <w:lvl w:ilvl="3" w:tplc="31D62C2E">
      <w:start w:val="1"/>
      <w:numFmt w:val="decimal"/>
      <w:lvlText w:val="%4."/>
      <w:lvlJc w:val="left"/>
      <w:pPr>
        <w:tabs>
          <w:tab w:val="num" w:pos="3240"/>
        </w:tabs>
        <w:ind w:left="3240" w:hanging="360"/>
      </w:pPr>
    </w:lvl>
    <w:lvl w:ilvl="4" w:tplc="3A6E1B68">
      <w:start w:val="1"/>
      <w:numFmt w:val="lowerLetter"/>
      <w:lvlText w:val="%5."/>
      <w:lvlJc w:val="left"/>
      <w:pPr>
        <w:tabs>
          <w:tab w:val="num" w:pos="3960"/>
        </w:tabs>
        <w:ind w:left="3960" w:hanging="360"/>
      </w:pPr>
    </w:lvl>
    <w:lvl w:ilvl="5" w:tplc="DAF69F20">
      <w:start w:val="1"/>
      <w:numFmt w:val="lowerRoman"/>
      <w:lvlText w:val="%6."/>
      <w:lvlJc w:val="right"/>
      <w:pPr>
        <w:tabs>
          <w:tab w:val="num" w:pos="4680"/>
        </w:tabs>
        <w:ind w:left="4680" w:hanging="180"/>
      </w:pPr>
    </w:lvl>
    <w:lvl w:ilvl="6" w:tplc="FCE8E292">
      <w:start w:val="1"/>
      <w:numFmt w:val="decimal"/>
      <w:lvlText w:val="%7."/>
      <w:lvlJc w:val="left"/>
      <w:pPr>
        <w:tabs>
          <w:tab w:val="num" w:pos="5400"/>
        </w:tabs>
        <w:ind w:left="5400" w:hanging="360"/>
      </w:pPr>
    </w:lvl>
    <w:lvl w:ilvl="7" w:tplc="9D0C839C">
      <w:start w:val="1"/>
      <w:numFmt w:val="lowerLetter"/>
      <w:lvlText w:val="%8."/>
      <w:lvlJc w:val="left"/>
      <w:pPr>
        <w:tabs>
          <w:tab w:val="num" w:pos="6120"/>
        </w:tabs>
        <w:ind w:left="6120" w:hanging="360"/>
      </w:pPr>
    </w:lvl>
    <w:lvl w:ilvl="8" w:tplc="9E000FA8">
      <w:start w:val="1"/>
      <w:numFmt w:val="lowerRoman"/>
      <w:lvlText w:val="%9."/>
      <w:lvlJc w:val="right"/>
      <w:pPr>
        <w:tabs>
          <w:tab w:val="num" w:pos="6840"/>
        </w:tabs>
        <w:ind w:left="6840" w:hanging="180"/>
      </w:pPr>
    </w:lvl>
  </w:abstractNum>
  <w:abstractNum w:abstractNumId="25">
    <w:nsid w:val="54266C25"/>
    <w:multiLevelType w:val="hybridMultilevel"/>
    <w:tmpl w:val="592EBB98"/>
    <w:lvl w:ilvl="0" w:tplc="5FC4584A">
      <w:start w:val="4"/>
      <w:numFmt w:val="decimal"/>
      <w:lvlText w:val="%1."/>
      <w:lvlJc w:val="left"/>
      <w:pPr>
        <w:tabs>
          <w:tab w:val="num" w:pos="1116"/>
        </w:tabs>
        <w:ind w:left="1116" w:hanging="396"/>
      </w:pPr>
    </w:lvl>
    <w:lvl w:ilvl="1" w:tplc="673E33C6">
      <w:start w:val="1"/>
      <w:numFmt w:val="decimal"/>
      <w:lvlText w:val="%2."/>
      <w:lvlJc w:val="left"/>
      <w:pPr>
        <w:tabs>
          <w:tab w:val="num" w:pos="1440"/>
        </w:tabs>
        <w:ind w:left="1440" w:hanging="360"/>
      </w:pPr>
    </w:lvl>
    <w:lvl w:ilvl="2" w:tplc="BF5CA40A">
      <w:start w:val="1"/>
      <w:numFmt w:val="decimal"/>
      <w:lvlText w:val="%3."/>
      <w:lvlJc w:val="left"/>
      <w:pPr>
        <w:tabs>
          <w:tab w:val="num" w:pos="2160"/>
        </w:tabs>
        <w:ind w:left="2160" w:hanging="360"/>
      </w:pPr>
    </w:lvl>
    <w:lvl w:ilvl="3" w:tplc="AAD641FA">
      <w:start w:val="1"/>
      <w:numFmt w:val="decimal"/>
      <w:lvlText w:val="%4."/>
      <w:lvlJc w:val="left"/>
      <w:pPr>
        <w:tabs>
          <w:tab w:val="num" w:pos="2880"/>
        </w:tabs>
        <w:ind w:left="2880" w:hanging="360"/>
      </w:pPr>
    </w:lvl>
    <w:lvl w:ilvl="4" w:tplc="9CB8AC7A">
      <w:start w:val="1"/>
      <w:numFmt w:val="decimal"/>
      <w:lvlText w:val="%5."/>
      <w:lvlJc w:val="left"/>
      <w:pPr>
        <w:tabs>
          <w:tab w:val="num" w:pos="3600"/>
        </w:tabs>
        <w:ind w:left="3600" w:hanging="360"/>
      </w:pPr>
    </w:lvl>
    <w:lvl w:ilvl="5" w:tplc="51E42F64">
      <w:start w:val="1"/>
      <w:numFmt w:val="decimal"/>
      <w:lvlText w:val="%6."/>
      <w:lvlJc w:val="left"/>
      <w:pPr>
        <w:tabs>
          <w:tab w:val="num" w:pos="4320"/>
        </w:tabs>
        <w:ind w:left="4320" w:hanging="360"/>
      </w:pPr>
    </w:lvl>
    <w:lvl w:ilvl="6" w:tplc="82F0C264">
      <w:start w:val="1"/>
      <w:numFmt w:val="decimal"/>
      <w:lvlText w:val="%7."/>
      <w:lvlJc w:val="left"/>
      <w:pPr>
        <w:tabs>
          <w:tab w:val="num" w:pos="5040"/>
        </w:tabs>
        <w:ind w:left="5040" w:hanging="360"/>
      </w:pPr>
    </w:lvl>
    <w:lvl w:ilvl="7" w:tplc="06C03D00">
      <w:start w:val="1"/>
      <w:numFmt w:val="decimal"/>
      <w:lvlText w:val="%8."/>
      <w:lvlJc w:val="left"/>
      <w:pPr>
        <w:tabs>
          <w:tab w:val="num" w:pos="5760"/>
        </w:tabs>
        <w:ind w:left="5760" w:hanging="360"/>
      </w:pPr>
    </w:lvl>
    <w:lvl w:ilvl="8" w:tplc="B1942B12">
      <w:start w:val="1"/>
      <w:numFmt w:val="decimal"/>
      <w:lvlText w:val="%9."/>
      <w:lvlJc w:val="left"/>
      <w:pPr>
        <w:tabs>
          <w:tab w:val="num" w:pos="6480"/>
        </w:tabs>
        <w:ind w:left="6480" w:hanging="360"/>
      </w:pPr>
    </w:lvl>
  </w:abstractNum>
  <w:abstractNum w:abstractNumId="26">
    <w:nsid w:val="54D951C0"/>
    <w:multiLevelType w:val="hybridMultilevel"/>
    <w:tmpl w:val="E4F88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578304B"/>
    <w:multiLevelType w:val="hybridMultilevel"/>
    <w:tmpl w:val="69AC4AF8"/>
    <w:lvl w:ilvl="0" w:tplc="C53879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7AE0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8671F19"/>
    <w:multiLevelType w:val="hybridMultilevel"/>
    <w:tmpl w:val="85AA3840"/>
    <w:lvl w:ilvl="0" w:tplc="799CB740">
      <w:start w:val="1"/>
      <w:numFmt w:val="bullet"/>
      <w:lvlText w:val="o"/>
      <w:lvlJc w:val="left"/>
      <w:pPr>
        <w:tabs>
          <w:tab w:val="num" w:pos="504"/>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FA4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5360CA5"/>
    <w:multiLevelType w:val="hybridMultilevel"/>
    <w:tmpl w:val="722C6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2B5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7FE5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9203EE8"/>
    <w:multiLevelType w:val="hybridMultilevel"/>
    <w:tmpl w:val="8732F26A"/>
    <w:lvl w:ilvl="0" w:tplc="0409000F">
      <w:start w:val="1"/>
      <w:numFmt w:val="decimal"/>
      <w:lvlText w:val="%1."/>
      <w:lvlJc w:val="left"/>
      <w:pPr>
        <w:ind w:left="1080" w:hanging="360"/>
      </w:pPr>
      <w:rPr>
        <w:rFonts w:hint="default"/>
      </w:rPr>
    </w:lvl>
    <w:lvl w:ilvl="1" w:tplc="012EC17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4F1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D1E6E3E"/>
    <w:multiLevelType w:val="hybridMultilevel"/>
    <w:tmpl w:val="EEC6E93E"/>
    <w:lvl w:ilvl="0" w:tplc="EC484318">
      <w:start w:val="7"/>
      <w:numFmt w:val="upperRoman"/>
      <w:lvlText w:val="%1."/>
      <w:lvlJc w:val="left"/>
      <w:pPr>
        <w:tabs>
          <w:tab w:val="num" w:pos="1080"/>
        </w:tabs>
        <w:ind w:left="1080" w:hanging="720"/>
      </w:pPr>
      <w:rPr>
        <w:rFonts w:hint="default"/>
        <w:b/>
      </w:rPr>
    </w:lvl>
    <w:lvl w:ilvl="1" w:tplc="677C7424">
      <w:start w:val="1"/>
      <w:numFmt w:val="lowerLetter"/>
      <w:lvlText w:val="%2."/>
      <w:lvlJc w:val="left"/>
      <w:pPr>
        <w:tabs>
          <w:tab w:val="num" w:pos="1440"/>
        </w:tabs>
        <w:ind w:left="1440" w:hanging="360"/>
      </w:pPr>
    </w:lvl>
    <w:lvl w:ilvl="2" w:tplc="F6FE2784">
      <w:start w:val="1"/>
      <w:numFmt w:val="lowerRoman"/>
      <w:lvlText w:val="%3."/>
      <w:lvlJc w:val="right"/>
      <w:pPr>
        <w:tabs>
          <w:tab w:val="num" w:pos="2160"/>
        </w:tabs>
        <w:ind w:left="2160" w:hanging="180"/>
      </w:pPr>
    </w:lvl>
    <w:lvl w:ilvl="3" w:tplc="47E8243C">
      <w:start w:val="1"/>
      <w:numFmt w:val="decimal"/>
      <w:lvlText w:val="%4."/>
      <w:lvlJc w:val="left"/>
      <w:pPr>
        <w:tabs>
          <w:tab w:val="num" w:pos="2880"/>
        </w:tabs>
        <w:ind w:left="2880" w:hanging="360"/>
      </w:pPr>
    </w:lvl>
    <w:lvl w:ilvl="4" w:tplc="70109A8E">
      <w:start w:val="1"/>
      <w:numFmt w:val="lowerLetter"/>
      <w:lvlText w:val="%5."/>
      <w:lvlJc w:val="left"/>
      <w:pPr>
        <w:tabs>
          <w:tab w:val="num" w:pos="3600"/>
        </w:tabs>
        <w:ind w:left="3600" w:hanging="360"/>
      </w:pPr>
    </w:lvl>
    <w:lvl w:ilvl="5" w:tplc="CFB8457E">
      <w:start w:val="1"/>
      <w:numFmt w:val="lowerRoman"/>
      <w:lvlText w:val="%6."/>
      <w:lvlJc w:val="right"/>
      <w:pPr>
        <w:tabs>
          <w:tab w:val="num" w:pos="4320"/>
        </w:tabs>
        <w:ind w:left="4320" w:hanging="180"/>
      </w:pPr>
    </w:lvl>
    <w:lvl w:ilvl="6" w:tplc="51106DB4">
      <w:start w:val="1"/>
      <w:numFmt w:val="decimal"/>
      <w:lvlText w:val="%7."/>
      <w:lvlJc w:val="left"/>
      <w:pPr>
        <w:tabs>
          <w:tab w:val="num" w:pos="5040"/>
        </w:tabs>
        <w:ind w:left="5040" w:hanging="360"/>
      </w:pPr>
    </w:lvl>
    <w:lvl w:ilvl="7" w:tplc="1B027D40">
      <w:start w:val="1"/>
      <w:numFmt w:val="lowerLetter"/>
      <w:lvlText w:val="%8."/>
      <w:lvlJc w:val="left"/>
      <w:pPr>
        <w:tabs>
          <w:tab w:val="num" w:pos="5760"/>
        </w:tabs>
        <w:ind w:left="5760" w:hanging="360"/>
      </w:pPr>
    </w:lvl>
    <w:lvl w:ilvl="8" w:tplc="6A049DC8">
      <w:start w:val="1"/>
      <w:numFmt w:val="lowerRoman"/>
      <w:lvlText w:val="%9."/>
      <w:lvlJc w:val="right"/>
      <w:pPr>
        <w:tabs>
          <w:tab w:val="num" w:pos="6480"/>
        </w:tabs>
        <w:ind w:left="6480" w:hanging="180"/>
      </w:pPr>
    </w:lvl>
  </w:abstractNum>
  <w:abstractNum w:abstractNumId="37">
    <w:nsid w:val="6E7B2C72"/>
    <w:multiLevelType w:val="hybridMultilevel"/>
    <w:tmpl w:val="87E4A1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0E00BD0"/>
    <w:multiLevelType w:val="singleLevel"/>
    <w:tmpl w:val="52C489E0"/>
    <w:lvl w:ilvl="0">
      <w:numFmt w:val="bullet"/>
      <w:lvlText w:val="-"/>
      <w:lvlJc w:val="left"/>
      <w:pPr>
        <w:tabs>
          <w:tab w:val="num" w:pos="360"/>
        </w:tabs>
        <w:ind w:left="360" w:hanging="360"/>
      </w:pPr>
      <w:rPr>
        <w:rFonts w:hint="default"/>
      </w:rPr>
    </w:lvl>
  </w:abstractNum>
  <w:abstractNum w:abstractNumId="39">
    <w:nsid w:val="70FF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36B1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58134D2"/>
    <w:multiLevelType w:val="hybridMultilevel"/>
    <w:tmpl w:val="96861A40"/>
    <w:lvl w:ilvl="0" w:tplc="04090019">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C7D1454"/>
    <w:multiLevelType w:val="hybridMultilevel"/>
    <w:tmpl w:val="FDF42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7D7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DDE7845"/>
    <w:multiLevelType w:val="hybridMultilevel"/>
    <w:tmpl w:val="31666A0C"/>
    <w:lvl w:ilvl="0" w:tplc="69CADC80">
      <w:start w:val="1"/>
      <w:numFmt w:val="lowerLetter"/>
      <w:lvlText w:val="%1."/>
      <w:lvlJc w:val="left"/>
      <w:pPr>
        <w:tabs>
          <w:tab w:val="num" w:pos="1440"/>
        </w:tabs>
        <w:ind w:left="1440" w:hanging="360"/>
      </w:pPr>
      <w:rPr>
        <w:rFonts w:hint="default"/>
      </w:rPr>
    </w:lvl>
    <w:lvl w:ilvl="1" w:tplc="B0E2623E">
      <w:start w:val="1"/>
      <w:numFmt w:val="lowerLetter"/>
      <w:lvlText w:val="%2."/>
      <w:lvlJc w:val="left"/>
      <w:pPr>
        <w:tabs>
          <w:tab w:val="num" w:pos="2160"/>
        </w:tabs>
        <w:ind w:left="2160" w:hanging="360"/>
      </w:pPr>
    </w:lvl>
    <w:lvl w:ilvl="2" w:tplc="80C21608">
      <w:start w:val="1"/>
      <w:numFmt w:val="lowerRoman"/>
      <w:lvlText w:val="%3."/>
      <w:lvlJc w:val="right"/>
      <w:pPr>
        <w:tabs>
          <w:tab w:val="num" w:pos="2880"/>
        </w:tabs>
        <w:ind w:left="2880" w:hanging="180"/>
      </w:pPr>
    </w:lvl>
    <w:lvl w:ilvl="3" w:tplc="B838E6EC">
      <w:start w:val="1"/>
      <w:numFmt w:val="decimal"/>
      <w:lvlText w:val="%4."/>
      <w:lvlJc w:val="left"/>
      <w:pPr>
        <w:tabs>
          <w:tab w:val="num" w:pos="3600"/>
        </w:tabs>
        <w:ind w:left="3600" w:hanging="360"/>
      </w:pPr>
    </w:lvl>
    <w:lvl w:ilvl="4" w:tplc="79C61224">
      <w:start w:val="1"/>
      <w:numFmt w:val="lowerLetter"/>
      <w:lvlText w:val="%5."/>
      <w:lvlJc w:val="left"/>
      <w:pPr>
        <w:tabs>
          <w:tab w:val="num" w:pos="4320"/>
        </w:tabs>
        <w:ind w:left="4320" w:hanging="360"/>
      </w:pPr>
    </w:lvl>
    <w:lvl w:ilvl="5" w:tplc="2D441062">
      <w:start w:val="1"/>
      <w:numFmt w:val="lowerRoman"/>
      <w:lvlText w:val="%6."/>
      <w:lvlJc w:val="right"/>
      <w:pPr>
        <w:tabs>
          <w:tab w:val="num" w:pos="5040"/>
        </w:tabs>
        <w:ind w:left="5040" w:hanging="180"/>
      </w:pPr>
    </w:lvl>
    <w:lvl w:ilvl="6" w:tplc="DD9896DA">
      <w:start w:val="1"/>
      <w:numFmt w:val="decimal"/>
      <w:lvlText w:val="%7."/>
      <w:lvlJc w:val="left"/>
      <w:pPr>
        <w:tabs>
          <w:tab w:val="num" w:pos="5760"/>
        </w:tabs>
        <w:ind w:left="5760" w:hanging="360"/>
      </w:pPr>
    </w:lvl>
    <w:lvl w:ilvl="7" w:tplc="986258B6">
      <w:start w:val="1"/>
      <w:numFmt w:val="lowerLetter"/>
      <w:lvlText w:val="%8."/>
      <w:lvlJc w:val="left"/>
      <w:pPr>
        <w:tabs>
          <w:tab w:val="num" w:pos="6480"/>
        </w:tabs>
        <w:ind w:left="6480" w:hanging="360"/>
      </w:pPr>
    </w:lvl>
    <w:lvl w:ilvl="8" w:tplc="BC2467DA">
      <w:start w:val="1"/>
      <w:numFmt w:val="lowerRoman"/>
      <w:lvlText w:val="%9."/>
      <w:lvlJc w:val="right"/>
      <w:pPr>
        <w:tabs>
          <w:tab w:val="num" w:pos="7200"/>
        </w:tabs>
        <w:ind w:left="7200" w:hanging="180"/>
      </w:pPr>
    </w:lvl>
  </w:abstractNum>
  <w:abstractNum w:abstractNumId="45">
    <w:nsid w:val="7F1D5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F3C73B4"/>
    <w:multiLevelType w:val="hybridMultilevel"/>
    <w:tmpl w:val="21D8E40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0"/>
  </w:num>
  <w:num w:numId="2">
    <w:abstractNumId w:val="22"/>
  </w:num>
  <w:num w:numId="3">
    <w:abstractNumId w:val="2"/>
  </w:num>
  <w:num w:numId="4">
    <w:abstractNumId w:val="7"/>
  </w:num>
  <w:num w:numId="5">
    <w:abstractNumId w:val="32"/>
  </w:num>
  <w:num w:numId="6">
    <w:abstractNumId w:val="45"/>
  </w:num>
  <w:num w:numId="7">
    <w:abstractNumId w:val="35"/>
  </w:num>
  <w:num w:numId="8">
    <w:abstractNumId w:val="28"/>
  </w:num>
  <w:num w:numId="9">
    <w:abstractNumId w:val="10"/>
  </w:num>
  <w:num w:numId="10">
    <w:abstractNumId w:val="9"/>
  </w:num>
  <w:num w:numId="11">
    <w:abstractNumId w:val="3"/>
  </w:num>
  <w:num w:numId="12">
    <w:abstractNumId w:val="33"/>
  </w:num>
  <w:num w:numId="13">
    <w:abstractNumId w:val="0"/>
  </w:num>
  <w:num w:numId="14">
    <w:abstractNumId w:val="13"/>
  </w:num>
  <w:num w:numId="15">
    <w:abstractNumId w:val="19"/>
  </w:num>
  <w:num w:numId="16">
    <w:abstractNumId w:val="38"/>
  </w:num>
  <w:num w:numId="17">
    <w:abstractNumId w:val="5"/>
  </w:num>
  <w:num w:numId="18">
    <w:abstractNumId w:val="12"/>
  </w:num>
  <w:num w:numId="19">
    <w:abstractNumId w:val="23"/>
  </w:num>
  <w:num w:numId="20">
    <w:abstractNumId w:val="16"/>
  </w:num>
  <w:num w:numId="21">
    <w:abstractNumId w:val="30"/>
  </w:num>
  <w:num w:numId="22">
    <w:abstractNumId w:val="43"/>
  </w:num>
  <w:num w:numId="23">
    <w:abstractNumId w:val="14"/>
  </w:num>
  <w:num w:numId="24">
    <w:abstractNumId w:val="39"/>
  </w:num>
  <w:num w:numId="25">
    <w:abstractNumId w:val="4"/>
  </w:num>
  <w:num w:numId="26">
    <w:abstractNumId w:val="4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4"/>
  </w:num>
  <w:num w:numId="31">
    <w:abstractNumId w:val="11"/>
  </w:num>
  <w:num w:numId="32">
    <w:abstractNumId w:val="8"/>
  </w:num>
  <w:num w:numId="33">
    <w:abstractNumId w:val="27"/>
  </w:num>
  <w:num w:numId="34">
    <w:abstractNumId w:val="31"/>
  </w:num>
  <w:num w:numId="35">
    <w:abstractNumId w:val="6"/>
  </w:num>
  <w:num w:numId="36">
    <w:abstractNumId w:val="42"/>
  </w:num>
  <w:num w:numId="37">
    <w:abstractNumId w:val="41"/>
  </w:num>
  <w:num w:numId="38">
    <w:abstractNumId w:val="21"/>
  </w:num>
  <w:num w:numId="39">
    <w:abstractNumId w:val="20"/>
  </w:num>
  <w:num w:numId="40">
    <w:abstractNumId w:val="1"/>
  </w:num>
  <w:num w:numId="41">
    <w:abstractNumId w:val="29"/>
  </w:num>
  <w:num w:numId="42">
    <w:abstractNumId w:val="34"/>
  </w:num>
  <w:num w:numId="43">
    <w:abstractNumId w:val="15"/>
  </w:num>
  <w:num w:numId="44">
    <w:abstractNumId w:val="26"/>
  </w:num>
  <w:num w:numId="45">
    <w:abstractNumId w:val="46"/>
  </w:num>
  <w:num w:numId="46">
    <w:abstractNumId w:val="37"/>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markup="0"/>
  <w:trackRevisions/>
  <w:defaultTabStop w:val="720"/>
  <w:doNotHyphenateCaps/>
  <w:displayHorizontalDrawingGridEvery w:val="0"/>
  <w:displayVerticalDrawingGridEvery w:val="0"/>
  <w:doNotUseMarginsForDrawingGridOrigi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84957"/>
    <w:rsid w:val="00053EF7"/>
    <w:rsid w:val="00094844"/>
    <w:rsid w:val="000A02B0"/>
    <w:rsid w:val="000E66C6"/>
    <w:rsid w:val="001A6089"/>
    <w:rsid w:val="001F4EF5"/>
    <w:rsid w:val="002027AF"/>
    <w:rsid w:val="00210043"/>
    <w:rsid w:val="00216367"/>
    <w:rsid w:val="00252D36"/>
    <w:rsid w:val="00262E99"/>
    <w:rsid w:val="002D2938"/>
    <w:rsid w:val="002D6D54"/>
    <w:rsid w:val="002D757B"/>
    <w:rsid w:val="00320DF0"/>
    <w:rsid w:val="0032353F"/>
    <w:rsid w:val="00333D0A"/>
    <w:rsid w:val="00344F74"/>
    <w:rsid w:val="00381E70"/>
    <w:rsid w:val="00384957"/>
    <w:rsid w:val="003A56CD"/>
    <w:rsid w:val="004C0292"/>
    <w:rsid w:val="00580DB9"/>
    <w:rsid w:val="005A2C74"/>
    <w:rsid w:val="005A3E1B"/>
    <w:rsid w:val="005A40A9"/>
    <w:rsid w:val="00600AFC"/>
    <w:rsid w:val="00606098"/>
    <w:rsid w:val="00682F0A"/>
    <w:rsid w:val="00687A14"/>
    <w:rsid w:val="00692A97"/>
    <w:rsid w:val="006B2392"/>
    <w:rsid w:val="00727988"/>
    <w:rsid w:val="00794DB2"/>
    <w:rsid w:val="007B22CA"/>
    <w:rsid w:val="007D1E3A"/>
    <w:rsid w:val="007D54F7"/>
    <w:rsid w:val="007F21E4"/>
    <w:rsid w:val="008745D4"/>
    <w:rsid w:val="008B6E53"/>
    <w:rsid w:val="008D5882"/>
    <w:rsid w:val="009A3D92"/>
    <w:rsid w:val="009C5A22"/>
    <w:rsid w:val="009D5E04"/>
    <w:rsid w:val="009E065F"/>
    <w:rsid w:val="00A376F8"/>
    <w:rsid w:val="00A722AC"/>
    <w:rsid w:val="00A85B0A"/>
    <w:rsid w:val="00AA3E7E"/>
    <w:rsid w:val="00AB127B"/>
    <w:rsid w:val="00AD2E61"/>
    <w:rsid w:val="00AD4D10"/>
    <w:rsid w:val="00B03936"/>
    <w:rsid w:val="00B26940"/>
    <w:rsid w:val="00B37BE6"/>
    <w:rsid w:val="00B4583A"/>
    <w:rsid w:val="00B57F6F"/>
    <w:rsid w:val="00B60AD5"/>
    <w:rsid w:val="00B6139A"/>
    <w:rsid w:val="00BC120B"/>
    <w:rsid w:val="00BD1E25"/>
    <w:rsid w:val="00BF6440"/>
    <w:rsid w:val="00C05DED"/>
    <w:rsid w:val="00C079C4"/>
    <w:rsid w:val="00C17200"/>
    <w:rsid w:val="00C21105"/>
    <w:rsid w:val="00C71AE1"/>
    <w:rsid w:val="00CE29A5"/>
    <w:rsid w:val="00CF4D38"/>
    <w:rsid w:val="00CF4D80"/>
    <w:rsid w:val="00D03611"/>
    <w:rsid w:val="00D33D78"/>
    <w:rsid w:val="00D56236"/>
    <w:rsid w:val="00D7192A"/>
    <w:rsid w:val="00D72070"/>
    <w:rsid w:val="00D86A18"/>
    <w:rsid w:val="00D9678B"/>
    <w:rsid w:val="00D96F0C"/>
    <w:rsid w:val="00DB0087"/>
    <w:rsid w:val="00DD06BB"/>
    <w:rsid w:val="00DD2147"/>
    <w:rsid w:val="00DE3B2F"/>
    <w:rsid w:val="00E23F4E"/>
    <w:rsid w:val="00E3112E"/>
    <w:rsid w:val="00E67B4D"/>
    <w:rsid w:val="00EC1942"/>
    <w:rsid w:val="00ED2F8B"/>
    <w:rsid w:val="00F06176"/>
    <w:rsid w:val="00F6729C"/>
    <w:rsid w:val="00F948A5"/>
    <w:rsid w:val="00F9632D"/>
    <w:rsid w:val="00FB1C48"/>
    <w:rsid w:val="00FB646D"/>
    <w:rsid w:val="00FD21F2"/>
    <w:rsid w:val="00FE08B7"/>
    <w:rsid w:val="00FF161C"/>
    <w:rsid w:val="00FF1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EF5"/>
  </w:style>
  <w:style w:type="paragraph" w:styleId="Heading1">
    <w:name w:val="heading 1"/>
    <w:basedOn w:val="Normal"/>
    <w:next w:val="Normal"/>
    <w:qFormat/>
    <w:rsid w:val="001F4EF5"/>
    <w:pPr>
      <w:keepNext/>
      <w:outlineLvl w:val="0"/>
    </w:pPr>
    <w:rPr>
      <w:sz w:val="24"/>
      <w:szCs w:val="24"/>
    </w:rPr>
  </w:style>
  <w:style w:type="paragraph" w:styleId="Heading2">
    <w:name w:val="heading 2"/>
    <w:basedOn w:val="Normal"/>
    <w:next w:val="Normal"/>
    <w:qFormat/>
    <w:rsid w:val="001F4EF5"/>
    <w:pPr>
      <w:keepNext/>
      <w:outlineLvl w:val="1"/>
    </w:pPr>
    <w:rPr>
      <w:b/>
      <w:bCs/>
      <w:sz w:val="24"/>
      <w:szCs w:val="24"/>
      <w:u w:val="single"/>
    </w:rPr>
  </w:style>
  <w:style w:type="paragraph" w:styleId="Heading3">
    <w:name w:val="heading 3"/>
    <w:basedOn w:val="Normal"/>
    <w:next w:val="Normal"/>
    <w:qFormat/>
    <w:rsid w:val="001F4EF5"/>
    <w:pPr>
      <w:keepNext/>
      <w:outlineLvl w:val="2"/>
    </w:pPr>
    <w:rPr>
      <w:b/>
      <w:bCs/>
    </w:rPr>
  </w:style>
  <w:style w:type="paragraph" w:styleId="Heading4">
    <w:name w:val="heading 4"/>
    <w:basedOn w:val="Normal"/>
    <w:next w:val="Normal"/>
    <w:qFormat/>
    <w:rsid w:val="001F4EF5"/>
    <w:pPr>
      <w:keepNext/>
      <w:outlineLvl w:val="3"/>
    </w:pPr>
    <w:rPr>
      <w:b/>
      <w:bCs/>
      <w:sz w:val="22"/>
      <w:szCs w:val="22"/>
    </w:rPr>
  </w:style>
  <w:style w:type="paragraph" w:styleId="Heading5">
    <w:name w:val="heading 5"/>
    <w:basedOn w:val="Normal"/>
    <w:next w:val="Normal"/>
    <w:qFormat/>
    <w:rsid w:val="001F4EF5"/>
    <w:pPr>
      <w:keepNext/>
      <w:ind w:left="2880"/>
      <w:jc w:val="both"/>
      <w:outlineLvl w:val="4"/>
    </w:pPr>
    <w:rPr>
      <w:b/>
      <w:bCs/>
      <w:sz w:val="24"/>
      <w:szCs w:val="24"/>
    </w:rPr>
  </w:style>
  <w:style w:type="paragraph" w:styleId="Heading6">
    <w:name w:val="heading 6"/>
    <w:basedOn w:val="Normal"/>
    <w:next w:val="Normal"/>
    <w:qFormat/>
    <w:rsid w:val="001F4EF5"/>
    <w:pPr>
      <w:keepNext/>
      <w:jc w:val="center"/>
      <w:outlineLvl w:val="5"/>
    </w:pPr>
    <w:rPr>
      <w:b/>
      <w:i/>
      <w:sz w:val="44"/>
    </w:rPr>
  </w:style>
  <w:style w:type="paragraph" w:styleId="Heading7">
    <w:name w:val="heading 7"/>
    <w:basedOn w:val="Normal"/>
    <w:next w:val="Normal"/>
    <w:qFormat/>
    <w:rsid w:val="001F4EF5"/>
    <w:pPr>
      <w:keepNext/>
      <w:outlineLvl w:val="6"/>
    </w:pPr>
    <w:rPr>
      <w:color w:val="FFFF99"/>
      <w:sz w:val="180"/>
    </w:rPr>
  </w:style>
  <w:style w:type="paragraph" w:styleId="Heading8">
    <w:name w:val="heading 8"/>
    <w:basedOn w:val="Normal"/>
    <w:next w:val="Normal"/>
    <w:qFormat/>
    <w:rsid w:val="001F4EF5"/>
    <w:pPr>
      <w:keepNext/>
      <w:jc w:val="center"/>
      <w:outlineLvl w:val="7"/>
    </w:pPr>
    <w:rPr>
      <w:b/>
      <w:i/>
      <w:sz w:val="28"/>
    </w:rPr>
  </w:style>
  <w:style w:type="paragraph" w:styleId="Heading9">
    <w:name w:val="heading 9"/>
    <w:basedOn w:val="Normal"/>
    <w:next w:val="Normal"/>
    <w:qFormat/>
    <w:rsid w:val="001F4EF5"/>
    <w:pPr>
      <w:keepNext/>
      <w:autoSpaceDE w:val="0"/>
      <w:autoSpaceDN w:val="0"/>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F4EF5"/>
    <w:pPr>
      <w:framePr w:w="7920" w:h="1980" w:hRule="exact" w:hSpace="180" w:wrap="auto" w:hAnchor="page" w:xAlign="center" w:yAlign="bottom"/>
      <w:ind w:left="2880"/>
    </w:pPr>
    <w:rPr>
      <w:sz w:val="24"/>
      <w:szCs w:val="24"/>
    </w:rPr>
  </w:style>
  <w:style w:type="character" w:styleId="Hyperlink">
    <w:name w:val="Hyperlink"/>
    <w:basedOn w:val="DefaultParagraphFont"/>
    <w:rsid w:val="001F4EF5"/>
    <w:rPr>
      <w:color w:val="0000FF"/>
      <w:u w:val="single"/>
    </w:rPr>
  </w:style>
  <w:style w:type="paragraph" w:styleId="BodyText">
    <w:name w:val="Body Text"/>
    <w:basedOn w:val="Normal"/>
    <w:rsid w:val="001F4EF5"/>
    <w:rPr>
      <w:sz w:val="22"/>
      <w:szCs w:val="22"/>
    </w:rPr>
  </w:style>
  <w:style w:type="paragraph" w:styleId="Footer">
    <w:name w:val="footer"/>
    <w:basedOn w:val="Normal"/>
    <w:link w:val="FooterChar"/>
    <w:uiPriority w:val="99"/>
    <w:rsid w:val="001F4EF5"/>
    <w:pPr>
      <w:tabs>
        <w:tab w:val="center" w:pos="4320"/>
        <w:tab w:val="right" w:pos="8640"/>
      </w:tabs>
    </w:pPr>
  </w:style>
  <w:style w:type="character" w:styleId="PageNumber">
    <w:name w:val="page number"/>
    <w:basedOn w:val="DefaultParagraphFont"/>
    <w:rsid w:val="001F4EF5"/>
  </w:style>
  <w:style w:type="paragraph" w:customStyle="1" w:styleId="DefinitionList">
    <w:name w:val="Definition List"/>
    <w:basedOn w:val="Normal"/>
    <w:next w:val="Normal"/>
    <w:rsid w:val="001F4EF5"/>
    <w:pPr>
      <w:ind w:left="360"/>
    </w:pPr>
    <w:rPr>
      <w:sz w:val="24"/>
      <w:szCs w:val="24"/>
    </w:rPr>
  </w:style>
  <w:style w:type="paragraph" w:styleId="Header">
    <w:name w:val="header"/>
    <w:basedOn w:val="Normal"/>
    <w:rsid w:val="001F4EF5"/>
    <w:pPr>
      <w:tabs>
        <w:tab w:val="center" w:pos="4320"/>
        <w:tab w:val="right" w:pos="8640"/>
      </w:tabs>
    </w:pPr>
  </w:style>
  <w:style w:type="character" w:styleId="FollowedHyperlink">
    <w:name w:val="FollowedHyperlink"/>
    <w:basedOn w:val="DefaultParagraphFont"/>
    <w:rsid w:val="001F4EF5"/>
    <w:rPr>
      <w:color w:val="800080"/>
      <w:u w:val="single"/>
    </w:rPr>
  </w:style>
  <w:style w:type="paragraph" w:styleId="BodyTextIndent">
    <w:name w:val="Body Text Indent"/>
    <w:basedOn w:val="Normal"/>
    <w:rsid w:val="001F4EF5"/>
    <w:pPr>
      <w:autoSpaceDE w:val="0"/>
      <w:autoSpaceDN w:val="0"/>
      <w:ind w:firstLine="720"/>
      <w:jc w:val="both"/>
    </w:pPr>
    <w:rPr>
      <w:sz w:val="24"/>
      <w:szCs w:val="24"/>
    </w:rPr>
  </w:style>
  <w:style w:type="paragraph" w:styleId="BodyTextIndent2">
    <w:name w:val="Body Text Indent 2"/>
    <w:basedOn w:val="Normal"/>
    <w:rsid w:val="001F4EF5"/>
    <w:pPr>
      <w:autoSpaceDE w:val="0"/>
      <w:autoSpaceDN w:val="0"/>
      <w:ind w:left="720"/>
      <w:jc w:val="both"/>
    </w:pPr>
    <w:rPr>
      <w:sz w:val="24"/>
      <w:szCs w:val="24"/>
    </w:rPr>
  </w:style>
  <w:style w:type="paragraph" w:styleId="BodyTextIndent3">
    <w:name w:val="Body Text Indent 3"/>
    <w:basedOn w:val="Normal"/>
    <w:rsid w:val="001F4EF5"/>
    <w:pPr>
      <w:ind w:firstLine="720"/>
    </w:pPr>
    <w:rPr>
      <w:sz w:val="24"/>
      <w:szCs w:val="24"/>
    </w:rPr>
  </w:style>
  <w:style w:type="paragraph" w:styleId="BodyText2">
    <w:name w:val="Body Text 2"/>
    <w:basedOn w:val="Normal"/>
    <w:rsid w:val="001F4EF5"/>
    <w:pPr>
      <w:jc w:val="both"/>
    </w:pPr>
    <w:rPr>
      <w:sz w:val="24"/>
    </w:rPr>
  </w:style>
  <w:style w:type="paragraph" w:styleId="DocumentMap">
    <w:name w:val="Document Map"/>
    <w:basedOn w:val="Normal"/>
    <w:semiHidden/>
    <w:rsid w:val="001F4EF5"/>
    <w:pPr>
      <w:shd w:val="clear" w:color="auto" w:fill="000080"/>
    </w:pPr>
    <w:rPr>
      <w:rFonts w:ascii="Tahoma" w:hAnsi="Tahoma" w:cs="Tahoma"/>
    </w:rPr>
  </w:style>
  <w:style w:type="paragraph" w:styleId="BalloonText">
    <w:name w:val="Balloon Text"/>
    <w:basedOn w:val="Normal"/>
    <w:semiHidden/>
    <w:rsid w:val="001F4EF5"/>
    <w:rPr>
      <w:rFonts w:ascii="Tahoma" w:hAnsi="Tahoma" w:cs="Tahoma"/>
      <w:sz w:val="16"/>
      <w:szCs w:val="16"/>
    </w:rPr>
  </w:style>
  <w:style w:type="character" w:customStyle="1" w:styleId="a">
    <w:name w:val="a"/>
    <w:basedOn w:val="DefaultParagraphFont"/>
    <w:rsid w:val="001F4EF5"/>
  </w:style>
  <w:style w:type="paragraph" w:styleId="ListParagraph">
    <w:name w:val="List Paragraph"/>
    <w:basedOn w:val="Normal"/>
    <w:uiPriority w:val="34"/>
    <w:qFormat/>
    <w:rsid w:val="00DE3B2F"/>
    <w:pPr>
      <w:ind w:left="720"/>
      <w:contextualSpacing/>
    </w:pPr>
  </w:style>
  <w:style w:type="paragraph" w:styleId="FootnoteText">
    <w:name w:val="footnote text"/>
    <w:basedOn w:val="Normal"/>
    <w:link w:val="FootnoteTextChar"/>
    <w:rsid w:val="009D5E04"/>
  </w:style>
  <w:style w:type="character" w:customStyle="1" w:styleId="FootnoteTextChar">
    <w:name w:val="Footnote Text Char"/>
    <w:basedOn w:val="DefaultParagraphFont"/>
    <w:link w:val="FootnoteText"/>
    <w:rsid w:val="009D5E04"/>
  </w:style>
  <w:style w:type="character" w:styleId="FootnoteReference">
    <w:name w:val="footnote reference"/>
    <w:basedOn w:val="DefaultParagraphFont"/>
    <w:rsid w:val="009D5E04"/>
    <w:rPr>
      <w:vertAlign w:val="superscript"/>
    </w:rPr>
  </w:style>
  <w:style w:type="paragraph" w:styleId="HTMLPreformatted">
    <w:name w:val="HTML Preformatted"/>
    <w:basedOn w:val="Normal"/>
    <w:link w:val="HTMLPreformattedChar"/>
    <w:uiPriority w:val="99"/>
    <w:unhideWhenUsed/>
    <w:rsid w:val="009D5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D5E04"/>
    <w:rPr>
      <w:rFonts w:ascii="Courier New" w:hAnsi="Courier New" w:cs="Courier New"/>
    </w:rPr>
  </w:style>
  <w:style w:type="character" w:styleId="CommentReference">
    <w:name w:val="annotation reference"/>
    <w:basedOn w:val="DefaultParagraphFont"/>
    <w:rsid w:val="00D33D78"/>
    <w:rPr>
      <w:sz w:val="16"/>
      <w:szCs w:val="16"/>
    </w:rPr>
  </w:style>
  <w:style w:type="paragraph" w:styleId="CommentText">
    <w:name w:val="annotation text"/>
    <w:basedOn w:val="Normal"/>
    <w:link w:val="CommentTextChar"/>
    <w:rsid w:val="00D33D78"/>
  </w:style>
  <w:style w:type="character" w:customStyle="1" w:styleId="CommentTextChar">
    <w:name w:val="Comment Text Char"/>
    <w:basedOn w:val="DefaultParagraphFont"/>
    <w:link w:val="CommentText"/>
    <w:rsid w:val="00D33D78"/>
  </w:style>
  <w:style w:type="paragraph" w:styleId="CommentSubject">
    <w:name w:val="annotation subject"/>
    <w:basedOn w:val="CommentText"/>
    <w:next w:val="CommentText"/>
    <w:link w:val="CommentSubjectChar"/>
    <w:rsid w:val="00D33D78"/>
    <w:rPr>
      <w:b/>
      <w:bCs/>
    </w:rPr>
  </w:style>
  <w:style w:type="character" w:customStyle="1" w:styleId="CommentSubjectChar">
    <w:name w:val="Comment Subject Char"/>
    <w:basedOn w:val="CommentTextChar"/>
    <w:link w:val="CommentSubject"/>
    <w:rsid w:val="00D33D78"/>
    <w:rPr>
      <w:b/>
      <w:bCs/>
    </w:rPr>
  </w:style>
  <w:style w:type="paragraph" w:styleId="Revision">
    <w:name w:val="Revision"/>
    <w:hidden/>
    <w:uiPriority w:val="99"/>
    <w:semiHidden/>
    <w:rsid w:val="007F21E4"/>
  </w:style>
  <w:style w:type="character" w:customStyle="1" w:styleId="FooterChar">
    <w:name w:val="Footer Char"/>
    <w:basedOn w:val="DefaultParagraphFont"/>
    <w:link w:val="Footer"/>
    <w:uiPriority w:val="99"/>
    <w:rsid w:val="00262E99"/>
  </w:style>
</w:styles>
</file>

<file path=word/webSettings.xml><?xml version="1.0" encoding="utf-8"?>
<w:webSettings xmlns:r="http://schemas.openxmlformats.org/officeDocument/2006/relationships" xmlns:w="http://schemas.openxmlformats.org/wordprocessingml/2006/main">
  <w:divs>
    <w:div w:id="67653796">
      <w:bodyDiv w:val="1"/>
      <w:marLeft w:val="0"/>
      <w:marRight w:val="0"/>
      <w:marTop w:val="0"/>
      <w:marBottom w:val="0"/>
      <w:divBdr>
        <w:top w:val="none" w:sz="0" w:space="0" w:color="auto"/>
        <w:left w:val="none" w:sz="0" w:space="0" w:color="auto"/>
        <w:bottom w:val="none" w:sz="0" w:space="0" w:color="auto"/>
        <w:right w:val="none" w:sz="0" w:space="0" w:color="auto"/>
      </w:divBdr>
    </w:div>
    <w:div w:id="528570370">
      <w:bodyDiv w:val="1"/>
      <w:marLeft w:val="0"/>
      <w:marRight w:val="0"/>
      <w:marTop w:val="0"/>
      <w:marBottom w:val="0"/>
      <w:divBdr>
        <w:top w:val="none" w:sz="0" w:space="0" w:color="auto"/>
        <w:left w:val="none" w:sz="0" w:space="0" w:color="auto"/>
        <w:bottom w:val="none" w:sz="0" w:space="0" w:color="auto"/>
        <w:right w:val="none" w:sz="0" w:space="0" w:color="auto"/>
      </w:divBdr>
    </w:div>
    <w:div w:id="14464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2.ed.gov/about/offices/list/ocr/edlite-minorityinst-list-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ADD6-66A8-4A4A-8F40-2E5E8E9C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1175</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DoD IASP SFS RFP - AY 2005 - 2006</vt:lpstr>
    </vt:vector>
  </TitlesOfParts>
  <Manager>Christine Nickell</Manager>
  <Company> DoD IASP</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IASP SFS RFP - AY 2005 - 2006</dc:title>
  <dc:subject>10 USC 2200 - Scholarship Solicitation</dc:subject>
  <dc:creator>T. Nickell</dc:creator>
  <cp:keywords/>
  <dc:description/>
  <cp:lastModifiedBy>WhiteFM</cp:lastModifiedBy>
  <cp:revision>6</cp:revision>
  <cp:lastPrinted>2010-11-02T17:30:00Z</cp:lastPrinted>
  <dcterms:created xsi:type="dcterms:W3CDTF">2011-10-24T21:32:00Z</dcterms:created>
  <dcterms:modified xsi:type="dcterms:W3CDTF">2011-10-27T21:12:00Z</dcterms:modified>
  <cp:category>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459912752</vt:i4>
  </property>
  <property fmtid="{D5CDD505-2E9C-101B-9397-08002B2CF9AE}" pid="3" name="_NewReviewCycle">
    <vt:lpwstr/>
  </property>
  <property fmtid="{D5CDD505-2E9C-101B-9397-08002B2CF9AE}" pid="4" name="_EmailEntryID">
    <vt:lpwstr>000000005CD8D3D40555534CB9647E39F557C5DE070023E61A068D92D84D927B389905BD5C08000004734DFD00001335445C1479EF41AEFB10F3AEB94E41000002DE88600000</vt:lpwstr>
  </property>
  <property fmtid="{D5CDD505-2E9C-101B-9397-08002B2CF9AE}" pid="5" name="_ReviewingToolsShownOnce">
    <vt:lpwstr/>
  </property>
</Properties>
</file>