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B08" w:rsidRPr="007431C0" w:rsidRDefault="009E6B08" w:rsidP="003551DC">
      <w:pPr>
        <w:spacing w:after="0" w:line="240" w:lineRule="auto"/>
        <w:jc w:val="center"/>
        <w:rPr>
          <w:rFonts w:ascii="Times New Roman" w:hAnsi="Times New Roman" w:cs="Times New Roman"/>
          <w:b/>
          <w:bCs/>
          <w:sz w:val="24"/>
          <w:szCs w:val="24"/>
        </w:rPr>
      </w:pPr>
      <w:r w:rsidRPr="007431C0">
        <w:rPr>
          <w:rFonts w:ascii="Times New Roman" w:hAnsi="Times New Roman" w:cs="Times New Roman"/>
          <w:b/>
          <w:bCs/>
          <w:sz w:val="24"/>
          <w:szCs w:val="24"/>
        </w:rPr>
        <w:t>SUPPORTING STATEMENT</w:t>
      </w:r>
    </w:p>
    <w:p w:rsidR="009D707C" w:rsidRPr="007431C0" w:rsidRDefault="002D3D88" w:rsidP="003551DC">
      <w:pPr>
        <w:spacing w:after="0" w:line="240" w:lineRule="auto"/>
        <w:jc w:val="center"/>
        <w:rPr>
          <w:rFonts w:ascii="Times New Roman" w:hAnsi="Times New Roman" w:cs="Times New Roman"/>
          <w:b/>
          <w:bCs/>
          <w:sz w:val="24"/>
          <w:szCs w:val="24"/>
        </w:rPr>
      </w:pPr>
      <w:r w:rsidRPr="007431C0">
        <w:rPr>
          <w:rFonts w:ascii="Times New Roman" w:hAnsi="Times New Roman" w:cs="Times New Roman"/>
          <w:b/>
          <w:bCs/>
          <w:sz w:val="24"/>
          <w:szCs w:val="24"/>
        </w:rPr>
        <w:t xml:space="preserve">ALASKA LICENSE LIMITATION </w:t>
      </w:r>
      <w:r w:rsidR="009D707C" w:rsidRPr="007431C0">
        <w:rPr>
          <w:rFonts w:ascii="Times New Roman" w:hAnsi="Times New Roman" w:cs="Times New Roman"/>
          <w:b/>
          <w:bCs/>
          <w:sz w:val="24"/>
          <w:szCs w:val="24"/>
        </w:rPr>
        <w:t xml:space="preserve">(LLP) </w:t>
      </w:r>
      <w:r w:rsidRPr="007431C0">
        <w:rPr>
          <w:rFonts w:ascii="Times New Roman" w:hAnsi="Times New Roman" w:cs="Times New Roman"/>
          <w:b/>
          <w:bCs/>
          <w:sz w:val="24"/>
          <w:szCs w:val="24"/>
        </w:rPr>
        <w:t xml:space="preserve">PROGRAM </w:t>
      </w:r>
    </w:p>
    <w:p w:rsidR="002D3D88" w:rsidRPr="007431C0" w:rsidRDefault="002D3D88" w:rsidP="003551DC">
      <w:pPr>
        <w:spacing w:after="0" w:line="240" w:lineRule="auto"/>
        <w:jc w:val="center"/>
        <w:rPr>
          <w:rFonts w:ascii="Times New Roman" w:hAnsi="Times New Roman" w:cs="Times New Roman"/>
          <w:b/>
          <w:bCs/>
          <w:sz w:val="24"/>
          <w:szCs w:val="24"/>
        </w:rPr>
      </w:pPr>
      <w:r w:rsidRPr="007431C0">
        <w:rPr>
          <w:rFonts w:ascii="Times New Roman" w:hAnsi="Times New Roman" w:cs="Times New Roman"/>
          <w:b/>
          <w:bCs/>
          <w:sz w:val="24"/>
          <w:szCs w:val="24"/>
        </w:rPr>
        <w:t>FOR GROUNDFISH, CRAB,</w:t>
      </w:r>
      <w:r w:rsidR="003551DC" w:rsidRPr="007431C0">
        <w:rPr>
          <w:rFonts w:ascii="Times New Roman" w:hAnsi="Times New Roman" w:cs="Times New Roman"/>
          <w:b/>
          <w:bCs/>
          <w:sz w:val="24"/>
          <w:szCs w:val="24"/>
        </w:rPr>
        <w:t xml:space="preserve"> </w:t>
      </w:r>
      <w:r w:rsidRPr="007431C0">
        <w:rPr>
          <w:rFonts w:ascii="Times New Roman" w:hAnsi="Times New Roman" w:cs="Times New Roman"/>
          <w:b/>
          <w:bCs/>
          <w:sz w:val="24"/>
          <w:szCs w:val="24"/>
        </w:rPr>
        <w:t>AND SCALLOPS</w:t>
      </w:r>
    </w:p>
    <w:p w:rsidR="002D3D88" w:rsidRPr="007431C0" w:rsidRDefault="002D3D88" w:rsidP="002D3D88">
      <w:pPr>
        <w:jc w:val="center"/>
        <w:rPr>
          <w:rFonts w:ascii="Times New Roman" w:hAnsi="Times New Roman" w:cs="Times New Roman"/>
          <w:sz w:val="24"/>
          <w:szCs w:val="24"/>
        </w:rPr>
      </w:pPr>
      <w:r w:rsidRPr="007431C0">
        <w:rPr>
          <w:rFonts w:ascii="Times New Roman" w:hAnsi="Times New Roman" w:cs="Times New Roman"/>
          <w:b/>
          <w:bCs/>
          <w:sz w:val="24"/>
          <w:szCs w:val="24"/>
        </w:rPr>
        <w:t>OMB CONTROL NO. 0648-0334</w:t>
      </w:r>
    </w:p>
    <w:p w:rsidR="009E6B08" w:rsidRPr="007431C0" w:rsidRDefault="009E6B08" w:rsidP="004A794F">
      <w:pPr>
        <w:spacing w:after="0" w:line="240" w:lineRule="auto"/>
        <w:rPr>
          <w:rFonts w:ascii="Times New Roman" w:hAnsi="Times New Roman" w:cs="Times New Roman"/>
          <w:b/>
          <w:sz w:val="24"/>
          <w:szCs w:val="24"/>
        </w:rPr>
      </w:pPr>
      <w:r w:rsidRPr="007431C0">
        <w:rPr>
          <w:rFonts w:ascii="Times New Roman" w:hAnsi="Times New Roman" w:cs="Times New Roman"/>
          <w:b/>
          <w:sz w:val="24"/>
          <w:szCs w:val="24"/>
        </w:rPr>
        <w:t>INTRODUCTION</w:t>
      </w:r>
    </w:p>
    <w:p w:rsidR="009E6B08" w:rsidRPr="007431C0" w:rsidRDefault="009E6B08" w:rsidP="004A794F">
      <w:pPr>
        <w:spacing w:after="0" w:line="240" w:lineRule="auto"/>
        <w:rPr>
          <w:rFonts w:ascii="Times New Roman" w:hAnsi="Times New Roman" w:cs="Times New Roman"/>
          <w:sz w:val="24"/>
          <w:szCs w:val="24"/>
        </w:rPr>
      </w:pPr>
    </w:p>
    <w:p w:rsidR="002466D6" w:rsidRPr="002466D6" w:rsidRDefault="002466D6" w:rsidP="002466D6">
      <w:pPr>
        <w:spacing w:after="0" w:line="240" w:lineRule="auto"/>
        <w:rPr>
          <w:rFonts w:ascii="Times New Roman" w:hAnsi="Times New Roman" w:cs="Times New Roman"/>
          <w:i/>
          <w:sz w:val="24"/>
          <w:szCs w:val="24"/>
        </w:rPr>
      </w:pPr>
      <w:r w:rsidRPr="002466D6">
        <w:rPr>
          <w:rFonts w:ascii="Times New Roman" w:hAnsi="Times New Roman" w:cs="Times New Roman"/>
          <w:i/>
          <w:sz w:val="24"/>
          <w:szCs w:val="24"/>
        </w:rPr>
        <w:t xml:space="preserve">This request is a resubmission of a revision with the final rule, of this collection due to Amendment 83 to the Fishery Management Plan for </w:t>
      </w:r>
      <w:proofErr w:type="spellStart"/>
      <w:r w:rsidRPr="002466D6">
        <w:rPr>
          <w:rFonts w:ascii="Times New Roman" w:hAnsi="Times New Roman" w:cs="Times New Roman"/>
          <w:i/>
          <w:sz w:val="24"/>
          <w:szCs w:val="24"/>
        </w:rPr>
        <w:t>Groundfish</w:t>
      </w:r>
      <w:proofErr w:type="spellEnd"/>
      <w:r w:rsidRPr="002466D6">
        <w:rPr>
          <w:rFonts w:ascii="Times New Roman" w:hAnsi="Times New Roman" w:cs="Times New Roman"/>
          <w:i/>
          <w:sz w:val="24"/>
          <w:szCs w:val="24"/>
        </w:rPr>
        <w:t xml:space="preserve"> of the Gulf of Alaska, as described in the proposed rule Regulation Identifier Number (RIN) 0648-AY53.  There were no changes due to comments on the proposed rule.</w:t>
      </w:r>
    </w:p>
    <w:p w:rsidR="002466D6" w:rsidRDefault="002466D6" w:rsidP="004A794F">
      <w:pPr>
        <w:spacing w:after="0" w:line="240" w:lineRule="auto"/>
        <w:rPr>
          <w:rFonts w:ascii="Times New Roman" w:hAnsi="Times New Roman" w:cs="Times New Roman"/>
          <w:sz w:val="24"/>
          <w:szCs w:val="24"/>
        </w:rPr>
      </w:pPr>
    </w:p>
    <w:p w:rsidR="009E6B08" w:rsidRPr="007431C0" w:rsidRDefault="009E6B08" w:rsidP="004A794F">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National Marine Fisheries Service, Alaska Region (NMFS) manages the fisheries in the exclusive economic zone off the coast of Alaska under the Fishery Management Plan for Groundfish of the Gulf of Alaska, the Fishery Management Plans (FMP) for: 1) Groundfish of the Gulf of Alaska</w:t>
      </w:r>
      <w:r w:rsidR="00BE4FAE" w:rsidRPr="007431C0">
        <w:rPr>
          <w:rFonts w:ascii="Times New Roman" w:hAnsi="Times New Roman" w:cs="Times New Roman"/>
          <w:sz w:val="24"/>
          <w:szCs w:val="24"/>
        </w:rPr>
        <w:t xml:space="preserve"> (GOA)</w:t>
      </w:r>
      <w:r w:rsidRPr="007431C0">
        <w:rPr>
          <w:rFonts w:ascii="Times New Roman" w:hAnsi="Times New Roman" w:cs="Times New Roman"/>
          <w:sz w:val="24"/>
          <w:szCs w:val="24"/>
        </w:rPr>
        <w:t>, 2) Groundfish of the Bering Sea and Aleutian Islands Management Area, 3) Bering Sea/Aleutian Islands</w:t>
      </w:r>
      <w:r w:rsidR="00BE4FAE" w:rsidRPr="007431C0">
        <w:rPr>
          <w:rFonts w:ascii="Times New Roman" w:hAnsi="Times New Roman" w:cs="Times New Roman"/>
          <w:sz w:val="24"/>
          <w:szCs w:val="24"/>
        </w:rPr>
        <w:t xml:space="preserve"> (BSAI</w:t>
      </w:r>
      <w:r w:rsidR="00D43BF2" w:rsidRPr="007431C0">
        <w:rPr>
          <w:rFonts w:ascii="Times New Roman" w:hAnsi="Times New Roman" w:cs="Times New Roman"/>
          <w:sz w:val="24"/>
          <w:szCs w:val="24"/>
        </w:rPr>
        <w:t>) King</w:t>
      </w:r>
      <w:r w:rsidRPr="007431C0">
        <w:rPr>
          <w:rFonts w:ascii="Times New Roman" w:hAnsi="Times New Roman" w:cs="Times New Roman"/>
          <w:sz w:val="24"/>
          <w:szCs w:val="24"/>
        </w:rPr>
        <w:t xml:space="preserve"> and Tanner Crabs, and the 4) the Scallop Fishery off Alaska.  Under the Scallop FMP, management of all aspects of the scallop fishery, except limited access, is del</w:t>
      </w:r>
      <w:r w:rsidR="00270D04" w:rsidRPr="007431C0">
        <w:rPr>
          <w:rFonts w:ascii="Times New Roman" w:hAnsi="Times New Roman" w:cs="Times New Roman"/>
          <w:sz w:val="24"/>
          <w:szCs w:val="24"/>
        </w:rPr>
        <w:t xml:space="preserve">egated to the State of Alaska. </w:t>
      </w:r>
      <w:r w:rsidRPr="007431C0">
        <w:rPr>
          <w:rFonts w:ascii="Times New Roman" w:hAnsi="Times New Roman" w:cs="Times New Roman"/>
          <w:sz w:val="24"/>
          <w:szCs w:val="24"/>
        </w:rPr>
        <w:t xml:space="preserve">The North Pacific Fishery Management Council (Council) prepared, and NMFS approved, the FMPs under the authority of the </w:t>
      </w:r>
      <w:hyperlink r:id="rId6" w:history="1">
        <w:r w:rsidRPr="007431C0">
          <w:rPr>
            <w:rStyle w:val="Hyperlink"/>
            <w:rFonts w:ascii="Times New Roman" w:hAnsi="Times New Roman" w:cs="Times New Roman"/>
            <w:sz w:val="24"/>
            <w:szCs w:val="24"/>
          </w:rPr>
          <w:t>Magnuson-Stevens Fishery Conservation and Management Act</w:t>
        </w:r>
      </w:hyperlink>
      <w:r w:rsidRPr="007431C0">
        <w:rPr>
          <w:rFonts w:ascii="Times New Roman" w:hAnsi="Times New Roman" w:cs="Times New Roman"/>
          <w:sz w:val="24"/>
          <w:szCs w:val="24"/>
        </w:rPr>
        <w:t xml:space="preserve">, 16 U.S.C. 1801 </w:t>
      </w:r>
      <w:r w:rsidRPr="007431C0">
        <w:rPr>
          <w:rFonts w:ascii="Times New Roman" w:hAnsi="Times New Roman" w:cs="Times New Roman"/>
          <w:i/>
          <w:sz w:val="24"/>
          <w:szCs w:val="24"/>
        </w:rPr>
        <w:t>et seq</w:t>
      </w:r>
      <w:r w:rsidRPr="007431C0">
        <w:rPr>
          <w:rFonts w:ascii="Times New Roman" w:hAnsi="Times New Roman" w:cs="Times New Roman"/>
          <w:sz w:val="24"/>
          <w:szCs w:val="24"/>
        </w:rPr>
        <w:t xml:space="preserve">. as amended in 2006.  These FMPs are implemented by regulations at </w:t>
      </w:r>
      <w:hyperlink r:id="rId7" w:history="1">
        <w:r w:rsidRPr="007431C0">
          <w:rPr>
            <w:rStyle w:val="Hyperlink"/>
            <w:rFonts w:ascii="Times New Roman" w:hAnsi="Times New Roman" w:cs="Times New Roman"/>
            <w:sz w:val="24"/>
            <w:szCs w:val="24"/>
          </w:rPr>
          <w:t>50 CFR part 679</w:t>
        </w:r>
      </w:hyperlink>
      <w:r w:rsidRPr="007431C0">
        <w:rPr>
          <w:rFonts w:ascii="Times New Roman" w:hAnsi="Times New Roman" w:cs="Times New Roman"/>
          <w:sz w:val="24"/>
          <w:szCs w:val="24"/>
        </w:rPr>
        <w:t>.</w:t>
      </w:r>
    </w:p>
    <w:p w:rsidR="009E6B08" w:rsidRPr="007431C0" w:rsidRDefault="009E6B08" w:rsidP="004A794F">
      <w:pPr>
        <w:spacing w:after="0" w:line="240" w:lineRule="auto"/>
        <w:rPr>
          <w:rFonts w:ascii="Times New Roman" w:hAnsi="Times New Roman" w:cs="Times New Roman"/>
          <w:sz w:val="24"/>
          <w:szCs w:val="24"/>
        </w:rPr>
      </w:pPr>
    </w:p>
    <w:p w:rsidR="0070041B" w:rsidRPr="007431C0" w:rsidRDefault="0070041B" w:rsidP="004A794F">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Pacific cod (</w:t>
      </w:r>
      <w:r w:rsidRPr="007431C0">
        <w:rPr>
          <w:rFonts w:ascii="Times New Roman" w:hAnsi="Times New Roman" w:cs="Times New Roman"/>
          <w:i/>
          <w:sz w:val="24"/>
          <w:szCs w:val="24"/>
        </w:rPr>
        <w:t>Gadus macrocephalus</w:t>
      </w:r>
      <w:r w:rsidRPr="007431C0">
        <w:rPr>
          <w:rFonts w:ascii="Times New Roman" w:hAnsi="Times New Roman" w:cs="Times New Roman"/>
          <w:sz w:val="24"/>
          <w:szCs w:val="24"/>
        </w:rPr>
        <w:t xml:space="preserve">) is a valuable </w:t>
      </w:r>
      <w:r w:rsidR="009E6B08" w:rsidRPr="007431C0">
        <w:rPr>
          <w:rFonts w:ascii="Times New Roman" w:hAnsi="Times New Roman" w:cs="Times New Roman"/>
          <w:sz w:val="24"/>
          <w:szCs w:val="24"/>
        </w:rPr>
        <w:t>ground</w:t>
      </w:r>
      <w:r w:rsidRPr="007431C0">
        <w:rPr>
          <w:rFonts w:ascii="Times New Roman" w:hAnsi="Times New Roman" w:cs="Times New Roman"/>
          <w:sz w:val="24"/>
          <w:szCs w:val="24"/>
        </w:rPr>
        <w:t xml:space="preserve">fish resource in the </w:t>
      </w:r>
      <w:r w:rsidR="000B0C3B">
        <w:rPr>
          <w:rFonts w:ascii="Times New Roman" w:hAnsi="Times New Roman" w:cs="Times New Roman"/>
          <w:sz w:val="24"/>
          <w:szCs w:val="24"/>
        </w:rPr>
        <w:t xml:space="preserve">GOA </w:t>
      </w:r>
      <w:proofErr w:type="gramStart"/>
      <w:r w:rsidR="000B0C3B">
        <w:rPr>
          <w:rFonts w:ascii="Times New Roman" w:hAnsi="Times New Roman" w:cs="Times New Roman"/>
          <w:sz w:val="24"/>
          <w:szCs w:val="24"/>
        </w:rPr>
        <w:t xml:space="preserve">and </w:t>
      </w:r>
      <w:r w:rsidRPr="007431C0">
        <w:rPr>
          <w:rFonts w:ascii="Times New Roman" w:hAnsi="Times New Roman" w:cs="Times New Roman"/>
          <w:sz w:val="24"/>
          <w:szCs w:val="24"/>
        </w:rPr>
        <w:t xml:space="preserve"> is</w:t>
      </w:r>
      <w:proofErr w:type="gramEnd"/>
      <w:r w:rsidRPr="007431C0">
        <w:rPr>
          <w:rFonts w:ascii="Times New Roman" w:hAnsi="Times New Roman" w:cs="Times New Roman"/>
          <w:sz w:val="24"/>
          <w:szCs w:val="24"/>
        </w:rPr>
        <w:t xml:space="preserve"> second to walleye pollock (</w:t>
      </w:r>
      <w:r w:rsidRPr="007431C0">
        <w:rPr>
          <w:rFonts w:ascii="Times New Roman" w:hAnsi="Times New Roman" w:cs="Times New Roman"/>
          <w:i/>
          <w:sz w:val="24"/>
          <w:szCs w:val="24"/>
        </w:rPr>
        <w:t>Theragra chalcogramma</w:t>
      </w:r>
      <w:r w:rsidRPr="007431C0">
        <w:rPr>
          <w:rFonts w:ascii="Times New Roman" w:hAnsi="Times New Roman" w:cs="Times New Roman"/>
          <w:sz w:val="24"/>
          <w:szCs w:val="24"/>
        </w:rPr>
        <w:t xml:space="preserve">) as the dominant species of the commercial groundfish catch in the GOA.  As one of the most valuable fish species in the GOA, Pacific cod is the primary species targeted by vessels using pot and hook-and-line gear and is an important species for vessels using the trawl gear.  Smaller amounts of Pacific cod are taken by vessels using jig gear.  </w:t>
      </w:r>
    </w:p>
    <w:p w:rsidR="0070041B" w:rsidRPr="007431C0" w:rsidRDefault="0070041B" w:rsidP="004A794F">
      <w:pPr>
        <w:spacing w:after="0" w:line="240" w:lineRule="auto"/>
        <w:rPr>
          <w:rFonts w:ascii="Times New Roman" w:hAnsi="Times New Roman" w:cs="Times New Roman"/>
          <w:sz w:val="24"/>
          <w:szCs w:val="24"/>
        </w:rPr>
      </w:pPr>
    </w:p>
    <w:p w:rsidR="00E03EDD" w:rsidRPr="007431C0" w:rsidRDefault="004A794F" w:rsidP="0052696B">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The North Pacific Fishery Management Council (Council) and NMFS established the </w:t>
      </w:r>
      <w:r w:rsidR="0052696B" w:rsidRPr="007431C0">
        <w:rPr>
          <w:rFonts w:ascii="Times New Roman" w:hAnsi="Times New Roman" w:cs="Times New Roman"/>
          <w:sz w:val="24"/>
          <w:szCs w:val="24"/>
        </w:rPr>
        <w:t xml:space="preserve">License Limitation Program (LLP) </w:t>
      </w:r>
      <w:r w:rsidRPr="007431C0">
        <w:rPr>
          <w:rFonts w:ascii="Times New Roman" w:hAnsi="Times New Roman" w:cs="Times New Roman"/>
          <w:sz w:val="24"/>
          <w:szCs w:val="24"/>
        </w:rPr>
        <w:t xml:space="preserve">which </w:t>
      </w:r>
      <w:r w:rsidR="0052696B" w:rsidRPr="007431C0">
        <w:rPr>
          <w:rFonts w:ascii="Times New Roman" w:hAnsi="Times New Roman" w:cs="Times New Roman"/>
          <w:sz w:val="24"/>
          <w:szCs w:val="24"/>
        </w:rPr>
        <w:t>limits access to the groundfish, crab, and scallop fisheries in the Bering Sea and Aleutian Islands</w:t>
      </w:r>
      <w:r w:rsidR="000B0C3B">
        <w:rPr>
          <w:rFonts w:ascii="Times New Roman" w:hAnsi="Times New Roman" w:cs="Times New Roman"/>
          <w:sz w:val="24"/>
          <w:szCs w:val="24"/>
        </w:rPr>
        <w:t xml:space="preserve"> (BSAI)</w:t>
      </w:r>
      <w:r w:rsidR="0052696B" w:rsidRPr="007431C0">
        <w:rPr>
          <w:rFonts w:ascii="Times New Roman" w:hAnsi="Times New Roman" w:cs="Times New Roman"/>
          <w:sz w:val="24"/>
          <w:szCs w:val="24"/>
        </w:rPr>
        <w:t xml:space="preserve"> Management Area </w:t>
      </w:r>
      <w:r w:rsidR="000B0C3B">
        <w:rPr>
          <w:rFonts w:ascii="Times New Roman" w:hAnsi="Times New Roman" w:cs="Times New Roman"/>
          <w:sz w:val="24"/>
          <w:szCs w:val="24"/>
        </w:rPr>
        <w:t>and GOA</w:t>
      </w:r>
      <w:r w:rsidR="0052696B" w:rsidRPr="007431C0">
        <w:rPr>
          <w:rFonts w:ascii="Times New Roman" w:hAnsi="Times New Roman" w:cs="Times New Roman"/>
          <w:sz w:val="24"/>
          <w:szCs w:val="24"/>
        </w:rPr>
        <w:t>. The LLP is</w:t>
      </w:r>
      <w:r w:rsidR="004220F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 xml:space="preserve">intended to limit entry into </w:t>
      </w:r>
      <w:r w:rsidR="004220FB" w:rsidRPr="007431C0">
        <w:rPr>
          <w:rFonts w:ascii="Times New Roman" w:hAnsi="Times New Roman" w:cs="Times New Roman"/>
          <w:sz w:val="24"/>
          <w:szCs w:val="24"/>
        </w:rPr>
        <w:t>F</w:t>
      </w:r>
      <w:r w:rsidR="0052696B" w:rsidRPr="007431C0">
        <w:rPr>
          <w:rFonts w:ascii="Times New Roman" w:hAnsi="Times New Roman" w:cs="Times New Roman"/>
          <w:sz w:val="24"/>
          <w:szCs w:val="24"/>
        </w:rPr>
        <w:t>ederally</w:t>
      </w:r>
      <w:r w:rsidR="004220F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managed fisheries. For groundfish, the</w:t>
      </w:r>
      <w:r w:rsidR="0070041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LLP requires that persons hold and</w:t>
      </w:r>
      <w:r w:rsidR="004220F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assign a license for each vessel that is</w:t>
      </w:r>
      <w:r w:rsidR="004220F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 xml:space="preserve">used to fish in </w:t>
      </w:r>
      <w:r w:rsidR="004220FB" w:rsidRPr="007431C0">
        <w:rPr>
          <w:rFonts w:ascii="Times New Roman" w:hAnsi="Times New Roman" w:cs="Times New Roman"/>
          <w:sz w:val="24"/>
          <w:szCs w:val="24"/>
        </w:rPr>
        <w:t>F</w:t>
      </w:r>
      <w:r w:rsidR="0052696B" w:rsidRPr="007431C0">
        <w:rPr>
          <w:rFonts w:ascii="Times New Roman" w:hAnsi="Times New Roman" w:cs="Times New Roman"/>
          <w:sz w:val="24"/>
          <w:szCs w:val="24"/>
        </w:rPr>
        <w:t>ederally managed</w:t>
      </w:r>
      <w:r w:rsidR="004220F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fisheries, with some limited</w:t>
      </w:r>
      <w:r w:rsidR="004220FB" w:rsidRPr="007431C0">
        <w:rPr>
          <w:rFonts w:ascii="Times New Roman" w:hAnsi="Times New Roman" w:cs="Times New Roman"/>
          <w:sz w:val="24"/>
          <w:szCs w:val="24"/>
        </w:rPr>
        <w:t xml:space="preserve"> </w:t>
      </w:r>
      <w:r w:rsidR="0052696B" w:rsidRPr="007431C0">
        <w:rPr>
          <w:rFonts w:ascii="Times New Roman" w:hAnsi="Times New Roman" w:cs="Times New Roman"/>
          <w:sz w:val="24"/>
          <w:szCs w:val="24"/>
        </w:rPr>
        <w:t>exemptions.</w:t>
      </w:r>
      <w:r w:rsidR="004220FB" w:rsidRPr="007431C0">
        <w:rPr>
          <w:rFonts w:ascii="Times New Roman" w:hAnsi="Times New Roman" w:cs="Times New Roman"/>
          <w:sz w:val="24"/>
          <w:szCs w:val="24"/>
        </w:rPr>
        <w:t xml:space="preserve">  </w:t>
      </w:r>
    </w:p>
    <w:p w:rsidR="00E03EDD" w:rsidRPr="007431C0" w:rsidRDefault="00E03EDD" w:rsidP="0052696B">
      <w:pPr>
        <w:spacing w:after="0" w:line="240" w:lineRule="auto"/>
        <w:rPr>
          <w:rFonts w:ascii="Times New Roman" w:hAnsi="Times New Roman" w:cs="Times New Roman"/>
          <w:sz w:val="24"/>
          <w:szCs w:val="24"/>
        </w:rPr>
      </w:pPr>
    </w:p>
    <w:p w:rsidR="00154E2F" w:rsidRPr="007431C0" w:rsidRDefault="00154E2F" w:rsidP="004B784B">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The Council established the </w:t>
      </w:r>
      <w:r w:rsidR="003A58C1" w:rsidRPr="007431C0">
        <w:rPr>
          <w:rFonts w:ascii="Times New Roman" w:hAnsi="Times New Roman" w:cs="Times New Roman"/>
          <w:sz w:val="24"/>
          <w:szCs w:val="24"/>
        </w:rPr>
        <w:t>Community Quota Entity (</w:t>
      </w:r>
      <w:r w:rsidRPr="007431C0">
        <w:rPr>
          <w:rFonts w:ascii="Times New Roman" w:hAnsi="Times New Roman" w:cs="Times New Roman"/>
          <w:sz w:val="24"/>
          <w:szCs w:val="24"/>
        </w:rPr>
        <w:t>CQE</w:t>
      </w:r>
      <w:r w:rsidR="003A58C1" w:rsidRPr="007431C0">
        <w:rPr>
          <w:rFonts w:ascii="Times New Roman" w:hAnsi="Times New Roman" w:cs="Times New Roman"/>
          <w:sz w:val="24"/>
          <w:szCs w:val="24"/>
        </w:rPr>
        <w:t>)</w:t>
      </w:r>
      <w:r w:rsidRPr="007431C0">
        <w:rPr>
          <w:rFonts w:ascii="Times New Roman" w:hAnsi="Times New Roman" w:cs="Times New Roman"/>
          <w:sz w:val="24"/>
          <w:szCs w:val="24"/>
        </w:rPr>
        <w:t xml:space="preserve"> program to ensure specified coastal communities have access to and sustain participation in commercial fisheries.  To participate in the CQE program, each community m</w:t>
      </w:r>
      <w:r w:rsidR="00270D04" w:rsidRPr="007431C0">
        <w:rPr>
          <w:rFonts w:ascii="Times New Roman" w:hAnsi="Times New Roman" w:cs="Times New Roman"/>
          <w:sz w:val="24"/>
          <w:szCs w:val="24"/>
        </w:rPr>
        <w:t xml:space="preserve">ust meet the following criteria: </w:t>
      </w:r>
      <w:r w:rsidRPr="007431C0">
        <w:rPr>
          <w:rFonts w:ascii="Times New Roman" w:hAnsi="Times New Roman" w:cs="Times New Roman"/>
          <w:sz w:val="24"/>
          <w:szCs w:val="24"/>
        </w:rPr>
        <w:t xml:space="preserve">fewer than 1,500 residents; documented historical participation in the halibut or sablefish fisheries; direct access to saltwater on the GOA; no road access to a larger community; and be listed in Table </w:t>
      </w:r>
      <w:r w:rsidR="00524A76" w:rsidRPr="007431C0">
        <w:rPr>
          <w:rFonts w:ascii="Times New Roman" w:hAnsi="Times New Roman" w:cs="Times New Roman"/>
          <w:sz w:val="24"/>
          <w:szCs w:val="24"/>
        </w:rPr>
        <w:t>21</w:t>
      </w:r>
      <w:r w:rsidRPr="007431C0">
        <w:rPr>
          <w:rFonts w:ascii="Times New Roman" w:hAnsi="Times New Roman" w:cs="Times New Roman"/>
          <w:sz w:val="24"/>
          <w:szCs w:val="24"/>
        </w:rPr>
        <w:t xml:space="preserve"> to 50 CFR part 679.  The final rule implementing the CQE program was published in the </w:t>
      </w:r>
      <w:r w:rsidRPr="007431C0">
        <w:rPr>
          <w:rFonts w:ascii="Times New Roman" w:hAnsi="Times New Roman" w:cs="Times New Roman"/>
          <w:sz w:val="24"/>
          <w:szCs w:val="24"/>
          <w:u w:val="single"/>
        </w:rPr>
        <w:t>Federal Register</w:t>
      </w:r>
      <w:r w:rsidRPr="007431C0">
        <w:rPr>
          <w:rFonts w:ascii="Times New Roman" w:hAnsi="Times New Roman" w:cs="Times New Roman"/>
          <w:sz w:val="24"/>
          <w:szCs w:val="24"/>
        </w:rPr>
        <w:t xml:space="preserve"> on April 30, 2004 (</w:t>
      </w:r>
      <w:hyperlink r:id="rId8" w:history="1">
        <w:r w:rsidRPr="004263A9">
          <w:rPr>
            <w:rStyle w:val="Hyperlink"/>
            <w:rFonts w:ascii="Times New Roman" w:hAnsi="Times New Roman" w:cs="Times New Roman"/>
            <w:sz w:val="24"/>
            <w:szCs w:val="24"/>
          </w:rPr>
          <w:t>69 FR 23681</w:t>
        </w:r>
      </w:hyperlink>
      <w:r w:rsidRPr="007431C0">
        <w:rPr>
          <w:rFonts w:ascii="Times New Roman" w:hAnsi="Times New Roman" w:cs="Times New Roman"/>
          <w:sz w:val="24"/>
          <w:szCs w:val="24"/>
        </w:rPr>
        <w:t xml:space="preserve">).  </w:t>
      </w:r>
    </w:p>
    <w:p w:rsidR="00154E2F" w:rsidRPr="007431C0" w:rsidRDefault="00154E2F" w:rsidP="004B784B">
      <w:pPr>
        <w:spacing w:after="0" w:line="240" w:lineRule="auto"/>
        <w:rPr>
          <w:rFonts w:ascii="Times New Roman" w:hAnsi="Times New Roman" w:cs="Times New Roman"/>
          <w:sz w:val="24"/>
          <w:szCs w:val="24"/>
        </w:rPr>
      </w:pPr>
    </w:p>
    <w:p w:rsidR="003A58C1" w:rsidRPr="007431C0" w:rsidRDefault="003A58C1" w:rsidP="003A58C1">
      <w:pPr>
        <w:spacing w:after="0" w:line="240" w:lineRule="auto"/>
        <w:rPr>
          <w:rFonts w:ascii="Times New Roman" w:hAnsi="Times New Roman" w:cs="Times New Roman"/>
          <w:sz w:val="24"/>
          <w:szCs w:val="24"/>
        </w:rPr>
      </w:pPr>
    </w:p>
    <w:p w:rsidR="00BF16E0" w:rsidRPr="007431C0" w:rsidRDefault="00BF16E0">
      <w:pPr>
        <w:rPr>
          <w:rFonts w:ascii="Times New Roman" w:hAnsi="Times New Roman" w:cs="Times New Roman"/>
          <w:b/>
          <w:sz w:val="24"/>
          <w:szCs w:val="24"/>
        </w:rPr>
      </w:pPr>
      <w:r w:rsidRPr="007431C0">
        <w:rPr>
          <w:rFonts w:ascii="Times New Roman" w:hAnsi="Times New Roman" w:cs="Times New Roman"/>
          <w:b/>
          <w:sz w:val="24"/>
          <w:szCs w:val="24"/>
        </w:rPr>
        <w:br w:type="page"/>
      </w:r>
    </w:p>
    <w:p w:rsidR="003A58C1" w:rsidRPr="007431C0" w:rsidRDefault="003A58C1" w:rsidP="003A58C1">
      <w:pPr>
        <w:spacing w:after="0" w:line="240" w:lineRule="auto"/>
        <w:rPr>
          <w:rFonts w:ascii="Times New Roman" w:hAnsi="Times New Roman" w:cs="Times New Roman"/>
          <w:b/>
          <w:sz w:val="24"/>
          <w:szCs w:val="24"/>
        </w:rPr>
      </w:pPr>
      <w:r w:rsidRPr="007431C0">
        <w:rPr>
          <w:rFonts w:ascii="Times New Roman" w:hAnsi="Times New Roman" w:cs="Times New Roman"/>
          <w:b/>
          <w:sz w:val="24"/>
          <w:szCs w:val="24"/>
        </w:rPr>
        <w:lastRenderedPageBreak/>
        <w:t xml:space="preserve">A. </w:t>
      </w:r>
      <w:r w:rsidRPr="007431C0">
        <w:rPr>
          <w:rFonts w:ascii="Times New Roman" w:hAnsi="Times New Roman" w:cs="Times New Roman"/>
          <w:b/>
          <w:sz w:val="24"/>
          <w:szCs w:val="24"/>
        </w:rPr>
        <w:tab/>
        <w:t>JUSTIFICATION</w:t>
      </w:r>
    </w:p>
    <w:p w:rsidR="003A58C1" w:rsidRPr="007431C0" w:rsidRDefault="003A58C1" w:rsidP="003A58C1">
      <w:pPr>
        <w:spacing w:after="0" w:line="240" w:lineRule="auto"/>
        <w:rPr>
          <w:rFonts w:ascii="Times New Roman" w:hAnsi="Times New Roman" w:cs="Times New Roman"/>
          <w:sz w:val="24"/>
          <w:szCs w:val="24"/>
        </w:rPr>
      </w:pPr>
    </w:p>
    <w:p w:rsidR="003A58C1" w:rsidRPr="007431C0" w:rsidRDefault="003A58C1" w:rsidP="003A58C1">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The intended effect of the LLP is to limit the number of participants and reduce fishing capacity in fisheries off Alaska.  One of the measures used by the Council and NMFS is the </w:t>
      </w:r>
      <w:r w:rsidR="00D048BC" w:rsidRPr="007431C0">
        <w:rPr>
          <w:rFonts w:ascii="Times New Roman" w:hAnsi="Times New Roman" w:cs="Times New Roman"/>
          <w:sz w:val="24"/>
          <w:szCs w:val="24"/>
        </w:rPr>
        <w:t>LLP that</w:t>
      </w:r>
      <w:r w:rsidRPr="007431C0">
        <w:rPr>
          <w:rFonts w:ascii="Times New Roman" w:hAnsi="Times New Roman" w:cs="Times New Roman"/>
          <w:sz w:val="24"/>
          <w:szCs w:val="24"/>
        </w:rPr>
        <w:t xml:space="preserve"> limits access to the groundfish, crab, and scallop fisheries in the BSAI and GOA.  The LLP is intended to limit entry into </w:t>
      </w:r>
      <w:r w:rsidR="005E15B9" w:rsidRPr="007431C0">
        <w:rPr>
          <w:rFonts w:ascii="Times New Roman" w:hAnsi="Times New Roman" w:cs="Times New Roman"/>
          <w:sz w:val="24"/>
          <w:szCs w:val="24"/>
        </w:rPr>
        <w:t>F</w:t>
      </w:r>
      <w:r w:rsidRPr="007431C0">
        <w:rPr>
          <w:rFonts w:ascii="Times New Roman" w:hAnsi="Times New Roman" w:cs="Times New Roman"/>
          <w:sz w:val="24"/>
          <w:szCs w:val="24"/>
        </w:rPr>
        <w:t xml:space="preserve">ederally managed fisheries.  </w:t>
      </w:r>
    </w:p>
    <w:p w:rsidR="009F580D" w:rsidRPr="007431C0" w:rsidRDefault="009F580D" w:rsidP="003A58C1">
      <w:pPr>
        <w:spacing w:after="0" w:line="240" w:lineRule="auto"/>
        <w:rPr>
          <w:rFonts w:ascii="Times New Roman" w:hAnsi="Times New Roman" w:cs="Times New Roman"/>
          <w:sz w:val="24"/>
          <w:szCs w:val="24"/>
        </w:rPr>
      </w:pPr>
    </w:p>
    <w:p w:rsidR="009F580D" w:rsidRPr="007431C0" w:rsidRDefault="009F580D" w:rsidP="009F580D">
      <w:pPr>
        <w:spacing w:after="0" w:line="240" w:lineRule="auto"/>
        <w:rPr>
          <w:rFonts w:ascii="Times New Roman" w:hAnsi="Times New Roman" w:cs="Times New Roman"/>
          <w:b/>
          <w:sz w:val="24"/>
          <w:szCs w:val="24"/>
        </w:rPr>
      </w:pPr>
      <w:r w:rsidRPr="007431C0">
        <w:rPr>
          <w:rFonts w:ascii="Times New Roman" w:hAnsi="Times New Roman" w:cs="Times New Roman"/>
          <w:b/>
          <w:sz w:val="24"/>
          <w:szCs w:val="24"/>
        </w:rPr>
        <w:t xml:space="preserve">1.  </w:t>
      </w:r>
      <w:r w:rsidRPr="007431C0">
        <w:rPr>
          <w:rFonts w:ascii="Times New Roman" w:hAnsi="Times New Roman" w:cs="Times New Roman"/>
          <w:b/>
          <w:sz w:val="24"/>
          <w:szCs w:val="24"/>
          <w:u w:val="single"/>
        </w:rPr>
        <w:t>Explain the circumstances that make the collection of information necessary</w:t>
      </w:r>
      <w:r w:rsidRPr="007431C0">
        <w:rPr>
          <w:rFonts w:ascii="Times New Roman" w:hAnsi="Times New Roman" w:cs="Times New Roman"/>
          <w:b/>
          <w:sz w:val="24"/>
          <w:szCs w:val="24"/>
        </w:rPr>
        <w:t>.</w:t>
      </w:r>
    </w:p>
    <w:p w:rsidR="009F580D" w:rsidRPr="007431C0" w:rsidRDefault="009F580D" w:rsidP="009F580D">
      <w:pPr>
        <w:spacing w:after="0" w:line="240" w:lineRule="auto"/>
        <w:rPr>
          <w:rFonts w:ascii="Times New Roman" w:hAnsi="Times New Roman" w:cs="Times New Roman"/>
          <w:b/>
          <w:sz w:val="24"/>
          <w:szCs w:val="24"/>
        </w:rPr>
      </w:pPr>
    </w:p>
    <w:p w:rsidR="009F580D" w:rsidRPr="007431C0" w:rsidRDefault="009F580D" w:rsidP="009F580D">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Currently, 21 CQE non-profit corporations represent 21</w:t>
      </w:r>
      <w:r w:rsidR="0084311F" w:rsidRPr="007431C0">
        <w:rPr>
          <w:rFonts w:ascii="Times New Roman" w:hAnsi="Times New Roman" w:cs="Times New Roman"/>
          <w:sz w:val="24"/>
          <w:szCs w:val="24"/>
        </w:rPr>
        <w:t xml:space="preserve"> unique Alaskan communities (i</w:t>
      </w:r>
      <w:r w:rsidRPr="007431C0">
        <w:rPr>
          <w:rFonts w:ascii="Times New Roman" w:hAnsi="Times New Roman" w:cs="Times New Roman"/>
          <w:sz w:val="24"/>
          <w:szCs w:val="24"/>
        </w:rPr>
        <w:t>n this revision, NMFS Alaska Region is correcting the number of communities</w:t>
      </w:r>
      <w:r w:rsidR="00D048BC" w:rsidRPr="007431C0">
        <w:rPr>
          <w:rFonts w:ascii="Times New Roman" w:hAnsi="Times New Roman" w:cs="Times New Roman"/>
          <w:sz w:val="24"/>
          <w:szCs w:val="24"/>
        </w:rPr>
        <w:t xml:space="preserve"> eligible to receive a CQE LLP</w:t>
      </w:r>
      <w:r w:rsidR="0084311F" w:rsidRPr="007431C0">
        <w:rPr>
          <w:rFonts w:ascii="Times New Roman" w:hAnsi="Times New Roman" w:cs="Times New Roman"/>
          <w:sz w:val="24"/>
          <w:szCs w:val="24"/>
        </w:rPr>
        <w:t>). Three additional communities will now be eligible</w:t>
      </w:r>
      <w:r w:rsidR="00D048BC" w:rsidRPr="007431C0">
        <w:rPr>
          <w:rFonts w:ascii="Times New Roman" w:hAnsi="Times New Roman" w:cs="Times New Roman"/>
          <w:sz w:val="24"/>
          <w:szCs w:val="24"/>
        </w:rPr>
        <w:t xml:space="preserve"> </w:t>
      </w:r>
      <w:r w:rsidRPr="007431C0">
        <w:rPr>
          <w:rFonts w:ascii="Times New Roman" w:hAnsi="Times New Roman" w:cs="Times New Roman"/>
          <w:sz w:val="24"/>
          <w:szCs w:val="24"/>
        </w:rPr>
        <w:t xml:space="preserve">making the total 24.  To be able to receive benefits under the program an eligible community must form a non-profit cooperation, under the applicable State laws, and submit a complete application to NMFS.  </w:t>
      </w:r>
    </w:p>
    <w:p w:rsidR="0060384D" w:rsidRPr="007431C0" w:rsidRDefault="0060384D" w:rsidP="009F580D">
      <w:pPr>
        <w:spacing w:after="0" w:line="240" w:lineRule="auto"/>
        <w:rPr>
          <w:rFonts w:ascii="Times New Roman" w:hAnsi="Times New Roman" w:cs="Times New Roman"/>
          <w:sz w:val="24"/>
          <w:szCs w:val="24"/>
        </w:rPr>
      </w:pPr>
    </w:p>
    <w:p w:rsidR="0037452A" w:rsidRPr="007431C0" w:rsidRDefault="0037452A" w:rsidP="0037452A">
      <w:pPr>
        <w:spacing w:after="0" w:line="240" w:lineRule="auto"/>
        <w:rPr>
          <w:rFonts w:ascii="Times New Roman" w:hAnsi="Times New Roman" w:cs="Times New Roman"/>
          <w:b/>
          <w:sz w:val="24"/>
          <w:szCs w:val="24"/>
        </w:rPr>
      </w:pPr>
      <w:r w:rsidRPr="007431C0">
        <w:rPr>
          <w:rFonts w:ascii="Times New Roman" w:hAnsi="Times New Roman" w:cs="Times New Roman"/>
          <w:b/>
          <w:sz w:val="24"/>
          <w:szCs w:val="24"/>
        </w:rPr>
        <w:t xml:space="preserve">2.  </w:t>
      </w:r>
      <w:r w:rsidRPr="007431C0">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7431C0">
        <w:rPr>
          <w:rFonts w:ascii="Times New Roman" w:hAnsi="Times New Roman" w:cs="Times New Roman"/>
          <w:b/>
          <w:sz w:val="24"/>
          <w:szCs w:val="24"/>
        </w:rPr>
        <w:t xml:space="preserve">. </w:t>
      </w:r>
    </w:p>
    <w:p w:rsidR="0060384D" w:rsidRPr="007431C0" w:rsidRDefault="0060384D" w:rsidP="009F580D">
      <w:pPr>
        <w:spacing w:after="0" w:line="240" w:lineRule="auto"/>
        <w:rPr>
          <w:rFonts w:ascii="Times New Roman" w:hAnsi="Times New Roman" w:cs="Times New Roman"/>
          <w:sz w:val="24"/>
          <w:szCs w:val="24"/>
        </w:rPr>
      </w:pPr>
    </w:p>
    <w:p w:rsidR="009736AE" w:rsidRPr="007431C0" w:rsidRDefault="006B7D6D" w:rsidP="009736AE">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An entity seeking to become a </w:t>
      </w:r>
      <w:r w:rsidR="009736AE" w:rsidRPr="007431C0">
        <w:rPr>
          <w:rFonts w:ascii="Times New Roman" w:hAnsi="Times New Roman" w:cs="Times New Roman"/>
          <w:sz w:val="24"/>
          <w:szCs w:val="24"/>
        </w:rPr>
        <w:t xml:space="preserve">CQE </w:t>
      </w:r>
      <w:r w:rsidRPr="007431C0">
        <w:rPr>
          <w:rFonts w:ascii="Times New Roman" w:hAnsi="Times New Roman" w:cs="Times New Roman"/>
          <w:sz w:val="24"/>
          <w:szCs w:val="24"/>
        </w:rPr>
        <w:t xml:space="preserve">must </w:t>
      </w:r>
      <w:r w:rsidR="009736AE" w:rsidRPr="007431C0">
        <w:rPr>
          <w:rFonts w:ascii="Times New Roman" w:hAnsi="Times New Roman" w:cs="Times New Roman"/>
          <w:sz w:val="24"/>
          <w:szCs w:val="24"/>
        </w:rPr>
        <w:t xml:space="preserve">submit to NMFS </w:t>
      </w:r>
      <w:r w:rsidRPr="007431C0">
        <w:rPr>
          <w:rFonts w:ascii="Times New Roman" w:hAnsi="Times New Roman" w:cs="Times New Roman"/>
          <w:sz w:val="24"/>
          <w:szCs w:val="24"/>
        </w:rPr>
        <w:t xml:space="preserve">an Application for a Non-profit Corporation to be </w:t>
      </w:r>
      <w:proofErr w:type="gramStart"/>
      <w:r w:rsidRPr="007431C0">
        <w:rPr>
          <w:rFonts w:ascii="Times New Roman" w:hAnsi="Times New Roman" w:cs="Times New Roman"/>
          <w:sz w:val="24"/>
          <w:szCs w:val="24"/>
        </w:rPr>
        <w:t>Designated</w:t>
      </w:r>
      <w:proofErr w:type="gramEnd"/>
      <w:r w:rsidRPr="007431C0">
        <w:rPr>
          <w:rFonts w:ascii="Times New Roman" w:hAnsi="Times New Roman" w:cs="Times New Roman"/>
          <w:sz w:val="24"/>
          <w:szCs w:val="24"/>
        </w:rPr>
        <w:t xml:space="preserve"> as a Community Quota Entity (CQE) (see OMB</w:t>
      </w:r>
      <w:r w:rsidR="000B0C3B">
        <w:rPr>
          <w:rFonts w:ascii="Times New Roman" w:hAnsi="Times New Roman" w:cs="Times New Roman"/>
          <w:sz w:val="24"/>
          <w:szCs w:val="24"/>
        </w:rPr>
        <w:t xml:space="preserve"> Control No.</w:t>
      </w:r>
      <w:r w:rsidRPr="007431C0">
        <w:rPr>
          <w:rFonts w:ascii="Times New Roman" w:hAnsi="Times New Roman" w:cs="Times New Roman"/>
          <w:sz w:val="24"/>
          <w:szCs w:val="24"/>
        </w:rPr>
        <w:t xml:space="preserve"> 0648-0272).  Upon approval, the newly designated CQE must then submit an </w:t>
      </w:r>
      <w:r w:rsidR="009736AE" w:rsidRPr="007431C0">
        <w:rPr>
          <w:rFonts w:ascii="Times New Roman" w:hAnsi="Times New Roman" w:cs="Times New Roman"/>
          <w:sz w:val="24"/>
          <w:szCs w:val="24"/>
        </w:rPr>
        <w:t xml:space="preserve">Application for a CQE to </w:t>
      </w:r>
      <w:r w:rsidRPr="007431C0">
        <w:rPr>
          <w:rFonts w:ascii="Times New Roman" w:hAnsi="Times New Roman" w:cs="Times New Roman"/>
          <w:sz w:val="24"/>
          <w:szCs w:val="24"/>
        </w:rPr>
        <w:t>R</w:t>
      </w:r>
      <w:r w:rsidR="009736AE" w:rsidRPr="007431C0">
        <w:rPr>
          <w:rFonts w:ascii="Times New Roman" w:hAnsi="Times New Roman" w:cs="Times New Roman"/>
          <w:sz w:val="24"/>
          <w:szCs w:val="24"/>
        </w:rPr>
        <w:t xml:space="preserve">eceive a </w:t>
      </w:r>
      <w:r w:rsidRPr="007431C0">
        <w:rPr>
          <w:rFonts w:ascii="Times New Roman" w:hAnsi="Times New Roman" w:cs="Times New Roman"/>
          <w:sz w:val="24"/>
          <w:szCs w:val="24"/>
        </w:rPr>
        <w:t>N</w:t>
      </w:r>
      <w:r w:rsidR="009736AE" w:rsidRPr="007431C0">
        <w:rPr>
          <w:rFonts w:ascii="Times New Roman" w:hAnsi="Times New Roman" w:cs="Times New Roman"/>
          <w:sz w:val="24"/>
          <w:szCs w:val="24"/>
        </w:rPr>
        <w:t xml:space="preserve">on-trawl </w:t>
      </w:r>
      <w:r w:rsidRPr="007431C0">
        <w:rPr>
          <w:rFonts w:ascii="Times New Roman" w:hAnsi="Times New Roman" w:cs="Times New Roman"/>
          <w:sz w:val="24"/>
          <w:szCs w:val="24"/>
        </w:rPr>
        <w:t>G</w:t>
      </w:r>
      <w:r w:rsidR="009736AE" w:rsidRPr="007431C0">
        <w:rPr>
          <w:rFonts w:ascii="Times New Roman" w:hAnsi="Times New Roman" w:cs="Times New Roman"/>
          <w:sz w:val="24"/>
          <w:szCs w:val="24"/>
        </w:rPr>
        <w:t xml:space="preserve">roundfish LLP license. </w:t>
      </w:r>
    </w:p>
    <w:p w:rsidR="009736AE" w:rsidRPr="007431C0" w:rsidRDefault="009736AE" w:rsidP="009736AE">
      <w:pPr>
        <w:spacing w:after="0" w:line="240" w:lineRule="auto"/>
        <w:rPr>
          <w:rFonts w:ascii="Times New Roman" w:hAnsi="Times New Roman" w:cs="Times New Roman"/>
          <w:sz w:val="24"/>
          <w:szCs w:val="24"/>
        </w:rPr>
      </w:pPr>
    </w:p>
    <w:p w:rsidR="005D646B" w:rsidRPr="007431C0" w:rsidRDefault="00D43BF2" w:rsidP="005D35EF">
      <w:pPr>
        <w:tabs>
          <w:tab w:val="left" w:pos="360"/>
          <w:tab w:val="left" w:pos="720"/>
          <w:tab w:val="left" w:pos="1080"/>
        </w:tabs>
        <w:spacing w:after="0" w:line="240" w:lineRule="auto"/>
        <w:rPr>
          <w:rFonts w:ascii="Times New Roman" w:hAnsi="Times New Roman" w:cs="Times New Roman"/>
          <w:b/>
          <w:sz w:val="24"/>
          <w:szCs w:val="24"/>
        </w:rPr>
      </w:pPr>
      <w:r w:rsidRPr="007431C0">
        <w:rPr>
          <w:rFonts w:ascii="Times New Roman" w:hAnsi="Times New Roman" w:cs="Times New Roman"/>
          <w:b/>
          <w:sz w:val="24"/>
          <w:szCs w:val="24"/>
        </w:rPr>
        <w:t>a. Application</w:t>
      </w:r>
      <w:r w:rsidR="005D646B" w:rsidRPr="007431C0">
        <w:rPr>
          <w:rFonts w:ascii="Times New Roman" w:hAnsi="Times New Roman" w:cs="Times New Roman"/>
          <w:b/>
          <w:sz w:val="24"/>
          <w:szCs w:val="24"/>
        </w:rPr>
        <w:t xml:space="preserve"> for a CQE to receive a Non-trawl groundfish LLP license</w:t>
      </w:r>
    </w:p>
    <w:p w:rsidR="00CC1CE2" w:rsidRPr="007431C0" w:rsidRDefault="00CC1CE2" w:rsidP="005D35EF">
      <w:pPr>
        <w:spacing w:after="0" w:line="240" w:lineRule="auto"/>
        <w:rPr>
          <w:rFonts w:ascii="Times New Roman" w:hAnsi="Times New Roman" w:cs="Times New Roman"/>
          <w:sz w:val="24"/>
          <w:szCs w:val="24"/>
        </w:rPr>
      </w:pPr>
    </w:p>
    <w:p w:rsidR="005D35EF" w:rsidRPr="007431C0" w:rsidRDefault="006B7D6D"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A </w:t>
      </w:r>
      <w:r w:rsidR="003C4783" w:rsidRPr="007431C0">
        <w:rPr>
          <w:rFonts w:ascii="Times New Roman" w:hAnsi="Times New Roman" w:cs="Times New Roman"/>
          <w:sz w:val="24"/>
          <w:szCs w:val="24"/>
        </w:rPr>
        <w:t xml:space="preserve">non-profit </w:t>
      </w:r>
      <w:r w:rsidRPr="007431C0">
        <w:rPr>
          <w:rFonts w:ascii="Times New Roman" w:hAnsi="Times New Roman" w:cs="Times New Roman"/>
          <w:sz w:val="24"/>
          <w:szCs w:val="24"/>
        </w:rPr>
        <w:t xml:space="preserve">CQE </w:t>
      </w:r>
      <w:r w:rsidR="005D35EF" w:rsidRPr="007431C0">
        <w:rPr>
          <w:rFonts w:ascii="Times New Roman" w:hAnsi="Times New Roman" w:cs="Times New Roman"/>
          <w:sz w:val="24"/>
          <w:szCs w:val="24"/>
        </w:rPr>
        <w:t xml:space="preserve">representing </w:t>
      </w:r>
      <w:r w:rsidRPr="007431C0">
        <w:rPr>
          <w:rFonts w:ascii="Times New Roman" w:hAnsi="Times New Roman" w:cs="Times New Roman"/>
          <w:sz w:val="24"/>
          <w:szCs w:val="24"/>
        </w:rPr>
        <w:t xml:space="preserve">a </w:t>
      </w:r>
      <w:r w:rsidR="005D35EF" w:rsidRPr="007431C0">
        <w:rPr>
          <w:rFonts w:ascii="Times New Roman" w:hAnsi="Times New Roman" w:cs="Times New Roman"/>
          <w:sz w:val="24"/>
          <w:szCs w:val="24"/>
        </w:rPr>
        <w:t>specific communit</w:t>
      </w:r>
      <w:r w:rsidRPr="007431C0">
        <w:rPr>
          <w:rFonts w:ascii="Times New Roman" w:hAnsi="Times New Roman" w:cs="Times New Roman"/>
          <w:sz w:val="24"/>
          <w:szCs w:val="24"/>
        </w:rPr>
        <w:t>y</w:t>
      </w:r>
      <w:r w:rsidR="005D35EF" w:rsidRPr="007431C0">
        <w:rPr>
          <w:rFonts w:ascii="Times New Roman" w:hAnsi="Times New Roman" w:cs="Times New Roman"/>
          <w:sz w:val="24"/>
          <w:szCs w:val="24"/>
        </w:rPr>
        <w:t xml:space="preserve"> may receive a limited number of fixed gear LLP licenses with Pacific cod endorsements for use on </w:t>
      </w:r>
      <w:r w:rsidR="003C4783" w:rsidRPr="007431C0">
        <w:rPr>
          <w:rFonts w:ascii="Times New Roman" w:hAnsi="Times New Roman" w:cs="Times New Roman"/>
          <w:sz w:val="24"/>
          <w:szCs w:val="24"/>
        </w:rPr>
        <w:t xml:space="preserve">designated </w:t>
      </w:r>
      <w:r w:rsidR="005D35EF" w:rsidRPr="007431C0">
        <w:rPr>
          <w:rFonts w:ascii="Times New Roman" w:hAnsi="Times New Roman" w:cs="Times New Roman"/>
          <w:sz w:val="24"/>
          <w:szCs w:val="24"/>
        </w:rPr>
        <w:t>vessels</w:t>
      </w:r>
      <w:r w:rsidR="003C4783" w:rsidRPr="007431C0">
        <w:rPr>
          <w:rFonts w:ascii="Times New Roman" w:hAnsi="Times New Roman" w:cs="Times New Roman"/>
          <w:sz w:val="24"/>
          <w:szCs w:val="24"/>
        </w:rPr>
        <w:t xml:space="preserve">.  </w:t>
      </w:r>
      <w:r w:rsidR="00502699" w:rsidRPr="007431C0">
        <w:rPr>
          <w:rFonts w:ascii="Times New Roman" w:hAnsi="Times New Roman" w:cs="Times New Roman"/>
          <w:sz w:val="24"/>
          <w:szCs w:val="24"/>
        </w:rPr>
        <w:t xml:space="preserve">An LLP license issued to a CQE must designate only one vessel per calendar year. </w:t>
      </w:r>
      <w:r w:rsidR="005D35EF" w:rsidRPr="007431C0">
        <w:rPr>
          <w:rFonts w:ascii="Times New Roman" w:hAnsi="Times New Roman" w:cs="Times New Roman"/>
          <w:sz w:val="24"/>
          <w:szCs w:val="24"/>
        </w:rPr>
        <w:t>This</w:t>
      </w:r>
      <w:r w:rsidR="003C4783" w:rsidRPr="007431C0">
        <w:rPr>
          <w:rFonts w:ascii="Times New Roman" w:hAnsi="Times New Roman" w:cs="Times New Roman"/>
          <w:sz w:val="24"/>
          <w:szCs w:val="24"/>
        </w:rPr>
        <w:t xml:space="preserve"> process</w:t>
      </w:r>
      <w:r w:rsidR="005D35EF" w:rsidRPr="007431C0">
        <w:rPr>
          <w:rFonts w:ascii="Times New Roman" w:hAnsi="Times New Roman" w:cs="Times New Roman"/>
          <w:sz w:val="24"/>
          <w:szCs w:val="24"/>
        </w:rPr>
        <w:t xml:space="preserve"> is expected to:</w:t>
      </w:r>
    </w:p>
    <w:p w:rsidR="005D35EF" w:rsidRPr="007431C0" w:rsidRDefault="005D35EF"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5D35EF" w:rsidP="005D35EF">
      <w:pPr>
        <w:tabs>
          <w:tab w:val="left" w:pos="360"/>
          <w:tab w:val="left" w:pos="720"/>
          <w:tab w:val="left" w:pos="1080"/>
        </w:tabs>
        <w:spacing w:after="0" w:line="240" w:lineRule="auto"/>
        <w:ind w:left="720" w:hanging="720"/>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t>Provide greater economic stability for fixed gear LLP license holders with recent participation in the Central GOA and We</w:t>
      </w:r>
      <w:r w:rsidR="000B0C3B">
        <w:rPr>
          <w:rFonts w:ascii="Times New Roman" w:hAnsi="Times New Roman" w:cs="Times New Roman"/>
          <w:sz w:val="24"/>
          <w:szCs w:val="24"/>
        </w:rPr>
        <w:t>stern GOA Pacific cod fisheries;</w:t>
      </w:r>
      <w:r w:rsidRPr="007431C0">
        <w:rPr>
          <w:rFonts w:ascii="Times New Roman" w:hAnsi="Times New Roman" w:cs="Times New Roman"/>
          <w:sz w:val="24"/>
          <w:szCs w:val="24"/>
        </w:rPr>
        <w:t xml:space="preserve">  </w:t>
      </w:r>
    </w:p>
    <w:p w:rsidR="005D35EF" w:rsidRPr="007431C0" w:rsidRDefault="005D35EF"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5D35EF" w:rsidP="005D35EF">
      <w:pPr>
        <w:tabs>
          <w:tab w:val="left" w:pos="360"/>
          <w:tab w:val="left" w:pos="720"/>
          <w:tab w:val="left" w:pos="1080"/>
        </w:tabs>
        <w:spacing w:after="0" w:line="240" w:lineRule="auto"/>
        <w:ind w:left="720" w:hanging="720"/>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t xml:space="preserve">Reduce the potential for substantial increases in fishing effort </w:t>
      </w:r>
      <w:r w:rsidR="000B0C3B">
        <w:rPr>
          <w:rFonts w:ascii="Times New Roman" w:hAnsi="Times New Roman" w:cs="Times New Roman"/>
          <w:sz w:val="24"/>
          <w:szCs w:val="24"/>
        </w:rPr>
        <w:t>from latent LLP license holders;</w:t>
      </w:r>
    </w:p>
    <w:p w:rsidR="005D35EF" w:rsidRPr="007431C0" w:rsidRDefault="005D35EF"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5D35EF" w:rsidP="005D35EF">
      <w:pPr>
        <w:tabs>
          <w:tab w:val="left" w:pos="360"/>
          <w:tab w:val="left" w:pos="720"/>
          <w:tab w:val="left" w:pos="1080"/>
        </w:tabs>
        <w:spacing w:after="0" w:line="240" w:lineRule="auto"/>
        <w:ind w:left="720" w:hanging="720"/>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t>Provide additional harvesting opportunities for residents of specific communities (see table below) located adjacent to the Western and Central GOA, incl</w:t>
      </w:r>
      <w:r w:rsidR="003C4783" w:rsidRPr="007431C0">
        <w:rPr>
          <w:rFonts w:ascii="Times New Roman" w:hAnsi="Times New Roman" w:cs="Times New Roman"/>
          <w:sz w:val="24"/>
          <w:szCs w:val="24"/>
        </w:rPr>
        <w:t>uding the West Yakutat District.</w:t>
      </w:r>
    </w:p>
    <w:p w:rsidR="007D0F6F" w:rsidRPr="007431C0" w:rsidRDefault="007D0F6F" w:rsidP="005D35EF">
      <w:pPr>
        <w:tabs>
          <w:tab w:val="left" w:pos="360"/>
          <w:tab w:val="left" w:pos="720"/>
          <w:tab w:val="left" w:pos="1080"/>
        </w:tabs>
        <w:spacing w:after="0" w:line="240" w:lineRule="auto"/>
        <w:ind w:left="720" w:hanging="720"/>
        <w:rPr>
          <w:rFonts w:ascii="Times New Roman" w:hAnsi="Times New Roman" w:cs="Times New Roman"/>
          <w:sz w:val="24"/>
          <w:szCs w:val="24"/>
        </w:rPr>
      </w:pPr>
    </w:p>
    <w:p w:rsidR="005D35EF" w:rsidRPr="007431C0" w:rsidRDefault="005D35EF"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A groundfish </w:t>
      </w:r>
      <w:r w:rsidR="003C4783" w:rsidRPr="007431C0">
        <w:rPr>
          <w:rFonts w:ascii="Times New Roman" w:hAnsi="Times New Roman" w:cs="Times New Roman"/>
          <w:sz w:val="24"/>
          <w:szCs w:val="24"/>
        </w:rPr>
        <w:t xml:space="preserve">LLP </w:t>
      </w:r>
      <w:r w:rsidRPr="007431C0">
        <w:rPr>
          <w:rFonts w:ascii="Times New Roman" w:hAnsi="Times New Roman" w:cs="Times New Roman"/>
          <w:sz w:val="24"/>
          <w:szCs w:val="24"/>
        </w:rPr>
        <w:t xml:space="preserve">license approved for issuance to a CQE by </w:t>
      </w:r>
      <w:r w:rsidR="007D0F6F" w:rsidRPr="007431C0">
        <w:rPr>
          <w:rFonts w:ascii="Times New Roman" w:hAnsi="Times New Roman" w:cs="Times New Roman"/>
          <w:sz w:val="24"/>
          <w:szCs w:val="24"/>
        </w:rPr>
        <w:t xml:space="preserve">NMFS </w:t>
      </w:r>
      <w:r w:rsidRPr="007431C0">
        <w:rPr>
          <w:rFonts w:ascii="Times New Roman" w:hAnsi="Times New Roman" w:cs="Times New Roman"/>
          <w:sz w:val="24"/>
          <w:szCs w:val="24"/>
        </w:rPr>
        <w:t>for an eligible community:</w:t>
      </w:r>
    </w:p>
    <w:p w:rsidR="006A64A1" w:rsidRPr="007431C0" w:rsidRDefault="006A64A1"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6A64A1"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r>
      <w:r w:rsidR="005D35EF" w:rsidRPr="007431C0">
        <w:rPr>
          <w:rFonts w:ascii="Times New Roman" w:hAnsi="Times New Roman" w:cs="Times New Roman"/>
          <w:sz w:val="24"/>
          <w:szCs w:val="24"/>
        </w:rPr>
        <w:t>May n</w:t>
      </w:r>
      <w:r w:rsidR="007D0F6F" w:rsidRPr="007431C0">
        <w:rPr>
          <w:rFonts w:ascii="Times New Roman" w:hAnsi="Times New Roman" w:cs="Times New Roman"/>
          <w:sz w:val="24"/>
          <w:szCs w:val="24"/>
        </w:rPr>
        <w:t>ot be transferred to any person</w:t>
      </w:r>
      <w:r w:rsidR="000B0C3B">
        <w:rPr>
          <w:rFonts w:ascii="Times New Roman" w:hAnsi="Times New Roman" w:cs="Times New Roman"/>
          <w:sz w:val="24"/>
          <w:szCs w:val="24"/>
        </w:rPr>
        <w:t>;</w:t>
      </w:r>
    </w:p>
    <w:p w:rsidR="007D0F6F" w:rsidRPr="007431C0" w:rsidRDefault="007D0F6F" w:rsidP="005D35EF">
      <w:pPr>
        <w:tabs>
          <w:tab w:val="left" w:pos="360"/>
          <w:tab w:val="left" w:pos="720"/>
          <w:tab w:val="left" w:pos="1080"/>
        </w:tabs>
        <w:spacing w:after="0" w:line="240" w:lineRule="auto"/>
        <w:rPr>
          <w:rFonts w:ascii="Times New Roman" w:hAnsi="Times New Roman" w:cs="Times New Roman"/>
          <w:sz w:val="24"/>
          <w:szCs w:val="24"/>
        </w:rPr>
      </w:pPr>
    </w:p>
    <w:p w:rsidR="007D0F6F" w:rsidRPr="007431C0" w:rsidRDefault="007D0F6F" w:rsidP="007D0F6F">
      <w:pPr>
        <w:tabs>
          <w:tab w:val="left" w:pos="360"/>
          <w:tab w:val="left" w:pos="720"/>
          <w:tab w:val="left" w:pos="1080"/>
        </w:tabs>
        <w:spacing w:after="0" w:line="240" w:lineRule="auto"/>
        <w:ind w:left="720" w:hanging="720"/>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t>May not be assigned to any vessel other than the vessel specified for that groundfish license in the annual CQE authorization letter; and</w:t>
      </w:r>
    </w:p>
    <w:p w:rsidR="007D0F6F" w:rsidRPr="007431C0" w:rsidRDefault="007D0F6F" w:rsidP="007D0F6F">
      <w:pPr>
        <w:tabs>
          <w:tab w:val="left" w:pos="360"/>
          <w:tab w:val="left" w:pos="720"/>
          <w:tab w:val="left" w:pos="1080"/>
        </w:tabs>
        <w:spacing w:after="0" w:line="240" w:lineRule="auto"/>
        <w:rPr>
          <w:rFonts w:ascii="Times New Roman" w:hAnsi="Times New Roman" w:cs="Times New Roman"/>
          <w:sz w:val="24"/>
          <w:szCs w:val="24"/>
        </w:rPr>
      </w:pPr>
    </w:p>
    <w:p w:rsidR="007D0F6F" w:rsidRPr="007431C0" w:rsidRDefault="007D0F6F" w:rsidP="007D0F6F">
      <w:pPr>
        <w:tabs>
          <w:tab w:val="left" w:pos="360"/>
          <w:tab w:val="left" w:pos="720"/>
          <w:tab w:val="left" w:pos="1080"/>
        </w:tabs>
        <w:spacing w:after="0" w:line="240" w:lineRule="auto"/>
        <w:ind w:left="720" w:hanging="720"/>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t>May not be assigned for use by any person other than the person specified for that groundfish license in the annual CQE authorization letter, or any subsequent amendment to that annual authorization letter that is made by the CQE and approved by NMFS</w:t>
      </w:r>
      <w:r w:rsidR="000B0C3B">
        <w:rPr>
          <w:rFonts w:ascii="Times New Roman" w:hAnsi="Times New Roman" w:cs="Times New Roman"/>
          <w:sz w:val="24"/>
          <w:szCs w:val="24"/>
        </w:rPr>
        <w:t>;</w:t>
      </w:r>
    </w:p>
    <w:p w:rsidR="006A64A1" w:rsidRPr="007431C0" w:rsidRDefault="006A64A1"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6A64A1"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r>
      <w:proofErr w:type="gramStart"/>
      <w:r w:rsidR="005D35EF" w:rsidRPr="007431C0">
        <w:rPr>
          <w:rFonts w:ascii="Times New Roman" w:hAnsi="Times New Roman" w:cs="Times New Roman"/>
          <w:sz w:val="24"/>
          <w:szCs w:val="24"/>
        </w:rPr>
        <w:t>Will</w:t>
      </w:r>
      <w:proofErr w:type="gramEnd"/>
      <w:r w:rsidR="005D35EF" w:rsidRPr="007431C0">
        <w:rPr>
          <w:rFonts w:ascii="Times New Roman" w:hAnsi="Times New Roman" w:cs="Times New Roman"/>
          <w:sz w:val="24"/>
          <w:szCs w:val="24"/>
        </w:rPr>
        <w:t xml:space="preserve"> have only the regional designati</w:t>
      </w:r>
      <w:r w:rsidR="007D0F6F" w:rsidRPr="007431C0">
        <w:rPr>
          <w:rFonts w:ascii="Times New Roman" w:hAnsi="Times New Roman" w:cs="Times New Roman"/>
          <w:sz w:val="24"/>
          <w:szCs w:val="24"/>
        </w:rPr>
        <w:t>on specified for that community</w:t>
      </w:r>
      <w:r w:rsidR="000B0C3B">
        <w:rPr>
          <w:rFonts w:ascii="Times New Roman" w:hAnsi="Times New Roman" w:cs="Times New Roman"/>
          <w:sz w:val="24"/>
          <w:szCs w:val="24"/>
        </w:rPr>
        <w:t>;</w:t>
      </w:r>
    </w:p>
    <w:p w:rsidR="006A64A1" w:rsidRPr="007431C0" w:rsidRDefault="005D35EF"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ab/>
      </w:r>
    </w:p>
    <w:p w:rsidR="006A64A1" w:rsidRPr="007431C0" w:rsidRDefault="006A64A1"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r>
      <w:r w:rsidR="005D35EF" w:rsidRPr="007431C0">
        <w:rPr>
          <w:rFonts w:ascii="Times New Roman" w:hAnsi="Times New Roman" w:cs="Times New Roman"/>
          <w:sz w:val="24"/>
          <w:szCs w:val="24"/>
        </w:rPr>
        <w:t xml:space="preserve">Will have a </w:t>
      </w:r>
      <w:r w:rsidR="007D0F6F" w:rsidRPr="007431C0">
        <w:rPr>
          <w:rFonts w:ascii="Times New Roman" w:hAnsi="Times New Roman" w:cs="Times New Roman"/>
          <w:sz w:val="24"/>
          <w:szCs w:val="24"/>
        </w:rPr>
        <w:t xml:space="preserve">vessel </w:t>
      </w:r>
      <w:r w:rsidR="005D35EF" w:rsidRPr="007431C0">
        <w:rPr>
          <w:rFonts w:ascii="Times New Roman" w:hAnsi="Times New Roman" w:cs="Times New Roman"/>
          <w:sz w:val="24"/>
          <w:szCs w:val="24"/>
        </w:rPr>
        <w:t>maximum length overall (MLOA) of 60 feet</w:t>
      </w:r>
      <w:r w:rsidR="000B0C3B">
        <w:rPr>
          <w:rFonts w:ascii="Times New Roman" w:hAnsi="Times New Roman" w:cs="Times New Roman"/>
          <w:sz w:val="24"/>
          <w:szCs w:val="24"/>
        </w:rPr>
        <w:t>;</w:t>
      </w:r>
    </w:p>
    <w:p w:rsidR="007D0F6F" w:rsidRPr="007431C0" w:rsidRDefault="007D0F6F"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5D35EF" w:rsidP="005D35EF">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ab/>
      </w:r>
      <w:r w:rsidR="006A64A1" w:rsidRPr="007431C0">
        <w:rPr>
          <w:rFonts w:ascii="Times New Roman" w:hAnsi="Times New Roman" w:cs="Times New Roman"/>
          <w:sz w:val="24"/>
          <w:szCs w:val="24"/>
        </w:rPr>
        <w:t>♦</w:t>
      </w:r>
      <w:r w:rsidR="006A64A1" w:rsidRPr="007431C0">
        <w:rPr>
          <w:rFonts w:ascii="Times New Roman" w:hAnsi="Times New Roman" w:cs="Times New Roman"/>
          <w:sz w:val="24"/>
          <w:szCs w:val="24"/>
        </w:rPr>
        <w:tab/>
      </w:r>
      <w:proofErr w:type="gramStart"/>
      <w:r w:rsidRPr="007431C0">
        <w:rPr>
          <w:rFonts w:ascii="Times New Roman" w:hAnsi="Times New Roman" w:cs="Times New Roman"/>
          <w:sz w:val="24"/>
          <w:szCs w:val="24"/>
        </w:rPr>
        <w:t>Will</w:t>
      </w:r>
      <w:proofErr w:type="gramEnd"/>
      <w:r w:rsidRPr="007431C0">
        <w:rPr>
          <w:rFonts w:ascii="Times New Roman" w:hAnsi="Times New Roman" w:cs="Times New Roman"/>
          <w:sz w:val="24"/>
          <w:szCs w:val="24"/>
        </w:rPr>
        <w:t xml:space="preserve"> have on</w:t>
      </w:r>
      <w:r w:rsidR="00EB6E5C" w:rsidRPr="007431C0">
        <w:rPr>
          <w:rFonts w:ascii="Times New Roman" w:hAnsi="Times New Roman" w:cs="Times New Roman"/>
          <w:sz w:val="24"/>
          <w:szCs w:val="24"/>
        </w:rPr>
        <w:t>ly a catcher vessel designation</w:t>
      </w:r>
      <w:r w:rsidR="000B0C3B">
        <w:rPr>
          <w:rFonts w:ascii="Times New Roman" w:hAnsi="Times New Roman" w:cs="Times New Roman"/>
          <w:sz w:val="24"/>
          <w:szCs w:val="24"/>
        </w:rPr>
        <w:t>;</w:t>
      </w:r>
    </w:p>
    <w:p w:rsidR="006A64A1" w:rsidRPr="007431C0" w:rsidRDefault="006A64A1" w:rsidP="005D35EF">
      <w:pPr>
        <w:tabs>
          <w:tab w:val="left" w:pos="360"/>
          <w:tab w:val="left" w:pos="720"/>
          <w:tab w:val="left" w:pos="1080"/>
        </w:tabs>
        <w:spacing w:after="0" w:line="240" w:lineRule="auto"/>
        <w:rPr>
          <w:rFonts w:ascii="Times New Roman" w:hAnsi="Times New Roman" w:cs="Times New Roman"/>
          <w:sz w:val="24"/>
          <w:szCs w:val="24"/>
        </w:rPr>
      </w:pPr>
    </w:p>
    <w:p w:rsidR="005D35EF" w:rsidRPr="007431C0" w:rsidRDefault="006A64A1" w:rsidP="00EB6E5C">
      <w:pPr>
        <w:tabs>
          <w:tab w:val="left" w:pos="360"/>
          <w:tab w:val="left" w:pos="1080"/>
        </w:tabs>
        <w:spacing w:after="0" w:line="240" w:lineRule="auto"/>
        <w:ind w:left="720" w:hanging="720"/>
        <w:rPr>
          <w:rFonts w:ascii="Times New Roman" w:hAnsi="Times New Roman" w:cs="Times New Roman"/>
          <w:sz w:val="24"/>
          <w:szCs w:val="24"/>
        </w:rPr>
      </w:pPr>
      <w:r w:rsidRPr="007431C0">
        <w:rPr>
          <w:rFonts w:ascii="Times New Roman" w:hAnsi="Times New Roman" w:cs="Times New Roman"/>
          <w:sz w:val="24"/>
          <w:szCs w:val="24"/>
        </w:rPr>
        <w:tab/>
        <w:t>♦</w:t>
      </w:r>
      <w:r w:rsidRPr="007431C0">
        <w:rPr>
          <w:rFonts w:ascii="Times New Roman" w:hAnsi="Times New Roman" w:cs="Times New Roman"/>
          <w:sz w:val="24"/>
          <w:szCs w:val="24"/>
        </w:rPr>
        <w:tab/>
      </w:r>
      <w:r w:rsidR="005D35EF" w:rsidRPr="007431C0">
        <w:rPr>
          <w:rFonts w:ascii="Times New Roman" w:hAnsi="Times New Roman" w:cs="Times New Roman"/>
          <w:sz w:val="24"/>
          <w:szCs w:val="24"/>
        </w:rPr>
        <w:t>Will be assigned a Pacific cod endorsement with a non-trawl gear designation.</w:t>
      </w:r>
      <w:r w:rsidR="00EB6E5C" w:rsidRPr="007431C0">
        <w:rPr>
          <w:rFonts w:ascii="Times New Roman" w:hAnsi="Times New Roman" w:cs="Times New Roman"/>
          <w:sz w:val="24"/>
          <w:szCs w:val="24"/>
        </w:rPr>
        <w:t xml:space="preserve">  </w:t>
      </w:r>
      <w:r w:rsidR="005D35EF" w:rsidRPr="007431C0">
        <w:rPr>
          <w:rFonts w:ascii="Times New Roman" w:hAnsi="Times New Roman" w:cs="Times New Roman"/>
          <w:sz w:val="24"/>
          <w:szCs w:val="24"/>
        </w:rPr>
        <w:t>Non-trawl Pacific cod gear endorsements on groundfish licenses approved for issuance to CQEs shall have the following gear designations:</w:t>
      </w:r>
    </w:p>
    <w:p w:rsidR="006A64A1" w:rsidRPr="007431C0" w:rsidRDefault="006A64A1" w:rsidP="006A64A1">
      <w:pPr>
        <w:spacing w:after="0" w:line="240" w:lineRule="auto"/>
        <w:rPr>
          <w:rFonts w:ascii="Times New Roman" w:hAnsi="Times New Roman" w:cs="Times New Roman"/>
          <w:sz w:val="24"/>
          <w:szCs w:val="24"/>
        </w:rPr>
      </w:pPr>
    </w:p>
    <w:p w:rsidR="005D35EF" w:rsidRPr="007431C0" w:rsidRDefault="00EB6E5C" w:rsidP="00EB6E5C">
      <w:pPr>
        <w:tabs>
          <w:tab w:val="left" w:pos="360"/>
          <w:tab w:val="left" w:pos="720"/>
          <w:tab w:val="left" w:pos="1080"/>
        </w:tabs>
        <w:spacing w:after="0" w:line="240" w:lineRule="auto"/>
        <w:ind w:left="1080" w:hanging="1080"/>
        <w:rPr>
          <w:rFonts w:ascii="Times New Roman" w:hAnsi="Times New Roman" w:cs="Times New Roman"/>
          <w:sz w:val="24"/>
          <w:szCs w:val="24"/>
        </w:rPr>
      </w:pPr>
      <w:r w:rsidRPr="007431C0">
        <w:rPr>
          <w:rFonts w:ascii="Times New Roman" w:hAnsi="Times New Roman" w:cs="Times New Roman"/>
          <w:sz w:val="24"/>
          <w:szCs w:val="24"/>
        </w:rPr>
        <w:tab/>
      </w:r>
      <w:r w:rsidR="006A64A1" w:rsidRPr="007431C0">
        <w:rPr>
          <w:rFonts w:ascii="Times New Roman" w:hAnsi="Times New Roman" w:cs="Times New Roman"/>
          <w:sz w:val="24"/>
          <w:szCs w:val="24"/>
        </w:rPr>
        <w:tab/>
      </w:r>
      <w:r w:rsidRPr="007431C0">
        <w:rPr>
          <w:rFonts w:ascii="Times New Roman" w:hAnsi="Times New Roman" w:cs="Times New Roman"/>
          <w:sz w:val="24"/>
          <w:szCs w:val="24"/>
        </w:rPr>
        <w:t>□</w:t>
      </w:r>
      <w:r w:rsidRPr="007431C0">
        <w:rPr>
          <w:rFonts w:ascii="Times New Roman" w:hAnsi="Times New Roman" w:cs="Times New Roman"/>
          <w:sz w:val="24"/>
          <w:szCs w:val="24"/>
        </w:rPr>
        <w:tab/>
      </w:r>
      <w:proofErr w:type="gramStart"/>
      <w:r w:rsidR="005D35EF" w:rsidRPr="007431C0">
        <w:rPr>
          <w:rFonts w:ascii="Times New Roman" w:hAnsi="Times New Roman" w:cs="Times New Roman"/>
          <w:sz w:val="24"/>
          <w:szCs w:val="24"/>
        </w:rPr>
        <w:t>Only</w:t>
      </w:r>
      <w:proofErr w:type="gramEnd"/>
      <w:r w:rsidR="005D35EF" w:rsidRPr="007431C0">
        <w:rPr>
          <w:rFonts w:ascii="Times New Roman" w:hAnsi="Times New Roman" w:cs="Times New Roman"/>
          <w:sz w:val="24"/>
          <w:szCs w:val="24"/>
        </w:rPr>
        <w:t xml:space="preserve"> pot gear Pacific cod endorsements for groundfish licenses with a Western GOA</w:t>
      </w:r>
      <w:r w:rsidRPr="007431C0">
        <w:rPr>
          <w:rFonts w:ascii="Times New Roman" w:hAnsi="Times New Roman" w:cs="Times New Roman"/>
          <w:sz w:val="24"/>
          <w:szCs w:val="24"/>
        </w:rPr>
        <w:t xml:space="preserve"> </w:t>
      </w:r>
      <w:r w:rsidR="005D35EF" w:rsidRPr="007431C0">
        <w:rPr>
          <w:rFonts w:ascii="Times New Roman" w:hAnsi="Times New Roman" w:cs="Times New Roman"/>
          <w:sz w:val="24"/>
          <w:szCs w:val="24"/>
        </w:rPr>
        <w:t xml:space="preserve">designation to CQEs on </w:t>
      </w:r>
      <w:r w:rsidR="000B0C3B">
        <w:rPr>
          <w:rFonts w:ascii="Times New Roman" w:hAnsi="Times New Roman" w:cs="Times New Roman"/>
          <w:sz w:val="24"/>
          <w:szCs w:val="24"/>
        </w:rPr>
        <w:t>behalf of an eligible community;</w:t>
      </w:r>
    </w:p>
    <w:p w:rsidR="006A64A1" w:rsidRPr="007431C0" w:rsidRDefault="006A64A1" w:rsidP="006A64A1">
      <w:pPr>
        <w:spacing w:after="0" w:line="240" w:lineRule="auto"/>
        <w:rPr>
          <w:rFonts w:ascii="Times New Roman" w:hAnsi="Times New Roman" w:cs="Times New Roman"/>
          <w:sz w:val="24"/>
          <w:szCs w:val="24"/>
        </w:rPr>
      </w:pPr>
    </w:p>
    <w:p w:rsidR="005D35EF" w:rsidRPr="007431C0" w:rsidRDefault="00EB6E5C" w:rsidP="00EB6E5C">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7431C0">
        <w:rPr>
          <w:rFonts w:ascii="Times New Roman" w:hAnsi="Times New Roman" w:cs="Times New Roman"/>
          <w:sz w:val="24"/>
          <w:szCs w:val="24"/>
        </w:rPr>
        <w:tab/>
      </w:r>
      <w:r w:rsidR="006A64A1" w:rsidRPr="007431C0">
        <w:rPr>
          <w:rFonts w:ascii="Times New Roman" w:hAnsi="Times New Roman" w:cs="Times New Roman"/>
          <w:sz w:val="24"/>
          <w:szCs w:val="24"/>
        </w:rPr>
        <w:tab/>
      </w:r>
      <w:r w:rsidRPr="007431C0">
        <w:rPr>
          <w:rFonts w:ascii="Times New Roman" w:hAnsi="Times New Roman" w:cs="Times New Roman"/>
          <w:sz w:val="24"/>
          <w:szCs w:val="24"/>
        </w:rPr>
        <w:t>□</w:t>
      </w:r>
      <w:r w:rsidR="006A64A1" w:rsidRPr="007431C0">
        <w:rPr>
          <w:rFonts w:ascii="Times New Roman" w:hAnsi="Times New Roman" w:cs="Times New Roman"/>
          <w:sz w:val="24"/>
          <w:szCs w:val="24"/>
        </w:rPr>
        <w:tab/>
      </w:r>
      <w:r w:rsidR="005D35EF" w:rsidRPr="007431C0">
        <w:rPr>
          <w:rFonts w:ascii="Times New Roman" w:hAnsi="Times New Roman" w:cs="Times New Roman"/>
          <w:sz w:val="24"/>
          <w:szCs w:val="24"/>
        </w:rPr>
        <w:t>Either a pot gear or a hook-and-line gear Pacific cod endorsement for a groundfish license</w:t>
      </w:r>
      <w:r w:rsidR="006A64A1" w:rsidRPr="007431C0">
        <w:rPr>
          <w:rFonts w:ascii="Times New Roman" w:hAnsi="Times New Roman" w:cs="Times New Roman"/>
          <w:sz w:val="24"/>
          <w:szCs w:val="24"/>
        </w:rPr>
        <w:t xml:space="preserve"> </w:t>
      </w:r>
      <w:r w:rsidR="005D35EF" w:rsidRPr="007431C0">
        <w:rPr>
          <w:rFonts w:ascii="Times New Roman" w:hAnsi="Times New Roman" w:cs="Times New Roman"/>
          <w:sz w:val="24"/>
          <w:szCs w:val="24"/>
        </w:rPr>
        <w:t xml:space="preserve">with a Central GOA designation to CQEs on behalf of an eligible community. </w:t>
      </w:r>
    </w:p>
    <w:p w:rsidR="00853EC0" w:rsidRPr="007431C0" w:rsidRDefault="00853EC0" w:rsidP="006A64A1">
      <w:pPr>
        <w:spacing w:after="0" w:line="240" w:lineRule="auto"/>
        <w:rPr>
          <w:rFonts w:ascii="Times New Roman" w:hAnsi="Times New Roman" w:cs="Times New Roman"/>
          <w:sz w:val="24"/>
          <w:szCs w:val="24"/>
        </w:rPr>
      </w:pPr>
    </w:p>
    <w:p w:rsidR="00C420DE" w:rsidRPr="007431C0" w:rsidRDefault="005D35EF" w:rsidP="006A64A1">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To be eligible under the Federal CQE program, a community must have fewer than 1,500 residents, lack direct road access, have direct access to saltwater, and have historic participation in the halibut and sablefish fisheries.  The main benefit to the community of the CQE Program is that it could provide opportunities for new entrants who reside in the community to participate in the Federal waters directed Pacific cod fishery.  </w:t>
      </w:r>
    </w:p>
    <w:p w:rsidR="00C420DE" w:rsidRPr="007431C0" w:rsidRDefault="00C420DE" w:rsidP="006A64A1">
      <w:pPr>
        <w:spacing w:after="0" w:line="240" w:lineRule="auto"/>
        <w:rPr>
          <w:rFonts w:ascii="Times New Roman" w:hAnsi="Times New Roman" w:cs="Times New Roman"/>
          <w:sz w:val="24"/>
          <w:szCs w:val="24"/>
        </w:rPr>
      </w:pPr>
    </w:p>
    <w:p w:rsidR="00512134" w:rsidRPr="007431C0" w:rsidRDefault="00512134" w:rsidP="00583F16">
      <w:pPr>
        <w:tabs>
          <w:tab w:val="left" w:pos="360"/>
          <w:tab w:val="left" w:pos="720"/>
          <w:tab w:val="left" w:pos="108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The CQE must submit to NMFS as an attachment to the application, an annual letter of authorization that lists</w:t>
      </w:r>
      <w:r w:rsidR="000B0C3B">
        <w:rPr>
          <w:rFonts w:ascii="Times New Roman" w:hAnsi="Times New Roman" w:cs="Times New Roman"/>
          <w:sz w:val="24"/>
          <w:szCs w:val="24"/>
        </w:rPr>
        <w:t>,</w:t>
      </w:r>
      <w:r w:rsidRPr="007431C0">
        <w:rPr>
          <w:rFonts w:ascii="Times New Roman" w:hAnsi="Times New Roman" w:cs="Times New Roman"/>
          <w:sz w:val="24"/>
          <w:szCs w:val="24"/>
        </w:rPr>
        <w:t xml:space="preserve"> f</w:t>
      </w:r>
      <w:r w:rsidR="000B0C3B">
        <w:rPr>
          <w:rFonts w:ascii="Times New Roman" w:hAnsi="Times New Roman" w:cs="Times New Roman"/>
          <w:sz w:val="24"/>
          <w:szCs w:val="24"/>
        </w:rPr>
        <w:t xml:space="preserve">or each license held by the CQE, </w:t>
      </w:r>
      <w:r w:rsidRPr="007431C0">
        <w:rPr>
          <w:rFonts w:ascii="Times New Roman" w:hAnsi="Times New Roman" w:cs="Times New Roman"/>
          <w:sz w:val="24"/>
          <w:szCs w:val="24"/>
        </w:rPr>
        <w:t>the vessel to be assigned to the license for the calendar year and the individual authorized to use the license</w:t>
      </w:r>
      <w:r w:rsidR="00583F16">
        <w:rPr>
          <w:rFonts w:ascii="Times New Roman" w:hAnsi="Times New Roman" w:cs="Times New Roman"/>
          <w:sz w:val="24"/>
          <w:szCs w:val="24"/>
        </w:rPr>
        <w:t>, and any subsequent change of individual</w:t>
      </w:r>
      <w:r w:rsidRPr="007431C0">
        <w:rPr>
          <w:rFonts w:ascii="Times New Roman" w:hAnsi="Times New Roman" w:cs="Times New Roman"/>
          <w:sz w:val="24"/>
          <w:szCs w:val="24"/>
        </w:rPr>
        <w:t>.  The CQE must certify that</w:t>
      </w:r>
      <w:r w:rsidR="00583F16">
        <w:rPr>
          <w:rFonts w:ascii="Times New Roman" w:hAnsi="Times New Roman" w:cs="Times New Roman"/>
          <w:sz w:val="24"/>
          <w:szCs w:val="24"/>
        </w:rPr>
        <w:t xml:space="preserve"> </w:t>
      </w:r>
      <w:r w:rsidRPr="007431C0">
        <w:rPr>
          <w:rFonts w:ascii="Times New Roman" w:hAnsi="Times New Roman" w:cs="Times New Roman"/>
          <w:sz w:val="24"/>
          <w:szCs w:val="24"/>
        </w:rPr>
        <w:t>the individual authorized to use the license is a citizen of the United States and has maintained a domicile for the 12 consecutive months preceding the authorization of the CQE community.</w:t>
      </w:r>
      <w:r w:rsidR="00A47ED3" w:rsidRPr="007431C0">
        <w:rPr>
          <w:rFonts w:ascii="Times New Roman" w:hAnsi="Times New Roman" w:cs="Times New Roman"/>
          <w:sz w:val="24"/>
          <w:szCs w:val="24"/>
        </w:rPr>
        <w:t xml:space="preserve">  </w:t>
      </w:r>
      <w:r w:rsidRPr="007431C0">
        <w:rPr>
          <w:rFonts w:ascii="Times New Roman" w:hAnsi="Times New Roman" w:cs="Times New Roman"/>
          <w:sz w:val="24"/>
          <w:szCs w:val="24"/>
        </w:rPr>
        <w:t xml:space="preserve">An LLP license issued to a CQE must designate only one vessel per calendar year. The CQE can amend the authorization letter to add additional persons authorized to use the LLP license on a vessel. </w:t>
      </w:r>
    </w:p>
    <w:p w:rsidR="00512134" w:rsidRPr="007431C0" w:rsidRDefault="00512134" w:rsidP="00512134">
      <w:pPr>
        <w:spacing w:after="0" w:line="240" w:lineRule="auto"/>
        <w:rPr>
          <w:rFonts w:ascii="Times New Roman" w:hAnsi="Times New Roman" w:cs="Times New Roman"/>
          <w:sz w:val="24"/>
          <w:szCs w:val="24"/>
        </w:rPr>
      </w:pPr>
    </w:p>
    <w:p w:rsidR="00512134" w:rsidRPr="007431C0" w:rsidRDefault="00512134" w:rsidP="00512134">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A copy of the authorization letter and any amendments to the authorization letter must be provided to NMFS, and a copy of that authorization letter and any amendments must be maintained onboard the vessel assigned the CQE’s LLP license. </w:t>
      </w:r>
    </w:p>
    <w:p w:rsidR="00512134" w:rsidRPr="007431C0" w:rsidRDefault="00512134" w:rsidP="00512134">
      <w:pPr>
        <w:spacing w:after="0" w:line="240" w:lineRule="auto"/>
        <w:rPr>
          <w:rFonts w:ascii="Times New Roman" w:hAnsi="Times New Roman" w:cs="Times New Roman"/>
          <w:sz w:val="24"/>
          <w:szCs w:val="24"/>
        </w:rPr>
      </w:pPr>
    </w:p>
    <w:p w:rsidR="00512134" w:rsidRPr="007431C0" w:rsidRDefault="00512134" w:rsidP="00512134">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NMFS requires that the authorization letter be provided on or before the date that the LLP license is used on a vessel during a calendar year. Any amendments to the authorization to designate new authorized persons must be provided to NMFS prior to those persons using the CQE’s Pacific cod LLP. </w:t>
      </w:r>
    </w:p>
    <w:p w:rsidR="00FE43CE" w:rsidRPr="007431C0" w:rsidRDefault="00FE43CE" w:rsidP="00512134">
      <w:pPr>
        <w:spacing w:after="0" w:line="240" w:lineRule="auto"/>
        <w:rPr>
          <w:rFonts w:ascii="Times New Roman" w:hAnsi="Times New Roman" w:cs="Times New Roman"/>
          <w:sz w:val="24"/>
          <w:szCs w:val="24"/>
        </w:rPr>
      </w:pPr>
    </w:p>
    <w:p w:rsidR="00FE43CE" w:rsidRPr="007431C0" w:rsidRDefault="00A47ED3" w:rsidP="00512134">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Currently, there are 21 communities eligible under the CQE Program, located in the Western and Central GOA management areas, including West Yakutat.   Under the Federal LLP program, the </w:t>
      </w:r>
      <w:r w:rsidRPr="007431C0">
        <w:rPr>
          <w:rFonts w:ascii="Times New Roman" w:hAnsi="Times New Roman" w:cs="Times New Roman"/>
          <w:sz w:val="24"/>
          <w:szCs w:val="24"/>
        </w:rPr>
        <w:lastRenderedPageBreak/>
        <w:t>Central GOA endorsement area also authorizes vessels to fish in the West Yakutat management area.</w:t>
      </w:r>
      <w:r w:rsidR="00725F9B" w:rsidRPr="007431C0">
        <w:rPr>
          <w:rFonts w:ascii="Times New Roman" w:hAnsi="Times New Roman" w:cs="Times New Roman"/>
          <w:sz w:val="24"/>
          <w:szCs w:val="24"/>
        </w:rPr>
        <w:t xml:space="preserve">  </w:t>
      </w:r>
      <w:r w:rsidR="0084311F" w:rsidRPr="007431C0">
        <w:rPr>
          <w:rFonts w:ascii="Times New Roman" w:hAnsi="Times New Roman" w:cs="Times New Roman"/>
          <w:sz w:val="24"/>
          <w:szCs w:val="24"/>
        </w:rPr>
        <w:t xml:space="preserve">Currently, 21 CQE non-profit corporations represent </w:t>
      </w:r>
      <w:r w:rsidR="00725F9B" w:rsidRPr="007431C0">
        <w:rPr>
          <w:rFonts w:ascii="Times New Roman" w:hAnsi="Times New Roman" w:cs="Times New Roman"/>
          <w:sz w:val="24"/>
          <w:szCs w:val="24"/>
        </w:rPr>
        <w:t xml:space="preserve">the </w:t>
      </w:r>
      <w:r w:rsidR="0084311F" w:rsidRPr="007431C0">
        <w:rPr>
          <w:rFonts w:ascii="Times New Roman" w:hAnsi="Times New Roman" w:cs="Times New Roman"/>
          <w:sz w:val="24"/>
          <w:szCs w:val="24"/>
        </w:rPr>
        <w:t xml:space="preserve">21 unique Alaskan communities (in this revision, NMFS Alaska Region is correcting the number of communities eligible to receive a CQE LLP) </w:t>
      </w:r>
      <w:r w:rsidR="00D04CE5" w:rsidRPr="007431C0">
        <w:rPr>
          <w:rFonts w:ascii="Times New Roman" w:hAnsi="Times New Roman" w:cs="Times New Roman"/>
          <w:sz w:val="24"/>
          <w:szCs w:val="24"/>
        </w:rPr>
        <w:t xml:space="preserve">and is adding three eligible communities, making the total 24.  </w:t>
      </w:r>
    </w:p>
    <w:p w:rsidR="00512134" w:rsidRPr="007431C0" w:rsidRDefault="00512134" w:rsidP="006A64A1">
      <w:pPr>
        <w:spacing w:after="0" w:line="240" w:lineRule="auto"/>
        <w:rPr>
          <w:rFonts w:ascii="Times New Roman" w:hAnsi="Times New Roman" w:cs="Times New Roman"/>
          <w:sz w:val="24"/>
          <w:szCs w:val="24"/>
        </w:rPr>
      </w:pPr>
    </w:p>
    <w:p w:rsidR="00C420DE" w:rsidRPr="007431C0" w:rsidRDefault="00C420DE" w:rsidP="006A64A1">
      <w:pPr>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Application for a CQE to receive a Non-trawl groundfish LLP license</w:t>
      </w:r>
    </w:p>
    <w:p w:rsidR="00C420DE"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431C0">
        <w:rPr>
          <w:rFonts w:ascii="Times New Roman" w:hAnsi="Times New Roman" w:cs="Times New Roman"/>
          <w:sz w:val="20"/>
          <w:szCs w:val="20"/>
          <w:u w:val="single"/>
        </w:rPr>
        <w:t>Block A - Identification of Applicant</w:t>
      </w:r>
    </w:p>
    <w:p w:rsidR="0095032F"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C420DE" w:rsidRPr="007431C0">
        <w:rPr>
          <w:rFonts w:ascii="Times New Roman" w:hAnsi="Times New Roman" w:cs="Times New Roman"/>
          <w:sz w:val="20"/>
          <w:szCs w:val="20"/>
        </w:rPr>
        <w:t>Name of Non-Profit (CQE) Organization</w:t>
      </w:r>
    </w:p>
    <w:p w:rsidR="0095032F"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C420DE" w:rsidRPr="007431C0">
        <w:rPr>
          <w:rFonts w:ascii="Times New Roman" w:hAnsi="Times New Roman" w:cs="Times New Roman"/>
          <w:sz w:val="20"/>
          <w:szCs w:val="20"/>
        </w:rPr>
        <w:t>Name of CQE Contact Person</w:t>
      </w:r>
    </w:p>
    <w:p w:rsidR="0095032F"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C420DE" w:rsidRPr="007431C0">
        <w:rPr>
          <w:rFonts w:ascii="Times New Roman" w:hAnsi="Times New Roman" w:cs="Times New Roman"/>
          <w:sz w:val="20"/>
          <w:szCs w:val="20"/>
        </w:rPr>
        <w:t>CQE NMFS Person ID</w:t>
      </w:r>
    </w:p>
    <w:p w:rsidR="0095032F"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C420DE" w:rsidRPr="007431C0">
        <w:rPr>
          <w:rFonts w:ascii="Times New Roman" w:hAnsi="Times New Roman" w:cs="Times New Roman"/>
          <w:sz w:val="20"/>
          <w:szCs w:val="20"/>
        </w:rPr>
        <w:t>Name of Community on whose behalf the CQE is applying for an LLP(s)</w:t>
      </w:r>
    </w:p>
    <w:p w:rsidR="00C420DE"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C420DE" w:rsidRPr="007431C0">
        <w:rPr>
          <w:rFonts w:ascii="Times New Roman" w:hAnsi="Times New Roman" w:cs="Times New Roman"/>
          <w:sz w:val="20"/>
          <w:szCs w:val="20"/>
        </w:rPr>
        <w:t>Permanent Business Mailing Address</w:t>
      </w:r>
    </w:p>
    <w:p w:rsidR="00C420DE" w:rsidRPr="007431C0" w:rsidRDefault="0095032F" w:rsidP="0095032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C420DE" w:rsidRPr="007431C0">
        <w:rPr>
          <w:rFonts w:ascii="Times New Roman" w:hAnsi="Times New Roman" w:cs="Times New Roman"/>
          <w:sz w:val="20"/>
          <w:szCs w:val="20"/>
        </w:rPr>
        <w:t>Business Telephone Number</w:t>
      </w:r>
      <w:r w:rsidRPr="007431C0">
        <w:rPr>
          <w:rFonts w:ascii="Times New Roman" w:hAnsi="Times New Roman" w:cs="Times New Roman"/>
          <w:sz w:val="20"/>
          <w:szCs w:val="20"/>
        </w:rPr>
        <w:t xml:space="preserve">, </w:t>
      </w:r>
      <w:r w:rsidR="00C420DE" w:rsidRPr="007431C0">
        <w:rPr>
          <w:rFonts w:ascii="Times New Roman" w:hAnsi="Times New Roman" w:cs="Times New Roman"/>
          <w:sz w:val="20"/>
          <w:szCs w:val="20"/>
        </w:rPr>
        <w:t>Business Fax Number</w:t>
      </w:r>
      <w:r w:rsidRPr="007431C0">
        <w:rPr>
          <w:rFonts w:ascii="Times New Roman" w:hAnsi="Times New Roman" w:cs="Times New Roman"/>
          <w:sz w:val="20"/>
          <w:szCs w:val="20"/>
        </w:rPr>
        <w:t xml:space="preserve">, and </w:t>
      </w:r>
      <w:r w:rsidR="00C420DE" w:rsidRPr="007431C0">
        <w:rPr>
          <w:rFonts w:ascii="Times New Roman" w:hAnsi="Times New Roman" w:cs="Times New Roman"/>
          <w:sz w:val="20"/>
          <w:szCs w:val="20"/>
        </w:rPr>
        <w:t>Business E-mail Address</w:t>
      </w:r>
    </w:p>
    <w:p w:rsidR="00DD5F88" w:rsidRPr="007431C0" w:rsidRDefault="00DD5F88" w:rsidP="00DD5F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431C0">
        <w:rPr>
          <w:rFonts w:ascii="Times New Roman" w:hAnsi="Times New Roman" w:cs="Times New Roman"/>
          <w:sz w:val="20"/>
          <w:szCs w:val="20"/>
          <w:u w:val="single"/>
        </w:rPr>
        <w:t>Block B – Number of G</w:t>
      </w:r>
      <w:r w:rsidR="00D04CE5" w:rsidRPr="007431C0">
        <w:rPr>
          <w:rFonts w:ascii="Times New Roman" w:hAnsi="Times New Roman" w:cs="Times New Roman"/>
          <w:sz w:val="20"/>
          <w:szCs w:val="20"/>
          <w:u w:val="single"/>
        </w:rPr>
        <w:t>O</w:t>
      </w:r>
      <w:r w:rsidRPr="007431C0">
        <w:rPr>
          <w:rFonts w:ascii="Times New Roman" w:hAnsi="Times New Roman" w:cs="Times New Roman"/>
          <w:sz w:val="20"/>
          <w:szCs w:val="20"/>
          <w:u w:val="single"/>
        </w:rPr>
        <w:t>A Non-Trawl LLP Licenses &amp; Non-Trawl Gear Designations Requested</w:t>
      </w:r>
    </w:p>
    <w:p w:rsidR="00DD5F88" w:rsidRPr="007431C0" w:rsidRDefault="00DD5F88" w:rsidP="00DD5F88">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133189" w:rsidRPr="007431C0">
        <w:rPr>
          <w:rFonts w:ascii="Times New Roman" w:hAnsi="Times New Roman" w:cs="Times New Roman"/>
          <w:sz w:val="20"/>
          <w:szCs w:val="20"/>
        </w:rPr>
        <w:t>N</w:t>
      </w:r>
      <w:r w:rsidRPr="007431C0">
        <w:rPr>
          <w:rFonts w:ascii="Times New Roman" w:hAnsi="Times New Roman" w:cs="Times New Roman"/>
          <w:sz w:val="20"/>
          <w:szCs w:val="20"/>
        </w:rPr>
        <w:t>umber of LLP groundfish licenses requested</w:t>
      </w:r>
    </w:p>
    <w:p w:rsidR="00133189" w:rsidRPr="007431C0" w:rsidRDefault="00133189" w:rsidP="00DD5F88">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t xml:space="preserve">LLP </w:t>
      </w:r>
      <w:r w:rsidR="00DD5F88" w:rsidRPr="007431C0">
        <w:rPr>
          <w:rFonts w:ascii="Times New Roman" w:hAnsi="Times New Roman" w:cs="Times New Roman"/>
          <w:sz w:val="20"/>
          <w:szCs w:val="20"/>
        </w:rPr>
        <w:t>License</w:t>
      </w:r>
      <w:r w:rsidRPr="007431C0">
        <w:rPr>
          <w:rFonts w:ascii="Times New Roman" w:hAnsi="Times New Roman" w:cs="Times New Roman"/>
          <w:sz w:val="20"/>
          <w:szCs w:val="20"/>
        </w:rPr>
        <w:t xml:space="preserve"> number</w:t>
      </w:r>
      <w:r w:rsidR="00DD5F88" w:rsidRPr="007431C0">
        <w:rPr>
          <w:rFonts w:ascii="Times New Roman" w:hAnsi="Times New Roman" w:cs="Times New Roman"/>
          <w:sz w:val="20"/>
          <w:szCs w:val="20"/>
        </w:rPr>
        <w:tab/>
      </w:r>
    </w:p>
    <w:p w:rsidR="00DD5F88" w:rsidRPr="007431C0" w:rsidRDefault="00133189" w:rsidP="00DD5F88">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DD5F88" w:rsidRPr="007431C0">
        <w:rPr>
          <w:rFonts w:ascii="Times New Roman" w:hAnsi="Times New Roman" w:cs="Times New Roman"/>
          <w:sz w:val="20"/>
          <w:szCs w:val="20"/>
        </w:rPr>
        <w:t>Gear Type</w:t>
      </w:r>
      <w:r w:rsidRPr="007431C0">
        <w:rPr>
          <w:rFonts w:ascii="Times New Roman" w:hAnsi="Times New Roman" w:cs="Times New Roman"/>
          <w:sz w:val="20"/>
          <w:szCs w:val="20"/>
        </w:rPr>
        <w:t xml:space="preserve"> designation</w:t>
      </w:r>
    </w:p>
    <w:p w:rsidR="001A3CC5" w:rsidRPr="007431C0" w:rsidRDefault="001A3CC5" w:rsidP="001A3CC5">
      <w:pPr>
        <w:tabs>
          <w:tab w:val="left" w:pos="360"/>
          <w:tab w:val="left" w:pos="720"/>
          <w:tab w:val="left" w:pos="1080"/>
          <w:tab w:val="left" w:pos="1440"/>
        </w:tabs>
        <w:spacing w:after="0" w:line="240" w:lineRule="auto"/>
        <w:rPr>
          <w:rFonts w:ascii="Times New Roman" w:hAnsi="Times New Roman" w:cs="Times New Roman"/>
          <w:b/>
          <w:sz w:val="20"/>
          <w:szCs w:val="20"/>
          <w:u w:val="single"/>
        </w:rPr>
      </w:pPr>
      <w:r w:rsidRPr="007431C0">
        <w:rPr>
          <w:rFonts w:ascii="Times New Roman" w:hAnsi="Times New Roman" w:cs="Times New Roman"/>
          <w:sz w:val="20"/>
          <w:szCs w:val="20"/>
          <w:u w:val="single"/>
        </w:rPr>
        <w:t xml:space="preserve">Block C – </w:t>
      </w:r>
      <w:r w:rsidRPr="007431C0">
        <w:rPr>
          <w:rFonts w:ascii="Times New Roman" w:hAnsi="Times New Roman" w:cs="Times New Roman"/>
          <w:b/>
          <w:sz w:val="20"/>
          <w:szCs w:val="20"/>
          <w:u w:val="single"/>
        </w:rPr>
        <w:t xml:space="preserve">Attachments </w:t>
      </w:r>
    </w:p>
    <w:p w:rsidR="001A3CC5" w:rsidRPr="007431C0" w:rsidRDefault="00F74F8A" w:rsidP="001A3CC5">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t>P</w:t>
      </w:r>
      <w:r w:rsidR="001A3CC5" w:rsidRPr="007431C0">
        <w:rPr>
          <w:rFonts w:ascii="Times New Roman" w:hAnsi="Times New Roman" w:cs="Times New Roman"/>
          <w:sz w:val="20"/>
          <w:szCs w:val="20"/>
        </w:rPr>
        <w:t>rocedures to determine the distribution of LLP licenses to residents of the community represented by that CQE</w:t>
      </w:r>
    </w:p>
    <w:p w:rsidR="001A3CC5" w:rsidRPr="007431C0" w:rsidRDefault="001A3CC5" w:rsidP="001A3CC5">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F74F8A" w:rsidRPr="007431C0">
        <w:rPr>
          <w:rFonts w:ascii="Times New Roman" w:hAnsi="Times New Roman" w:cs="Times New Roman"/>
          <w:sz w:val="20"/>
          <w:szCs w:val="20"/>
        </w:rPr>
        <w:t>P</w:t>
      </w:r>
      <w:r w:rsidRPr="007431C0">
        <w:rPr>
          <w:rFonts w:ascii="Times New Roman" w:hAnsi="Times New Roman" w:cs="Times New Roman"/>
          <w:sz w:val="20"/>
          <w:szCs w:val="20"/>
        </w:rPr>
        <w:t>rocedures to solicit requests from residents to be assigned an LLP license.</w:t>
      </w:r>
    </w:p>
    <w:p w:rsidR="00502699" w:rsidRPr="007431C0" w:rsidRDefault="001A3CC5" w:rsidP="00F74F8A">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00F74F8A" w:rsidRPr="007431C0">
        <w:rPr>
          <w:rFonts w:ascii="Times New Roman" w:hAnsi="Times New Roman" w:cs="Times New Roman"/>
          <w:sz w:val="20"/>
          <w:szCs w:val="20"/>
        </w:rPr>
        <w:t>C</w:t>
      </w:r>
      <w:r w:rsidRPr="007431C0">
        <w:rPr>
          <w:rFonts w:ascii="Times New Roman" w:hAnsi="Times New Roman" w:cs="Times New Roman"/>
          <w:sz w:val="20"/>
          <w:szCs w:val="20"/>
        </w:rPr>
        <w:t>riteria to determine the distribution of LLP licenses among qualified community residents and the relat</w:t>
      </w:r>
      <w:r w:rsidR="00F74F8A" w:rsidRPr="007431C0">
        <w:rPr>
          <w:rFonts w:ascii="Times New Roman" w:hAnsi="Times New Roman" w:cs="Times New Roman"/>
          <w:sz w:val="20"/>
          <w:szCs w:val="20"/>
        </w:rPr>
        <w:t>ive</w:t>
      </w:r>
    </w:p>
    <w:p w:rsidR="00F74F8A" w:rsidRPr="007431C0" w:rsidRDefault="00502699" w:rsidP="00F74F8A">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Pr="007431C0">
        <w:rPr>
          <w:rFonts w:ascii="Times New Roman" w:hAnsi="Times New Roman" w:cs="Times New Roman"/>
          <w:sz w:val="20"/>
          <w:szCs w:val="20"/>
        </w:rPr>
        <w:tab/>
      </w:r>
      <w:r w:rsidR="00F74F8A" w:rsidRPr="007431C0">
        <w:rPr>
          <w:rFonts w:ascii="Times New Roman" w:hAnsi="Times New Roman" w:cs="Times New Roman"/>
          <w:sz w:val="20"/>
          <w:szCs w:val="20"/>
        </w:rPr>
        <w:t xml:space="preserve"> weighting of those criteria</w:t>
      </w:r>
    </w:p>
    <w:p w:rsidR="00442EFA" w:rsidRPr="007431C0" w:rsidRDefault="00502699" w:rsidP="00F74F8A">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t>Annual letter of authorization</w:t>
      </w:r>
    </w:p>
    <w:p w:rsidR="00C420DE" w:rsidRPr="007431C0" w:rsidRDefault="00C420DE" w:rsidP="00F74F8A">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0"/>
        <w:gridCol w:w="990"/>
      </w:tblGrid>
      <w:tr w:rsidR="005A5F64" w:rsidRPr="007431C0" w:rsidTr="00FE43CE">
        <w:tc>
          <w:tcPr>
            <w:tcW w:w="5220" w:type="dxa"/>
            <w:gridSpan w:val="2"/>
          </w:tcPr>
          <w:p w:rsidR="005A5F64" w:rsidRPr="007431C0" w:rsidRDefault="005A5F64" w:rsidP="00CF055F">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Application for a CQE to receive a</w:t>
            </w:r>
            <w:r w:rsidRPr="007431C0">
              <w:rPr>
                <w:rFonts w:ascii="Times New Roman" w:hAnsi="Times New Roman" w:cs="Times New Roman"/>
                <w:sz w:val="20"/>
                <w:szCs w:val="20"/>
              </w:rPr>
              <w:t xml:space="preserve"> </w:t>
            </w:r>
            <w:r w:rsidRPr="007431C0">
              <w:rPr>
                <w:rFonts w:ascii="Times New Roman" w:hAnsi="Times New Roman" w:cs="Times New Roman"/>
                <w:b/>
                <w:sz w:val="20"/>
                <w:szCs w:val="20"/>
              </w:rPr>
              <w:t>Non-trawl groundfish LLP license, Respondent</w:t>
            </w:r>
          </w:p>
        </w:tc>
      </w:tr>
      <w:tr w:rsidR="005A5F64" w:rsidRPr="007431C0" w:rsidTr="00FE43CE">
        <w:tc>
          <w:tcPr>
            <w:tcW w:w="4230" w:type="dxa"/>
          </w:tcPr>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respondents</w:t>
            </w:r>
          </w:p>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w:t>
            </w:r>
            <w:r w:rsidR="00215466" w:rsidRPr="007431C0">
              <w:rPr>
                <w:rFonts w:ascii="Times New Roman" w:hAnsi="Times New Roman" w:cs="Times New Roman"/>
                <w:sz w:val="20"/>
                <w:szCs w:val="20"/>
              </w:rPr>
              <w:t>17</w:t>
            </w:r>
            <w:r w:rsidRPr="007431C0">
              <w:rPr>
                <w:rFonts w:ascii="Times New Roman" w:hAnsi="Times New Roman" w:cs="Times New Roman"/>
                <w:sz w:val="20"/>
                <w:szCs w:val="20"/>
              </w:rPr>
              <w:t xml:space="preserve"> Central GOA LLP licenses</w:t>
            </w:r>
          </w:p>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w:t>
            </w:r>
            <w:r w:rsidR="00215466" w:rsidRPr="007431C0">
              <w:rPr>
                <w:rFonts w:ascii="Times New Roman" w:hAnsi="Times New Roman" w:cs="Times New Roman"/>
                <w:sz w:val="20"/>
                <w:szCs w:val="20"/>
              </w:rPr>
              <w:t>07</w:t>
            </w:r>
            <w:r w:rsidRPr="007431C0">
              <w:rPr>
                <w:rFonts w:ascii="Times New Roman" w:hAnsi="Times New Roman" w:cs="Times New Roman"/>
                <w:sz w:val="20"/>
                <w:szCs w:val="20"/>
              </w:rPr>
              <w:t xml:space="preserve"> Western GOA LLP licenses</w:t>
            </w:r>
          </w:p>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responses = 1</w:t>
            </w:r>
          </w:p>
          <w:p w:rsidR="00725F9B"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Frequency of response = Initial application</w:t>
            </w:r>
            <w:r w:rsidR="00725F9B" w:rsidRPr="007431C0">
              <w:rPr>
                <w:rFonts w:ascii="Times New Roman" w:hAnsi="Times New Roman" w:cs="Times New Roman"/>
                <w:sz w:val="20"/>
                <w:szCs w:val="20"/>
              </w:rPr>
              <w:t xml:space="preserve"> </w:t>
            </w:r>
          </w:p>
          <w:p w:rsidR="005A5F64" w:rsidRPr="007431C0" w:rsidRDefault="00725F9B" w:rsidP="00CF055F">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24/3= 8</w:t>
            </w:r>
          </w:p>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burden hours</w:t>
            </w:r>
          </w:p>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Time per response = 20 hr</w:t>
            </w:r>
          </w:p>
          <w:p w:rsidR="005A5F64" w:rsidRPr="007431C0" w:rsidRDefault="005A5F64" w:rsidP="00CF055F">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personnel cost</w:t>
            </w:r>
            <w:r w:rsidRPr="007431C0">
              <w:rPr>
                <w:rFonts w:ascii="Times New Roman" w:hAnsi="Times New Roman" w:cs="Times New Roman"/>
                <w:sz w:val="20"/>
                <w:szCs w:val="20"/>
              </w:rPr>
              <w:t xml:space="preserve"> ($25 x</w:t>
            </w:r>
            <w:r w:rsidR="00427A71" w:rsidRPr="007431C0">
              <w:rPr>
                <w:rFonts w:ascii="Times New Roman" w:hAnsi="Times New Roman" w:cs="Times New Roman"/>
                <w:sz w:val="20"/>
                <w:szCs w:val="20"/>
              </w:rPr>
              <w:t xml:space="preserve"> 160</w:t>
            </w:r>
            <w:r w:rsidRPr="007431C0">
              <w:rPr>
                <w:rFonts w:ascii="Times New Roman" w:hAnsi="Times New Roman" w:cs="Times New Roman"/>
                <w:sz w:val="20"/>
                <w:szCs w:val="20"/>
              </w:rPr>
              <w:t>)</w:t>
            </w:r>
          </w:p>
          <w:p w:rsidR="005A5F64" w:rsidRPr="007431C0" w:rsidRDefault="005A5F64" w:rsidP="00CF055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b/>
                <w:sz w:val="20"/>
                <w:szCs w:val="20"/>
              </w:rPr>
              <w:t>Total miscellaneous costs</w:t>
            </w:r>
            <w:r w:rsidRPr="007431C0">
              <w:rPr>
                <w:rFonts w:ascii="Times New Roman" w:hAnsi="Times New Roman" w:cs="Times New Roman"/>
                <w:sz w:val="20"/>
                <w:szCs w:val="20"/>
              </w:rPr>
              <w:t xml:space="preserve">   (</w:t>
            </w:r>
            <w:r w:rsidR="00593243" w:rsidRPr="007431C0">
              <w:rPr>
                <w:rFonts w:ascii="Times New Roman" w:hAnsi="Times New Roman" w:cs="Times New Roman"/>
                <w:sz w:val="20"/>
                <w:szCs w:val="20"/>
              </w:rPr>
              <w:t>7.52</w:t>
            </w:r>
            <w:r w:rsidRPr="007431C0">
              <w:rPr>
                <w:rFonts w:ascii="Times New Roman" w:hAnsi="Times New Roman" w:cs="Times New Roman"/>
                <w:sz w:val="20"/>
                <w:szCs w:val="20"/>
              </w:rPr>
              <w:t>)</w:t>
            </w:r>
          </w:p>
          <w:p w:rsidR="005A5F64" w:rsidRPr="007431C0" w:rsidRDefault="00E2480F" w:rsidP="00CF055F">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 xml:space="preserve">   Postage  (0.44 </w:t>
            </w:r>
            <w:r w:rsidR="00593243" w:rsidRPr="007431C0">
              <w:rPr>
                <w:rFonts w:ascii="Times New Roman" w:hAnsi="Times New Roman" w:cs="Times New Roman"/>
                <w:sz w:val="20"/>
                <w:szCs w:val="20"/>
              </w:rPr>
              <w:t>x 8</w:t>
            </w:r>
            <w:r w:rsidR="005A5F64" w:rsidRPr="007431C0">
              <w:rPr>
                <w:rFonts w:ascii="Times New Roman" w:hAnsi="Times New Roman" w:cs="Times New Roman"/>
                <w:sz w:val="20"/>
                <w:szCs w:val="20"/>
              </w:rPr>
              <w:t xml:space="preserve"> = </w:t>
            </w:r>
            <w:r w:rsidR="00593243" w:rsidRPr="007431C0">
              <w:rPr>
                <w:rFonts w:ascii="Times New Roman" w:hAnsi="Times New Roman" w:cs="Times New Roman"/>
                <w:sz w:val="20"/>
                <w:szCs w:val="20"/>
              </w:rPr>
              <w:t>3.52</w:t>
            </w:r>
            <w:r w:rsidR="005A5F64" w:rsidRPr="007431C0">
              <w:rPr>
                <w:rFonts w:ascii="Times New Roman" w:hAnsi="Times New Roman" w:cs="Times New Roman"/>
                <w:sz w:val="20"/>
                <w:szCs w:val="20"/>
              </w:rPr>
              <w:t xml:space="preserve"> )</w:t>
            </w:r>
          </w:p>
          <w:p w:rsidR="005A5F64" w:rsidRPr="007431C0" w:rsidRDefault="005A5F64" w:rsidP="00593243">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 xml:space="preserve">   </w:t>
            </w:r>
            <w:r w:rsidR="00E2480F" w:rsidRPr="007431C0">
              <w:rPr>
                <w:rFonts w:ascii="Times New Roman" w:hAnsi="Times New Roman" w:cs="Times New Roman"/>
                <w:sz w:val="20"/>
                <w:szCs w:val="20"/>
              </w:rPr>
              <w:t>Photoc</w:t>
            </w:r>
            <w:r w:rsidRPr="007431C0">
              <w:rPr>
                <w:rFonts w:ascii="Times New Roman" w:hAnsi="Times New Roman" w:cs="Times New Roman"/>
                <w:sz w:val="20"/>
                <w:szCs w:val="20"/>
              </w:rPr>
              <w:t xml:space="preserve">opy (0.05 x 10pp x </w:t>
            </w:r>
            <w:r w:rsidR="00593243" w:rsidRPr="007431C0">
              <w:rPr>
                <w:rFonts w:ascii="Times New Roman" w:hAnsi="Times New Roman" w:cs="Times New Roman"/>
                <w:sz w:val="20"/>
                <w:szCs w:val="20"/>
              </w:rPr>
              <w:t>8</w:t>
            </w:r>
            <w:r w:rsidRPr="007431C0">
              <w:rPr>
                <w:rFonts w:ascii="Times New Roman" w:hAnsi="Times New Roman" w:cs="Times New Roman"/>
                <w:sz w:val="20"/>
                <w:szCs w:val="20"/>
              </w:rPr>
              <w:t xml:space="preserve">= </w:t>
            </w:r>
            <w:r w:rsidR="00593243" w:rsidRPr="007431C0">
              <w:rPr>
                <w:rFonts w:ascii="Times New Roman" w:hAnsi="Times New Roman" w:cs="Times New Roman"/>
                <w:sz w:val="20"/>
                <w:szCs w:val="20"/>
              </w:rPr>
              <w:t>4</w:t>
            </w:r>
            <w:r w:rsidRPr="007431C0">
              <w:rPr>
                <w:rFonts w:ascii="Times New Roman" w:hAnsi="Times New Roman" w:cs="Times New Roman"/>
                <w:sz w:val="20"/>
                <w:szCs w:val="20"/>
              </w:rPr>
              <w:t>)</w:t>
            </w:r>
          </w:p>
        </w:tc>
        <w:tc>
          <w:tcPr>
            <w:tcW w:w="990" w:type="dxa"/>
          </w:tcPr>
          <w:p w:rsidR="005A5F64" w:rsidRPr="007431C0" w:rsidRDefault="00215466"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w:t>
            </w:r>
            <w:r w:rsidR="00E2480F" w:rsidRPr="007431C0">
              <w:rPr>
                <w:rFonts w:ascii="Times New Roman" w:hAnsi="Times New Roman" w:cs="Times New Roman"/>
                <w:b/>
                <w:sz w:val="20"/>
                <w:szCs w:val="20"/>
              </w:rPr>
              <w:t>4</w:t>
            </w:r>
          </w:p>
          <w:p w:rsidR="005A5F64" w:rsidRPr="007431C0" w:rsidRDefault="005A5F64"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5A5F64" w:rsidRPr="007431C0" w:rsidRDefault="005A5F64"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5A5F64" w:rsidRPr="007431C0" w:rsidRDefault="00725F9B"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8</w:t>
            </w:r>
          </w:p>
          <w:p w:rsidR="005A5F64" w:rsidRPr="007431C0" w:rsidRDefault="005A5F64"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725F9B" w:rsidRPr="007431C0" w:rsidRDefault="00725F9B"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5A5F64" w:rsidRPr="007431C0" w:rsidRDefault="00725F9B"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 xml:space="preserve">160 </w:t>
            </w:r>
            <w:r w:rsidR="005A5F64" w:rsidRPr="007431C0">
              <w:rPr>
                <w:rFonts w:ascii="Times New Roman" w:hAnsi="Times New Roman" w:cs="Times New Roman"/>
                <w:b/>
                <w:sz w:val="20"/>
                <w:szCs w:val="20"/>
              </w:rPr>
              <w:t>hr</w:t>
            </w:r>
          </w:p>
          <w:p w:rsidR="00593243" w:rsidRPr="007431C0" w:rsidRDefault="00593243"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5A5F64" w:rsidRPr="007431C0" w:rsidRDefault="005A5F64"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w:t>
            </w:r>
            <w:r w:rsidR="00427A71" w:rsidRPr="007431C0">
              <w:rPr>
                <w:rFonts w:ascii="Times New Roman" w:hAnsi="Times New Roman" w:cs="Times New Roman"/>
                <w:b/>
                <w:sz w:val="20"/>
                <w:szCs w:val="20"/>
              </w:rPr>
              <w:t>4,000</w:t>
            </w:r>
          </w:p>
          <w:p w:rsidR="005A5F64" w:rsidRPr="007431C0" w:rsidRDefault="005A5F64" w:rsidP="005A5F64">
            <w:pPr>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7431C0">
              <w:rPr>
                <w:rFonts w:ascii="Times New Roman" w:hAnsi="Times New Roman" w:cs="Times New Roman"/>
                <w:b/>
                <w:sz w:val="20"/>
                <w:szCs w:val="20"/>
              </w:rPr>
              <w:t>$</w:t>
            </w:r>
            <w:r w:rsidR="00427A71" w:rsidRPr="007431C0">
              <w:rPr>
                <w:rFonts w:ascii="Times New Roman" w:hAnsi="Times New Roman" w:cs="Times New Roman"/>
                <w:b/>
                <w:sz w:val="20"/>
                <w:szCs w:val="20"/>
              </w:rPr>
              <w:t>8</w:t>
            </w:r>
          </w:p>
          <w:p w:rsidR="005A5F64" w:rsidRPr="007431C0" w:rsidRDefault="005A5F64" w:rsidP="005A5F64">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p>
        </w:tc>
      </w:tr>
    </w:tbl>
    <w:p w:rsidR="00A16440" w:rsidRPr="007431C0" w:rsidRDefault="00A16440" w:rsidP="005A5F64">
      <w:pPr>
        <w:tabs>
          <w:tab w:val="left" w:pos="360"/>
          <w:tab w:val="left" w:pos="720"/>
          <w:tab w:val="left" w:pos="1080"/>
        </w:tabs>
        <w:spacing w:after="0" w:line="240" w:lineRule="auto"/>
        <w:rPr>
          <w:rFonts w:ascii="Times New Roman" w:hAnsi="Times New Roman" w:cs="Times New Roman"/>
          <w:sz w:val="24"/>
          <w:szCs w:val="24"/>
        </w:rPr>
      </w:pPr>
    </w:p>
    <w:p w:rsidR="00A16440" w:rsidRPr="007431C0" w:rsidRDefault="00A16440">
      <w:pPr>
        <w:rPr>
          <w:rFonts w:ascii="Times New Roman" w:hAnsi="Times New Roman" w:cs="Times New Roman"/>
          <w:sz w:val="24"/>
          <w:szCs w:val="24"/>
        </w:rPr>
      </w:pPr>
      <w:r w:rsidRPr="007431C0">
        <w:rPr>
          <w:rFonts w:ascii="Times New Roman" w:hAnsi="Times New Roman" w:cs="Times New Roman"/>
          <w:sz w:val="24"/>
          <w:szCs w:val="24"/>
        </w:rPr>
        <w:br w:type="page"/>
      </w:r>
    </w:p>
    <w:p w:rsidR="00215466" w:rsidRPr="007431C0" w:rsidRDefault="00215466" w:rsidP="005A5F64">
      <w:pPr>
        <w:tabs>
          <w:tab w:val="left" w:pos="360"/>
          <w:tab w:val="left" w:pos="720"/>
          <w:tab w:val="left" w:pos="1080"/>
        </w:tabs>
        <w:spacing w:after="0" w:line="240" w:lineRule="auto"/>
        <w:rPr>
          <w:rFonts w:ascii="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0"/>
        <w:gridCol w:w="990"/>
      </w:tblGrid>
      <w:tr w:rsidR="00D04CE5" w:rsidRPr="007431C0" w:rsidTr="00D04CE5">
        <w:tc>
          <w:tcPr>
            <w:tcW w:w="5220" w:type="dxa"/>
            <w:gridSpan w:val="2"/>
          </w:tcPr>
          <w:p w:rsidR="00D04CE5" w:rsidRPr="007431C0" w:rsidRDefault="00D04CE5" w:rsidP="00D04CE5">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Application for a CQE to receive a</w:t>
            </w:r>
            <w:r w:rsidRPr="007431C0">
              <w:rPr>
                <w:rFonts w:ascii="Times New Roman" w:hAnsi="Times New Roman" w:cs="Times New Roman"/>
                <w:sz w:val="20"/>
                <w:szCs w:val="20"/>
              </w:rPr>
              <w:t xml:space="preserve"> </w:t>
            </w:r>
            <w:r w:rsidRPr="007431C0">
              <w:rPr>
                <w:rFonts w:ascii="Times New Roman" w:hAnsi="Times New Roman" w:cs="Times New Roman"/>
                <w:b/>
                <w:sz w:val="20"/>
                <w:szCs w:val="20"/>
              </w:rPr>
              <w:t>Non-trawl groundfish LLP license,  Federal Government</w:t>
            </w:r>
          </w:p>
        </w:tc>
      </w:tr>
      <w:tr w:rsidR="00D04CE5" w:rsidRPr="007431C0" w:rsidTr="00D04CE5">
        <w:tc>
          <w:tcPr>
            <w:tcW w:w="4230" w:type="dxa"/>
          </w:tcPr>
          <w:p w:rsidR="00D04CE5" w:rsidRPr="007431C0" w:rsidRDefault="00D04CE5" w:rsidP="00D04CE5">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responses</w:t>
            </w:r>
            <w:r w:rsidRPr="007431C0">
              <w:rPr>
                <w:rFonts w:ascii="Times New Roman" w:hAnsi="Times New Roman" w:cs="Times New Roman"/>
                <w:sz w:val="20"/>
                <w:szCs w:val="20"/>
              </w:rPr>
              <w:t xml:space="preserve"> </w:t>
            </w:r>
          </w:p>
          <w:p w:rsidR="00D04CE5" w:rsidRPr="007431C0" w:rsidRDefault="00D04CE5" w:rsidP="00D04CE5">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burden hours</w:t>
            </w:r>
            <w:r w:rsidRPr="007431C0">
              <w:rPr>
                <w:rFonts w:ascii="Times New Roman" w:hAnsi="Times New Roman" w:cs="Times New Roman"/>
                <w:sz w:val="20"/>
                <w:szCs w:val="20"/>
              </w:rPr>
              <w:t xml:space="preserve"> </w:t>
            </w:r>
          </w:p>
          <w:p w:rsidR="00D04CE5" w:rsidRPr="007431C0" w:rsidRDefault="00D04CE5" w:rsidP="00D04CE5">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Time per response = 4 hr</w:t>
            </w:r>
          </w:p>
          <w:p w:rsidR="00D04CE5" w:rsidRPr="007431C0" w:rsidRDefault="00D04CE5" w:rsidP="00D04CE5">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b/>
                <w:sz w:val="20"/>
                <w:szCs w:val="20"/>
              </w:rPr>
              <w:t>Total personnel costs</w:t>
            </w:r>
            <w:r w:rsidRPr="007431C0">
              <w:rPr>
                <w:rFonts w:ascii="Times New Roman" w:hAnsi="Times New Roman" w:cs="Times New Roman"/>
                <w:sz w:val="20"/>
                <w:szCs w:val="20"/>
              </w:rPr>
              <w:t xml:space="preserve">  ($25 x </w:t>
            </w:r>
            <w:r w:rsidR="00427A71" w:rsidRPr="007431C0">
              <w:rPr>
                <w:rFonts w:ascii="Times New Roman" w:hAnsi="Times New Roman" w:cs="Times New Roman"/>
                <w:sz w:val="20"/>
                <w:szCs w:val="20"/>
              </w:rPr>
              <w:t>32</w:t>
            </w:r>
            <w:r w:rsidRPr="007431C0">
              <w:rPr>
                <w:rFonts w:ascii="Times New Roman" w:hAnsi="Times New Roman" w:cs="Times New Roman"/>
                <w:sz w:val="20"/>
                <w:szCs w:val="20"/>
              </w:rPr>
              <w:t>)</w:t>
            </w:r>
          </w:p>
          <w:p w:rsidR="00D04CE5" w:rsidRPr="007431C0" w:rsidRDefault="00D04CE5" w:rsidP="00D04CE5">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Total miscellaneous costs</w:t>
            </w:r>
          </w:p>
        </w:tc>
        <w:tc>
          <w:tcPr>
            <w:tcW w:w="990" w:type="dxa"/>
          </w:tcPr>
          <w:p w:rsidR="00D04CE5" w:rsidRPr="007431C0" w:rsidRDefault="00427A71" w:rsidP="00D04CE5">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8</w:t>
            </w:r>
          </w:p>
          <w:p w:rsidR="00D04CE5" w:rsidRPr="007431C0" w:rsidRDefault="00427A71" w:rsidP="00D04CE5">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 xml:space="preserve">32 </w:t>
            </w:r>
            <w:r w:rsidR="00D04CE5" w:rsidRPr="007431C0">
              <w:rPr>
                <w:rFonts w:ascii="Times New Roman" w:hAnsi="Times New Roman" w:cs="Times New Roman"/>
                <w:b/>
                <w:sz w:val="20"/>
                <w:szCs w:val="20"/>
              </w:rPr>
              <w:t>hr</w:t>
            </w:r>
          </w:p>
          <w:p w:rsidR="00D04CE5" w:rsidRPr="007431C0" w:rsidRDefault="00D04CE5" w:rsidP="00D04CE5">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D04CE5" w:rsidRPr="007431C0" w:rsidRDefault="00D04CE5" w:rsidP="00D04CE5">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w:t>
            </w:r>
            <w:r w:rsidR="00427A71" w:rsidRPr="007431C0">
              <w:rPr>
                <w:rFonts w:ascii="Times New Roman" w:hAnsi="Times New Roman" w:cs="Times New Roman"/>
                <w:b/>
                <w:sz w:val="20"/>
                <w:szCs w:val="20"/>
              </w:rPr>
              <w:t>800</w:t>
            </w:r>
          </w:p>
          <w:p w:rsidR="00D04CE5" w:rsidRPr="007431C0" w:rsidRDefault="00D04CE5" w:rsidP="00D04CE5">
            <w:pPr>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7431C0">
              <w:rPr>
                <w:rFonts w:ascii="Times New Roman" w:hAnsi="Times New Roman" w:cs="Times New Roman"/>
                <w:b/>
                <w:sz w:val="20"/>
                <w:szCs w:val="20"/>
              </w:rPr>
              <w:t>0</w:t>
            </w:r>
          </w:p>
        </w:tc>
      </w:tr>
    </w:tbl>
    <w:p w:rsidR="00EC6126" w:rsidRPr="007431C0" w:rsidRDefault="00EC6126" w:rsidP="007D012A">
      <w:pPr>
        <w:tabs>
          <w:tab w:val="left" w:pos="360"/>
          <w:tab w:val="left" w:pos="720"/>
          <w:tab w:val="left" w:pos="1080"/>
        </w:tabs>
        <w:spacing w:after="0" w:line="240" w:lineRule="auto"/>
        <w:rPr>
          <w:rFonts w:ascii="Times New Roman" w:hAnsi="Times New Roman" w:cs="Times New Roman"/>
          <w:sz w:val="24"/>
          <w:szCs w:val="24"/>
        </w:rPr>
      </w:pPr>
    </w:p>
    <w:p w:rsidR="00A16440" w:rsidRPr="007431C0" w:rsidRDefault="00A16440" w:rsidP="00442EFA">
      <w:pPr>
        <w:pStyle w:val="Default"/>
        <w:rPr>
          <w:b/>
        </w:rPr>
      </w:pPr>
    </w:p>
    <w:p w:rsidR="00442EFA" w:rsidRPr="007431C0" w:rsidRDefault="00D43BF2" w:rsidP="00442EFA">
      <w:pPr>
        <w:pStyle w:val="Default"/>
        <w:rPr>
          <w:b/>
        </w:rPr>
      </w:pPr>
      <w:r w:rsidRPr="007431C0">
        <w:rPr>
          <w:b/>
        </w:rPr>
        <w:t>b. Letter</w:t>
      </w:r>
      <w:r w:rsidR="00442EFA" w:rsidRPr="007431C0">
        <w:rPr>
          <w:b/>
        </w:rPr>
        <w:t xml:space="preserve"> of Authorization </w:t>
      </w:r>
    </w:p>
    <w:p w:rsidR="00A16440" w:rsidRPr="007431C0" w:rsidRDefault="00A16440" w:rsidP="00442EFA">
      <w:pPr>
        <w:pStyle w:val="Default"/>
      </w:pPr>
    </w:p>
    <w:p w:rsidR="00442EFA" w:rsidRPr="007431C0" w:rsidRDefault="00442EFA" w:rsidP="00442EFA">
      <w:pPr>
        <w:pStyle w:val="Default"/>
        <w:rPr>
          <w:color w:val="auto"/>
        </w:rPr>
      </w:pPr>
      <w:r w:rsidRPr="007431C0">
        <w:t xml:space="preserve">Upon receipt of the LLPs from NMFS, the CQE shall determine who may use the LLP license and provide them with a letter of authorization.  The LLP license </w:t>
      </w:r>
      <w:r w:rsidR="00A16440" w:rsidRPr="007431C0">
        <w:t xml:space="preserve">must </w:t>
      </w:r>
      <w:r w:rsidRPr="007431C0">
        <w:t xml:space="preserve">designate </w:t>
      </w:r>
      <w:r w:rsidR="00A16440" w:rsidRPr="007431C0">
        <w:t xml:space="preserve">only </w:t>
      </w:r>
      <w:r w:rsidRPr="007431C0">
        <w:t xml:space="preserve">one vessel per LLP per calendar year.  </w:t>
      </w:r>
      <w:r w:rsidRPr="007431C0">
        <w:rPr>
          <w:color w:val="auto"/>
        </w:rPr>
        <w:t>The person specified for an LLP groundfish license in an annual CQE authorization letter, or any subsequent amendment to that annual authorization letter, who operates a vessel under the authority of an LLP license issued to a CQE</w:t>
      </w:r>
      <w:r w:rsidR="00A16440" w:rsidRPr="007431C0">
        <w:rPr>
          <w:color w:val="auto"/>
        </w:rPr>
        <w:t>,</w:t>
      </w:r>
      <w:r w:rsidRPr="007431C0">
        <w:rPr>
          <w:color w:val="auto"/>
        </w:rPr>
        <w:t xml:space="preserve"> must be onboard the vessel during directed fishing.</w:t>
      </w:r>
    </w:p>
    <w:p w:rsidR="00442EFA" w:rsidRPr="007431C0" w:rsidRDefault="00442EFA" w:rsidP="00442EFA">
      <w:pPr>
        <w:pStyle w:val="Default"/>
        <w:tabs>
          <w:tab w:val="left" w:pos="360"/>
          <w:tab w:val="left" w:pos="720"/>
        </w:tabs>
      </w:pPr>
    </w:p>
    <w:p w:rsidR="00442EFA" w:rsidRPr="007431C0" w:rsidRDefault="00442EFA" w:rsidP="00442EFA">
      <w:pPr>
        <w:pStyle w:val="Default"/>
        <w:tabs>
          <w:tab w:val="left" w:pos="360"/>
          <w:tab w:val="left" w:pos="720"/>
        </w:tabs>
      </w:pPr>
      <w:r w:rsidRPr="007431C0">
        <w:t xml:space="preserve">The residency requirements for a vessel operator using a CQE license would ensure that residents of a specific community actively participate in the Pacific cod fishery consistent with the overall goal the Council established for CQE LLP licenses.  This authorization letter would require that the CQE attest to individuals’ residency, but would not require individuals to submit proof of residency to NMFS in order to use the LLP license issued to the CQE.  This approach would reduce potential administrative burdens on NMFS that could be required to determine the residency of a specific person.  In many cases, particularly in smaller communities, the representatives of CQEs are likely to have specific local knowledge that can be used to assess a person’s claim of residency in a particular community. </w:t>
      </w:r>
    </w:p>
    <w:p w:rsidR="00442EFA" w:rsidRPr="007431C0" w:rsidRDefault="00442EFA" w:rsidP="00442EFA">
      <w:pPr>
        <w:tabs>
          <w:tab w:val="left" w:pos="0"/>
          <w:tab w:val="left" w:pos="360"/>
          <w:tab w:val="left" w:pos="1080"/>
          <w:tab w:val="left" w:pos="1440"/>
        </w:tabs>
        <w:spacing w:after="0" w:line="240" w:lineRule="auto"/>
        <w:rPr>
          <w:rFonts w:ascii="Times New Roman" w:hAnsi="Times New Roman" w:cs="Times New Roman"/>
          <w:sz w:val="24"/>
          <w:szCs w:val="24"/>
        </w:rPr>
      </w:pPr>
    </w:p>
    <w:p w:rsidR="00442EFA" w:rsidRPr="007431C0" w:rsidRDefault="00442EFA" w:rsidP="00442EFA">
      <w:pPr>
        <w:tabs>
          <w:tab w:val="left" w:pos="0"/>
          <w:tab w:val="left" w:pos="360"/>
          <w:tab w:val="left" w:pos="1080"/>
          <w:tab w:val="left" w:pos="1440"/>
        </w:tabs>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The CQE must provide an authorization letter assigning a specific vessel and designating the vessel operator.  The authorization letter must be sent to the authorized vessel and to NMFS, and a copy of that letter must be maintained onboard the vessel.  This would help to ensure that only those persons and vessels that have been vetted through the CQE would be able to use the LLP license.  </w:t>
      </w:r>
    </w:p>
    <w:p w:rsidR="00442EFA" w:rsidRPr="007431C0" w:rsidRDefault="00442EFA" w:rsidP="00442EFA">
      <w:pPr>
        <w:tabs>
          <w:tab w:val="left" w:pos="0"/>
          <w:tab w:val="left" w:pos="360"/>
          <w:tab w:val="left" w:pos="1080"/>
          <w:tab w:val="left" w:pos="1440"/>
        </w:tabs>
        <w:spacing w:after="0" w:line="240" w:lineRule="auto"/>
        <w:rPr>
          <w:rFonts w:ascii="Times New Roman" w:hAnsi="Times New Roman" w:cs="Times New Roman"/>
          <w:sz w:val="24"/>
          <w:szCs w:val="24"/>
        </w:rPr>
      </w:pP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CQE Authorization Letter</w:t>
      </w: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The CQE authorization letter must list for each LLP license</w:t>
      </w: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t>The vessel assigned to the LLP license for the calendar year</w:t>
      </w: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t>The individual authorized to use the LLP license</w:t>
      </w: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t>Certification that the individual authorized to use the LLP license is</w:t>
      </w: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Pr="007431C0">
        <w:rPr>
          <w:rFonts w:ascii="Times New Roman" w:hAnsi="Times New Roman" w:cs="Times New Roman"/>
          <w:sz w:val="20"/>
          <w:szCs w:val="20"/>
        </w:rPr>
        <w:tab/>
        <w:t>A citizen of the United States</w:t>
      </w:r>
    </w:p>
    <w:p w:rsidR="003044C6" w:rsidRPr="007431C0" w:rsidRDefault="003044C6"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Pr="007431C0">
        <w:rPr>
          <w:rFonts w:ascii="Times New Roman" w:hAnsi="Times New Roman" w:cs="Times New Roman"/>
          <w:sz w:val="20"/>
          <w:szCs w:val="20"/>
        </w:rPr>
        <w:tab/>
        <w:t xml:space="preserve">Has maintained a domicile, for the 12 consecutive months preceding the authorization in the CQE </w:t>
      </w:r>
      <w:r w:rsidRPr="007431C0">
        <w:rPr>
          <w:rFonts w:ascii="Times New Roman" w:hAnsi="Times New Roman" w:cs="Times New Roman"/>
          <w:sz w:val="20"/>
          <w:szCs w:val="20"/>
        </w:rPr>
        <w:tab/>
      </w:r>
      <w:r w:rsidRPr="007431C0">
        <w:rPr>
          <w:rFonts w:ascii="Times New Roman" w:hAnsi="Times New Roman" w:cs="Times New Roman"/>
          <w:sz w:val="20"/>
          <w:szCs w:val="20"/>
        </w:rPr>
        <w:tab/>
      </w:r>
      <w:r w:rsidRPr="007431C0">
        <w:rPr>
          <w:rFonts w:ascii="Times New Roman" w:hAnsi="Times New Roman" w:cs="Times New Roman"/>
          <w:sz w:val="20"/>
          <w:szCs w:val="20"/>
        </w:rPr>
        <w:tab/>
      </w:r>
      <w:r w:rsidRPr="007431C0">
        <w:rPr>
          <w:rFonts w:ascii="Times New Roman" w:hAnsi="Times New Roman" w:cs="Times New Roman"/>
          <w:sz w:val="20"/>
          <w:szCs w:val="20"/>
        </w:rPr>
        <w:tab/>
      </w:r>
      <w:r w:rsidRPr="007431C0">
        <w:rPr>
          <w:rFonts w:ascii="Times New Roman" w:hAnsi="Times New Roman" w:cs="Times New Roman"/>
          <w:sz w:val="20"/>
          <w:szCs w:val="20"/>
        </w:rPr>
        <w:tab/>
        <w:t>Community that is eligible to receive an LLP license endorsed for Pacific cod in the CG or WG</w:t>
      </w:r>
    </w:p>
    <w:p w:rsidR="003044C6" w:rsidRPr="007431C0" w:rsidRDefault="003044C6" w:rsidP="003044C6">
      <w:pPr>
        <w:tabs>
          <w:tab w:val="left" w:pos="360"/>
          <w:tab w:val="left" w:pos="720"/>
          <w:tab w:val="left" w:pos="108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ab/>
      </w:r>
      <w:r w:rsidRPr="007431C0">
        <w:rPr>
          <w:rFonts w:ascii="Times New Roman" w:hAnsi="Times New Roman" w:cs="Times New Roman"/>
          <w:sz w:val="20"/>
          <w:szCs w:val="20"/>
        </w:rPr>
        <w:tab/>
      </w:r>
      <w:r w:rsidRPr="007431C0">
        <w:rPr>
          <w:rFonts w:ascii="Times New Roman" w:hAnsi="Times New Roman" w:cs="Times New Roman"/>
          <w:sz w:val="20"/>
          <w:szCs w:val="20"/>
        </w:rPr>
        <w:tab/>
        <w:t xml:space="preserve"> and on whose behalf this LLP license is to be held</w:t>
      </w:r>
    </w:p>
    <w:p w:rsidR="003044C6" w:rsidRPr="007431C0" w:rsidRDefault="003044C6">
      <w:pPr>
        <w:rPr>
          <w:rFonts w:ascii="Times New Roman" w:hAnsi="Times New Roman" w:cs="Times New Roman"/>
          <w:sz w:val="20"/>
          <w:szCs w:val="20"/>
        </w:rPr>
      </w:pPr>
      <w:r w:rsidRPr="007431C0">
        <w:rPr>
          <w:rFonts w:ascii="Times New Roman" w:hAnsi="Times New Roman" w:cs="Times New Roman"/>
          <w:sz w:val="20"/>
          <w:szCs w:val="20"/>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532"/>
      </w:tblGrid>
      <w:tr w:rsidR="00442EFA" w:rsidRPr="007431C0" w:rsidTr="00442EFA">
        <w:tc>
          <w:tcPr>
            <w:tcW w:w="5762" w:type="dxa"/>
            <w:gridSpan w:val="2"/>
          </w:tcPr>
          <w:p w:rsidR="00442EFA" w:rsidRPr="007431C0" w:rsidRDefault="00442EFA" w:rsidP="00442EFA">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lastRenderedPageBreak/>
              <w:t>CQE Letter of authorization, Respondent</w:t>
            </w:r>
          </w:p>
        </w:tc>
      </w:tr>
      <w:tr w:rsidR="00442EFA" w:rsidRPr="007431C0" w:rsidTr="00442EFA">
        <w:tc>
          <w:tcPr>
            <w:tcW w:w="4230" w:type="dxa"/>
          </w:tcPr>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respondents</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17 Central GOA communities</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0</w:t>
            </w:r>
            <w:r w:rsidR="003044C6" w:rsidRPr="007431C0">
              <w:rPr>
                <w:rFonts w:ascii="Times New Roman" w:hAnsi="Times New Roman" w:cs="Times New Roman"/>
                <w:sz w:val="20"/>
                <w:szCs w:val="20"/>
              </w:rPr>
              <w:t>7</w:t>
            </w:r>
            <w:r w:rsidRPr="007431C0">
              <w:rPr>
                <w:rFonts w:ascii="Times New Roman" w:hAnsi="Times New Roman" w:cs="Times New Roman"/>
                <w:sz w:val="20"/>
                <w:szCs w:val="20"/>
              </w:rPr>
              <w:t xml:space="preserve"> Western GOA communities</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responses = 1</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Frequency of response = 1</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 xml:space="preserve">Total burden hours </w:t>
            </w:r>
            <w:r w:rsidRPr="007431C0">
              <w:rPr>
                <w:rFonts w:ascii="Times New Roman" w:hAnsi="Times New Roman" w:cs="Times New Roman"/>
                <w:sz w:val="20"/>
                <w:szCs w:val="20"/>
              </w:rPr>
              <w:t>(</w:t>
            </w:r>
            <w:r w:rsidR="0084311F" w:rsidRPr="007431C0">
              <w:rPr>
                <w:rFonts w:ascii="Times New Roman" w:hAnsi="Times New Roman" w:cs="Times New Roman"/>
                <w:sz w:val="20"/>
                <w:szCs w:val="20"/>
              </w:rPr>
              <w:t>24</w:t>
            </w:r>
            <w:r w:rsidRPr="007431C0">
              <w:rPr>
                <w:rFonts w:ascii="Times New Roman" w:hAnsi="Times New Roman" w:cs="Times New Roman"/>
                <w:sz w:val="20"/>
                <w:szCs w:val="20"/>
              </w:rPr>
              <w:t>)</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Time per response = 1 hr</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personnel cost</w:t>
            </w:r>
            <w:r w:rsidRPr="007431C0">
              <w:rPr>
                <w:rFonts w:ascii="Times New Roman" w:hAnsi="Times New Roman" w:cs="Times New Roman"/>
                <w:sz w:val="20"/>
                <w:szCs w:val="20"/>
              </w:rPr>
              <w:t xml:space="preserve"> ($25 x 2</w:t>
            </w:r>
            <w:r w:rsidR="003044C6" w:rsidRPr="007431C0">
              <w:rPr>
                <w:rFonts w:ascii="Times New Roman" w:hAnsi="Times New Roman" w:cs="Times New Roman"/>
                <w:sz w:val="20"/>
                <w:szCs w:val="20"/>
              </w:rPr>
              <w:t>4</w:t>
            </w:r>
            <w:r w:rsidRPr="007431C0">
              <w:rPr>
                <w:rFonts w:ascii="Times New Roman" w:hAnsi="Times New Roman" w:cs="Times New Roman"/>
                <w:sz w:val="20"/>
                <w:szCs w:val="20"/>
              </w:rPr>
              <w:t>)</w:t>
            </w:r>
          </w:p>
          <w:p w:rsidR="00442EFA" w:rsidRPr="007431C0" w:rsidRDefault="00442EFA" w:rsidP="00442EFA">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b/>
                <w:sz w:val="20"/>
                <w:szCs w:val="20"/>
              </w:rPr>
              <w:t>Total miscellaneous costs</w:t>
            </w:r>
            <w:r w:rsidRPr="007431C0">
              <w:rPr>
                <w:rFonts w:ascii="Times New Roman" w:hAnsi="Times New Roman" w:cs="Times New Roman"/>
                <w:sz w:val="20"/>
                <w:szCs w:val="20"/>
              </w:rPr>
              <w:t xml:space="preserve">   (11.</w:t>
            </w:r>
            <w:r w:rsidR="003044C6" w:rsidRPr="007431C0">
              <w:rPr>
                <w:rFonts w:ascii="Times New Roman" w:hAnsi="Times New Roman" w:cs="Times New Roman"/>
                <w:sz w:val="20"/>
                <w:szCs w:val="20"/>
              </w:rPr>
              <w:t>76</w:t>
            </w:r>
            <w:r w:rsidRPr="007431C0">
              <w:rPr>
                <w:rFonts w:ascii="Times New Roman" w:hAnsi="Times New Roman" w:cs="Times New Roman"/>
                <w:sz w:val="20"/>
                <w:szCs w:val="20"/>
              </w:rPr>
              <w:t>)</w:t>
            </w:r>
          </w:p>
          <w:p w:rsidR="00442EFA" w:rsidRPr="007431C0" w:rsidRDefault="00442EFA" w:rsidP="00442EFA">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 xml:space="preserve">   Postage  (0.44 x 2</w:t>
            </w:r>
            <w:r w:rsidR="003044C6" w:rsidRPr="007431C0">
              <w:rPr>
                <w:rFonts w:ascii="Times New Roman" w:hAnsi="Times New Roman" w:cs="Times New Roman"/>
                <w:sz w:val="20"/>
                <w:szCs w:val="20"/>
              </w:rPr>
              <w:t>4</w:t>
            </w:r>
            <w:r w:rsidRPr="007431C0">
              <w:rPr>
                <w:rFonts w:ascii="Times New Roman" w:hAnsi="Times New Roman" w:cs="Times New Roman"/>
                <w:sz w:val="20"/>
                <w:szCs w:val="20"/>
              </w:rPr>
              <w:t xml:space="preserve"> = </w:t>
            </w:r>
            <w:r w:rsidR="003044C6" w:rsidRPr="007431C0">
              <w:rPr>
                <w:rFonts w:ascii="Times New Roman" w:hAnsi="Times New Roman" w:cs="Times New Roman"/>
                <w:sz w:val="20"/>
                <w:szCs w:val="20"/>
              </w:rPr>
              <w:t>10.56</w:t>
            </w:r>
            <w:r w:rsidRPr="007431C0">
              <w:rPr>
                <w:rFonts w:ascii="Times New Roman" w:hAnsi="Times New Roman" w:cs="Times New Roman"/>
                <w:sz w:val="20"/>
                <w:szCs w:val="20"/>
              </w:rPr>
              <w:t xml:space="preserve"> )</w:t>
            </w:r>
          </w:p>
          <w:p w:rsidR="00442EFA" w:rsidRPr="007431C0" w:rsidRDefault="00442EFA" w:rsidP="003044C6">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 xml:space="preserve">   </w:t>
            </w:r>
            <w:r w:rsidR="003044C6" w:rsidRPr="007431C0">
              <w:rPr>
                <w:rFonts w:ascii="Times New Roman" w:hAnsi="Times New Roman" w:cs="Times New Roman"/>
                <w:sz w:val="20"/>
                <w:szCs w:val="20"/>
              </w:rPr>
              <w:t xml:space="preserve">Photocopy </w:t>
            </w:r>
            <w:r w:rsidRPr="007431C0">
              <w:rPr>
                <w:rFonts w:ascii="Times New Roman" w:hAnsi="Times New Roman" w:cs="Times New Roman"/>
                <w:sz w:val="20"/>
                <w:szCs w:val="20"/>
              </w:rPr>
              <w:t>(0.05 x 1 pp x 2</w:t>
            </w:r>
            <w:r w:rsidR="003044C6" w:rsidRPr="007431C0">
              <w:rPr>
                <w:rFonts w:ascii="Times New Roman" w:hAnsi="Times New Roman" w:cs="Times New Roman"/>
                <w:sz w:val="20"/>
                <w:szCs w:val="20"/>
              </w:rPr>
              <w:t>4</w:t>
            </w:r>
            <w:r w:rsidRPr="007431C0">
              <w:rPr>
                <w:rFonts w:ascii="Times New Roman" w:hAnsi="Times New Roman" w:cs="Times New Roman"/>
                <w:sz w:val="20"/>
                <w:szCs w:val="20"/>
              </w:rPr>
              <w:t xml:space="preserve"> =</w:t>
            </w:r>
            <w:r w:rsidR="003044C6" w:rsidRPr="007431C0">
              <w:rPr>
                <w:rFonts w:ascii="Times New Roman" w:hAnsi="Times New Roman" w:cs="Times New Roman"/>
                <w:sz w:val="20"/>
                <w:szCs w:val="20"/>
              </w:rPr>
              <w:t xml:space="preserve"> 1.20</w:t>
            </w:r>
            <w:r w:rsidRPr="007431C0">
              <w:rPr>
                <w:rFonts w:ascii="Times New Roman" w:hAnsi="Times New Roman" w:cs="Times New Roman"/>
                <w:sz w:val="20"/>
                <w:szCs w:val="20"/>
              </w:rPr>
              <w:t>)</w:t>
            </w:r>
          </w:p>
        </w:tc>
        <w:tc>
          <w:tcPr>
            <w:tcW w:w="1532" w:type="dxa"/>
          </w:tcPr>
          <w:p w:rsidR="00442EFA" w:rsidRPr="007431C0" w:rsidRDefault="003044C6"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24</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442EFA" w:rsidRPr="007431C0" w:rsidRDefault="003044C6"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24</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w:t>
            </w:r>
            <w:r w:rsidR="003044C6" w:rsidRPr="007431C0">
              <w:rPr>
                <w:rFonts w:ascii="Times New Roman" w:hAnsi="Times New Roman" w:cs="Times New Roman"/>
                <w:b/>
                <w:sz w:val="20"/>
                <w:szCs w:val="20"/>
              </w:rPr>
              <w:t>4</w:t>
            </w:r>
            <w:r w:rsidRPr="007431C0">
              <w:rPr>
                <w:rFonts w:ascii="Times New Roman" w:hAnsi="Times New Roman" w:cs="Times New Roman"/>
                <w:b/>
                <w:sz w:val="20"/>
                <w:szCs w:val="20"/>
              </w:rPr>
              <w:t xml:space="preserve"> hr</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color w:val="0000FF"/>
                <w:sz w:val="20"/>
                <w:szCs w:val="20"/>
              </w:rPr>
            </w:pPr>
            <w:r w:rsidRPr="007431C0">
              <w:rPr>
                <w:rFonts w:ascii="Times New Roman" w:hAnsi="Times New Roman" w:cs="Times New Roman"/>
                <w:b/>
                <w:sz w:val="20"/>
                <w:szCs w:val="20"/>
              </w:rPr>
              <w:t>$</w:t>
            </w:r>
            <w:r w:rsidR="003044C6" w:rsidRPr="007431C0">
              <w:rPr>
                <w:rFonts w:ascii="Times New Roman" w:hAnsi="Times New Roman" w:cs="Times New Roman"/>
                <w:b/>
                <w:sz w:val="20"/>
                <w:szCs w:val="20"/>
              </w:rPr>
              <w:t>600</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7431C0">
              <w:rPr>
                <w:rFonts w:ascii="Times New Roman" w:hAnsi="Times New Roman" w:cs="Times New Roman"/>
                <w:b/>
                <w:sz w:val="20"/>
                <w:szCs w:val="20"/>
              </w:rPr>
              <w:t>$1</w:t>
            </w:r>
            <w:r w:rsidR="003044C6" w:rsidRPr="007431C0">
              <w:rPr>
                <w:rFonts w:ascii="Times New Roman" w:hAnsi="Times New Roman" w:cs="Times New Roman"/>
                <w:b/>
                <w:sz w:val="20"/>
                <w:szCs w:val="20"/>
              </w:rPr>
              <w:t>2</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p>
        </w:tc>
      </w:tr>
    </w:tbl>
    <w:p w:rsidR="00442EFA" w:rsidRPr="007431C0" w:rsidRDefault="00442EFA" w:rsidP="003044C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532"/>
      </w:tblGrid>
      <w:tr w:rsidR="00442EFA" w:rsidRPr="007431C0" w:rsidTr="00442EFA">
        <w:tc>
          <w:tcPr>
            <w:tcW w:w="5762" w:type="dxa"/>
            <w:gridSpan w:val="2"/>
          </w:tcPr>
          <w:p w:rsidR="00442EFA" w:rsidRPr="007431C0" w:rsidRDefault="00442EFA" w:rsidP="00442EFA">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CQE Letter of authorization,  Federal Government</w:t>
            </w:r>
          </w:p>
        </w:tc>
      </w:tr>
      <w:tr w:rsidR="00442EFA" w:rsidRPr="007431C0" w:rsidTr="00442EFA">
        <w:tc>
          <w:tcPr>
            <w:tcW w:w="4230" w:type="dxa"/>
          </w:tcPr>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responses</w:t>
            </w:r>
            <w:r w:rsidRPr="007431C0">
              <w:rPr>
                <w:rFonts w:ascii="Times New Roman" w:hAnsi="Times New Roman" w:cs="Times New Roman"/>
                <w:sz w:val="20"/>
                <w:szCs w:val="20"/>
              </w:rPr>
              <w:t xml:space="preserve"> </w:t>
            </w:r>
          </w:p>
          <w:p w:rsidR="00442EFA" w:rsidRPr="007431C0" w:rsidRDefault="00442EFA" w:rsidP="00442EFA">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burden hours</w:t>
            </w:r>
            <w:r w:rsidRPr="007431C0">
              <w:rPr>
                <w:rFonts w:ascii="Times New Roman" w:hAnsi="Times New Roman" w:cs="Times New Roman"/>
                <w:sz w:val="20"/>
                <w:szCs w:val="20"/>
              </w:rPr>
              <w:t xml:space="preserve"> </w:t>
            </w:r>
          </w:p>
          <w:p w:rsidR="00442EFA" w:rsidRPr="007431C0" w:rsidRDefault="00442EFA" w:rsidP="00442EFA">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b/>
                <w:sz w:val="20"/>
                <w:szCs w:val="20"/>
              </w:rPr>
              <w:t>Total personnel costs</w:t>
            </w:r>
            <w:r w:rsidRPr="007431C0">
              <w:rPr>
                <w:rFonts w:ascii="Times New Roman" w:hAnsi="Times New Roman" w:cs="Times New Roman"/>
                <w:sz w:val="20"/>
                <w:szCs w:val="20"/>
              </w:rPr>
              <w:t xml:space="preserve">  </w:t>
            </w:r>
          </w:p>
          <w:p w:rsidR="00442EFA" w:rsidRPr="007431C0" w:rsidRDefault="00442EFA" w:rsidP="00442EFA">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Total miscellaneous costs</w:t>
            </w:r>
          </w:p>
        </w:tc>
        <w:tc>
          <w:tcPr>
            <w:tcW w:w="1532" w:type="dxa"/>
          </w:tcPr>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0</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0</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0</w:t>
            </w:r>
          </w:p>
          <w:p w:rsidR="00442EFA" w:rsidRPr="007431C0" w:rsidRDefault="00442EFA" w:rsidP="00442EFA">
            <w:pPr>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7431C0">
              <w:rPr>
                <w:rFonts w:ascii="Times New Roman" w:hAnsi="Times New Roman" w:cs="Times New Roman"/>
                <w:b/>
                <w:sz w:val="20"/>
                <w:szCs w:val="20"/>
              </w:rPr>
              <w:t>0</w:t>
            </w:r>
          </w:p>
        </w:tc>
      </w:tr>
    </w:tbl>
    <w:p w:rsidR="00442EFA" w:rsidRPr="007431C0" w:rsidRDefault="00442EFA">
      <w:pPr>
        <w:rPr>
          <w:b/>
        </w:rPr>
      </w:pPr>
    </w:p>
    <w:p w:rsidR="00EB3B46" w:rsidRPr="007431C0" w:rsidRDefault="00D43BF2" w:rsidP="00EB3B46">
      <w:pPr>
        <w:pStyle w:val="Default"/>
        <w:rPr>
          <w:b/>
        </w:rPr>
      </w:pPr>
      <w:r w:rsidRPr="007431C0">
        <w:rPr>
          <w:b/>
        </w:rPr>
        <w:t>c. CQE</w:t>
      </w:r>
      <w:r w:rsidR="00EB3B46" w:rsidRPr="007431C0">
        <w:rPr>
          <w:b/>
        </w:rPr>
        <w:t xml:space="preserve"> annual reports</w:t>
      </w:r>
    </w:p>
    <w:p w:rsidR="006369E3" w:rsidRPr="007431C0" w:rsidRDefault="006369E3" w:rsidP="00EB3B46">
      <w:pPr>
        <w:pStyle w:val="Default"/>
      </w:pPr>
    </w:p>
    <w:p w:rsidR="001A064D" w:rsidRPr="007431C0" w:rsidRDefault="006369E3" w:rsidP="00EB3B46">
      <w:pPr>
        <w:pStyle w:val="Default"/>
      </w:pPr>
      <w:r w:rsidRPr="007431C0">
        <w:t xml:space="preserve">NMFS requires that </w:t>
      </w:r>
      <w:r w:rsidR="00EB3B46" w:rsidRPr="007431C0">
        <w:t>CQE</w:t>
      </w:r>
      <w:r w:rsidRPr="007431C0">
        <w:t xml:space="preserve">s that have received LLP licenses submit </w:t>
      </w:r>
      <w:r w:rsidR="00EB3B46" w:rsidRPr="007431C0">
        <w:t xml:space="preserve">annual reports </w:t>
      </w:r>
      <w:r w:rsidR="00FF45F7" w:rsidRPr="007431C0">
        <w:t>that describe the use of LLP licenses during a calendar year</w:t>
      </w:r>
      <w:r w:rsidR="00D269FB" w:rsidRPr="007431C0">
        <w:t>.  The CQE annual report must be sent</w:t>
      </w:r>
      <w:r w:rsidR="00FF45F7" w:rsidRPr="007431C0">
        <w:t xml:space="preserve"> </w:t>
      </w:r>
      <w:r w:rsidR="00EB3B46" w:rsidRPr="007431C0">
        <w:t>to NMFS and</w:t>
      </w:r>
      <w:r w:rsidRPr="007431C0">
        <w:t xml:space="preserve"> to</w:t>
      </w:r>
      <w:r w:rsidR="00EB3B46" w:rsidRPr="007431C0">
        <w:t xml:space="preserve"> the governing body of the community that the CQE represents.  These annual reports serve as a means of tracking the progress of the CQEs</w:t>
      </w:r>
      <w:r w:rsidRPr="007431C0">
        <w:t xml:space="preserve"> </w:t>
      </w:r>
      <w:r w:rsidR="00EB3B46" w:rsidRPr="007431C0">
        <w:t xml:space="preserve">and assess whether the issuance of LLP licenses is meeting the overall goal of providing its residents access to the Pacific cod resource.  </w:t>
      </w:r>
    </w:p>
    <w:p w:rsidR="00733E31" w:rsidRPr="007431C0" w:rsidRDefault="00733E31" w:rsidP="00EB3B46">
      <w:pPr>
        <w:pStyle w:val="Default"/>
      </w:pPr>
    </w:p>
    <w:p w:rsidR="00733E31" w:rsidRPr="007431C0" w:rsidRDefault="00733E31" w:rsidP="00733E31">
      <w:pPr>
        <w:pStyle w:val="Default"/>
        <w:rPr>
          <w:sz w:val="20"/>
          <w:szCs w:val="20"/>
        </w:rPr>
      </w:pPr>
      <w:r w:rsidRPr="007431C0">
        <w:rPr>
          <w:b/>
          <w:sz w:val="20"/>
          <w:szCs w:val="20"/>
        </w:rPr>
        <w:t>CQE Annual Report</w:t>
      </w:r>
    </w:p>
    <w:p w:rsidR="00733E31" w:rsidRPr="007431C0" w:rsidRDefault="00733E31" w:rsidP="00733E31">
      <w:pPr>
        <w:pStyle w:val="Default"/>
        <w:tabs>
          <w:tab w:val="left" w:pos="360"/>
          <w:tab w:val="left" w:pos="720"/>
          <w:tab w:val="left" w:pos="1080"/>
        </w:tabs>
        <w:rPr>
          <w:sz w:val="20"/>
          <w:szCs w:val="20"/>
        </w:rPr>
      </w:pPr>
      <w:r w:rsidRPr="007431C0">
        <w:rPr>
          <w:sz w:val="20"/>
          <w:szCs w:val="20"/>
        </w:rPr>
        <w:tab/>
        <w:t>The number of community residents requesting a groundfish license from the CQE</w:t>
      </w:r>
    </w:p>
    <w:p w:rsidR="00733E31" w:rsidRPr="007431C0" w:rsidRDefault="00733E31" w:rsidP="00733E31">
      <w:pPr>
        <w:pStyle w:val="Default"/>
        <w:tabs>
          <w:tab w:val="left" w:pos="360"/>
          <w:tab w:val="left" w:pos="720"/>
          <w:tab w:val="left" w:pos="1080"/>
        </w:tabs>
        <w:rPr>
          <w:sz w:val="20"/>
          <w:szCs w:val="20"/>
        </w:rPr>
      </w:pPr>
      <w:r w:rsidRPr="007431C0">
        <w:rPr>
          <w:sz w:val="20"/>
          <w:szCs w:val="20"/>
        </w:rPr>
        <w:tab/>
        <w:t xml:space="preserve"> A description of the distribution of groundfish licenses among community residents </w:t>
      </w:r>
    </w:p>
    <w:p w:rsidR="00733E31" w:rsidRPr="007431C0" w:rsidRDefault="00733E31" w:rsidP="00733E31">
      <w:pPr>
        <w:pStyle w:val="Default"/>
        <w:tabs>
          <w:tab w:val="left" w:pos="360"/>
          <w:tab w:val="left" w:pos="720"/>
          <w:tab w:val="left" w:pos="1080"/>
        </w:tabs>
        <w:rPr>
          <w:sz w:val="20"/>
          <w:szCs w:val="20"/>
        </w:rPr>
      </w:pPr>
      <w:r w:rsidRPr="007431C0">
        <w:rPr>
          <w:sz w:val="20"/>
          <w:szCs w:val="20"/>
        </w:rPr>
        <w:tab/>
        <w:t>Vessels assigned to use the groundfish licenses</w:t>
      </w:r>
    </w:p>
    <w:p w:rsidR="00733E31" w:rsidRPr="007431C0" w:rsidRDefault="00733E31" w:rsidP="00733E31">
      <w:pPr>
        <w:pStyle w:val="Default"/>
        <w:tabs>
          <w:tab w:val="left" w:pos="360"/>
          <w:tab w:val="left" w:pos="720"/>
          <w:tab w:val="left" w:pos="1080"/>
        </w:tabs>
        <w:rPr>
          <w:sz w:val="20"/>
          <w:szCs w:val="20"/>
        </w:rPr>
      </w:pPr>
      <w:r w:rsidRPr="007431C0">
        <w:rPr>
          <w:sz w:val="20"/>
          <w:szCs w:val="20"/>
        </w:rPr>
        <w:tab/>
        <w:t>The number and residency of crew employed on a vessel using the LLP license</w:t>
      </w:r>
    </w:p>
    <w:p w:rsidR="00733E31" w:rsidRPr="007431C0" w:rsidRDefault="00733E31" w:rsidP="00733E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ab/>
        <w:t>The amount of any payments made to CQEs for use of the LLP licenses, if any</w:t>
      </w:r>
    </w:p>
    <w:p w:rsidR="00FF45F7" w:rsidRPr="007431C0" w:rsidRDefault="00FF45F7" w:rsidP="00EB3B46">
      <w:pPr>
        <w:pStyle w:val="Default"/>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442"/>
      </w:tblGrid>
      <w:tr w:rsidR="001A064D" w:rsidRPr="007431C0" w:rsidTr="009736AE">
        <w:tc>
          <w:tcPr>
            <w:tcW w:w="4862" w:type="dxa"/>
            <w:gridSpan w:val="2"/>
          </w:tcPr>
          <w:p w:rsidR="001A064D" w:rsidRPr="007431C0" w:rsidRDefault="001A064D" w:rsidP="001A064D">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CQE Annual Report, Respondent</w:t>
            </w:r>
          </w:p>
        </w:tc>
      </w:tr>
      <w:tr w:rsidR="001A064D" w:rsidRPr="007431C0" w:rsidTr="009736AE">
        <w:tc>
          <w:tcPr>
            <w:tcW w:w="3420" w:type="dxa"/>
          </w:tcPr>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respondents</w:t>
            </w:r>
          </w:p>
          <w:p w:rsidR="00FF45F7" w:rsidRPr="007431C0" w:rsidRDefault="00FF45F7" w:rsidP="00FF45F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17 Central GOA communities</w:t>
            </w:r>
          </w:p>
          <w:p w:rsidR="00FF45F7" w:rsidRPr="007431C0" w:rsidRDefault="00FF45F7" w:rsidP="00FF45F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w:t>
            </w:r>
            <w:r w:rsidR="005C2978" w:rsidRPr="007431C0">
              <w:rPr>
                <w:rFonts w:ascii="Times New Roman" w:hAnsi="Times New Roman" w:cs="Times New Roman"/>
                <w:sz w:val="20"/>
                <w:szCs w:val="20"/>
              </w:rPr>
              <w:t xml:space="preserve"> </w:t>
            </w:r>
            <w:r w:rsidRPr="007431C0">
              <w:rPr>
                <w:rFonts w:ascii="Times New Roman" w:hAnsi="Times New Roman" w:cs="Times New Roman"/>
                <w:sz w:val="20"/>
                <w:szCs w:val="20"/>
              </w:rPr>
              <w:t>7 Western GOA communities</w:t>
            </w:r>
          </w:p>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 xml:space="preserve">Total responses </w:t>
            </w:r>
          </w:p>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Frequency of response = 1</w:t>
            </w:r>
          </w:p>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b/>
                <w:sz w:val="20"/>
                <w:szCs w:val="20"/>
              </w:rPr>
            </w:pPr>
            <w:r w:rsidRPr="007431C0">
              <w:rPr>
                <w:rFonts w:ascii="Times New Roman" w:hAnsi="Times New Roman" w:cs="Times New Roman"/>
                <w:b/>
                <w:sz w:val="20"/>
                <w:szCs w:val="20"/>
              </w:rPr>
              <w:t>Total burden hours</w:t>
            </w:r>
          </w:p>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Time per response = 40 hr</w:t>
            </w:r>
          </w:p>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personnel cost</w:t>
            </w:r>
            <w:r w:rsidRPr="007431C0">
              <w:rPr>
                <w:rFonts w:ascii="Times New Roman" w:hAnsi="Times New Roman" w:cs="Times New Roman"/>
                <w:sz w:val="20"/>
                <w:szCs w:val="20"/>
              </w:rPr>
              <w:t xml:space="preserve"> ($25 x 960)</w:t>
            </w:r>
          </w:p>
          <w:p w:rsidR="001A064D" w:rsidRPr="007431C0" w:rsidRDefault="001A064D" w:rsidP="001A064D">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b/>
                <w:sz w:val="20"/>
                <w:szCs w:val="20"/>
              </w:rPr>
              <w:t>Total miscellaneous costs</w:t>
            </w:r>
            <w:r w:rsidRPr="007431C0">
              <w:rPr>
                <w:rFonts w:ascii="Times New Roman" w:hAnsi="Times New Roman" w:cs="Times New Roman"/>
                <w:sz w:val="20"/>
                <w:szCs w:val="20"/>
              </w:rPr>
              <w:t xml:space="preserve"> (22.56)</w:t>
            </w:r>
          </w:p>
          <w:p w:rsidR="001A064D" w:rsidRPr="007431C0" w:rsidRDefault="001A064D" w:rsidP="001A064D">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 xml:space="preserve">   Postage  (0.44 x 24 = 10.56 )</w:t>
            </w:r>
          </w:p>
          <w:p w:rsidR="001A064D" w:rsidRPr="007431C0" w:rsidRDefault="001A064D" w:rsidP="001A064D">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sz w:val="20"/>
                <w:szCs w:val="20"/>
              </w:rPr>
              <w:t xml:space="preserve">   Photocopy (0.05 x 10pp x 24 = 12)</w:t>
            </w:r>
          </w:p>
        </w:tc>
        <w:tc>
          <w:tcPr>
            <w:tcW w:w="1442" w:type="dxa"/>
          </w:tcPr>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24</w:t>
            </w:r>
          </w:p>
          <w:p w:rsidR="00733E31" w:rsidRPr="007431C0" w:rsidRDefault="00733E31"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733E31" w:rsidRPr="007431C0" w:rsidRDefault="00733E31"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24</w:t>
            </w:r>
          </w:p>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960 hr</w:t>
            </w:r>
          </w:p>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$24,000</w:t>
            </w:r>
          </w:p>
          <w:p w:rsidR="001A064D" w:rsidRPr="007431C0" w:rsidRDefault="001A064D" w:rsidP="001A064D">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$23</w:t>
            </w:r>
          </w:p>
          <w:p w:rsidR="001A064D" w:rsidRPr="007431C0" w:rsidRDefault="001A064D" w:rsidP="001A064D">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p>
        </w:tc>
      </w:tr>
    </w:tbl>
    <w:p w:rsidR="00D269FB" w:rsidRPr="007431C0" w:rsidRDefault="00D269FB" w:rsidP="00EB3B46">
      <w:pPr>
        <w:pStyle w:val="Default"/>
      </w:pPr>
    </w:p>
    <w:p w:rsidR="00D269FB" w:rsidRPr="007431C0" w:rsidRDefault="00D269FB">
      <w:pPr>
        <w:rPr>
          <w:rFonts w:ascii="Times New Roman" w:eastAsia="Times New Roman" w:hAnsi="Times New Roman" w:cs="Times New Roman"/>
          <w:color w:val="000000"/>
          <w:sz w:val="24"/>
          <w:szCs w:val="24"/>
        </w:rPr>
      </w:pPr>
      <w:r w:rsidRPr="007431C0">
        <w:br w:type="page"/>
      </w:r>
    </w:p>
    <w:p w:rsidR="001A064D" w:rsidRPr="007431C0" w:rsidRDefault="001A064D" w:rsidP="00EB3B46">
      <w:pPr>
        <w:pStyle w:val="Default"/>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442"/>
      </w:tblGrid>
      <w:tr w:rsidR="00733E31" w:rsidRPr="007431C0" w:rsidTr="00733E31">
        <w:tc>
          <w:tcPr>
            <w:tcW w:w="4862" w:type="dxa"/>
            <w:gridSpan w:val="2"/>
          </w:tcPr>
          <w:p w:rsidR="00733E31" w:rsidRPr="007431C0" w:rsidRDefault="00733E31" w:rsidP="00733E31">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CQE Annual Report, Federal Government</w:t>
            </w:r>
          </w:p>
        </w:tc>
      </w:tr>
      <w:tr w:rsidR="00733E31" w:rsidRPr="007431C0" w:rsidTr="00733E31">
        <w:tc>
          <w:tcPr>
            <w:tcW w:w="3420" w:type="dxa"/>
          </w:tcPr>
          <w:p w:rsidR="00733E31" w:rsidRPr="007431C0" w:rsidRDefault="00733E31" w:rsidP="00733E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responses</w:t>
            </w:r>
            <w:r w:rsidRPr="007431C0">
              <w:rPr>
                <w:rFonts w:ascii="Times New Roman" w:hAnsi="Times New Roman" w:cs="Times New Roman"/>
                <w:sz w:val="20"/>
                <w:szCs w:val="20"/>
              </w:rPr>
              <w:t xml:space="preserve"> </w:t>
            </w:r>
          </w:p>
          <w:p w:rsidR="00733E31" w:rsidRPr="007431C0" w:rsidRDefault="00733E31" w:rsidP="00733E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b/>
                <w:sz w:val="20"/>
                <w:szCs w:val="20"/>
              </w:rPr>
              <w:t>Total burden hours</w:t>
            </w:r>
            <w:r w:rsidRPr="007431C0">
              <w:rPr>
                <w:rFonts w:ascii="Times New Roman" w:hAnsi="Times New Roman" w:cs="Times New Roman"/>
                <w:sz w:val="20"/>
                <w:szCs w:val="20"/>
              </w:rPr>
              <w:t xml:space="preserve"> </w:t>
            </w:r>
          </w:p>
          <w:p w:rsidR="00733E31" w:rsidRPr="007431C0" w:rsidRDefault="00733E31" w:rsidP="00733E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431C0">
              <w:rPr>
                <w:rFonts w:ascii="Times New Roman" w:hAnsi="Times New Roman" w:cs="Times New Roman"/>
                <w:sz w:val="20"/>
                <w:szCs w:val="20"/>
              </w:rPr>
              <w:t xml:space="preserve">   Time per response = 4 hr</w:t>
            </w:r>
          </w:p>
          <w:p w:rsidR="00733E31" w:rsidRPr="007431C0" w:rsidRDefault="00733E31" w:rsidP="00733E31">
            <w:pPr>
              <w:tabs>
                <w:tab w:val="left" w:pos="360"/>
                <w:tab w:val="left" w:pos="720"/>
                <w:tab w:val="left" w:pos="1080"/>
                <w:tab w:val="left" w:pos="1440"/>
              </w:tabs>
              <w:spacing w:after="0" w:line="240" w:lineRule="auto"/>
              <w:rPr>
                <w:rFonts w:ascii="Times New Roman" w:hAnsi="Times New Roman" w:cs="Times New Roman"/>
                <w:sz w:val="20"/>
                <w:szCs w:val="20"/>
              </w:rPr>
            </w:pPr>
            <w:r w:rsidRPr="007431C0">
              <w:rPr>
                <w:rFonts w:ascii="Times New Roman" w:hAnsi="Times New Roman" w:cs="Times New Roman"/>
                <w:b/>
                <w:sz w:val="20"/>
                <w:szCs w:val="20"/>
              </w:rPr>
              <w:t>Total personnel costs</w:t>
            </w:r>
            <w:r w:rsidRPr="007431C0">
              <w:rPr>
                <w:rFonts w:ascii="Times New Roman" w:hAnsi="Times New Roman" w:cs="Times New Roman"/>
                <w:sz w:val="20"/>
                <w:szCs w:val="20"/>
              </w:rPr>
              <w:t xml:space="preserve">  ($25 x </w:t>
            </w:r>
            <w:r w:rsidR="007A1498" w:rsidRPr="007431C0">
              <w:rPr>
                <w:rFonts w:ascii="Times New Roman" w:hAnsi="Times New Roman" w:cs="Times New Roman"/>
                <w:sz w:val="20"/>
                <w:szCs w:val="20"/>
              </w:rPr>
              <w:t>96</w:t>
            </w:r>
            <w:r w:rsidRPr="007431C0">
              <w:rPr>
                <w:rFonts w:ascii="Times New Roman" w:hAnsi="Times New Roman" w:cs="Times New Roman"/>
                <w:sz w:val="20"/>
                <w:szCs w:val="20"/>
              </w:rPr>
              <w:t>)</w:t>
            </w:r>
          </w:p>
          <w:p w:rsidR="00733E31" w:rsidRPr="007431C0" w:rsidRDefault="00733E31" w:rsidP="00733E31">
            <w:pPr>
              <w:tabs>
                <w:tab w:val="left" w:pos="360"/>
                <w:tab w:val="left" w:pos="720"/>
                <w:tab w:val="left" w:pos="1080"/>
                <w:tab w:val="left" w:pos="1440"/>
              </w:tabs>
              <w:spacing w:after="0" w:line="240" w:lineRule="auto"/>
              <w:rPr>
                <w:rFonts w:ascii="Times New Roman" w:hAnsi="Times New Roman" w:cs="Times New Roman"/>
                <w:b/>
                <w:sz w:val="20"/>
                <w:szCs w:val="20"/>
              </w:rPr>
            </w:pPr>
            <w:r w:rsidRPr="007431C0">
              <w:rPr>
                <w:rFonts w:ascii="Times New Roman" w:hAnsi="Times New Roman" w:cs="Times New Roman"/>
                <w:b/>
                <w:sz w:val="20"/>
                <w:szCs w:val="20"/>
              </w:rPr>
              <w:t>Total miscellaneous costs</w:t>
            </w:r>
          </w:p>
        </w:tc>
        <w:tc>
          <w:tcPr>
            <w:tcW w:w="1442" w:type="dxa"/>
          </w:tcPr>
          <w:p w:rsidR="00733E31" w:rsidRPr="007431C0" w:rsidRDefault="007A1498" w:rsidP="00733E31">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24</w:t>
            </w:r>
          </w:p>
          <w:p w:rsidR="00733E31" w:rsidRPr="007431C0" w:rsidRDefault="007A1498" w:rsidP="00733E31">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96</w:t>
            </w:r>
            <w:r w:rsidR="00733E31" w:rsidRPr="007431C0">
              <w:rPr>
                <w:rFonts w:ascii="Times New Roman" w:hAnsi="Times New Roman" w:cs="Times New Roman"/>
                <w:b/>
                <w:sz w:val="20"/>
                <w:szCs w:val="20"/>
              </w:rPr>
              <w:t xml:space="preserve"> hr</w:t>
            </w:r>
          </w:p>
          <w:p w:rsidR="00733E31" w:rsidRPr="007431C0" w:rsidRDefault="00733E31" w:rsidP="00733E31">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p>
          <w:p w:rsidR="00733E31" w:rsidRPr="007431C0" w:rsidRDefault="00733E31" w:rsidP="00733E31">
            <w:pPr>
              <w:tabs>
                <w:tab w:val="left" w:pos="360"/>
                <w:tab w:val="left" w:pos="720"/>
                <w:tab w:val="left" w:pos="1080"/>
                <w:tab w:val="left" w:pos="1440"/>
              </w:tabs>
              <w:spacing w:after="0" w:line="240" w:lineRule="auto"/>
              <w:ind w:left="720" w:hanging="720"/>
              <w:jc w:val="right"/>
              <w:rPr>
                <w:rFonts w:ascii="Times New Roman" w:hAnsi="Times New Roman" w:cs="Times New Roman"/>
                <w:b/>
                <w:sz w:val="20"/>
                <w:szCs w:val="20"/>
              </w:rPr>
            </w:pPr>
            <w:r w:rsidRPr="007431C0">
              <w:rPr>
                <w:rFonts w:ascii="Times New Roman" w:hAnsi="Times New Roman" w:cs="Times New Roman"/>
                <w:b/>
                <w:sz w:val="20"/>
                <w:szCs w:val="20"/>
              </w:rPr>
              <w:t>$</w:t>
            </w:r>
            <w:r w:rsidR="007A1498" w:rsidRPr="007431C0">
              <w:rPr>
                <w:rFonts w:ascii="Times New Roman" w:hAnsi="Times New Roman" w:cs="Times New Roman"/>
                <w:b/>
                <w:sz w:val="20"/>
                <w:szCs w:val="20"/>
              </w:rPr>
              <w:t>2400</w:t>
            </w:r>
          </w:p>
          <w:p w:rsidR="00733E31" w:rsidRPr="007431C0" w:rsidRDefault="00733E31" w:rsidP="00733E31">
            <w:pPr>
              <w:tabs>
                <w:tab w:val="left" w:pos="360"/>
                <w:tab w:val="left" w:pos="720"/>
                <w:tab w:val="left" w:pos="1080"/>
                <w:tab w:val="left" w:pos="1440"/>
              </w:tabs>
              <w:spacing w:after="0" w:line="240" w:lineRule="auto"/>
              <w:ind w:left="720" w:hanging="720"/>
              <w:jc w:val="right"/>
              <w:rPr>
                <w:rFonts w:ascii="Times New Roman" w:hAnsi="Times New Roman" w:cs="Times New Roman"/>
                <w:sz w:val="20"/>
                <w:szCs w:val="20"/>
              </w:rPr>
            </w:pPr>
            <w:r w:rsidRPr="007431C0">
              <w:rPr>
                <w:rFonts w:ascii="Times New Roman" w:hAnsi="Times New Roman" w:cs="Times New Roman"/>
                <w:b/>
                <w:sz w:val="20"/>
                <w:szCs w:val="20"/>
              </w:rPr>
              <w:t>0</w:t>
            </w:r>
          </w:p>
        </w:tc>
      </w:tr>
    </w:tbl>
    <w:p w:rsidR="00EC6126" w:rsidRDefault="00EC6126" w:rsidP="00D269FB">
      <w:pPr>
        <w:rPr>
          <w:rFonts w:ascii="Times New Roman" w:hAnsi="Times New Roman" w:cs="Times New Roman"/>
          <w:sz w:val="24"/>
          <w:szCs w:val="24"/>
        </w:rPr>
      </w:pPr>
    </w:p>
    <w:p w:rsidR="00DD49AF" w:rsidRPr="007431C0" w:rsidRDefault="00DD49AF" w:rsidP="00D269FB">
      <w:pPr>
        <w:rPr>
          <w:rFonts w:ascii="Times New Roman" w:hAnsi="Times New Roman" w:cs="Times New Roman"/>
          <w:sz w:val="24"/>
          <w:szCs w:val="24"/>
        </w:rPr>
      </w:pPr>
      <w:r>
        <w:rPr>
          <w:rFonts w:ascii="Times New Roman" w:hAnsi="Times New Roman" w:cs="Times New Roman"/>
          <w:sz w:val="24"/>
          <w:szCs w:val="24"/>
        </w:rPr>
        <w:t>The rest of the information collections remain the same (see Question 15 for specifics).</w:t>
      </w:r>
    </w:p>
    <w:p w:rsidR="00903C0A" w:rsidRPr="00E0487B" w:rsidRDefault="00903C0A" w:rsidP="00903C0A">
      <w:pPr>
        <w:tabs>
          <w:tab w:val="left" w:pos="0"/>
          <w:tab w:val="left" w:pos="360"/>
          <w:tab w:val="left" w:pos="1080"/>
          <w:tab w:val="left" w:pos="1440"/>
        </w:tabs>
        <w:spacing w:after="0" w:line="240" w:lineRule="auto"/>
        <w:rPr>
          <w:rFonts w:ascii="Times New Roman" w:hAnsi="Times New Roman" w:cs="Times New Roman"/>
          <w:b/>
          <w:color w:val="0000FF"/>
          <w:sz w:val="24"/>
          <w:szCs w:val="24"/>
        </w:rPr>
      </w:pPr>
      <w:r w:rsidRPr="007431C0">
        <w:rPr>
          <w:rFonts w:ascii="Times New Roman" w:hAnsi="Times New Roman" w:cs="Times New Roman"/>
          <w:sz w:val="24"/>
          <w:szCs w:val="24"/>
        </w:rPr>
        <w:t xml:space="preserve">It is anticipated that the information collected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7431C0">
        <w:rPr>
          <w:rFonts w:ascii="Times New Roman" w:hAnsi="Times New Roman" w:cs="Times New Roman"/>
          <w:color w:val="000000"/>
          <w:sz w:val="24"/>
          <w:szCs w:val="24"/>
        </w:rPr>
        <w:t xml:space="preserve">subjected to quality control measures and a pre-dissemination review pursuant to </w:t>
      </w:r>
      <w:hyperlink r:id="rId9" w:history="1">
        <w:r w:rsidRPr="00E0487B">
          <w:rPr>
            <w:rStyle w:val="Hyperlink"/>
            <w:rFonts w:ascii="Times New Roman" w:hAnsi="Times New Roman" w:cs="Times New Roman"/>
            <w:b/>
            <w:sz w:val="24"/>
            <w:szCs w:val="24"/>
          </w:rPr>
          <w:t>Section 515 of Public Law 106-554</w:t>
        </w:r>
      </w:hyperlink>
      <w:r w:rsidRPr="00E0487B">
        <w:rPr>
          <w:rFonts w:ascii="Times New Roman" w:hAnsi="Times New Roman" w:cs="Times New Roman"/>
          <w:b/>
          <w:color w:val="0000FF"/>
          <w:sz w:val="24"/>
          <w:szCs w:val="24"/>
        </w:rPr>
        <w:t>.</w:t>
      </w:r>
    </w:p>
    <w:p w:rsidR="00903C0A" w:rsidRPr="007431C0" w:rsidRDefault="00903C0A" w:rsidP="00903C0A">
      <w:pPr>
        <w:tabs>
          <w:tab w:val="left" w:pos="0"/>
          <w:tab w:val="left" w:pos="360"/>
          <w:tab w:val="left" w:pos="1080"/>
          <w:tab w:val="left" w:pos="1440"/>
        </w:tabs>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3.  </w:t>
      </w:r>
      <w:r w:rsidRPr="007431C0">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The Application for a CQE to Receive LLPs and the CQE Annual Report are large reports with various sizes of pages which do not lend themselves to automated submittal.  They would be mailed or delivered.  The letter of authorization may be submitted as an attachment to an email.</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4.  </w:t>
      </w:r>
      <w:r w:rsidRPr="007431C0">
        <w:rPr>
          <w:rFonts w:ascii="Times New Roman" w:hAnsi="Times New Roman" w:cs="Times New Roman"/>
          <w:b/>
          <w:bCs/>
          <w:sz w:val="24"/>
          <w:szCs w:val="24"/>
          <w:u w:val="single"/>
        </w:rPr>
        <w:t>Describe efforts to identify duplication</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bCs/>
          <w:sz w:val="24"/>
          <w:szCs w:val="24"/>
        </w:rPr>
      </w:pPr>
      <w:r w:rsidRPr="007431C0">
        <w:rPr>
          <w:rFonts w:ascii="Times New Roman" w:hAnsi="Times New Roman" w:cs="Times New Roman"/>
          <w:color w:val="000000"/>
          <w:sz w:val="24"/>
          <w:szCs w:val="24"/>
        </w:rPr>
        <w:t>None of the information collected as part of this information collection duplicates other collections</w:t>
      </w:r>
      <w:r w:rsidRPr="007431C0">
        <w:rPr>
          <w:rFonts w:ascii="Times New Roman" w:hAnsi="Times New Roman" w:cs="Times New Roman"/>
          <w:bCs/>
          <w:sz w:val="24"/>
          <w:szCs w:val="24"/>
        </w:rPr>
        <w:t>.</w:t>
      </w:r>
    </w:p>
    <w:p w:rsidR="00BF16E0" w:rsidRPr="007431C0" w:rsidRDefault="00BF16E0" w:rsidP="00903C0A">
      <w:pPr>
        <w:spacing w:after="0" w:line="240" w:lineRule="auto"/>
        <w:rPr>
          <w:rFonts w:ascii="Times New Roman" w:hAnsi="Times New Roman" w:cs="Times New Roman"/>
          <w:bCs/>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5.  </w:t>
      </w:r>
      <w:r w:rsidRPr="007431C0">
        <w:rPr>
          <w:rFonts w:ascii="Times New Roman" w:hAnsi="Times New Roman" w:cs="Times New Roman"/>
          <w:b/>
          <w:bCs/>
          <w:sz w:val="24"/>
          <w:szCs w:val="24"/>
          <w:u w:val="single"/>
        </w:rPr>
        <w:t>If the collection of information involves small businesses or other small entities, describe the methods used to minimize burden</w:t>
      </w:r>
      <w:r w:rsidRPr="007431C0">
        <w:rPr>
          <w:rFonts w:ascii="Times New Roman" w:hAnsi="Times New Roman" w:cs="Times New Roman"/>
          <w:b/>
          <w:bCs/>
          <w:sz w:val="24"/>
          <w:szCs w:val="24"/>
        </w:rPr>
        <w:t>.</w:t>
      </w:r>
      <w:r w:rsidRPr="007431C0">
        <w:rPr>
          <w:rFonts w:ascii="Times New Roman" w:hAnsi="Times New Roman" w:cs="Times New Roman"/>
          <w:sz w:val="24"/>
          <w:szCs w:val="24"/>
        </w:rPr>
        <w:t xml:space="preserve"> </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The directly regulated entities are </w:t>
      </w:r>
      <w:r w:rsidR="00E0487B">
        <w:rPr>
          <w:rFonts w:ascii="Times New Roman" w:hAnsi="Times New Roman" w:cs="Times New Roman"/>
          <w:sz w:val="24"/>
          <w:szCs w:val="24"/>
        </w:rPr>
        <w:t xml:space="preserve">CQEs </w:t>
      </w:r>
      <w:r w:rsidR="00E162D2" w:rsidRPr="007431C0">
        <w:rPr>
          <w:rFonts w:ascii="Times New Roman" w:hAnsi="Times New Roman" w:cs="Times New Roman"/>
          <w:sz w:val="24"/>
          <w:szCs w:val="24"/>
        </w:rPr>
        <w:t xml:space="preserve">and eligible communities, all of whom are small entities.  </w:t>
      </w:r>
      <w:r w:rsidR="0036602F" w:rsidRPr="007431C0">
        <w:rPr>
          <w:rFonts w:ascii="Times New Roman" w:hAnsi="Times New Roman" w:cs="Times New Roman"/>
          <w:sz w:val="24"/>
          <w:szCs w:val="24"/>
        </w:rPr>
        <w:t>The collection of information does not impose a significant impact on small entities.</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6.  </w:t>
      </w:r>
      <w:r w:rsidRPr="007431C0">
        <w:rPr>
          <w:rFonts w:ascii="Times New Roman" w:hAnsi="Times New Roman" w:cs="Times New Roman"/>
          <w:b/>
          <w:bCs/>
          <w:sz w:val="24"/>
          <w:szCs w:val="24"/>
          <w:u w:val="single"/>
        </w:rPr>
        <w:t>Describe the consequences to the Federal program or policy activities if the collection is not conducted or is conducted less frequently</w:t>
      </w:r>
      <w:r w:rsidRPr="007431C0">
        <w:rPr>
          <w:rFonts w:ascii="Times New Roman" w:hAnsi="Times New Roman" w:cs="Times New Roman"/>
          <w:b/>
          <w:bCs/>
          <w:sz w:val="24"/>
          <w:szCs w:val="24"/>
        </w:rPr>
        <w:t>.</w:t>
      </w:r>
      <w:r w:rsidRPr="007431C0">
        <w:rPr>
          <w:rFonts w:ascii="Times New Roman" w:hAnsi="Times New Roman" w:cs="Times New Roman"/>
          <w:sz w:val="24"/>
          <w:szCs w:val="24"/>
        </w:rPr>
        <w:t xml:space="preserve"> </w:t>
      </w:r>
    </w:p>
    <w:p w:rsidR="00903C0A" w:rsidRPr="007431C0" w:rsidRDefault="00903C0A" w:rsidP="00903C0A">
      <w:pPr>
        <w:spacing w:after="0" w:line="240" w:lineRule="auto"/>
        <w:rPr>
          <w:rFonts w:ascii="Times New Roman" w:hAnsi="Times New Roman" w:cs="Times New Roman"/>
          <w:sz w:val="24"/>
          <w:szCs w:val="24"/>
        </w:rPr>
      </w:pPr>
    </w:p>
    <w:p w:rsidR="00F05969" w:rsidRPr="007431C0" w:rsidRDefault="00F05969" w:rsidP="00F05969">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Th</w:t>
      </w:r>
      <w:r w:rsidR="0087464D" w:rsidRPr="007431C0">
        <w:rPr>
          <w:rFonts w:ascii="Times New Roman" w:hAnsi="Times New Roman" w:cs="Times New Roman"/>
          <w:sz w:val="24"/>
          <w:szCs w:val="24"/>
        </w:rPr>
        <w:t xml:space="preserve">is </w:t>
      </w:r>
      <w:r w:rsidRPr="007431C0">
        <w:rPr>
          <w:rFonts w:ascii="Times New Roman" w:hAnsi="Times New Roman" w:cs="Times New Roman"/>
          <w:sz w:val="24"/>
          <w:szCs w:val="24"/>
        </w:rPr>
        <w:t xml:space="preserve">action would divide the Western and Central GOA Pacific cod TACs among the various gear and operation types, based primarily on historical dependency and use by each sector, while also considering the needs of fishing communities.  This amendment is intended to enhance stability in the fishery by enabling operators within each sector to plan harvesting or processing </w:t>
      </w:r>
      <w:r w:rsidRPr="007431C0">
        <w:rPr>
          <w:rFonts w:ascii="Times New Roman" w:hAnsi="Times New Roman" w:cs="Times New Roman"/>
          <w:sz w:val="24"/>
          <w:szCs w:val="24"/>
        </w:rPr>
        <w:lastRenderedPageBreak/>
        <w:t>activity during a fishing year, reduce competition among sectors, and preserve the historical division of catch among sectors, while providing opportunities for new entrants in these fisheries.  Without sector allocations, future harvests by some sectors are expected to increase and impinge on the historical levels of catch by other sectors.</w:t>
      </w:r>
      <w:r w:rsidRPr="007431C0">
        <w:rPr>
          <w:rFonts w:ascii="Times New Roman" w:hAnsi="Times New Roman" w:cs="Times New Roman"/>
          <w:sz w:val="24"/>
          <w:szCs w:val="24"/>
        </w:rPr>
        <w:tab/>
      </w:r>
    </w:p>
    <w:p w:rsidR="00903C0A" w:rsidRPr="007431C0" w:rsidRDefault="00903C0A" w:rsidP="00903C0A">
      <w:pPr>
        <w:spacing w:after="0" w:line="240" w:lineRule="auto"/>
        <w:rPr>
          <w:rFonts w:ascii="Times New Roman" w:hAnsi="Times New Roman" w:cs="Times New Roman"/>
          <w:b/>
          <w:bCs/>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7.  </w:t>
      </w:r>
      <w:r w:rsidRPr="007431C0">
        <w:rPr>
          <w:rFonts w:ascii="Times New Roman" w:hAnsi="Times New Roman" w:cs="Times New Roman"/>
          <w:b/>
          <w:bCs/>
          <w:sz w:val="24"/>
          <w:szCs w:val="24"/>
          <w:u w:val="single"/>
        </w:rPr>
        <w:t>Explain any special circumstances that require the collection to be conducted in a manner inconsistent with OMB guidelines</w:t>
      </w:r>
      <w:r w:rsidRPr="007431C0">
        <w:rPr>
          <w:rFonts w:ascii="Times New Roman" w:hAnsi="Times New Roman" w:cs="Times New Roman"/>
          <w:b/>
          <w:bCs/>
          <w:sz w:val="24"/>
          <w:szCs w:val="24"/>
        </w:rPr>
        <w:t xml:space="preserve">. </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No special circumstances are associated with this information collection. </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8.  </w:t>
      </w:r>
      <w:r w:rsidRPr="007431C0">
        <w:rPr>
          <w:rFonts w:ascii="Times New Roman" w:hAnsi="Times New Roman" w:cs="Times New Roman"/>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7431C0">
        <w:rPr>
          <w:rFonts w:ascii="Times New Roman" w:hAnsi="Times New Roman" w:cs="Times New Roman"/>
          <w:b/>
          <w:bCs/>
          <w:sz w:val="24"/>
          <w:szCs w:val="24"/>
        </w:rPr>
        <w:t>.</w:t>
      </w:r>
      <w:r w:rsidRPr="007431C0">
        <w:rPr>
          <w:rFonts w:ascii="Times New Roman" w:hAnsi="Times New Roman" w:cs="Times New Roman"/>
          <w:sz w:val="24"/>
          <w:szCs w:val="24"/>
        </w:rPr>
        <w:t xml:space="preserve">  </w:t>
      </w:r>
      <w:r w:rsidRPr="007431C0">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outlineLvl w:val="0"/>
        <w:rPr>
          <w:rFonts w:ascii="Times New Roman" w:hAnsi="Times New Roman" w:cs="Times New Roman"/>
          <w:sz w:val="24"/>
          <w:szCs w:val="24"/>
        </w:rPr>
      </w:pPr>
      <w:r w:rsidRPr="007431C0">
        <w:rPr>
          <w:rFonts w:ascii="Times New Roman" w:hAnsi="Times New Roman" w:cs="Times New Roman"/>
          <w:sz w:val="24"/>
          <w:szCs w:val="24"/>
        </w:rPr>
        <w:t xml:space="preserve">The NMFS Alaska Region </w:t>
      </w:r>
      <w:r w:rsidR="002466D6">
        <w:rPr>
          <w:rFonts w:ascii="Times New Roman" w:hAnsi="Times New Roman" w:cs="Times New Roman"/>
          <w:sz w:val="24"/>
          <w:szCs w:val="24"/>
        </w:rPr>
        <w:t>published</w:t>
      </w:r>
      <w:r w:rsidRPr="007431C0">
        <w:rPr>
          <w:rFonts w:ascii="Times New Roman" w:hAnsi="Times New Roman" w:cs="Times New Roman"/>
          <w:sz w:val="24"/>
          <w:szCs w:val="24"/>
        </w:rPr>
        <w:t xml:space="preserve"> a proposed rule, </w:t>
      </w:r>
      <w:r w:rsidRPr="007431C0">
        <w:rPr>
          <w:rFonts w:ascii="Times New Roman" w:hAnsi="Times New Roman" w:cs="Times New Roman"/>
          <w:color w:val="000000"/>
          <w:sz w:val="24"/>
          <w:szCs w:val="24"/>
        </w:rPr>
        <w:t xml:space="preserve">RIN </w:t>
      </w:r>
      <w:r w:rsidRPr="007431C0">
        <w:rPr>
          <w:rFonts w:ascii="Times New Roman" w:hAnsi="Times New Roman" w:cs="Times New Roman"/>
          <w:sz w:val="24"/>
          <w:szCs w:val="24"/>
        </w:rPr>
        <w:t>0648-AY</w:t>
      </w:r>
      <w:r w:rsidR="0087464D" w:rsidRPr="007431C0">
        <w:rPr>
          <w:rFonts w:ascii="Times New Roman" w:hAnsi="Times New Roman" w:cs="Times New Roman"/>
          <w:sz w:val="24"/>
          <w:szCs w:val="24"/>
        </w:rPr>
        <w:t>53</w:t>
      </w:r>
      <w:r w:rsidRPr="007431C0">
        <w:rPr>
          <w:rFonts w:ascii="Times New Roman" w:hAnsi="Times New Roman" w:cs="Times New Roman"/>
          <w:sz w:val="24"/>
          <w:szCs w:val="24"/>
        </w:rPr>
        <w:t xml:space="preserve">, coincident with </w:t>
      </w:r>
      <w:r w:rsidR="002466D6">
        <w:rPr>
          <w:rFonts w:ascii="Times New Roman" w:hAnsi="Times New Roman" w:cs="Times New Roman"/>
          <w:sz w:val="24"/>
          <w:szCs w:val="24"/>
        </w:rPr>
        <w:t xml:space="preserve">the original </w:t>
      </w:r>
      <w:r w:rsidRPr="007431C0">
        <w:rPr>
          <w:rFonts w:ascii="Times New Roman" w:hAnsi="Times New Roman" w:cs="Times New Roman"/>
          <w:sz w:val="24"/>
          <w:szCs w:val="24"/>
        </w:rPr>
        <w:t>submission, requesting comments from the public.</w:t>
      </w:r>
      <w:r w:rsidR="002466D6">
        <w:rPr>
          <w:rFonts w:ascii="Times New Roman" w:hAnsi="Times New Roman" w:cs="Times New Roman"/>
          <w:sz w:val="24"/>
          <w:szCs w:val="24"/>
        </w:rPr>
        <w:t xml:space="preserve"> There were no comments affecting the information collection requirements in this request.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9.  </w:t>
      </w:r>
      <w:r w:rsidRPr="007431C0">
        <w:rPr>
          <w:rFonts w:ascii="Times New Roman" w:hAnsi="Times New Roman" w:cs="Times New Roman"/>
          <w:b/>
          <w:bCs/>
          <w:sz w:val="24"/>
          <w:szCs w:val="24"/>
          <w:u w:val="single"/>
        </w:rPr>
        <w:t>Explain any decisions to provide payments or gifts to respondents, other than remuneration of contractors or grantees</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No payment or gift will be provided under this program.</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10.  </w:t>
      </w:r>
      <w:r w:rsidRPr="007431C0">
        <w:rPr>
          <w:rFonts w:ascii="Times New Roman" w:hAnsi="Times New Roman" w:cs="Times New Roman"/>
          <w:b/>
          <w:bCs/>
          <w:sz w:val="24"/>
          <w:szCs w:val="24"/>
          <w:u w:val="single"/>
        </w:rPr>
        <w:t>Describe any assurance of confidentiality provided to respondents and the basis for assurance in statute, regulation, or agency policy</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E0487B" w:rsidP="00903C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provided on the forms: </w:t>
      </w:r>
      <w:r w:rsidR="00903C0A" w:rsidRPr="007431C0">
        <w:rPr>
          <w:rFonts w:ascii="Times New Roman" w:hAnsi="Times New Roman" w:cs="Times New Roman"/>
          <w:sz w:val="24"/>
          <w:szCs w:val="24"/>
        </w:rPr>
        <w:t>The information collected is mandatory and is required to manage commercia</w:t>
      </w:r>
      <w:r w:rsidR="00D43BF2">
        <w:rPr>
          <w:rFonts w:ascii="Times New Roman" w:hAnsi="Times New Roman" w:cs="Times New Roman"/>
          <w:sz w:val="24"/>
          <w:szCs w:val="24"/>
        </w:rPr>
        <w:t>l fishing efforts under 50 CFR Part 679 and under S</w:t>
      </w:r>
      <w:bookmarkStart w:id="0" w:name="_GoBack"/>
      <w:bookmarkEnd w:id="0"/>
      <w:r w:rsidR="00903C0A" w:rsidRPr="007431C0">
        <w:rPr>
          <w:rFonts w:ascii="Times New Roman" w:hAnsi="Times New Roman" w:cs="Times New Roman"/>
          <w:sz w:val="24"/>
          <w:szCs w:val="24"/>
        </w:rPr>
        <w:t xml:space="preserve">ection 402(a) of the Magnuson-Stevens Act (16 U.S.C. 1801, </w:t>
      </w:r>
      <w:r w:rsidR="00903C0A" w:rsidRPr="007431C0">
        <w:rPr>
          <w:rFonts w:ascii="Times New Roman" w:hAnsi="Times New Roman" w:cs="Times New Roman"/>
          <w:i/>
          <w:sz w:val="24"/>
          <w:szCs w:val="24"/>
        </w:rPr>
        <w:t>et seq</w:t>
      </w:r>
      <w:r w:rsidR="00903C0A" w:rsidRPr="007431C0">
        <w:rPr>
          <w:rFonts w:ascii="Times New Roman" w:hAnsi="Times New Roman" w:cs="Times New Roman"/>
          <w:sz w:val="24"/>
          <w:szCs w:val="24"/>
        </w:rPr>
        <w:t>.)</w:t>
      </w:r>
      <w:r w:rsidR="0087464D" w:rsidRPr="007431C0">
        <w:rPr>
          <w:rFonts w:ascii="Times New Roman" w:hAnsi="Times New Roman" w:cs="Times New Roman"/>
          <w:sz w:val="24"/>
          <w:szCs w:val="24"/>
        </w:rPr>
        <w:t xml:space="preserve">.  </w:t>
      </w:r>
      <w:r w:rsidR="00903C0A" w:rsidRPr="007431C0">
        <w:rPr>
          <w:rFonts w:ascii="Times New Roman" w:hAnsi="Times New Roman" w:cs="Times New Roman"/>
          <w:sz w:val="24"/>
          <w:szCs w:val="24"/>
        </w:rPr>
        <w:t xml:space="preserve">Responses to this information request are confidential under section 402(b) of the Magnuson-Stevens Act as amended in 2006 and under </w:t>
      </w:r>
      <w:hyperlink r:id="rId10" w:history="1">
        <w:r w:rsidR="00903C0A" w:rsidRPr="00E0487B">
          <w:rPr>
            <w:rStyle w:val="Hyperlink"/>
            <w:rFonts w:ascii="Times New Roman" w:hAnsi="Times New Roman" w:cs="Times New Roman"/>
            <w:b/>
            <w:sz w:val="24"/>
            <w:szCs w:val="24"/>
          </w:rPr>
          <w:t>NOAA Administrative Order 216-100</w:t>
        </w:r>
      </w:hyperlink>
      <w:r w:rsidR="00903C0A" w:rsidRPr="007431C0">
        <w:rPr>
          <w:rFonts w:ascii="Times New Roman" w:hAnsi="Times New Roman" w:cs="Times New Roman"/>
          <w:color w:val="000000"/>
          <w:sz w:val="24"/>
          <w:szCs w:val="24"/>
        </w:rPr>
        <w:t xml:space="preserve">, </w:t>
      </w:r>
      <w:r w:rsidR="00903C0A" w:rsidRPr="007431C0">
        <w:rPr>
          <w:rFonts w:ascii="Times New Roman" w:hAnsi="Times New Roman" w:cs="Times New Roman"/>
          <w:sz w:val="24"/>
          <w:szCs w:val="24"/>
        </w:rPr>
        <w:t xml:space="preserve">which sets forth procedures to protect confidentiality of fishery statistics.  </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11.  </w:t>
      </w:r>
      <w:r w:rsidRPr="007431C0">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This information collection does not involve information of a sensitive nature.</w:t>
      </w:r>
    </w:p>
    <w:p w:rsidR="00903C0A" w:rsidRPr="007431C0" w:rsidRDefault="00903C0A" w:rsidP="00903C0A">
      <w:pPr>
        <w:spacing w:after="0" w:line="240" w:lineRule="auto"/>
        <w:rPr>
          <w:rFonts w:ascii="Times New Roman" w:hAnsi="Times New Roman" w:cs="Times New Roman"/>
          <w:sz w:val="24"/>
          <w:szCs w:val="24"/>
        </w:rPr>
      </w:pPr>
    </w:p>
    <w:p w:rsidR="0087464D" w:rsidRPr="007431C0" w:rsidRDefault="0087464D">
      <w:pPr>
        <w:rPr>
          <w:rFonts w:ascii="Times New Roman" w:hAnsi="Times New Roman" w:cs="Times New Roman"/>
          <w:b/>
          <w:bCs/>
          <w:sz w:val="24"/>
          <w:szCs w:val="24"/>
        </w:rPr>
      </w:pPr>
      <w:r w:rsidRPr="007431C0">
        <w:rPr>
          <w:rFonts w:ascii="Times New Roman" w:hAnsi="Times New Roman" w:cs="Times New Roman"/>
          <w:b/>
          <w:bCs/>
          <w:sz w:val="24"/>
          <w:szCs w:val="24"/>
        </w:rPr>
        <w:br w:type="page"/>
      </w: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lastRenderedPageBreak/>
        <w:t xml:space="preserve">12.  </w:t>
      </w:r>
      <w:r w:rsidRPr="007431C0">
        <w:rPr>
          <w:rFonts w:ascii="Times New Roman" w:hAnsi="Times New Roman" w:cs="Times New Roman"/>
          <w:b/>
          <w:bCs/>
          <w:sz w:val="24"/>
          <w:szCs w:val="24"/>
          <w:u w:val="single"/>
        </w:rPr>
        <w:t>Provide an estimate in hours of the burden of the collection of information</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Estimated total respondents: </w:t>
      </w:r>
      <w:r w:rsidR="00DD49AF">
        <w:rPr>
          <w:rFonts w:ascii="Times New Roman" w:hAnsi="Times New Roman" w:cs="Times New Roman"/>
          <w:sz w:val="24"/>
          <w:szCs w:val="24"/>
        </w:rPr>
        <w:t>172 unduplicated (</w:t>
      </w:r>
      <w:r w:rsidRPr="007431C0">
        <w:rPr>
          <w:rFonts w:ascii="Times New Roman" w:hAnsi="Times New Roman" w:cs="Times New Roman"/>
          <w:sz w:val="24"/>
          <w:szCs w:val="24"/>
        </w:rPr>
        <w:t xml:space="preserve">up from </w:t>
      </w:r>
      <w:r w:rsidR="00D403D3" w:rsidRPr="007431C0">
        <w:rPr>
          <w:rFonts w:ascii="Times New Roman" w:hAnsi="Times New Roman" w:cs="Times New Roman"/>
          <w:sz w:val="24"/>
          <w:szCs w:val="24"/>
        </w:rPr>
        <w:t>171</w:t>
      </w:r>
      <w:r w:rsidR="00DD49AF">
        <w:rPr>
          <w:rFonts w:ascii="Times New Roman" w:hAnsi="Times New Roman" w:cs="Times New Roman"/>
          <w:sz w:val="24"/>
          <w:szCs w:val="24"/>
        </w:rPr>
        <w:t>, in which duplicate respondents had been counted)</w:t>
      </w:r>
      <w:r w:rsidR="007D7DDB">
        <w:rPr>
          <w:rFonts w:ascii="Times New Roman" w:hAnsi="Times New Roman" w:cs="Times New Roman"/>
          <w:sz w:val="24"/>
          <w:szCs w:val="24"/>
        </w:rPr>
        <w:t xml:space="preserve">.  Estimated total responses: </w:t>
      </w:r>
      <w:r w:rsidR="006743B0" w:rsidRPr="007431C0">
        <w:rPr>
          <w:rFonts w:ascii="Times New Roman" w:hAnsi="Times New Roman" w:cs="Times New Roman"/>
          <w:sz w:val="24"/>
          <w:szCs w:val="24"/>
        </w:rPr>
        <w:t>204</w:t>
      </w:r>
      <w:r w:rsidRPr="007431C0">
        <w:rPr>
          <w:rFonts w:ascii="Times New Roman" w:hAnsi="Times New Roman" w:cs="Times New Roman"/>
          <w:sz w:val="24"/>
          <w:szCs w:val="24"/>
        </w:rPr>
        <w:t xml:space="preserve"> up from 1</w:t>
      </w:r>
      <w:r w:rsidR="00D403D3" w:rsidRPr="007431C0">
        <w:rPr>
          <w:rFonts w:ascii="Times New Roman" w:hAnsi="Times New Roman" w:cs="Times New Roman"/>
          <w:sz w:val="24"/>
          <w:szCs w:val="24"/>
        </w:rPr>
        <w:t>71</w:t>
      </w:r>
      <w:r w:rsidR="007D7DDB">
        <w:rPr>
          <w:rFonts w:ascii="Times New Roman" w:hAnsi="Times New Roman" w:cs="Times New Roman"/>
          <w:sz w:val="24"/>
          <w:szCs w:val="24"/>
        </w:rPr>
        <w:t xml:space="preserve">.  Estimated total burden: </w:t>
      </w:r>
      <w:r w:rsidR="006743B0" w:rsidRPr="007431C0">
        <w:rPr>
          <w:rFonts w:ascii="Times New Roman" w:hAnsi="Times New Roman" w:cs="Times New Roman"/>
          <w:sz w:val="24"/>
          <w:szCs w:val="24"/>
        </w:rPr>
        <w:t>1,418</w:t>
      </w:r>
      <w:r w:rsidRPr="007431C0">
        <w:rPr>
          <w:rFonts w:ascii="Times New Roman" w:hAnsi="Times New Roman" w:cs="Times New Roman"/>
          <w:sz w:val="24"/>
          <w:szCs w:val="24"/>
        </w:rPr>
        <w:t xml:space="preserve"> up from </w:t>
      </w:r>
      <w:r w:rsidR="00B33172" w:rsidRPr="007431C0">
        <w:rPr>
          <w:rFonts w:ascii="Times New Roman" w:hAnsi="Times New Roman" w:cs="Times New Roman"/>
          <w:sz w:val="24"/>
          <w:szCs w:val="24"/>
        </w:rPr>
        <w:t xml:space="preserve">355 </w:t>
      </w:r>
      <w:r w:rsidRPr="007431C0">
        <w:rPr>
          <w:rFonts w:ascii="Times New Roman" w:hAnsi="Times New Roman" w:cs="Times New Roman"/>
          <w:sz w:val="24"/>
          <w:szCs w:val="24"/>
        </w:rPr>
        <w:t>hours.  Estimated total personnel costs:  $</w:t>
      </w:r>
      <w:r w:rsidR="006743B0" w:rsidRPr="007431C0">
        <w:rPr>
          <w:rFonts w:ascii="Times New Roman" w:hAnsi="Times New Roman" w:cs="Times New Roman"/>
          <w:sz w:val="24"/>
          <w:szCs w:val="24"/>
        </w:rPr>
        <w:t>35,450</w:t>
      </w:r>
      <w:r w:rsidRPr="007431C0">
        <w:rPr>
          <w:rFonts w:ascii="Times New Roman" w:hAnsi="Times New Roman" w:cs="Times New Roman"/>
          <w:sz w:val="24"/>
          <w:szCs w:val="24"/>
        </w:rPr>
        <w:t xml:space="preserve"> up from $</w:t>
      </w:r>
      <w:r w:rsidR="00D403D3" w:rsidRPr="007431C0">
        <w:rPr>
          <w:rFonts w:ascii="Times New Roman" w:hAnsi="Times New Roman" w:cs="Times New Roman"/>
          <w:sz w:val="24"/>
          <w:szCs w:val="24"/>
        </w:rPr>
        <w:t>8,075</w:t>
      </w:r>
      <w:r w:rsidRPr="007431C0">
        <w:rPr>
          <w:rFonts w:ascii="Times New Roman" w:hAnsi="Times New Roman" w:cs="Times New Roman"/>
          <w:sz w:val="24"/>
          <w:szCs w:val="24"/>
        </w:rPr>
        <w:t xml:space="preserve">.  </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13.  </w:t>
      </w:r>
      <w:r w:rsidRPr="007431C0">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Estimated total miscellaneous costs:  $</w:t>
      </w:r>
      <w:r w:rsidR="006743B0" w:rsidRPr="007431C0">
        <w:rPr>
          <w:rFonts w:ascii="Times New Roman" w:hAnsi="Times New Roman" w:cs="Times New Roman"/>
          <w:sz w:val="24"/>
          <w:szCs w:val="24"/>
        </w:rPr>
        <w:t>2,012 down</w:t>
      </w:r>
      <w:r w:rsidRPr="007431C0">
        <w:rPr>
          <w:rFonts w:ascii="Times New Roman" w:hAnsi="Times New Roman" w:cs="Times New Roman"/>
          <w:sz w:val="24"/>
          <w:szCs w:val="24"/>
        </w:rPr>
        <w:t xml:space="preserve"> from $</w:t>
      </w:r>
      <w:r w:rsidR="00D403D3" w:rsidRPr="007431C0">
        <w:rPr>
          <w:rFonts w:ascii="Times New Roman" w:hAnsi="Times New Roman" w:cs="Times New Roman"/>
          <w:sz w:val="24"/>
          <w:szCs w:val="24"/>
        </w:rPr>
        <w:t>2,110</w:t>
      </w:r>
      <w:r w:rsidRPr="007431C0">
        <w:rPr>
          <w:rFonts w:ascii="Times New Roman" w:hAnsi="Times New Roman" w:cs="Times New Roman"/>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14.  </w:t>
      </w:r>
      <w:r w:rsidRPr="007431C0">
        <w:rPr>
          <w:rFonts w:ascii="Times New Roman" w:hAnsi="Times New Roman" w:cs="Times New Roman"/>
          <w:b/>
          <w:bCs/>
          <w:sz w:val="24"/>
          <w:szCs w:val="24"/>
          <w:u w:val="single"/>
        </w:rPr>
        <w:t>Provide estimates of annualized cost to the Federal government</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Estimated total responses:  </w:t>
      </w:r>
      <w:r w:rsidR="006743B0" w:rsidRPr="007431C0">
        <w:rPr>
          <w:rFonts w:ascii="Times New Roman" w:hAnsi="Times New Roman" w:cs="Times New Roman"/>
          <w:sz w:val="24"/>
          <w:szCs w:val="24"/>
        </w:rPr>
        <w:t>180</w:t>
      </w:r>
      <w:r w:rsidRPr="007431C0">
        <w:rPr>
          <w:rFonts w:ascii="Times New Roman" w:hAnsi="Times New Roman" w:cs="Times New Roman"/>
          <w:sz w:val="24"/>
          <w:szCs w:val="24"/>
        </w:rPr>
        <w:t>, up from 1</w:t>
      </w:r>
      <w:r w:rsidR="00C739B9" w:rsidRPr="007431C0">
        <w:rPr>
          <w:rFonts w:ascii="Times New Roman" w:hAnsi="Times New Roman" w:cs="Times New Roman"/>
          <w:sz w:val="24"/>
          <w:szCs w:val="24"/>
        </w:rPr>
        <w:t>50</w:t>
      </w:r>
      <w:r w:rsidRPr="007431C0">
        <w:rPr>
          <w:rFonts w:ascii="Times New Roman" w:hAnsi="Times New Roman" w:cs="Times New Roman"/>
          <w:sz w:val="24"/>
          <w:szCs w:val="24"/>
        </w:rPr>
        <w:t xml:space="preserve">.  Estimated total burden:  </w:t>
      </w:r>
      <w:r w:rsidR="006743B0" w:rsidRPr="007431C0">
        <w:rPr>
          <w:rFonts w:ascii="Times New Roman" w:hAnsi="Times New Roman" w:cs="Times New Roman"/>
          <w:sz w:val="24"/>
          <w:szCs w:val="24"/>
        </w:rPr>
        <w:t xml:space="preserve">352 </w:t>
      </w:r>
      <w:r w:rsidRPr="007431C0">
        <w:rPr>
          <w:rFonts w:ascii="Times New Roman" w:hAnsi="Times New Roman" w:cs="Times New Roman"/>
          <w:sz w:val="24"/>
          <w:szCs w:val="24"/>
        </w:rPr>
        <w:t xml:space="preserve">hr, up from </w:t>
      </w: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2</w:t>
      </w:r>
      <w:r w:rsidR="00C739B9" w:rsidRPr="007431C0">
        <w:rPr>
          <w:rFonts w:ascii="Times New Roman" w:hAnsi="Times New Roman" w:cs="Times New Roman"/>
          <w:sz w:val="24"/>
          <w:szCs w:val="24"/>
        </w:rPr>
        <w:t>32</w:t>
      </w:r>
      <w:r w:rsidRPr="007431C0">
        <w:rPr>
          <w:rFonts w:ascii="Times New Roman" w:hAnsi="Times New Roman" w:cs="Times New Roman"/>
          <w:sz w:val="24"/>
          <w:szCs w:val="24"/>
        </w:rPr>
        <w:t xml:space="preserve"> hr.  Estimated total personnel costs:  $</w:t>
      </w:r>
      <w:r w:rsidR="006743B0" w:rsidRPr="007431C0">
        <w:rPr>
          <w:rFonts w:ascii="Times New Roman" w:hAnsi="Times New Roman" w:cs="Times New Roman"/>
          <w:sz w:val="24"/>
          <w:szCs w:val="24"/>
        </w:rPr>
        <w:t>17,200</w:t>
      </w:r>
      <w:r w:rsidRPr="007431C0">
        <w:rPr>
          <w:rFonts w:ascii="Times New Roman" w:hAnsi="Times New Roman" w:cs="Times New Roman"/>
          <w:sz w:val="24"/>
          <w:szCs w:val="24"/>
        </w:rPr>
        <w:t>, up from $1</w:t>
      </w:r>
      <w:r w:rsidR="00C739B9" w:rsidRPr="007431C0">
        <w:rPr>
          <w:rFonts w:ascii="Times New Roman" w:hAnsi="Times New Roman" w:cs="Times New Roman"/>
          <w:sz w:val="24"/>
          <w:szCs w:val="24"/>
        </w:rPr>
        <w:t>4</w:t>
      </w:r>
      <w:r w:rsidRPr="007431C0">
        <w:rPr>
          <w:rFonts w:ascii="Times New Roman" w:hAnsi="Times New Roman" w:cs="Times New Roman"/>
          <w:sz w:val="24"/>
          <w:szCs w:val="24"/>
        </w:rPr>
        <w:t>,</w:t>
      </w:r>
      <w:r w:rsidR="00C739B9" w:rsidRPr="007431C0">
        <w:rPr>
          <w:rFonts w:ascii="Times New Roman" w:hAnsi="Times New Roman" w:cs="Times New Roman"/>
          <w:sz w:val="24"/>
          <w:szCs w:val="24"/>
        </w:rPr>
        <w:t>200</w:t>
      </w:r>
      <w:r w:rsidRPr="007431C0">
        <w:rPr>
          <w:rFonts w:ascii="Times New Roman" w:hAnsi="Times New Roman" w:cs="Times New Roman"/>
          <w:sz w:val="24"/>
          <w:szCs w:val="24"/>
        </w:rPr>
        <w:t xml:space="preserve">.  </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15.  </w:t>
      </w:r>
      <w:r w:rsidRPr="007431C0">
        <w:rPr>
          <w:rFonts w:ascii="Times New Roman" w:hAnsi="Times New Roman" w:cs="Times New Roman"/>
          <w:b/>
          <w:bCs/>
          <w:sz w:val="24"/>
          <w:szCs w:val="24"/>
          <w:u w:val="single"/>
        </w:rPr>
        <w:t>Explain the reasons for any program changes or adjustments</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F7FCF" w:rsidRPr="007431C0" w:rsidRDefault="00903C0A"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7431C0">
        <w:rPr>
          <w:rFonts w:ascii="Times New Roman" w:hAnsi="Times New Roman" w:cs="Times New Roman"/>
          <w:b/>
          <w:color w:val="000000"/>
          <w:sz w:val="24"/>
          <w:szCs w:val="24"/>
        </w:rPr>
        <w:t>Program Change</w:t>
      </w:r>
      <w:r w:rsidRPr="007431C0">
        <w:rPr>
          <w:rFonts w:ascii="Times New Roman" w:hAnsi="Times New Roman" w:cs="Times New Roman"/>
          <w:color w:val="000000"/>
          <w:sz w:val="24"/>
          <w:szCs w:val="24"/>
        </w:rPr>
        <w:t xml:space="preserve">.  This action describes new management measures </w:t>
      </w:r>
      <w:r w:rsidR="009F7FCF" w:rsidRPr="007431C0">
        <w:rPr>
          <w:rFonts w:ascii="Times New Roman" w:hAnsi="Times New Roman" w:cs="Times New Roman"/>
          <w:color w:val="000000"/>
          <w:sz w:val="24"/>
          <w:szCs w:val="24"/>
        </w:rPr>
        <w:t>to limit access to the Federal Pacific cod fisheries prosecuted in Alaska State waters, commonly known as the parallel fishery, adjacent to the Western and Central GOA.  This action is intended to promote</w:t>
      </w:r>
      <w:r w:rsidR="006A5770" w:rsidRPr="007431C0">
        <w:rPr>
          <w:rFonts w:ascii="Times New Roman" w:hAnsi="Times New Roman" w:cs="Times New Roman"/>
          <w:color w:val="000000"/>
          <w:sz w:val="24"/>
          <w:szCs w:val="24"/>
        </w:rPr>
        <w:t xml:space="preserve"> </w:t>
      </w:r>
      <w:r w:rsidR="009F7FCF" w:rsidRPr="007431C0">
        <w:rPr>
          <w:rFonts w:ascii="Times New Roman" w:hAnsi="Times New Roman" w:cs="Times New Roman"/>
          <w:color w:val="000000"/>
          <w:sz w:val="24"/>
          <w:szCs w:val="24"/>
        </w:rPr>
        <w:t xml:space="preserve">community participation and would provide incentives for new entrants in the jig sector.  </w:t>
      </w:r>
    </w:p>
    <w:p w:rsidR="00EE4241" w:rsidRDefault="00EE4241"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rsidR="00582A89" w:rsidRPr="007431C0" w:rsidRDefault="00582A89"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changes per the three information collections below: </w:t>
      </w:r>
    </w:p>
    <w:p w:rsidR="00582A89" w:rsidRDefault="00582A89"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rsidR="00EE4241" w:rsidRPr="007431C0" w:rsidRDefault="00EE4241"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Program change</w:t>
      </w:r>
      <w:r w:rsidR="00582A89">
        <w:rPr>
          <w:rFonts w:ascii="Times New Roman" w:hAnsi="Times New Roman" w:cs="Times New Roman"/>
          <w:color w:val="000000"/>
          <w:sz w:val="24"/>
          <w:szCs w:val="24"/>
        </w:rPr>
        <w:t>:</w:t>
      </w:r>
      <w:r w:rsidRPr="007431C0">
        <w:rPr>
          <w:rFonts w:ascii="Times New Roman" w:hAnsi="Times New Roman" w:cs="Times New Roman"/>
          <w:color w:val="000000"/>
          <w:sz w:val="24"/>
          <w:szCs w:val="24"/>
        </w:rPr>
        <w:t xml:space="preserve"> Increase of three respondents</w:t>
      </w:r>
      <w:r w:rsidR="00582A89">
        <w:rPr>
          <w:rFonts w:ascii="Times New Roman" w:hAnsi="Times New Roman" w:cs="Times New Roman"/>
          <w:color w:val="000000"/>
          <w:sz w:val="24"/>
          <w:szCs w:val="24"/>
        </w:rPr>
        <w:t xml:space="preserve"> (unduplicated)</w:t>
      </w:r>
      <w:r w:rsidRPr="007431C0">
        <w:rPr>
          <w:rFonts w:ascii="Times New Roman" w:hAnsi="Times New Roman" w:cs="Times New Roman"/>
          <w:color w:val="000000"/>
          <w:sz w:val="24"/>
          <w:szCs w:val="24"/>
        </w:rPr>
        <w:t xml:space="preserve">, </w:t>
      </w:r>
      <w:r w:rsidR="00582A89">
        <w:rPr>
          <w:rFonts w:ascii="Times New Roman" w:hAnsi="Times New Roman" w:cs="Times New Roman"/>
          <w:color w:val="000000"/>
          <w:sz w:val="24"/>
          <w:szCs w:val="24"/>
        </w:rPr>
        <w:t>seven</w:t>
      </w:r>
      <w:r w:rsidRPr="007431C0">
        <w:rPr>
          <w:rFonts w:ascii="Times New Roman" w:hAnsi="Times New Roman" w:cs="Times New Roman"/>
          <w:color w:val="000000"/>
          <w:sz w:val="24"/>
          <w:szCs w:val="24"/>
        </w:rPr>
        <w:t xml:space="preserve"> responses, 1</w:t>
      </w:r>
      <w:r w:rsidR="007D7DDB">
        <w:rPr>
          <w:rFonts w:ascii="Times New Roman" w:hAnsi="Times New Roman" w:cs="Times New Roman"/>
          <w:color w:val="000000"/>
          <w:sz w:val="24"/>
          <w:szCs w:val="24"/>
        </w:rPr>
        <w:t>4</w:t>
      </w:r>
      <w:r w:rsidRPr="007431C0">
        <w:rPr>
          <w:rFonts w:ascii="Times New Roman" w:hAnsi="Times New Roman" w:cs="Times New Roman"/>
          <w:color w:val="000000"/>
          <w:sz w:val="24"/>
          <w:szCs w:val="24"/>
        </w:rPr>
        <w:t>3 hours, $8.</w:t>
      </w:r>
    </w:p>
    <w:p w:rsidR="00EE4241" w:rsidRPr="007431C0" w:rsidRDefault="00EE4241"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rsidR="00E41F2E" w:rsidRPr="007431C0" w:rsidRDefault="00EE4241"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Adjustment</w:t>
      </w:r>
      <w:r w:rsidR="00582A89">
        <w:rPr>
          <w:rFonts w:ascii="Times New Roman" w:hAnsi="Times New Roman" w:cs="Times New Roman"/>
          <w:color w:val="000000"/>
          <w:sz w:val="24"/>
          <w:szCs w:val="24"/>
        </w:rPr>
        <w:t xml:space="preserve">s: </w:t>
      </w:r>
      <w:r w:rsidR="007D7DDB">
        <w:rPr>
          <w:rFonts w:ascii="Times New Roman" w:hAnsi="Times New Roman" w:cs="Times New Roman"/>
          <w:color w:val="000000"/>
          <w:sz w:val="24"/>
          <w:szCs w:val="24"/>
        </w:rPr>
        <w:t>Increases of one respondent</w:t>
      </w:r>
      <w:r w:rsidR="00582A89">
        <w:rPr>
          <w:rFonts w:ascii="Times New Roman" w:hAnsi="Times New Roman" w:cs="Times New Roman"/>
          <w:color w:val="000000"/>
          <w:sz w:val="24"/>
          <w:szCs w:val="24"/>
        </w:rPr>
        <w:t xml:space="preserve"> (unduplicated)</w:t>
      </w:r>
      <w:r w:rsidR="00E41F2E" w:rsidRPr="007431C0">
        <w:rPr>
          <w:rFonts w:ascii="Times New Roman" w:hAnsi="Times New Roman" w:cs="Times New Roman"/>
          <w:color w:val="000000"/>
          <w:sz w:val="24"/>
          <w:szCs w:val="24"/>
        </w:rPr>
        <w:t xml:space="preserve">, </w:t>
      </w:r>
      <w:r w:rsidR="003E40D4">
        <w:rPr>
          <w:rFonts w:ascii="Times New Roman" w:hAnsi="Times New Roman" w:cs="Times New Roman"/>
          <w:color w:val="000000"/>
          <w:sz w:val="24"/>
          <w:szCs w:val="24"/>
        </w:rPr>
        <w:t>26</w:t>
      </w:r>
      <w:r w:rsidR="007D7DDB">
        <w:rPr>
          <w:rFonts w:ascii="Times New Roman" w:hAnsi="Times New Roman" w:cs="Times New Roman"/>
          <w:color w:val="000000"/>
          <w:sz w:val="24"/>
          <w:szCs w:val="24"/>
        </w:rPr>
        <w:t xml:space="preserve"> responses</w:t>
      </w:r>
      <w:r w:rsidR="00BB20B9" w:rsidRPr="007431C0">
        <w:rPr>
          <w:rFonts w:ascii="Times New Roman" w:hAnsi="Times New Roman" w:cs="Times New Roman"/>
          <w:color w:val="000000"/>
          <w:sz w:val="24"/>
          <w:szCs w:val="24"/>
        </w:rPr>
        <w:t>, 9</w:t>
      </w:r>
      <w:r w:rsidR="007D7DDB">
        <w:rPr>
          <w:rFonts w:ascii="Times New Roman" w:hAnsi="Times New Roman" w:cs="Times New Roman"/>
          <w:color w:val="000000"/>
          <w:sz w:val="24"/>
          <w:szCs w:val="24"/>
        </w:rPr>
        <w:t>2</w:t>
      </w:r>
      <w:r w:rsidR="00BB20B9" w:rsidRPr="007431C0">
        <w:rPr>
          <w:rFonts w:ascii="Times New Roman" w:hAnsi="Times New Roman" w:cs="Times New Roman"/>
          <w:color w:val="000000"/>
          <w:sz w:val="24"/>
          <w:szCs w:val="24"/>
        </w:rPr>
        <w:t>0 hours, decrease in costs of $1</w:t>
      </w:r>
      <w:r w:rsidR="00582A89">
        <w:rPr>
          <w:rFonts w:ascii="Times New Roman" w:hAnsi="Times New Roman" w:cs="Times New Roman"/>
          <w:color w:val="000000"/>
          <w:sz w:val="24"/>
          <w:szCs w:val="24"/>
        </w:rPr>
        <w:t>06</w:t>
      </w:r>
      <w:r w:rsidR="00BB20B9" w:rsidRPr="007431C0">
        <w:rPr>
          <w:rFonts w:ascii="Times New Roman" w:hAnsi="Times New Roman" w:cs="Times New Roman"/>
          <w:color w:val="000000"/>
          <w:sz w:val="24"/>
          <w:szCs w:val="24"/>
        </w:rPr>
        <w:t xml:space="preserve">. </w:t>
      </w:r>
    </w:p>
    <w:p w:rsidR="00903C0A" w:rsidRPr="007431C0" w:rsidRDefault="00903C0A"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rsidR="00E41F2E" w:rsidRPr="007431C0" w:rsidRDefault="00903C0A" w:rsidP="00903C0A">
      <w:pPr>
        <w:spacing w:after="0" w:line="240" w:lineRule="auto"/>
        <w:rPr>
          <w:rFonts w:ascii="Times New Roman" w:hAnsi="Times New Roman" w:cs="Times New Roman"/>
          <w:b/>
          <w:sz w:val="24"/>
          <w:szCs w:val="24"/>
          <w:u w:val="single"/>
        </w:rPr>
      </w:pPr>
      <w:r w:rsidRPr="007431C0">
        <w:rPr>
          <w:rFonts w:ascii="Times New Roman" w:hAnsi="Times New Roman" w:cs="Times New Roman"/>
          <w:b/>
          <w:sz w:val="24"/>
          <w:szCs w:val="24"/>
          <w:u w:val="single"/>
        </w:rPr>
        <w:t>Application for a CQE to Receive a Non-trawl Groundfish LLP License</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 xml:space="preserve">an increase of </w:t>
      </w:r>
      <w:r w:rsidR="00933194" w:rsidRPr="007431C0">
        <w:rPr>
          <w:rFonts w:ascii="Times New Roman" w:hAnsi="Times New Roman" w:cs="Times New Roman"/>
          <w:color w:val="000000"/>
          <w:sz w:val="24"/>
          <w:szCs w:val="24"/>
        </w:rPr>
        <w:t>23</w:t>
      </w:r>
      <w:r w:rsidRPr="007431C0">
        <w:rPr>
          <w:rFonts w:ascii="Times New Roman" w:hAnsi="Times New Roman" w:cs="Times New Roman"/>
          <w:color w:val="000000"/>
          <w:sz w:val="24"/>
          <w:szCs w:val="24"/>
        </w:rPr>
        <w:t xml:space="preserve"> respondent</w:t>
      </w:r>
      <w:r w:rsidR="00933194" w:rsidRPr="007431C0">
        <w:rPr>
          <w:rFonts w:ascii="Times New Roman" w:hAnsi="Times New Roman" w:cs="Times New Roman"/>
          <w:color w:val="000000"/>
          <w:sz w:val="24"/>
          <w:szCs w:val="24"/>
        </w:rPr>
        <w:t>s</w:t>
      </w:r>
      <w:r w:rsidRPr="007431C0">
        <w:rPr>
          <w:rFonts w:ascii="Times New Roman" w:hAnsi="Times New Roman" w:cs="Times New Roman"/>
          <w:color w:val="000000"/>
          <w:sz w:val="24"/>
          <w:szCs w:val="24"/>
        </w:rPr>
        <w:t xml:space="preserve">, </w:t>
      </w:r>
      <w:r w:rsidR="00933194" w:rsidRPr="007431C0">
        <w:rPr>
          <w:rFonts w:ascii="Times New Roman" w:hAnsi="Times New Roman" w:cs="Times New Roman"/>
          <w:color w:val="000000"/>
          <w:sz w:val="24"/>
          <w:szCs w:val="24"/>
        </w:rPr>
        <w:t>24</w:t>
      </w:r>
      <w:r w:rsidRPr="007431C0">
        <w:rPr>
          <w:rFonts w:ascii="Times New Roman" w:hAnsi="Times New Roman" w:cs="Times New Roman"/>
          <w:color w:val="000000"/>
          <w:sz w:val="24"/>
          <w:szCs w:val="24"/>
        </w:rPr>
        <w:t xml:space="preserve"> instead of </w:t>
      </w:r>
      <w:r w:rsidR="00933194" w:rsidRPr="007431C0">
        <w:rPr>
          <w:rFonts w:ascii="Times New Roman" w:hAnsi="Times New Roman" w:cs="Times New Roman"/>
          <w:color w:val="000000"/>
          <w:sz w:val="24"/>
          <w:szCs w:val="24"/>
        </w:rPr>
        <w:t>1</w:t>
      </w:r>
    </w:p>
    <w:p w:rsidR="001E5F9F" w:rsidRPr="007431C0" w:rsidRDefault="001E5F9F"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after annualization, an increase of 7 responses, 8 instead of 1</w:t>
      </w:r>
    </w:p>
    <w:p w:rsidR="00903C0A" w:rsidRPr="007431C0" w:rsidRDefault="00582A89" w:rsidP="00903C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 increase </w:t>
      </w:r>
      <w:r w:rsidR="00D43BF2">
        <w:rPr>
          <w:rFonts w:ascii="Times New Roman" w:hAnsi="Times New Roman" w:cs="Times New Roman"/>
          <w:color w:val="000000"/>
          <w:sz w:val="24"/>
          <w:szCs w:val="24"/>
        </w:rPr>
        <w:t>of 140</w:t>
      </w:r>
      <w:r w:rsidR="001E5F9F" w:rsidRPr="007431C0">
        <w:rPr>
          <w:rFonts w:ascii="Times New Roman" w:hAnsi="Times New Roman" w:cs="Times New Roman"/>
          <w:color w:val="000000"/>
          <w:sz w:val="24"/>
          <w:szCs w:val="24"/>
        </w:rPr>
        <w:t xml:space="preserve"> </w:t>
      </w:r>
      <w:r w:rsidR="00903C0A" w:rsidRPr="007431C0">
        <w:rPr>
          <w:rFonts w:ascii="Times New Roman" w:hAnsi="Times New Roman" w:cs="Times New Roman"/>
          <w:color w:val="000000"/>
          <w:sz w:val="24"/>
          <w:szCs w:val="24"/>
        </w:rPr>
        <w:t xml:space="preserve">hr burden, </w:t>
      </w:r>
      <w:r w:rsidR="001E5F9F" w:rsidRPr="007431C0">
        <w:rPr>
          <w:rFonts w:ascii="Times New Roman" w:hAnsi="Times New Roman" w:cs="Times New Roman"/>
          <w:color w:val="000000"/>
          <w:sz w:val="24"/>
          <w:szCs w:val="24"/>
        </w:rPr>
        <w:t xml:space="preserve">160 </w:t>
      </w:r>
      <w:r w:rsidR="00903C0A" w:rsidRPr="007431C0">
        <w:rPr>
          <w:rFonts w:ascii="Times New Roman" w:hAnsi="Times New Roman" w:cs="Times New Roman"/>
          <w:color w:val="000000"/>
          <w:sz w:val="24"/>
          <w:szCs w:val="24"/>
        </w:rPr>
        <w:t xml:space="preserve">instead of </w:t>
      </w:r>
      <w:r w:rsidR="00933194" w:rsidRPr="007431C0">
        <w:rPr>
          <w:rFonts w:ascii="Times New Roman" w:hAnsi="Times New Roman" w:cs="Times New Roman"/>
          <w:color w:val="000000"/>
          <w:sz w:val="24"/>
          <w:szCs w:val="24"/>
        </w:rPr>
        <w:t>2</w:t>
      </w:r>
      <w:r w:rsidR="00903C0A" w:rsidRPr="007431C0">
        <w:rPr>
          <w:rFonts w:ascii="Times New Roman" w:hAnsi="Times New Roman" w:cs="Times New Roman"/>
          <w:color w:val="000000"/>
          <w:sz w:val="24"/>
          <w:szCs w:val="24"/>
        </w:rPr>
        <w:t>0</w:t>
      </w:r>
      <w:r w:rsidR="00933194" w:rsidRPr="007431C0">
        <w:rPr>
          <w:rFonts w:ascii="Times New Roman" w:hAnsi="Times New Roman" w:cs="Times New Roman"/>
          <w:color w:val="000000"/>
          <w:sz w:val="24"/>
          <w:szCs w:val="24"/>
        </w:rPr>
        <w:t xml:space="preserve"> hr</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an increase of $</w:t>
      </w:r>
      <w:r w:rsidR="001E5F9F" w:rsidRPr="007431C0">
        <w:rPr>
          <w:rFonts w:ascii="Times New Roman" w:hAnsi="Times New Roman" w:cs="Times New Roman"/>
          <w:color w:val="000000"/>
          <w:sz w:val="24"/>
          <w:szCs w:val="24"/>
        </w:rPr>
        <w:t>3,500</w:t>
      </w:r>
      <w:r w:rsidRPr="007431C0">
        <w:rPr>
          <w:rFonts w:ascii="Times New Roman" w:hAnsi="Times New Roman" w:cs="Times New Roman"/>
          <w:color w:val="000000"/>
          <w:sz w:val="24"/>
          <w:szCs w:val="24"/>
        </w:rPr>
        <w:t xml:space="preserve"> personnel costs, $</w:t>
      </w:r>
      <w:r w:rsidR="001E5F9F" w:rsidRPr="007431C0">
        <w:rPr>
          <w:rFonts w:ascii="Times New Roman" w:hAnsi="Times New Roman" w:cs="Times New Roman"/>
          <w:color w:val="000000"/>
          <w:sz w:val="24"/>
          <w:szCs w:val="24"/>
        </w:rPr>
        <w:t>4,000</w:t>
      </w:r>
      <w:r w:rsidRPr="007431C0">
        <w:rPr>
          <w:rFonts w:ascii="Times New Roman" w:hAnsi="Times New Roman" w:cs="Times New Roman"/>
          <w:color w:val="000000"/>
          <w:sz w:val="24"/>
          <w:szCs w:val="24"/>
        </w:rPr>
        <w:t xml:space="preserve"> instead of $</w:t>
      </w:r>
      <w:r w:rsidR="00933194" w:rsidRPr="007431C0">
        <w:rPr>
          <w:rFonts w:ascii="Times New Roman" w:hAnsi="Times New Roman" w:cs="Times New Roman"/>
          <w:color w:val="000000"/>
          <w:sz w:val="24"/>
          <w:szCs w:val="24"/>
        </w:rPr>
        <w:t>50</w:t>
      </w:r>
      <w:r w:rsidRPr="007431C0">
        <w:rPr>
          <w:rFonts w:ascii="Times New Roman" w:hAnsi="Times New Roman" w:cs="Times New Roman"/>
          <w:color w:val="000000"/>
          <w:sz w:val="24"/>
          <w:szCs w:val="24"/>
        </w:rPr>
        <w:t>0</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w:t>
      </w:r>
      <w:r w:rsidR="00933194" w:rsidRPr="007431C0">
        <w:rPr>
          <w:rFonts w:ascii="Times New Roman" w:hAnsi="Times New Roman" w:cs="Times New Roman"/>
          <w:color w:val="000000"/>
          <w:sz w:val="24"/>
          <w:szCs w:val="24"/>
        </w:rPr>
        <w:t xml:space="preserve"> de</w:t>
      </w:r>
      <w:r w:rsidRPr="007431C0">
        <w:rPr>
          <w:rFonts w:ascii="Times New Roman" w:hAnsi="Times New Roman" w:cs="Times New Roman"/>
          <w:color w:val="000000"/>
          <w:sz w:val="24"/>
          <w:szCs w:val="24"/>
        </w:rPr>
        <w:t>crease of $</w:t>
      </w:r>
      <w:r w:rsidR="001E5F9F" w:rsidRPr="007431C0">
        <w:rPr>
          <w:rFonts w:ascii="Times New Roman" w:hAnsi="Times New Roman" w:cs="Times New Roman"/>
          <w:color w:val="000000"/>
          <w:sz w:val="24"/>
          <w:szCs w:val="24"/>
        </w:rPr>
        <w:t xml:space="preserve">121 </w:t>
      </w:r>
      <w:r w:rsidR="0081733F">
        <w:rPr>
          <w:rFonts w:ascii="Times New Roman" w:hAnsi="Times New Roman" w:cs="Times New Roman"/>
          <w:color w:val="000000"/>
          <w:sz w:val="24"/>
          <w:szCs w:val="24"/>
        </w:rPr>
        <w:t xml:space="preserve">miscellaneous </w:t>
      </w:r>
      <w:r w:rsidRPr="007431C0">
        <w:rPr>
          <w:rFonts w:ascii="Times New Roman" w:hAnsi="Times New Roman" w:cs="Times New Roman"/>
          <w:color w:val="000000"/>
          <w:sz w:val="24"/>
          <w:szCs w:val="24"/>
        </w:rPr>
        <w:t>costs, $</w:t>
      </w:r>
      <w:r w:rsidR="001E5F9F" w:rsidRPr="007431C0">
        <w:rPr>
          <w:rFonts w:ascii="Times New Roman" w:hAnsi="Times New Roman" w:cs="Times New Roman"/>
          <w:color w:val="000000"/>
          <w:sz w:val="24"/>
          <w:szCs w:val="24"/>
        </w:rPr>
        <w:t xml:space="preserve">8 </w:t>
      </w:r>
      <w:r w:rsidRPr="007431C0">
        <w:rPr>
          <w:rFonts w:ascii="Times New Roman" w:hAnsi="Times New Roman" w:cs="Times New Roman"/>
          <w:color w:val="000000"/>
          <w:sz w:val="24"/>
          <w:szCs w:val="24"/>
        </w:rPr>
        <w:t>instead of $</w:t>
      </w:r>
      <w:r w:rsidR="00933194" w:rsidRPr="007431C0">
        <w:rPr>
          <w:rFonts w:ascii="Times New Roman" w:hAnsi="Times New Roman" w:cs="Times New Roman"/>
          <w:color w:val="000000"/>
          <w:sz w:val="24"/>
          <w:szCs w:val="24"/>
        </w:rPr>
        <w:t>129</w:t>
      </w:r>
    </w:p>
    <w:p w:rsidR="009F7FCF" w:rsidRPr="007431C0" w:rsidRDefault="009F7FCF" w:rsidP="00903C0A">
      <w:pPr>
        <w:spacing w:after="0" w:line="240" w:lineRule="auto"/>
        <w:rPr>
          <w:rFonts w:ascii="Times New Roman" w:hAnsi="Times New Roman" w:cs="Times New Roman"/>
          <w:b/>
          <w:sz w:val="24"/>
          <w:szCs w:val="24"/>
          <w:u w:val="single"/>
        </w:rPr>
      </w:pPr>
    </w:p>
    <w:p w:rsidR="00903C0A" w:rsidRPr="007431C0" w:rsidRDefault="00903C0A" w:rsidP="00903C0A">
      <w:pPr>
        <w:spacing w:after="0" w:line="240" w:lineRule="auto"/>
        <w:rPr>
          <w:rFonts w:ascii="Times New Roman" w:hAnsi="Times New Roman" w:cs="Times New Roman"/>
          <w:b/>
          <w:color w:val="000000"/>
          <w:sz w:val="24"/>
          <w:szCs w:val="24"/>
          <w:u w:val="single"/>
        </w:rPr>
      </w:pPr>
      <w:r w:rsidRPr="007431C0">
        <w:rPr>
          <w:rFonts w:ascii="Times New Roman" w:hAnsi="Times New Roman" w:cs="Times New Roman"/>
          <w:b/>
          <w:sz w:val="24"/>
          <w:szCs w:val="24"/>
          <w:u w:val="single"/>
        </w:rPr>
        <w:t>Letter of authorization</w:t>
      </w:r>
    </w:p>
    <w:p w:rsidR="00903C0A" w:rsidRPr="007431C0" w:rsidRDefault="00933194"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an increase of 3</w:t>
      </w:r>
      <w:r w:rsidR="00903C0A" w:rsidRPr="007431C0">
        <w:rPr>
          <w:rFonts w:ascii="Times New Roman" w:hAnsi="Times New Roman" w:cs="Times New Roman"/>
          <w:color w:val="000000"/>
          <w:sz w:val="24"/>
          <w:szCs w:val="24"/>
        </w:rPr>
        <w:t xml:space="preserve"> respondents and responses, 2</w:t>
      </w:r>
      <w:r w:rsidRPr="007431C0">
        <w:rPr>
          <w:rFonts w:ascii="Times New Roman" w:hAnsi="Times New Roman" w:cs="Times New Roman"/>
          <w:color w:val="000000"/>
          <w:sz w:val="24"/>
          <w:szCs w:val="24"/>
        </w:rPr>
        <w:t>4</w:t>
      </w:r>
      <w:r w:rsidR="00903C0A" w:rsidRPr="007431C0">
        <w:rPr>
          <w:rFonts w:ascii="Times New Roman" w:hAnsi="Times New Roman" w:cs="Times New Roman"/>
          <w:color w:val="000000"/>
          <w:sz w:val="24"/>
          <w:szCs w:val="24"/>
        </w:rPr>
        <w:t xml:space="preserve"> instead of </w:t>
      </w:r>
      <w:r w:rsidRPr="007431C0">
        <w:rPr>
          <w:rFonts w:ascii="Times New Roman" w:hAnsi="Times New Roman" w:cs="Times New Roman"/>
          <w:color w:val="000000"/>
          <w:sz w:val="24"/>
          <w:szCs w:val="24"/>
        </w:rPr>
        <w:t>21</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 xml:space="preserve">an increase </w:t>
      </w:r>
      <w:r w:rsidR="00D43BF2" w:rsidRPr="007431C0">
        <w:rPr>
          <w:rFonts w:ascii="Times New Roman" w:hAnsi="Times New Roman" w:cs="Times New Roman"/>
          <w:color w:val="000000"/>
          <w:sz w:val="24"/>
          <w:szCs w:val="24"/>
        </w:rPr>
        <w:t>of 3</w:t>
      </w:r>
      <w:r w:rsidRPr="007431C0">
        <w:rPr>
          <w:rFonts w:ascii="Times New Roman" w:hAnsi="Times New Roman" w:cs="Times New Roman"/>
          <w:color w:val="000000"/>
          <w:sz w:val="24"/>
          <w:szCs w:val="24"/>
        </w:rPr>
        <w:t xml:space="preserve"> hr burden, 2</w:t>
      </w:r>
      <w:r w:rsidR="00933194" w:rsidRPr="007431C0">
        <w:rPr>
          <w:rFonts w:ascii="Times New Roman" w:hAnsi="Times New Roman" w:cs="Times New Roman"/>
          <w:color w:val="000000"/>
          <w:sz w:val="24"/>
          <w:szCs w:val="24"/>
        </w:rPr>
        <w:t>4</w:t>
      </w:r>
      <w:r w:rsidRPr="007431C0">
        <w:rPr>
          <w:rFonts w:ascii="Times New Roman" w:hAnsi="Times New Roman" w:cs="Times New Roman"/>
          <w:color w:val="000000"/>
          <w:sz w:val="24"/>
          <w:szCs w:val="24"/>
        </w:rPr>
        <w:t xml:space="preserve"> hr instead of </w:t>
      </w:r>
      <w:r w:rsidR="00933194" w:rsidRPr="007431C0">
        <w:rPr>
          <w:rFonts w:ascii="Times New Roman" w:hAnsi="Times New Roman" w:cs="Times New Roman"/>
          <w:color w:val="000000"/>
          <w:sz w:val="24"/>
          <w:szCs w:val="24"/>
        </w:rPr>
        <w:t>21 hr</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an increase of $</w:t>
      </w:r>
      <w:r w:rsidR="00933194" w:rsidRPr="007431C0">
        <w:rPr>
          <w:rFonts w:ascii="Times New Roman" w:hAnsi="Times New Roman" w:cs="Times New Roman"/>
          <w:color w:val="000000"/>
          <w:sz w:val="24"/>
          <w:szCs w:val="24"/>
        </w:rPr>
        <w:t>75</w:t>
      </w:r>
      <w:r w:rsidRPr="007431C0">
        <w:rPr>
          <w:rFonts w:ascii="Times New Roman" w:hAnsi="Times New Roman" w:cs="Times New Roman"/>
          <w:color w:val="000000"/>
          <w:sz w:val="24"/>
          <w:szCs w:val="24"/>
        </w:rPr>
        <w:t xml:space="preserve"> personnel costs, $</w:t>
      </w:r>
      <w:r w:rsidR="00933194" w:rsidRPr="007431C0">
        <w:rPr>
          <w:rFonts w:ascii="Times New Roman" w:hAnsi="Times New Roman" w:cs="Times New Roman"/>
          <w:color w:val="000000"/>
          <w:sz w:val="24"/>
          <w:szCs w:val="24"/>
        </w:rPr>
        <w:t>600</w:t>
      </w:r>
      <w:r w:rsidRPr="007431C0">
        <w:rPr>
          <w:rFonts w:ascii="Times New Roman" w:hAnsi="Times New Roman" w:cs="Times New Roman"/>
          <w:color w:val="000000"/>
          <w:sz w:val="24"/>
          <w:szCs w:val="24"/>
        </w:rPr>
        <w:t xml:space="preserve"> instead of $</w:t>
      </w:r>
      <w:r w:rsidR="00933194" w:rsidRPr="007431C0">
        <w:rPr>
          <w:rFonts w:ascii="Times New Roman" w:hAnsi="Times New Roman" w:cs="Times New Roman"/>
          <w:color w:val="000000"/>
          <w:sz w:val="24"/>
          <w:szCs w:val="24"/>
        </w:rPr>
        <w:t>525</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an increase of $1 miscellaneous costs, $1</w:t>
      </w:r>
      <w:r w:rsidR="00127306" w:rsidRPr="007431C0">
        <w:rPr>
          <w:rFonts w:ascii="Times New Roman" w:hAnsi="Times New Roman" w:cs="Times New Roman"/>
          <w:color w:val="000000"/>
          <w:sz w:val="24"/>
          <w:szCs w:val="24"/>
        </w:rPr>
        <w:t>2</w:t>
      </w:r>
      <w:r w:rsidRPr="007431C0">
        <w:rPr>
          <w:rFonts w:ascii="Times New Roman" w:hAnsi="Times New Roman" w:cs="Times New Roman"/>
          <w:color w:val="000000"/>
          <w:sz w:val="24"/>
          <w:szCs w:val="24"/>
        </w:rPr>
        <w:t xml:space="preserve"> instead of $</w:t>
      </w:r>
      <w:r w:rsidR="00127306" w:rsidRPr="007431C0">
        <w:rPr>
          <w:rFonts w:ascii="Times New Roman" w:hAnsi="Times New Roman" w:cs="Times New Roman"/>
          <w:color w:val="000000"/>
          <w:sz w:val="24"/>
          <w:szCs w:val="24"/>
        </w:rPr>
        <w:t>11</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4"/>
          <w:szCs w:val="24"/>
          <w:u w:val="single"/>
        </w:rPr>
      </w:pPr>
      <w:r w:rsidRPr="007431C0">
        <w:rPr>
          <w:rFonts w:ascii="Times New Roman" w:hAnsi="Times New Roman" w:cs="Times New Roman"/>
          <w:b/>
          <w:sz w:val="24"/>
          <w:szCs w:val="24"/>
          <w:u w:val="single"/>
        </w:rPr>
        <w:t>CQE Annual Report</w:t>
      </w:r>
      <w:r w:rsidR="00127306" w:rsidRPr="007431C0">
        <w:rPr>
          <w:rFonts w:ascii="Times New Roman" w:hAnsi="Times New Roman" w:cs="Times New Roman"/>
          <w:b/>
          <w:color w:val="000000"/>
          <w:sz w:val="24"/>
          <w:szCs w:val="24"/>
          <w:u w:val="single"/>
        </w:rPr>
        <w:t xml:space="preserve"> </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 xml:space="preserve">an increase of </w:t>
      </w:r>
      <w:r w:rsidR="00127306" w:rsidRPr="007431C0">
        <w:rPr>
          <w:rFonts w:ascii="Times New Roman" w:hAnsi="Times New Roman" w:cs="Times New Roman"/>
          <w:color w:val="000000"/>
          <w:sz w:val="24"/>
          <w:szCs w:val="24"/>
        </w:rPr>
        <w:t>23</w:t>
      </w:r>
      <w:r w:rsidRPr="007431C0">
        <w:rPr>
          <w:rFonts w:ascii="Times New Roman" w:hAnsi="Times New Roman" w:cs="Times New Roman"/>
          <w:color w:val="000000"/>
          <w:sz w:val="24"/>
          <w:szCs w:val="24"/>
        </w:rPr>
        <w:t xml:space="preserve"> respondent</w:t>
      </w:r>
      <w:r w:rsidR="00127306" w:rsidRPr="007431C0">
        <w:rPr>
          <w:rFonts w:ascii="Times New Roman" w:hAnsi="Times New Roman" w:cs="Times New Roman"/>
          <w:color w:val="000000"/>
          <w:sz w:val="24"/>
          <w:szCs w:val="24"/>
        </w:rPr>
        <w:t>s</w:t>
      </w:r>
      <w:r w:rsidRPr="007431C0">
        <w:rPr>
          <w:rFonts w:ascii="Times New Roman" w:hAnsi="Times New Roman" w:cs="Times New Roman"/>
          <w:color w:val="000000"/>
          <w:sz w:val="24"/>
          <w:szCs w:val="24"/>
        </w:rPr>
        <w:t xml:space="preserve"> and response</w:t>
      </w:r>
      <w:r w:rsidR="00127306" w:rsidRPr="007431C0">
        <w:rPr>
          <w:rFonts w:ascii="Times New Roman" w:hAnsi="Times New Roman" w:cs="Times New Roman"/>
          <w:color w:val="000000"/>
          <w:sz w:val="24"/>
          <w:szCs w:val="24"/>
        </w:rPr>
        <w:t>s</w:t>
      </w:r>
      <w:r w:rsidRPr="007431C0">
        <w:rPr>
          <w:rFonts w:ascii="Times New Roman" w:hAnsi="Times New Roman" w:cs="Times New Roman"/>
          <w:color w:val="000000"/>
          <w:sz w:val="24"/>
          <w:szCs w:val="24"/>
        </w:rPr>
        <w:t xml:space="preserve">, </w:t>
      </w:r>
      <w:r w:rsidR="00127306" w:rsidRPr="007431C0">
        <w:rPr>
          <w:rFonts w:ascii="Times New Roman" w:hAnsi="Times New Roman" w:cs="Times New Roman"/>
          <w:color w:val="000000"/>
          <w:sz w:val="24"/>
          <w:szCs w:val="24"/>
        </w:rPr>
        <w:t>24</w:t>
      </w:r>
      <w:r w:rsidRPr="007431C0">
        <w:rPr>
          <w:rFonts w:ascii="Times New Roman" w:hAnsi="Times New Roman" w:cs="Times New Roman"/>
          <w:color w:val="000000"/>
          <w:sz w:val="24"/>
          <w:szCs w:val="24"/>
        </w:rPr>
        <w:t xml:space="preserve"> instead of </w:t>
      </w:r>
      <w:r w:rsidR="00127306" w:rsidRPr="007431C0">
        <w:rPr>
          <w:rFonts w:ascii="Times New Roman" w:hAnsi="Times New Roman" w:cs="Times New Roman"/>
          <w:color w:val="000000"/>
          <w:sz w:val="24"/>
          <w:szCs w:val="24"/>
        </w:rPr>
        <w:t>1</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 xml:space="preserve">an increase </w:t>
      </w:r>
      <w:r w:rsidR="00D43BF2" w:rsidRPr="007431C0">
        <w:rPr>
          <w:rFonts w:ascii="Times New Roman" w:hAnsi="Times New Roman" w:cs="Times New Roman"/>
          <w:color w:val="000000"/>
          <w:sz w:val="24"/>
          <w:szCs w:val="24"/>
        </w:rPr>
        <w:t>of 952</w:t>
      </w:r>
      <w:r w:rsidRPr="007431C0">
        <w:rPr>
          <w:rFonts w:ascii="Times New Roman" w:hAnsi="Times New Roman" w:cs="Times New Roman"/>
          <w:color w:val="000000"/>
          <w:sz w:val="24"/>
          <w:szCs w:val="24"/>
        </w:rPr>
        <w:t xml:space="preserve"> hr burden, </w:t>
      </w:r>
      <w:r w:rsidR="00127306" w:rsidRPr="007431C0">
        <w:rPr>
          <w:rFonts w:ascii="Times New Roman" w:hAnsi="Times New Roman" w:cs="Times New Roman"/>
          <w:color w:val="000000"/>
          <w:sz w:val="24"/>
          <w:szCs w:val="24"/>
        </w:rPr>
        <w:t>960</w:t>
      </w:r>
      <w:r w:rsidRPr="007431C0">
        <w:rPr>
          <w:rFonts w:ascii="Times New Roman" w:hAnsi="Times New Roman" w:cs="Times New Roman"/>
          <w:color w:val="000000"/>
          <w:sz w:val="24"/>
          <w:szCs w:val="24"/>
        </w:rPr>
        <w:t xml:space="preserve"> hr instead of </w:t>
      </w:r>
      <w:r w:rsidR="00127306" w:rsidRPr="007431C0">
        <w:rPr>
          <w:rFonts w:ascii="Times New Roman" w:hAnsi="Times New Roman" w:cs="Times New Roman"/>
          <w:color w:val="000000"/>
          <w:sz w:val="24"/>
          <w:szCs w:val="24"/>
        </w:rPr>
        <w:t>8</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lastRenderedPageBreak/>
        <w:tab/>
        <w:t>an increase of $</w:t>
      </w:r>
      <w:r w:rsidR="00127306" w:rsidRPr="007431C0">
        <w:rPr>
          <w:rFonts w:ascii="Times New Roman" w:hAnsi="Times New Roman" w:cs="Times New Roman"/>
          <w:color w:val="000000"/>
          <w:sz w:val="24"/>
          <w:szCs w:val="24"/>
        </w:rPr>
        <w:t>23,800</w:t>
      </w:r>
      <w:r w:rsidRPr="007431C0">
        <w:rPr>
          <w:rFonts w:ascii="Times New Roman" w:hAnsi="Times New Roman" w:cs="Times New Roman"/>
          <w:color w:val="000000"/>
          <w:sz w:val="24"/>
          <w:szCs w:val="24"/>
        </w:rPr>
        <w:t xml:space="preserve"> personnel costs, $</w:t>
      </w:r>
      <w:r w:rsidR="00127306" w:rsidRPr="007431C0">
        <w:rPr>
          <w:rFonts w:ascii="Times New Roman" w:hAnsi="Times New Roman" w:cs="Times New Roman"/>
          <w:color w:val="000000"/>
          <w:sz w:val="24"/>
          <w:szCs w:val="24"/>
        </w:rPr>
        <w:t>24</w:t>
      </w:r>
      <w:r w:rsidRPr="007431C0">
        <w:rPr>
          <w:rFonts w:ascii="Times New Roman" w:hAnsi="Times New Roman" w:cs="Times New Roman"/>
          <w:color w:val="000000"/>
          <w:sz w:val="24"/>
          <w:szCs w:val="24"/>
        </w:rPr>
        <w:t>,000 instead of $</w:t>
      </w:r>
      <w:r w:rsidR="00127306" w:rsidRPr="007431C0">
        <w:rPr>
          <w:rFonts w:ascii="Times New Roman" w:hAnsi="Times New Roman" w:cs="Times New Roman"/>
          <w:color w:val="000000"/>
          <w:sz w:val="24"/>
          <w:szCs w:val="24"/>
        </w:rPr>
        <w:t>20</w:t>
      </w:r>
      <w:r w:rsidRPr="007431C0">
        <w:rPr>
          <w:rFonts w:ascii="Times New Roman" w:hAnsi="Times New Roman" w:cs="Times New Roman"/>
          <w:color w:val="000000"/>
          <w:sz w:val="24"/>
          <w:szCs w:val="24"/>
        </w:rPr>
        <w:t>0</w:t>
      </w:r>
    </w:p>
    <w:p w:rsidR="00903C0A" w:rsidRPr="007431C0" w:rsidRDefault="00903C0A"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color w:val="000000"/>
          <w:sz w:val="24"/>
          <w:szCs w:val="24"/>
        </w:rPr>
        <w:tab/>
        <w:t>an increase of $</w:t>
      </w:r>
      <w:r w:rsidR="00127306" w:rsidRPr="007431C0">
        <w:rPr>
          <w:rFonts w:ascii="Times New Roman" w:hAnsi="Times New Roman" w:cs="Times New Roman"/>
          <w:color w:val="000000"/>
          <w:sz w:val="24"/>
          <w:szCs w:val="24"/>
        </w:rPr>
        <w:t>22</w:t>
      </w:r>
      <w:r w:rsidRPr="007431C0">
        <w:rPr>
          <w:rFonts w:ascii="Times New Roman" w:hAnsi="Times New Roman" w:cs="Times New Roman"/>
          <w:color w:val="000000"/>
          <w:sz w:val="24"/>
          <w:szCs w:val="24"/>
        </w:rPr>
        <w:t xml:space="preserve"> miscellaneous costs, $</w:t>
      </w:r>
      <w:r w:rsidR="00127306" w:rsidRPr="007431C0">
        <w:rPr>
          <w:rFonts w:ascii="Times New Roman" w:hAnsi="Times New Roman" w:cs="Times New Roman"/>
          <w:color w:val="000000"/>
          <w:sz w:val="24"/>
          <w:szCs w:val="24"/>
        </w:rPr>
        <w:t>23</w:t>
      </w:r>
      <w:r w:rsidRPr="007431C0">
        <w:rPr>
          <w:rFonts w:ascii="Times New Roman" w:hAnsi="Times New Roman" w:cs="Times New Roman"/>
          <w:color w:val="000000"/>
          <w:sz w:val="24"/>
          <w:szCs w:val="24"/>
        </w:rPr>
        <w:t xml:space="preserve"> instead of $</w:t>
      </w:r>
      <w:r w:rsidR="00127306" w:rsidRPr="007431C0">
        <w:rPr>
          <w:rFonts w:ascii="Times New Roman" w:hAnsi="Times New Roman" w:cs="Times New Roman"/>
          <w:color w:val="000000"/>
          <w:sz w:val="24"/>
          <w:szCs w:val="24"/>
        </w:rPr>
        <w:t>1</w:t>
      </w:r>
    </w:p>
    <w:p w:rsidR="00903C0A" w:rsidRPr="007431C0" w:rsidRDefault="00903C0A" w:rsidP="00903C0A">
      <w:pPr>
        <w:spacing w:after="0" w:line="240" w:lineRule="auto"/>
        <w:rPr>
          <w:rFonts w:ascii="Times New Roman" w:hAnsi="Times New Roman" w:cs="Times New Roman"/>
          <w:color w:val="000000"/>
          <w:sz w:val="24"/>
          <w:szCs w:val="24"/>
        </w:rPr>
      </w:pPr>
    </w:p>
    <w:p w:rsidR="00B33172" w:rsidRPr="007431C0" w:rsidRDefault="00ED2E9B" w:rsidP="00ED2E9B">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These information collections remain the same:</w:t>
      </w:r>
    </w:p>
    <w:p w:rsidR="00B33172" w:rsidRPr="007431C0" w:rsidRDefault="00B33172" w:rsidP="00903C0A">
      <w:pPr>
        <w:spacing w:after="0" w:line="240" w:lineRule="auto"/>
        <w:rPr>
          <w:rFonts w:ascii="Times New Roman" w:hAnsi="Times New Roman" w:cs="Times New Roman"/>
          <w:sz w:val="24"/>
          <w:szCs w:val="24"/>
        </w:rPr>
      </w:pPr>
    </w:p>
    <w:p w:rsidR="00903C0A" w:rsidRPr="007431C0" w:rsidRDefault="00ED478D" w:rsidP="00903C0A">
      <w:pPr>
        <w:spacing w:after="0" w:line="240" w:lineRule="auto"/>
        <w:rPr>
          <w:rFonts w:ascii="Times New Roman" w:hAnsi="Times New Roman" w:cs="Times New Roman"/>
          <w:color w:val="000000"/>
          <w:sz w:val="24"/>
          <w:szCs w:val="24"/>
        </w:rPr>
      </w:pPr>
      <w:r w:rsidRPr="007431C0">
        <w:rPr>
          <w:rFonts w:ascii="Times New Roman" w:hAnsi="Times New Roman" w:cs="Times New Roman"/>
          <w:b/>
          <w:sz w:val="24"/>
          <w:szCs w:val="24"/>
        </w:rPr>
        <w:t>Transfer applications:</w:t>
      </w:r>
      <w:r w:rsidR="00BE4FAE" w:rsidRPr="007431C0">
        <w:rPr>
          <w:rFonts w:ascii="Times New Roman" w:hAnsi="Times New Roman" w:cs="Times New Roman"/>
          <w:sz w:val="24"/>
          <w:szCs w:val="24"/>
        </w:rPr>
        <w:t xml:space="preserve"> </w:t>
      </w:r>
      <w:r w:rsidR="00B33172" w:rsidRPr="007431C0">
        <w:rPr>
          <w:rFonts w:ascii="Times New Roman" w:hAnsi="Times New Roman" w:cs="Times New Roman"/>
          <w:sz w:val="24"/>
          <w:szCs w:val="24"/>
        </w:rPr>
        <w:t>100 respondents and responses, 100 hours, $2,500 personnel costs and $1,112 miscellaneous costs.</w:t>
      </w:r>
    </w:p>
    <w:p w:rsidR="00903C0A" w:rsidRPr="007431C0" w:rsidRDefault="00903C0A" w:rsidP="00903C0A">
      <w:pPr>
        <w:spacing w:after="0" w:line="240" w:lineRule="auto"/>
        <w:rPr>
          <w:rFonts w:ascii="Times New Roman" w:hAnsi="Times New Roman" w:cs="Times New Roman"/>
          <w:sz w:val="24"/>
          <w:szCs w:val="24"/>
        </w:rPr>
      </w:pPr>
    </w:p>
    <w:p w:rsidR="005C2978" w:rsidRPr="007431C0" w:rsidRDefault="00B33172">
      <w:pPr>
        <w:rPr>
          <w:rFonts w:ascii="Times New Roman" w:hAnsi="Times New Roman" w:cs="Times New Roman"/>
          <w:bCs/>
          <w:sz w:val="24"/>
          <w:szCs w:val="24"/>
        </w:rPr>
      </w:pPr>
      <w:r w:rsidRPr="007431C0">
        <w:rPr>
          <w:rFonts w:ascii="Times New Roman" w:hAnsi="Times New Roman" w:cs="Times New Roman"/>
          <w:b/>
          <w:bCs/>
          <w:sz w:val="24"/>
          <w:szCs w:val="24"/>
        </w:rPr>
        <w:t xml:space="preserve">Transfer appeals: </w:t>
      </w:r>
      <w:r w:rsidR="00ED478D" w:rsidRPr="007431C0">
        <w:rPr>
          <w:rFonts w:ascii="Times New Roman" w:hAnsi="Times New Roman" w:cs="Times New Roman"/>
          <w:bCs/>
          <w:sz w:val="24"/>
          <w:szCs w:val="24"/>
        </w:rPr>
        <w:t>42 respondents and responses, 168 hours, $4,200 personnel costs and $39 miscellaneous costs.</w:t>
      </w:r>
    </w:p>
    <w:p w:rsidR="005E15B9" w:rsidRPr="007431C0" w:rsidRDefault="00ED478D">
      <w:pPr>
        <w:tabs>
          <w:tab w:val="left" w:pos="0"/>
          <w:tab w:val="left" w:pos="360"/>
          <w:tab w:val="left" w:pos="720"/>
          <w:tab w:val="left" w:pos="1080"/>
          <w:tab w:val="left" w:pos="1440"/>
        </w:tabs>
        <w:rPr>
          <w:rFonts w:ascii="Times New Roman" w:hAnsi="Times New Roman" w:cs="Times New Roman"/>
          <w:sz w:val="24"/>
          <w:szCs w:val="24"/>
        </w:rPr>
      </w:pPr>
      <w:r w:rsidRPr="007431C0">
        <w:rPr>
          <w:rFonts w:ascii="Times New Roman" w:hAnsi="Times New Roman" w:cs="Times New Roman"/>
          <w:b/>
          <w:sz w:val="24"/>
          <w:szCs w:val="24"/>
        </w:rPr>
        <w:t>Survey to Verify the Length Overall (LOA) of the Vessel</w:t>
      </w:r>
      <w:r w:rsidR="00C657FD" w:rsidRPr="007431C0">
        <w:rPr>
          <w:rFonts w:ascii="Times New Roman" w:hAnsi="Times New Roman" w:cs="Times New Roman"/>
          <w:b/>
          <w:sz w:val="24"/>
          <w:szCs w:val="24"/>
        </w:rPr>
        <w:t>:</w:t>
      </w:r>
      <w:r w:rsidRPr="007431C0">
        <w:rPr>
          <w:rFonts w:ascii="Times New Roman" w:hAnsi="Times New Roman" w:cs="Times New Roman"/>
          <w:b/>
          <w:sz w:val="24"/>
          <w:szCs w:val="24"/>
        </w:rPr>
        <w:t xml:space="preserve"> </w:t>
      </w:r>
      <w:r w:rsidRPr="007431C0">
        <w:rPr>
          <w:rFonts w:ascii="Times New Roman" w:hAnsi="Times New Roman" w:cs="Times New Roman"/>
          <w:sz w:val="24"/>
          <w:szCs w:val="24"/>
        </w:rPr>
        <w:t>Six respondents and responses, 6 hours, $150 personnel costs and $818 miscellaneous costs.</w:t>
      </w:r>
    </w:p>
    <w:p w:rsidR="00903C0A" w:rsidRPr="007431C0" w:rsidRDefault="00903C0A" w:rsidP="001A1B28">
      <w:pPr>
        <w:tabs>
          <w:tab w:val="left" w:pos="0"/>
          <w:tab w:val="left" w:pos="360"/>
          <w:tab w:val="left" w:pos="720"/>
          <w:tab w:val="left" w:pos="1080"/>
          <w:tab w:val="left" w:pos="1440"/>
        </w:tabs>
        <w:rPr>
          <w:rFonts w:ascii="Times New Roman" w:hAnsi="Times New Roman" w:cs="Times New Roman"/>
          <w:b/>
          <w:sz w:val="24"/>
          <w:szCs w:val="24"/>
        </w:rPr>
      </w:pPr>
      <w:r w:rsidRPr="007431C0">
        <w:rPr>
          <w:rFonts w:ascii="Times New Roman" w:hAnsi="Times New Roman" w:cs="Times New Roman"/>
          <w:b/>
          <w:bCs/>
          <w:sz w:val="24"/>
          <w:szCs w:val="24"/>
        </w:rPr>
        <w:t xml:space="preserve">16.  </w:t>
      </w:r>
      <w:r w:rsidRPr="007431C0">
        <w:rPr>
          <w:rFonts w:ascii="Times New Roman" w:hAnsi="Times New Roman" w:cs="Times New Roman"/>
          <w:b/>
          <w:bCs/>
          <w:sz w:val="24"/>
          <w:szCs w:val="24"/>
          <w:u w:val="single"/>
        </w:rPr>
        <w:t>For collections whose results will be published, outline the plans for tabulation and publication</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 xml:space="preserve">NMFS Alaska Region posts </w:t>
      </w:r>
      <w:r w:rsidR="00437BCF" w:rsidRPr="007431C0">
        <w:rPr>
          <w:rFonts w:ascii="Times New Roman" w:hAnsi="Times New Roman" w:cs="Times New Roman"/>
          <w:color w:val="000000"/>
          <w:sz w:val="24"/>
          <w:szCs w:val="24"/>
        </w:rPr>
        <w:t xml:space="preserve">Community Quota Entity LLP groundfish </w:t>
      </w:r>
      <w:r w:rsidR="00437BCF" w:rsidRPr="007431C0">
        <w:rPr>
          <w:rFonts w:ascii="Times New Roman" w:hAnsi="Times New Roman" w:cs="Times New Roman"/>
          <w:sz w:val="24"/>
          <w:szCs w:val="24"/>
        </w:rPr>
        <w:t xml:space="preserve">license </w:t>
      </w:r>
      <w:r w:rsidRPr="007431C0">
        <w:rPr>
          <w:rFonts w:ascii="Times New Roman" w:hAnsi="Times New Roman" w:cs="Times New Roman"/>
          <w:sz w:val="24"/>
          <w:szCs w:val="24"/>
        </w:rPr>
        <w:t xml:space="preserve">information on the web at </w:t>
      </w:r>
      <w:hyperlink r:id="rId11" w:anchor="apps" w:history="1">
        <w:r w:rsidR="006A5770" w:rsidRPr="007431C0">
          <w:rPr>
            <w:rStyle w:val="Hyperlink"/>
            <w:rFonts w:ascii="Times New Roman" w:hAnsi="Times New Roman" w:cs="Times New Roman"/>
            <w:sz w:val="24"/>
            <w:szCs w:val="24"/>
          </w:rPr>
          <w:t>http://www.fakr.noaa.gov/ram/cqp.htm#apps</w:t>
        </w:r>
      </w:hyperlink>
      <w:r w:rsidR="001F0EF7" w:rsidRPr="007431C0">
        <w:rPr>
          <w:rFonts w:ascii="Times New Roman" w:hAnsi="Times New Roman" w:cs="Times New Roman"/>
          <w:sz w:val="24"/>
          <w:szCs w:val="24"/>
        </w:rPr>
        <w:t xml:space="preserve"> and </w:t>
      </w:r>
      <w:r w:rsidRPr="007431C0">
        <w:rPr>
          <w:rFonts w:ascii="Times New Roman" w:hAnsi="Times New Roman" w:cs="Times New Roman"/>
          <w:color w:val="000000"/>
          <w:sz w:val="24"/>
          <w:szCs w:val="24"/>
        </w:rPr>
        <w:t>contain</w:t>
      </w:r>
      <w:r w:rsidR="001F0EF7" w:rsidRPr="007431C0">
        <w:rPr>
          <w:rFonts w:ascii="Times New Roman" w:hAnsi="Times New Roman" w:cs="Times New Roman"/>
          <w:color w:val="000000"/>
          <w:sz w:val="24"/>
          <w:szCs w:val="24"/>
        </w:rPr>
        <w:t xml:space="preserve">s </w:t>
      </w:r>
      <w:r w:rsidR="00437BCF" w:rsidRPr="007431C0">
        <w:rPr>
          <w:rFonts w:ascii="Times New Roman" w:hAnsi="Times New Roman" w:cs="Times New Roman"/>
          <w:sz w:val="24"/>
          <w:szCs w:val="24"/>
        </w:rPr>
        <w:t>a list of Community Quota Entities</w:t>
      </w:r>
      <w:r w:rsidR="001F0EF7" w:rsidRPr="007431C0">
        <w:rPr>
          <w:rFonts w:ascii="Times New Roman" w:hAnsi="Times New Roman" w:cs="Times New Roman"/>
          <w:sz w:val="24"/>
          <w:szCs w:val="24"/>
        </w:rPr>
        <w:t xml:space="preserve">.  </w:t>
      </w:r>
      <w:r w:rsidRPr="007431C0">
        <w:rPr>
          <w:rFonts w:ascii="Times New Roman" w:hAnsi="Times New Roman" w:cs="Times New Roman"/>
          <w:sz w:val="24"/>
          <w:szCs w:val="24"/>
        </w:rPr>
        <w:t xml:space="preserve">Under current regulations, vessels must be designated on the licenses and the identities of original qualifying vessels are provided for reference only. </w:t>
      </w:r>
    </w:p>
    <w:p w:rsidR="00903C0A" w:rsidRPr="007431C0" w:rsidRDefault="00903C0A" w:rsidP="00903C0A">
      <w:pPr>
        <w:spacing w:after="0" w:line="240" w:lineRule="auto"/>
        <w:rPr>
          <w:rFonts w:ascii="Times New Roman" w:hAnsi="Times New Roman" w:cs="Times New Roman"/>
          <w:b/>
          <w:bCs/>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17.  </w:t>
      </w:r>
      <w:r w:rsidRPr="007431C0">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D43BF2" w:rsidP="00903C0A">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903C0A" w:rsidRPr="007431C0">
        <w:rPr>
          <w:rFonts w:ascii="Times New Roman" w:hAnsi="Times New Roman" w:cs="Times New Roman"/>
          <w:sz w:val="24"/>
          <w:szCs w:val="24"/>
        </w:rPr>
        <w:t>pplicable.</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18.  </w:t>
      </w:r>
      <w:r w:rsidRPr="007431C0">
        <w:rPr>
          <w:rFonts w:ascii="Times New Roman" w:hAnsi="Times New Roman" w:cs="Times New Roman"/>
          <w:b/>
          <w:bCs/>
          <w:sz w:val="24"/>
          <w:szCs w:val="24"/>
          <w:u w:val="single"/>
        </w:rPr>
        <w:t>Explain each exception to the certification statement</w:t>
      </w:r>
      <w:r w:rsidRPr="007431C0">
        <w:rPr>
          <w:rFonts w:ascii="Times New Roman" w:hAnsi="Times New Roman" w:cs="Times New Roman"/>
          <w:b/>
          <w:bCs/>
          <w:sz w:val="24"/>
          <w:szCs w:val="24"/>
        </w:rPr>
        <w:t>.</w:t>
      </w: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color w:val="000000"/>
          <w:sz w:val="24"/>
          <w:szCs w:val="24"/>
        </w:rPr>
        <w:t xml:space="preserve">Not </w:t>
      </w:r>
      <w:r w:rsidR="00D43BF2">
        <w:rPr>
          <w:rFonts w:ascii="Times New Roman" w:hAnsi="Times New Roman" w:cs="Times New Roman"/>
          <w:color w:val="000000"/>
          <w:sz w:val="24"/>
          <w:szCs w:val="24"/>
        </w:rPr>
        <w:t>A</w:t>
      </w:r>
      <w:r w:rsidRPr="007431C0">
        <w:rPr>
          <w:rFonts w:ascii="Times New Roman" w:hAnsi="Times New Roman" w:cs="Times New Roman"/>
          <w:color w:val="000000"/>
          <w:sz w:val="24"/>
          <w:szCs w:val="24"/>
        </w:rPr>
        <w:t>pplicable.</w:t>
      </w:r>
    </w:p>
    <w:p w:rsidR="00903C0A" w:rsidRDefault="00903C0A" w:rsidP="00903C0A">
      <w:pPr>
        <w:spacing w:after="0" w:line="240" w:lineRule="auto"/>
        <w:rPr>
          <w:rFonts w:ascii="Times New Roman" w:hAnsi="Times New Roman" w:cs="Times New Roman"/>
          <w:sz w:val="24"/>
          <w:szCs w:val="24"/>
        </w:rPr>
      </w:pPr>
    </w:p>
    <w:p w:rsidR="00D43BF2" w:rsidRPr="007431C0" w:rsidRDefault="00D43BF2"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p>
    <w:p w:rsidR="00903C0A" w:rsidRPr="007431C0"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b/>
          <w:bCs/>
          <w:sz w:val="24"/>
          <w:szCs w:val="24"/>
        </w:rPr>
        <w:t xml:space="preserve">B.  </w:t>
      </w:r>
      <w:r w:rsidRPr="007431C0">
        <w:rPr>
          <w:rFonts w:ascii="Times New Roman" w:hAnsi="Times New Roman" w:cs="Times New Roman"/>
          <w:b/>
          <w:bCs/>
          <w:sz w:val="24"/>
          <w:szCs w:val="24"/>
        </w:rPr>
        <w:tab/>
        <w:t>COLLECTIONS OF INFORMATION EMPLOYING STATISTICAL METHODS</w:t>
      </w:r>
    </w:p>
    <w:p w:rsidR="00903C0A" w:rsidRPr="007431C0" w:rsidRDefault="00903C0A" w:rsidP="00903C0A">
      <w:pPr>
        <w:spacing w:after="0" w:line="240" w:lineRule="auto"/>
        <w:rPr>
          <w:rFonts w:ascii="Times New Roman" w:hAnsi="Times New Roman" w:cs="Times New Roman"/>
          <w:sz w:val="24"/>
          <w:szCs w:val="24"/>
        </w:rPr>
      </w:pPr>
    </w:p>
    <w:p w:rsidR="00903C0A" w:rsidRPr="00903C0A" w:rsidRDefault="00903C0A" w:rsidP="00903C0A">
      <w:pPr>
        <w:spacing w:after="0" w:line="240" w:lineRule="auto"/>
        <w:rPr>
          <w:rFonts w:ascii="Times New Roman" w:hAnsi="Times New Roman" w:cs="Times New Roman"/>
          <w:sz w:val="24"/>
          <w:szCs w:val="24"/>
        </w:rPr>
      </w:pPr>
      <w:r w:rsidRPr="007431C0">
        <w:rPr>
          <w:rFonts w:ascii="Times New Roman" w:hAnsi="Times New Roman" w:cs="Times New Roman"/>
          <w:sz w:val="24"/>
          <w:szCs w:val="24"/>
        </w:rPr>
        <w:t>This collection does not employ statistical methods.</w:t>
      </w:r>
    </w:p>
    <w:p w:rsidR="00903C0A" w:rsidRPr="00903C0A" w:rsidRDefault="00903C0A" w:rsidP="00903C0A">
      <w:pPr>
        <w:spacing w:after="0" w:line="240" w:lineRule="auto"/>
        <w:rPr>
          <w:rFonts w:ascii="Times New Roman" w:hAnsi="Times New Roman" w:cs="Times New Roman"/>
          <w:sz w:val="24"/>
          <w:szCs w:val="24"/>
        </w:rPr>
      </w:pPr>
    </w:p>
    <w:p w:rsidR="00D269FB" w:rsidRDefault="00D269FB" w:rsidP="00D269FB">
      <w:pPr>
        <w:rPr>
          <w:rFonts w:ascii="Times New Roman" w:hAnsi="Times New Roman" w:cs="Times New Roman"/>
          <w:sz w:val="24"/>
          <w:szCs w:val="24"/>
        </w:rPr>
      </w:pPr>
    </w:p>
    <w:sectPr w:rsidR="00D269FB" w:rsidSect="00D43BF2">
      <w:footerReference w:type="default" r:id="rId12"/>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C2" w:rsidRDefault="00D951C2" w:rsidP="00902061">
      <w:pPr>
        <w:spacing w:after="0" w:line="240" w:lineRule="auto"/>
      </w:pPr>
      <w:r>
        <w:separator/>
      </w:r>
    </w:p>
  </w:endnote>
  <w:endnote w:type="continuationSeparator" w:id="0">
    <w:p w:rsidR="00D951C2" w:rsidRDefault="00D951C2" w:rsidP="00902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8204"/>
      <w:docPartObj>
        <w:docPartGallery w:val="Page Numbers (Bottom of Page)"/>
        <w:docPartUnique/>
      </w:docPartObj>
    </w:sdtPr>
    <w:sdtContent>
      <w:p w:rsidR="001E5F9F" w:rsidRDefault="00A95381">
        <w:pPr>
          <w:pStyle w:val="Footer"/>
          <w:jc w:val="center"/>
        </w:pPr>
        <w:r>
          <w:fldChar w:fldCharType="begin"/>
        </w:r>
        <w:r w:rsidR="00D43BF2">
          <w:instrText xml:space="preserve"> PAGE   \* MERGEFORMAT </w:instrText>
        </w:r>
        <w:r>
          <w:fldChar w:fldCharType="separate"/>
        </w:r>
        <w:r w:rsidR="002466D6">
          <w:rPr>
            <w:noProof/>
          </w:rPr>
          <w:t>10</w:t>
        </w:r>
        <w:r>
          <w:rPr>
            <w:noProof/>
          </w:rPr>
          <w:fldChar w:fldCharType="end"/>
        </w:r>
      </w:p>
    </w:sdtContent>
  </w:sdt>
  <w:p w:rsidR="001E5F9F" w:rsidRDefault="001E5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C2" w:rsidRDefault="00D951C2" w:rsidP="00902061">
      <w:pPr>
        <w:spacing w:after="0" w:line="240" w:lineRule="auto"/>
      </w:pPr>
      <w:r>
        <w:separator/>
      </w:r>
    </w:p>
  </w:footnote>
  <w:footnote w:type="continuationSeparator" w:id="0">
    <w:p w:rsidR="00D951C2" w:rsidRDefault="00D951C2" w:rsidP="009020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7C82"/>
    <w:rsid w:val="0001409E"/>
    <w:rsid w:val="00021A2D"/>
    <w:rsid w:val="00021AA5"/>
    <w:rsid w:val="00030826"/>
    <w:rsid w:val="0004563B"/>
    <w:rsid w:val="0008215D"/>
    <w:rsid w:val="000833DF"/>
    <w:rsid w:val="0008496B"/>
    <w:rsid w:val="00091168"/>
    <w:rsid w:val="000B0C3B"/>
    <w:rsid w:val="000B5BD4"/>
    <w:rsid w:val="000B7693"/>
    <w:rsid w:val="000C2CC3"/>
    <w:rsid w:val="000D70A9"/>
    <w:rsid w:val="000F26C9"/>
    <w:rsid w:val="000F30E3"/>
    <w:rsid w:val="00106445"/>
    <w:rsid w:val="00113826"/>
    <w:rsid w:val="00127306"/>
    <w:rsid w:val="00133189"/>
    <w:rsid w:val="00154E2F"/>
    <w:rsid w:val="00172BC5"/>
    <w:rsid w:val="0018794F"/>
    <w:rsid w:val="001A0123"/>
    <w:rsid w:val="001A064D"/>
    <w:rsid w:val="001A1751"/>
    <w:rsid w:val="001A1B28"/>
    <w:rsid w:val="001A3CC5"/>
    <w:rsid w:val="001B42AE"/>
    <w:rsid w:val="001B66F6"/>
    <w:rsid w:val="001E454E"/>
    <w:rsid w:val="001E5F9F"/>
    <w:rsid w:val="001E6704"/>
    <w:rsid w:val="001F0EF7"/>
    <w:rsid w:val="001F2BCF"/>
    <w:rsid w:val="001F364E"/>
    <w:rsid w:val="001F7D32"/>
    <w:rsid w:val="00215466"/>
    <w:rsid w:val="00237B07"/>
    <w:rsid w:val="002466D6"/>
    <w:rsid w:val="00257946"/>
    <w:rsid w:val="0026156B"/>
    <w:rsid w:val="00266B23"/>
    <w:rsid w:val="00270D04"/>
    <w:rsid w:val="00276B1C"/>
    <w:rsid w:val="002A027F"/>
    <w:rsid w:val="002D2D80"/>
    <w:rsid w:val="002D3D88"/>
    <w:rsid w:val="002E4F5A"/>
    <w:rsid w:val="003044C6"/>
    <w:rsid w:val="00310ACA"/>
    <w:rsid w:val="003313F8"/>
    <w:rsid w:val="00335150"/>
    <w:rsid w:val="00344158"/>
    <w:rsid w:val="00346189"/>
    <w:rsid w:val="003551DC"/>
    <w:rsid w:val="00357C39"/>
    <w:rsid w:val="00362CCF"/>
    <w:rsid w:val="0036602F"/>
    <w:rsid w:val="0037452A"/>
    <w:rsid w:val="00385B9D"/>
    <w:rsid w:val="00387C91"/>
    <w:rsid w:val="00391DBB"/>
    <w:rsid w:val="00397F44"/>
    <w:rsid w:val="003A445E"/>
    <w:rsid w:val="003A58C1"/>
    <w:rsid w:val="003B7145"/>
    <w:rsid w:val="003C4783"/>
    <w:rsid w:val="003D05FF"/>
    <w:rsid w:val="003E40D4"/>
    <w:rsid w:val="003F3D8D"/>
    <w:rsid w:val="00406506"/>
    <w:rsid w:val="00410A8D"/>
    <w:rsid w:val="004137DB"/>
    <w:rsid w:val="004220FB"/>
    <w:rsid w:val="004263A9"/>
    <w:rsid w:val="00427A71"/>
    <w:rsid w:val="00430075"/>
    <w:rsid w:val="00432201"/>
    <w:rsid w:val="0043378B"/>
    <w:rsid w:val="00433A8C"/>
    <w:rsid w:val="00437BCF"/>
    <w:rsid w:val="00442EFA"/>
    <w:rsid w:val="004722DA"/>
    <w:rsid w:val="00493DBF"/>
    <w:rsid w:val="004A2DEC"/>
    <w:rsid w:val="004A794F"/>
    <w:rsid w:val="004B3CC6"/>
    <w:rsid w:val="004B4395"/>
    <w:rsid w:val="004B784B"/>
    <w:rsid w:val="004C0D94"/>
    <w:rsid w:val="00502699"/>
    <w:rsid w:val="005049B0"/>
    <w:rsid w:val="00512134"/>
    <w:rsid w:val="00521A3C"/>
    <w:rsid w:val="00524A76"/>
    <w:rsid w:val="0052696B"/>
    <w:rsid w:val="00526DB1"/>
    <w:rsid w:val="00535FC9"/>
    <w:rsid w:val="00554415"/>
    <w:rsid w:val="00561293"/>
    <w:rsid w:val="005824F3"/>
    <w:rsid w:val="00582A89"/>
    <w:rsid w:val="00583F16"/>
    <w:rsid w:val="00590C8B"/>
    <w:rsid w:val="00591094"/>
    <w:rsid w:val="00593243"/>
    <w:rsid w:val="005A5365"/>
    <w:rsid w:val="005A5F64"/>
    <w:rsid w:val="005B55F6"/>
    <w:rsid w:val="005C2978"/>
    <w:rsid w:val="005C616F"/>
    <w:rsid w:val="005D35EF"/>
    <w:rsid w:val="005D646B"/>
    <w:rsid w:val="005D7E88"/>
    <w:rsid w:val="005E15B9"/>
    <w:rsid w:val="005E400A"/>
    <w:rsid w:val="005E6CE0"/>
    <w:rsid w:val="0060384D"/>
    <w:rsid w:val="00603D8E"/>
    <w:rsid w:val="00623843"/>
    <w:rsid w:val="00635CD5"/>
    <w:rsid w:val="006369E3"/>
    <w:rsid w:val="006540CC"/>
    <w:rsid w:val="006636F6"/>
    <w:rsid w:val="006743B0"/>
    <w:rsid w:val="006759D5"/>
    <w:rsid w:val="00680A03"/>
    <w:rsid w:val="00680FAF"/>
    <w:rsid w:val="00695B34"/>
    <w:rsid w:val="006A5770"/>
    <w:rsid w:val="006A64A1"/>
    <w:rsid w:val="006B7D6D"/>
    <w:rsid w:val="006D5F6B"/>
    <w:rsid w:val="006E2EEC"/>
    <w:rsid w:val="006E7F6D"/>
    <w:rsid w:val="0070041B"/>
    <w:rsid w:val="00702C2A"/>
    <w:rsid w:val="00725F9B"/>
    <w:rsid w:val="00733E31"/>
    <w:rsid w:val="007431C0"/>
    <w:rsid w:val="0075555A"/>
    <w:rsid w:val="007665F2"/>
    <w:rsid w:val="00773372"/>
    <w:rsid w:val="00773C00"/>
    <w:rsid w:val="00781E22"/>
    <w:rsid w:val="007A1498"/>
    <w:rsid w:val="007A440E"/>
    <w:rsid w:val="007D012A"/>
    <w:rsid w:val="007D0F6F"/>
    <w:rsid w:val="007D4E92"/>
    <w:rsid w:val="007D7DDB"/>
    <w:rsid w:val="007F5C61"/>
    <w:rsid w:val="00804B87"/>
    <w:rsid w:val="008153AA"/>
    <w:rsid w:val="0081733F"/>
    <w:rsid w:val="0083273B"/>
    <w:rsid w:val="0084311F"/>
    <w:rsid w:val="00853EC0"/>
    <w:rsid w:val="00863CD4"/>
    <w:rsid w:val="00865D38"/>
    <w:rsid w:val="0087464D"/>
    <w:rsid w:val="008B22FF"/>
    <w:rsid w:val="008D6394"/>
    <w:rsid w:val="008E2E3E"/>
    <w:rsid w:val="008F6F3A"/>
    <w:rsid w:val="00902061"/>
    <w:rsid w:val="00903C0A"/>
    <w:rsid w:val="00933194"/>
    <w:rsid w:val="0095032F"/>
    <w:rsid w:val="00961631"/>
    <w:rsid w:val="009736AE"/>
    <w:rsid w:val="009737D8"/>
    <w:rsid w:val="009928C8"/>
    <w:rsid w:val="009C1A3D"/>
    <w:rsid w:val="009C26E2"/>
    <w:rsid w:val="009D707C"/>
    <w:rsid w:val="009D7C2C"/>
    <w:rsid w:val="009E6B08"/>
    <w:rsid w:val="009E6BD4"/>
    <w:rsid w:val="009F580D"/>
    <w:rsid w:val="009F7FCF"/>
    <w:rsid w:val="00A12696"/>
    <w:rsid w:val="00A16440"/>
    <w:rsid w:val="00A3318A"/>
    <w:rsid w:val="00A37C82"/>
    <w:rsid w:val="00A444A0"/>
    <w:rsid w:val="00A47436"/>
    <w:rsid w:val="00A47ED3"/>
    <w:rsid w:val="00A53562"/>
    <w:rsid w:val="00A62CB0"/>
    <w:rsid w:val="00A65C1F"/>
    <w:rsid w:val="00A663E0"/>
    <w:rsid w:val="00A7241B"/>
    <w:rsid w:val="00A83609"/>
    <w:rsid w:val="00A8669F"/>
    <w:rsid w:val="00A95381"/>
    <w:rsid w:val="00AB306B"/>
    <w:rsid w:val="00B0269C"/>
    <w:rsid w:val="00B27E01"/>
    <w:rsid w:val="00B33172"/>
    <w:rsid w:val="00B40643"/>
    <w:rsid w:val="00B467A5"/>
    <w:rsid w:val="00B559AA"/>
    <w:rsid w:val="00B62EF6"/>
    <w:rsid w:val="00B64EC6"/>
    <w:rsid w:val="00B70320"/>
    <w:rsid w:val="00B86A42"/>
    <w:rsid w:val="00B8754B"/>
    <w:rsid w:val="00BB20B9"/>
    <w:rsid w:val="00BB2DFD"/>
    <w:rsid w:val="00BE4FAE"/>
    <w:rsid w:val="00BE6E21"/>
    <w:rsid w:val="00BE718B"/>
    <w:rsid w:val="00BF16E0"/>
    <w:rsid w:val="00C27BD2"/>
    <w:rsid w:val="00C32EF9"/>
    <w:rsid w:val="00C37CA2"/>
    <w:rsid w:val="00C416F8"/>
    <w:rsid w:val="00C420DE"/>
    <w:rsid w:val="00C54B36"/>
    <w:rsid w:val="00C657FD"/>
    <w:rsid w:val="00C662D4"/>
    <w:rsid w:val="00C739B9"/>
    <w:rsid w:val="00CA0E11"/>
    <w:rsid w:val="00CC1CE2"/>
    <w:rsid w:val="00CD4762"/>
    <w:rsid w:val="00CF055F"/>
    <w:rsid w:val="00D048BC"/>
    <w:rsid w:val="00D04CE5"/>
    <w:rsid w:val="00D23552"/>
    <w:rsid w:val="00D246AB"/>
    <w:rsid w:val="00D269FB"/>
    <w:rsid w:val="00D403D3"/>
    <w:rsid w:val="00D43BF2"/>
    <w:rsid w:val="00D54B26"/>
    <w:rsid w:val="00D6226E"/>
    <w:rsid w:val="00D81518"/>
    <w:rsid w:val="00D83E40"/>
    <w:rsid w:val="00D903A6"/>
    <w:rsid w:val="00D951C2"/>
    <w:rsid w:val="00D965DE"/>
    <w:rsid w:val="00DD49AF"/>
    <w:rsid w:val="00DD5F88"/>
    <w:rsid w:val="00DF25F6"/>
    <w:rsid w:val="00E02758"/>
    <w:rsid w:val="00E03EDD"/>
    <w:rsid w:val="00E0487B"/>
    <w:rsid w:val="00E05B75"/>
    <w:rsid w:val="00E119EB"/>
    <w:rsid w:val="00E162D2"/>
    <w:rsid w:val="00E17FDF"/>
    <w:rsid w:val="00E22BA3"/>
    <w:rsid w:val="00E2480F"/>
    <w:rsid w:val="00E25EC8"/>
    <w:rsid w:val="00E41F2E"/>
    <w:rsid w:val="00E64279"/>
    <w:rsid w:val="00E76663"/>
    <w:rsid w:val="00EA09D4"/>
    <w:rsid w:val="00EA3912"/>
    <w:rsid w:val="00EA6DC3"/>
    <w:rsid w:val="00EB3B46"/>
    <w:rsid w:val="00EB55D6"/>
    <w:rsid w:val="00EB6E5C"/>
    <w:rsid w:val="00EC6126"/>
    <w:rsid w:val="00ED1DC9"/>
    <w:rsid w:val="00ED2E9B"/>
    <w:rsid w:val="00ED3E7B"/>
    <w:rsid w:val="00ED478D"/>
    <w:rsid w:val="00ED51E9"/>
    <w:rsid w:val="00EE4241"/>
    <w:rsid w:val="00EF7C15"/>
    <w:rsid w:val="00F04BDC"/>
    <w:rsid w:val="00F05969"/>
    <w:rsid w:val="00F241C9"/>
    <w:rsid w:val="00F405EE"/>
    <w:rsid w:val="00F448CC"/>
    <w:rsid w:val="00F53409"/>
    <w:rsid w:val="00F62187"/>
    <w:rsid w:val="00F74F8A"/>
    <w:rsid w:val="00F7578C"/>
    <w:rsid w:val="00F75D53"/>
    <w:rsid w:val="00FA3433"/>
    <w:rsid w:val="00FB098A"/>
    <w:rsid w:val="00FB2304"/>
    <w:rsid w:val="00FB68D0"/>
    <w:rsid w:val="00FC1229"/>
    <w:rsid w:val="00FC4C16"/>
    <w:rsid w:val="00FD2BDC"/>
    <w:rsid w:val="00FD7782"/>
    <w:rsid w:val="00FE04BB"/>
    <w:rsid w:val="00FE4060"/>
    <w:rsid w:val="00FE43CE"/>
    <w:rsid w:val="00FF45F7"/>
    <w:rsid w:val="00FF5FB4"/>
    <w:rsid w:val="00FF6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20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2061"/>
  </w:style>
  <w:style w:type="paragraph" w:styleId="Footer">
    <w:name w:val="footer"/>
    <w:basedOn w:val="Normal"/>
    <w:link w:val="FooterChar"/>
    <w:uiPriority w:val="99"/>
    <w:unhideWhenUsed/>
    <w:rsid w:val="00902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061"/>
  </w:style>
  <w:style w:type="character" w:styleId="CommentReference">
    <w:name w:val="annotation reference"/>
    <w:basedOn w:val="DefaultParagraphFont"/>
    <w:uiPriority w:val="99"/>
    <w:semiHidden/>
    <w:unhideWhenUsed/>
    <w:rsid w:val="00D903A6"/>
    <w:rPr>
      <w:sz w:val="16"/>
      <w:szCs w:val="16"/>
    </w:rPr>
  </w:style>
  <w:style w:type="paragraph" w:styleId="CommentText">
    <w:name w:val="annotation text"/>
    <w:basedOn w:val="Normal"/>
    <w:link w:val="CommentTextChar"/>
    <w:uiPriority w:val="99"/>
    <w:semiHidden/>
    <w:unhideWhenUsed/>
    <w:rsid w:val="00D903A6"/>
    <w:pPr>
      <w:spacing w:line="240" w:lineRule="auto"/>
    </w:pPr>
    <w:rPr>
      <w:sz w:val="20"/>
      <w:szCs w:val="20"/>
    </w:rPr>
  </w:style>
  <w:style w:type="character" w:customStyle="1" w:styleId="CommentTextChar">
    <w:name w:val="Comment Text Char"/>
    <w:basedOn w:val="DefaultParagraphFont"/>
    <w:link w:val="CommentText"/>
    <w:uiPriority w:val="99"/>
    <w:semiHidden/>
    <w:rsid w:val="00D903A6"/>
    <w:rPr>
      <w:sz w:val="20"/>
      <w:szCs w:val="20"/>
    </w:rPr>
  </w:style>
  <w:style w:type="paragraph" w:styleId="CommentSubject">
    <w:name w:val="annotation subject"/>
    <w:basedOn w:val="CommentText"/>
    <w:next w:val="CommentText"/>
    <w:link w:val="CommentSubjectChar"/>
    <w:uiPriority w:val="99"/>
    <w:semiHidden/>
    <w:unhideWhenUsed/>
    <w:rsid w:val="00D903A6"/>
    <w:rPr>
      <w:b/>
      <w:bCs/>
    </w:rPr>
  </w:style>
  <w:style w:type="character" w:customStyle="1" w:styleId="CommentSubjectChar">
    <w:name w:val="Comment Subject Char"/>
    <w:basedOn w:val="CommentTextChar"/>
    <w:link w:val="CommentSubject"/>
    <w:uiPriority w:val="99"/>
    <w:semiHidden/>
    <w:rsid w:val="00D903A6"/>
    <w:rPr>
      <w:b/>
      <w:bCs/>
      <w:sz w:val="20"/>
      <w:szCs w:val="20"/>
    </w:rPr>
  </w:style>
  <w:style w:type="paragraph" w:styleId="BalloonText">
    <w:name w:val="Balloon Text"/>
    <w:basedOn w:val="Normal"/>
    <w:link w:val="BalloonTextChar"/>
    <w:uiPriority w:val="99"/>
    <w:semiHidden/>
    <w:unhideWhenUsed/>
    <w:rsid w:val="00D90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A6"/>
    <w:rPr>
      <w:rFonts w:ascii="Tahoma" w:hAnsi="Tahoma" w:cs="Tahoma"/>
      <w:sz w:val="16"/>
      <w:szCs w:val="16"/>
    </w:rPr>
  </w:style>
  <w:style w:type="paragraph" w:customStyle="1" w:styleId="Default">
    <w:name w:val="Default"/>
    <w:rsid w:val="00EB3B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442EFA"/>
    <w:rPr>
      <w:rFonts w:ascii="Arial" w:hAnsi="Arial" w:cs="Arial" w:hint="default"/>
      <w:color w:val="000000"/>
      <w:sz w:val="19"/>
      <w:szCs w:val="19"/>
      <w:shd w:val="clear" w:color="auto" w:fill="FFFFFF"/>
    </w:rPr>
  </w:style>
  <w:style w:type="character" w:styleId="Hyperlink">
    <w:name w:val="Hyperlink"/>
    <w:basedOn w:val="DefaultParagraphFont"/>
    <w:rsid w:val="00903C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04/pdf/04-9855.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cfr.gpoaccess.gov/cgi/t/text/text-idx?c=ecfr&amp;sid=dfe54300ba50f04280855dca780fa8a5&amp;tpl=/ecfrbrowse/Title50/50cfr679_main_02.tp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hyperlink" Target="http://www.fakr.noaa.gov/ram/cqp.htm"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corporateservices.noaa.gov/~ames/NAOs/Chap_216/naos_216_100.html" TargetMode="External"/><Relationship Id="rId4" Type="http://schemas.openxmlformats.org/officeDocument/2006/relationships/footnotes" Target="footnote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10</Pages>
  <Words>3533</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pbearden</dc:creator>
  <cp:keywords/>
  <dc:description/>
  <cp:lastModifiedBy>sarah.brabson</cp:lastModifiedBy>
  <cp:revision>17</cp:revision>
  <cp:lastPrinted>2011-07-01T17:33:00Z</cp:lastPrinted>
  <dcterms:created xsi:type="dcterms:W3CDTF">2011-06-28T18:59:00Z</dcterms:created>
  <dcterms:modified xsi:type="dcterms:W3CDTF">2011-10-20T15:44:00Z</dcterms:modified>
</cp:coreProperties>
</file>