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07" w:rsidRDefault="001B2D07" w:rsidP="001B2D07">
      <w:pPr>
        <w:jc w:val="center"/>
        <w:rPr>
          <w:b/>
          <w:bCs/>
          <w:sz w:val="24"/>
          <w:szCs w:val="24"/>
        </w:rPr>
      </w:pPr>
      <w:r>
        <w:rPr>
          <w:b/>
          <w:bCs/>
          <w:sz w:val="24"/>
          <w:szCs w:val="24"/>
        </w:rPr>
        <w:t>SUPPORTING STATEMENT</w:t>
      </w:r>
    </w:p>
    <w:p w:rsidR="001B2D07" w:rsidRDefault="001B2D07" w:rsidP="001B2D07">
      <w:pPr>
        <w:jc w:val="center"/>
        <w:rPr>
          <w:b/>
          <w:bCs/>
          <w:sz w:val="24"/>
          <w:szCs w:val="24"/>
        </w:rPr>
      </w:pPr>
      <w:r w:rsidRPr="0053425F">
        <w:rPr>
          <w:b/>
          <w:bCs/>
          <w:sz w:val="24"/>
          <w:szCs w:val="24"/>
        </w:rPr>
        <w:t>SOCIO-ECONOMIC ASSESSMENT OF SNAPPER GROUPER (SASG) FISHERIES IN THE U.S. CARIBBEAN</w:t>
      </w:r>
    </w:p>
    <w:p w:rsidR="001B2D07" w:rsidRPr="00E25032" w:rsidRDefault="001B2D07" w:rsidP="001B2D07">
      <w:pPr>
        <w:jc w:val="center"/>
        <w:rPr>
          <w:sz w:val="24"/>
          <w:szCs w:val="24"/>
          <w:lang w:val="es-ES"/>
        </w:rPr>
      </w:pPr>
      <w:r w:rsidRPr="00E25032">
        <w:rPr>
          <w:b/>
          <w:bCs/>
          <w:sz w:val="24"/>
          <w:szCs w:val="24"/>
          <w:lang w:val="es-ES"/>
        </w:rPr>
        <w:t>OMB CONTROL NO. 0648-XXXX</w:t>
      </w:r>
    </w:p>
    <w:p w:rsidR="001B2D07" w:rsidRPr="00BD3D5D" w:rsidRDefault="001B2D07" w:rsidP="00D27243">
      <w:pPr>
        <w:rPr>
          <w:b/>
          <w:bCs/>
          <w:sz w:val="24"/>
          <w:szCs w:val="24"/>
          <w:lang w:val="es-PR"/>
        </w:rPr>
      </w:pPr>
    </w:p>
    <w:p w:rsidR="00D27243" w:rsidRDefault="00D27243" w:rsidP="00D27243">
      <w:pPr>
        <w:rPr>
          <w:sz w:val="24"/>
          <w:szCs w:val="24"/>
        </w:rPr>
      </w:pPr>
      <w:r w:rsidRPr="00BD3D5D">
        <w:rPr>
          <w:b/>
          <w:bCs/>
          <w:sz w:val="24"/>
          <w:szCs w:val="24"/>
          <w:lang w:val="es-PR"/>
        </w:rPr>
        <w:t xml:space="preserve">B.  </w:t>
      </w:r>
      <w:r>
        <w:rPr>
          <w:b/>
          <w:bCs/>
          <w:sz w:val="24"/>
          <w:szCs w:val="24"/>
        </w:rPr>
        <w:t>COLLECTION OF INFORMATION EMPLOYING STATISTICAL METHODS</w:t>
      </w:r>
    </w:p>
    <w:p w:rsidR="00D27243" w:rsidRDefault="00D27243" w:rsidP="00D27243">
      <w:pPr>
        <w:rPr>
          <w:sz w:val="24"/>
          <w:szCs w:val="24"/>
        </w:rPr>
      </w:pP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243" w:rsidRPr="004729D9"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729D9">
        <w:rPr>
          <w:sz w:val="24"/>
          <w:szCs w:val="24"/>
        </w:rPr>
        <w:t xml:space="preserve">Because of the absence of federal fishing licenses in the U.S. Caribbean, it is unlikely that the entire population of deep-water snapper fishermen will be known completely. Therefore, the sampling frame was derived from several sources of information pooled together, including licensing reports, catch trip tickets, 2008 Puerto Rico fishermen census conducted by the Puerto Rico’s Department of Natural and Environmental Resources, 2011 U.S. Virgin Islands fishermen census, (conducted by Drs. </w:t>
      </w:r>
      <w:proofErr w:type="spellStart"/>
      <w:r w:rsidRPr="004729D9">
        <w:rPr>
          <w:sz w:val="24"/>
          <w:szCs w:val="24"/>
        </w:rPr>
        <w:t>Kojis</w:t>
      </w:r>
      <w:proofErr w:type="spellEnd"/>
      <w:r w:rsidRPr="004729D9">
        <w:rPr>
          <w:sz w:val="24"/>
          <w:szCs w:val="24"/>
        </w:rPr>
        <w:t xml:space="preserve"> and Quinn (independent contractors- Dr. </w:t>
      </w:r>
      <w:proofErr w:type="spellStart"/>
      <w:r w:rsidRPr="004729D9">
        <w:rPr>
          <w:sz w:val="24"/>
          <w:szCs w:val="24"/>
        </w:rPr>
        <w:t>Kojis</w:t>
      </w:r>
      <w:proofErr w:type="spellEnd"/>
      <w:r w:rsidRPr="004729D9">
        <w:rPr>
          <w:sz w:val="24"/>
          <w:szCs w:val="24"/>
        </w:rPr>
        <w:t xml:space="preserve"> formerly worked at the U.S. Virgin Islands </w:t>
      </w:r>
      <w:r w:rsidRPr="004729D9">
        <w:rPr>
          <w:rStyle w:val="st"/>
          <w:sz w:val="24"/>
          <w:szCs w:val="24"/>
        </w:rPr>
        <w:t>Division of Fish and Wildlife</w:t>
      </w:r>
      <w:r w:rsidRPr="004729D9">
        <w:rPr>
          <w:sz w:val="24"/>
          <w:szCs w:val="24"/>
        </w:rPr>
        <w:t xml:space="preserve">), and key informants, which include federal and commonwealth fishery managers and industry leaders. </w:t>
      </w: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243" w:rsidRPr="0006673B"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sources suggest that there are </w:t>
      </w:r>
      <w:r w:rsidRPr="0006673B">
        <w:rPr>
          <w:sz w:val="24"/>
          <w:szCs w:val="24"/>
        </w:rPr>
        <w:t xml:space="preserve">about </w:t>
      </w:r>
      <w:r>
        <w:rPr>
          <w:sz w:val="24"/>
          <w:szCs w:val="24"/>
        </w:rPr>
        <w:t>15</w:t>
      </w:r>
      <w:r w:rsidRPr="0006673B">
        <w:rPr>
          <w:sz w:val="24"/>
          <w:szCs w:val="24"/>
        </w:rPr>
        <w:t>0 deep-water</w:t>
      </w:r>
      <w:r>
        <w:rPr>
          <w:sz w:val="24"/>
          <w:szCs w:val="24"/>
        </w:rPr>
        <w:t xml:space="preserve"> snapper</w:t>
      </w:r>
      <w:r w:rsidRPr="0006673B">
        <w:rPr>
          <w:sz w:val="24"/>
          <w:szCs w:val="24"/>
        </w:rPr>
        <w:t xml:space="preserve"> fishermen in Puerto Rico and 1</w:t>
      </w:r>
      <w:r>
        <w:rPr>
          <w:sz w:val="24"/>
          <w:szCs w:val="24"/>
        </w:rPr>
        <w:t>0</w:t>
      </w:r>
      <w:r w:rsidRPr="0006673B">
        <w:rPr>
          <w:sz w:val="24"/>
          <w:szCs w:val="24"/>
        </w:rPr>
        <w:t>0 deep-water</w:t>
      </w:r>
      <w:r>
        <w:rPr>
          <w:sz w:val="24"/>
          <w:szCs w:val="24"/>
        </w:rPr>
        <w:t xml:space="preserve"> snapper</w:t>
      </w:r>
      <w:r w:rsidRPr="0006673B">
        <w:rPr>
          <w:sz w:val="24"/>
          <w:szCs w:val="24"/>
        </w:rPr>
        <w:t xml:space="preserve"> fishermen in the U.S. Virgin Islands. Thus, we anticipate conducting about </w:t>
      </w:r>
      <w:r>
        <w:rPr>
          <w:sz w:val="24"/>
          <w:szCs w:val="24"/>
        </w:rPr>
        <w:t>2</w:t>
      </w:r>
      <w:r w:rsidRPr="0006673B">
        <w:rPr>
          <w:sz w:val="24"/>
          <w:szCs w:val="24"/>
        </w:rPr>
        <w:t>50 in-person interviews. The timing of the data collection will be determined by the contractor in consultation with CMFC staff.</w:t>
      </w:r>
    </w:p>
    <w:p w:rsidR="00D27243" w:rsidRPr="0006673B" w:rsidRDefault="00D27243" w:rsidP="00D27243">
      <w:pPr>
        <w:rPr>
          <w:sz w:val="24"/>
          <w:szCs w:val="24"/>
        </w:rPr>
      </w:pPr>
    </w:p>
    <w:p w:rsidR="00BD3D5D"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Although we intend to sample the entire universe of fishermen (250), we expect to complete 200 surveys. This figure assumes an 80% response rate, which was observed in a similar study conducted by Knapp</w:t>
      </w:r>
      <w:r>
        <w:rPr>
          <w:rStyle w:val="FootnoteReference"/>
          <w:sz w:val="24"/>
          <w:szCs w:val="24"/>
        </w:rPr>
        <w:footnoteReference w:id="1"/>
      </w:r>
      <w:r>
        <w:rPr>
          <w:sz w:val="24"/>
          <w:szCs w:val="24"/>
        </w:rPr>
        <w:t xml:space="preserve">.  The study by Knapp surveyed 129 </w:t>
      </w:r>
      <w:smartTag w:uri="urn:schemas-microsoft-com:office:smarttags" w:element="place">
        <w:smartTag w:uri="urn:schemas-microsoft-com:office:smarttags" w:element="State">
          <w:r>
            <w:rPr>
              <w:sz w:val="24"/>
              <w:szCs w:val="24"/>
            </w:rPr>
            <w:t>Alaska</w:t>
          </w:r>
        </w:smartTag>
      </w:smartTag>
      <w:r>
        <w:rPr>
          <w:sz w:val="24"/>
          <w:szCs w:val="24"/>
        </w:rPr>
        <w:t xml:space="preserve"> halibut IFQ shareholders to assess their perceptions about the performance of the program.</w:t>
      </w:r>
    </w:p>
    <w:p w:rsidR="00BD3D5D" w:rsidRDefault="00BD3D5D"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3D5D" w:rsidRDefault="00BD3D5D" w:rsidP="00BD3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Table 1 summarizes the key statistics about the proposed sampling strategy. Our strategy is based on work by </w:t>
      </w:r>
      <w:r w:rsidRPr="00AF625C">
        <w:rPr>
          <w:sz w:val="24"/>
          <w:szCs w:val="24"/>
        </w:rPr>
        <w:t xml:space="preserve">Green (1991) </w:t>
      </w:r>
      <w:r>
        <w:rPr>
          <w:sz w:val="24"/>
          <w:szCs w:val="24"/>
        </w:rPr>
        <w:t xml:space="preserve">who </w:t>
      </w:r>
      <w:r w:rsidRPr="00AF625C">
        <w:rPr>
          <w:sz w:val="24"/>
          <w:szCs w:val="24"/>
        </w:rPr>
        <w:t>provides a comprehensive overview of the procedures used to determine regression sample sizes.</w:t>
      </w:r>
      <w:r w:rsidR="00DE35E6" w:rsidRPr="00DE35E6">
        <w:rPr>
          <w:rStyle w:val="FootnoteReference"/>
          <w:sz w:val="24"/>
          <w:szCs w:val="24"/>
        </w:rPr>
        <w:t xml:space="preserve"> </w:t>
      </w:r>
      <w:r w:rsidR="00DE35E6">
        <w:rPr>
          <w:rStyle w:val="FootnoteReference"/>
          <w:sz w:val="24"/>
          <w:szCs w:val="24"/>
        </w:rPr>
        <w:footnoteReference w:id="2"/>
      </w:r>
      <w:bookmarkStart w:id="0" w:name="_GoBack"/>
      <w:bookmarkEnd w:id="0"/>
      <w:r w:rsidRPr="00AF625C">
        <w:rPr>
          <w:sz w:val="24"/>
          <w:szCs w:val="24"/>
        </w:rPr>
        <w:t xml:space="preserve"> He suggests </w:t>
      </w:r>
      <w:r w:rsidRPr="00AF625C">
        <w:rPr>
          <w:i/>
          <w:iCs/>
          <w:sz w:val="24"/>
          <w:szCs w:val="24"/>
        </w:rPr>
        <w:t xml:space="preserve">N </w:t>
      </w:r>
      <w:r w:rsidRPr="00AF625C">
        <w:rPr>
          <w:sz w:val="24"/>
          <w:szCs w:val="24"/>
        </w:rPr>
        <w:t xml:space="preserve">&gt; 50 + 8 m (where m is the number of </w:t>
      </w:r>
      <w:r>
        <w:rPr>
          <w:sz w:val="24"/>
          <w:szCs w:val="24"/>
        </w:rPr>
        <w:t>independent variable</w:t>
      </w:r>
      <w:r w:rsidRPr="00AF625C">
        <w:rPr>
          <w:sz w:val="24"/>
          <w:szCs w:val="24"/>
        </w:rPr>
        <w:t xml:space="preserve">s) for testing </w:t>
      </w:r>
      <w:proofErr w:type="gramStart"/>
      <w:r w:rsidRPr="00AF625C">
        <w:rPr>
          <w:sz w:val="24"/>
          <w:szCs w:val="24"/>
        </w:rPr>
        <w:t xml:space="preserve">the multiple correlation and </w:t>
      </w:r>
      <w:r w:rsidRPr="00AF625C">
        <w:rPr>
          <w:i/>
          <w:iCs/>
          <w:sz w:val="24"/>
          <w:szCs w:val="24"/>
        </w:rPr>
        <w:t xml:space="preserve">N </w:t>
      </w:r>
      <w:r w:rsidRPr="00AF625C">
        <w:rPr>
          <w:sz w:val="24"/>
          <w:szCs w:val="24"/>
        </w:rPr>
        <w:t>&gt; 104</w:t>
      </w:r>
      <w:proofErr w:type="gramEnd"/>
      <w:r w:rsidRPr="00AF625C">
        <w:rPr>
          <w:sz w:val="24"/>
          <w:szCs w:val="24"/>
        </w:rPr>
        <w:t xml:space="preserve"> + m for testing individual predictors (assuming a medium</w:t>
      </w:r>
      <w:r w:rsidRPr="00AF625C">
        <w:rPr>
          <w:rFonts w:ascii="Cambria Math" w:hAnsi="Cambria Math" w:cs="Cambria Math"/>
          <w:sz w:val="24"/>
          <w:szCs w:val="24"/>
        </w:rPr>
        <w:t>‐</w:t>
      </w:r>
      <w:r w:rsidRPr="00AF625C">
        <w:rPr>
          <w:sz w:val="24"/>
          <w:szCs w:val="24"/>
        </w:rPr>
        <w:t>sized relationship)</w:t>
      </w:r>
      <w:r w:rsidR="00736159">
        <w:rPr>
          <w:sz w:val="24"/>
          <w:szCs w:val="24"/>
        </w:rPr>
        <w:t xml:space="preserve"> and if </w:t>
      </w:r>
      <w:r w:rsidRPr="00AF625C">
        <w:rPr>
          <w:sz w:val="24"/>
          <w:szCs w:val="24"/>
        </w:rPr>
        <w:t xml:space="preserve">testing both, </w:t>
      </w:r>
      <w:r w:rsidR="00736159">
        <w:rPr>
          <w:sz w:val="24"/>
          <w:szCs w:val="24"/>
        </w:rPr>
        <w:t xml:space="preserve">to </w:t>
      </w:r>
      <w:r w:rsidRPr="00AF625C">
        <w:rPr>
          <w:sz w:val="24"/>
          <w:szCs w:val="24"/>
        </w:rPr>
        <w:t>use the larger sample size</w:t>
      </w:r>
      <w:r>
        <w:rPr>
          <w:sz w:val="24"/>
          <w:szCs w:val="24"/>
        </w:rPr>
        <w:t>. Given our budget constraints, we anticipated multiple correlations for both jurisdictions and regressions for at least Puerto Rico.</w:t>
      </w:r>
    </w:p>
    <w:p w:rsidR="00700DF5" w:rsidRDefault="00700DF5" w:rsidP="00D27243">
      <w:pPr>
        <w:pStyle w:val="BodyText3"/>
        <w:rPr>
          <w:b/>
          <w:sz w:val="24"/>
        </w:rPr>
      </w:pPr>
    </w:p>
    <w:p w:rsidR="00700DF5" w:rsidRDefault="00700DF5">
      <w:pPr>
        <w:widowControl/>
        <w:autoSpaceDE/>
        <w:autoSpaceDN/>
        <w:adjustRightInd/>
        <w:spacing w:after="200" w:line="276" w:lineRule="auto"/>
        <w:rPr>
          <w:b/>
          <w:sz w:val="24"/>
          <w:szCs w:val="16"/>
        </w:rPr>
      </w:pPr>
      <w:r>
        <w:rPr>
          <w:b/>
          <w:sz w:val="24"/>
        </w:rPr>
        <w:br w:type="page"/>
      </w:r>
    </w:p>
    <w:p w:rsidR="00D27243" w:rsidRDefault="00D27243" w:rsidP="00D27243">
      <w:pPr>
        <w:pStyle w:val="BodyText3"/>
        <w:rPr>
          <w:b/>
          <w:sz w:val="24"/>
        </w:rPr>
      </w:pPr>
      <w:r w:rsidRPr="00F728F3">
        <w:rPr>
          <w:b/>
          <w:sz w:val="24"/>
        </w:rPr>
        <w:lastRenderedPageBreak/>
        <w:t xml:space="preserve">Table </w:t>
      </w:r>
      <w:r>
        <w:rPr>
          <w:b/>
          <w:sz w:val="24"/>
        </w:rPr>
        <w:t>1: Sampling strategy for deep-water snapper-grouper fishermen</w:t>
      </w:r>
      <w:r w:rsidRPr="00F728F3">
        <w:rPr>
          <w:b/>
          <w:sz w:val="24"/>
        </w:rPr>
        <w:t>.</w:t>
      </w:r>
    </w:p>
    <w:p w:rsidR="00D27243" w:rsidRDefault="00D27243" w:rsidP="00D27243">
      <w:pPr>
        <w:pStyle w:val="BodyText3"/>
        <w:rPr>
          <w:b/>
          <w:sz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8"/>
        <w:gridCol w:w="1596"/>
        <w:gridCol w:w="1596"/>
        <w:gridCol w:w="1596"/>
        <w:gridCol w:w="1596"/>
      </w:tblGrid>
      <w:tr w:rsidR="00D27243" w:rsidRPr="00AD7952" w:rsidTr="001B2D07">
        <w:tc>
          <w:tcPr>
            <w:tcW w:w="1938"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Geographical Area</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Population size</w:t>
            </w:r>
          </w:p>
          <w:p w:rsidR="00D27243" w:rsidRPr="001B2D07" w:rsidRDefault="00D27243" w:rsidP="00814EEC">
            <w:pPr>
              <w:rPr>
                <w:rFonts w:ascii="Arial" w:hAnsi="Arial" w:cs="Arial"/>
                <w:sz w:val="18"/>
                <w:szCs w:val="18"/>
              </w:rPr>
            </w:pPr>
            <w:r w:rsidRPr="001B2D07">
              <w:rPr>
                <w:rFonts w:ascii="Arial" w:hAnsi="Arial" w:cs="Arial"/>
                <w:sz w:val="18"/>
                <w:szCs w:val="18"/>
              </w:rPr>
              <w:t>(estimated)</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Target Sample</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Expected Response Rate</w:t>
            </w:r>
          </w:p>
        </w:tc>
        <w:tc>
          <w:tcPr>
            <w:tcW w:w="1596" w:type="dxa"/>
          </w:tcPr>
          <w:p w:rsidR="00D27243" w:rsidRPr="001B2D07" w:rsidRDefault="00D27243" w:rsidP="00814EEC">
            <w:pPr>
              <w:rPr>
                <w:rFonts w:ascii="Arial" w:hAnsi="Arial" w:cs="Arial"/>
                <w:sz w:val="18"/>
                <w:szCs w:val="18"/>
              </w:rPr>
            </w:pPr>
            <w:r w:rsidRPr="001B2D07">
              <w:rPr>
                <w:rFonts w:ascii="Arial" w:hAnsi="Arial" w:cs="Arial"/>
                <w:sz w:val="18"/>
                <w:szCs w:val="18"/>
              </w:rPr>
              <w:t>Anticipated sample*</w:t>
            </w:r>
          </w:p>
        </w:tc>
      </w:tr>
      <w:tr w:rsidR="00D27243" w:rsidRPr="00AD7952" w:rsidTr="001B2D07">
        <w:tc>
          <w:tcPr>
            <w:tcW w:w="1938" w:type="dxa"/>
            <w:vAlign w:val="center"/>
          </w:tcPr>
          <w:p w:rsidR="00D27243" w:rsidRPr="001B2D07" w:rsidRDefault="00D27243" w:rsidP="00814EEC">
            <w:pPr>
              <w:rPr>
                <w:rFonts w:ascii="Arial" w:hAnsi="Arial" w:cs="Arial"/>
                <w:sz w:val="18"/>
                <w:szCs w:val="18"/>
              </w:rPr>
            </w:pPr>
          </w:p>
        </w:tc>
        <w:tc>
          <w:tcPr>
            <w:tcW w:w="1596" w:type="dxa"/>
            <w:vAlign w:val="center"/>
          </w:tcPr>
          <w:p w:rsidR="00D27243" w:rsidRPr="001B2D07" w:rsidRDefault="00D27243" w:rsidP="00814EEC">
            <w:pPr>
              <w:rPr>
                <w:rFonts w:ascii="Arial" w:hAnsi="Arial" w:cs="Arial"/>
                <w:sz w:val="18"/>
                <w:szCs w:val="18"/>
              </w:rPr>
            </w:pPr>
          </w:p>
        </w:tc>
        <w:tc>
          <w:tcPr>
            <w:tcW w:w="1596" w:type="dxa"/>
            <w:vAlign w:val="center"/>
          </w:tcPr>
          <w:p w:rsidR="00D27243" w:rsidRPr="001B2D07" w:rsidRDefault="00D27243" w:rsidP="00814EEC">
            <w:pPr>
              <w:rPr>
                <w:rFonts w:ascii="Arial" w:hAnsi="Arial" w:cs="Arial"/>
                <w:sz w:val="18"/>
                <w:szCs w:val="18"/>
              </w:rPr>
            </w:pPr>
          </w:p>
        </w:tc>
        <w:tc>
          <w:tcPr>
            <w:tcW w:w="1596" w:type="dxa"/>
            <w:vAlign w:val="center"/>
          </w:tcPr>
          <w:p w:rsidR="00D27243" w:rsidRPr="001B2D07" w:rsidRDefault="00D27243" w:rsidP="00814EEC">
            <w:pPr>
              <w:rPr>
                <w:rFonts w:ascii="Arial" w:hAnsi="Arial" w:cs="Arial"/>
                <w:sz w:val="18"/>
                <w:szCs w:val="18"/>
              </w:rPr>
            </w:pPr>
          </w:p>
        </w:tc>
        <w:tc>
          <w:tcPr>
            <w:tcW w:w="1596" w:type="dxa"/>
            <w:vAlign w:val="center"/>
          </w:tcPr>
          <w:p w:rsidR="00D27243" w:rsidRPr="001B2D07" w:rsidRDefault="00D27243" w:rsidP="00814EEC">
            <w:pPr>
              <w:rPr>
                <w:rFonts w:ascii="Arial" w:hAnsi="Arial" w:cs="Arial"/>
                <w:sz w:val="18"/>
                <w:szCs w:val="18"/>
              </w:rPr>
            </w:pPr>
          </w:p>
        </w:tc>
      </w:tr>
      <w:tr w:rsidR="00D27243" w:rsidRPr="00AD7952" w:rsidTr="001B2D07">
        <w:tc>
          <w:tcPr>
            <w:tcW w:w="1938"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PR deep-snapper fishermen</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150</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150</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80%</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120</w:t>
            </w:r>
          </w:p>
        </w:tc>
      </w:tr>
      <w:tr w:rsidR="00D27243" w:rsidRPr="00AD7952" w:rsidTr="001B2D07">
        <w:trPr>
          <w:trHeight w:val="242"/>
        </w:trPr>
        <w:tc>
          <w:tcPr>
            <w:tcW w:w="1938"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USVI deep-snapper fishermen</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100</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100</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80%</w:t>
            </w:r>
          </w:p>
        </w:tc>
        <w:tc>
          <w:tcPr>
            <w:tcW w:w="1596" w:type="dxa"/>
            <w:vAlign w:val="center"/>
          </w:tcPr>
          <w:p w:rsidR="00D27243" w:rsidRPr="001B2D07" w:rsidRDefault="00D27243" w:rsidP="00814EEC">
            <w:pPr>
              <w:rPr>
                <w:rFonts w:ascii="Arial" w:hAnsi="Arial" w:cs="Arial"/>
                <w:sz w:val="18"/>
                <w:szCs w:val="18"/>
              </w:rPr>
            </w:pPr>
            <w:r w:rsidRPr="001B2D07">
              <w:rPr>
                <w:rFonts w:ascii="Arial" w:hAnsi="Arial" w:cs="Arial"/>
                <w:sz w:val="18"/>
                <w:szCs w:val="18"/>
              </w:rPr>
              <w:t>80</w:t>
            </w:r>
          </w:p>
        </w:tc>
      </w:tr>
      <w:tr w:rsidR="00D27243" w:rsidRPr="00AD7952" w:rsidTr="001B2D07">
        <w:trPr>
          <w:trHeight w:val="278"/>
        </w:trPr>
        <w:tc>
          <w:tcPr>
            <w:tcW w:w="1938" w:type="dxa"/>
            <w:vAlign w:val="center"/>
          </w:tcPr>
          <w:p w:rsidR="00D27243" w:rsidRPr="001B2D07" w:rsidRDefault="00D27243" w:rsidP="00814EEC">
            <w:pPr>
              <w:rPr>
                <w:rFonts w:ascii="Arial" w:hAnsi="Arial" w:cs="Arial"/>
                <w:b/>
                <w:sz w:val="18"/>
                <w:szCs w:val="18"/>
              </w:rPr>
            </w:pPr>
            <w:r w:rsidRPr="001B2D07">
              <w:rPr>
                <w:rFonts w:ascii="Arial" w:hAnsi="Arial" w:cs="Arial"/>
                <w:b/>
                <w:sz w:val="18"/>
                <w:szCs w:val="18"/>
              </w:rPr>
              <w:t>Total</w:t>
            </w:r>
          </w:p>
        </w:tc>
        <w:tc>
          <w:tcPr>
            <w:tcW w:w="1596" w:type="dxa"/>
            <w:vAlign w:val="center"/>
          </w:tcPr>
          <w:p w:rsidR="00D27243" w:rsidRPr="001B2D07" w:rsidRDefault="00D27243" w:rsidP="00814EEC">
            <w:pPr>
              <w:rPr>
                <w:rFonts w:ascii="Arial" w:hAnsi="Arial" w:cs="Arial"/>
                <w:b/>
                <w:sz w:val="18"/>
                <w:szCs w:val="18"/>
              </w:rPr>
            </w:pPr>
            <w:r w:rsidRPr="001B2D07">
              <w:rPr>
                <w:rFonts w:ascii="Arial" w:hAnsi="Arial" w:cs="Arial"/>
                <w:b/>
                <w:sz w:val="18"/>
                <w:szCs w:val="18"/>
              </w:rPr>
              <w:t>250</w:t>
            </w:r>
          </w:p>
        </w:tc>
        <w:tc>
          <w:tcPr>
            <w:tcW w:w="1596" w:type="dxa"/>
            <w:vAlign w:val="center"/>
          </w:tcPr>
          <w:p w:rsidR="00D27243" w:rsidRPr="001B2D07" w:rsidRDefault="00D27243" w:rsidP="00814EEC">
            <w:pPr>
              <w:rPr>
                <w:rFonts w:ascii="Arial" w:hAnsi="Arial" w:cs="Arial"/>
                <w:b/>
                <w:sz w:val="18"/>
                <w:szCs w:val="18"/>
              </w:rPr>
            </w:pPr>
            <w:r w:rsidRPr="001B2D07">
              <w:rPr>
                <w:rFonts w:ascii="Arial" w:hAnsi="Arial" w:cs="Arial"/>
                <w:b/>
                <w:sz w:val="18"/>
                <w:szCs w:val="18"/>
              </w:rPr>
              <w:t>250</w:t>
            </w:r>
          </w:p>
        </w:tc>
        <w:tc>
          <w:tcPr>
            <w:tcW w:w="1596" w:type="dxa"/>
            <w:vAlign w:val="center"/>
          </w:tcPr>
          <w:p w:rsidR="00D27243" w:rsidRPr="001B2D07" w:rsidRDefault="00D27243" w:rsidP="00814EEC">
            <w:pPr>
              <w:rPr>
                <w:rFonts w:ascii="Arial" w:hAnsi="Arial" w:cs="Arial"/>
                <w:b/>
                <w:sz w:val="18"/>
                <w:szCs w:val="18"/>
              </w:rPr>
            </w:pPr>
          </w:p>
        </w:tc>
        <w:tc>
          <w:tcPr>
            <w:tcW w:w="1596" w:type="dxa"/>
            <w:vAlign w:val="center"/>
          </w:tcPr>
          <w:p w:rsidR="00D27243" w:rsidRPr="001B2D07" w:rsidRDefault="00D27243" w:rsidP="00814EEC">
            <w:pPr>
              <w:rPr>
                <w:rFonts w:ascii="Arial" w:hAnsi="Arial" w:cs="Arial"/>
                <w:b/>
                <w:sz w:val="18"/>
                <w:szCs w:val="18"/>
              </w:rPr>
            </w:pPr>
            <w:r w:rsidRPr="001B2D07">
              <w:rPr>
                <w:rFonts w:ascii="Arial" w:hAnsi="Arial" w:cs="Arial"/>
                <w:b/>
                <w:sz w:val="18"/>
                <w:szCs w:val="18"/>
              </w:rPr>
              <w:t>200</w:t>
            </w:r>
          </w:p>
        </w:tc>
      </w:tr>
    </w:tbl>
    <w:p w:rsidR="00736159" w:rsidRDefault="00736159"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243" w:rsidRDefault="00D27243" w:rsidP="00D27243">
      <w:pPr>
        <w:rPr>
          <w:sz w:val="24"/>
          <w:szCs w:val="24"/>
        </w:rPr>
      </w:pPr>
      <w:r w:rsidRPr="009272FF">
        <w:rPr>
          <w:sz w:val="24"/>
          <w:szCs w:val="24"/>
        </w:rPr>
        <w:t>One</w:t>
      </w:r>
      <w:r>
        <w:rPr>
          <w:sz w:val="24"/>
          <w:szCs w:val="24"/>
        </w:rPr>
        <w:t>-</w:t>
      </w:r>
      <w:r w:rsidRPr="009272FF">
        <w:rPr>
          <w:sz w:val="24"/>
          <w:szCs w:val="24"/>
        </w:rPr>
        <w:t>time,</w:t>
      </w:r>
      <w:r>
        <w:rPr>
          <w:sz w:val="24"/>
          <w:szCs w:val="24"/>
        </w:rPr>
        <w:t xml:space="preserve"> in-person,</w:t>
      </w:r>
      <w:r w:rsidRPr="009272FF">
        <w:rPr>
          <w:sz w:val="24"/>
          <w:szCs w:val="24"/>
        </w:rPr>
        <w:t xml:space="preserve"> voluntary surveys will be used to elicit information on the </w:t>
      </w:r>
      <w:r>
        <w:rPr>
          <w:sz w:val="24"/>
          <w:szCs w:val="24"/>
        </w:rPr>
        <w:t>socio-economic</w:t>
      </w:r>
      <w:r w:rsidRPr="009272FF">
        <w:rPr>
          <w:sz w:val="24"/>
          <w:szCs w:val="24"/>
        </w:rPr>
        <w:t xml:space="preserve"> performance </w:t>
      </w:r>
      <w:r>
        <w:rPr>
          <w:sz w:val="24"/>
          <w:szCs w:val="24"/>
        </w:rPr>
        <w:t>of the d</w:t>
      </w:r>
      <w:r w:rsidRPr="003B2501">
        <w:rPr>
          <w:sz w:val="24"/>
          <w:szCs w:val="24"/>
        </w:rPr>
        <w:t>eep-</w:t>
      </w:r>
      <w:r>
        <w:rPr>
          <w:sz w:val="24"/>
          <w:szCs w:val="24"/>
        </w:rPr>
        <w:t>water s</w:t>
      </w:r>
      <w:r w:rsidRPr="003B2501">
        <w:rPr>
          <w:sz w:val="24"/>
          <w:szCs w:val="24"/>
        </w:rPr>
        <w:t xml:space="preserve">napper </w:t>
      </w:r>
      <w:r>
        <w:rPr>
          <w:sz w:val="24"/>
          <w:szCs w:val="24"/>
        </w:rPr>
        <w:t>f</w:t>
      </w:r>
      <w:r w:rsidRPr="003B2501">
        <w:rPr>
          <w:sz w:val="24"/>
          <w:szCs w:val="24"/>
        </w:rPr>
        <w:t>ishery</w:t>
      </w:r>
      <w:r w:rsidRPr="009272FF">
        <w:rPr>
          <w:sz w:val="24"/>
          <w:szCs w:val="24"/>
        </w:rPr>
        <w:t xml:space="preserve">. The list of shareholders will be provided by NMFS to the contractor. The contractor will attempt to survey the </w:t>
      </w:r>
      <w:r>
        <w:rPr>
          <w:sz w:val="24"/>
          <w:szCs w:val="24"/>
        </w:rPr>
        <w:t xml:space="preserve">entire </w:t>
      </w:r>
      <w:r w:rsidRPr="009272FF">
        <w:rPr>
          <w:sz w:val="24"/>
          <w:szCs w:val="24"/>
        </w:rPr>
        <w:t>universe of shareholders</w:t>
      </w:r>
      <w:r>
        <w:rPr>
          <w:sz w:val="24"/>
          <w:szCs w:val="24"/>
        </w:rPr>
        <w:t xml:space="preserve"> provided. Because the universe of fishermen is not completely known due to the absence </w:t>
      </w:r>
      <w:r w:rsidR="001B2D07">
        <w:rPr>
          <w:sz w:val="24"/>
          <w:szCs w:val="24"/>
        </w:rPr>
        <w:t xml:space="preserve">of </w:t>
      </w:r>
      <w:r>
        <w:rPr>
          <w:sz w:val="24"/>
          <w:szCs w:val="24"/>
        </w:rPr>
        <w:t>federal fishing licenses, the contractor will ask key informants and/or active fishermen to help identify additional deep-water snapper fishermen not present in the list.</w:t>
      </w:r>
    </w:p>
    <w:p w:rsidR="00D27243" w:rsidRDefault="00D27243" w:rsidP="00D27243">
      <w:pPr>
        <w:rPr>
          <w:sz w:val="24"/>
          <w:szCs w:val="24"/>
        </w:rPr>
      </w:pPr>
    </w:p>
    <w:p w:rsidR="00D27243" w:rsidRPr="008767B6" w:rsidRDefault="00D27243" w:rsidP="00D27243">
      <w:pPr>
        <w:rPr>
          <w:sz w:val="24"/>
          <w:szCs w:val="24"/>
        </w:rPr>
      </w:pPr>
      <w:r w:rsidRPr="008767B6">
        <w:rPr>
          <w:sz w:val="24"/>
          <w:szCs w:val="24"/>
        </w:rPr>
        <w:t>The data collected will be used for descriptive and analytical purposes. Descriptive uses include the estimation of indexes of community dependence. The procedures for estimating these indexes will be based on the standard equations available in various statistical texts such as Thompson (1992)</w:t>
      </w:r>
      <w:r w:rsidRPr="008767B6">
        <w:rPr>
          <w:rStyle w:val="FootnoteReference"/>
          <w:sz w:val="24"/>
          <w:szCs w:val="24"/>
        </w:rPr>
        <w:footnoteReference w:id="3"/>
      </w:r>
      <w:r w:rsidRPr="008767B6">
        <w:rPr>
          <w:sz w:val="24"/>
          <w:szCs w:val="24"/>
        </w:rPr>
        <w:t>.</w:t>
      </w:r>
      <w:r w:rsidRPr="008767B6">
        <w:rPr>
          <w:rStyle w:val="FootnoteReference"/>
          <w:sz w:val="24"/>
          <w:szCs w:val="24"/>
        </w:rPr>
        <w:t xml:space="preserve"> </w:t>
      </w: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243" w:rsidRPr="00A563A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563A3">
        <w:rPr>
          <w:sz w:val="24"/>
          <w:szCs w:val="24"/>
        </w:rPr>
        <w:t xml:space="preserve">Several steps will be taken to maximize the response rates. First, the contractor was selected for </w:t>
      </w:r>
      <w:r>
        <w:rPr>
          <w:sz w:val="24"/>
          <w:szCs w:val="24"/>
        </w:rPr>
        <w:t xml:space="preserve">her </w:t>
      </w:r>
      <w:r w:rsidRPr="00A563A3">
        <w:rPr>
          <w:sz w:val="24"/>
          <w:szCs w:val="24"/>
        </w:rPr>
        <w:t xml:space="preserve">survey experience and familiarity with local fishing communities and practices. Second, the contractor will conduct in-person surveys at times and places that are convenient to fishermen. This will minimize any potential disruption to fishermen’s fishing practices. Third, the contractor will work with local authorities to ensure that the wording facilitates understanding and reflects local idioms. Last, surveys will be available in English and Spanish to further reduce any burden to non-English speaking fishermen. </w:t>
      </w: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243" w:rsidRPr="00C94449"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94449">
        <w:rPr>
          <w:sz w:val="24"/>
          <w:szCs w:val="24"/>
        </w:rPr>
        <w:t>To deal with non-response we will use call-backs as describe</w:t>
      </w:r>
      <w:r>
        <w:rPr>
          <w:sz w:val="24"/>
          <w:szCs w:val="24"/>
        </w:rPr>
        <w:t>d</w:t>
      </w:r>
      <w:r w:rsidRPr="00C94449">
        <w:rPr>
          <w:sz w:val="24"/>
          <w:szCs w:val="24"/>
        </w:rPr>
        <w:t xml:space="preserve"> in textbooks such as </w:t>
      </w:r>
      <w:proofErr w:type="spellStart"/>
      <w:r w:rsidRPr="00C94449">
        <w:rPr>
          <w:sz w:val="24"/>
          <w:szCs w:val="24"/>
        </w:rPr>
        <w:t>Lohr’s</w:t>
      </w:r>
      <w:proofErr w:type="spellEnd"/>
      <w:r w:rsidRPr="00C94449">
        <w:rPr>
          <w:sz w:val="24"/>
          <w:szCs w:val="24"/>
        </w:rPr>
        <w:t xml:space="preserve"> (see, </w:t>
      </w:r>
      <w:proofErr w:type="spellStart"/>
      <w:r w:rsidRPr="00C94449">
        <w:rPr>
          <w:sz w:val="24"/>
          <w:szCs w:val="24"/>
        </w:rPr>
        <w:t>Lohr’s</w:t>
      </w:r>
      <w:proofErr w:type="spellEnd"/>
      <w:r w:rsidRPr="00C94449">
        <w:rPr>
          <w:sz w:val="24"/>
          <w:szCs w:val="24"/>
        </w:rPr>
        <w:t xml:space="preserve">, S., 1998. Sampling: design and analysis). </w:t>
      </w: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addition to sharing the survey instrument with NMFS and Caribbean Fishery Management staff (CFMC) staff, the contractor</w:t>
      </w:r>
      <w:r w:rsidRPr="001A4677">
        <w:rPr>
          <w:sz w:val="24"/>
          <w:szCs w:val="24"/>
        </w:rPr>
        <w:t xml:space="preserve"> </w:t>
      </w:r>
      <w:r>
        <w:rPr>
          <w:sz w:val="24"/>
          <w:szCs w:val="24"/>
        </w:rPr>
        <w:t>made it available to the members of the CFMC Catch Share Advisory Panel, which is made up with active deep-water snapper fishermen. Members of NMFS, CFMC and the advisory panel on catch shares provided suggestions to improve the content and clarity of the questions.</w:t>
      </w: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27243"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D27243" w:rsidRDefault="00D27243" w:rsidP="00D27243">
      <w:pPr>
        <w:rPr>
          <w:sz w:val="24"/>
          <w:szCs w:val="24"/>
        </w:rPr>
      </w:pPr>
    </w:p>
    <w:p w:rsidR="00D27243" w:rsidRPr="00901C4F" w:rsidRDefault="00D27243" w:rsidP="00D27243">
      <w:pPr>
        <w:rPr>
          <w:sz w:val="24"/>
          <w:szCs w:val="24"/>
        </w:rPr>
      </w:pPr>
      <w:r>
        <w:rPr>
          <w:sz w:val="24"/>
        </w:rPr>
        <w:t xml:space="preserve">Ms. </w:t>
      </w:r>
      <w:proofErr w:type="spellStart"/>
      <w:r>
        <w:rPr>
          <w:sz w:val="24"/>
        </w:rPr>
        <w:t>Flavia</w:t>
      </w:r>
      <w:proofErr w:type="spellEnd"/>
      <w:r>
        <w:rPr>
          <w:sz w:val="24"/>
        </w:rPr>
        <w:t xml:space="preserve"> </w:t>
      </w:r>
      <w:proofErr w:type="spellStart"/>
      <w:r>
        <w:rPr>
          <w:sz w:val="24"/>
        </w:rPr>
        <w:t>Tonioli</w:t>
      </w:r>
      <w:proofErr w:type="spellEnd"/>
      <w:r w:rsidRPr="00DF45A1">
        <w:rPr>
          <w:sz w:val="24"/>
        </w:rPr>
        <w:t xml:space="preserve"> from </w:t>
      </w:r>
      <w:r>
        <w:rPr>
          <w:sz w:val="24"/>
        </w:rPr>
        <w:t xml:space="preserve">the </w:t>
      </w:r>
      <w:r w:rsidRPr="003108E5">
        <w:rPr>
          <w:sz w:val="24"/>
        </w:rPr>
        <w:t xml:space="preserve">Cooperative Institute for Marine </w:t>
      </w:r>
      <w:r>
        <w:rPr>
          <w:sz w:val="24"/>
        </w:rPr>
        <w:t>and Atmospheric Studies (CIMAS)</w:t>
      </w:r>
      <w:r>
        <w:rPr>
          <w:sz w:val="24"/>
          <w:szCs w:val="24"/>
        </w:rPr>
        <w:t xml:space="preserve"> was</w:t>
      </w:r>
      <w:r w:rsidRPr="00901C4F">
        <w:rPr>
          <w:sz w:val="24"/>
          <w:szCs w:val="24"/>
        </w:rPr>
        <w:t xml:space="preserve"> hired to design a statistically sound data collection</w:t>
      </w:r>
      <w:r>
        <w:rPr>
          <w:sz w:val="24"/>
          <w:szCs w:val="24"/>
        </w:rPr>
        <w:t xml:space="preserve"> strategy,</w:t>
      </w:r>
      <w:r w:rsidRPr="00901C4F">
        <w:rPr>
          <w:sz w:val="24"/>
          <w:szCs w:val="24"/>
        </w:rPr>
        <w:t xml:space="preserve"> conduct</w:t>
      </w:r>
      <w:r>
        <w:rPr>
          <w:sz w:val="24"/>
          <w:szCs w:val="24"/>
        </w:rPr>
        <w:t xml:space="preserve"> the</w:t>
      </w:r>
      <w:r w:rsidRPr="00901C4F">
        <w:rPr>
          <w:sz w:val="24"/>
          <w:szCs w:val="24"/>
        </w:rPr>
        <w:t xml:space="preserve"> </w:t>
      </w:r>
      <w:r>
        <w:rPr>
          <w:sz w:val="24"/>
          <w:szCs w:val="24"/>
        </w:rPr>
        <w:t xml:space="preserve">data </w:t>
      </w:r>
      <w:r w:rsidRPr="00901C4F">
        <w:rPr>
          <w:sz w:val="24"/>
          <w:szCs w:val="24"/>
        </w:rPr>
        <w:t>collect</w:t>
      </w:r>
      <w:r>
        <w:rPr>
          <w:sz w:val="24"/>
          <w:szCs w:val="24"/>
        </w:rPr>
        <w:t>ion</w:t>
      </w:r>
      <w:r w:rsidRPr="00901C4F">
        <w:rPr>
          <w:sz w:val="24"/>
          <w:szCs w:val="24"/>
        </w:rPr>
        <w:t xml:space="preserve"> and analyze</w:t>
      </w:r>
      <w:r>
        <w:rPr>
          <w:sz w:val="24"/>
          <w:szCs w:val="24"/>
        </w:rPr>
        <w:t xml:space="preserve"> the survey information</w:t>
      </w:r>
      <w:r w:rsidRPr="00901C4F">
        <w:rPr>
          <w:sz w:val="24"/>
          <w:szCs w:val="24"/>
        </w:rPr>
        <w:t xml:space="preserve"> for the </w:t>
      </w:r>
      <w:r>
        <w:rPr>
          <w:sz w:val="24"/>
          <w:szCs w:val="24"/>
        </w:rPr>
        <w:t>NMFS</w:t>
      </w:r>
      <w:r w:rsidRPr="00901C4F">
        <w:rPr>
          <w:sz w:val="24"/>
          <w:szCs w:val="24"/>
        </w:rPr>
        <w:t>.</w:t>
      </w:r>
      <w:r>
        <w:rPr>
          <w:sz w:val="24"/>
          <w:szCs w:val="24"/>
        </w:rPr>
        <w:t xml:space="preserve"> Ms. </w:t>
      </w:r>
      <w:proofErr w:type="spellStart"/>
      <w:r>
        <w:rPr>
          <w:sz w:val="24"/>
          <w:szCs w:val="24"/>
        </w:rPr>
        <w:t>Tonioli</w:t>
      </w:r>
      <w:proofErr w:type="spellEnd"/>
      <w:r>
        <w:rPr>
          <w:sz w:val="24"/>
          <w:szCs w:val="24"/>
        </w:rPr>
        <w:t xml:space="preserve"> can be reached at 305-361-4567.</w:t>
      </w:r>
    </w:p>
    <w:p w:rsidR="00D27243" w:rsidRPr="00901C4F" w:rsidRDefault="00D27243" w:rsidP="00D27243">
      <w:pPr>
        <w:rPr>
          <w:sz w:val="24"/>
          <w:szCs w:val="24"/>
        </w:rPr>
      </w:pPr>
    </w:p>
    <w:p w:rsidR="00F3765D" w:rsidRDefault="00D27243" w:rsidP="00D27243">
      <w:r>
        <w:rPr>
          <w:sz w:val="24"/>
          <w:szCs w:val="24"/>
        </w:rPr>
        <w:t>Dr</w:t>
      </w:r>
      <w:r w:rsidRPr="00901C4F">
        <w:rPr>
          <w:sz w:val="24"/>
          <w:szCs w:val="24"/>
        </w:rPr>
        <w:t xml:space="preserve">. </w:t>
      </w:r>
      <w:r>
        <w:rPr>
          <w:sz w:val="24"/>
          <w:szCs w:val="24"/>
        </w:rPr>
        <w:t>Juan Agar, a social scientist employed by the NMFS, was also</w:t>
      </w:r>
      <w:r w:rsidRPr="00901C4F">
        <w:rPr>
          <w:sz w:val="24"/>
          <w:szCs w:val="24"/>
        </w:rPr>
        <w:t xml:space="preserve"> consulted on the statistical design. NMFS social scientists </w:t>
      </w:r>
      <w:r>
        <w:rPr>
          <w:sz w:val="24"/>
          <w:szCs w:val="24"/>
        </w:rPr>
        <w:t xml:space="preserve">and </w:t>
      </w:r>
      <w:r w:rsidRPr="00E256BA">
        <w:rPr>
          <w:sz w:val="24"/>
          <w:szCs w:val="24"/>
        </w:rPr>
        <w:t>CFMC staff will use the data for regulatory analysis.</w:t>
      </w:r>
      <w:r>
        <w:rPr>
          <w:sz w:val="24"/>
          <w:szCs w:val="24"/>
        </w:rPr>
        <w:t xml:space="preserve"> </w:t>
      </w:r>
    </w:p>
    <w:sectPr w:rsidR="00F3765D" w:rsidSect="00F3765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189" w:rsidRDefault="00311189" w:rsidP="00D27243">
      <w:r>
        <w:separator/>
      </w:r>
    </w:p>
  </w:endnote>
  <w:endnote w:type="continuationSeparator" w:id="0">
    <w:p w:rsidR="00311189" w:rsidRDefault="00311189" w:rsidP="00D272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189" w:rsidRDefault="00311189" w:rsidP="00D27243">
      <w:r>
        <w:separator/>
      </w:r>
    </w:p>
  </w:footnote>
  <w:footnote w:type="continuationSeparator" w:id="0">
    <w:p w:rsidR="00311189" w:rsidRDefault="00311189" w:rsidP="00D27243">
      <w:r>
        <w:continuationSeparator/>
      </w:r>
    </w:p>
  </w:footnote>
  <w:footnote w:id="1">
    <w:p w:rsidR="00D27243" w:rsidRPr="002D19E0" w:rsidRDefault="00D27243" w:rsidP="00D27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otnoteReference"/>
          <w:sz w:val="24"/>
        </w:rPr>
      </w:pPr>
      <w:r w:rsidRPr="002D19E0">
        <w:rPr>
          <w:rStyle w:val="FootnoteReference"/>
          <w:sz w:val="24"/>
        </w:rPr>
        <w:footnoteRef/>
      </w:r>
      <w:r w:rsidRPr="002D19E0">
        <w:rPr>
          <w:rStyle w:val="FootnoteReference"/>
          <w:sz w:val="24"/>
        </w:rPr>
        <w:t xml:space="preserve"> Knapp, G., 1997. Initial Effects of the Alaska Halibut IFQ Program: Survey Comments of Alaska </w:t>
      </w:r>
      <w:r>
        <w:rPr>
          <w:rStyle w:val="FootnoteReference"/>
          <w:sz w:val="24"/>
        </w:rPr>
        <w:t>Fishers</w:t>
      </w:r>
      <w:r w:rsidRPr="002D19E0">
        <w:rPr>
          <w:rStyle w:val="FootnoteReference"/>
          <w:sz w:val="24"/>
        </w:rPr>
        <w:t>. Marine Resource Economics, Volume 12, pp. 239–248</w:t>
      </w:r>
    </w:p>
  </w:footnote>
  <w:footnote w:id="2">
    <w:p w:rsidR="00DE35E6" w:rsidRPr="00AF625C" w:rsidRDefault="00DE35E6" w:rsidP="00DE35E6">
      <w:pPr>
        <w:pStyle w:val="FootnoteText"/>
        <w:rPr>
          <w:lang w:val="es-PR"/>
        </w:rPr>
      </w:pPr>
      <w:r>
        <w:rPr>
          <w:rStyle w:val="FootnoteReference"/>
        </w:rPr>
        <w:footnoteRef/>
      </w:r>
      <w:r>
        <w:t xml:space="preserve"> </w:t>
      </w:r>
      <w:r>
        <w:rPr>
          <w:sz w:val="18"/>
          <w:szCs w:val="18"/>
        </w:rPr>
        <w:t xml:space="preserve">Green, S. B. (1991). How many subjects does it take to do a regression analysis? </w:t>
      </w:r>
      <w:proofErr w:type="gramStart"/>
      <w:r>
        <w:rPr>
          <w:i/>
          <w:iCs/>
          <w:sz w:val="18"/>
          <w:szCs w:val="18"/>
        </w:rPr>
        <w:t xml:space="preserve">Multivariate Behavioral Research, 26, </w:t>
      </w:r>
      <w:r>
        <w:rPr>
          <w:sz w:val="18"/>
          <w:szCs w:val="18"/>
        </w:rPr>
        <w:t>499</w:t>
      </w:r>
      <w:r>
        <w:rPr>
          <w:rFonts w:ascii="Cambria Math" w:hAnsi="Cambria Math" w:cs="Cambria Math"/>
          <w:sz w:val="18"/>
          <w:szCs w:val="18"/>
        </w:rPr>
        <w:t>‐</w:t>
      </w:r>
      <w:r>
        <w:rPr>
          <w:sz w:val="18"/>
          <w:szCs w:val="18"/>
        </w:rPr>
        <w:t>510.</w:t>
      </w:r>
      <w:proofErr w:type="gramEnd"/>
    </w:p>
  </w:footnote>
  <w:footnote w:id="3">
    <w:p w:rsidR="00D27243" w:rsidRPr="002D19E0" w:rsidRDefault="00D27243" w:rsidP="00D27243">
      <w:pPr>
        <w:pStyle w:val="FootnoteText"/>
        <w:rPr>
          <w:rStyle w:val="FootnoteReference"/>
          <w:sz w:val="24"/>
        </w:rPr>
      </w:pPr>
      <w:r w:rsidRPr="002D19E0">
        <w:rPr>
          <w:rStyle w:val="FootnoteReference"/>
          <w:sz w:val="24"/>
        </w:rPr>
        <w:footnoteRef/>
      </w:r>
      <w:r w:rsidRPr="002D19E0">
        <w:rPr>
          <w:rStyle w:val="FootnoteReference"/>
          <w:sz w:val="24"/>
        </w:rPr>
        <w:t xml:space="preserve"> Thompson, Steven K., 1992. Sampling. John Wiley and Sons, Inc., New York, 343 p.</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27243"/>
    <w:rsid w:val="000B2726"/>
    <w:rsid w:val="000B6B15"/>
    <w:rsid w:val="001637FE"/>
    <w:rsid w:val="00165BF3"/>
    <w:rsid w:val="001B2D07"/>
    <w:rsid w:val="0028365C"/>
    <w:rsid w:val="003007DD"/>
    <w:rsid w:val="00311189"/>
    <w:rsid w:val="00351985"/>
    <w:rsid w:val="004921F4"/>
    <w:rsid w:val="005205C5"/>
    <w:rsid w:val="00700DF5"/>
    <w:rsid w:val="00736159"/>
    <w:rsid w:val="00911982"/>
    <w:rsid w:val="00BD3D5D"/>
    <w:rsid w:val="00D27243"/>
    <w:rsid w:val="00DE35E6"/>
    <w:rsid w:val="00F3765D"/>
    <w:rsid w:val="00FA6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4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7243"/>
    <w:rPr>
      <w:vertAlign w:val="superscript"/>
    </w:rPr>
  </w:style>
  <w:style w:type="paragraph" w:styleId="FootnoteText">
    <w:name w:val="footnote text"/>
    <w:basedOn w:val="Normal"/>
    <w:link w:val="FootnoteTextChar"/>
    <w:semiHidden/>
    <w:rsid w:val="00D27243"/>
  </w:style>
  <w:style w:type="character" w:customStyle="1" w:styleId="FootnoteTextChar">
    <w:name w:val="Footnote Text Char"/>
    <w:basedOn w:val="DefaultParagraphFont"/>
    <w:link w:val="FootnoteText"/>
    <w:semiHidden/>
    <w:rsid w:val="00D27243"/>
    <w:rPr>
      <w:rFonts w:ascii="Times New Roman" w:eastAsia="Times New Roman" w:hAnsi="Times New Roman" w:cs="Times New Roman"/>
      <w:sz w:val="20"/>
      <w:szCs w:val="20"/>
    </w:rPr>
  </w:style>
  <w:style w:type="paragraph" w:styleId="BodyText3">
    <w:name w:val="Body Text 3"/>
    <w:basedOn w:val="Normal"/>
    <w:link w:val="BodyText3Char"/>
    <w:rsid w:val="00D27243"/>
    <w:pPr>
      <w:spacing w:after="120"/>
    </w:pPr>
    <w:rPr>
      <w:sz w:val="16"/>
      <w:szCs w:val="16"/>
    </w:rPr>
  </w:style>
  <w:style w:type="character" w:customStyle="1" w:styleId="BodyText3Char">
    <w:name w:val="Body Text 3 Char"/>
    <w:basedOn w:val="DefaultParagraphFont"/>
    <w:link w:val="BodyText3"/>
    <w:rsid w:val="00D27243"/>
    <w:rPr>
      <w:rFonts w:ascii="Times New Roman" w:eastAsia="Times New Roman" w:hAnsi="Times New Roman" w:cs="Times New Roman"/>
      <w:sz w:val="16"/>
      <w:szCs w:val="16"/>
    </w:rPr>
  </w:style>
  <w:style w:type="character" w:customStyle="1" w:styleId="st">
    <w:name w:val="st"/>
    <w:rsid w:val="00D27243"/>
  </w:style>
  <w:style w:type="character" w:styleId="CommentReference">
    <w:name w:val="annotation reference"/>
    <w:basedOn w:val="DefaultParagraphFont"/>
    <w:uiPriority w:val="99"/>
    <w:semiHidden/>
    <w:unhideWhenUsed/>
    <w:rsid w:val="00FA63D8"/>
    <w:rPr>
      <w:sz w:val="16"/>
      <w:szCs w:val="16"/>
    </w:rPr>
  </w:style>
  <w:style w:type="paragraph" w:styleId="CommentText">
    <w:name w:val="annotation text"/>
    <w:basedOn w:val="Normal"/>
    <w:link w:val="CommentTextChar"/>
    <w:uiPriority w:val="99"/>
    <w:semiHidden/>
    <w:unhideWhenUsed/>
    <w:rsid w:val="00FA63D8"/>
  </w:style>
  <w:style w:type="character" w:customStyle="1" w:styleId="CommentTextChar">
    <w:name w:val="Comment Text Char"/>
    <w:basedOn w:val="DefaultParagraphFont"/>
    <w:link w:val="CommentText"/>
    <w:uiPriority w:val="99"/>
    <w:semiHidden/>
    <w:rsid w:val="00FA63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63D8"/>
    <w:rPr>
      <w:b/>
      <w:bCs/>
    </w:rPr>
  </w:style>
  <w:style w:type="character" w:customStyle="1" w:styleId="CommentSubjectChar">
    <w:name w:val="Comment Subject Char"/>
    <w:basedOn w:val="CommentTextChar"/>
    <w:link w:val="CommentSubject"/>
    <w:uiPriority w:val="99"/>
    <w:semiHidden/>
    <w:rsid w:val="00FA63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63D8"/>
    <w:rPr>
      <w:rFonts w:ascii="Tahoma" w:hAnsi="Tahoma" w:cs="Tahoma"/>
      <w:sz w:val="16"/>
      <w:szCs w:val="16"/>
    </w:rPr>
  </w:style>
  <w:style w:type="character" w:customStyle="1" w:styleId="BalloonTextChar">
    <w:name w:val="Balloon Text Char"/>
    <w:basedOn w:val="DefaultParagraphFont"/>
    <w:link w:val="BalloonText"/>
    <w:uiPriority w:val="99"/>
    <w:semiHidden/>
    <w:rsid w:val="00FA63D8"/>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BD3D5D"/>
  </w:style>
  <w:style w:type="character" w:customStyle="1" w:styleId="EndnoteTextChar">
    <w:name w:val="Endnote Text Char"/>
    <w:basedOn w:val="DefaultParagraphFont"/>
    <w:link w:val="EndnoteText"/>
    <w:uiPriority w:val="99"/>
    <w:semiHidden/>
    <w:rsid w:val="00BD3D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D3D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4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7243"/>
    <w:rPr>
      <w:vertAlign w:val="superscript"/>
    </w:rPr>
  </w:style>
  <w:style w:type="paragraph" w:styleId="FootnoteText">
    <w:name w:val="footnote text"/>
    <w:basedOn w:val="Normal"/>
    <w:link w:val="FootnoteTextChar"/>
    <w:semiHidden/>
    <w:rsid w:val="00D27243"/>
  </w:style>
  <w:style w:type="character" w:customStyle="1" w:styleId="FootnoteTextChar">
    <w:name w:val="Footnote Text Char"/>
    <w:basedOn w:val="DefaultParagraphFont"/>
    <w:link w:val="FootnoteText"/>
    <w:semiHidden/>
    <w:rsid w:val="00D27243"/>
    <w:rPr>
      <w:rFonts w:ascii="Times New Roman" w:eastAsia="Times New Roman" w:hAnsi="Times New Roman" w:cs="Times New Roman"/>
      <w:sz w:val="20"/>
      <w:szCs w:val="20"/>
    </w:rPr>
  </w:style>
  <w:style w:type="paragraph" w:styleId="BodyText3">
    <w:name w:val="Body Text 3"/>
    <w:basedOn w:val="Normal"/>
    <w:link w:val="BodyText3Char"/>
    <w:rsid w:val="00D27243"/>
    <w:pPr>
      <w:spacing w:after="120"/>
    </w:pPr>
    <w:rPr>
      <w:sz w:val="16"/>
      <w:szCs w:val="16"/>
    </w:rPr>
  </w:style>
  <w:style w:type="character" w:customStyle="1" w:styleId="BodyText3Char">
    <w:name w:val="Body Text 3 Char"/>
    <w:basedOn w:val="DefaultParagraphFont"/>
    <w:link w:val="BodyText3"/>
    <w:rsid w:val="00D27243"/>
    <w:rPr>
      <w:rFonts w:ascii="Times New Roman" w:eastAsia="Times New Roman" w:hAnsi="Times New Roman" w:cs="Times New Roman"/>
      <w:sz w:val="16"/>
      <w:szCs w:val="16"/>
    </w:rPr>
  </w:style>
  <w:style w:type="character" w:customStyle="1" w:styleId="st">
    <w:name w:val="st"/>
    <w:rsid w:val="00D27243"/>
  </w:style>
  <w:style w:type="character" w:styleId="CommentReference">
    <w:name w:val="annotation reference"/>
    <w:basedOn w:val="DefaultParagraphFont"/>
    <w:uiPriority w:val="99"/>
    <w:semiHidden/>
    <w:unhideWhenUsed/>
    <w:rsid w:val="00FA63D8"/>
    <w:rPr>
      <w:sz w:val="16"/>
      <w:szCs w:val="16"/>
    </w:rPr>
  </w:style>
  <w:style w:type="paragraph" w:styleId="CommentText">
    <w:name w:val="annotation text"/>
    <w:basedOn w:val="Normal"/>
    <w:link w:val="CommentTextChar"/>
    <w:uiPriority w:val="99"/>
    <w:semiHidden/>
    <w:unhideWhenUsed/>
    <w:rsid w:val="00FA63D8"/>
  </w:style>
  <w:style w:type="character" w:customStyle="1" w:styleId="CommentTextChar">
    <w:name w:val="Comment Text Char"/>
    <w:basedOn w:val="DefaultParagraphFont"/>
    <w:link w:val="CommentText"/>
    <w:uiPriority w:val="99"/>
    <w:semiHidden/>
    <w:rsid w:val="00FA63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63D8"/>
    <w:rPr>
      <w:b/>
      <w:bCs/>
    </w:rPr>
  </w:style>
  <w:style w:type="character" w:customStyle="1" w:styleId="CommentSubjectChar">
    <w:name w:val="Comment Subject Char"/>
    <w:basedOn w:val="CommentTextChar"/>
    <w:link w:val="CommentSubject"/>
    <w:uiPriority w:val="99"/>
    <w:semiHidden/>
    <w:rsid w:val="00FA63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63D8"/>
    <w:rPr>
      <w:rFonts w:ascii="Tahoma" w:hAnsi="Tahoma" w:cs="Tahoma"/>
      <w:sz w:val="16"/>
      <w:szCs w:val="16"/>
    </w:rPr>
  </w:style>
  <w:style w:type="character" w:customStyle="1" w:styleId="BalloonTextChar">
    <w:name w:val="Balloon Text Char"/>
    <w:basedOn w:val="DefaultParagraphFont"/>
    <w:link w:val="BalloonText"/>
    <w:uiPriority w:val="99"/>
    <w:semiHidden/>
    <w:rsid w:val="00FA63D8"/>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BD3D5D"/>
  </w:style>
  <w:style w:type="character" w:customStyle="1" w:styleId="EndnoteTextChar">
    <w:name w:val="Endnote Text Char"/>
    <w:basedOn w:val="DefaultParagraphFont"/>
    <w:link w:val="EndnoteText"/>
    <w:uiPriority w:val="99"/>
    <w:semiHidden/>
    <w:rsid w:val="00BD3D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D3D5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5518-E065-495A-AD60-3879615D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sarah.brabson</cp:lastModifiedBy>
  <cp:revision>8</cp:revision>
  <dcterms:created xsi:type="dcterms:W3CDTF">2012-04-27T20:25:00Z</dcterms:created>
  <dcterms:modified xsi:type="dcterms:W3CDTF">2012-05-07T17:21:00Z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915819497</vt:i4>
  </property>
  <property fmtid="{D5CDD505-2E9C-101B-9397-08002B2CF9AE}" pid="3" name="_NewReviewCycle">
    <vt:lpwstr/>
  </property>
  <property fmtid="{D5CDD505-2E9C-101B-9397-08002B2CF9AE}" pid="4" name="_EmailSubject">
    <vt:lpwstr>ICR: 201112-0648-005</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