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7F5" w:rsidRPr="00AB57F5" w:rsidRDefault="00AB57F5" w:rsidP="00AB57F5">
      <w:pPr>
        <w:tabs>
          <w:tab w:val="left" w:pos="360"/>
        </w:tabs>
        <w:jc w:val="center"/>
        <w:rPr>
          <w:b/>
          <w:color w:val="000000"/>
          <w:sz w:val="24"/>
        </w:rPr>
      </w:pPr>
      <w:r w:rsidRPr="00AB57F5">
        <w:rPr>
          <w:b/>
          <w:color w:val="000000"/>
          <w:sz w:val="24"/>
        </w:rPr>
        <w:t>Supporting Statement for</w:t>
      </w:r>
    </w:p>
    <w:p w:rsidR="00AB57F5" w:rsidRPr="001052AA" w:rsidRDefault="00AB57F5" w:rsidP="00AB57F5">
      <w:pPr>
        <w:tabs>
          <w:tab w:val="left" w:pos="360"/>
        </w:tabs>
        <w:jc w:val="center"/>
        <w:rPr>
          <w:b/>
          <w:color w:val="000000"/>
          <w:sz w:val="24"/>
          <w:szCs w:val="24"/>
        </w:rPr>
      </w:pPr>
      <w:r w:rsidRPr="001052AA">
        <w:rPr>
          <w:b/>
          <w:sz w:val="24"/>
          <w:szCs w:val="24"/>
        </w:rPr>
        <w:t>Capital Assessments and Stress Testing</w:t>
      </w:r>
    </w:p>
    <w:p w:rsidR="00AB57F5" w:rsidRPr="001052AA" w:rsidRDefault="00AB57F5" w:rsidP="00AB57F5">
      <w:pPr>
        <w:tabs>
          <w:tab w:val="left" w:pos="360"/>
        </w:tabs>
        <w:jc w:val="center"/>
        <w:rPr>
          <w:b/>
          <w:color w:val="000000"/>
          <w:sz w:val="24"/>
          <w:szCs w:val="24"/>
        </w:rPr>
      </w:pPr>
      <w:r w:rsidRPr="001052AA">
        <w:rPr>
          <w:b/>
          <w:sz w:val="24"/>
          <w:szCs w:val="24"/>
        </w:rPr>
        <w:t>(FR Y-14A and Q; OMB No. 7100-</w:t>
      </w:r>
      <w:r w:rsidR="00565696">
        <w:rPr>
          <w:b/>
          <w:sz w:val="24"/>
          <w:szCs w:val="24"/>
        </w:rPr>
        <w:t>0341</w:t>
      </w:r>
      <w:r w:rsidRPr="001052AA">
        <w:rPr>
          <w:b/>
          <w:sz w:val="24"/>
          <w:szCs w:val="24"/>
        </w:rPr>
        <w:t>)</w:t>
      </w:r>
    </w:p>
    <w:p w:rsidR="00AB57F5" w:rsidRPr="001052AA" w:rsidRDefault="00AB57F5">
      <w:pPr>
        <w:tabs>
          <w:tab w:val="left" w:pos="360"/>
        </w:tabs>
        <w:rPr>
          <w:b/>
          <w:color w:val="000000"/>
          <w:sz w:val="24"/>
          <w:szCs w:val="24"/>
        </w:rPr>
      </w:pPr>
    </w:p>
    <w:p w:rsidR="00D0046F" w:rsidRPr="001052AA" w:rsidRDefault="003C421A">
      <w:pPr>
        <w:tabs>
          <w:tab w:val="left" w:pos="360"/>
        </w:tabs>
        <w:rPr>
          <w:b/>
          <w:color w:val="000000"/>
          <w:sz w:val="24"/>
          <w:szCs w:val="24"/>
        </w:rPr>
      </w:pPr>
      <w:r w:rsidRPr="001052AA">
        <w:rPr>
          <w:b/>
          <w:color w:val="000000"/>
          <w:sz w:val="24"/>
          <w:szCs w:val="24"/>
        </w:rPr>
        <w:t>Summary</w:t>
      </w:r>
    </w:p>
    <w:p w:rsidR="00D0046F" w:rsidRPr="001052AA" w:rsidRDefault="00D0046F">
      <w:pPr>
        <w:tabs>
          <w:tab w:val="left" w:pos="360"/>
        </w:tabs>
        <w:rPr>
          <w:color w:val="000000"/>
          <w:sz w:val="24"/>
          <w:szCs w:val="24"/>
        </w:rPr>
      </w:pPr>
    </w:p>
    <w:p w:rsidR="00184CC0" w:rsidRDefault="003C421A">
      <w:pPr>
        <w:rPr>
          <w:sz w:val="24"/>
          <w:szCs w:val="24"/>
        </w:rPr>
      </w:pPr>
      <w:r w:rsidRPr="001052AA">
        <w:rPr>
          <w:color w:val="000000"/>
          <w:sz w:val="24"/>
          <w:szCs w:val="24"/>
        </w:rPr>
        <w:tab/>
      </w:r>
      <w:r w:rsidR="00AB57F5" w:rsidRPr="001052AA">
        <w:rPr>
          <w:sz w:val="24"/>
          <w:szCs w:val="24"/>
        </w:rPr>
        <w:t>The Board of Governors of the Federal Reserve System</w:t>
      </w:r>
      <w:r w:rsidR="00706C36" w:rsidRPr="001052AA">
        <w:rPr>
          <w:sz w:val="24"/>
          <w:szCs w:val="24"/>
        </w:rPr>
        <w:t xml:space="preserve"> (Board)</w:t>
      </w:r>
      <w:r w:rsidR="00AB57F5" w:rsidRPr="001052AA">
        <w:rPr>
          <w:sz w:val="24"/>
          <w:szCs w:val="24"/>
        </w:rPr>
        <w:t xml:space="preserve">, under delegated authority from the Office of Management and Budget (OMB), </w:t>
      </w:r>
      <w:r w:rsidRPr="001052AA">
        <w:rPr>
          <w:sz w:val="24"/>
          <w:szCs w:val="24"/>
        </w:rPr>
        <w:t>proposes to implement the Capital Assessments and Stress Testing information collection (</w:t>
      </w:r>
      <w:r w:rsidR="00D0046F" w:rsidRPr="001052AA">
        <w:rPr>
          <w:sz w:val="24"/>
          <w:szCs w:val="24"/>
        </w:rPr>
        <w:t>FR </w:t>
      </w:r>
      <w:r w:rsidR="001934AD" w:rsidRPr="001052AA">
        <w:rPr>
          <w:sz w:val="24"/>
          <w:szCs w:val="24"/>
        </w:rPr>
        <w:t>Y-14</w:t>
      </w:r>
      <w:r w:rsidRPr="001052AA">
        <w:rPr>
          <w:sz w:val="24"/>
          <w:szCs w:val="24"/>
        </w:rPr>
        <w:t xml:space="preserve">A and </w:t>
      </w:r>
      <w:r w:rsidR="0010484E" w:rsidRPr="001052AA">
        <w:rPr>
          <w:sz w:val="24"/>
          <w:szCs w:val="24"/>
        </w:rPr>
        <w:t>Q</w:t>
      </w:r>
      <w:r w:rsidRPr="001052AA">
        <w:rPr>
          <w:sz w:val="24"/>
          <w:szCs w:val="24"/>
        </w:rPr>
        <w:t>; OMB No. 7100-</w:t>
      </w:r>
      <w:r w:rsidR="000A0E80">
        <w:rPr>
          <w:sz w:val="24"/>
          <w:szCs w:val="24"/>
        </w:rPr>
        <w:t>0341</w:t>
      </w:r>
      <w:r w:rsidRPr="001052AA">
        <w:rPr>
          <w:sz w:val="24"/>
          <w:szCs w:val="24"/>
        </w:rPr>
        <w:t xml:space="preserve">).  The FR </w:t>
      </w:r>
      <w:r w:rsidR="001934AD" w:rsidRPr="001052AA">
        <w:rPr>
          <w:sz w:val="24"/>
          <w:szCs w:val="24"/>
        </w:rPr>
        <w:t>Y-14</w:t>
      </w:r>
      <w:r w:rsidRPr="001052AA">
        <w:rPr>
          <w:sz w:val="24"/>
          <w:szCs w:val="24"/>
        </w:rPr>
        <w:t xml:space="preserve">A would collect </w:t>
      </w:r>
      <w:r w:rsidR="00150002" w:rsidRPr="001052AA">
        <w:rPr>
          <w:sz w:val="24"/>
          <w:szCs w:val="24"/>
        </w:rPr>
        <w:t xml:space="preserve">annually </w:t>
      </w:r>
      <w:r w:rsidR="0010484E" w:rsidRPr="001052AA">
        <w:rPr>
          <w:sz w:val="24"/>
          <w:szCs w:val="24"/>
        </w:rPr>
        <w:t>bank holding companies’ (</w:t>
      </w:r>
      <w:r w:rsidR="001B6046" w:rsidRPr="001052AA">
        <w:rPr>
          <w:sz w:val="24"/>
          <w:szCs w:val="24"/>
        </w:rPr>
        <w:t>BHCs’</w:t>
      </w:r>
      <w:r w:rsidR="0010484E" w:rsidRPr="001052AA">
        <w:rPr>
          <w:sz w:val="24"/>
          <w:szCs w:val="24"/>
        </w:rPr>
        <w:t>)</w:t>
      </w:r>
      <w:r w:rsidR="001B6046" w:rsidRPr="001052AA">
        <w:rPr>
          <w:sz w:val="24"/>
          <w:szCs w:val="24"/>
        </w:rPr>
        <w:t xml:space="preserve"> </w:t>
      </w:r>
      <w:r w:rsidRPr="001052AA">
        <w:rPr>
          <w:sz w:val="24"/>
          <w:szCs w:val="24"/>
        </w:rPr>
        <w:t xml:space="preserve">quantitative </w:t>
      </w:r>
      <w:r w:rsidR="00D0539F" w:rsidRPr="001052AA">
        <w:rPr>
          <w:sz w:val="24"/>
          <w:szCs w:val="24"/>
        </w:rPr>
        <w:t xml:space="preserve">projections of balance sheet, income, losses, and capital </w:t>
      </w:r>
      <w:r w:rsidR="00C86F8C" w:rsidRPr="001052AA">
        <w:rPr>
          <w:sz w:val="24"/>
          <w:szCs w:val="24"/>
        </w:rPr>
        <w:t>across a range of</w:t>
      </w:r>
      <w:r w:rsidR="00F83CCA" w:rsidRPr="001052AA">
        <w:rPr>
          <w:sz w:val="24"/>
          <w:szCs w:val="24"/>
        </w:rPr>
        <w:t xml:space="preserve"> macroecon</w:t>
      </w:r>
      <w:r w:rsidR="006C2056" w:rsidRPr="001052AA">
        <w:rPr>
          <w:sz w:val="24"/>
          <w:szCs w:val="24"/>
        </w:rPr>
        <w:t>o</w:t>
      </w:r>
      <w:r w:rsidR="00F83CCA" w:rsidRPr="001052AA">
        <w:rPr>
          <w:sz w:val="24"/>
          <w:szCs w:val="24"/>
        </w:rPr>
        <w:t>mic</w:t>
      </w:r>
      <w:r w:rsidR="00C86F8C" w:rsidRPr="001052AA">
        <w:rPr>
          <w:sz w:val="24"/>
          <w:szCs w:val="24"/>
        </w:rPr>
        <w:t xml:space="preserve"> scenarios</w:t>
      </w:r>
      <w:r w:rsidR="0010484E" w:rsidRPr="001052AA">
        <w:rPr>
          <w:sz w:val="24"/>
          <w:szCs w:val="24"/>
        </w:rPr>
        <w:t xml:space="preserve"> and</w:t>
      </w:r>
      <w:r w:rsidR="00C86F8C" w:rsidRPr="001052AA">
        <w:rPr>
          <w:sz w:val="24"/>
          <w:szCs w:val="24"/>
        </w:rPr>
        <w:t xml:space="preserve"> qualitative information </w:t>
      </w:r>
      <w:r w:rsidR="0010484E" w:rsidRPr="001052AA">
        <w:rPr>
          <w:sz w:val="24"/>
          <w:szCs w:val="24"/>
        </w:rPr>
        <w:t>on</w:t>
      </w:r>
      <w:r w:rsidR="00C86F8C" w:rsidRPr="001052AA">
        <w:rPr>
          <w:sz w:val="24"/>
          <w:szCs w:val="24"/>
        </w:rPr>
        <w:t xml:space="preserve"> methodologies used to develop internal projections of capital across scenarios</w:t>
      </w:r>
      <w:r w:rsidRPr="001052AA">
        <w:rPr>
          <w:sz w:val="24"/>
          <w:szCs w:val="24"/>
        </w:rPr>
        <w:t xml:space="preserve">.  </w:t>
      </w:r>
      <w:r w:rsidR="001B4E32" w:rsidRPr="001052AA">
        <w:rPr>
          <w:sz w:val="24"/>
          <w:szCs w:val="24"/>
        </w:rPr>
        <w:t xml:space="preserve">One or more of the macroeconomic scenarios would include a market risk shock that the BHCs would assume when making trading and counterparty loss projections.  </w:t>
      </w:r>
      <w:r w:rsidRPr="001052AA">
        <w:rPr>
          <w:sz w:val="24"/>
          <w:szCs w:val="24"/>
        </w:rPr>
        <w:t xml:space="preserve">The FR </w:t>
      </w:r>
      <w:r w:rsidR="001934AD" w:rsidRPr="001052AA">
        <w:rPr>
          <w:sz w:val="24"/>
          <w:szCs w:val="24"/>
        </w:rPr>
        <w:t>Y-14</w:t>
      </w:r>
      <w:r w:rsidR="0010484E" w:rsidRPr="001052AA">
        <w:rPr>
          <w:sz w:val="24"/>
          <w:szCs w:val="24"/>
        </w:rPr>
        <w:t>Q</w:t>
      </w:r>
      <w:r w:rsidRPr="001052AA">
        <w:rPr>
          <w:sz w:val="24"/>
          <w:szCs w:val="24"/>
        </w:rPr>
        <w:t xml:space="preserve"> would collect </w:t>
      </w:r>
      <w:r w:rsidR="00D0539F" w:rsidRPr="001052AA">
        <w:rPr>
          <w:sz w:val="24"/>
          <w:szCs w:val="24"/>
        </w:rPr>
        <w:t xml:space="preserve">granular data on BHCs’ various asset classes and pre-provision net revenue (PPNR) for the reporting period, which would be used </w:t>
      </w:r>
      <w:r w:rsidRPr="001052AA">
        <w:rPr>
          <w:sz w:val="24"/>
          <w:szCs w:val="24"/>
        </w:rPr>
        <w:t xml:space="preserve">to support supervisory </w:t>
      </w:r>
      <w:r w:rsidR="00D0539F" w:rsidRPr="001052AA">
        <w:rPr>
          <w:sz w:val="24"/>
          <w:szCs w:val="24"/>
        </w:rPr>
        <w:t xml:space="preserve">stress test </w:t>
      </w:r>
      <w:r w:rsidRPr="001052AA">
        <w:rPr>
          <w:sz w:val="24"/>
          <w:szCs w:val="24"/>
        </w:rPr>
        <w:t xml:space="preserve">models and </w:t>
      </w:r>
      <w:r w:rsidR="00D0539F" w:rsidRPr="001052AA">
        <w:rPr>
          <w:sz w:val="24"/>
          <w:szCs w:val="24"/>
        </w:rPr>
        <w:t xml:space="preserve">for </w:t>
      </w:r>
      <w:r w:rsidRPr="001052AA">
        <w:rPr>
          <w:sz w:val="24"/>
          <w:szCs w:val="24"/>
        </w:rPr>
        <w:t>continuous monitoring efforts</w:t>
      </w:r>
      <w:r w:rsidR="008F6675" w:rsidRPr="001052AA">
        <w:rPr>
          <w:sz w:val="24"/>
          <w:szCs w:val="24"/>
        </w:rPr>
        <w:t>, on a quarterly basis</w:t>
      </w:r>
      <w:r w:rsidRPr="001052AA">
        <w:rPr>
          <w:sz w:val="24"/>
          <w:szCs w:val="24"/>
        </w:rPr>
        <w:t>.</w:t>
      </w:r>
      <w:r w:rsidR="00A76504" w:rsidRPr="001052AA">
        <w:rPr>
          <w:rStyle w:val="FootnoteReference"/>
          <w:sz w:val="24"/>
          <w:szCs w:val="24"/>
          <w:vertAlign w:val="superscript"/>
        </w:rPr>
        <w:footnoteReference w:id="1"/>
      </w:r>
      <w:r w:rsidR="00A76504" w:rsidRPr="001052AA">
        <w:rPr>
          <w:sz w:val="24"/>
          <w:szCs w:val="24"/>
          <w:vertAlign w:val="superscript"/>
        </w:rPr>
        <w:t xml:space="preserve"> </w:t>
      </w:r>
      <w:r w:rsidRPr="001052AA">
        <w:rPr>
          <w:sz w:val="24"/>
          <w:szCs w:val="24"/>
        </w:rPr>
        <w:t xml:space="preserve"> </w:t>
      </w:r>
    </w:p>
    <w:p w:rsidR="00184CC0" w:rsidRDefault="00184CC0">
      <w:pPr>
        <w:rPr>
          <w:sz w:val="24"/>
          <w:szCs w:val="24"/>
        </w:rPr>
      </w:pPr>
    </w:p>
    <w:p w:rsidR="00B86B1F" w:rsidRPr="001052AA" w:rsidRDefault="00021EDF" w:rsidP="00184CC0">
      <w:pPr>
        <w:ind w:firstLine="720"/>
        <w:rPr>
          <w:color w:val="000000"/>
          <w:sz w:val="24"/>
          <w:szCs w:val="24"/>
        </w:rPr>
      </w:pPr>
      <w:r w:rsidRPr="001052AA">
        <w:rPr>
          <w:sz w:val="24"/>
          <w:szCs w:val="24"/>
        </w:rPr>
        <w:t xml:space="preserve">Initially, </w:t>
      </w:r>
      <w:r w:rsidR="001D6DD3" w:rsidRPr="001052AA">
        <w:rPr>
          <w:sz w:val="24"/>
          <w:szCs w:val="24"/>
        </w:rPr>
        <w:t xml:space="preserve">the </w:t>
      </w:r>
      <w:r w:rsidR="00643BC2" w:rsidRPr="001052AA">
        <w:rPr>
          <w:sz w:val="24"/>
          <w:szCs w:val="24"/>
        </w:rPr>
        <w:t xml:space="preserve">reporting panel would consist of </w:t>
      </w:r>
      <w:r w:rsidR="006E1E81" w:rsidRPr="001052AA">
        <w:rPr>
          <w:sz w:val="24"/>
          <w:szCs w:val="24"/>
        </w:rPr>
        <w:t xml:space="preserve">the </w:t>
      </w:r>
      <w:r w:rsidRPr="001052AA">
        <w:rPr>
          <w:sz w:val="24"/>
          <w:szCs w:val="24"/>
        </w:rPr>
        <w:t xml:space="preserve">19 </w:t>
      </w:r>
      <w:r w:rsidR="003C421A" w:rsidRPr="001052AA">
        <w:rPr>
          <w:sz w:val="24"/>
          <w:szCs w:val="24"/>
        </w:rPr>
        <w:t xml:space="preserve">large </w:t>
      </w:r>
      <w:r w:rsidR="0010484E" w:rsidRPr="001052AA">
        <w:rPr>
          <w:sz w:val="24"/>
          <w:szCs w:val="24"/>
        </w:rPr>
        <w:t>domestic BHCs</w:t>
      </w:r>
      <w:r w:rsidR="001D6DD3" w:rsidRPr="001052AA">
        <w:rPr>
          <w:sz w:val="24"/>
          <w:szCs w:val="24"/>
        </w:rPr>
        <w:t xml:space="preserve"> that participated in the </w:t>
      </w:r>
      <w:r w:rsidR="00285B5D" w:rsidRPr="001052AA">
        <w:rPr>
          <w:color w:val="000000"/>
          <w:sz w:val="24"/>
          <w:szCs w:val="24"/>
        </w:rPr>
        <w:t xml:space="preserve">2009 </w:t>
      </w:r>
      <w:r w:rsidR="00285B5D" w:rsidRPr="001052AA">
        <w:rPr>
          <w:sz w:val="24"/>
          <w:szCs w:val="24"/>
        </w:rPr>
        <w:t>Supervisory Capital Assessment Program</w:t>
      </w:r>
      <w:r w:rsidR="00285B5D" w:rsidRPr="001052AA">
        <w:rPr>
          <w:color w:val="000000"/>
          <w:sz w:val="24"/>
          <w:szCs w:val="24"/>
        </w:rPr>
        <w:t xml:space="preserve"> </w:t>
      </w:r>
      <w:r w:rsidR="001D6DD3" w:rsidRPr="001052AA">
        <w:rPr>
          <w:color w:val="000000"/>
          <w:sz w:val="24"/>
          <w:szCs w:val="24"/>
        </w:rPr>
        <w:t xml:space="preserve">(SCAP) </w:t>
      </w:r>
      <w:r w:rsidR="006E1E81" w:rsidRPr="001052AA">
        <w:rPr>
          <w:color w:val="000000"/>
          <w:sz w:val="24"/>
          <w:szCs w:val="24"/>
        </w:rPr>
        <w:t xml:space="preserve">and the </w:t>
      </w:r>
      <w:r w:rsidR="009C65C1">
        <w:rPr>
          <w:color w:val="000000"/>
          <w:sz w:val="24"/>
          <w:szCs w:val="24"/>
        </w:rPr>
        <w:t xml:space="preserve">2011 </w:t>
      </w:r>
      <w:r w:rsidR="000C6100" w:rsidRPr="001052AA">
        <w:rPr>
          <w:sz w:val="24"/>
          <w:szCs w:val="24"/>
        </w:rPr>
        <w:t>Comprehensive Capital Analysis and Review (CCAR 2011)</w:t>
      </w:r>
      <w:r w:rsidR="004512E2" w:rsidRPr="001052AA">
        <w:rPr>
          <w:sz w:val="24"/>
          <w:szCs w:val="24"/>
        </w:rPr>
        <w:t xml:space="preserve"> </w:t>
      </w:r>
      <w:r w:rsidR="004512E2" w:rsidRPr="001052AA">
        <w:rPr>
          <w:color w:val="000000"/>
          <w:sz w:val="24"/>
          <w:szCs w:val="24"/>
        </w:rPr>
        <w:t>exercises</w:t>
      </w:r>
      <w:r w:rsidR="00285B5D" w:rsidRPr="001052AA">
        <w:rPr>
          <w:rStyle w:val="FootnoteReference"/>
          <w:color w:val="000000"/>
          <w:sz w:val="24"/>
          <w:szCs w:val="24"/>
          <w:vertAlign w:val="superscript"/>
        </w:rPr>
        <w:footnoteReference w:id="2"/>
      </w:r>
      <w:r w:rsidR="00FB0274" w:rsidRPr="001052AA">
        <w:rPr>
          <w:color w:val="000000"/>
          <w:sz w:val="24"/>
          <w:szCs w:val="24"/>
        </w:rPr>
        <w:t>.  These BHCs</w:t>
      </w:r>
      <w:r w:rsidR="001D6DD3" w:rsidRPr="001052AA" w:rsidDel="001D6DD3">
        <w:rPr>
          <w:sz w:val="24"/>
          <w:szCs w:val="24"/>
        </w:rPr>
        <w:t xml:space="preserve"> </w:t>
      </w:r>
      <w:r w:rsidR="003C421A" w:rsidRPr="001052AA">
        <w:rPr>
          <w:sz w:val="24"/>
          <w:szCs w:val="24"/>
        </w:rPr>
        <w:t xml:space="preserve">would be required to complete the FR </w:t>
      </w:r>
      <w:r w:rsidR="001934AD" w:rsidRPr="001052AA">
        <w:rPr>
          <w:sz w:val="24"/>
          <w:szCs w:val="24"/>
        </w:rPr>
        <w:t>Y-14</w:t>
      </w:r>
      <w:r w:rsidR="003C421A" w:rsidRPr="001052AA">
        <w:rPr>
          <w:sz w:val="24"/>
          <w:szCs w:val="24"/>
        </w:rPr>
        <w:t xml:space="preserve">A </w:t>
      </w:r>
      <w:r w:rsidR="00033BC8" w:rsidRPr="001052AA">
        <w:rPr>
          <w:sz w:val="24"/>
          <w:szCs w:val="24"/>
        </w:rPr>
        <w:t>(</w:t>
      </w:r>
      <w:r w:rsidR="0010484E" w:rsidRPr="001052AA">
        <w:rPr>
          <w:sz w:val="24"/>
          <w:szCs w:val="24"/>
        </w:rPr>
        <w:t xml:space="preserve">including the </w:t>
      </w:r>
      <w:r w:rsidR="00033BC8" w:rsidRPr="001052AA">
        <w:rPr>
          <w:sz w:val="24"/>
          <w:szCs w:val="24"/>
        </w:rPr>
        <w:t>Summary</w:t>
      </w:r>
      <w:r w:rsidR="00535F3B" w:rsidRPr="001052AA">
        <w:rPr>
          <w:sz w:val="24"/>
          <w:szCs w:val="24"/>
        </w:rPr>
        <w:t>,</w:t>
      </w:r>
      <w:r w:rsidR="00033BC8" w:rsidRPr="001052AA">
        <w:rPr>
          <w:sz w:val="24"/>
          <w:szCs w:val="24"/>
        </w:rPr>
        <w:t xml:space="preserve"> Macro Scenario</w:t>
      </w:r>
      <w:r w:rsidR="00535F3B" w:rsidRPr="001052AA">
        <w:rPr>
          <w:sz w:val="24"/>
          <w:szCs w:val="24"/>
        </w:rPr>
        <w:t xml:space="preserve">, </w:t>
      </w:r>
      <w:r w:rsidR="00503122" w:rsidRPr="001052AA">
        <w:rPr>
          <w:sz w:val="24"/>
          <w:szCs w:val="24"/>
        </w:rPr>
        <w:t xml:space="preserve">Counterparty Credit Risk (CCR), </w:t>
      </w:r>
      <w:r w:rsidR="00535F3B" w:rsidRPr="001052AA">
        <w:rPr>
          <w:sz w:val="24"/>
          <w:szCs w:val="24"/>
        </w:rPr>
        <w:t>Basel III</w:t>
      </w:r>
      <w:r w:rsidR="00EE08DF" w:rsidRPr="001052AA">
        <w:rPr>
          <w:sz w:val="24"/>
          <w:szCs w:val="24"/>
        </w:rPr>
        <w:t>, and Regulatory Capital Instruments</w:t>
      </w:r>
      <w:r w:rsidR="00033BC8" w:rsidRPr="001052AA">
        <w:rPr>
          <w:sz w:val="24"/>
          <w:szCs w:val="24"/>
        </w:rPr>
        <w:t xml:space="preserve"> data </w:t>
      </w:r>
      <w:r w:rsidR="00705308" w:rsidRPr="001052AA">
        <w:rPr>
          <w:sz w:val="24"/>
          <w:szCs w:val="24"/>
        </w:rPr>
        <w:t>schedules</w:t>
      </w:r>
      <w:r w:rsidR="00033BC8" w:rsidRPr="001052AA">
        <w:rPr>
          <w:sz w:val="24"/>
          <w:szCs w:val="24"/>
        </w:rPr>
        <w:t>) and the</w:t>
      </w:r>
      <w:r w:rsidR="003C421A" w:rsidRPr="001052AA">
        <w:rPr>
          <w:sz w:val="24"/>
          <w:szCs w:val="24"/>
        </w:rPr>
        <w:t xml:space="preserve"> FR </w:t>
      </w:r>
      <w:r w:rsidR="001934AD" w:rsidRPr="001052AA">
        <w:rPr>
          <w:sz w:val="24"/>
          <w:szCs w:val="24"/>
        </w:rPr>
        <w:t>Y-14</w:t>
      </w:r>
      <w:r w:rsidR="0010484E" w:rsidRPr="001052AA">
        <w:rPr>
          <w:sz w:val="24"/>
          <w:szCs w:val="24"/>
        </w:rPr>
        <w:t xml:space="preserve">Q </w:t>
      </w:r>
      <w:r w:rsidR="00033BC8" w:rsidRPr="001052AA">
        <w:rPr>
          <w:sz w:val="24"/>
          <w:szCs w:val="24"/>
        </w:rPr>
        <w:t>(</w:t>
      </w:r>
      <w:r w:rsidR="0010484E" w:rsidRPr="001052AA">
        <w:rPr>
          <w:sz w:val="24"/>
          <w:szCs w:val="24"/>
        </w:rPr>
        <w:t xml:space="preserve">including the </w:t>
      </w:r>
      <w:r w:rsidR="00033BC8" w:rsidRPr="001052AA">
        <w:rPr>
          <w:sz w:val="24"/>
          <w:szCs w:val="24"/>
        </w:rPr>
        <w:t>Securities Risk; Retail Risk; PPNR; Wholesale Risk; Trading, Private Equity, and Other Fair Value Assets</w:t>
      </w:r>
      <w:r w:rsidR="00A76552" w:rsidRPr="001052AA">
        <w:rPr>
          <w:sz w:val="24"/>
          <w:szCs w:val="24"/>
        </w:rPr>
        <w:t xml:space="preserve"> (Trading)</w:t>
      </w:r>
      <w:r w:rsidR="00033BC8" w:rsidRPr="001052AA">
        <w:rPr>
          <w:sz w:val="24"/>
          <w:szCs w:val="24"/>
        </w:rPr>
        <w:t xml:space="preserve">; </w:t>
      </w:r>
      <w:r w:rsidR="00EE08DF" w:rsidRPr="001052AA">
        <w:rPr>
          <w:sz w:val="24"/>
          <w:szCs w:val="24"/>
        </w:rPr>
        <w:t>Basel III</w:t>
      </w:r>
      <w:r w:rsidR="00706C36" w:rsidRPr="001052AA">
        <w:rPr>
          <w:sz w:val="24"/>
          <w:szCs w:val="24"/>
        </w:rPr>
        <w:t>,</w:t>
      </w:r>
      <w:r w:rsidR="00EE08DF" w:rsidRPr="001052AA">
        <w:rPr>
          <w:sz w:val="24"/>
          <w:szCs w:val="24"/>
        </w:rPr>
        <w:t xml:space="preserve"> and Regulatory Capital Instruments</w:t>
      </w:r>
      <w:r w:rsidR="00033BC8" w:rsidRPr="001052AA">
        <w:rPr>
          <w:sz w:val="24"/>
          <w:szCs w:val="24"/>
        </w:rPr>
        <w:t xml:space="preserve"> </w:t>
      </w:r>
      <w:r w:rsidR="003C421A" w:rsidRPr="001052AA">
        <w:rPr>
          <w:sz w:val="24"/>
          <w:szCs w:val="24"/>
        </w:rPr>
        <w:t>data</w:t>
      </w:r>
      <w:r w:rsidR="00033BC8" w:rsidRPr="001052AA">
        <w:rPr>
          <w:sz w:val="24"/>
          <w:szCs w:val="24"/>
        </w:rPr>
        <w:t xml:space="preserve"> </w:t>
      </w:r>
      <w:r w:rsidR="00705308" w:rsidRPr="001052AA">
        <w:rPr>
          <w:sz w:val="24"/>
          <w:szCs w:val="24"/>
        </w:rPr>
        <w:t>schedules</w:t>
      </w:r>
      <w:r w:rsidR="00033BC8" w:rsidRPr="001052AA">
        <w:rPr>
          <w:sz w:val="24"/>
          <w:szCs w:val="24"/>
        </w:rPr>
        <w:t>).</w:t>
      </w:r>
      <w:r w:rsidR="003C421A" w:rsidRPr="001052AA">
        <w:rPr>
          <w:sz w:val="24"/>
          <w:szCs w:val="24"/>
        </w:rPr>
        <w:t xml:space="preserve">  </w:t>
      </w:r>
      <w:r w:rsidR="00643BC2" w:rsidRPr="001052AA">
        <w:rPr>
          <w:sz w:val="24"/>
          <w:szCs w:val="24"/>
        </w:rPr>
        <w:t xml:space="preserve">Any modifications to this reporting panel would be addressed in a future proposal.  </w:t>
      </w:r>
      <w:r w:rsidR="00121FE8" w:rsidRPr="001052AA">
        <w:rPr>
          <w:color w:val="000000"/>
          <w:sz w:val="24"/>
          <w:szCs w:val="24"/>
        </w:rPr>
        <w:t xml:space="preserve">While there are </w:t>
      </w:r>
      <w:r w:rsidR="00243602" w:rsidRPr="001052AA">
        <w:rPr>
          <w:color w:val="000000"/>
          <w:sz w:val="24"/>
          <w:szCs w:val="24"/>
        </w:rPr>
        <w:t xml:space="preserve">more than 20 </w:t>
      </w:r>
      <w:r w:rsidR="00B86B1F" w:rsidRPr="001052AA">
        <w:rPr>
          <w:color w:val="000000"/>
          <w:sz w:val="24"/>
          <w:szCs w:val="24"/>
        </w:rPr>
        <w:t>proposed</w:t>
      </w:r>
      <w:r w:rsidR="00121FE8" w:rsidRPr="001052AA">
        <w:rPr>
          <w:color w:val="000000"/>
          <w:sz w:val="24"/>
          <w:szCs w:val="24"/>
        </w:rPr>
        <w:t xml:space="preserve"> </w:t>
      </w:r>
      <w:r w:rsidR="00705308" w:rsidRPr="001052AA">
        <w:rPr>
          <w:color w:val="000000"/>
          <w:sz w:val="24"/>
          <w:szCs w:val="24"/>
        </w:rPr>
        <w:t xml:space="preserve">schedules </w:t>
      </w:r>
      <w:r w:rsidR="00121FE8" w:rsidRPr="001052AA">
        <w:rPr>
          <w:color w:val="000000"/>
          <w:sz w:val="24"/>
          <w:szCs w:val="24"/>
        </w:rPr>
        <w:t xml:space="preserve">spanning eight risk </w:t>
      </w:r>
      <w:r w:rsidR="00705308" w:rsidRPr="001052AA">
        <w:rPr>
          <w:color w:val="000000"/>
          <w:sz w:val="24"/>
          <w:szCs w:val="24"/>
        </w:rPr>
        <w:t>types</w:t>
      </w:r>
      <w:r w:rsidR="00121FE8" w:rsidRPr="001052AA">
        <w:rPr>
          <w:color w:val="000000"/>
          <w:sz w:val="24"/>
          <w:szCs w:val="24"/>
        </w:rPr>
        <w:t xml:space="preserve">, the number of </w:t>
      </w:r>
      <w:r w:rsidR="00705308" w:rsidRPr="001052AA">
        <w:rPr>
          <w:color w:val="000000"/>
          <w:sz w:val="24"/>
          <w:szCs w:val="24"/>
        </w:rPr>
        <w:t>schedules</w:t>
      </w:r>
      <w:r w:rsidR="00121FE8" w:rsidRPr="001052AA">
        <w:rPr>
          <w:color w:val="000000"/>
          <w:sz w:val="24"/>
          <w:szCs w:val="24"/>
        </w:rPr>
        <w:t xml:space="preserve"> </w:t>
      </w:r>
      <w:r w:rsidR="00B86B1F" w:rsidRPr="001052AA">
        <w:rPr>
          <w:color w:val="000000"/>
          <w:sz w:val="24"/>
          <w:szCs w:val="24"/>
        </w:rPr>
        <w:t>each BHC</w:t>
      </w:r>
      <w:r w:rsidR="00121FE8" w:rsidRPr="001052AA">
        <w:rPr>
          <w:color w:val="000000"/>
          <w:sz w:val="24"/>
          <w:szCs w:val="24"/>
        </w:rPr>
        <w:t xml:space="preserve"> </w:t>
      </w:r>
      <w:r w:rsidR="00B86B1F" w:rsidRPr="001052AA">
        <w:rPr>
          <w:color w:val="000000"/>
          <w:sz w:val="24"/>
          <w:szCs w:val="24"/>
        </w:rPr>
        <w:t>would</w:t>
      </w:r>
      <w:r w:rsidR="00121FE8" w:rsidRPr="001052AA">
        <w:rPr>
          <w:color w:val="000000"/>
          <w:sz w:val="24"/>
          <w:szCs w:val="24"/>
        </w:rPr>
        <w:t xml:space="preserve"> complete </w:t>
      </w:r>
      <w:r w:rsidR="00B86B1F" w:rsidRPr="001052AA">
        <w:rPr>
          <w:color w:val="000000"/>
          <w:sz w:val="24"/>
          <w:szCs w:val="24"/>
        </w:rPr>
        <w:t>would</w:t>
      </w:r>
      <w:r w:rsidR="00121FE8" w:rsidRPr="001052AA">
        <w:rPr>
          <w:color w:val="000000"/>
          <w:sz w:val="24"/>
          <w:szCs w:val="24"/>
        </w:rPr>
        <w:t xml:space="preserve"> be subject to materiality </w:t>
      </w:r>
      <w:r w:rsidR="0025464C" w:rsidRPr="001052AA">
        <w:rPr>
          <w:color w:val="000000"/>
          <w:sz w:val="24"/>
          <w:szCs w:val="24"/>
        </w:rPr>
        <w:t>thresholds</w:t>
      </w:r>
      <w:r w:rsidR="00D0539F" w:rsidRPr="001052AA">
        <w:rPr>
          <w:color w:val="000000"/>
          <w:sz w:val="24"/>
          <w:szCs w:val="24"/>
        </w:rPr>
        <w:t>.</w:t>
      </w:r>
      <w:r w:rsidR="00D0539F" w:rsidRPr="001052AA">
        <w:rPr>
          <w:rStyle w:val="FootnoteReference"/>
          <w:color w:val="000000"/>
          <w:sz w:val="24"/>
          <w:szCs w:val="24"/>
          <w:vertAlign w:val="superscript"/>
        </w:rPr>
        <w:footnoteReference w:id="3"/>
      </w:r>
      <w:r w:rsidR="00121FE8" w:rsidRPr="001052AA">
        <w:rPr>
          <w:color w:val="000000"/>
          <w:sz w:val="24"/>
          <w:szCs w:val="24"/>
        </w:rPr>
        <w:t xml:space="preserve">  </w:t>
      </w:r>
    </w:p>
    <w:p w:rsidR="00650659" w:rsidRPr="001052AA" w:rsidRDefault="00650659">
      <w:pPr>
        <w:ind w:firstLine="720"/>
        <w:rPr>
          <w:sz w:val="24"/>
          <w:szCs w:val="24"/>
        </w:rPr>
      </w:pPr>
    </w:p>
    <w:p w:rsidR="00A169B6" w:rsidRPr="001052AA" w:rsidRDefault="003C421A">
      <w:pPr>
        <w:ind w:firstLine="720"/>
        <w:rPr>
          <w:sz w:val="24"/>
          <w:szCs w:val="24"/>
        </w:rPr>
      </w:pPr>
      <w:r w:rsidRPr="001052AA">
        <w:rPr>
          <w:sz w:val="24"/>
          <w:szCs w:val="24"/>
        </w:rPr>
        <w:t xml:space="preserve">These </w:t>
      </w:r>
      <w:r w:rsidR="00D56558" w:rsidRPr="001052AA">
        <w:rPr>
          <w:sz w:val="24"/>
          <w:szCs w:val="24"/>
        </w:rPr>
        <w:t>data would be used</w:t>
      </w:r>
      <w:r w:rsidRPr="001052AA">
        <w:rPr>
          <w:sz w:val="24"/>
          <w:szCs w:val="24"/>
        </w:rPr>
        <w:t xml:space="preserve"> </w:t>
      </w:r>
      <w:r w:rsidR="0074354B" w:rsidRPr="001052AA">
        <w:rPr>
          <w:sz w:val="24"/>
          <w:szCs w:val="24"/>
        </w:rPr>
        <w:t xml:space="preserve">to </w:t>
      </w:r>
      <w:r w:rsidRPr="001052AA">
        <w:rPr>
          <w:sz w:val="24"/>
          <w:szCs w:val="24"/>
        </w:rPr>
        <w:t xml:space="preserve">assess the capital adequacy of large BHCs using forward-looking projections of revenue and losses.  In addition, </w:t>
      </w:r>
      <w:r w:rsidR="001647BD" w:rsidRPr="001052AA">
        <w:rPr>
          <w:sz w:val="24"/>
          <w:szCs w:val="24"/>
        </w:rPr>
        <w:t xml:space="preserve">these </w:t>
      </w:r>
      <w:r w:rsidRPr="001052AA">
        <w:rPr>
          <w:sz w:val="24"/>
          <w:szCs w:val="24"/>
        </w:rPr>
        <w:t xml:space="preserve">data would be used to </w:t>
      </w:r>
      <w:r w:rsidR="001647BD" w:rsidRPr="001052AA">
        <w:rPr>
          <w:sz w:val="24"/>
          <w:szCs w:val="24"/>
        </w:rPr>
        <w:t xml:space="preserve">help </w:t>
      </w:r>
      <w:r w:rsidRPr="001052AA">
        <w:rPr>
          <w:sz w:val="24"/>
          <w:szCs w:val="24"/>
        </w:rPr>
        <w:t>inform the Federal Reserve’s operational decision</w:t>
      </w:r>
      <w:r w:rsidR="009447A1" w:rsidRPr="001052AA">
        <w:rPr>
          <w:sz w:val="24"/>
          <w:szCs w:val="24"/>
        </w:rPr>
        <w:t xml:space="preserve"> </w:t>
      </w:r>
      <w:r w:rsidRPr="001052AA">
        <w:rPr>
          <w:sz w:val="24"/>
          <w:szCs w:val="24"/>
        </w:rPr>
        <w:t>making as the Board moves ahead with implementing the Capital Plan rulemaking</w:t>
      </w:r>
      <w:r w:rsidR="00D95C1D" w:rsidRPr="001052AA">
        <w:rPr>
          <w:sz w:val="24"/>
          <w:szCs w:val="24"/>
        </w:rPr>
        <w:t xml:space="preserve"> (discussed in the Background and Justification section)</w:t>
      </w:r>
      <w:r w:rsidR="00DA55EC" w:rsidRPr="001052AA">
        <w:rPr>
          <w:sz w:val="24"/>
          <w:szCs w:val="24"/>
        </w:rPr>
        <w:t>.</w:t>
      </w:r>
      <w:r w:rsidR="00471220" w:rsidRPr="001052AA">
        <w:rPr>
          <w:sz w:val="24"/>
          <w:szCs w:val="24"/>
        </w:rPr>
        <w:t xml:space="preserve">  </w:t>
      </w:r>
    </w:p>
    <w:p w:rsidR="00A169B6" w:rsidRPr="0027179D" w:rsidRDefault="00A169B6">
      <w:pPr>
        <w:ind w:firstLine="720"/>
        <w:rPr>
          <w:sz w:val="24"/>
          <w:szCs w:val="24"/>
        </w:rPr>
      </w:pPr>
    </w:p>
    <w:p w:rsidR="003D6BD0" w:rsidRPr="001052AA" w:rsidRDefault="001B4E32" w:rsidP="00EA74A3">
      <w:pPr>
        <w:ind w:firstLine="720"/>
        <w:rPr>
          <w:sz w:val="24"/>
          <w:szCs w:val="24"/>
        </w:rPr>
      </w:pPr>
      <w:r w:rsidRPr="001052AA">
        <w:rPr>
          <w:sz w:val="24"/>
          <w:szCs w:val="24"/>
        </w:rPr>
        <w:t xml:space="preserve">Under section 165 of the Dodd-Frank Wall Street Reform and Consumer Protection Act of 2010 (Dodd-Frank Act), the Federal Reserve is required to issue regulations relating to stress </w:t>
      </w:r>
      <w:r w:rsidRPr="001052AA">
        <w:rPr>
          <w:sz w:val="24"/>
          <w:szCs w:val="24"/>
        </w:rPr>
        <w:lastRenderedPageBreak/>
        <w:t xml:space="preserve">testing (DFAST) for certain </w:t>
      </w:r>
      <w:r w:rsidR="000A0E80">
        <w:rPr>
          <w:sz w:val="24"/>
          <w:szCs w:val="24"/>
        </w:rPr>
        <w:t>BHCs</w:t>
      </w:r>
      <w:r w:rsidRPr="001052AA">
        <w:rPr>
          <w:sz w:val="24"/>
          <w:szCs w:val="24"/>
        </w:rPr>
        <w:t xml:space="preserve"> and nonbank financial companies supervised by the Board.  It is expected that any reporting requirements associated with DFAST would be incorporated into the new FR Y-14 information collection.  </w:t>
      </w:r>
      <w:r w:rsidR="00021EDF" w:rsidRPr="001052AA">
        <w:rPr>
          <w:sz w:val="24"/>
          <w:szCs w:val="24"/>
        </w:rPr>
        <w:t>Any modifications to the reporting panel for the</w:t>
      </w:r>
      <w:r w:rsidR="001D6DD3" w:rsidRPr="001052AA">
        <w:rPr>
          <w:sz w:val="24"/>
          <w:szCs w:val="24"/>
        </w:rPr>
        <w:t xml:space="preserve"> DFAST</w:t>
      </w:r>
      <w:r w:rsidR="00021EDF" w:rsidRPr="001052AA">
        <w:rPr>
          <w:sz w:val="24"/>
          <w:szCs w:val="24"/>
        </w:rPr>
        <w:t xml:space="preserve"> reporting requirements </w:t>
      </w:r>
      <w:r w:rsidR="001C7AC8" w:rsidRPr="001052AA">
        <w:rPr>
          <w:sz w:val="24"/>
          <w:szCs w:val="24"/>
        </w:rPr>
        <w:t xml:space="preserve">would </w:t>
      </w:r>
      <w:r w:rsidR="00021EDF" w:rsidRPr="001052AA">
        <w:rPr>
          <w:sz w:val="24"/>
          <w:szCs w:val="24"/>
        </w:rPr>
        <w:t>be addressed in the forthcoming proposal.</w:t>
      </w:r>
    </w:p>
    <w:p w:rsidR="006F362E" w:rsidRPr="001052AA" w:rsidRDefault="006F362E">
      <w:pPr>
        <w:rPr>
          <w:sz w:val="24"/>
          <w:szCs w:val="24"/>
        </w:rPr>
      </w:pPr>
    </w:p>
    <w:p w:rsidR="006F362E" w:rsidRPr="001052AA" w:rsidRDefault="00033BC8" w:rsidP="00EA74A3">
      <w:pPr>
        <w:ind w:firstLine="720"/>
        <w:rPr>
          <w:sz w:val="24"/>
          <w:szCs w:val="24"/>
        </w:rPr>
      </w:pPr>
      <w:r w:rsidRPr="001052AA">
        <w:rPr>
          <w:sz w:val="24"/>
          <w:szCs w:val="24"/>
        </w:rPr>
        <w:t xml:space="preserve">The </w:t>
      </w:r>
      <w:r w:rsidR="00EA74A3" w:rsidRPr="001052AA">
        <w:rPr>
          <w:sz w:val="24"/>
          <w:szCs w:val="24"/>
        </w:rPr>
        <w:t xml:space="preserve">Federal Reserve </w:t>
      </w:r>
      <w:r w:rsidR="005376CF">
        <w:rPr>
          <w:sz w:val="24"/>
          <w:szCs w:val="24"/>
        </w:rPr>
        <w:t>distributed the annual and quarterly schedules to the 19 respondent BHCs via a password protected website due to the fact that some of the schedules contain pre-populated data that was reported to the Federal Reserve</w:t>
      </w:r>
      <w:r w:rsidRPr="001052AA">
        <w:rPr>
          <w:sz w:val="24"/>
          <w:szCs w:val="24"/>
        </w:rPr>
        <w:t>.</w:t>
      </w:r>
      <w:r w:rsidR="006F362E" w:rsidRPr="001052AA">
        <w:rPr>
          <w:sz w:val="24"/>
          <w:szCs w:val="24"/>
        </w:rPr>
        <w:t xml:space="preserve">  The total </w:t>
      </w:r>
      <w:r w:rsidR="005201EF" w:rsidRPr="001052AA">
        <w:rPr>
          <w:sz w:val="24"/>
          <w:szCs w:val="24"/>
        </w:rPr>
        <w:t xml:space="preserve">annual </w:t>
      </w:r>
      <w:r w:rsidR="006F362E" w:rsidRPr="001052AA">
        <w:rPr>
          <w:sz w:val="24"/>
          <w:szCs w:val="24"/>
        </w:rPr>
        <w:t xml:space="preserve">burden for this </w:t>
      </w:r>
      <w:r w:rsidR="009447A1" w:rsidRPr="001052AA">
        <w:rPr>
          <w:sz w:val="24"/>
          <w:szCs w:val="24"/>
        </w:rPr>
        <w:t xml:space="preserve">information collection </w:t>
      </w:r>
      <w:r w:rsidR="006F362E" w:rsidRPr="001052AA">
        <w:rPr>
          <w:sz w:val="24"/>
          <w:szCs w:val="24"/>
        </w:rPr>
        <w:t>is</w:t>
      </w:r>
      <w:r w:rsidR="005201EF" w:rsidRPr="001052AA">
        <w:rPr>
          <w:sz w:val="24"/>
          <w:szCs w:val="24"/>
        </w:rPr>
        <w:t xml:space="preserve"> estimated to be</w:t>
      </w:r>
      <w:r w:rsidR="006F362E" w:rsidRPr="001052AA">
        <w:rPr>
          <w:sz w:val="24"/>
          <w:szCs w:val="24"/>
        </w:rPr>
        <w:t xml:space="preserve"> </w:t>
      </w:r>
      <w:r w:rsidR="00974025" w:rsidRPr="001052AA">
        <w:rPr>
          <w:sz w:val="24"/>
          <w:szCs w:val="24"/>
        </w:rPr>
        <w:t>5</w:t>
      </w:r>
      <w:r w:rsidR="0013676F" w:rsidRPr="001052AA">
        <w:rPr>
          <w:sz w:val="24"/>
          <w:szCs w:val="24"/>
        </w:rPr>
        <w:t>53,629</w:t>
      </w:r>
      <w:r w:rsidR="00974025" w:rsidRPr="001052AA">
        <w:rPr>
          <w:sz w:val="24"/>
          <w:szCs w:val="24"/>
        </w:rPr>
        <w:t xml:space="preserve"> </w:t>
      </w:r>
      <w:r w:rsidR="006F362E" w:rsidRPr="001052AA">
        <w:rPr>
          <w:sz w:val="24"/>
          <w:szCs w:val="24"/>
        </w:rPr>
        <w:t>hours.</w:t>
      </w:r>
    </w:p>
    <w:p w:rsidR="003A2E3D" w:rsidRPr="001052AA" w:rsidRDefault="003A2E3D" w:rsidP="001273E7">
      <w:pPr>
        <w:ind w:firstLine="720"/>
        <w:rPr>
          <w:sz w:val="24"/>
          <w:szCs w:val="24"/>
        </w:rPr>
      </w:pPr>
    </w:p>
    <w:p w:rsidR="00D0046F" w:rsidRPr="001052AA" w:rsidRDefault="003C421A" w:rsidP="0034649E">
      <w:pPr>
        <w:pStyle w:val="Heading1"/>
        <w:rPr>
          <w:rFonts w:ascii="Times New Roman" w:hAnsi="Times New Roman"/>
          <w:szCs w:val="24"/>
        </w:rPr>
      </w:pPr>
      <w:r w:rsidRPr="001052AA">
        <w:rPr>
          <w:rFonts w:ascii="Times New Roman" w:hAnsi="Times New Roman"/>
          <w:szCs w:val="24"/>
        </w:rPr>
        <w:t>Background and Justification</w:t>
      </w:r>
    </w:p>
    <w:p w:rsidR="00D0046F" w:rsidRPr="001052AA" w:rsidRDefault="00D0046F" w:rsidP="0034649E">
      <w:pPr>
        <w:rPr>
          <w:sz w:val="24"/>
          <w:szCs w:val="24"/>
        </w:rPr>
      </w:pPr>
    </w:p>
    <w:p w:rsidR="00CB113F" w:rsidRPr="001052AA" w:rsidRDefault="003C421A" w:rsidP="0034649E">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r w:rsidRPr="001052AA">
        <w:rPr>
          <w:rFonts w:ascii="Times New Roman" w:hAnsi="Times New Roman"/>
          <w:szCs w:val="24"/>
        </w:rPr>
        <w:t xml:space="preserve">During the years leading up to the recent financial crisis, many BHCs made significant distributions of capital, in the form of stock repurchases and dividends, without due consideration of the effects that a prolonged economic downturn could have on their capital adequacy and ability to continue to operate and remain credit intermediaries during times of economic and financial stress.  </w:t>
      </w:r>
    </w:p>
    <w:p w:rsidR="00150002" w:rsidRPr="001052AA" w:rsidRDefault="00150002" w:rsidP="00A0659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p>
    <w:p w:rsidR="00150002" w:rsidRPr="001052AA" w:rsidRDefault="003C421A" w:rsidP="0015000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r w:rsidRPr="001052AA">
        <w:rPr>
          <w:rFonts w:ascii="Times New Roman" w:hAnsi="Times New Roman"/>
          <w:szCs w:val="24"/>
        </w:rPr>
        <w:t xml:space="preserve">In 2009, the Board conducted the SCAP, a “stress test” of 19 large, domestic BHCs.  The SCAP was focused on identifying whether large BHCs had capital sufficient to weather a more-adverse-than-anticipated economic environment while maintaining their capacity to lend.  The Federal Reserve required </w:t>
      </w:r>
      <w:r w:rsidR="00B959D3" w:rsidRPr="001052AA">
        <w:rPr>
          <w:rFonts w:ascii="Times New Roman" w:hAnsi="Times New Roman"/>
          <w:szCs w:val="24"/>
        </w:rPr>
        <w:t>BHC</w:t>
      </w:r>
      <w:r w:rsidRPr="001052AA">
        <w:rPr>
          <w:rFonts w:ascii="Times New Roman" w:hAnsi="Times New Roman"/>
          <w:szCs w:val="24"/>
        </w:rPr>
        <w:t xml:space="preserve">s identified as having capital shortfalls to raise specific dollar amounts of capital within six months of the release of the SCAP results.  The Department of the Treasury established a government backstop available to </w:t>
      </w:r>
      <w:r w:rsidR="00B959D3" w:rsidRPr="001052AA">
        <w:rPr>
          <w:rFonts w:ascii="Times New Roman" w:hAnsi="Times New Roman"/>
          <w:szCs w:val="24"/>
        </w:rPr>
        <w:t>BHC</w:t>
      </w:r>
      <w:r w:rsidRPr="001052AA">
        <w:rPr>
          <w:rFonts w:ascii="Times New Roman" w:hAnsi="Times New Roman"/>
          <w:szCs w:val="24"/>
        </w:rPr>
        <w:t xml:space="preserve">s unable to raise the required capital from private markets.  </w:t>
      </w:r>
    </w:p>
    <w:p w:rsidR="00150002" w:rsidRPr="001052AA" w:rsidRDefault="00150002" w:rsidP="0015000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p>
    <w:p w:rsidR="00150002" w:rsidRPr="001052AA" w:rsidRDefault="003C421A" w:rsidP="0015000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r w:rsidRPr="001052AA">
        <w:rPr>
          <w:rFonts w:ascii="Times New Roman" w:hAnsi="Times New Roman"/>
          <w:szCs w:val="24"/>
        </w:rPr>
        <w:t>In early 2011, the Federal Reserve continued its supervisory evaluation of the resiliency and capital adequacy processes of 19 BHCs through the CCAR 2011.  The CCAR 2011 involved the Federal Reserve’s forward-looking evaluation of the internal capital planning processes of the BHCs and their anticipated capital actions in 2011, such as increasing dividend payments or repurchasing or redeeming stock.  In the CCAR 2011, the Federal Reserve evaluated whether these BHCs had satisfactory processes for identifying capital needs and held adequate capital to maintain ready access to funding, continue operations and meet their obligations to creditors and counterparties, and continue to serve as credit intermediaries, even under stressful conditions.  As a result of the CCAR 2011, the Federal Reserve developed a deeper understanding of the processes by which large BHCs form and monitor their assessments and expectations for maintaining appropriate capital, and the appropriateness of their planned actions and policies for returning capital to shareholders.</w:t>
      </w:r>
    </w:p>
    <w:p w:rsidR="00CB113F" w:rsidRPr="00D51494" w:rsidRDefault="00CB113F" w:rsidP="00A0659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rPr>
      </w:pPr>
    </w:p>
    <w:p w:rsidR="00B959D3" w:rsidRPr="001052AA" w:rsidRDefault="003C421A" w:rsidP="00B959D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r w:rsidRPr="001052AA">
        <w:rPr>
          <w:rFonts w:ascii="Times New Roman" w:hAnsi="Times New Roman"/>
          <w:szCs w:val="24"/>
        </w:rPr>
        <w:t xml:space="preserve">On June 17, 2011, the Federal Reserve published a notice of proposed rulemaking </w:t>
      </w:r>
      <w:r w:rsidR="00635F50" w:rsidRPr="001052AA">
        <w:rPr>
          <w:rFonts w:ascii="Times New Roman" w:hAnsi="Times New Roman"/>
          <w:szCs w:val="24"/>
        </w:rPr>
        <w:t xml:space="preserve">(the capital plan rule) </w:t>
      </w:r>
      <w:r w:rsidRPr="001052AA">
        <w:rPr>
          <w:rFonts w:ascii="Times New Roman" w:hAnsi="Times New Roman"/>
          <w:szCs w:val="24"/>
        </w:rPr>
        <w:t xml:space="preserve">in the </w:t>
      </w:r>
      <w:r w:rsidRPr="001052AA">
        <w:rPr>
          <w:rFonts w:ascii="Times New Roman" w:hAnsi="Times New Roman"/>
          <w:i/>
          <w:szCs w:val="24"/>
        </w:rPr>
        <w:t>Federal Register</w:t>
      </w:r>
      <w:r w:rsidRPr="001052AA">
        <w:rPr>
          <w:rFonts w:ascii="Times New Roman" w:hAnsi="Times New Roman"/>
          <w:szCs w:val="24"/>
        </w:rPr>
        <w:t xml:space="preserve"> for public comment (76 FR 35351) that would revise the Board’s Regulation Y</w:t>
      </w:r>
      <w:r w:rsidR="00635F50" w:rsidRPr="001052AA">
        <w:rPr>
          <w:rFonts w:ascii="Times New Roman" w:hAnsi="Times New Roman"/>
          <w:szCs w:val="24"/>
        </w:rPr>
        <w:t xml:space="preserve"> to</w:t>
      </w:r>
      <w:r w:rsidR="00D56558" w:rsidRPr="001052AA">
        <w:rPr>
          <w:rFonts w:ascii="Times New Roman" w:hAnsi="Times New Roman"/>
          <w:szCs w:val="24"/>
        </w:rPr>
        <w:t xml:space="preserve"> require large BHCs to submit capital plans to the Federal Reserve </w:t>
      </w:r>
      <w:r w:rsidR="00281266" w:rsidRPr="001052AA">
        <w:rPr>
          <w:rFonts w:ascii="Times New Roman" w:hAnsi="Times New Roman"/>
          <w:szCs w:val="24"/>
        </w:rPr>
        <w:t>annually</w:t>
      </w:r>
      <w:r w:rsidR="00D56558" w:rsidRPr="001052AA">
        <w:rPr>
          <w:rFonts w:ascii="Times New Roman" w:hAnsi="Times New Roman"/>
          <w:szCs w:val="24"/>
        </w:rPr>
        <w:t xml:space="preserve"> and to require such BHCs to provide prior notice to the Federal Reserve under certain circumstances before making a capital distribution</w:t>
      </w:r>
      <w:r w:rsidRPr="001052AA">
        <w:rPr>
          <w:rFonts w:ascii="Times New Roman" w:hAnsi="Times New Roman"/>
          <w:szCs w:val="24"/>
        </w:rPr>
        <w:t>.</w:t>
      </w:r>
      <w:r w:rsidRPr="001052AA">
        <w:rPr>
          <w:rStyle w:val="FootnoteReference"/>
          <w:rFonts w:ascii="Times New Roman" w:hAnsi="Times New Roman"/>
          <w:szCs w:val="24"/>
          <w:vertAlign w:val="superscript"/>
        </w:rPr>
        <w:footnoteReference w:id="4"/>
      </w:r>
      <w:r w:rsidRPr="001052AA">
        <w:rPr>
          <w:rFonts w:ascii="Times New Roman" w:hAnsi="Times New Roman"/>
          <w:szCs w:val="24"/>
        </w:rPr>
        <w:t xml:space="preserve">  </w:t>
      </w:r>
      <w:r w:rsidR="00B959D3" w:rsidRPr="001052AA">
        <w:rPr>
          <w:rFonts w:ascii="Times New Roman" w:hAnsi="Times New Roman"/>
          <w:szCs w:val="24"/>
        </w:rPr>
        <w:t>In connection with submissions of capital plans to the Federal Reserve, BHCs would be required</w:t>
      </w:r>
      <w:r w:rsidR="00E15FFE" w:rsidRPr="001052AA">
        <w:rPr>
          <w:rFonts w:ascii="Times New Roman" w:hAnsi="Times New Roman"/>
          <w:szCs w:val="24"/>
        </w:rPr>
        <w:t>,</w:t>
      </w:r>
      <w:r w:rsidR="00B959D3" w:rsidRPr="001052AA">
        <w:rPr>
          <w:rFonts w:ascii="Times New Roman" w:hAnsi="Times New Roman"/>
          <w:szCs w:val="24"/>
        </w:rPr>
        <w:t xml:space="preserve"> pursuant to </w:t>
      </w:r>
      <w:r w:rsidR="001D6108" w:rsidRPr="001052AA">
        <w:rPr>
          <w:rFonts w:ascii="Times New Roman" w:hAnsi="Times New Roman"/>
          <w:szCs w:val="24"/>
        </w:rPr>
        <w:t xml:space="preserve">proposed </w:t>
      </w:r>
      <w:r w:rsidR="00B959D3" w:rsidRPr="001052AA">
        <w:rPr>
          <w:rFonts w:ascii="Times New Roman" w:hAnsi="Times New Roman"/>
          <w:szCs w:val="24"/>
        </w:rPr>
        <w:t>section 225.8(d)(3)</w:t>
      </w:r>
      <w:r w:rsidR="00E15FFE" w:rsidRPr="001052AA">
        <w:rPr>
          <w:rFonts w:ascii="Times New Roman" w:hAnsi="Times New Roman"/>
          <w:szCs w:val="24"/>
        </w:rPr>
        <w:t>,</w:t>
      </w:r>
      <w:r w:rsidR="00B959D3" w:rsidRPr="001052AA">
        <w:rPr>
          <w:rFonts w:ascii="Times New Roman" w:hAnsi="Times New Roman"/>
          <w:szCs w:val="24"/>
        </w:rPr>
        <w:t xml:space="preserve"> </w:t>
      </w:r>
      <w:r w:rsidR="00B959D3" w:rsidRPr="001052AA">
        <w:rPr>
          <w:rFonts w:ascii="Times New Roman" w:hAnsi="Times New Roman"/>
          <w:szCs w:val="24"/>
        </w:rPr>
        <w:lastRenderedPageBreak/>
        <w:t xml:space="preserve">to provide certain data to the Federal Reserve.  </w:t>
      </w:r>
      <w:r w:rsidR="00535F3B" w:rsidRPr="001052AA">
        <w:rPr>
          <w:rFonts w:ascii="Times New Roman" w:hAnsi="Times New Roman"/>
          <w:szCs w:val="24"/>
        </w:rPr>
        <w:t>At the time of</w:t>
      </w:r>
      <w:r w:rsidR="00B959D3" w:rsidRPr="001052AA">
        <w:rPr>
          <w:rFonts w:ascii="Times New Roman" w:hAnsi="Times New Roman"/>
          <w:szCs w:val="24"/>
        </w:rPr>
        <w:t xml:space="preserve"> the proposed rule</w:t>
      </w:r>
      <w:r w:rsidR="00535F3B" w:rsidRPr="001052AA">
        <w:rPr>
          <w:rFonts w:ascii="Times New Roman" w:hAnsi="Times New Roman"/>
          <w:szCs w:val="24"/>
        </w:rPr>
        <w:t>,</w:t>
      </w:r>
      <w:r w:rsidR="00B959D3" w:rsidRPr="001052AA">
        <w:rPr>
          <w:rFonts w:ascii="Times New Roman" w:hAnsi="Times New Roman"/>
          <w:szCs w:val="24"/>
        </w:rPr>
        <w:t xml:space="preserve"> the Federal Reserve did not </w:t>
      </w:r>
      <w:r w:rsidR="00535F3B" w:rsidRPr="001052AA">
        <w:rPr>
          <w:rFonts w:ascii="Times New Roman" w:hAnsi="Times New Roman"/>
          <w:szCs w:val="24"/>
        </w:rPr>
        <w:t>have sufficient detail about</w:t>
      </w:r>
      <w:r w:rsidR="00B959D3" w:rsidRPr="001052AA">
        <w:rPr>
          <w:rFonts w:ascii="Times New Roman" w:hAnsi="Times New Roman"/>
          <w:szCs w:val="24"/>
        </w:rPr>
        <w:t xml:space="preserve"> the data to be </w:t>
      </w:r>
      <w:r w:rsidR="00535F3B" w:rsidRPr="001052AA">
        <w:rPr>
          <w:rFonts w:ascii="Times New Roman" w:hAnsi="Times New Roman"/>
          <w:szCs w:val="24"/>
        </w:rPr>
        <w:t xml:space="preserve">submitted </w:t>
      </w:r>
      <w:r w:rsidR="00B959D3" w:rsidRPr="001052AA">
        <w:rPr>
          <w:rFonts w:ascii="Times New Roman" w:hAnsi="Times New Roman"/>
          <w:szCs w:val="24"/>
        </w:rPr>
        <w:t>by the BHCs</w:t>
      </w:r>
      <w:r w:rsidR="001D6108" w:rsidRPr="001052AA">
        <w:rPr>
          <w:rFonts w:ascii="Times New Roman" w:hAnsi="Times New Roman"/>
          <w:szCs w:val="24"/>
        </w:rPr>
        <w:t xml:space="preserve"> under proposed section 225.8(d)(3)</w:t>
      </w:r>
      <w:r w:rsidR="00B959D3" w:rsidRPr="001052AA">
        <w:rPr>
          <w:rFonts w:ascii="Times New Roman" w:hAnsi="Times New Roman"/>
          <w:szCs w:val="24"/>
        </w:rPr>
        <w:t>.  For this reason, the Federal Reserve is putting forth this proposal to collect the data</w:t>
      </w:r>
      <w:r w:rsidR="0006689F" w:rsidRPr="001052AA">
        <w:rPr>
          <w:rFonts w:ascii="Times New Roman" w:hAnsi="Times New Roman"/>
          <w:szCs w:val="24"/>
        </w:rPr>
        <w:t xml:space="preserve"> to support the ongoing CCAR exercise</w:t>
      </w:r>
      <w:r w:rsidR="001D6108" w:rsidRPr="001052AA">
        <w:rPr>
          <w:rFonts w:ascii="Times New Roman" w:hAnsi="Times New Roman"/>
          <w:szCs w:val="24"/>
        </w:rPr>
        <w:t>, which would fulfill the data collection contemplated under proposed section 225.8(d)(3)</w:t>
      </w:r>
      <w:r w:rsidR="00B959D3" w:rsidRPr="001052AA">
        <w:rPr>
          <w:rFonts w:ascii="Times New Roman" w:hAnsi="Times New Roman"/>
          <w:szCs w:val="24"/>
        </w:rPr>
        <w:t>.  Data collected for CCAR (as described in the following Description of Information Collection section) would be designed to minimize burden on the BHCs and avoid duplication.  Data required by the Federal Reserve could include, but would not be limited to, information regarding the BHC’s financial condition, structure, assets, risk exposure, policies and procedures, liquidity, and management.</w:t>
      </w:r>
    </w:p>
    <w:p w:rsidR="00B959D3" w:rsidRPr="001052AA" w:rsidRDefault="00B959D3" w:rsidP="0015000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p>
    <w:p w:rsidR="00167718" w:rsidRPr="001052AA" w:rsidRDefault="001D6108" w:rsidP="0015000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rPr>
      </w:pPr>
      <w:r w:rsidRPr="001052AA">
        <w:rPr>
          <w:rFonts w:ascii="Times New Roman" w:hAnsi="Times New Roman"/>
          <w:szCs w:val="24"/>
        </w:rPr>
        <w:t>T</w:t>
      </w:r>
      <w:r w:rsidR="003C421A" w:rsidRPr="001052AA">
        <w:rPr>
          <w:rFonts w:ascii="Times New Roman" w:hAnsi="Times New Roman"/>
          <w:szCs w:val="24"/>
        </w:rPr>
        <w:t xml:space="preserve">he </w:t>
      </w:r>
      <w:r w:rsidR="00A76552" w:rsidRPr="001052AA">
        <w:rPr>
          <w:rFonts w:ascii="Times New Roman" w:hAnsi="Times New Roman"/>
          <w:szCs w:val="24"/>
        </w:rPr>
        <w:t xml:space="preserve">Federal Reserve </w:t>
      </w:r>
      <w:r w:rsidRPr="001052AA">
        <w:rPr>
          <w:rFonts w:ascii="Times New Roman" w:hAnsi="Times New Roman"/>
          <w:szCs w:val="24"/>
        </w:rPr>
        <w:t>is</w:t>
      </w:r>
      <w:r w:rsidR="003C421A" w:rsidRPr="001052AA">
        <w:rPr>
          <w:rFonts w:ascii="Times New Roman" w:hAnsi="Times New Roman"/>
          <w:szCs w:val="24"/>
        </w:rPr>
        <w:t xml:space="preserve"> hold</w:t>
      </w:r>
      <w:r w:rsidRPr="001052AA">
        <w:rPr>
          <w:rFonts w:ascii="Times New Roman" w:hAnsi="Times New Roman"/>
          <w:szCs w:val="24"/>
        </w:rPr>
        <w:t>ing</w:t>
      </w:r>
      <w:r w:rsidR="003C421A" w:rsidRPr="001052AA">
        <w:rPr>
          <w:rFonts w:ascii="Times New Roman" w:hAnsi="Times New Roman"/>
          <w:szCs w:val="24"/>
        </w:rPr>
        <w:t xml:space="preserve"> large BHCs to an elevated capital planning standard because of the elevated risk posed to the financial system by large BHCs and the importance of capital in mitigating these risks.  </w:t>
      </w:r>
      <w:r w:rsidR="003C421A" w:rsidRPr="001052AA">
        <w:rPr>
          <w:rFonts w:ascii="Times New Roman" w:hAnsi="Times New Roman"/>
        </w:rPr>
        <w:t xml:space="preserve">The capital plan rule is intended to address the practices that led up to the financial crisis, building upon the Federal Reserve’s existing supervisory expectation that large BHCs have robust systems and processes that incorporate forward-looking projections of revenue and losses to monitor and maintain their internal capital adequacy.  The final capital plan rule would build upon the Federal Reserve’s recent supervisory practice of requiring capital plans from large, complex BHCs.  </w:t>
      </w:r>
    </w:p>
    <w:p w:rsidR="00167718" w:rsidRPr="001052AA" w:rsidRDefault="00167718" w:rsidP="00167718">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rPr>
      </w:pPr>
    </w:p>
    <w:p w:rsidR="000500D3" w:rsidRPr="001052AA" w:rsidRDefault="000500D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rPr>
      </w:pPr>
      <w:r w:rsidRPr="001052AA">
        <w:rPr>
          <w:rFonts w:ascii="Times New Roman" w:hAnsi="Times New Roman"/>
          <w:szCs w:val="24"/>
        </w:rPr>
        <w:t>The requirement of annual comprehensive capital plan submissions</w:t>
      </w:r>
      <w:r w:rsidR="009B7C11" w:rsidRPr="001052AA">
        <w:rPr>
          <w:rFonts w:ascii="Times New Roman" w:hAnsi="Times New Roman"/>
          <w:szCs w:val="24"/>
        </w:rPr>
        <w:t xml:space="preserve"> (as described in the separate Capital Plan rulemaking)</w:t>
      </w:r>
      <w:r w:rsidRPr="001052AA">
        <w:rPr>
          <w:rFonts w:ascii="Times New Roman" w:hAnsi="Times New Roman"/>
          <w:szCs w:val="24"/>
        </w:rPr>
        <w:t xml:space="preserve"> and capital distribution requests, as well as the use of supervisory stress testing to inform assessments of capital adequacy at supervised </w:t>
      </w:r>
      <w:r w:rsidR="00B959D3" w:rsidRPr="001052AA">
        <w:rPr>
          <w:rFonts w:ascii="Times New Roman" w:hAnsi="Times New Roman"/>
          <w:szCs w:val="24"/>
        </w:rPr>
        <w:t>BHCs</w:t>
      </w:r>
      <w:r w:rsidRPr="001052AA">
        <w:rPr>
          <w:rFonts w:ascii="Times New Roman" w:hAnsi="Times New Roman"/>
          <w:szCs w:val="24"/>
        </w:rPr>
        <w:t>, will be a part of the ongoing supervisory process going forward.</w:t>
      </w:r>
    </w:p>
    <w:p w:rsidR="00303F4A" w:rsidRPr="001052AA" w:rsidRDefault="00303F4A" w:rsidP="00303F4A">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Cs w:val="24"/>
        </w:rPr>
      </w:pPr>
    </w:p>
    <w:p w:rsidR="00D0046F" w:rsidRPr="001052AA" w:rsidRDefault="003C421A">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052AA">
        <w:rPr>
          <w:rFonts w:ascii="Times New Roman" w:hAnsi="Times New Roman"/>
        </w:rPr>
        <w:t>Description of Information Collection</w:t>
      </w:r>
    </w:p>
    <w:p w:rsidR="00D0046F" w:rsidRPr="001052AA" w:rsidRDefault="00D0046F">
      <w:pPr>
        <w:rPr>
          <w:sz w:val="24"/>
          <w:szCs w:val="24"/>
        </w:rPr>
      </w:pPr>
    </w:p>
    <w:p w:rsidR="007A417C" w:rsidRPr="001052AA" w:rsidRDefault="003C421A" w:rsidP="007A417C">
      <w:pPr>
        <w:tabs>
          <w:tab w:val="left" w:pos="-1080"/>
          <w:tab w:val="left" w:pos="-90"/>
          <w:tab w:val="left" w:pos="720"/>
          <w:tab w:val="left" w:pos="1440"/>
          <w:tab w:val="left" w:pos="1980"/>
          <w:tab w:val="left" w:pos="3960"/>
          <w:tab w:val="left" w:pos="5760"/>
          <w:tab w:val="left" w:pos="7740"/>
          <w:tab w:val="left" w:pos="8640"/>
        </w:tabs>
        <w:rPr>
          <w:sz w:val="24"/>
          <w:szCs w:val="24"/>
        </w:rPr>
      </w:pPr>
      <w:r w:rsidRPr="001052AA">
        <w:rPr>
          <w:color w:val="000000"/>
          <w:szCs w:val="24"/>
        </w:rPr>
        <w:tab/>
      </w:r>
      <w:r w:rsidRPr="001052AA">
        <w:rPr>
          <w:color w:val="000000"/>
          <w:sz w:val="24"/>
          <w:szCs w:val="24"/>
        </w:rPr>
        <w:t xml:space="preserve">The data </w:t>
      </w:r>
      <w:r w:rsidR="00EE08DF" w:rsidRPr="001052AA">
        <w:rPr>
          <w:color w:val="000000"/>
          <w:sz w:val="24"/>
          <w:szCs w:val="24"/>
        </w:rPr>
        <w:t xml:space="preserve">collected through the FR </w:t>
      </w:r>
      <w:r w:rsidR="001934AD" w:rsidRPr="001052AA">
        <w:rPr>
          <w:color w:val="000000"/>
          <w:sz w:val="24"/>
          <w:szCs w:val="24"/>
        </w:rPr>
        <w:t>Y-14</w:t>
      </w:r>
      <w:r w:rsidR="00EE08DF" w:rsidRPr="001052AA">
        <w:rPr>
          <w:color w:val="000000"/>
          <w:sz w:val="24"/>
          <w:szCs w:val="24"/>
        </w:rPr>
        <w:t xml:space="preserve">A and FR </w:t>
      </w:r>
      <w:r w:rsidR="001934AD" w:rsidRPr="001052AA">
        <w:rPr>
          <w:color w:val="000000"/>
          <w:sz w:val="24"/>
          <w:szCs w:val="24"/>
        </w:rPr>
        <w:t>Y-14</w:t>
      </w:r>
      <w:r w:rsidR="00EE08DF" w:rsidRPr="001052AA">
        <w:rPr>
          <w:color w:val="000000"/>
          <w:sz w:val="24"/>
          <w:szCs w:val="24"/>
        </w:rPr>
        <w:t>Q</w:t>
      </w:r>
      <w:r w:rsidR="00EE08DF" w:rsidRPr="001052AA" w:rsidDel="00EE08DF">
        <w:rPr>
          <w:color w:val="000000"/>
          <w:sz w:val="24"/>
          <w:szCs w:val="24"/>
        </w:rPr>
        <w:t xml:space="preserve"> </w:t>
      </w:r>
      <w:r w:rsidRPr="001052AA">
        <w:rPr>
          <w:color w:val="000000"/>
          <w:sz w:val="24"/>
          <w:szCs w:val="24"/>
        </w:rPr>
        <w:t>would provide the Federal Reserve with the</w:t>
      </w:r>
      <w:r w:rsidR="00EE08DF" w:rsidRPr="001052AA">
        <w:rPr>
          <w:color w:val="000000"/>
          <w:sz w:val="24"/>
          <w:szCs w:val="24"/>
        </w:rPr>
        <w:t xml:space="preserve"> additional</w:t>
      </w:r>
      <w:r w:rsidRPr="001052AA">
        <w:rPr>
          <w:color w:val="000000"/>
          <w:sz w:val="24"/>
          <w:szCs w:val="24"/>
        </w:rPr>
        <w:t xml:space="preserve"> information and perspective needed to help ensure that large BHCs have strong, firm</w:t>
      </w:r>
      <w:r w:rsidRPr="001052AA">
        <w:rPr>
          <w:rFonts w:ascii="Cambria Math" w:hAnsi="Cambria Math"/>
          <w:color w:val="000000"/>
          <w:sz w:val="24"/>
          <w:szCs w:val="24"/>
        </w:rPr>
        <w:t>‐</w:t>
      </w:r>
      <w:r w:rsidRPr="001052AA">
        <w:rPr>
          <w:color w:val="000000"/>
          <w:sz w:val="24"/>
          <w:szCs w:val="24"/>
        </w:rPr>
        <w:t xml:space="preserve">wide risk measurement and management processes supporting their internal assessments of capital adequacy and that their capital resources are sufficient given their business focus, activities, and resulting risk exposures. The CCAR is also complemented by other Federal Reserve supervisory efforts aimed at enhancing the continued viability of large BHCs, including continuous monitoring of BHCs’ planning and management of liquidity and funding resources, and regular assessments of credit, market and operational risks, and associated risk management practices.  </w:t>
      </w:r>
      <w:r w:rsidRPr="001052AA">
        <w:rPr>
          <w:sz w:val="24"/>
          <w:szCs w:val="24"/>
        </w:rPr>
        <w:t xml:space="preserve">Information gathered in this data collection would also be used in connection with </w:t>
      </w:r>
      <w:r w:rsidR="00A76552" w:rsidRPr="001052AA">
        <w:rPr>
          <w:sz w:val="24"/>
          <w:szCs w:val="24"/>
        </w:rPr>
        <w:t>the</w:t>
      </w:r>
      <w:r w:rsidRPr="001052AA">
        <w:rPr>
          <w:sz w:val="24"/>
          <w:szCs w:val="24"/>
        </w:rPr>
        <w:t xml:space="preserve"> supervision and regulation of these financial institutions.  I</w:t>
      </w:r>
      <w:r w:rsidR="007A417C" w:rsidRPr="001052AA">
        <w:rPr>
          <w:sz w:val="24"/>
          <w:szCs w:val="24"/>
        </w:rPr>
        <w:t>t is also expected that</w:t>
      </w:r>
      <w:r w:rsidR="006A4A61" w:rsidRPr="001052AA">
        <w:rPr>
          <w:sz w:val="24"/>
          <w:szCs w:val="24"/>
        </w:rPr>
        <w:t>,</w:t>
      </w:r>
      <w:r w:rsidR="007A417C" w:rsidRPr="001052AA">
        <w:rPr>
          <w:sz w:val="24"/>
          <w:szCs w:val="24"/>
        </w:rPr>
        <w:t xml:space="preserve"> in order to fully evaluate the </w:t>
      </w:r>
      <w:r w:rsidRPr="001052AA">
        <w:rPr>
          <w:sz w:val="24"/>
          <w:szCs w:val="24"/>
        </w:rPr>
        <w:t xml:space="preserve">data submissions, </w:t>
      </w:r>
      <w:r w:rsidR="00A76552" w:rsidRPr="001052AA">
        <w:rPr>
          <w:sz w:val="24"/>
          <w:szCs w:val="24"/>
        </w:rPr>
        <w:t xml:space="preserve">the Federal Reserve </w:t>
      </w:r>
      <w:r w:rsidRPr="001052AA">
        <w:rPr>
          <w:sz w:val="24"/>
          <w:szCs w:val="24"/>
        </w:rPr>
        <w:t xml:space="preserve">will likely need to conduct follow up discussions with respondents and make additional inquiries as warranted.  </w:t>
      </w:r>
    </w:p>
    <w:p w:rsidR="006F362E" w:rsidRDefault="00150002" w:rsidP="003C496C">
      <w:pPr>
        <w:tabs>
          <w:tab w:val="left" w:pos="-1080"/>
          <w:tab w:val="left" w:pos="-90"/>
          <w:tab w:val="left" w:pos="720"/>
          <w:tab w:val="left" w:pos="1440"/>
          <w:tab w:val="left" w:pos="1980"/>
          <w:tab w:val="left" w:pos="3960"/>
          <w:tab w:val="left" w:pos="5760"/>
          <w:tab w:val="left" w:pos="7740"/>
          <w:tab w:val="left" w:pos="8640"/>
        </w:tabs>
        <w:rPr>
          <w:b/>
          <w:sz w:val="24"/>
          <w:szCs w:val="24"/>
        </w:rPr>
      </w:pPr>
      <w:r w:rsidRPr="00D51494">
        <w:rPr>
          <w:sz w:val="24"/>
          <w:szCs w:val="24"/>
        </w:rPr>
        <w:tab/>
      </w:r>
    </w:p>
    <w:p w:rsidR="006F362E" w:rsidRPr="00D51494" w:rsidRDefault="006F362E" w:rsidP="006F362E">
      <w:pPr>
        <w:ind w:firstLine="720"/>
        <w:rPr>
          <w:color w:val="000000"/>
          <w:sz w:val="24"/>
          <w:szCs w:val="24"/>
        </w:rPr>
      </w:pPr>
      <w:r>
        <w:rPr>
          <w:sz w:val="24"/>
        </w:rPr>
        <w:t xml:space="preserve">The </w:t>
      </w:r>
      <w:r w:rsidRPr="00D51494">
        <w:rPr>
          <w:sz w:val="24"/>
        </w:rPr>
        <w:t>BHCs</w:t>
      </w:r>
      <w:r>
        <w:rPr>
          <w:sz w:val="24"/>
        </w:rPr>
        <w:t xml:space="preserve"> would be required to </w:t>
      </w:r>
      <w:r w:rsidR="001B6046">
        <w:rPr>
          <w:sz w:val="24"/>
        </w:rPr>
        <w:t xml:space="preserve">complete and submit </w:t>
      </w:r>
      <w:r w:rsidR="00190549">
        <w:rPr>
          <w:sz w:val="24"/>
        </w:rPr>
        <w:t xml:space="preserve">five filings each year, beginning </w:t>
      </w:r>
      <w:r w:rsidR="00E15FFE">
        <w:rPr>
          <w:sz w:val="24"/>
        </w:rPr>
        <w:t>with 3</w:t>
      </w:r>
      <w:r w:rsidR="00E15FFE" w:rsidRPr="00E15FFE">
        <w:rPr>
          <w:sz w:val="24"/>
          <w:vertAlign w:val="superscript"/>
        </w:rPr>
        <w:t>rd</w:t>
      </w:r>
      <w:r w:rsidR="00E15FFE">
        <w:rPr>
          <w:sz w:val="24"/>
        </w:rPr>
        <w:t xml:space="preserve"> quarter </w:t>
      </w:r>
      <w:r w:rsidR="00190549">
        <w:rPr>
          <w:sz w:val="24"/>
        </w:rPr>
        <w:t>201</w:t>
      </w:r>
      <w:r w:rsidR="00E15FFE">
        <w:rPr>
          <w:sz w:val="24"/>
        </w:rPr>
        <w:t>1</w:t>
      </w:r>
      <w:r w:rsidR="00190549">
        <w:rPr>
          <w:sz w:val="24"/>
        </w:rPr>
        <w:t xml:space="preserve">: one </w:t>
      </w:r>
      <w:r w:rsidR="0042763A">
        <w:rPr>
          <w:sz w:val="24"/>
        </w:rPr>
        <w:t xml:space="preserve">annual </w:t>
      </w:r>
      <w:r>
        <w:rPr>
          <w:sz w:val="24"/>
        </w:rPr>
        <w:t xml:space="preserve">FR </w:t>
      </w:r>
      <w:r w:rsidR="001934AD">
        <w:rPr>
          <w:sz w:val="24"/>
        </w:rPr>
        <w:t>Y-14</w:t>
      </w:r>
      <w:r>
        <w:rPr>
          <w:sz w:val="24"/>
        </w:rPr>
        <w:t xml:space="preserve">A </w:t>
      </w:r>
      <w:r w:rsidR="00190549">
        <w:rPr>
          <w:sz w:val="24"/>
        </w:rPr>
        <w:t xml:space="preserve">filing </w:t>
      </w:r>
      <w:r>
        <w:rPr>
          <w:sz w:val="24"/>
        </w:rPr>
        <w:t>(</w:t>
      </w:r>
      <w:r w:rsidR="00535F3B">
        <w:rPr>
          <w:sz w:val="24"/>
        </w:rPr>
        <w:t xml:space="preserve">including </w:t>
      </w:r>
      <w:r>
        <w:rPr>
          <w:sz w:val="24"/>
        </w:rPr>
        <w:t>the Summary, Macro Scenario</w:t>
      </w:r>
      <w:r w:rsidR="00EE08DF">
        <w:rPr>
          <w:sz w:val="24"/>
        </w:rPr>
        <w:t xml:space="preserve">, </w:t>
      </w:r>
      <w:r w:rsidR="00503122">
        <w:rPr>
          <w:sz w:val="24"/>
        </w:rPr>
        <w:t xml:space="preserve">CCR, </w:t>
      </w:r>
      <w:r>
        <w:rPr>
          <w:sz w:val="24"/>
        </w:rPr>
        <w:t>Basel III</w:t>
      </w:r>
      <w:r w:rsidR="00EE08DF">
        <w:rPr>
          <w:sz w:val="24"/>
        </w:rPr>
        <w:t xml:space="preserve">, and </w:t>
      </w:r>
      <w:r w:rsidR="00EE08DF">
        <w:rPr>
          <w:sz w:val="24"/>
          <w:szCs w:val="24"/>
        </w:rPr>
        <w:t>Regulatory Capital Instruments</w:t>
      </w:r>
      <w:r>
        <w:rPr>
          <w:sz w:val="24"/>
        </w:rPr>
        <w:t xml:space="preserve"> </w:t>
      </w:r>
      <w:r w:rsidR="00535F3B">
        <w:rPr>
          <w:sz w:val="24"/>
        </w:rPr>
        <w:t xml:space="preserve">data </w:t>
      </w:r>
      <w:r w:rsidR="00705308">
        <w:rPr>
          <w:sz w:val="24"/>
        </w:rPr>
        <w:t>schedules</w:t>
      </w:r>
      <w:r>
        <w:rPr>
          <w:sz w:val="24"/>
        </w:rPr>
        <w:t xml:space="preserve">) and </w:t>
      </w:r>
      <w:r w:rsidR="00190549">
        <w:rPr>
          <w:sz w:val="24"/>
        </w:rPr>
        <w:t xml:space="preserve">four </w:t>
      </w:r>
      <w:r w:rsidR="0042763A">
        <w:rPr>
          <w:sz w:val="24"/>
        </w:rPr>
        <w:t xml:space="preserve">quarterly </w:t>
      </w:r>
      <w:r>
        <w:rPr>
          <w:sz w:val="24"/>
        </w:rPr>
        <w:t xml:space="preserve">FR </w:t>
      </w:r>
      <w:r w:rsidR="001934AD">
        <w:rPr>
          <w:sz w:val="24"/>
        </w:rPr>
        <w:t>Y-14</w:t>
      </w:r>
      <w:r w:rsidR="00535F3B">
        <w:rPr>
          <w:sz w:val="24"/>
        </w:rPr>
        <w:t>Q</w:t>
      </w:r>
      <w:r>
        <w:rPr>
          <w:sz w:val="24"/>
        </w:rPr>
        <w:t xml:space="preserve"> </w:t>
      </w:r>
      <w:r w:rsidR="00190549">
        <w:rPr>
          <w:sz w:val="24"/>
        </w:rPr>
        <w:t xml:space="preserve">filings </w:t>
      </w:r>
      <w:r>
        <w:rPr>
          <w:sz w:val="24"/>
        </w:rPr>
        <w:t>(</w:t>
      </w:r>
      <w:r w:rsidR="00535F3B">
        <w:rPr>
          <w:sz w:val="24"/>
        </w:rPr>
        <w:t xml:space="preserve">including </w:t>
      </w:r>
      <w:r>
        <w:rPr>
          <w:sz w:val="24"/>
        </w:rPr>
        <w:t xml:space="preserve">the </w:t>
      </w:r>
      <w:r>
        <w:rPr>
          <w:sz w:val="24"/>
          <w:szCs w:val="24"/>
        </w:rPr>
        <w:t>Securities Risk</w:t>
      </w:r>
      <w:r w:rsidR="00A76552">
        <w:rPr>
          <w:sz w:val="24"/>
          <w:szCs w:val="24"/>
        </w:rPr>
        <w:t xml:space="preserve">, </w:t>
      </w:r>
      <w:r>
        <w:rPr>
          <w:sz w:val="24"/>
          <w:szCs w:val="24"/>
        </w:rPr>
        <w:t>Retail Risk</w:t>
      </w:r>
      <w:r w:rsidR="00A76552">
        <w:rPr>
          <w:sz w:val="24"/>
          <w:szCs w:val="24"/>
        </w:rPr>
        <w:t>,</w:t>
      </w:r>
      <w:r>
        <w:rPr>
          <w:sz w:val="24"/>
          <w:szCs w:val="24"/>
        </w:rPr>
        <w:t xml:space="preserve"> PPNR</w:t>
      </w:r>
      <w:r w:rsidR="00A76552">
        <w:rPr>
          <w:sz w:val="24"/>
          <w:szCs w:val="24"/>
        </w:rPr>
        <w:t>,</w:t>
      </w:r>
      <w:r>
        <w:rPr>
          <w:sz w:val="24"/>
          <w:szCs w:val="24"/>
        </w:rPr>
        <w:t xml:space="preserve"> Wholesale Risk</w:t>
      </w:r>
      <w:r w:rsidR="00A76552">
        <w:rPr>
          <w:sz w:val="24"/>
          <w:szCs w:val="24"/>
        </w:rPr>
        <w:t>,</w:t>
      </w:r>
      <w:r>
        <w:rPr>
          <w:sz w:val="24"/>
          <w:szCs w:val="24"/>
        </w:rPr>
        <w:t xml:space="preserve"> Trading</w:t>
      </w:r>
      <w:r w:rsidR="00A76552">
        <w:rPr>
          <w:sz w:val="24"/>
          <w:szCs w:val="24"/>
        </w:rPr>
        <w:t xml:space="preserve"> Risk,</w:t>
      </w:r>
      <w:r>
        <w:rPr>
          <w:sz w:val="24"/>
          <w:szCs w:val="24"/>
        </w:rPr>
        <w:t xml:space="preserve"> </w:t>
      </w:r>
      <w:r w:rsidR="00EE08DF">
        <w:rPr>
          <w:sz w:val="24"/>
          <w:szCs w:val="24"/>
        </w:rPr>
        <w:t>Basel III</w:t>
      </w:r>
      <w:r w:rsidR="00A76552">
        <w:rPr>
          <w:sz w:val="24"/>
          <w:szCs w:val="24"/>
        </w:rPr>
        <w:t>,</w:t>
      </w:r>
      <w:r w:rsidR="00EE08DF">
        <w:rPr>
          <w:sz w:val="24"/>
          <w:szCs w:val="24"/>
        </w:rPr>
        <w:t xml:space="preserve"> and Regulatory Capital Instruments</w:t>
      </w:r>
      <w:r>
        <w:rPr>
          <w:sz w:val="24"/>
        </w:rPr>
        <w:t xml:space="preserve"> data </w:t>
      </w:r>
      <w:r w:rsidR="00705308">
        <w:rPr>
          <w:sz w:val="24"/>
        </w:rPr>
        <w:t>schedules</w:t>
      </w:r>
      <w:r>
        <w:rPr>
          <w:sz w:val="24"/>
        </w:rPr>
        <w:t xml:space="preserve">).  </w:t>
      </w:r>
      <w:r>
        <w:rPr>
          <w:color w:val="000000"/>
          <w:sz w:val="24"/>
          <w:szCs w:val="24"/>
        </w:rPr>
        <w:t>Compliance with the</w:t>
      </w:r>
      <w:r w:rsidR="00281266">
        <w:rPr>
          <w:color w:val="000000"/>
          <w:sz w:val="24"/>
          <w:szCs w:val="24"/>
        </w:rPr>
        <w:t>se</w:t>
      </w:r>
      <w:r>
        <w:rPr>
          <w:color w:val="000000"/>
          <w:sz w:val="24"/>
          <w:szCs w:val="24"/>
        </w:rPr>
        <w:t xml:space="preserve"> information collections would be mandatory.  </w:t>
      </w:r>
    </w:p>
    <w:p w:rsidR="006F362E" w:rsidRDefault="006F362E" w:rsidP="003C496C">
      <w:pPr>
        <w:tabs>
          <w:tab w:val="left" w:pos="-1080"/>
          <w:tab w:val="left" w:pos="-90"/>
          <w:tab w:val="left" w:pos="720"/>
          <w:tab w:val="left" w:pos="1440"/>
          <w:tab w:val="left" w:pos="1980"/>
          <w:tab w:val="left" w:pos="3960"/>
          <w:tab w:val="left" w:pos="5760"/>
          <w:tab w:val="left" w:pos="7740"/>
          <w:tab w:val="left" w:pos="8640"/>
        </w:tabs>
        <w:rPr>
          <w:sz w:val="24"/>
        </w:rPr>
      </w:pPr>
      <w:r>
        <w:rPr>
          <w:sz w:val="24"/>
        </w:rPr>
        <w:lastRenderedPageBreak/>
        <w:t xml:space="preserve"> </w:t>
      </w:r>
    </w:p>
    <w:p w:rsidR="001B5513" w:rsidRDefault="003C421A" w:rsidP="00B15ED6">
      <w:pPr>
        <w:tabs>
          <w:tab w:val="left" w:pos="-1080"/>
          <w:tab w:val="left" w:pos="-90"/>
          <w:tab w:val="left" w:pos="720"/>
          <w:tab w:val="left" w:pos="1440"/>
          <w:tab w:val="left" w:pos="1980"/>
          <w:tab w:val="left" w:pos="3960"/>
          <w:tab w:val="left" w:pos="5760"/>
          <w:tab w:val="left" w:pos="7740"/>
          <w:tab w:val="left" w:pos="8640"/>
        </w:tabs>
        <w:jc w:val="center"/>
        <w:rPr>
          <w:b/>
          <w:sz w:val="24"/>
          <w:szCs w:val="24"/>
        </w:rPr>
      </w:pPr>
      <w:r w:rsidRPr="003C421A">
        <w:rPr>
          <w:b/>
          <w:sz w:val="24"/>
          <w:szCs w:val="24"/>
        </w:rPr>
        <w:t xml:space="preserve">FR </w:t>
      </w:r>
      <w:r w:rsidR="001934AD">
        <w:rPr>
          <w:b/>
          <w:sz w:val="24"/>
          <w:szCs w:val="24"/>
        </w:rPr>
        <w:t>Y-14</w:t>
      </w:r>
      <w:r w:rsidRPr="003C421A">
        <w:rPr>
          <w:b/>
          <w:sz w:val="24"/>
          <w:szCs w:val="24"/>
        </w:rPr>
        <w:t>A (annual collection)</w:t>
      </w:r>
    </w:p>
    <w:p w:rsidR="006F362E" w:rsidRDefault="006F362E" w:rsidP="003C496C">
      <w:pPr>
        <w:tabs>
          <w:tab w:val="left" w:pos="-1080"/>
          <w:tab w:val="left" w:pos="-90"/>
          <w:tab w:val="left" w:pos="720"/>
          <w:tab w:val="left" w:pos="1440"/>
          <w:tab w:val="left" w:pos="1980"/>
          <w:tab w:val="left" w:pos="3960"/>
          <w:tab w:val="left" w:pos="5760"/>
          <w:tab w:val="left" w:pos="7740"/>
          <w:tab w:val="left" w:pos="8640"/>
        </w:tabs>
        <w:rPr>
          <w:b/>
          <w:sz w:val="24"/>
          <w:szCs w:val="24"/>
        </w:rPr>
      </w:pPr>
    </w:p>
    <w:p w:rsidR="00382DD0" w:rsidRDefault="001B6046" w:rsidP="003C496C">
      <w:pPr>
        <w:tabs>
          <w:tab w:val="left" w:pos="-1080"/>
          <w:tab w:val="left" w:pos="-90"/>
          <w:tab w:val="left" w:pos="720"/>
          <w:tab w:val="left" w:pos="1440"/>
          <w:tab w:val="left" w:pos="1980"/>
          <w:tab w:val="left" w:pos="3960"/>
          <w:tab w:val="left" w:pos="5760"/>
          <w:tab w:val="left" w:pos="7740"/>
          <w:tab w:val="left" w:pos="8640"/>
        </w:tabs>
        <w:rPr>
          <w:sz w:val="24"/>
          <w:szCs w:val="24"/>
        </w:rPr>
      </w:pPr>
      <w:r>
        <w:rPr>
          <w:b/>
          <w:sz w:val="24"/>
          <w:szCs w:val="24"/>
        </w:rPr>
        <w:tab/>
      </w:r>
      <w:r w:rsidRPr="001B6046">
        <w:rPr>
          <w:sz w:val="24"/>
          <w:szCs w:val="24"/>
        </w:rPr>
        <w:t xml:space="preserve">The annual collection of BHCs’ quantitative projected </w:t>
      </w:r>
      <w:r w:rsidR="00994991">
        <w:rPr>
          <w:sz w:val="24"/>
        </w:rPr>
        <w:t xml:space="preserve">regulatory capital ratios across a range of </w:t>
      </w:r>
      <w:r w:rsidRPr="001B6046">
        <w:rPr>
          <w:sz w:val="24"/>
          <w:szCs w:val="24"/>
        </w:rPr>
        <w:t>scenario</w:t>
      </w:r>
      <w:r w:rsidR="00994991">
        <w:rPr>
          <w:sz w:val="24"/>
          <w:szCs w:val="24"/>
        </w:rPr>
        <w:t>s</w:t>
      </w:r>
      <w:r w:rsidRPr="001B6046">
        <w:rPr>
          <w:sz w:val="24"/>
          <w:szCs w:val="24"/>
        </w:rPr>
        <w:t xml:space="preserve"> consists of the </w:t>
      </w:r>
      <w:r w:rsidR="00D95C1D">
        <w:rPr>
          <w:sz w:val="24"/>
          <w:szCs w:val="24"/>
        </w:rPr>
        <w:t>following five</w:t>
      </w:r>
      <w:r w:rsidR="00535F3B" w:rsidRPr="001B6046">
        <w:rPr>
          <w:sz w:val="24"/>
          <w:szCs w:val="24"/>
        </w:rPr>
        <w:t xml:space="preserve"> </w:t>
      </w:r>
      <w:r w:rsidRPr="001B6046">
        <w:rPr>
          <w:sz w:val="24"/>
          <w:szCs w:val="24"/>
        </w:rPr>
        <w:t xml:space="preserve">primary </w:t>
      </w:r>
      <w:r w:rsidR="00705308">
        <w:rPr>
          <w:sz w:val="24"/>
          <w:szCs w:val="24"/>
        </w:rPr>
        <w:t>schedules</w:t>
      </w:r>
      <w:r w:rsidR="007E6363">
        <w:rPr>
          <w:sz w:val="24"/>
          <w:szCs w:val="24"/>
        </w:rPr>
        <w:t>, each with multiple supporting worksheets</w:t>
      </w:r>
      <w:r w:rsidRPr="001B6046">
        <w:rPr>
          <w:sz w:val="24"/>
          <w:szCs w:val="24"/>
        </w:rPr>
        <w:t xml:space="preserve">.  </w:t>
      </w:r>
      <w:r w:rsidR="00994991">
        <w:rPr>
          <w:sz w:val="24"/>
        </w:rPr>
        <w:t xml:space="preserve">The FR </w:t>
      </w:r>
      <w:r w:rsidR="001934AD">
        <w:rPr>
          <w:sz w:val="24"/>
        </w:rPr>
        <w:t>Y-14</w:t>
      </w:r>
      <w:r w:rsidR="00994991">
        <w:rPr>
          <w:sz w:val="24"/>
        </w:rPr>
        <w:t xml:space="preserve">A would also </w:t>
      </w:r>
      <w:r w:rsidR="00940682">
        <w:rPr>
          <w:sz w:val="24"/>
        </w:rPr>
        <w:t xml:space="preserve">mandate the </w:t>
      </w:r>
      <w:r w:rsidR="00A76552">
        <w:rPr>
          <w:sz w:val="24"/>
        </w:rPr>
        <w:t>Federal Reserve</w:t>
      </w:r>
      <w:r w:rsidR="00994991">
        <w:rPr>
          <w:sz w:val="24"/>
        </w:rPr>
        <w:t xml:space="preserve"> to collect </w:t>
      </w:r>
      <w:r w:rsidR="00382DD0">
        <w:rPr>
          <w:sz w:val="24"/>
        </w:rPr>
        <w:t xml:space="preserve">qualitative information describing the methodologies used to </w:t>
      </w:r>
      <w:r w:rsidR="00382DD0">
        <w:rPr>
          <w:sz w:val="24"/>
          <w:szCs w:val="24"/>
        </w:rPr>
        <w:t xml:space="preserve">develop internal projections of capital across scenarios.  </w:t>
      </w:r>
    </w:p>
    <w:p w:rsidR="00994991" w:rsidRPr="00994991" w:rsidRDefault="00994991" w:rsidP="003C496C">
      <w:pPr>
        <w:tabs>
          <w:tab w:val="left" w:pos="-1080"/>
          <w:tab w:val="left" w:pos="-90"/>
          <w:tab w:val="left" w:pos="720"/>
          <w:tab w:val="left" w:pos="1440"/>
          <w:tab w:val="left" w:pos="1980"/>
          <w:tab w:val="left" w:pos="3960"/>
          <w:tab w:val="left" w:pos="5760"/>
          <w:tab w:val="left" w:pos="7740"/>
          <w:tab w:val="left" w:pos="8640"/>
        </w:tabs>
        <w:rPr>
          <w:sz w:val="24"/>
          <w:szCs w:val="24"/>
        </w:rPr>
      </w:pPr>
    </w:p>
    <w:p w:rsidR="00B15ED6" w:rsidRDefault="006F362E" w:rsidP="0008147F">
      <w:pPr>
        <w:ind w:firstLine="720"/>
        <w:rPr>
          <w:b/>
          <w:sz w:val="24"/>
          <w:szCs w:val="24"/>
        </w:rPr>
      </w:pPr>
      <w:r w:rsidRPr="00D51494">
        <w:rPr>
          <w:b/>
          <w:sz w:val="24"/>
          <w:szCs w:val="24"/>
        </w:rPr>
        <w:t xml:space="preserve">Summary </w:t>
      </w:r>
      <w:r w:rsidR="00705308">
        <w:rPr>
          <w:b/>
          <w:sz w:val="24"/>
          <w:szCs w:val="24"/>
        </w:rPr>
        <w:t>Schedule</w:t>
      </w:r>
      <w:r>
        <w:rPr>
          <w:b/>
          <w:sz w:val="24"/>
          <w:szCs w:val="24"/>
        </w:rPr>
        <w:t xml:space="preserve"> </w:t>
      </w:r>
    </w:p>
    <w:p w:rsidR="00B15ED6" w:rsidRDefault="00B15ED6" w:rsidP="0008147F">
      <w:pPr>
        <w:ind w:firstLine="720"/>
        <w:rPr>
          <w:b/>
          <w:sz w:val="24"/>
          <w:szCs w:val="24"/>
        </w:rPr>
      </w:pPr>
    </w:p>
    <w:p w:rsidR="006F362E" w:rsidRPr="00D51494" w:rsidRDefault="00372AB9" w:rsidP="0008147F">
      <w:pPr>
        <w:ind w:firstLine="720"/>
        <w:rPr>
          <w:sz w:val="24"/>
        </w:rPr>
      </w:pPr>
      <w:r>
        <w:rPr>
          <w:sz w:val="24"/>
        </w:rPr>
        <w:t xml:space="preserve">The Summary </w:t>
      </w:r>
      <w:r w:rsidR="00705308">
        <w:rPr>
          <w:sz w:val="24"/>
        </w:rPr>
        <w:t>schedule</w:t>
      </w:r>
      <w:r>
        <w:rPr>
          <w:sz w:val="24"/>
        </w:rPr>
        <w:t xml:space="preserve"> has been designed to collect</w:t>
      </w:r>
      <w:r w:rsidR="006F362E">
        <w:rPr>
          <w:sz w:val="24"/>
        </w:rPr>
        <w:t xml:space="preserve"> information necessary for </w:t>
      </w:r>
      <w:r w:rsidR="00A76552">
        <w:rPr>
          <w:sz w:val="24"/>
        </w:rPr>
        <w:t xml:space="preserve">the Federal Reserve </w:t>
      </w:r>
      <w:r w:rsidR="006F362E">
        <w:rPr>
          <w:sz w:val="24"/>
        </w:rPr>
        <w:t xml:space="preserve">to evaluate projections of regulatory capital ratios across a range of scenarios as part of the broader </w:t>
      </w:r>
      <w:r w:rsidR="0008147F">
        <w:rPr>
          <w:sz w:val="24"/>
        </w:rPr>
        <w:t>CCAR initiative</w:t>
      </w:r>
      <w:r w:rsidR="006F362E">
        <w:rPr>
          <w:sz w:val="24"/>
        </w:rPr>
        <w:t xml:space="preserve">.  This information </w:t>
      </w:r>
      <w:r w:rsidR="0008147F">
        <w:rPr>
          <w:sz w:val="24"/>
        </w:rPr>
        <w:t xml:space="preserve">would </w:t>
      </w:r>
      <w:r w:rsidR="006F362E">
        <w:rPr>
          <w:sz w:val="24"/>
        </w:rPr>
        <w:t xml:space="preserve">include projections of losses, revenues, and capital actions that are the primary determinants of projected capital ratios.  By collecting </w:t>
      </w:r>
      <w:r w:rsidR="0008147F">
        <w:rPr>
          <w:sz w:val="24"/>
        </w:rPr>
        <w:t xml:space="preserve">these </w:t>
      </w:r>
      <w:r w:rsidR="006F362E">
        <w:rPr>
          <w:sz w:val="24"/>
        </w:rPr>
        <w:t xml:space="preserve">data, </w:t>
      </w:r>
      <w:r w:rsidR="00EE08DF">
        <w:rPr>
          <w:sz w:val="24"/>
        </w:rPr>
        <w:t xml:space="preserve">along with other qualitative information, </w:t>
      </w:r>
      <w:r w:rsidR="00A76552">
        <w:rPr>
          <w:sz w:val="24"/>
        </w:rPr>
        <w:t xml:space="preserve">the Federal Reserve </w:t>
      </w:r>
      <w:r w:rsidR="0008147F">
        <w:rPr>
          <w:sz w:val="24"/>
        </w:rPr>
        <w:t xml:space="preserve">would </w:t>
      </w:r>
      <w:r w:rsidR="006F362E">
        <w:rPr>
          <w:sz w:val="24"/>
        </w:rPr>
        <w:t>be able to assess the appropriateness and robustness of the methodologies used by the BHCs and to identify areas where improvements are necessary.  This is a critical part of a forward-looking evaluation of a BHC’s capital adequacy.</w:t>
      </w:r>
      <w:r w:rsidR="0008147F">
        <w:rPr>
          <w:sz w:val="24"/>
        </w:rPr>
        <w:t xml:space="preserve"> </w:t>
      </w:r>
    </w:p>
    <w:p w:rsidR="006F362E" w:rsidRPr="00D51494" w:rsidRDefault="006F362E" w:rsidP="006F362E">
      <w:pPr>
        <w:ind w:firstLine="720"/>
      </w:pPr>
    </w:p>
    <w:p w:rsidR="006F362E" w:rsidRPr="00D51494" w:rsidRDefault="006F362E" w:rsidP="006F362E">
      <w:pPr>
        <w:ind w:firstLine="720"/>
        <w:rPr>
          <w:sz w:val="24"/>
        </w:rPr>
      </w:pPr>
      <w:r>
        <w:rPr>
          <w:sz w:val="24"/>
        </w:rPr>
        <w:t xml:space="preserve">The Summary </w:t>
      </w:r>
      <w:r w:rsidR="00705308">
        <w:rPr>
          <w:sz w:val="24"/>
        </w:rPr>
        <w:t>schedule</w:t>
      </w:r>
      <w:r>
        <w:rPr>
          <w:sz w:val="24"/>
        </w:rPr>
        <w:t xml:space="preserve"> </w:t>
      </w:r>
      <w:r w:rsidR="0008147F">
        <w:rPr>
          <w:sz w:val="24"/>
        </w:rPr>
        <w:t xml:space="preserve">would </w:t>
      </w:r>
      <w:r>
        <w:rPr>
          <w:sz w:val="24"/>
        </w:rPr>
        <w:t>consist of three primary components – income statement projections</w:t>
      </w:r>
      <w:r w:rsidR="0008147F">
        <w:rPr>
          <w:sz w:val="24"/>
        </w:rPr>
        <w:t>,</w:t>
      </w:r>
      <w:r>
        <w:rPr>
          <w:sz w:val="24"/>
        </w:rPr>
        <w:t xml:space="preserve"> balance sheet projections</w:t>
      </w:r>
      <w:r w:rsidR="0008147F">
        <w:rPr>
          <w:sz w:val="24"/>
        </w:rPr>
        <w:t xml:space="preserve">, </w:t>
      </w:r>
      <w:r>
        <w:rPr>
          <w:sz w:val="24"/>
        </w:rPr>
        <w:t>and capital-related projections</w:t>
      </w:r>
      <w:r w:rsidR="0008147F">
        <w:rPr>
          <w:sz w:val="24"/>
        </w:rPr>
        <w:t>.</w:t>
      </w:r>
      <w:r>
        <w:rPr>
          <w:sz w:val="24"/>
        </w:rPr>
        <w:t xml:space="preserve">  </w:t>
      </w:r>
      <w:r w:rsidR="00DB2ACB">
        <w:rPr>
          <w:sz w:val="24"/>
        </w:rPr>
        <w:t xml:space="preserve">There are also a number of worksheets for the </w:t>
      </w:r>
      <w:r w:rsidR="00B959D3">
        <w:rPr>
          <w:sz w:val="24"/>
        </w:rPr>
        <w:t xml:space="preserve">BHCs </w:t>
      </w:r>
      <w:r w:rsidR="00DB2ACB">
        <w:rPr>
          <w:sz w:val="24"/>
        </w:rPr>
        <w:t xml:space="preserve">to project various </w:t>
      </w:r>
      <w:r w:rsidR="0008147F">
        <w:rPr>
          <w:sz w:val="24"/>
        </w:rPr>
        <w:t>data</w:t>
      </w:r>
      <w:r w:rsidR="00DB2ACB">
        <w:rPr>
          <w:sz w:val="24"/>
        </w:rPr>
        <w:t xml:space="preserve"> items, including charge-offs,</w:t>
      </w:r>
      <w:r w:rsidR="00B218C0">
        <w:rPr>
          <w:sz w:val="24"/>
        </w:rPr>
        <w:t xml:space="preserve"> gains or losses </w:t>
      </w:r>
      <w:r w:rsidR="004E7DB7">
        <w:rPr>
          <w:sz w:val="24"/>
        </w:rPr>
        <w:t>related to</w:t>
      </w:r>
      <w:r w:rsidR="00DB2ACB">
        <w:rPr>
          <w:sz w:val="24"/>
        </w:rPr>
        <w:t xml:space="preserve"> </w:t>
      </w:r>
      <w:r w:rsidR="00F83CCA">
        <w:rPr>
          <w:sz w:val="24"/>
        </w:rPr>
        <w:t>trading</w:t>
      </w:r>
      <w:r w:rsidR="004E7DB7">
        <w:rPr>
          <w:sz w:val="24"/>
        </w:rPr>
        <w:t xml:space="preserve"> activities</w:t>
      </w:r>
      <w:r w:rsidR="00F83CCA">
        <w:rPr>
          <w:sz w:val="24"/>
        </w:rPr>
        <w:t xml:space="preserve"> </w:t>
      </w:r>
      <w:r w:rsidR="00B218C0">
        <w:rPr>
          <w:sz w:val="24"/>
        </w:rPr>
        <w:t xml:space="preserve">and </w:t>
      </w:r>
      <w:r w:rsidR="004E7DB7">
        <w:rPr>
          <w:sz w:val="24"/>
        </w:rPr>
        <w:t>counterparty</w:t>
      </w:r>
      <w:r w:rsidR="00B218C0">
        <w:rPr>
          <w:sz w:val="24"/>
        </w:rPr>
        <w:t xml:space="preserve"> positions</w:t>
      </w:r>
      <w:r w:rsidR="00F83CCA">
        <w:rPr>
          <w:sz w:val="24"/>
        </w:rPr>
        <w:t xml:space="preserve">, </w:t>
      </w:r>
      <w:r w:rsidR="00730FD1">
        <w:rPr>
          <w:sz w:val="24"/>
        </w:rPr>
        <w:t xml:space="preserve">operational risk losses, </w:t>
      </w:r>
      <w:r w:rsidR="00DB2ACB">
        <w:rPr>
          <w:sz w:val="24"/>
        </w:rPr>
        <w:t>gains</w:t>
      </w:r>
      <w:r w:rsidR="007E6363">
        <w:rPr>
          <w:sz w:val="24"/>
        </w:rPr>
        <w:t xml:space="preserve"> or </w:t>
      </w:r>
      <w:r w:rsidR="00DB2ACB">
        <w:rPr>
          <w:sz w:val="24"/>
        </w:rPr>
        <w:t xml:space="preserve">losses on securities, and </w:t>
      </w:r>
      <w:r w:rsidR="00D62A69">
        <w:rPr>
          <w:sz w:val="24"/>
        </w:rPr>
        <w:t>PPNR</w:t>
      </w:r>
      <w:r w:rsidR="00DB2ACB">
        <w:rPr>
          <w:sz w:val="24"/>
        </w:rPr>
        <w:t xml:space="preserve">.  </w:t>
      </w:r>
      <w:r>
        <w:rPr>
          <w:sz w:val="24"/>
        </w:rPr>
        <w:t xml:space="preserve">The complete Summary </w:t>
      </w:r>
      <w:r w:rsidR="00705308">
        <w:rPr>
          <w:sz w:val="24"/>
        </w:rPr>
        <w:t>schedule</w:t>
      </w:r>
      <w:r>
        <w:rPr>
          <w:sz w:val="24"/>
        </w:rPr>
        <w:t xml:space="preserve"> </w:t>
      </w:r>
      <w:r w:rsidR="0008147F">
        <w:rPr>
          <w:sz w:val="24"/>
        </w:rPr>
        <w:t xml:space="preserve">would </w:t>
      </w:r>
      <w:r>
        <w:rPr>
          <w:sz w:val="24"/>
        </w:rPr>
        <w:t xml:space="preserve">be </w:t>
      </w:r>
      <w:r w:rsidR="006A4A61">
        <w:rPr>
          <w:sz w:val="24"/>
        </w:rPr>
        <w:t xml:space="preserve">submitted </w:t>
      </w:r>
      <w:r>
        <w:rPr>
          <w:sz w:val="24"/>
        </w:rPr>
        <w:t xml:space="preserve">for each scenario evaluated by the BHC and </w:t>
      </w:r>
      <w:r w:rsidR="0008147F">
        <w:rPr>
          <w:sz w:val="24"/>
        </w:rPr>
        <w:t xml:space="preserve">would </w:t>
      </w:r>
      <w:r>
        <w:rPr>
          <w:sz w:val="24"/>
        </w:rPr>
        <w:t>include nine quarters of project</w:t>
      </w:r>
      <w:r w:rsidR="00A76552">
        <w:rPr>
          <w:sz w:val="24"/>
        </w:rPr>
        <w:t>ed data</w:t>
      </w:r>
      <w:r>
        <w:rPr>
          <w:sz w:val="24"/>
        </w:rPr>
        <w:t>.</w:t>
      </w:r>
    </w:p>
    <w:p w:rsidR="006F362E" w:rsidRPr="00D51494" w:rsidRDefault="006F362E" w:rsidP="006F362E">
      <w:pPr>
        <w:ind w:firstLine="720"/>
      </w:pPr>
    </w:p>
    <w:p w:rsidR="006F362E" w:rsidRPr="00D51494" w:rsidRDefault="006F362E" w:rsidP="006F362E">
      <w:pPr>
        <w:ind w:firstLine="720"/>
        <w:rPr>
          <w:sz w:val="24"/>
        </w:rPr>
      </w:pPr>
      <w:r>
        <w:rPr>
          <w:sz w:val="24"/>
        </w:rPr>
        <w:t xml:space="preserve">The </w:t>
      </w:r>
      <w:r w:rsidR="00A76504" w:rsidRPr="00A76504">
        <w:rPr>
          <w:i/>
          <w:sz w:val="24"/>
        </w:rPr>
        <w:t>Income Statement worksheet</w:t>
      </w:r>
      <w:r>
        <w:rPr>
          <w:sz w:val="24"/>
        </w:rPr>
        <w:t xml:space="preserve"> </w:t>
      </w:r>
      <w:r w:rsidR="006F4282">
        <w:rPr>
          <w:sz w:val="24"/>
        </w:rPr>
        <w:t xml:space="preserve">would </w:t>
      </w:r>
      <w:r>
        <w:rPr>
          <w:sz w:val="24"/>
        </w:rPr>
        <w:t xml:space="preserve">collect data on quarterly projections of losses and revenues.  This </w:t>
      </w:r>
      <w:r w:rsidR="00A76552">
        <w:rPr>
          <w:sz w:val="24"/>
        </w:rPr>
        <w:t xml:space="preserve">worksheet </w:t>
      </w:r>
      <w:r>
        <w:rPr>
          <w:sz w:val="24"/>
        </w:rPr>
        <w:t>is organized similar</w:t>
      </w:r>
      <w:r w:rsidR="00372AB9">
        <w:rPr>
          <w:sz w:val="24"/>
        </w:rPr>
        <w:t xml:space="preserve"> to</w:t>
      </w:r>
      <w:r>
        <w:rPr>
          <w:sz w:val="24"/>
        </w:rPr>
        <w:t>, but not identical</w:t>
      </w:r>
      <w:r w:rsidR="00372AB9">
        <w:rPr>
          <w:sz w:val="24"/>
        </w:rPr>
        <w:t xml:space="preserve"> to</w:t>
      </w:r>
      <w:r>
        <w:rPr>
          <w:sz w:val="24"/>
        </w:rPr>
        <w:t>, the</w:t>
      </w:r>
      <w:r w:rsidR="006025EA">
        <w:rPr>
          <w:sz w:val="24"/>
        </w:rPr>
        <w:t xml:space="preserve"> </w:t>
      </w:r>
      <w:r w:rsidR="006025EA" w:rsidRPr="006025EA">
        <w:rPr>
          <w:sz w:val="24"/>
          <w:szCs w:val="24"/>
        </w:rPr>
        <w:t>mandatory Consolidated Financial Statements for Bank Holding Companies (FR Y-9C; OMB No. 7100-0128).</w:t>
      </w:r>
      <w:r w:rsidR="006025EA">
        <w:rPr>
          <w:sz w:val="24"/>
          <w:szCs w:val="24"/>
        </w:rPr>
        <w:t xml:space="preserve"> </w:t>
      </w:r>
      <w:r>
        <w:rPr>
          <w:sz w:val="24"/>
        </w:rPr>
        <w:t xml:space="preserve"> For example, BHCs </w:t>
      </w:r>
      <w:r w:rsidR="006025EA">
        <w:rPr>
          <w:sz w:val="24"/>
        </w:rPr>
        <w:t xml:space="preserve">would </w:t>
      </w:r>
      <w:r>
        <w:rPr>
          <w:sz w:val="24"/>
        </w:rPr>
        <w:t xml:space="preserve">report estimates of losses for all categories of loans, securities and trading assets and </w:t>
      </w:r>
      <w:r w:rsidR="006025EA">
        <w:rPr>
          <w:sz w:val="24"/>
        </w:rPr>
        <w:t xml:space="preserve">would </w:t>
      </w:r>
      <w:r>
        <w:rPr>
          <w:sz w:val="24"/>
        </w:rPr>
        <w:t xml:space="preserve">include estimates of the components of BHC revenue.  In addition, </w:t>
      </w:r>
      <w:r w:rsidR="006025EA">
        <w:rPr>
          <w:sz w:val="24"/>
        </w:rPr>
        <w:t>this worksheet</w:t>
      </w:r>
      <w:r>
        <w:rPr>
          <w:sz w:val="24"/>
        </w:rPr>
        <w:t xml:space="preserve"> </w:t>
      </w:r>
      <w:r w:rsidR="006F4282">
        <w:rPr>
          <w:sz w:val="24"/>
        </w:rPr>
        <w:t xml:space="preserve">would </w:t>
      </w:r>
      <w:r>
        <w:rPr>
          <w:sz w:val="24"/>
        </w:rPr>
        <w:t xml:space="preserve">collect certain </w:t>
      </w:r>
      <w:r w:rsidR="006F4282">
        <w:rPr>
          <w:sz w:val="24"/>
        </w:rPr>
        <w:t xml:space="preserve">tax-related data </w:t>
      </w:r>
      <w:r>
        <w:rPr>
          <w:sz w:val="24"/>
        </w:rPr>
        <w:t xml:space="preserve">items.  The </w:t>
      </w:r>
      <w:r w:rsidR="00A76504" w:rsidRPr="00A76504">
        <w:rPr>
          <w:i/>
          <w:sz w:val="24"/>
        </w:rPr>
        <w:t>Balance Sheet worksheet</w:t>
      </w:r>
      <w:r>
        <w:rPr>
          <w:sz w:val="24"/>
        </w:rPr>
        <w:t xml:space="preserve"> </w:t>
      </w:r>
      <w:r w:rsidR="006F4282">
        <w:rPr>
          <w:sz w:val="24"/>
        </w:rPr>
        <w:t xml:space="preserve">would </w:t>
      </w:r>
      <w:r>
        <w:rPr>
          <w:sz w:val="24"/>
        </w:rPr>
        <w:t xml:space="preserve">collect data on quarterly projections of the BHC balance sheet, which includes components of assets, liabilities, and equity capital.  The </w:t>
      </w:r>
      <w:r w:rsidR="00A76504" w:rsidRPr="00A76504">
        <w:rPr>
          <w:i/>
          <w:sz w:val="24"/>
        </w:rPr>
        <w:t>Capital worksheet</w:t>
      </w:r>
      <w:r>
        <w:rPr>
          <w:sz w:val="24"/>
        </w:rPr>
        <w:t xml:space="preserve"> </w:t>
      </w:r>
      <w:r w:rsidR="006F4282">
        <w:rPr>
          <w:sz w:val="24"/>
        </w:rPr>
        <w:t xml:space="preserve">would </w:t>
      </w:r>
      <w:r>
        <w:rPr>
          <w:sz w:val="24"/>
        </w:rPr>
        <w:t xml:space="preserve">collect data on quarterly projections of equity capital and regulatory capital.  </w:t>
      </w:r>
      <w:r w:rsidR="006025EA">
        <w:rPr>
          <w:sz w:val="24"/>
        </w:rPr>
        <w:t xml:space="preserve">In addition, this worksheet </w:t>
      </w:r>
      <w:r w:rsidR="006F4282">
        <w:rPr>
          <w:sz w:val="24"/>
        </w:rPr>
        <w:t xml:space="preserve">would </w:t>
      </w:r>
      <w:r>
        <w:rPr>
          <w:sz w:val="24"/>
        </w:rPr>
        <w:t xml:space="preserve">also </w:t>
      </w:r>
      <w:r w:rsidR="006025EA">
        <w:rPr>
          <w:sz w:val="24"/>
        </w:rPr>
        <w:t xml:space="preserve">collect </w:t>
      </w:r>
      <w:r>
        <w:rPr>
          <w:sz w:val="24"/>
        </w:rPr>
        <w:t>projections of capital actions such as</w:t>
      </w:r>
      <w:r w:rsidR="00021EDF">
        <w:rPr>
          <w:sz w:val="24"/>
        </w:rPr>
        <w:t>:</w:t>
      </w:r>
      <w:r>
        <w:rPr>
          <w:sz w:val="24"/>
        </w:rPr>
        <w:t xml:space="preserve"> common dividends and share repurchases that </w:t>
      </w:r>
      <w:r w:rsidR="006A4A61">
        <w:rPr>
          <w:sz w:val="24"/>
        </w:rPr>
        <w:t>a</w:t>
      </w:r>
      <w:r w:rsidR="006F4282">
        <w:rPr>
          <w:sz w:val="24"/>
        </w:rPr>
        <w:t xml:space="preserve">ffect </w:t>
      </w:r>
      <w:r>
        <w:rPr>
          <w:sz w:val="24"/>
        </w:rPr>
        <w:t>a BHC’s equity capital</w:t>
      </w:r>
      <w:r w:rsidR="00021EDF">
        <w:rPr>
          <w:sz w:val="24"/>
        </w:rPr>
        <w:t>,</w:t>
      </w:r>
      <w:r>
        <w:rPr>
          <w:sz w:val="24"/>
        </w:rPr>
        <w:t xml:space="preserve"> projections of the filters and deductions necessary to estimate regulatory capital</w:t>
      </w:r>
      <w:r w:rsidR="00021EDF">
        <w:rPr>
          <w:sz w:val="24"/>
        </w:rPr>
        <w:t>,</w:t>
      </w:r>
      <w:r w:rsidR="006025EA">
        <w:rPr>
          <w:sz w:val="24"/>
        </w:rPr>
        <w:t xml:space="preserve"> </w:t>
      </w:r>
      <w:r>
        <w:rPr>
          <w:sz w:val="24"/>
        </w:rPr>
        <w:t>ancillary data on other balance sheet items</w:t>
      </w:r>
      <w:r w:rsidR="006025EA">
        <w:rPr>
          <w:sz w:val="24"/>
        </w:rPr>
        <w:t xml:space="preserve"> and</w:t>
      </w:r>
      <w:r>
        <w:rPr>
          <w:sz w:val="24"/>
        </w:rPr>
        <w:t xml:space="preserve"> risk-weighted assets</w:t>
      </w:r>
      <w:r w:rsidR="00021EDF">
        <w:rPr>
          <w:sz w:val="24"/>
        </w:rPr>
        <w:t>,</w:t>
      </w:r>
      <w:r>
        <w:rPr>
          <w:sz w:val="24"/>
        </w:rPr>
        <w:t xml:space="preserve"> supporting data necessary to estimate the </w:t>
      </w:r>
      <w:r w:rsidR="006F4282">
        <w:rPr>
          <w:sz w:val="24"/>
        </w:rPr>
        <w:t xml:space="preserve">effect </w:t>
      </w:r>
      <w:r>
        <w:rPr>
          <w:sz w:val="24"/>
        </w:rPr>
        <w:t>of the deferred tax asset on regulatory capital</w:t>
      </w:r>
      <w:r w:rsidR="00021EDF">
        <w:rPr>
          <w:sz w:val="24"/>
        </w:rPr>
        <w:t>,</w:t>
      </w:r>
      <w:r>
        <w:rPr>
          <w:sz w:val="24"/>
        </w:rPr>
        <w:t xml:space="preserve"> and supporting data related to discretionary capital actions.</w:t>
      </w:r>
    </w:p>
    <w:p w:rsidR="006F362E" w:rsidRPr="00D51494" w:rsidRDefault="006F362E" w:rsidP="006F362E">
      <w:pPr>
        <w:ind w:firstLine="720"/>
        <w:rPr>
          <w:sz w:val="24"/>
        </w:rPr>
      </w:pPr>
    </w:p>
    <w:p w:rsidR="004F0206" w:rsidRDefault="004F0206" w:rsidP="006F362E">
      <w:pPr>
        <w:ind w:firstLine="720"/>
        <w:rPr>
          <w:sz w:val="24"/>
          <w:szCs w:val="24"/>
        </w:rPr>
      </w:pPr>
      <w:r>
        <w:rPr>
          <w:sz w:val="24"/>
          <w:szCs w:val="24"/>
        </w:rPr>
        <w:t xml:space="preserve">The Summary </w:t>
      </w:r>
      <w:r w:rsidR="00705308">
        <w:rPr>
          <w:sz w:val="24"/>
          <w:szCs w:val="24"/>
        </w:rPr>
        <w:t>schedule</w:t>
      </w:r>
      <w:r>
        <w:rPr>
          <w:sz w:val="24"/>
          <w:szCs w:val="24"/>
        </w:rPr>
        <w:t xml:space="preserve"> would also collect </w:t>
      </w:r>
      <w:r w:rsidR="00C56281">
        <w:rPr>
          <w:sz w:val="24"/>
          <w:szCs w:val="24"/>
        </w:rPr>
        <w:t xml:space="preserve">separate </w:t>
      </w:r>
      <w:r>
        <w:rPr>
          <w:sz w:val="24"/>
          <w:szCs w:val="24"/>
        </w:rPr>
        <w:t>project</w:t>
      </w:r>
      <w:r w:rsidR="006F4282">
        <w:rPr>
          <w:sz w:val="24"/>
          <w:szCs w:val="24"/>
        </w:rPr>
        <w:t>ion</w:t>
      </w:r>
      <w:r>
        <w:rPr>
          <w:sz w:val="24"/>
          <w:szCs w:val="24"/>
        </w:rPr>
        <w:t xml:space="preserve"> data </w:t>
      </w:r>
      <w:r w:rsidR="00C56281">
        <w:rPr>
          <w:sz w:val="24"/>
          <w:szCs w:val="24"/>
        </w:rPr>
        <w:t xml:space="preserve">worksheets </w:t>
      </w:r>
      <w:r w:rsidR="00F83CCA">
        <w:rPr>
          <w:sz w:val="24"/>
          <w:szCs w:val="24"/>
        </w:rPr>
        <w:t>related to various components of the income statement, including charge-offs on various loan port</w:t>
      </w:r>
      <w:r w:rsidR="00EA370B">
        <w:rPr>
          <w:sz w:val="24"/>
          <w:szCs w:val="24"/>
        </w:rPr>
        <w:t xml:space="preserve">folios, </w:t>
      </w:r>
      <w:r w:rsidR="00EE08DF">
        <w:rPr>
          <w:sz w:val="24"/>
          <w:szCs w:val="24"/>
        </w:rPr>
        <w:t xml:space="preserve">gains or losses related to </w:t>
      </w:r>
      <w:r w:rsidR="00EA370B">
        <w:rPr>
          <w:sz w:val="24"/>
          <w:szCs w:val="24"/>
        </w:rPr>
        <w:t xml:space="preserve">trading </w:t>
      </w:r>
      <w:r w:rsidR="00EE08DF">
        <w:rPr>
          <w:sz w:val="24"/>
          <w:szCs w:val="24"/>
        </w:rPr>
        <w:t xml:space="preserve">activities </w:t>
      </w:r>
      <w:r w:rsidR="0080462D">
        <w:rPr>
          <w:sz w:val="24"/>
          <w:szCs w:val="24"/>
        </w:rPr>
        <w:t xml:space="preserve">and counterparty </w:t>
      </w:r>
      <w:r w:rsidR="00334245">
        <w:rPr>
          <w:sz w:val="24"/>
          <w:szCs w:val="24"/>
        </w:rPr>
        <w:t>positions</w:t>
      </w:r>
      <w:r w:rsidR="00EA370B">
        <w:rPr>
          <w:sz w:val="24"/>
          <w:szCs w:val="24"/>
        </w:rPr>
        <w:t xml:space="preserve">, gains or </w:t>
      </w:r>
      <w:r w:rsidR="00F83CCA">
        <w:rPr>
          <w:sz w:val="24"/>
          <w:szCs w:val="24"/>
        </w:rPr>
        <w:t xml:space="preserve">losses on securities, operational risk, and </w:t>
      </w:r>
      <w:r w:rsidR="0080462D">
        <w:rPr>
          <w:sz w:val="24"/>
          <w:szCs w:val="24"/>
        </w:rPr>
        <w:t>PPNR</w:t>
      </w:r>
      <w:r w:rsidR="00F83CCA">
        <w:rPr>
          <w:sz w:val="24"/>
          <w:szCs w:val="24"/>
        </w:rPr>
        <w:t>.</w:t>
      </w:r>
    </w:p>
    <w:p w:rsidR="00F83CCA" w:rsidRDefault="00F83CCA" w:rsidP="006F362E">
      <w:pPr>
        <w:ind w:firstLine="720"/>
        <w:rPr>
          <w:sz w:val="24"/>
          <w:szCs w:val="24"/>
        </w:rPr>
      </w:pPr>
    </w:p>
    <w:p w:rsidR="00F83CCA" w:rsidRPr="00F85C59" w:rsidRDefault="00F83CCA" w:rsidP="000E61CE">
      <w:pPr>
        <w:tabs>
          <w:tab w:val="left" w:pos="-1080"/>
          <w:tab w:val="left" w:pos="-90"/>
          <w:tab w:val="left" w:pos="720"/>
          <w:tab w:val="left" w:pos="1440"/>
          <w:tab w:val="left" w:pos="1980"/>
          <w:tab w:val="left" w:pos="3960"/>
          <w:tab w:val="left" w:pos="5760"/>
          <w:tab w:val="left" w:pos="7740"/>
          <w:tab w:val="left" w:pos="8640"/>
        </w:tabs>
        <w:rPr>
          <w:color w:val="000000"/>
          <w:sz w:val="24"/>
          <w:szCs w:val="24"/>
        </w:rPr>
      </w:pPr>
      <w:r>
        <w:rPr>
          <w:color w:val="000000"/>
          <w:sz w:val="24"/>
          <w:szCs w:val="24"/>
        </w:rPr>
        <w:lastRenderedPageBreak/>
        <w:tab/>
      </w:r>
      <w:r>
        <w:rPr>
          <w:sz w:val="24"/>
          <w:szCs w:val="24"/>
        </w:rPr>
        <w:t xml:space="preserve">The </w:t>
      </w:r>
      <w:r w:rsidR="00A76504" w:rsidRPr="00A76504">
        <w:rPr>
          <w:i/>
          <w:sz w:val="24"/>
          <w:szCs w:val="24"/>
        </w:rPr>
        <w:t xml:space="preserve">Retail </w:t>
      </w:r>
      <w:r w:rsidR="00A76552">
        <w:rPr>
          <w:i/>
          <w:sz w:val="24"/>
          <w:szCs w:val="24"/>
        </w:rPr>
        <w:t>Risk</w:t>
      </w:r>
      <w:r w:rsidR="00A76504" w:rsidRPr="00A76504">
        <w:rPr>
          <w:i/>
          <w:sz w:val="24"/>
          <w:szCs w:val="24"/>
        </w:rPr>
        <w:t xml:space="preserve"> worksheet</w:t>
      </w:r>
      <w:r>
        <w:rPr>
          <w:sz w:val="24"/>
          <w:szCs w:val="24"/>
        </w:rPr>
        <w:t xml:space="preserve"> would collect expected losses on the </w:t>
      </w:r>
      <w:r w:rsidR="000E61CE">
        <w:rPr>
          <w:sz w:val="24"/>
          <w:szCs w:val="24"/>
        </w:rPr>
        <w:t>respective</w:t>
      </w:r>
      <w:r>
        <w:rPr>
          <w:sz w:val="24"/>
          <w:szCs w:val="24"/>
        </w:rPr>
        <w:t xml:space="preserve"> portfolio</w:t>
      </w:r>
      <w:r w:rsidR="000E61CE">
        <w:rPr>
          <w:sz w:val="24"/>
          <w:szCs w:val="24"/>
        </w:rPr>
        <w:t>s</w:t>
      </w:r>
      <w:r>
        <w:rPr>
          <w:sz w:val="24"/>
          <w:szCs w:val="24"/>
        </w:rPr>
        <w:t>.</w:t>
      </w:r>
      <w:r w:rsidR="000E61CE">
        <w:rPr>
          <w:sz w:val="24"/>
          <w:szCs w:val="24"/>
        </w:rPr>
        <w:t xml:space="preserve">  </w:t>
      </w:r>
      <w:r w:rsidR="00A76552" w:rsidRPr="00F85C59">
        <w:rPr>
          <w:color w:val="000000"/>
          <w:sz w:val="24"/>
          <w:szCs w:val="24"/>
        </w:rPr>
        <w:t xml:space="preserve">The </w:t>
      </w:r>
      <w:r w:rsidR="00A76552" w:rsidRPr="00F85C59">
        <w:rPr>
          <w:i/>
          <w:color w:val="000000"/>
          <w:sz w:val="24"/>
          <w:szCs w:val="24"/>
        </w:rPr>
        <w:t xml:space="preserve">Operational </w:t>
      </w:r>
      <w:r w:rsidR="001B4E32" w:rsidRPr="001B4E32">
        <w:rPr>
          <w:i/>
          <w:color w:val="000000"/>
          <w:sz w:val="24"/>
          <w:szCs w:val="24"/>
        </w:rPr>
        <w:t>R</w:t>
      </w:r>
      <w:r w:rsidR="00A76552" w:rsidRPr="00F85C59">
        <w:rPr>
          <w:i/>
          <w:color w:val="000000"/>
          <w:sz w:val="24"/>
          <w:szCs w:val="24"/>
        </w:rPr>
        <w:t>isk worksheet</w:t>
      </w:r>
      <w:r w:rsidR="00A76552" w:rsidRPr="00F85C59">
        <w:rPr>
          <w:color w:val="000000"/>
          <w:sz w:val="24"/>
          <w:szCs w:val="24"/>
        </w:rPr>
        <w:t xml:space="preserve"> would collect the BHC's projections for operational losses.</w:t>
      </w:r>
      <w:r w:rsidR="00A76552" w:rsidRPr="00062D32">
        <w:rPr>
          <w:color w:val="000000"/>
          <w:sz w:val="24"/>
          <w:szCs w:val="24"/>
        </w:rPr>
        <w:t xml:space="preserve">  </w:t>
      </w:r>
      <w:r>
        <w:rPr>
          <w:color w:val="000000"/>
          <w:sz w:val="24"/>
          <w:szCs w:val="24"/>
        </w:rPr>
        <w:t xml:space="preserve">Additional detail would be requested on translating historical loss experience into operational loss projections </w:t>
      </w:r>
      <w:r w:rsidR="00B40A6B">
        <w:rPr>
          <w:color w:val="000000"/>
          <w:sz w:val="24"/>
          <w:szCs w:val="24"/>
        </w:rPr>
        <w:t>and</w:t>
      </w:r>
      <w:r>
        <w:rPr>
          <w:color w:val="000000"/>
          <w:sz w:val="24"/>
          <w:szCs w:val="24"/>
        </w:rPr>
        <w:t xml:space="preserve"> on any budgeting processes used to project operational losses</w:t>
      </w:r>
      <w:r w:rsidRPr="00F85C59">
        <w:rPr>
          <w:color w:val="000000"/>
          <w:sz w:val="24"/>
          <w:szCs w:val="24"/>
        </w:rPr>
        <w:t xml:space="preserve">.  </w:t>
      </w:r>
      <w:r w:rsidR="001B4E32" w:rsidRPr="001B4E32">
        <w:rPr>
          <w:color w:val="000000"/>
          <w:sz w:val="24"/>
          <w:szCs w:val="24"/>
        </w:rPr>
        <w:t xml:space="preserve">The </w:t>
      </w:r>
      <w:r w:rsidR="001B4E32" w:rsidRPr="001B4E32">
        <w:rPr>
          <w:i/>
          <w:color w:val="000000"/>
          <w:sz w:val="24"/>
          <w:szCs w:val="24"/>
        </w:rPr>
        <w:t xml:space="preserve">Trading Risk </w:t>
      </w:r>
      <w:r w:rsidR="001B4E32" w:rsidRPr="001B4E32">
        <w:rPr>
          <w:color w:val="000000"/>
          <w:sz w:val="24"/>
          <w:szCs w:val="24"/>
        </w:rPr>
        <w:t>and</w:t>
      </w:r>
      <w:r w:rsidR="001B4E32" w:rsidRPr="001B4E32">
        <w:rPr>
          <w:i/>
          <w:color w:val="000000"/>
          <w:sz w:val="24"/>
          <w:szCs w:val="24"/>
        </w:rPr>
        <w:t xml:space="preserve"> CCR worksheets </w:t>
      </w:r>
      <w:r w:rsidR="001B4E32" w:rsidRPr="001B4E32">
        <w:rPr>
          <w:color w:val="000000"/>
          <w:sz w:val="24"/>
          <w:szCs w:val="24"/>
        </w:rPr>
        <w:t xml:space="preserve">would contain projected losses associated with a market risk shock.   </w:t>
      </w:r>
    </w:p>
    <w:p w:rsidR="00BD54C8" w:rsidRDefault="00BD54C8" w:rsidP="000E61CE">
      <w:pPr>
        <w:tabs>
          <w:tab w:val="left" w:pos="-1080"/>
          <w:tab w:val="left" w:pos="-90"/>
          <w:tab w:val="left" w:pos="720"/>
          <w:tab w:val="left" w:pos="1440"/>
          <w:tab w:val="left" w:pos="1980"/>
          <w:tab w:val="left" w:pos="3960"/>
          <w:tab w:val="left" w:pos="5760"/>
          <w:tab w:val="left" w:pos="7740"/>
          <w:tab w:val="left" w:pos="8640"/>
        </w:tabs>
        <w:rPr>
          <w:color w:val="000000"/>
          <w:sz w:val="24"/>
          <w:szCs w:val="24"/>
        </w:rPr>
      </w:pPr>
    </w:p>
    <w:p w:rsidR="00F83CCA" w:rsidRDefault="00F83CCA" w:rsidP="00F83CCA">
      <w:pPr>
        <w:ind w:firstLine="720"/>
        <w:rPr>
          <w:sz w:val="24"/>
          <w:szCs w:val="24"/>
        </w:rPr>
      </w:pPr>
      <w:r>
        <w:rPr>
          <w:sz w:val="24"/>
          <w:szCs w:val="24"/>
        </w:rPr>
        <w:t xml:space="preserve">There </w:t>
      </w:r>
      <w:r w:rsidR="000E61CE">
        <w:rPr>
          <w:sz w:val="24"/>
          <w:szCs w:val="24"/>
        </w:rPr>
        <w:t>would be</w:t>
      </w:r>
      <w:r>
        <w:rPr>
          <w:sz w:val="24"/>
          <w:szCs w:val="24"/>
        </w:rPr>
        <w:t xml:space="preserve"> </w:t>
      </w:r>
      <w:r w:rsidR="00F85C59">
        <w:rPr>
          <w:sz w:val="24"/>
          <w:szCs w:val="24"/>
        </w:rPr>
        <w:t xml:space="preserve">multiple </w:t>
      </w:r>
      <w:r>
        <w:rPr>
          <w:sz w:val="24"/>
          <w:szCs w:val="24"/>
        </w:rPr>
        <w:t>worksheets related to Available-for-Sale (AFS) and Held-to-Maturity (HTM) securities</w:t>
      </w:r>
      <w:r w:rsidR="00B97095">
        <w:rPr>
          <w:sz w:val="24"/>
          <w:szCs w:val="24"/>
        </w:rPr>
        <w:t xml:space="preserve"> (</w:t>
      </w:r>
      <w:r w:rsidR="00F85C59">
        <w:rPr>
          <w:i/>
          <w:sz w:val="24"/>
          <w:szCs w:val="24"/>
        </w:rPr>
        <w:t>Securities Risk</w:t>
      </w:r>
      <w:r w:rsidR="00F85C59" w:rsidRPr="00A76504">
        <w:rPr>
          <w:i/>
          <w:sz w:val="24"/>
          <w:szCs w:val="24"/>
        </w:rPr>
        <w:t xml:space="preserve"> </w:t>
      </w:r>
      <w:r w:rsidR="00A76504" w:rsidRPr="00A76504">
        <w:rPr>
          <w:i/>
          <w:sz w:val="24"/>
          <w:szCs w:val="24"/>
        </w:rPr>
        <w:t>worksheets</w:t>
      </w:r>
      <w:r w:rsidR="00B97095">
        <w:rPr>
          <w:sz w:val="24"/>
          <w:szCs w:val="24"/>
        </w:rPr>
        <w:t>)</w:t>
      </w:r>
      <w:r>
        <w:rPr>
          <w:sz w:val="24"/>
          <w:szCs w:val="24"/>
        </w:rPr>
        <w:t xml:space="preserve">.  </w:t>
      </w:r>
      <w:r w:rsidR="007E6363">
        <w:rPr>
          <w:sz w:val="24"/>
          <w:szCs w:val="24"/>
        </w:rPr>
        <w:t>The w</w:t>
      </w:r>
      <w:r>
        <w:rPr>
          <w:sz w:val="24"/>
          <w:szCs w:val="24"/>
        </w:rPr>
        <w:t>orksheets would request</w:t>
      </w:r>
      <w:r w:rsidR="007E6363">
        <w:rPr>
          <w:sz w:val="24"/>
          <w:szCs w:val="24"/>
        </w:rPr>
        <w:t xml:space="preserve"> data and information such as</w:t>
      </w:r>
      <w:r w:rsidR="009A01BC">
        <w:rPr>
          <w:sz w:val="24"/>
          <w:szCs w:val="24"/>
        </w:rPr>
        <w:t>:</w:t>
      </w:r>
      <w:r w:rsidR="007E6363">
        <w:rPr>
          <w:sz w:val="24"/>
          <w:szCs w:val="24"/>
        </w:rPr>
        <w:t xml:space="preserve"> </w:t>
      </w:r>
      <w:r>
        <w:rPr>
          <w:sz w:val="24"/>
          <w:szCs w:val="24"/>
        </w:rPr>
        <w:t>projected other-than-temporary impairment (OTTI) by asset class for each quarter of the forecast time horizon</w:t>
      </w:r>
      <w:r w:rsidR="007E6363">
        <w:rPr>
          <w:sz w:val="24"/>
          <w:szCs w:val="24"/>
        </w:rPr>
        <w:t xml:space="preserve">; </w:t>
      </w:r>
      <w:r>
        <w:rPr>
          <w:sz w:val="24"/>
          <w:szCs w:val="24"/>
        </w:rPr>
        <w:t>methodologies and assumptions used to generate the OTTI projections for each asset class</w:t>
      </w:r>
      <w:r w:rsidR="007E6363">
        <w:rPr>
          <w:sz w:val="24"/>
          <w:szCs w:val="24"/>
        </w:rPr>
        <w:t xml:space="preserve">; </w:t>
      </w:r>
      <w:r>
        <w:rPr>
          <w:sz w:val="24"/>
          <w:szCs w:val="24"/>
        </w:rPr>
        <w:t xml:space="preserve">projected stressed fair market value </w:t>
      </w:r>
      <w:r w:rsidR="00F85C59">
        <w:rPr>
          <w:sz w:val="24"/>
          <w:szCs w:val="24"/>
        </w:rPr>
        <w:t xml:space="preserve">(FMV) </w:t>
      </w:r>
      <w:r>
        <w:rPr>
          <w:sz w:val="24"/>
          <w:szCs w:val="24"/>
        </w:rPr>
        <w:t>for each asset class as well as qualitative information on the methodologies and assumptions used to generate the stressed market value</w:t>
      </w:r>
      <w:r w:rsidR="007E6363">
        <w:rPr>
          <w:sz w:val="24"/>
          <w:szCs w:val="24"/>
        </w:rPr>
        <w:t xml:space="preserve">; and </w:t>
      </w:r>
      <w:r>
        <w:rPr>
          <w:sz w:val="24"/>
          <w:szCs w:val="24"/>
        </w:rPr>
        <w:t xml:space="preserve">actual </w:t>
      </w:r>
      <w:r w:rsidR="00F85C59">
        <w:rPr>
          <w:sz w:val="24"/>
          <w:szCs w:val="24"/>
        </w:rPr>
        <w:t>FMV</w:t>
      </w:r>
      <w:r>
        <w:rPr>
          <w:sz w:val="24"/>
          <w:szCs w:val="24"/>
        </w:rPr>
        <w:t xml:space="preserve"> such as the source (vendor or proprietary) as well as key assumptions used for determining market values (if using a proprietary model).  </w:t>
      </w:r>
    </w:p>
    <w:p w:rsidR="00B97095" w:rsidRDefault="00B97095" w:rsidP="00F83CCA">
      <w:pPr>
        <w:ind w:firstLine="720"/>
        <w:rPr>
          <w:sz w:val="24"/>
          <w:szCs w:val="24"/>
        </w:rPr>
      </w:pPr>
    </w:p>
    <w:p w:rsidR="00B97095" w:rsidRPr="00D51494" w:rsidRDefault="00B97095" w:rsidP="00B97095">
      <w:pPr>
        <w:tabs>
          <w:tab w:val="left" w:pos="-1080"/>
          <w:tab w:val="left" w:pos="-90"/>
          <w:tab w:val="left" w:pos="720"/>
          <w:tab w:val="left" w:pos="1440"/>
          <w:tab w:val="left" w:pos="1980"/>
          <w:tab w:val="left" w:pos="3960"/>
          <w:tab w:val="left" w:pos="5760"/>
          <w:tab w:val="left" w:pos="7740"/>
          <w:tab w:val="left" w:pos="8640"/>
        </w:tabs>
        <w:rPr>
          <w:sz w:val="24"/>
          <w:szCs w:val="24"/>
        </w:rPr>
      </w:pPr>
      <w:r>
        <w:rPr>
          <w:color w:val="000000"/>
          <w:sz w:val="24"/>
          <w:szCs w:val="24"/>
        </w:rPr>
        <w:tab/>
        <w:t xml:space="preserve">The </w:t>
      </w:r>
      <w:r w:rsidR="00A76504" w:rsidRPr="00A76504">
        <w:rPr>
          <w:i/>
          <w:color w:val="000000"/>
          <w:sz w:val="24"/>
          <w:szCs w:val="24"/>
        </w:rPr>
        <w:t xml:space="preserve">PPNR </w:t>
      </w:r>
      <w:r w:rsidR="00F85C59">
        <w:rPr>
          <w:i/>
          <w:color w:val="000000"/>
          <w:sz w:val="24"/>
          <w:szCs w:val="24"/>
        </w:rPr>
        <w:t xml:space="preserve">Risk </w:t>
      </w:r>
      <w:r w:rsidR="00A76504" w:rsidRPr="00A76504">
        <w:rPr>
          <w:i/>
          <w:color w:val="000000"/>
          <w:sz w:val="24"/>
          <w:szCs w:val="24"/>
        </w:rPr>
        <w:t>worksheet</w:t>
      </w:r>
      <w:r>
        <w:rPr>
          <w:color w:val="000000"/>
          <w:sz w:val="24"/>
          <w:szCs w:val="24"/>
        </w:rPr>
        <w:t xml:space="preserve"> would collect data related to projected net interest income and noninterest revenues and expenses under the relevant scenario.  This would include projections of balances of interest-bearing assets and liabilities and the associated interest income and expense for each line item; noninterest income related to loan origination, servicing, advisory services, trading commissions and fees; noninterest expense related to compensation, occupancy, and services; and other relevant line items.</w:t>
      </w:r>
    </w:p>
    <w:p w:rsidR="000E61CE" w:rsidRDefault="000E61CE" w:rsidP="00F83CCA">
      <w:pPr>
        <w:ind w:firstLine="720"/>
        <w:rPr>
          <w:sz w:val="24"/>
          <w:szCs w:val="24"/>
        </w:rPr>
      </w:pPr>
    </w:p>
    <w:p w:rsidR="000E61CE" w:rsidRDefault="007C1B0E" w:rsidP="000E61CE">
      <w:pPr>
        <w:ind w:firstLine="720"/>
        <w:rPr>
          <w:sz w:val="24"/>
          <w:szCs w:val="24"/>
        </w:rPr>
      </w:pPr>
      <w:r>
        <w:rPr>
          <w:sz w:val="24"/>
          <w:szCs w:val="24"/>
        </w:rPr>
        <w:t>Along with</w:t>
      </w:r>
      <w:r w:rsidR="007E6363">
        <w:rPr>
          <w:sz w:val="24"/>
          <w:szCs w:val="24"/>
        </w:rPr>
        <w:t xml:space="preserve"> the Summary </w:t>
      </w:r>
      <w:r w:rsidR="00705308">
        <w:rPr>
          <w:sz w:val="24"/>
          <w:szCs w:val="24"/>
        </w:rPr>
        <w:t>schedule</w:t>
      </w:r>
      <w:r w:rsidR="007E6363">
        <w:rPr>
          <w:sz w:val="24"/>
          <w:szCs w:val="24"/>
        </w:rPr>
        <w:t>, e</w:t>
      </w:r>
      <w:r w:rsidR="000E61CE">
        <w:rPr>
          <w:sz w:val="24"/>
          <w:szCs w:val="24"/>
        </w:rPr>
        <w:t xml:space="preserve">ach BHC would be required to respond to a qualitative questionnaire or submit a comprehensive document explaining the methods used to develop the projections included in each </w:t>
      </w:r>
      <w:r w:rsidR="00E15FFE">
        <w:rPr>
          <w:sz w:val="24"/>
          <w:szCs w:val="24"/>
        </w:rPr>
        <w:t xml:space="preserve">of </w:t>
      </w:r>
      <w:r w:rsidR="000E61CE">
        <w:rPr>
          <w:sz w:val="24"/>
          <w:szCs w:val="24"/>
        </w:rPr>
        <w:t>the Summary worksheets.  The document should include information about how the BHC translated the macroeconomic scenarios into the various projections, including detailed descriptions of any models used.</w:t>
      </w:r>
      <w:r w:rsidR="00814542">
        <w:rPr>
          <w:sz w:val="24"/>
          <w:szCs w:val="24"/>
        </w:rPr>
        <w:t xml:space="preserve">  The BHCs </w:t>
      </w:r>
      <w:r w:rsidR="00F85C59">
        <w:rPr>
          <w:sz w:val="24"/>
          <w:szCs w:val="24"/>
        </w:rPr>
        <w:t xml:space="preserve">would </w:t>
      </w:r>
      <w:r w:rsidR="00814542">
        <w:rPr>
          <w:sz w:val="24"/>
          <w:szCs w:val="24"/>
        </w:rPr>
        <w:t xml:space="preserve">also be required to provide a reconciliation of their reported data with </w:t>
      </w:r>
      <w:r w:rsidR="00E15FFE">
        <w:rPr>
          <w:sz w:val="24"/>
          <w:szCs w:val="24"/>
        </w:rPr>
        <w:t xml:space="preserve">the </w:t>
      </w:r>
      <w:r w:rsidR="00814542">
        <w:rPr>
          <w:sz w:val="24"/>
          <w:szCs w:val="24"/>
        </w:rPr>
        <w:t xml:space="preserve">data they report in </w:t>
      </w:r>
      <w:r w:rsidR="00E15FFE">
        <w:rPr>
          <w:sz w:val="24"/>
          <w:szCs w:val="24"/>
        </w:rPr>
        <w:t xml:space="preserve">their </w:t>
      </w:r>
      <w:r w:rsidR="00814542">
        <w:rPr>
          <w:sz w:val="24"/>
          <w:szCs w:val="24"/>
        </w:rPr>
        <w:t xml:space="preserve">publicly available regulatory filings. </w:t>
      </w:r>
    </w:p>
    <w:p w:rsidR="00F83CCA" w:rsidRDefault="00F83CCA" w:rsidP="006F362E">
      <w:pPr>
        <w:ind w:firstLine="720"/>
        <w:rPr>
          <w:sz w:val="24"/>
          <w:szCs w:val="24"/>
        </w:rPr>
      </w:pPr>
    </w:p>
    <w:p w:rsidR="00B15ED6" w:rsidRDefault="006F362E" w:rsidP="006F362E">
      <w:pPr>
        <w:ind w:firstLine="720"/>
        <w:rPr>
          <w:rFonts w:eastAsia="Calibri"/>
          <w:b/>
          <w:sz w:val="24"/>
          <w:szCs w:val="24"/>
        </w:rPr>
      </w:pPr>
      <w:r>
        <w:rPr>
          <w:rFonts w:eastAsia="Calibri"/>
          <w:b/>
          <w:sz w:val="24"/>
          <w:szCs w:val="24"/>
        </w:rPr>
        <w:t xml:space="preserve">Macro Scenario </w:t>
      </w:r>
      <w:r w:rsidR="00705308">
        <w:rPr>
          <w:rFonts w:eastAsia="Calibri"/>
          <w:b/>
          <w:sz w:val="24"/>
          <w:szCs w:val="24"/>
        </w:rPr>
        <w:t>Schedule</w:t>
      </w:r>
    </w:p>
    <w:p w:rsidR="00B15ED6" w:rsidRDefault="00B15ED6" w:rsidP="006F362E">
      <w:pPr>
        <w:ind w:firstLine="720"/>
        <w:rPr>
          <w:rFonts w:eastAsia="Calibri"/>
          <w:b/>
          <w:sz w:val="24"/>
          <w:szCs w:val="24"/>
        </w:rPr>
      </w:pPr>
    </w:p>
    <w:p w:rsidR="006F362E" w:rsidRDefault="00121FE8" w:rsidP="006F362E">
      <w:pPr>
        <w:ind w:firstLine="720"/>
        <w:rPr>
          <w:sz w:val="24"/>
          <w:szCs w:val="24"/>
        </w:rPr>
      </w:pPr>
      <w:r w:rsidRPr="00121FE8">
        <w:rPr>
          <w:rFonts w:eastAsia="Calibri"/>
          <w:sz w:val="24"/>
          <w:szCs w:val="24"/>
        </w:rPr>
        <w:t xml:space="preserve">The Macro Scenario </w:t>
      </w:r>
      <w:r w:rsidR="00705308">
        <w:rPr>
          <w:rFonts w:eastAsia="Calibri"/>
          <w:sz w:val="24"/>
          <w:szCs w:val="24"/>
        </w:rPr>
        <w:t>schedule</w:t>
      </w:r>
      <w:r w:rsidRPr="00121FE8">
        <w:rPr>
          <w:rFonts w:eastAsia="Calibri"/>
          <w:sz w:val="24"/>
          <w:szCs w:val="24"/>
        </w:rPr>
        <w:t xml:space="preserve"> </w:t>
      </w:r>
      <w:r w:rsidR="00E53429">
        <w:rPr>
          <w:rFonts w:eastAsia="Calibri"/>
          <w:sz w:val="24"/>
          <w:szCs w:val="24"/>
        </w:rPr>
        <w:t>would</w:t>
      </w:r>
      <w:r w:rsidRPr="00121FE8">
        <w:rPr>
          <w:rFonts w:eastAsia="Calibri"/>
          <w:sz w:val="24"/>
          <w:szCs w:val="24"/>
        </w:rPr>
        <w:t xml:space="preserve"> collect</w:t>
      </w:r>
      <w:r w:rsidR="0042763A">
        <w:rPr>
          <w:rFonts w:eastAsia="Calibri"/>
          <w:b/>
          <w:sz w:val="24"/>
          <w:szCs w:val="24"/>
        </w:rPr>
        <w:t xml:space="preserve"> </w:t>
      </w:r>
      <w:r w:rsidR="006F362E">
        <w:rPr>
          <w:sz w:val="24"/>
          <w:szCs w:val="24"/>
        </w:rPr>
        <w:t xml:space="preserve">the economic variables </w:t>
      </w:r>
      <w:r w:rsidR="00B0211D">
        <w:rPr>
          <w:sz w:val="24"/>
          <w:szCs w:val="24"/>
        </w:rPr>
        <w:t>used in the BHC-defined macroeconomic scenarios underlying the projections of loss, revenue, and capital.</w:t>
      </w:r>
      <w:r w:rsidR="0042763A">
        <w:rPr>
          <w:sz w:val="24"/>
          <w:szCs w:val="24"/>
        </w:rPr>
        <w:t xml:space="preserve"> </w:t>
      </w:r>
      <w:r w:rsidR="00B0211D">
        <w:rPr>
          <w:sz w:val="24"/>
          <w:szCs w:val="24"/>
        </w:rPr>
        <w:t xml:space="preserve"> The </w:t>
      </w:r>
      <w:r w:rsidR="00705308">
        <w:rPr>
          <w:sz w:val="24"/>
          <w:szCs w:val="24"/>
        </w:rPr>
        <w:t>schedule</w:t>
      </w:r>
      <w:r w:rsidR="00B0211D">
        <w:rPr>
          <w:sz w:val="24"/>
          <w:szCs w:val="24"/>
        </w:rPr>
        <w:t xml:space="preserve"> would include </w:t>
      </w:r>
      <w:r w:rsidR="004C4BFB">
        <w:rPr>
          <w:sz w:val="24"/>
          <w:szCs w:val="24"/>
        </w:rPr>
        <w:t xml:space="preserve">worksheets for </w:t>
      </w:r>
      <w:r w:rsidR="00B0211D">
        <w:rPr>
          <w:sz w:val="24"/>
          <w:szCs w:val="24"/>
        </w:rPr>
        <w:t>the BHC baseline scenario</w:t>
      </w:r>
      <w:r w:rsidR="004C4BFB">
        <w:rPr>
          <w:sz w:val="24"/>
          <w:szCs w:val="24"/>
        </w:rPr>
        <w:t>,</w:t>
      </w:r>
      <w:r w:rsidR="00B0211D">
        <w:rPr>
          <w:sz w:val="24"/>
          <w:szCs w:val="24"/>
        </w:rPr>
        <w:t xml:space="preserve"> the BHC stress scenario</w:t>
      </w:r>
      <w:r w:rsidR="004C4BFB">
        <w:rPr>
          <w:sz w:val="24"/>
          <w:szCs w:val="24"/>
        </w:rPr>
        <w:t>, and any additional scenarios beyond the baseline and stressed scenarios</w:t>
      </w:r>
      <w:r w:rsidR="00B0211D">
        <w:rPr>
          <w:sz w:val="24"/>
          <w:szCs w:val="24"/>
        </w:rPr>
        <w:t xml:space="preserve">, as well as a worksheet for collecting the scenario variable definitions </w:t>
      </w:r>
      <w:r w:rsidR="004C4BFB">
        <w:rPr>
          <w:sz w:val="24"/>
          <w:szCs w:val="24"/>
        </w:rPr>
        <w:t>(variable name and definition for each of the scenario worksheets)</w:t>
      </w:r>
      <w:r w:rsidR="00B0211D">
        <w:rPr>
          <w:sz w:val="24"/>
          <w:szCs w:val="24"/>
        </w:rPr>
        <w:t xml:space="preserve">. </w:t>
      </w:r>
      <w:r w:rsidR="004C4BFB">
        <w:rPr>
          <w:sz w:val="24"/>
          <w:szCs w:val="24"/>
        </w:rPr>
        <w:t xml:space="preserve"> </w:t>
      </w:r>
      <w:r w:rsidR="00B127A7">
        <w:rPr>
          <w:sz w:val="24"/>
          <w:szCs w:val="24"/>
        </w:rPr>
        <w:t>The variable definitions should include the units of measure (</w:t>
      </w:r>
      <w:r w:rsidR="007E6363">
        <w:rPr>
          <w:sz w:val="24"/>
          <w:szCs w:val="24"/>
        </w:rPr>
        <w:t xml:space="preserve">for example, </w:t>
      </w:r>
      <w:r w:rsidR="00B127A7">
        <w:rPr>
          <w:sz w:val="24"/>
          <w:szCs w:val="24"/>
        </w:rPr>
        <w:t>percentage points</w:t>
      </w:r>
      <w:r w:rsidR="006A4A61">
        <w:rPr>
          <w:sz w:val="24"/>
          <w:szCs w:val="24"/>
        </w:rPr>
        <w:t xml:space="preserve"> and </w:t>
      </w:r>
      <w:r w:rsidR="00B127A7">
        <w:rPr>
          <w:sz w:val="24"/>
          <w:szCs w:val="24"/>
        </w:rPr>
        <w:t>billions of dollars) and the frequency of the variable (</w:t>
      </w:r>
      <w:r w:rsidR="007E6363">
        <w:rPr>
          <w:sz w:val="24"/>
          <w:szCs w:val="24"/>
        </w:rPr>
        <w:t>for example,</w:t>
      </w:r>
      <w:r w:rsidR="00B127A7">
        <w:rPr>
          <w:sz w:val="24"/>
          <w:szCs w:val="24"/>
        </w:rPr>
        <w:t xml:space="preserve"> quarterly average if it is produced monthly or more often).  </w:t>
      </w:r>
      <w:r w:rsidR="004C4BFB">
        <w:rPr>
          <w:sz w:val="24"/>
          <w:szCs w:val="24"/>
        </w:rPr>
        <w:t>The scenario worksheets would collect the variable name (as provided on the definition worksheet)</w:t>
      </w:r>
      <w:r w:rsidR="00B127A7">
        <w:rPr>
          <w:sz w:val="24"/>
          <w:szCs w:val="24"/>
        </w:rPr>
        <w:t>,</w:t>
      </w:r>
      <w:r w:rsidR="004C4BFB">
        <w:rPr>
          <w:sz w:val="24"/>
          <w:szCs w:val="24"/>
        </w:rPr>
        <w:t xml:space="preserve"> the actual value of the variable </w:t>
      </w:r>
      <w:r w:rsidR="001B4E32" w:rsidRPr="001B4E32">
        <w:rPr>
          <w:sz w:val="24"/>
          <w:szCs w:val="24"/>
        </w:rPr>
        <w:t>during the 3</w:t>
      </w:r>
      <w:r w:rsidR="001B4E32" w:rsidRPr="001B4E32">
        <w:rPr>
          <w:sz w:val="24"/>
          <w:szCs w:val="24"/>
          <w:vertAlign w:val="superscript"/>
        </w:rPr>
        <w:t>rd</w:t>
      </w:r>
      <w:r w:rsidR="001B4E32" w:rsidRPr="001B4E32">
        <w:rPr>
          <w:sz w:val="24"/>
          <w:szCs w:val="24"/>
        </w:rPr>
        <w:t xml:space="preserve"> quarter of the reporting year,</w:t>
      </w:r>
      <w:r w:rsidR="00F85C59">
        <w:rPr>
          <w:szCs w:val="24"/>
        </w:rPr>
        <w:t xml:space="preserve"> </w:t>
      </w:r>
      <w:r w:rsidR="004C4BFB">
        <w:rPr>
          <w:sz w:val="24"/>
          <w:szCs w:val="24"/>
        </w:rPr>
        <w:t>and the projected value of the variable for nine future quarters.</w:t>
      </w:r>
    </w:p>
    <w:p w:rsidR="00B127A7" w:rsidRDefault="00B127A7" w:rsidP="006F362E">
      <w:pPr>
        <w:ind w:firstLine="720"/>
        <w:rPr>
          <w:sz w:val="24"/>
          <w:szCs w:val="24"/>
        </w:rPr>
      </w:pPr>
    </w:p>
    <w:p w:rsidR="00B127A7" w:rsidRDefault="00B127A7" w:rsidP="00B127A7">
      <w:pPr>
        <w:ind w:firstLine="720"/>
        <w:rPr>
          <w:sz w:val="24"/>
          <w:szCs w:val="24"/>
        </w:rPr>
      </w:pPr>
      <w:r>
        <w:rPr>
          <w:sz w:val="24"/>
          <w:szCs w:val="24"/>
        </w:rPr>
        <w:t xml:space="preserve">Each BHC would be required to document the methods used to generate the scenarios.  If the BHC uses a scenario generated by a third party, at a minimum the following should </w:t>
      </w:r>
      <w:r w:rsidR="00E15FFE">
        <w:rPr>
          <w:sz w:val="24"/>
          <w:szCs w:val="24"/>
        </w:rPr>
        <w:t xml:space="preserve">be </w:t>
      </w:r>
      <w:r>
        <w:rPr>
          <w:sz w:val="24"/>
          <w:szCs w:val="24"/>
        </w:rPr>
        <w:lastRenderedPageBreak/>
        <w:t xml:space="preserve">documented: name of the vendor, date that the scenario was generated (if known), and any changes that the BHC made to the scenario.  If the BHC generates the scenario, the documentation should include a detailed description of </w:t>
      </w:r>
      <w:r w:rsidR="00F85C59">
        <w:rPr>
          <w:sz w:val="24"/>
          <w:szCs w:val="24"/>
        </w:rPr>
        <w:t xml:space="preserve">any </w:t>
      </w:r>
      <w:r>
        <w:rPr>
          <w:sz w:val="24"/>
          <w:szCs w:val="24"/>
        </w:rPr>
        <w:t>models used and how the BHC adjusted the models to produce the various scenarios.</w:t>
      </w:r>
    </w:p>
    <w:p w:rsidR="00021EDF" w:rsidRDefault="00021EDF" w:rsidP="00B127A7">
      <w:pPr>
        <w:ind w:firstLine="720"/>
        <w:rPr>
          <w:sz w:val="24"/>
          <w:szCs w:val="24"/>
        </w:rPr>
      </w:pPr>
    </w:p>
    <w:p w:rsidR="00021EDF" w:rsidRPr="00021EDF" w:rsidRDefault="00A76504" w:rsidP="00B127A7">
      <w:pPr>
        <w:ind w:firstLine="720"/>
        <w:rPr>
          <w:b/>
          <w:sz w:val="24"/>
          <w:szCs w:val="24"/>
        </w:rPr>
      </w:pPr>
      <w:r w:rsidRPr="00A76504">
        <w:rPr>
          <w:b/>
          <w:sz w:val="24"/>
          <w:szCs w:val="24"/>
        </w:rPr>
        <w:t>CCR Schedule</w:t>
      </w:r>
    </w:p>
    <w:p w:rsidR="00021EDF" w:rsidRDefault="00021EDF" w:rsidP="00B127A7">
      <w:pPr>
        <w:ind w:firstLine="720"/>
        <w:rPr>
          <w:sz w:val="24"/>
          <w:szCs w:val="24"/>
        </w:rPr>
      </w:pPr>
    </w:p>
    <w:p w:rsidR="00021EDF" w:rsidRDefault="00021EDF" w:rsidP="00021EDF">
      <w:pPr>
        <w:autoSpaceDE w:val="0"/>
        <w:autoSpaceDN w:val="0"/>
        <w:adjustRightInd w:val="0"/>
        <w:ind w:firstLine="720"/>
        <w:rPr>
          <w:color w:val="000000"/>
          <w:sz w:val="24"/>
          <w:szCs w:val="24"/>
        </w:rPr>
      </w:pPr>
      <w:r w:rsidRPr="000F74EA">
        <w:rPr>
          <w:color w:val="000000"/>
          <w:sz w:val="24"/>
          <w:szCs w:val="24"/>
        </w:rPr>
        <w:t>The</w:t>
      </w:r>
      <w:r>
        <w:rPr>
          <w:color w:val="000000"/>
          <w:sz w:val="24"/>
          <w:szCs w:val="24"/>
        </w:rPr>
        <w:t xml:space="preserve"> CCR schedule </w:t>
      </w:r>
      <w:r w:rsidRPr="000F74EA">
        <w:rPr>
          <w:color w:val="000000"/>
          <w:sz w:val="24"/>
          <w:szCs w:val="24"/>
        </w:rPr>
        <w:t xml:space="preserve">would </w:t>
      </w:r>
      <w:r>
        <w:rPr>
          <w:color w:val="000000"/>
          <w:sz w:val="24"/>
          <w:szCs w:val="24"/>
        </w:rPr>
        <w:t>collect from each BHC information</w:t>
      </w:r>
      <w:r w:rsidRPr="000F74EA">
        <w:rPr>
          <w:color w:val="000000"/>
          <w:sz w:val="24"/>
          <w:szCs w:val="24"/>
        </w:rPr>
        <w:t xml:space="preserve"> to identify </w:t>
      </w:r>
      <w:r>
        <w:rPr>
          <w:color w:val="000000"/>
          <w:sz w:val="24"/>
          <w:szCs w:val="24"/>
        </w:rPr>
        <w:t>credit valuation adjustment</w:t>
      </w:r>
      <w:r w:rsidRPr="000F74EA">
        <w:rPr>
          <w:color w:val="000000"/>
          <w:sz w:val="24"/>
          <w:szCs w:val="24"/>
        </w:rPr>
        <w:t xml:space="preserve"> </w:t>
      </w:r>
      <w:r>
        <w:rPr>
          <w:color w:val="000000"/>
          <w:sz w:val="24"/>
          <w:szCs w:val="24"/>
        </w:rPr>
        <w:t>(</w:t>
      </w:r>
      <w:r w:rsidRPr="000F74EA">
        <w:rPr>
          <w:color w:val="000000"/>
          <w:sz w:val="24"/>
          <w:szCs w:val="24"/>
        </w:rPr>
        <w:t>CVA</w:t>
      </w:r>
      <w:r>
        <w:rPr>
          <w:color w:val="000000"/>
          <w:sz w:val="24"/>
          <w:szCs w:val="24"/>
        </w:rPr>
        <w:t>)</w:t>
      </w:r>
      <w:r w:rsidR="00791432">
        <w:rPr>
          <w:color w:val="000000"/>
          <w:sz w:val="24"/>
          <w:szCs w:val="24"/>
        </w:rPr>
        <w:t>,</w:t>
      </w:r>
      <w:r w:rsidRPr="000F74EA">
        <w:rPr>
          <w:color w:val="000000"/>
          <w:sz w:val="24"/>
          <w:szCs w:val="24"/>
        </w:rPr>
        <w:t xml:space="preserve"> exposures</w:t>
      </w:r>
      <w:r w:rsidR="00791432">
        <w:rPr>
          <w:color w:val="000000"/>
          <w:sz w:val="24"/>
          <w:szCs w:val="24"/>
        </w:rPr>
        <w:t>, and CVA sensitivities</w:t>
      </w:r>
      <w:r w:rsidRPr="000F74EA">
        <w:rPr>
          <w:color w:val="000000"/>
          <w:sz w:val="24"/>
          <w:szCs w:val="24"/>
        </w:rPr>
        <w:t xml:space="preserve"> for their top counterparties along a number of d</w:t>
      </w:r>
      <w:r>
        <w:rPr>
          <w:color w:val="000000"/>
          <w:sz w:val="24"/>
          <w:szCs w:val="24"/>
        </w:rPr>
        <w:t xml:space="preserve">imensions, including current </w:t>
      </w:r>
      <w:r w:rsidRPr="000F74EA">
        <w:rPr>
          <w:color w:val="000000"/>
          <w:sz w:val="24"/>
          <w:szCs w:val="24"/>
        </w:rPr>
        <w:t>CVA, stressed CVA, net current exposure, and gross current exposure.</w:t>
      </w:r>
      <w:r>
        <w:rPr>
          <w:color w:val="000000"/>
          <w:sz w:val="24"/>
          <w:szCs w:val="24"/>
        </w:rPr>
        <w:t xml:space="preserve">  BHCs</w:t>
      </w:r>
      <w:r w:rsidRPr="000F74EA">
        <w:rPr>
          <w:color w:val="000000"/>
          <w:sz w:val="24"/>
          <w:szCs w:val="24"/>
        </w:rPr>
        <w:t xml:space="preserve"> would also </w:t>
      </w:r>
      <w:r>
        <w:rPr>
          <w:color w:val="000000"/>
          <w:sz w:val="24"/>
          <w:szCs w:val="24"/>
        </w:rPr>
        <w:t>submit</w:t>
      </w:r>
      <w:r w:rsidRPr="000F74EA">
        <w:rPr>
          <w:color w:val="000000"/>
          <w:sz w:val="24"/>
          <w:szCs w:val="24"/>
        </w:rPr>
        <w:t xml:space="preserve"> aggregate </w:t>
      </w:r>
      <w:r w:rsidR="00791432">
        <w:rPr>
          <w:color w:val="000000"/>
          <w:sz w:val="24"/>
          <w:szCs w:val="24"/>
        </w:rPr>
        <w:t xml:space="preserve">CVA, </w:t>
      </w:r>
      <w:r w:rsidRPr="000F74EA">
        <w:rPr>
          <w:color w:val="000000"/>
          <w:sz w:val="24"/>
          <w:szCs w:val="24"/>
        </w:rPr>
        <w:t>exposures</w:t>
      </w:r>
      <w:r w:rsidR="00791432">
        <w:rPr>
          <w:color w:val="000000"/>
          <w:sz w:val="24"/>
          <w:szCs w:val="24"/>
        </w:rPr>
        <w:t>, and CVA sensitivities</w:t>
      </w:r>
      <w:r w:rsidRPr="000F74EA">
        <w:rPr>
          <w:color w:val="000000"/>
          <w:sz w:val="24"/>
          <w:szCs w:val="24"/>
        </w:rPr>
        <w:t xml:space="preserve"> by ratings categories.</w:t>
      </w:r>
    </w:p>
    <w:p w:rsidR="00791432" w:rsidRDefault="00791432" w:rsidP="00021EDF">
      <w:pPr>
        <w:autoSpaceDE w:val="0"/>
        <w:autoSpaceDN w:val="0"/>
        <w:adjustRightInd w:val="0"/>
        <w:ind w:firstLine="720"/>
        <w:rPr>
          <w:color w:val="000000"/>
          <w:sz w:val="24"/>
          <w:szCs w:val="24"/>
        </w:rPr>
      </w:pPr>
    </w:p>
    <w:p w:rsidR="00B15ED6" w:rsidRDefault="006F362E" w:rsidP="006F362E">
      <w:pPr>
        <w:ind w:firstLine="720"/>
        <w:rPr>
          <w:rFonts w:eastAsia="Calibri"/>
          <w:b/>
          <w:sz w:val="24"/>
          <w:szCs w:val="24"/>
        </w:rPr>
      </w:pPr>
      <w:r>
        <w:rPr>
          <w:rFonts w:eastAsia="Calibri"/>
          <w:b/>
          <w:sz w:val="24"/>
          <w:szCs w:val="24"/>
        </w:rPr>
        <w:t xml:space="preserve">Basel III </w:t>
      </w:r>
      <w:r w:rsidR="00705308">
        <w:rPr>
          <w:rFonts w:eastAsia="Calibri"/>
          <w:b/>
          <w:sz w:val="24"/>
          <w:szCs w:val="24"/>
        </w:rPr>
        <w:t>Schedule</w:t>
      </w:r>
      <w:r>
        <w:rPr>
          <w:rFonts w:eastAsia="Calibri"/>
          <w:b/>
          <w:sz w:val="24"/>
          <w:szCs w:val="24"/>
        </w:rPr>
        <w:t xml:space="preserve">  </w:t>
      </w:r>
    </w:p>
    <w:p w:rsidR="00B15ED6" w:rsidRDefault="00B15ED6" w:rsidP="006F362E">
      <w:pPr>
        <w:ind w:firstLine="720"/>
        <w:rPr>
          <w:rFonts w:eastAsia="Calibri"/>
          <w:b/>
          <w:sz w:val="24"/>
          <w:szCs w:val="24"/>
        </w:rPr>
      </w:pPr>
    </w:p>
    <w:p w:rsidR="003C4105" w:rsidRDefault="001B4E32" w:rsidP="003C4105">
      <w:pPr>
        <w:ind w:firstLine="720"/>
        <w:rPr>
          <w:sz w:val="24"/>
          <w:szCs w:val="24"/>
        </w:rPr>
      </w:pPr>
      <w:r w:rsidRPr="001B4E32">
        <w:rPr>
          <w:sz w:val="24"/>
          <w:szCs w:val="24"/>
        </w:rPr>
        <w:t>Based on the Basel III framework that was promulgated by the Basel Committee on Bank Supervision, the</w:t>
      </w:r>
      <w:r w:rsidR="00F85C59">
        <w:rPr>
          <w:szCs w:val="24"/>
        </w:rPr>
        <w:t xml:space="preserve"> </w:t>
      </w:r>
      <w:r w:rsidR="003C4105">
        <w:rPr>
          <w:sz w:val="24"/>
          <w:szCs w:val="24"/>
        </w:rPr>
        <w:t xml:space="preserve">Basel III </w:t>
      </w:r>
      <w:r w:rsidR="00705308">
        <w:rPr>
          <w:sz w:val="24"/>
          <w:szCs w:val="24"/>
        </w:rPr>
        <w:t>schedule</w:t>
      </w:r>
      <w:r w:rsidR="003C4105">
        <w:rPr>
          <w:sz w:val="24"/>
          <w:szCs w:val="24"/>
        </w:rPr>
        <w:t xml:space="preserve"> would collect</w:t>
      </w:r>
      <w:r w:rsidR="003C4105" w:rsidRPr="004313D4">
        <w:rPr>
          <w:sz w:val="24"/>
          <w:szCs w:val="24"/>
        </w:rPr>
        <w:t xml:space="preserve"> annual forecasts of Tier 1 Common, Tier 1 Capital, Risk-</w:t>
      </w:r>
      <w:r w:rsidR="003C4105">
        <w:rPr>
          <w:sz w:val="24"/>
          <w:szCs w:val="24"/>
        </w:rPr>
        <w:t>W</w:t>
      </w:r>
      <w:r w:rsidR="003C4105" w:rsidRPr="004313D4">
        <w:rPr>
          <w:sz w:val="24"/>
          <w:szCs w:val="24"/>
        </w:rPr>
        <w:t>eighted Assets</w:t>
      </w:r>
      <w:r w:rsidR="003C4105">
        <w:rPr>
          <w:sz w:val="24"/>
          <w:szCs w:val="24"/>
        </w:rPr>
        <w:t xml:space="preserve"> (RWA)</w:t>
      </w:r>
      <w:r w:rsidR="003C4105" w:rsidRPr="004313D4">
        <w:rPr>
          <w:sz w:val="24"/>
          <w:szCs w:val="24"/>
        </w:rPr>
        <w:t xml:space="preserve">, and Leverage Exposures (along with granular components of those elements) through year-end 2013 </w:t>
      </w:r>
      <w:r w:rsidR="003C4105">
        <w:rPr>
          <w:sz w:val="24"/>
          <w:szCs w:val="24"/>
        </w:rPr>
        <w:t>(</w:t>
      </w:r>
      <w:r w:rsidR="003C4105" w:rsidRPr="004313D4">
        <w:rPr>
          <w:sz w:val="24"/>
          <w:szCs w:val="24"/>
        </w:rPr>
        <w:t>or the year by which the</w:t>
      </w:r>
      <w:r w:rsidR="003C4105">
        <w:rPr>
          <w:sz w:val="24"/>
          <w:szCs w:val="24"/>
        </w:rPr>
        <w:t xml:space="preserve"> BHC</w:t>
      </w:r>
      <w:r w:rsidR="003C4105" w:rsidRPr="004313D4">
        <w:rPr>
          <w:sz w:val="24"/>
          <w:szCs w:val="24"/>
        </w:rPr>
        <w:t xml:space="preserve"> plan</w:t>
      </w:r>
      <w:r w:rsidR="003C4105">
        <w:rPr>
          <w:sz w:val="24"/>
          <w:szCs w:val="24"/>
        </w:rPr>
        <w:t>s</w:t>
      </w:r>
      <w:r w:rsidR="003C4105" w:rsidRPr="004313D4">
        <w:rPr>
          <w:sz w:val="24"/>
          <w:szCs w:val="24"/>
        </w:rPr>
        <w:t xml:space="preserve"> to meet Basel III target capital ratios</w:t>
      </w:r>
      <w:r w:rsidR="003C4105">
        <w:rPr>
          <w:sz w:val="24"/>
          <w:szCs w:val="24"/>
        </w:rPr>
        <w:t xml:space="preserve">, </w:t>
      </w:r>
      <w:r w:rsidR="003C4105" w:rsidRPr="004313D4">
        <w:rPr>
          <w:sz w:val="24"/>
          <w:szCs w:val="24"/>
        </w:rPr>
        <w:t xml:space="preserve">if later than 2013) under a baseline scenario.  </w:t>
      </w:r>
      <w:r w:rsidR="003C4105">
        <w:rPr>
          <w:sz w:val="24"/>
          <w:szCs w:val="24"/>
        </w:rPr>
        <w:t xml:space="preserve">Finally, </w:t>
      </w:r>
      <w:r w:rsidR="003C4105" w:rsidRPr="004313D4">
        <w:rPr>
          <w:sz w:val="24"/>
          <w:szCs w:val="24"/>
        </w:rPr>
        <w:t xml:space="preserve">BHCs </w:t>
      </w:r>
      <w:r w:rsidR="003C4105">
        <w:rPr>
          <w:sz w:val="24"/>
          <w:szCs w:val="24"/>
        </w:rPr>
        <w:t>would</w:t>
      </w:r>
      <w:r w:rsidR="003C4105" w:rsidRPr="004313D4">
        <w:rPr>
          <w:sz w:val="24"/>
          <w:szCs w:val="24"/>
        </w:rPr>
        <w:t xml:space="preserve"> be </w:t>
      </w:r>
      <w:r w:rsidR="003C4105">
        <w:rPr>
          <w:sz w:val="24"/>
          <w:szCs w:val="24"/>
        </w:rPr>
        <w:t>required to submit</w:t>
      </w:r>
      <w:r w:rsidR="003C4105" w:rsidRPr="004313D4">
        <w:rPr>
          <w:sz w:val="24"/>
          <w:szCs w:val="24"/>
        </w:rPr>
        <w:t xml:space="preserve"> the </w:t>
      </w:r>
      <w:r w:rsidR="003C4105">
        <w:rPr>
          <w:sz w:val="24"/>
          <w:szCs w:val="24"/>
        </w:rPr>
        <w:t>effect</w:t>
      </w:r>
      <w:r w:rsidR="003C4105" w:rsidRPr="004313D4">
        <w:rPr>
          <w:sz w:val="24"/>
          <w:szCs w:val="24"/>
        </w:rPr>
        <w:t xml:space="preserve"> on Basel III measurements of any significant planned actions to be taken in response to Basel III and the Dodd-Frank Act (</w:t>
      </w:r>
      <w:r w:rsidR="006A3AF7">
        <w:rPr>
          <w:sz w:val="24"/>
          <w:szCs w:val="24"/>
        </w:rPr>
        <w:t>for example,</w:t>
      </w:r>
      <w:r w:rsidR="003C4105" w:rsidRPr="004313D4">
        <w:rPr>
          <w:sz w:val="24"/>
          <w:szCs w:val="24"/>
        </w:rPr>
        <w:t xml:space="preserve"> asset sales, asset wind-downs, and data collection and modeling enhancements).</w:t>
      </w:r>
    </w:p>
    <w:p w:rsidR="00542FD2" w:rsidRDefault="00542FD2" w:rsidP="003C4105">
      <w:pPr>
        <w:ind w:firstLine="720"/>
        <w:rPr>
          <w:sz w:val="24"/>
          <w:szCs w:val="24"/>
        </w:rPr>
      </w:pPr>
    </w:p>
    <w:p w:rsidR="00542FD2" w:rsidRPr="00542FD2" w:rsidRDefault="00542FD2" w:rsidP="00542FD2">
      <w:pPr>
        <w:ind w:firstLine="720"/>
        <w:rPr>
          <w:b/>
          <w:sz w:val="24"/>
          <w:szCs w:val="24"/>
        </w:rPr>
      </w:pPr>
      <w:r w:rsidRPr="00542FD2">
        <w:rPr>
          <w:b/>
          <w:sz w:val="24"/>
          <w:szCs w:val="24"/>
        </w:rPr>
        <w:t xml:space="preserve">Regulatory Capital Instruments </w:t>
      </w:r>
      <w:r w:rsidR="00705308">
        <w:rPr>
          <w:b/>
          <w:sz w:val="24"/>
          <w:szCs w:val="24"/>
        </w:rPr>
        <w:t>Schedule</w:t>
      </w:r>
    </w:p>
    <w:p w:rsidR="00542FD2" w:rsidRDefault="00542FD2" w:rsidP="00542FD2">
      <w:pPr>
        <w:ind w:firstLine="720"/>
        <w:rPr>
          <w:sz w:val="24"/>
          <w:szCs w:val="24"/>
        </w:rPr>
      </w:pPr>
    </w:p>
    <w:p w:rsidR="00542FD2" w:rsidRDefault="00542FD2" w:rsidP="00542FD2">
      <w:pPr>
        <w:ind w:firstLine="720"/>
        <w:rPr>
          <w:sz w:val="24"/>
          <w:szCs w:val="24"/>
        </w:rPr>
      </w:pPr>
      <w:r>
        <w:rPr>
          <w:sz w:val="24"/>
          <w:szCs w:val="24"/>
        </w:rPr>
        <w:t xml:space="preserve">The Regulatory Capital </w:t>
      </w:r>
      <w:r w:rsidR="00111535">
        <w:rPr>
          <w:sz w:val="24"/>
          <w:szCs w:val="24"/>
        </w:rPr>
        <w:t>I</w:t>
      </w:r>
      <w:r>
        <w:rPr>
          <w:sz w:val="24"/>
          <w:szCs w:val="24"/>
        </w:rPr>
        <w:t xml:space="preserve">nstruments </w:t>
      </w:r>
      <w:r w:rsidR="00705308">
        <w:rPr>
          <w:sz w:val="24"/>
          <w:szCs w:val="24"/>
        </w:rPr>
        <w:t>schedule</w:t>
      </w:r>
      <w:r>
        <w:rPr>
          <w:sz w:val="24"/>
          <w:szCs w:val="24"/>
        </w:rPr>
        <w:t xml:space="preserve"> would collect CUSIP-level</w:t>
      </w:r>
      <w:r w:rsidR="009447A1" w:rsidRPr="00A76504">
        <w:rPr>
          <w:rStyle w:val="FootnoteReference"/>
          <w:sz w:val="24"/>
          <w:szCs w:val="24"/>
          <w:vertAlign w:val="superscript"/>
        </w:rPr>
        <w:footnoteReference w:id="5"/>
      </w:r>
      <w:r>
        <w:rPr>
          <w:sz w:val="24"/>
          <w:szCs w:val="24"/>
        </w:rPr>
        <w:t xml:space="preserve"> </w:t>
      </w:r>
      <w:r w:rsidR="00DA55EC">
        <w:rPr>
          <w:sz w:val="24"/>
          <w:szCs w:val="24"/>
        </w:rPr>
        <w:t>contractual terms</w:t>
      </w:r>
      <w:r>
        <w:rPr>
          <w:sz w:val="24"/>
          <w:szCs w:val="24"/>
        </w:rPr>
        <w:t xml:space="preserve"> of </w:t>
      </w:r>
      <w:r w:rsidR="00DA55EC">
        <w:rPr>
          <w:sz w:val="24"/>
          <w:szCs w:val="24"/>
        </w:rPr>
        <w:t xml:space="preserve">the </w:t>
      </w:r>
      <w:r>
        <w:rPr>
          <w:sz w:val="24"/>
          <w:szCs w:val="24"/>
        </w:rPr>
        <w:t>BHC</w:t>
      </w:r>
      <w:r w:rsidR="00DA55EC">
        <w:rPr>
          <w:sz w:val="24"/>
          <w:szCs w:val="24"/>
        </w:rPr>
        <w:t>’s</w:t>
      </w:r>
      <w:r>
        <w:rPr>
          <w:sz w:val="24"/>
          <w:szCs w:val="24"/>
        </w:rPr>
        <w:t xml:space="preserve"> regulatory capital instruments, as defined under the </w:t>
      </w:r>
      <w:r w:rsidR="00F85C59">
        <w:rPr>
          <w:sz w:val="24"/>
          <w:szCs w:val="24"/>
        </w:rPr>
        <w:t xml:space="preserve">Board’s </w:t>
      </w:r>
      <w:r>
        <w:rPr>
          <w:sz w:val="24"/>
          <w:szCs w:val="24"/>
        </w:rPr>
        <w:t xml:space="preserve">current regulatory capital </w:t>
      </w:r>
      <w:r w:rsidRPr="00F85C59">
        <w:rPr>
          <w:sz w:val="24"/>
          <w:szCs w:val="24"/>
        </w:rPr>
        <w:t>rules</w:t>
      </w:r>
      <w:r w:rsidR="00F85C59" w:rsidRPr="00F85C59">
        <w:rPr>
          <w:sz w:val="24"/>
          <w:szCs w:val="24"/>
        </w:rPr>
        <w:t xml:space="preserve"> </w:t>
      </w:r>
      <w:r w:rsidR="001B4E32" w:rsidRPr="001B4E32">
        <w:rPr>
          <w:sz w:val="24"/>
          <w:szCs w:val="24"/>
        </w:rPr>
        <w:t>for BHCs (12 CFR part 225, Appendices, A, E, and G)</w:t>
      </w:r>
      <w:r w:rsidRPr="00F85C59">
        <w:rPr>
          <w:sz w:val="24"/>
          <w:szCs w:val="24"/>
        </w:rPr>
        <w:t>.</w:t>
      </w:r>
      <w:r>
        <w:rPr>
          <w:sz w:val="24"/>
          <w:szCs w:val="24"/>
        </w:rPr>
        <w:t xml:space="preserve"> </w:t>
      </w:r>
      <w:r w:rsidR="00402D41">
        <w:rPr>
          <w:sz w:val="24"/>
          <w:szCs w:val="24"/>
        </w:rPr>
        <w:t>The data</w:t>
      </w:r>
      <w:r>
        <w:rPr>
          <w:sz w:val="24"/>
          <w:szCs w:val="24"/>
        </w:rPr>
        <w:t xml:space="preserve"> collected </w:t>
      </w:r>
      <w:r w:rsidR="00402D41">
        <w:rPr>
          <w:sz w:val="24"/>
          <w:szCs w:val="24"/>
        </w:rPr>
        <w:t>would</w:t>
      </w:r>
      <w:r w:rsidRPr="00EC215F">
        <w:rPr>
          <w:sz w:val="24"/>
          <w:szCs w:val="24"/>
        </w:rPr>
        <w:t xml:space="preserve"> support future analyses and coordinated responses to future proposed capital actions.  BHCs </w:t>
      </w:r>
      <w:r w:rsidR="00C34DD4">
        <w:rPr>
          <w:sz w:val="24"/>
          <w:szCs w:val="24"/>
        </w:rPr>
        <w:t>would</w:t>
      </w:r>
      <w:r w:rsidRPr="00EC215F">
        <w:rPr>
          <w:sz w:val="24"/>
          <w:szCs w:val="24"/>
        </w:rPr>
        <w:t xml:space="preserve"> </w:t>
      </w:r>
      <w:r w:rsidR="00DA55EC">
        <w:rPr>
          <w:sz w:val="24"/>
          <w:szCs w:val="24"/>
        </w:rPr>
        <w:t>provide a</w:t>
      </w:r>
      <w:r w:rsidR="00DA55EC">
        <w:rPr>
          <w:rFonts w:ascii="Helv" w:hAnsi="Helv" w:cs="Helv"/>
          <w:color w:val="000000"/>
        </w:rPr>
        <w:t xml:space="preserve"> </w:t>
      </w:r>
      <w:r w:rsidR="00DA55EC" w:rsidRPr="00DA55EC">
        <w:rPr>
          <w:color w:val="000000"/>
          <w:sz w:val="24"/>
          <w:szCs w:val="24"/>
        </w:rPr>
        <w:t xml:space="preserve">detailed </w:t>
      </w:r>
      <w:r w:rsidR="00DA55EC">
        <w:rPr>
          <w:color w:val="000000"/>
          <w:sz w:val="24"/>
          <w:szCs w:val="24"/>
        </w:rPr>
        <w:t>inventory</w:t>
      </w:r>
      <w:r w:rsidR="00DA55EC" w:rsidRPr="00DA55EC">
        <w:rPr>
          <w:color w:val="000000"/>
          <w:sz w:val="24"/>
          <w:szCs w:val="24"/>
        </w:rPr>
        <w:t xml:space="preserve"> of the</w:t>
      </w:r>
      <w:r w:rsidR="00E15FFE">
        <w:rPr>
          <w:color w:val="000000"/>
          <w:sz w:val="24"/>
          <w:szCs w:val="24"/>
        </w:rPr>
        <w:t>ir</w:t>
      </w:r>
      <w:r w:rsidR="00DA55EC" w:rsidRPr="00DA55EC">
        <w:rPr>
          <w:color w:val="000000"/>
          <w:sz w:val="24"/>
          <w:szCs w:val="24"/>
        </w:rPr>
        <w:t xml:space="preserve"> regulatory capital instruments</w:t>
      </w:r>
      <w:r w:rsidRPr="00EC215F">
        <w:rPr>
          <w:sz w:val="24"/>
          <w:szCs w:val="24"/>
        </w:rPr>
        <w:t xml:space="preserve"> as of the data collection date and provide details on instruments they project to redeem </w:t>
      </w:r>
      <w:r w:rsidR="00E15FFE">
        <w:rPr>
          <w:sz w:val="24"/>
          <w:szCs w:val="24"/>
        </w:rPr>
        <w:t>or</w:t>
      </w:r>
      <w:r w:rsidRPr="00EC215F">
        <w:rPr>
          <w:sz w:val="24"/>
          <w:szCs w:val="24"/>
        </w:rPr>
        <w:t xml:space="preserve"> issue over a </w:t>
      </w:r>
      <w:r w:rsidR="00503122">
        <w:rPr>
          <w:sz w:val="24"/>
          <w:szCs w:val="24"/>
        </w:rPr>
        <w:t>9</w:t>
      </w:r>
      <w:r w:rsidRPr="00EC215F">
        <w:rPr>
          <w:sz w:val="24"/>
          <w:szCs w:val="24"/>
        </w:rPr>
        <w:t xml:space="preserve">-quarter period.  </w:t>
      </w:r>
    </w:p>
    <w:p w:rsidR="00402D41" w:rsidRDefault="00402D41" w:rsidP="00542FD2">
      <w:pPr>
        <w:ind w:firstLine="720"/>
        <w:rPr>
          <w:sz w:val="24"/>
          <w:szCs w:val="24"/>
        </w:rPr>
      </w:pPr>
    </w:p>
    <w:p w:rsidR="0013676F" w:rsidRDefault="00F456C9" w:rsidP="00F456C9">
      <w:pPr>
        <w:jc w:val="center"/>
        <w:rPr>
          <w:b/>
          <w:sz w:val="24"/>
          <w:szCs w:val="24"/>
        </w:rPr>
      </w:pPr>
      <w:r>
        <w:rPr>
          <w:b/>
          <w:sz w:val="24"/>
          <w:szCs w:val="24"/>
        </w:rPr>
        <w:t>F</w:t>
      </w:r>
      <w:r w:rsidR="003C421A" w:rsidRPr="003C421A">
        <w:rPr>
          <w:b/>
          <w:sz w:val="24"/>
          <w:szCs w:val="24"/>
        </w:rPr>
        <w:t xml:space="preserve">R </w:t>
      </w:r>
      <w:r w:rsidR="001934AD">
        <w:rPr>
          <w:b/>
          <w:sz w:val="24"/>
          <w:szCs w:val="24"/>
        </w:rPr>
        <w:t>Y-14</w:t>
      </w:r>
      <w:r w:rsidR="00086728">
        <w:rPr>
          <w:b/>
          <w:sz w:val="24"/>
          <w:szCs w:val="24"/>
        </w:rPr>
        <w:t>Q</w:t>
      </w:r>
      <w:r w:rsidR="003C421A" w:rsidRPr="003C421A">
        <w:rPr>
          <w:b/>
          <w:sz w:val="24"/>
          <w:szCs w:val="24"/>
        </w:rPr>
        <w:t xml:space="preserve"> (quarterly collection)</w:t>
      </w:r>
    </w:p>
    <w:p w:rsidR="00E52415" w:rsidRPr="00D51494" w:rsidRDefault="00E52415" w:rsidP="006F362E">
      <w:pPr>
        <w:tabs>
          <w:tab w:val="left" w:pos="-1080"/>
          <w:tab w:val="left" w:pos="-90"/>
          <w:tab w:val="left" w:pos="720"/>
          <w:tab w:val="left" w:pos="1440"/>
          <w:tab w:val="left" w:pos="1980"/>
          <w:tab w:val="left" w:pos="3960"/>
          <w:tab w:val="left" w:pos="5760"/>
          <w:tab w:val="left" w:pos="7740"/>
          <w:tab w:val="left" w:pos="8640"/>
        </w:tabs>
        <w:rPr>
          <w:sz w:val="24"/>
          <w:szCs w:val="24"/>
        </w:rPr>
      </w:pPr>
      <w:r w:rsidRPr="00D51494">
        <w:rPr>
          <w:sz w:val="24"/>
          <w:szCs w:val="24"/>
        </w:rPr>
        <w:tab/>
      </w:r>
    </w:p>
    <w:p w:rsidR="00B15ED6" w:rsidRDefault="003C421A" w:rsidP="001273E7">
      <w:pPr>
        <w:autoSpaceDE w:val="0"/>
        <w:autoSpaceDN w:val="0"/>
        <w:adjustRightInd w:val="0"/>
        <w:ind w:firstLine="720"/>
        <w:jc w:val="both"/>
        <w:rPr>
          <w:sz w:val="24"/>
          <w:szCs w:val="24"/>
        </w:rPr>
      </w:pPr>
      <w:r>
        <w:rPr>
          <w:b/>
          <w:sz w:val="24"/>
          <w:szCs w:val="24"/>
        </w:rPr>
        <w:t xml:space="preserve">Securities Risk </w:t>
      </w:r>
      <w:r w:rsidR="00705308">
        <w:rPr>
          <w:b/>
          <w:sz w:val="24"/>
          <w:szCs w:val="24"/>
        </w:rPr>
        <w:t>Schedule</w:t>
      </w:r>
      <w:r w:rsidR="006F362E">
        <w:rPr>
          <w:sz w:val="24"/>
          <w:szCs w:val="24"/>
        </w:rPr>
        <w:t xml:space="preserve">  </w:t>
      </w:r>
    </w:p>
    <w:p w:rsidR="00B15ED6" w:rsidRDefault="00B15ED6" w:rsidP="001273E7">
      <w:pPr>
        <w:autoSpaceDE w:val="0"/>
        <w:autoSpaceDN w:val="0"/>
        <w:adjustRightInd w:val="0"/>
        <w:ind w:firstLine="720"/>
        <w:jc w:val="both"/>
        <w:rPr>
          <w:sz w:val="24"/>
          <w:szCs w:val="24"/>
        </w:rPr>
      </w:pPr>
    </w:p>
    <w:p w:rsidR="001273E7" w:rsidRDefault="003C421A" w:rsidP="00ED5925">
      <w:pPr>
        <w:autoSpaceDE w:val="0"/>
        <w:autoSpaceDN w:val="0"/>
        <w:adjustRightInd w:val="0"/>
        <w:ind w:firstLine="720"/>
        <w:rPr>
          <w:color w:val="000000"/>
          <w:sz w:val="24"/>
          <w:szCs w:val="24"/>
        </w:rPr>
      </w:pPr>
      <w:r>
        <w:rPr>
          <w:sz w:val="24"/>
          <w:szCs w:val="24"/>
        </w:rPr>
        <w:t>The Securities</w:t>
      </w:r>
      <w:r w:rsidR="000500D3">
        <w:rPr>
          <w:sz w:val="24"/>
          <w:szCs w:val="24"/>
        </w:rPr>
        <w:t xml:space="preserve"> Risk</w:t>
      </w:r>
      <w:r>
        <w:rPr>
          <w:sz w:val="24"/>
          <w:szCs w:val="24"/>
        </w:rPr>
        <w:t xml:space="preserve"> </w:t>
      </w:r>
      <w:r w:rsidR="00705308">
        <w:rPr>
          <w:sz w:val="24"/>
          <w:szCs w:val="24"/>
        </w:rPr>
        <w:t>schedule</w:t>
      </w:r>
      <w:r>
        <w:rPr>
          <w:sz w:val="24"/>
          <w:szCs w:val="24"/>
        </w:rPr>
        <w:t xml:space="preserve"> </w:t>
      </w:r>
      <w:r w:rsidR="00086728">
        <w:rPr>
          <w:sz w:val="24"/>
          <w:szCs w:val="24"/>
        </w:rPr>
        <w:t>would</w:t>
      </w:r>
      <w:r>
        <w:rPr>
          <w:sz w:val="24"/>
          <w:szCs w:val="24"/>
        </w:rPr>
        <w:t xml:space="preserve"> gather CUSIP-level and summary-level information on all positions in a BHC’s AFS and HTM portfolios.  The CUSIP-level position </w:t>
      </w:r>
      <w:r w:rsidR="00705308">
        <w:rPr>
          <w:sz w:val="24"/>
          <w:szCs w:val="24"/>
        </w:rPr>
        <w:t>schedule</w:t>
      </w:r>
      <w:r>
        <w:rPr>
          <w:sz w:val="24"/>
          <w:szCs w:val="24"/>
        </w:rPr>
        <w:t xml:space="preserve"> would request such data as the amortized cost, market value, current face value, and original face value of each position.  </w:t>
      </w:r>
    </w:p>
    <w:p w:rsidR="005A08FD" w:rsidRDefault="005A08FD" w:rsidP="00ED5925">
      <w:pPr>
        <w:autoSpaceDE w:val="0"/>
        <w:autoSpaceDN w:val="0"/>
        <w:adjustRightInd w:val="0"/>
        <w:ind w:firstLine="720"/>
        <w:jc w:val="both"/>
        <w:rPr>
          <w:color w:val="000000"/>
          <w:sz w:val="24"/>
          <w:szCs w:val="24"/>
        </w:rPr>
      </w:pPr>
    </w:p>
    <w:p w:rsidR="00FA1DC5" w:rsidRDefault="00B15ED6" w:rsidP="00ED5925">
      <w:pPr>
        <w:autoSpaceDE w:val="0"/>
        <w:autoSpaceDN w:val="0"/>
        <w:adjustRightInd w:val="0"/>
        <w:rPr>
          <w:sz w:val="24"/>
          <w:szCs w:val="24"/>
        </w:rPr>
      </w:pPr>
      <w:r>
        <w:rPr>
          <w:sz w:val="24"/>
          <w:szCs w:val="24"/>
        </w:rPr>
        <w:tab/>
      </w:r>
    </w:p>
    <w:p w:rsidR="00B15ED6" w:rsidRDefault="003C421A" w:rsidP="00FA1DC5">
      <w:pPr>
        <w:autoSpaceDE w:val="0"/>
        <w:autoSpaceDN w:val="0"/>
        <w:adjustRightInd w:val="0"/>
        <w:ind w:firstLine="720"/>
        <w:rPr>
          <w:sz w:val="24"/>
          <w:szCs w:val="24"/>
        </w:rPr>
      </w:pPr>
      <w:r>
        <w:rPr>
          <w:b/>
          <w:sz w:val="24"/>
          <w:szCs w:val="24"/>
        </w:rPr>
        <w:lastRenderedPageBreak/>
        <w:t xml:space="preserve">Retail Risk </w:t>
      </w:r>
      <w:r w:rsidR="00705308">
        <w:rPr>
          <w:b/>
          <w:sz w:val="24"/>
          <w:szCs w:val="24"/>
        </w:rPr>
        <w:t>Schedule</w:t>
      </w:r>
      <w:r w:rsidR="006F362E">
        <w:rPr>
          <w:sz w:val="24"/>
          <w:szCs w:val="24"/>
        </w:rPr>
        <w:t xml:space="preserve"> </w:t>
      </w:r>
    </w:p>
    <w:p w:rsidR="00B15ED6" w:rsidRDefault="00B15ED6" w:rsidP="00ED5925">
      <w:pPr>
        <w:autoSpaceDE w:val="0"/>
        <w:autoSpaceDN w:val="0"/>
        <w:adjustRightInd w:val="0"/>
        <w:rPr>
          <w:sz w:val="24"/>
          <w:szCs w:val="24"/>
        </w:rPr>
      </w:pPr>
    </w:p>
    <w:p w:rsidR="008F6675" w:rsidRDefault="00243602" w:rsidP="00ED5925">
      <w:pPr>
        <w:autoSpaceDE w:val="0"/>
        <w:autoSpaceDN w:val="0"/>
        <w:adjustRightInd w:val="0"/>
        <w:ind w:firstLine="720"/>
        <w:rPr>
          <w:sz w:val="24"/>
          <w:szCs w:val="24"/>
        </w:rPr>
      </w:pPr>
      <w:r w:rsidRPr="00243602">
        <w:rPr>
          <w:rFonts w:cstheme="minorHAnsi"/>
          <w:color w:val="000000"/>
          <w:sz w:val="24"/>
          <w:szCs w:val="24"/>
        </w:rPr>
        <w:t xml:space="preserve">The Retail Risk </w:t>
      </w:r>
      <w:r w:rsidR="00705308">
        <w:rPr>
          <w:rFonts w:cstheme="minorHAnsi"/>
          <w:color w:val="000000"/>
          <w:sz w:val="24"/>
          <w:szCs w:val="24"/>
        </w:rPr>
        <w:t>schedule</w:t>
      </w:r>
      <w:r w:rsidRPr="00243602">
        <w:rPr>
          <w:rFonts w:cstheme="minorHAnsi"/>
          <w:color w:val="000000"/>
          <w:sz w:val="24"/>
          <w:szCs w:val="24"/>
        </w:rPr>
        <w:t xml:space="preserve"> would collect information about the distribution of risk in retail portfolios across segments.</w:t>
      </w:r>
      <w:r>
        <w:rPr>
          <w:rFonts w:cstheme="minorHAnsi"/>
          <w:color w:val="000000"/>
        </w:rPr>
        <w:t xml:space="preserve"> </w:t>
      </w:r>
      <w:r>
        <w:rPr>
          <w:sz w:val="24"/>
          <w:szCs w:val="24"/>
        </w:rPr>
        <w:t xml:space="preserve"> </w:t>
      </w:r>
      <w:r w:rsidR="008F6675">
        <w:rPr>
          <w:sz w:val="24"/>
          <w:szCs w:val="24"/>
        </w:rPr>
        <w:t xml:space="preserve">Retail risk </w:t>
      </w:r>
      <w:r w:rsidR="00086728">
        <w:rPr>
          <w:sz w:val="24"/>
          <w:szCs w:val="24"/>
        </w:rPr>
        <w:t xml:space="preserve">would be </w:t>
      </w:r>
      <w:r w:rsidR="008F6675">
        <w:rPr>
          <w:sz w:val="24"/>
          <w:szCs w:val="24"/>
        </w:rPr>
        <w:t>divided into four major categories:  residential, credit card, automobile, and other consumer.  For residential</w:t>
      </w:r>
      <w:r w:rsidR="00422562">
        <w:rPr>
          <w:sz w:val="24"/>
          <w:szCs w:val="24"/>
        </w:rPr>
        <w:t>, credit card,</w:t>
      </w:r>
      <w:r w:rsidR="008F6675">
        <w:rPr>
          <w:sz w:val="24"/>
          <w:szCs w:val="24"/>
        </w:rPr>
        <w:t xml:space="preserve"> and other consumer, separate retail risk </w:t>
      </w:r>
      <w:r w:rsidR="00705308">
        <w:rPr>
          <w:sz w:val="24"/>
          <w:szCs w:val="24"/>
        </w:rPr>
        <w:t>schedules</w:t>
      </w:r>
      <w:r w:rsidR="008F6675">
        <w:rPr>
          <w:sz w:val="24"/>
          <w:szCs w:val="24"/>
        </w:rPr>
        <w:t xml:space="preserve"> are proposed for the different product types within each of the major categor</w:t>
      </w:r>
      <w:r w:rsidR="0018038C">
        <w:rPr>
          <w:sz w:val="24"/>
          <w:szCs w:val="24"/>
        </w:rPr>
        <w:t>ies.  F</w:t>
      </w:r>
      <w:r w:rsidR="008F6675">
        <w:rPr>
          <w:sz w:val="24"/>
          <w:szCs w:val="24"/>
        </w:rPr>
        <w:t xml:space="preserve">or all major categories, separate segmentation schemes would be used for domestic and international loans.  Residential </w:t>
      </w:r>
      <w:r w:rsidR="00086728">
        <w:rPr>
          <w:sz w:val="24"/>
          <w:szCs w:val="24"/>
        </w:rPr>
        <w:t xml:space="preserve">would </w:t>
      </w:r>
      <w:r w:rsidR="00EA370B">
        <w:rPr>
          <w:sz w:val="24"/>
          <w:szCs w:val="24"/>
        </w:rPr>
        <w:t>b</w:t>
      </w:r>
      <w:r w:rsidR="00086728">
        <w:rPr>
          <w:sz w:val="24"/>
          <w:szCs w:val="24"/>
        </w:rPr>
        <w:t xml:space="preserve">e </w:t>
      </w:r>
      <w:r w:rsidR="008F6675">
        <w:rPr>
          <w:sz w:val="24"/>
          <w:szCs w:val="24"/>
        </w:rPr>
        <w:t>divided into first lien mortgages, home equity lines of credit, and home equity loans</w:t>
      </w:r>
      <w:r w:rsidR="00422562">
        <w:rPr>
          <w:sz w:val="24"/>
          <w:szCs w:val="24"/>
        </w:rPr>
        <w:t>; credit card would be split between bank and charge cards</w:t>
      </w:r>
      <w:r w:rsidR="00396D98">
        <w:rPr>
          <w:sz w:val="24"/>
          <w:szCs w:val="24"/>
        </w:rPr>
        <w:t>,</w:t>
      </w:r>
      <w:r w:rsidR="00422562">
        <w:rPr>
          <w:sz w:val="24"/>
          <w:szCs w:val="24"/>
        </w:rPr>
        <w:t xml:space="preserve"> and </w:t>
      </w:r>
      <w:r w:rsidR="00396D98">
        <w:rPr>
          <w:sz w:val="24"/>
          <w:szCs w:val="24"/>
        </w:rPr>
        <w:t xml:space="preserve">small business </w:t>
      </w:r>
      <w:r w:rsidR="00422562">
        <w:rPr>
          <w:sz w:val="24"/>
          <w:szCs w:val="24"/>
        </w:rPr>
        <w:t xml:space="preserve">and corporate cards; and </w:t>
      </w:r>
      <w:r w:rsidR="008F6675">
        <w:rPr>
          <w:sz w:val="24"/>
          <w:szCs w:val="24"/>
        </w:rPr>
        <w:t xml:space="preserve">student loans </w:t>
      </w:r>
      <w:r w:rsidR="00086728">
        <w:rPr>
          <w:sz w:val="24"/>
          <w:szCs w:val="24"/>
        </w:rPr>
        <w:t xml:space="preserve">would be </w:t>
      </w:r>
      <w:r w:rsidR="008F6675">
        <w:rPr>
          <w:sz w:val="24"/>
          <w:szCs w:val="24"/>
        </w:rPr>
        <w:t xml:space="preserve">split from the other consumer category.  Within each broad product-type segment, the portfolio would be broken into a number of buckets that embody unique risk characteristics.    </w:t>
      </w:r>
    </w:p>
    <w:p w:rsidR="008F6675" w:rsidRDefault="008F6675" w:rsidP="008F6675">
      <w:pPr>
        <w:autoSpaceDE w:val="0"/>
        <w:autoSpaceDN w:val="0"/>
        <w:adjustRightInd w:val="0"/>
        <w:ind w:firstLine="720"/>
        <w:rPr>
          <w:sz w:val="24"/>
          <w:szCs w:val="24"/>
        </w:rPr>
      </w:pPr>
    </w:p>
    <w:p w:rsidR="00150002" w:rsidRDefault="008F6675" w:rsidP="00ED5925">
      <w:pPr>
        <w:tabs>
          <w:tab w:val="left" w:pos="-1080"/>
          <w:tab w:val="left" w:pos="-90"/>
          <w:tab w:val="left" w:pos="720"/>
          <w:tab w:val="left" w:pos="1440"/>
          <w:tab w:val="left" w:pos="1980"/>
          <w:tab w:val="left" w:pos="3960"/>
          <w:tab w:val="left" w:pos="5760"/>
          <w:tab w:val="left" w:pos="7740"/>
          <w:tab w:val="left" w:pos="8640"/>
        </w:tabs>
        <w:rPr>
          <w:szCs w:val="24"/>
        </w:rPr>
      </w:pPr>
      <w:r>
        <w:rPr>
          <w:sz w:val="24"/>
          <w:szCs w:val="24"/>
        </w:rPr>
        <w:tab/>
        <w:t xml:space="preserve">The modular product-type design of the Retail Risk </w:t>
      </w:r>
      <w:r w:rsidR="00705308">
        <w:rPr>
          <w:sz w:val="24"/>
          <w:szCs w:val="24"/>
        </w:rPr>
        <w:t>schedules</w:t>
      </w:r>
      <w:r>
        <w:rPr>
          <w:sz w:val="24"/>
          <w:szCs w:val="24"/>
        </w:rPr>
        <w:t xml:space="preserve"> allows for a targeted collection of information from only the BHCs that have material portfolios in a given product area.  This design feature is intended to limit burden while maximizing the supervisory information yielded from the collection.  </w:t>
      </w:r>
    </w:p>
    <w:p w:rsidR="00F64E1D" w:rsidRDefault="00F64E1D" w:rsidP="00ED5925">
      <w:pPr>
        <w:autoSpaceDE w:val="0"/>
        <w:autoSpaceDN w:val="0"/>
        <w:adjustRightInd w:val="0"/>
        <w:ind w:firstLine="720"/>
        <w:rPr>
          <w:szCs w:val="24"/>
        </w:rPr>
      </w:pPr>
    </w:p>
    <w:p w:rsidR="00B15ED6" w:rsidRDefault="008F6675" w:rsidP="00ED5925">
      <w:pPr>
        <w:tabs>
          <w:tab w:val="left" w:pos="-1080"/>
          <w:tab w:val="left" w:pos="-90"/>
          <w:tab w:val="left" w:pos="720"/>
          <w:tab w:val="left" w:pos="1440"/>
          <w:tab w:val="left" w:pos="1980"/>
          <w:tab w:val="left" w:pos="3960"/>
          <w:tab w:val="left" w:pos="5760"/>
          <w:tab w:val="left" w:pos="7740"/>
          <w:tab w:val="left" w:pos="8640"/>
        </w:tabs>
        <w:rPr>
          <w:color w:val="0070C0"/>
          <w:sz w:val="24"/>
          <w:szCs w:val="24"/>
        </w:rPr>
      </w:pPr>
      <w:r>
        <w:rPr>
          <w:sz w:val="24"/>
          <w:szCs w:val="24"/>
        </w:rPr>
        <w:tab/>
      </w:r>
      <w:r w:rsidR="005A08FD">
        <w:rPr>
          <w:b/>
          <w:sz w:val="24"/>
          <w:szCs w:val="24"/>
        </w:rPr>
        <w:t>PPNR</w:t>
      </w:r>
      <w:r w:rsidR="003C421A">
        <w:rPr>
          <w:b/>
          <w:sz w:val="24"/>
          <w:szCs w:val="24"/>
        </w:rPr>
        <w:t xml:space="preserve"> Risk </w:t>
      </w:r>
      <w:r w:rsidR="00705308">
        <w:rPr>
          <w:b/>
          <w:sz w:val="24"/>
          <w:szCs w:val="24"/>
        </w:rPr>
        <w:t>Schedule</w:t>
      </w:r>
      <w:r w:rsidR="006F362E">
        <w:rPr>
          <w:color w:val="0070C0"/>
          <w:sz w:val="24"/>
          <w:szCs w:val="24"/>
        </w:rPr>
        <w:t xml:space="preserve">  </w:t>
      </w:r>
    </w:p>
    <w:p w:rsidR="00B15ED6" w:rsidRDefault="00B15ED6" w:rsidP="00ED5925">
      <w:pPr>
        <w:tabs>
          <w:tab w:val="left" w:pos="-1080"/>
          <w:tab w:val="left" w:pos="-90"/>
          <w:tab w:val="left" w:pos="720"/>
          <w:tab w:val="left" w:pos="1440"/>
          <w:tab w:val="left" w:pos="1980"/>
          <w:tab w:val="left" w:pos="3960"/>
          <w:tab w:val="left" w:pos="5760"/>
          <w:tab w:val="left" w:pos="7740"/>
          <w:tab w:val="left" w:pos="8640"/>
        </w:tabs>
        <w:rPr>
          <w:color w:val="0070C0"/>
          <w:sz w:val="24"/>
          <w:szCs w:val="24"/>
        </w:rPr>
      </w:pPr>
    </w:p>
    <w:p w:rsidR="00235E3D" w:rsidRPr="00235E3D" w:rsidRDefault="00B15ED6" w:rsidP="00235E3D">
      <w:pPr>
        <w:tabs>
          <w:tab w:val="left" w:pos="-1080"/>
          <w:tab w:val="left" w:pos="-90"/>
          <w:tab w:val="left" w:pos="720"/>
          <w:tab w:val="left" w:pos="1440"/>
          <w:tab w:val="left" w:pos="1980"/>
          <w:tab w:val="left" w:pos="3960"/>
          <w:tab w:val="left" w:pos="5760"/>
          <w:tab w:val="left" w:pos="7740"/>
          <w:tab w:val="left" w:pos="8640"/>
        </w:tabs>
        <w:rPr>
          <w:sz w:val="24"/>
          <w:szCs w:val="24"/>
        </w:rPr>
      </w:pPr>
      <w:r>
        <w:rPr>
          <w:color w:val="0070C0"/>
          <w:sz w:val="24"/>
          <w:szCs w:val="24"/>
        </w:rPr>
        <w:tab/>
      </w:r>
      <w:r w:rsidR="00086728">
        <w:rPr>
          <w:sz w:val="24"/>
          <w:szCs w:val="24"/>
        </w:rPr>
        <w:t>For t</w:t>
      </w:r>
      <w:r w:rsidR="00CA14D2" w:rsidRPr="00CA14D2">
        <w:rPr>
          <w:sz w:val="24"/>
          <w:szCs w:val="24"/>
        </w:rPr>
        <w:t xml:space="preserve">he PPNR </w:t>
      </w:r>
      <w:r w:rsidR="00705308">
        <w:rPr>
          <w:sz w:val="24"/>
          <w:szCs w:val="24"/>
        </w:rPr>
        <w:t>schedule</w:t>
      </w:r>
      <w:r w:rsidR="001D6108">
        <w:rPr>
          <w:sz w:val="24"/>
          <w:szCs w:val="24"/>
        </w:rPr>
        <w:t>,</w:t>
      </w:r>
      <w:r w:rsidR="00CA14D2" w:rsidRPr="00CA14D2">
        <w:rPr>
          <w:sz w:val="24"/>
          <w:szCs w:val="24"/>
        </w:rPr>
        <w:t xml:space="preserve"> e</w:t>
      </w:r>
      <w:r w:rsidR="003C421A" w:rsidRPr="003A2E3D">
        <w:rPr>
          <w:sz w:val="24"/>
          <w:szCs w:val="24"/>
        </w:rPr>
        <w:t xml:space="preserve">ach BHC would provide relevant </w:t>
      </w:r>
      <w:r w:rsidR="00727516" w:rsidRPr="003A2E3D">
        <w:rPr>
          <w:sz w:val="24"/>
          <w:szCs w:val="24"/>
        </w:rPr>
        <w:t xml:space="preserve">data </w:t>
      </w:r>
      <w:r w:rsidR="003C421A" w:rsidRPr="003A2E3D">
        <w:rPr>
          <w:sz w:val="24"/>
          <w:szCs w:val="24"/>
        </w:rPr>
        <w:t>for the</w:t>
      </w:r>
      <w:r w:rsidR="00727516" w:rsidRPr="003A2E3D">
        <w:rPr>
          <w:sz w:val="24"/>
          <w:szCs w:val="24"/>
        </w:rPr>
        <w:t>ir</w:t>
      </w:r>
      <w:r w:rsidR="00CA14D2">
        <w:rPr>
          <w:sz w:val="24"/>
          <w:szCs w:val="24"/>
        </w:rPr>
        <w:t xml:space="preserve"> PPNR.  </w:t>
      </w:r>
      <w:r w:rsidR="001D6108">
        <w:rPr>
          <w:sz w:val="24"/>
          <w:szCs w:val="24"/>
        </w:rPr>
        <w:t>PPNR</w:t>
      </w:r>
      <w:r w:rsidR="00CA14D2">
        <w:rPr>
          <w:sz w:val="24"/>
          <w:szCs w:val="24"/>
        </w:rPr>
        <w:t xml:space="preserve"> is composed of three major components:</w:t>
      </w:r>
      <w:r w:rsidR="003C421A">
        <w:rPr>
          <w:sz w:val="24"/>
          <w:szCs w:val="24"/>
        </w:rPr>
        <w:t xml:space="preserve"> net interest income, non-interest income, and non-interest expense. </w:t>
      </w:r>
      <w:r w:rsidR="00727516">
        <w:rPr>
          <w:sz w:val="24"/>
          <w:szCs w:val="24"/>
        </w:rPr>
        <w:t xml:space="preserve">For both net interest income and non-interest income, BHCs would submit historical data based on a business line breakdown.  </w:t>
      </w:r>
      <w:r w:rsidR="00727516" w:rsidRPr="00D51494">
        <w:rPr>
          <w:sz w:val="24"/>
          <w:szCs w:val="24"/>
        </w:rPr>
        <w:t>Collection of the</w:t>
      </w:r>
      <w:r w:rsidR="00727516">
        <w:rPr>
          <w:sz w:val="24"/>
          <w:szCs w:val="24"/>
        </w:rPr>
        <w:t>se</w:t>
      </w:r>
      <w:r w:rsidR="00727516" w:rsidRPr="00D51494">
        <w:rPr>
          <w:sz w:val="24"/>
          <w:szCs w:val="24"/>
        </w:rPr>
        <w:t xml:space="preserve"> data in this format is based on the assumption that the revenues generated by different business lines react differently under varying scenarios and such a view </w:t>
      </w:r>
      <w:r w:rsidR="0018038C">
        <w:rPr>
          <w:sz w:val="24"/>
          <w:szCs w:val="24"/>
        </w:rPr>
        <w:t>would</w:t>
      </w:r>
      <w:r w:rsidR="0018038C" w:rsidRPr="00D51494">
        <w:rPr>
          <w:sz w:val="24"/>
          <w:szCs w:val="24"/>
        </w:rPr>
        <w:t xml:space="preserve"> </w:t>
      </w:r>
      <w:r w:rsidR="00727516" w:rsidRPr="00D51494">
        <w:rPr>
          <w:sz w:val="24"/>
          <w:szCs w:val="24"/>
        </w:rPr>
        <w:t xml:space="preserve">facilitate a more robust analysis of the resulting projections. </w:t>
      </w:r>
      <w:r w:rsidR="001B4E32" w:rsidRPr="001B4E32">
        <w:rPr>
          <w:color w:val="000000"/>
          <w:sz w:val="24"/>
          <w:szCs w:val="24"/>
        </w:rPr>
        <w:t>BHCs would provide historical data for the first submission and quarterly revisions thereafter.</w:t>
      </w:r>
    </w:p>
    <w:p w:rsidR="002C3F36" w:rsidRDefault="002C3F36" w:rsidP="00727516">
      <w:pPr>
        <w:tabs>
          <w:tab w:val="left" w:pos="-1080"/>
          <w:tab w:val="left" w:pos="-90"/>
          <w:tab w:val="left" w:pos="720"/>
          <w:tab w:val="left" w:pos="1440"/>
          <w:tab w:val="left" w:pos="1980"/>
          <w:tab w:val="left" w:pos="3960"/>
          <w:tab w:val="left" w:pos="5760"/>
          <w:tab w:val="left" w:pos="7740"/>
          <w:tab w:val="left" w:pos="8640"/>
        </w:tabs>
        <w:rPr>
          <w:sz w:val="24"/>
          <w:szCs w:val="24"/>
        </w:rPr>
      </w:pPr>
    </w:p>
    <w:p w:rsidR="00B15ED6" w:rsidRDefault="002C3F36" w:rsidP="000C78F8">
      <w:pPr>
        <w:tabs>
          <w:tab w:val="left" w:pos="-1080"/>
          <w:tab w:val="left" w:pos="-90"/>
          <w:tab w:val="left" w:pos="720"/>
          <w:tab w:val="left" w:pos="1440"/>
          <w:tab w:val="left" w:pos="1980"/>
          <w:tab w:val="left" w:pos="3960"/>
          <w:tab w:val="left" w:pos="5760"/>
          <w:tab w:val="left" w:pos="7740"/>
          <w:tab w:val="left" w:pos="8640"/>
        </w:tabs>
        <w:rPr>
          <w:sz w:val="24"/>
          <w:szCs w:val="24"/>
        </w:rPr>
      </w:pPr>
      <w:r>
        <w:rPr>
          <w:sz w:val="24"/>
          <w:szCs w:val="24"/>
        </w:rPr>
        <w:tab/>
      </w:r>
      <w:r w:rsidR="003C421A">
        <w:rPr>
          <w:b/>
          <w:sz w:val="24"/>
          <w:szCs w:val="24"/>
        </w:rPr>
        <w:t xml:space="preserve">Wholesale Risk </w:t>
      </w:r>
      <w:r w:rsidR="00705308">
        <w:rPr>
          <w:b/>
          <w:sz w:val="24"/>
          <w:szCs w:val="24"/>
        </w:rPr>
        <w:t>Schedule</w:t>
      </w:r>
      <w:r w:rsidR="006F362E">
        <w:rPr>
          <w:sz w:val="24"/>
          <w:szCs w:val="24"/>
        </w:rPr>
        <w:t xml:space="preserve">  </w:t>
      </w:r>
    </w:p>
    <w:p w:rsidR="00B15ED6" w:rsidRDefault="00B15ED6" w:rsidP="000C78F8">
      <w:pPr>
        <w:tabs>
          <w:tab w:val="left" w:pos="-1080"/>
          <w:tab w:val="left" w:pos="-90"/>
          <w:tab w:val="left" w:pos="720"/>
          <w:tab w:val="left" w:pos="1440"/>
          <w:tab w:val="left" w:pos="1980"/>
          <w:tab w:val="left" w:pos="3960"/>
          <w:tab w:val="left" w:pos="5760"/>
          <w:tab w:val="left" w:pos="7740"/>
          <w:tab w:val="left" w:pos="8640"/>
        </w:tabs>
        <w:rPr>
          <w:sz w:val="24"/>
          <w:szCs w:val="24"/>
        </w:rPr>
      </w:pPr>
    </w:p>
    <w:p w:rsidR="000C78F8" w:rsidRPr="00D51494" w:rsidRDefault="00B15ED6" w:rsidP="000C78F8">
      <w:pPr>
        <w:tabs>
          <w:tab w:val="left" w:pos="-1080"/>
          <w:tab w:val="left" w:pos="-90"/>
          <w:tab w:val="left" w:pos="720"/>
          <w:tab w:val="left" w:pos="1440"/>
          <w:tab w:val="left" w:pos="1980"/>
          <w:tab w:val="left" w:pos="3960"/>
          <w:tab w:val="left" w:pos="5760"/>
          <w:tab w:val="left" w:pos="7740"/>
          <w:tab w:val="left" w:pos="8640"/>
        </w:tabs>
        <w:rPr>
          <w:sz w:val="24"/>
          <w:szCs w:val="24"/>
        </w:rPr>
      </w:pPr>
      <w:r>
        <w:rPr>
          <w:sz w:val="24"/>
          <w:szCs w:val="24"/>
        </w:rPr>
        <w:tab/>
      </w:r>
      <w:r w:rsidR="00086728">
        <w:rPr>
          <w:sz w:val="24"/>
          <w:szCs w:val="24"/>
        </w:rPr>
        <w:t>For t</w:t>
      </w:r>
      <w:r w:rsidR="002C3F36">
        <w:rPr>
          <w:sz w:val="24"/>
          <w:szCs w:val="24"/>
        </w:rPr>
        <w:t xml:space="preserve">he Wholesale Risk </w:t>
      </w:r>
      <w:r w:rsidR="00705308">
        <w:rPr>
          <w:sz w:val="24"/>
          <w:szCs w:val="24"/>
        </w:rPr>
        <w:t>schedule</w:t>
      </w:r>
      <w:r w:rsidR="001D6108">
        <w:rPr>
          <w:sz w:val="24"/>
          <w:szCs w:val="24"/>
        </w:rPr>
        <w:t>,</w:t>
      </w:r>
      <w:r w:rsidR="002C3F36">
        <w:rPr>
          <w:sz w:val="24"/>
          <w:szCs w:val="24"/>
        </w:rPr>
        <w:t xml:space="preserve"> each BHC</w:t>
      </w:r>
      <w:r w:rsidR="003C421A">
        <w:rPr>
          <w:sz w:val="24"/>
          <w:szCs w:val="24"/>
        </w:rPr>
        <w:t xml:space="preserve"> would provide wholesale loan portfolio</w:t>
      </w:r>
      <w:r w:rsidR="002C3F36">
        <w:rPr>
          <w:sz w:val="24"/>
          <w:szCs w:val="24"/>
        </w:rPr>
        <w:t xml:space="preserve"> data </w:t>
      </w:r>
      <w:r w:rsidR="006A4A61">
        <w:rPr>
          <w:sz w:val="24"/>
          <w:szCs w:val="24"/>
        </w:rPr>
        <w:t xml:space="preserve">that </w:t>
      </w:r>
      <w:r w:rsidR="003C421A">
        <w:rPr>
          <w:sz w:val="24"/>
          <w:szCs w:val="24"/>
        </w:rPr>
        <w:t>comprise the corporate loan and commercial real estate (CRE) loan portfolios.  The</w:t>
      </w:r>
      <w:r w:rsidR="00235E3D">
        <w:rPr>
          <w:sz w:val="24"/>
          <w:szCs w:val="24"/>
        </w:rPr>
        <w:t>se</w:t>
      </w:r>
      <w:r w:rsidR="003C421A">
        <w:rPr>
          <w:sz w:val="24"/>
          <w:szCs w:val="24"/>
        </w:rPr>
        <w:t xml:space="preserve"> data collected would provide critical information on the performance of the loan portfolios in order to be used to develop stress test loss estimates and other analytical purposes. Given the distinct characteristics of each portfolio, the</w:t>
      </w:r>
      <w:r w:rsidR="00235E3D">
        <w:rPr>
          <w:sz w:val="24"/>
          <w:szCs w:val="24"/>
        </w:rPr>
        <w:t>se</w:t>
      </w:r>
      <w:r w:rsidR="003C421A">
        <w:rPr>
          <w:sz w:val="24"/>
          <w:szCs w:val="24"/>
        </w:rPr>
        <w:t xml:space="preserve"> data would be collected under two data </w:t>
      </w:r>
      <w:r w:rsidR="00705308">
        <w:rPr>
          <w:sz w:val="24"/>
          <w:szCs w:val="24"/>
        </w:rPr>
        <w:t>schedules</w:t>
      </w:r>
      <w:r w:rsidR="003C421A">
        <w:rPr>
          <w:sz w:val="24"/>
          <w:szCs w:val="24"/>
        </w:rPr>
        <w:t xml:space="preserve">.    </w:t>
      </w:r>
    </w:p>
    <w:p w:rsidR="00B84CE2" w:rsidRPr="00D51494" w:rsidRDefault="00B84CE2" w:rsidP="000C78F8">
      <w:pPr>
        <w:tabs>
          <w:tab w:val="left" w:pos="-1080"/>
          <w:tab w:val="left" w:pos="-90"/>
          <w:tab w:val="left" w:pos="720"/>
          <w:tab w:val="left" w:pos="1440"/>
          <w:tab w:val="left" w:pos="1980"/>
          <w:tab w:val="left" w:pos="3960"/>
          <w:tab w:val="left" w:pos="5760"/>
          <w:tab w:val="left" w:pos="7740"/>
          <w:tab w:val="left" w:pos="8640"/>
        </w:tabs>
        <w:rPr>
          <w:sz w:val="24"/>
          <w:szCs w:val="24"/>
        </w:rPr>
      </w:pPr>
    </w:p>
    <w:p w:rsidR="000C78F8" w:rsidRPr="00D51494" w:rsidRDefault="003C421A" w:rsidP="000C78F8">
      <w:pPr>
        <w:tabs>
          <w:tab w:val="left" w:pos="-1080"/>
          <w:tab w:val="left" w:pos="-90"/>
          <w:tab w:val="left" w:pos="720"/>
          <w:tab w:val="left" w:pos="1440"/>
          <w:tab w:val="left" w:pos="1980"/>
          <w:tab w:val="left" w:pos="3960"/>
          <w:tab w:val="left" w:pos="5760"/>
          <w:tab w:val="left" w:pos="7740"/>
          <w:tab w:val="left" w:pos="8640"/>
        </w:tabs>
        <w:rPr>
          <w:sz w:val="24"/>
          <w:szCs w:val="24"/>
        </w:rPr>
      </w:pPr>
      <w:r>
        <w:rPr>
          <w:sz w:val="24"/>
          <w:szCs w:val="24"/>
        </w:rPr>
        <w:tab/>
        <w:t xml:space="preserve">For the corporate loan portfolio, the </w:t>
      </w:r>
      <w:r w:rsidR="002C3F36">
        <w:rPr>
          <w:sz w:val="24"/>
          <w:szCs w:val="24"/>
        </w:rPr>
        <w:t>BHC</w:t>
      </w:r>
      <w:r>
        <w:rPr>
          <w:sz w:val="24"/>
          <w:szCs w:val="24"/>
        </w:rPr>
        <w:t xml:space="preserve"> would provide loan-level information about the characteristics of credit exposures (</w:t>
      </w:r>
      <w:r w:rsidR="00EA370B">
        <w:rPr>
          <w:sz w:val="24"/>
          <w:szCs w:val="24"/>
        </w:rPr>
        <w:t>for example,</w:t>
      </w:r>
      <w:r>
        <w:rPr>
          <w:sz w:val="24"/>
          <w:szCs w:val="24"/>
        </w:rPr>
        <w:t xml:space="preserve"> legally binding loan commitments or credit facilities).  The collection would include corporate loans</w:t>
      </w:r>
      <w:r w:rsidR="006A4A61">
        <w:rPr>
          <w:sz w:val="24"/>
          <w:szCs w:val="24"/>
        </w:rPr>
        <w:t>, held at the BHC level,</w:t>
      </w:r>
      <w:r>
        <w:rPr>
          <w:sz w:val="24"/>
          <w:szCs w:val="24"/>
        </w:rPr>
        <w:t xml:space="preserve"> to both domestic and foreign borrowers.  For purposes of this collection, applicable corporate loan portfolios include loans to large corporations, small businesses (excluding scored or delinquency managed small business loans for which a commercial internal rating is not used), foreign governments, depository and non</w:t>
      </w:r>
      <w:r w:rsidR="001647BD">
        <w:rPr>
          <w:sz w:val="24"/>
          <w:szCs w:val="24"/>
        </w:rPr>
        <w:t xml:space="preserve"> </w:t>
      </w:r>
      <w:r>
        <w:rPr>
          <w:sz w:val="24"/>
          <w:szCs w:val="24"/>
        </w:rPr>
        <w:t xml:space="preserve">depository financial institutions, agriculture loans, as well as other loans such as loans for purchasing or carrying securities and all other commercial loans and leases as defined by </w:t>
      </w:r>
      <w:r w:rsidR="004A1A37">
        <w:rPr>
          <w:sz w:val="24"/>
          <w:szCs w:val="24"/>
        </w:rPr>
        <w:t xml:space="preserve">the </w:t>
      </w:r>
      <w:r>
        <w:rPr>
          <w:sz w:val="24"/>
          <w:szCs w:val="24"/>
        </w:rPr>
        <w:t xml:space="preserve">FR Y-9C.  </w:t>
      </w:r>
      <w:r w:rsidR="002C3F36">
        <w:rPr>
          <w:sz w:val="24"/>
          <w:szCs w:val="24"/>
        </w:rPr>
        <w:t>D</w:t>
      </w:r>
      <w:r>
        <w:rPr>
          <w:sz w:val="24"/>
          <w:szCs w:val="24"/>
        </w:rPr>
        <w:t xml:space="preserve">ata </w:t>
      </w:r>
      <w:r w:rsidR="001647BD">
        <w:rPr>
          <w:sz w:val="24"/>
          <w:szCs w:val="24"/>
        </w:rPr>
        <w:t>items</w:t>
      </w:r>
      <w:r>
        <w:rPr>
          <w:sz w:val="24"/>
          <w:szCs w:val="24"/>
        </w:rPr>
        <w:t xml:space="preserve"> </w:t>
      </w:r>
      <w:r w:rsidR="002C3F36">
        <w:rPr>
          <w:sz w:val="24"/>
          <w:szCs w:val="24"/>
        </w:rPr>
        <w:t xml:space="preserve">would </w:t>
      </w:r>
      <w:r>
        <w:rPr>
          <w:sz w:val="24"/>
          <w:szCs w:val="24"/>
        </w:rPr>
        <w:t>include borrower name</w:t>
      </w:r>
      <w:r w:rsidR="00503122">
        <w:rPr>
          <w:sz w:val="24"/>
          <w:szCs w:val="24"/>
        </w:rPr>
        <w:t xml:space="preserve"> (individuals</w:t>
      </w:r>
      <w:r w:rsidR="00281266">
        <w:rPr>
          <w:sz w:val="24"/>
          <w:szCs w:val="24"/>
        </w:rPr>
        <w:t xml:space="preserve">’ names </w:t>
      </w:r>
      <w:r w:rsidR="00235E3D">
        <w:rPr>
          <w:sz w:val="24"/>
          <w:szCs w:val="24"/>
        </w:rPr>
        <w:t xml:space="preserve">would not </w:t>
      </w:r>
      <w:r w:rsidR="00281266">
        <w:rPr>
          <w:sz w:val="24"/>
          <w:szCs w:val="24"/>
        </w:rPr>
        <w:t>be collected</w:t>
      </w:r>
      <w:r w:rsidR="00503122">
        <w:rPr>
          <w:sz w:val="24"/>
          <w:szCs w:val="24"/>
        </w:rPr>
        <w:t>)</w:t>
      </w:r>
      <w:r>
        <w:rPr>
          <w:sz w:val="24"/>
          <w:szCs w:val="24"/>
        </w:rPr>
        <w:t xml:space="preserve">, loan amount, loan type, maturity and internal risk rating.  </w:t>
      </w:r>
    </w:p>
    <w:p w:rsidR="00B84CE2" w:rsidRPr="00D51494" w:rsidRDefault="00B84CE2" w:rsidP="000C78F8">
      <w:pPr>
        <w:tabs>
          <w:tab w:val="left" w:pos="-1080"/>
          <w:tab w:val="left" w:pos="-90"/>
          <w:tab w:val="left" w:pos="720"/>
          <w:tab w:val="left" w:pos="1440"/>
          <w:tab w:val="left" w:pos="1980"/>
          <w:tab w:val="left" w:pos="3960"/>
          <w:tab w:val="left" w:pos="5760"/>
          <w:tab w:val="left" w:pos="7740"/>
          <w:tab w:val="left" w:pos="8640"/>
        </w:tabs>
        <w:rPr>
          <w:sz w:val="24"/>
          <w:szCs w:val="24"/>
        </w:rPr>
      </w:pPr>
    </w:p>
    <w:p w:rsidR="000C78F8" w:rsidRPr="00D51494" w:rsidRDefault="003C421A" w:rsidP="000C78F8">
      <w:pPr>
        <w:tabs>
          <w:tab w:val="left" w:pos="-1080"/>
          <w:tab w:val="left" w:pos="-90"/>
          <w:tab w:val="left" w:pos="720"/>
          <w:tab w:val="left" w:pos="1440"/>
          <w:tab w:val="left" w:pos="1980"/>
          <w:tab w:val="left" w:pos="3960"/>
          <w:tab w:val="left" w:pos="5760"/>
          <w:tab w:val="left" w:pos="7740"/>
          <w:tab w:val="left" w:pos="8640"/>
        </w:tabs>
        <w:rPr>
          <w:sz w:val="24"/>
          <w:szCs w:val="24"/>
        </w:rPr>
      </w:pPr>
      <w:r>
        <w:rPr>
          <w:sz w:val="24"/>
          <w:szCs w:val="24"/>
        </w:rPr>
        <w:lastRenderedPageBreak/>
        <w:tab/>
        <w:t xml:space="preserve">For the CRE loan portfolios, the </w:t>
      </w:r>
      <w:r w:rsidR="002C3F36">
        <w:rPr>
          <w:sz w:val="24"/>
          <w:szCs w:val="24"/>
        </w:rPr>
        <w:t>BHC</w:t>
      </w:r>
      <w:r>
        <w:rPr>
          <w:sz w:val="24"/>
          <w:szCs w:val="24"/>
        </w:rPr>
        <w:t xml:space="preserve"> would provide loan-level information about the characteristics of credit exposures for each CRE loan equal to or greater than $1 m</w:t>
      </w:r>
      <w:r w:rsidR="002C3F36">
        <w:rPr>
          <w:sz w:val="24"/>
          <w:szCs w:val="24"/>
        </w:rPr>
        <w:t>illio</w:t>
      </w:r>
      <w:r>
        <w:rPr>
          <w:sz w:val="24"/>
          <w:szCs w:val="24"/>
        </w:rPr>
        <w:t>n.  For purposes of this collection, applicable CRE loan portfolios include 1-4 family residential construction loans, other construction and land development loans, multifamily loans, non-farm</w:t>
      </w:r>
      <w:r w:rsidR="00086728">
        <w:rPr>
          <w:sz w:val="24"/>
          <w:szCs w:val="24"/>
        </w:rPr>
        <w:t xml:space="preserve"> or </w:t>
      </w:r>
      <w:r>
        <w:rPr>
          <w:sz w:val="24"/>
          <w:szCs w:val="24"/>
        </w:rPr>
        <w:t>non-residential loans, loans to finance CRE but not secured by CRE, and international CRE loans (</w:t>
      </w:r>
      <w:r w:rsidR="004A1A37">
        <w:rPr>
          <w:sz w:val="24"/>
          <w:szCs w:val="24"/>
        </w:rPr>
        <w:t>for example,</w:t>
      </w:r>
      <w:r>
        <w:rPr>
          <w:sz w:val="24"/>
          <w:szCs w:val="24"/>
        </w:rPr>
        <w:t xml:space="preserve"> non-domestic office loans), as each is defined in the FR Y-9C.</w:t>
      </w:r>
      <w:r w:rsidR="00074911">
        <w:rPr>
          <w:sz w:val="24"/>
          <w:szCs w:val="24"/>
        </w:rPr>
        <w:t xml:space="preserve">  </w:t>
      </w:r>
      <w:r>
        <w:rPr>
          <w:sz w:val="24"/>
          <w:szCs w:val="24"/>
        </w:rPr>
        <w:t>Given the complexity of CRE portfolios, the data would include loan information (</w:t>
      </w:r>
      <w:r w:rsidR="004A1A37">
        <w:rPr>
          <w:sz w:val="24"/>
          <w:szCs w:val="24"/>
        </w:rPr>
        <w:t>for example,</w:t>
      </w:r>
      <w:r>
        <w:rPr>
          <w:sz w:val="24"/>
          <w:szCs w:val="24"/>
        </w:rPr>
        <w:t xml:space="preserve"> borrower name</w:t>
      </w:r>
      <w:r w:rsidR="0018038C">
        <w:rPr>
          <w:sz w:val="24"/>
          <w:szCs w:val="24"/>
        </w:rPr>
        <w:t xml:space="preserve"> </w:t>
      </w:r>
      <w:r w:rsidR="006E1E81">
        <w:rPr>
          <w:sz w:val="24"/>
          <w:szCs w:val="24"/>
        </w:rPr>
        <w:t>(</w:t>
      </w:r>
      <w:r w:rsidR="004512E2">
        <w:rPr>
          <w:sz w:val="24"/>
          <w:szCs w:val="24"/>
        </w:rPr>
        <w:t>i</w:t>
      </w:r>
      <w:r w:rsidR="00503122">
        <w:rPr>
          <w:sz w:val="24"/>
          <w:szCs w:val="24"/>
        </w:rPr>
        <w:t>ndividuals</w:t>
      </w:r>
      <w:r w:rsidR="00281266">
        <w:rPr>
          <w:sz w:val="24"/>
          <w:szCs w:val="24"/>
        </w:rPr>
        <w:t xml:space="preserve">’ names </w:t>
      </w:r>
      <w:r w:rsidR="00235E3D">
        <w:rPr>
          <w:sz w:val="24"/>
          <w:szCs w:val="24"/>
        </w:rPr>
        <w:t xml:space="preserve">would not </w:t>
      </w:r>
      <w:r w:rsidR="00281266">
        <w:rPr>
          <w:sz w:val="24"/>
          <w:szCs w:val="24"/>
        </w:rPr>
        <w:t>be collected</w:t>
      </w:r>
      <w:r w:rsidR="006E1E81">
        <w:rPr>
          <w:sz w:val="24"/>
          <w:szCs w:val="24"/>
        </w:rPr>
        <w:t>)</w:t>
      </w:r>
      <w:r>
        <w:rPr>
          <w:sz w:val="24"/>
          <w:szCs w:val="24"/>
        </w:rPr>
        <w:t>, loan amount, loan type, maturity and rating) and property information (</w:t>
      </w:r>
      <w:r w:rsidR="004A1A37">
        <w:rPr>
          <w:sz w:val="24"/>
          <w:szCs w:val="24"/>
        </w:rPr>
        <w:t>for example,</w:t>
      </w:r>
      <w:r>
        <w:rPr>
          <w:sz w:val="24"/>
          <w:szCs w:val="24"/>
        </w:rPr>
        <w:t xml:space="preserve"> property type, net operating income, property value, and occupancy).  </w:t>
      </w:r>
    </w:p>
    <w:p w:rsidR="00E52415" w:rsidRDefault="00E52415" w:rsidP="003C496C">
      <w:pPr>
        <w:tabs>
          <w:tab w:val="left" w:pos="-1080"/>
          <w:tab w:val="left" w:pos="-90"/>
          <w:tab w:val="left" w:pos="720"/>
          <w:tab w:val="left" w:pos="1440"/>
          <w:tab w:val="left" w:pos="1980"/>
          <w:tab w:val="left" w:pos="3960"/>
          <w:tab w:val="left" w:pos="5760"/>
          <w:tab w:val="left" w:pos="7740"/>
          <w:tab w:val="left" w:pos="8640"/>
        </w:tabs>
        <w:rPr>
          <w:sz w:val="24"/>
          <w:szCs w:val="24"/>
        </w:rPr>
      </w:pPr>
    </w:p>
    <w:p w:rsidR="00B15ED6" w:rsidRDefault="007C1B0E" w:rsidP="00AE3B4F">
      <w:pPr>
        <w:tabs>
          <w:tab w:val="left" w:pos="-1080"/>
          <w:tab w:val="left" w:pos="-90"/>
          <w:tab w:val="left" w:pos="720"/>
          <w:tab w:val="left" w:pos="1440"/>
          <w:tab w:val="left" w:pos="1980"/>
          <w:tab w:val="left" w:pos="3960"/>
          <w:tab w:val="left" w:pos="5760"/>
          <w:tab w:val="left" w:pos="7740"/>
          <w:tab w:val="left" w:pos="8640"/>
        </w:tabs>
        <w:rPr>
          <w:sz w:val="24"/>
          <w:szCs w:val="24"/>
        </w:rPr>
      </w:pPr>
      <w:r>
        <w:rPr>
          <w:sz w:val="24"/>
          <w:szCs w:val="24"/>
        </w:rPr>
        <w:tab/>
      </w:r>
      <w:r w:rsidR="003C421A">
        <w:rPr>
          <w:b/>
          <w:sz w:val="24"/>
          <w:szCs w:val="24"/>
        </w:rPr>
        <w:t xml:space="preserve">Trading Risk </w:t>
      </w:r>
      <w:r w:rsidR="00705308">
        <w:rPr>
          <w:b/>
          <w:sz w:val="24"/>
          <w:szCs w:val="24"/>
        </w:rPr>
        <w:t>Schedule</w:t>
      </w:r>
      <w:r w:rsidR="00026F19">
        <w:rPr>
          <w:b/>
          <w:sz w:val="24"/>
          <w:szCs w:val="24"/>
        </w:rPr>
        <w:t xml:space="preserve"> </w:t>
      </w:r>
    </w:p>
    <w:p w:rsidR="00B15ED6" w:rsidRDefault="00B15ED6" w:rsidP="00AE3B4F">
      <w:pPr>
        <w:tabs>
          <w:tab w:val="left" w:pos="-1080"/>
          <w:tab w:val="left" w:pos="-90"/>
          <w:tab w:val="left" w:pos="720"/>
          <w:tab w:val="left" w:pos="1440"/>
          <w:tab w:val="left" w:pos="1980"/>
          <w:tab w:val="left" w:pos="3960"/>
          <w:tab w:val="left" w:pos="5760"/>
          <w:tab w:val="left" w:pos="7740"/>
          <w:tab w:val="left" w:pos="8640"/>
        </w:tabs>
        <w:rPr>
          <w:sz w:val="24"/>
          <w:szCs w:val="24"/>
        </w:rPr>
      </w:pPr>
    </w:p>
    <w:p w:rsidR="00AE3B4F" w:rsidRPr="00D51494" w:rsidRDefault="00B15ED6" w:rsidP="00AE3B4F">
      <w:pPr>
        <w:tabs>
          <w:tab w:val="left" w:pos="-1080"/>
          <w:tab w:val="left" w:pos="-90"/>
          <w:tab w:val="left" w:pos="720"/>
          <w:tab w:val="left" w:pos="1440"/>
          <w:tab w:val="left" w:pos="1980"/>
          <w:tab w:val="left" w:pos="3960"/>
          <w:tab w:val="left" w:pos="5760"/>
          <w:tab w:val="left" w:pos="7740"/>
          <w:tab w:val="left" w:pos="8640"/>
        </w:tabs>
        <w:rPr>
          <w:sz w:val="24"/>
          <w:szCs w:val="24"/>
        </w:rPr>
      </w:pPr>
      <w:r>
        <w:rPr>
          <w:sz w:val="24"/>
          <w:szCs w:val="24"/>
        </w:rPr>
        <w:tab/>
      </w:r>
      <w:r w:rsidR="003C421A">
        <w:rPr>
          <w:sz w:val="24"/>
          <w:szCs w:val="24"/>
        </w:rPr>
        <w:t xml:space="preserve">The worksheets </w:t>
      </w:r>
      <w:r w:rsidR="007C1B0E">
        <w:rPr>
          <w:sz w:val="24"/>
          <w:szCs w:val="24"/>
        </w:rPr>
        <w:t xml:space="preserve">that </w:t>
      </w:r>
      <w:r w:rsidR="006A4A61">
        <w:rPr>
          <w:sz w:val="24"/>
          <w:szCs w:val="24"/>
        </w:rPr>
        <w:t xml:space="preserve">make up </w:t>
      </w:r>
      <w:r w:rsidR="007C1B0E">
        <w:rPr>
          <w:sz w:val="24"/>
          <w:szCs w:val="24"/>
        </w:rPr>
        <w:t xml:space="preserve">the Trading </w:t>
      </w:r>
      <w:r w:rsidR="00705308">
        <w:rPr>
          <w:sz w:val="24"/>
          <w:szCs w:val="24"/>
        </w:rPr>
        <w:t>schedule</w:t>
      </w:r>
      <w:r w:rsidR="007C1B0E">
        <w:rPr>
          <w:sz w:val="24"/>
          <w:szCs w:val="24"/>
        </w:rPr>
        <w:t xml:space="preserve"> would</w:t>
      </w:r>
      <w:r w:rsidR="003C421A">
        <w:rPr>
          <w:sz w:val="24"/>
          <w:szCs w:val="24"/>
        </w:rPr>
        <w:t xml:space="preserve"> capture detailed information on </w:t>
      </w:r>
      <w:r w:rsidR="00026F19">
        <w:rPr>
          <w:sz w:val="24"/>
          <w:szCs w:val="24"/>
        </w:rPr>
        <w:t xml:space="preserve">the BHC’s </w:t>
      </w:r>
      <w:r w:rsidR="006A3AF7">
        <w:rPr>
          <w:sz w:val="24"/>
          <w:szCs w:val="24"/>
        </w:rPr>
        <w:t>profit and loss (</w:t>
      </w:r>
      <w:r w:rsidR="003C421A">
        <w:rPr>
          <w:sz w:val="24"/>
          <w:szCs w:val="24"/>
        </w:rPr>
        <w:t>P/L</w:t>
      </w:r>
      <w:r w:rsidR="006A3AF7">
        <w:rPr>
          <w:sz w:val="24"/>
          <w:szCs w:val="24"/>
        </w:rPr>
        <w:t>)</w:t>
      </w:r>
      <w:r w:rsidR="003C421A">
        <w:rPr>
          <w:sz w:val="24"/>
          <w:szCs w:val="24"/>
        </w:rPr>
        <w:t xml:space="preserve"> sensitivities to changes in equity prices, foreign exchange rates, interest rates, credit spreads</w:t>
      </w:r>
      <w:r w:rsidR="00791432">
        <w:rPr>
          <w:sz w:val="24"/>
          <w:szCs w:val="24"/>
        </w:rPr>
        <w:t>,</w:t>
      </w:r>
      <w:r w:rsidR="003C421A">
        <w:rPr>
          <w:sz w:val="24"/>
          <w:szCs w:val="24"/>
        </w:rPr>
        <w:t xml:space="preserve"> and commodity prices. Information on the trading book </w:t>
      </w:r>
      <w:r w:rsidR="006A4A61">
        <w:rPr>
          <w:sz w:val="24"/>
          <w:szCs w:val="24"/>
        </w:rPr>
        <w:t>would be reported</w:t>
      </w:r>
      <w:r w:rsidR="003C421A">
        <w:rPr>
          <w:sz w:val="24"/>
          <w:szCs w:val="24"/>
        </w:rPr>
        <w:t xml:space="preserve"> in the form of various spot sensitivities, as well as through multidimensional P/L sensitivity grids for products that tend to exhibit nonlinear P/L response to underlying risk factors.  The worksheets in this </w:t>
      </w:r>
      <w:r w:rsidR="00705308">
        <w:rPr>
          <w:sz w:val="24"/>
          <w:szCs w:val="24"/>
        </w:rPr>
        <w:t>schedule</w:t>
      </w:r>
      <w:r w:rsidR="003C421A">
        <w:rPr>
          <w:sz w:val="24"/>
          <w:szCs w:val="24"/>
        </w:rPr>
        <w:t xml:space="preserve"> request information on both the sector (industry) and geographical compositions of exposures to such assets.  </w:t>
      </w:r>
      <w:r w:rsidR="00705308">
        <w:rPr>
          <w:sz w:val="24"/>
          <w:szCs w:val="24"/>
        </w:rPr>
        <w:t>A</w:t>
      </w:r>
      <w:r w:rsidR="00497B72" w:rsidRPr="00994991">
        <w:rPr>
          <w:sz w:val="24"/>
          <w:szCs w:val="24"/>
        </w:rPr>
        <w:t xml:space="preserve">dditional </w:t>
      </w:r>
      <w:r w:rsidR="00705308">
        <w:rPr>
          <w:sz w:val="24"/>
          <w:szCs w:val="24"/>
        </w:rPr>
        <w:t xml:space="preserve">data would be collected </w:t>
      </w:r>
      <w:r w:rsidR="00497B72" w:rsidRPr="00994991">
        <w:rPr>
          <w:sz w:val="24"/>
          <w:szCs w:val="24"/>
        </w:rPr>
        <w:t xml:space="preserve">for </w:t>
      </w:r>
      <w:r w:rsidR="0010484E">
        <w:rPr>
          <w:sz w:val="24"/>
          <w:szCs w:val="24"/>
        </w:rPr>
        <w:t>t</w:t>
      </w:r>
      <w:r w:rsidR="00497B72" w:rsidRPr="00994991">
        <w:rPr>
          <w:sz w:val="24"/>
          <w:szCs w:val="24"/>
        </w:rPr>
        <w:t xml:space="preserve">rading </w:t>
      </w:r>
      <w:r w:rsidR="00497B72">
        <w:rPr>
          <w:sz w:val="24"/>
          <w:szCs w:val="24"/>
        </w:rPr>
        <w:t>incremental default risk (</w:t>
      </w:r>
      <w:r w:rsidR="00497B72" w:rsidRPr="00994991">
        <w:rPr>
          <w:sz w:val="24"/>
          <w:szCs w:val="24"/>
        </w:rPr>
        <w:t>IDR</w:t>
      </w:r>
      <w:r w:rsidR="00497B72">
        <w:rPr>
          <w:sz w:val="24"/>
          <w:szCs w:val="24"/>
        </w:rPr>
        <w:t>)</w:t>
      </w:r>
      <w:r w:rsidR="00497B72" w:rsidRPr="00994991">
        <w:rPr>
          <w:sz w:val="24"/>
          <w:szCs w:val="24"/>
        </w:rPr>
        <w:t xml:space="preserve">: Corporate and Sovereign Credit, and Securitized Products.   </w:t>
      </w:r>
    </w:p>
    <w:p w:rsidR="00E52415" w:rsidRPr="00D51494" w:rsidRDefault="00E52415" w:rsidP="003C496C">
      <w:pPr>
        <w:tabs>
          <w:tab w:val="left" w:pos="-1080"/>
          <w:tab w:val="left" w:pos="-90"/>
          <w:tab w:val="left" w:pos="720"/>
          <w:tab w:val="left" w:pos="1440"/>
          <w:tab w:val="left" w:pos="1980"/>
          <w:tab w:val="left" w:pos="3960"/>
          <w:tab w:val="left" w:pos="5760"/>
          <w:tab w:val="left" w:pos="7740"/>
          <w:tab w:val="left" w:pos="8640"/>
        </w:tabs>
        <w:rPr>
          <w:b/>
          <w:sz w:val="24"/>
          <w:szCs w:val="24"/>
        </w:rPr>
      </w:pPr>
    </w:p>
    <w:p w:rsidR="00A07A01" w:rsidRDefault="00A07A01" w:rsidP="003C496C">
      <w:pPr>
        <w:tabs>
          <w:tab w:val="left" w:pos="-1080"/>
          <w:tab w:val="left" w:pos="-90"/>
          <w:tab w:val="left" w:pos="720"/>
          <w:tab w:val="left" w:pos="1440"/>
          <w:tab w:val="left" w:pos="1980"/>
          <w:tab w:val="left" w:pos="3960"/>
          <w:tab w:val="left" w:pos="5760"/>
          <w:tab w:val="left" w:pos="7740"/>
          <w:tab w:val="left" w:pos="8640"/>
        </w:tabs>
        <w:rPr>
          <w:b/>
          <w:sz w:val="24"/>
          <w:szCs w:val="24"/>
        </w:rPr>
      </w:pPr>
      <w:r>
        <w:rPr>
          <w:b/>
          <w:sz w:val="24"/>
          <w:szCs w:val="24"/>
        </w:rPr>
        <w:tab/>
        <w:t xml:space="preserve">Basel III </w:t>
      </w:r>
      <w:r w:rsidR="00705308">
        <w:rPr>
          <w:b/>
          <w:sz w:val="24"/>
          <w:szCs w:val="24"/>
        </w:rPr>
        <w:t>Schedule</w:t>
      </w:r>
    </w:p>
    <w:p w:rsidR="00A07A01" w:rsidRDefault="00A07A01" w:rsidP="003C496C">
      <w:pPr>
        <w:tabs>
          <w:tab w:val="left" w:pos="-1080"/>
          <w:tab w:val="left" w:pos="-90"/>
          <w:tab w:val="left" w:pos="720"/>
          <w:tab w:val="left" w:pos="1440"/>
          <w:tab w:val="left" w:pos="1980"/>
          <w:tab w:val="left" w:pos="3960"/>
          <w:tab w:val="left" w:pos="5760"/>
          <w:tab w:val="left" w:pos="7740"/>
          <w:tab w:val="left" w:pos="8640"/>
        </w:tabs>
        <w:rPr>
          <w:b/>
          <w:sz w:val="24"/>
          <w:szCs w:val="24"/>
        </w:rPr>
      </w:pPr>
    </w:p>
    <w:p w:rsidR="006A3AF7" w:rsidRDefault="006A3AF7" w:rsidP="006A3AF7">
      <w:pPr>
        <w:ind w:firstLine="720"/>
        <w:rPr>
          <w:sz w:val="24"/>
          <w:szCs w:val="24"/>
        </w:rPr>
      </w:pPr>
      <w:r w:rsidRPr="004313D4">
        <w:rPr>
          <w:sz w:val="24"/>
          <w:szCs w:val="24"/>
        </w:rPr>
        <w:t xml:space="preserve">The proposed quarterly </w:t>
      </w:r>
      <w:r>
        <w:rPr>
          <w:sz w:val="24"/>
          <w:szCs w:val="24"/>
        </w:rPr>
        <w:t>collection</w:t>
      </w:r>
      <w:r w:rsidRPr="004313D4">
        <w:rPr>
          <w:sz w:val="24"/>
          <w:szCs w:val="24"/>
        </w:rPr>
        <w:t xml:space="preserve"> </w:t>
      </w:r>
      <w:r>
        <w:rPr>
          <w:sz w:val="24"/>
          <w:szCs w:val="24"/>
        </w:rPr>
        <w:t>would</w:t>
      </w:r>
      <w:r w:rsidRPr="004313D4">
        <w:rPr>
          <w:sz w:val="24"/>
          <w:szCs w:val="24"/>
        </w:rPr>
        <w:t xml:space="preserve"> </w:t>
      </w:r>
      <w:r w:rsidR="00852940">
        <w:rPr>
          <w:sz w:val="24"/>
          <w:szCs w:val="24"/>
        </w:rPr>
        <w:t>be</w:t>
      </w:r>
      <w:r w:rsidR="00852940" w:rsidRPr="004313D4">
        <w:rPr>
          <w:sz w:val="24"/>
          <w:szCs w:val="24"/>
        </w:rPr>
        <w:t xml:space="preserve"> </w:t>
      </w:r>
      <w:r w:rsidRPr="004313D4">
        <w:rPr>
          <w:sz w:val="24"/>
          <w:szCs w:val="24"/>
        </w:rPr>
        <w:t xml:space="preserve">a </w:t>
      </w:r>
      <w:r w:rsidR="00852940">
        <w:rPr>
          <w:sz w:val="24"/>
          <w:szCs w:val="24"/>
        </w:rPr>
        <w:t>streamlined</w:t>
      </w:r>
      <w:r w:rsidRPr="004313D4">
        <w:rPr>
          <w:sz w:val="24"/>
          <w:szCs w:val="24"/>
        </w:rPr>
        <w:t xml:space="preserve"> version of the </w:t>
      </w:r>
      <w:r>
        <w:rPr>
          <w:sz w:val="24"/>
          <w:szCs w:val="24"/>
        </w:rPr>
        <w:t>annual</w:t>
      </w:r>
      <w:r w:rsidRPr="004313D4">
        <w:rPr>
          <w:sz w:val="24"/>
          <w:szCs w:val="24"/>
        </w:rPr>
        <w:t xml:space="preserve"> </w:t>
      </w:r>
      <w:r w:rsidR="00705308">
        <w:rPr>
          <w:sz w:val="24"/>
          <w:szCs w:val="24"/>
        </w:rPr>
        <w:t>schedule</w:t>
      </w:r>
      <w:r w:rsidRPr="004313D4">
        <w:rPr>
          <w:sz w:val="24"/>
          <w:szCs w:val="24"/>
        </w:rPr>
        <w:t xml:space="preserve"> </w:t>
      </w:r>
      <w:r w:rsidR="00852940">
        <w:rPr>
          <w:sz w:val="24"/>
          <w:szCs w:val="24"/>
        </w:rPr>
        <w:t>and would</w:t>
      </w:r>
      <w:r w:rsidR="00852940" w:rsidRPr="004313D4">
        <w:rPr>
          <w:sz w:val="24"/>
          <w:szCs w:val="24"/>
        </w:rPr>
        <w:t xml:space="preserve"> </w:t>
      </w:r>
      <w:r w:rsidRPr="004313D4">
        <w:rPr>
          <w:sz w:val="24"/>
          <w:szCs w:val="24"/>
        </w:rPr>
        <w:t xml:space="preserve">collect </w:t>
      </w:r>
      <w:r w:rsidR="001D6108">
        <w:rPr>
          <w:sz w:val="24"/>
          <w:szCs w:val="24"/>
        </w:rPr>
        <w:t xml:space="preserve">actual </w:t>
      </w:r>
      <w:r w:rsidRPr="004313D4">
        <w:rPr>
          <w:sz w:val="24"/>
          <w:szCs w:val="24"/>
        </w:rPr>
        <w:t xml:space="preserve">balances for Basel III Tier 1 Common, Tier 1 Capital, </w:t>
      </w:r>
      <w:r>
        <w:rPr>
          <w:sz w:val="24"/>
          <w:szCs w:val="24"/>
        </w:rPr>
        <w:t>RWA</w:t>
      </w:r>
      <w:r w:rsidRPr="004313D4">
        <w:rPr>
          <w:sz w:val="24"/>
          <w:szCs w:val="24"/>
        </w:rPr>
        <w:t xml:space="preserve">, Leverage Exposures (including some elements of </w:t>
      </w:r>
      <w:r>
        <w:rPr>
          <w:sz w:val="24"/>
          <w:szCs w:val="24"/>
        </w:rPr>
        <w:t>RWAs</w:t>
      </w:r>
      <w:r w:rsidRPr="004313D4">
        <w:rPr>
          <w:sz w:val="24"/>
          <w:szCs w:val="24"/>
        </w:rPr>
        <w:t xml:space="preserve"> and Leverage Exposures, if available)</w:t>
      </w:r>
      <w:r w:rsidR="00852940">
        <w:rPr>
          <w:sz w:val="24"/>
          <w:szCs w:val="24"/>
        </w:rPr>
        <w:t>, capital instruments outstanding</w:t>
      </w:r>
      <w:r w:rsidR="00706C36">
        <w:rPr>
          <w:sz w:val="24"/>
          <w:szCs w:val="24"/>
        </w:rPr>
        <w:t>,</w:t>
      </w:r>
      <w:r w:rsidR="00852940">
        <w:rPr>
          <w:sz w:val="24"/>
          <w:szCs w:val="24"/>
        </w:rPr>
        <w:t xml:space="preserve"> and proposed issuances and redemptions</w:t>
      </w:r>
      <w:r w:rsidRPr="004313D4">
        <w:rPr>
          <w:sz w:val="24"/>
          <w:szCs w:val="24"/>
        </w:rPr>
        <w:t>.  Th</w:t>
      </w:r>
      <w:r>
        <w:rPr>
          <w:sz w:val="24"/>
          <w:szCs w:val="24"/>
        </w:rPr>
        <w:t>e</w:t>
      </w:r>
      <w:r w:rsidRPr="004313D4">
        <w:rPr>
          <w:sz w:val="24"/>
          <w:szCs w:val="24"/>
        </w:rPr>
        <w:t>s</w:t>
      </w:r>
      <w:r>
        <w:rPr>
          <w:sz w:val="24"/>
          <w:szCs w:val="24"/>
        </w:rPr>
        <w:t>e</w:t>
      </w:r>
      <w:r w:rsidRPr="004313D4">
        <w:rPr>
          <w:sz w:val="24"/>
          <w:szCs w:val="24"/>
        </w:rPr>
        <w:t xml:space="preserve"> data </w:t>
      </w:r>
      <w:r>
        <w:rPr>
          <w:sz w:val="24"/>
          <w:szCs w:val="24"/>
        </w:rPr>
        <w:t xml:space="preserve">are </w:t>
      </w:r>
      <w:r w:rsidRPr="004313D4">
        <w:rPr>
          <w:sz w:val="24"/>
          <w:szCs w:val="24"/>
        </w:rPr>
        <w:t xml:space="preserve">not available in regulatory reports, which are prepared on a Basel I </w:t>
      </w:r>
      <w:r w:rsidR="00402D41">
        <w:rPr>
          <w:sz w:val="24"/>
          <w:szCs w:val="24"/>
        </w:rPr>
        <w:t xml:space="preserve">or Basel II </w:t>
      </w:r>
      <w:r w:rsidRPr="004313D4">
        <w:rPr>
          <w:sz w:val="24"/>
          <w:szCs w:val="24"/>
        </w:rPr>
        <w:t xml:space="preserve">basis.  </w:t>
      </w:r>
      <w:r>
        <w:rPr>
          <w:sz w:val="24"/>
          <w:szCs w:val="24"/>
        </w:rPr>
        <w:t>D</w:t>
      </w:r>
      <w:r w:rsidRPr="004313D4">
        <w:rPr>
          <w:sz w:val="24"/>
          <w:szCs w:val="24"/>
        </w:rPr>
        <w:t xml:space="preserve">ata collected </w:t>
      </w:r>
      <w:r>
        <w:rPr>
          <w:sz w:val="24"/>
          <w:szCs w:val="24"/>
        </w:rPr>
        <w:t xml:space="preserve">would </w:t>
      </w:r>
      <w:r w:rsidRPr="004313D4">
        <w:rPr>
          <w:sz w:val="24"/>
          <w:szCs w:val="24"/>
        </w:rPr>
        <w:t xml:space="preserve">be compared against the balance projections provided </w:t>
      </w:r>
      <w:r>
        <w:rPr>
          <w:sz w:val="24"/>
          <w:szCs w:val="24"/>
        </w:rPr>
        <w:t>annually</w:t>
      </w:r>
      <w:r w:rsidRPr="004313D4">
        <w:rPr>
          <w:sz w:val="24"/>
          <w:szCs w:val="24"/>
        </w:rPr>
        <w:t xml:space="preserve"> to monitor the path of </w:t>
      </w:r>
      <w:r>
        <w:rPr>
          <w:sz w:val="24"/>
          <w:szCs w:val="24"/>
        </w:rPr>
        <w:t xml:space="preserve">each </w:t>
      </w:r>
      <w:r w:rsidRPr="004313D4">
        <w:rPr>
          <w:sz w:val="24"/>
          <w:szCs w:val="24"/>
        </w:rPr>
        <w:t>BHC</w:t>
      </w:r>
      <w:r>
        <w:rPr>
          <w:sz w:val="24"/>
          <w:szCs w:val="24"/>
        </w:rPr>
        <w:t>’s</w:t>
      </w:r>
      <w:r w:rsidRPr="004313D4">
        <w:rPr>
          <w:sz w:val="24"/>
          <w:szCs w:val="24"/>
        </w:rPr>
        <w:t xml:space="preserve"> positions. </w:t>
      </w:r>
      <w:r w:rsidR="005D6D9C">
        <w:rPr>
          <w:sz w:val="24"/>
          <w:szCs w:val="24"/>
        </w:rPr>
        <w:t xml:space="preserve"> </w:t>
      </w:r>
      <w:r w:rsidRPr="004313D4">
        <w:rPr>
          <w:sz w:val="24"/>
          <w:szCs w:val="24"/>
        </w:rPr>
        <w:t xml:space="preserve">For BHCs that </w:t>
      </w:r>
      <w:r w:rsidR="0025464C">
        <w:rPr>
          <w:sz w:val="24"/>
          <w:szCs w:val="24"/>
        </w:rPr>
        <w:t>submitted</w:t>
      </w:r>
      <w:r w:rsidR="0025464C" w:rsidRPr="004313D4">
        <w:rPr>
          <w:sz w:val="24"/>
          <w:szCs w:val="24"/>
        </w:rPr>
        <w:t xml:space="preserve"> </w:t>
      </w:r>
      <w:r w:rsidRPr="004313D4">
        <w:rPr>
          <w:sz w:val="24"/>
          <w:szCs w:val="24"/>
        </w:rPr>
        <w:t xml:space="preserve">in their annual </w:t>
      </w:r>
      <w:r w:rsidR="0025464C">
        <w:rPr>
          <w:sz w:val="24"/>
          <w:szCs w:val="24"/>
        </w:rPr>
        <w:t>filing</w:t>
      </w:r>
      <w:r w:rsidR="0025464C" w:rsidRPr="004313D4">
        <w:rPr>
          <w:sz w:val="24"/>
          <w:szCs w:val="24"/>
        </w:rPr>
        <w:t xml:space="preserve"> </w:t>
      </w:r>
      <w:r w:rsidRPr="004313D4">
        <w:rPr>
          <w:sz w:val="24"/>
          <w:szCs w:val="24"/>
        </w:rPr>
        <w:t xml:space="preserve">planned actions to meet Basel III targets, the </w:t>
      </w:r>
      <w:r>
        <w:rPr>
          <w:sz w:val="24"/>
          <w:szCs w:val="24"/>
        </w:rPr>
        <w:t>Federal Reserve</w:t>
      </w:r>
      <w:r w:rsidRPr="004313D4">
        <w:rPr>
          <w:sz w:val="24"/>
          <w:szCs w:val="24"/>
        </w:rPr>
        <w:t xml:space="preserve"> </w:t>
      </w:r>
      <w:r>
        <w:rPr>
          <w:sz w:val="24"/>
          <w:szCs w:val="24"/>
        </w:rPr>
        <w:t>would</w:t>
      </w:r>
      <w:r w:rsidRPr="004313D4">
        <w:rPr>
          <w:sz w:val="24"/>
          <w:szCs w:val="24"/>
        </w:rPr>
        <w:t xml:space="preserve"> also request qualitative responses regarding progress in executing those actions.  Combined with the </w:t>
      </w:r>
      <w:r>
        <w:rPr>
          <w:sz w:val="24"/>
          <w:szCs w:val="24"/>
        </w:rPr>
        <w:t xml:space="preserve">collected </w:t>
      </w:r>
      <w:r w:rsidRPr="004313D4">
        <w:rPr>
          <w:sz w:val="24"/>
          <w:szCs w:val="24"/>
        </w:rPr>
        <w:t xml:space="preserve">data, this information </w:t>
      </w:r>
      <w:r>
        <w:rPr>
          <w:sz w:val="24"/>
          <w:szCs w:val="24"/>
        </w:rPr>
        <w:t>would</w:t>
      </w:r>
      <w:r w:rsidRPr="004313D4">
        <w:rPr>
          <w:sz w:val="24"/>
          <w:szCs w:val="24"/>
        </w:rPr>
        <w:t xml:space="preserve"> provide important insight into </w:t>
      </w:r>
      <w:r>
        <w:rPr>
          <w:sz w:val="24"/>
          <w:szCs w:val="24"/>
        </w:rPr>
        <w:t>each</w:t>
      </w:r>
      <w:r w:rsidRPr="004313D4">
        <w:rPr>
          <w:sz w:val="24"/>
          <w:szCs w:val="24"/>
        </w:rPr>
        <w:t xml:space="preserve"> BHC</w:t>
      </w:r>
      <w:r>
        <w:rPr>
          <w:sz w:val="24"/>
          <w:szCs w:val="24"/>
        </w:rPr>
        <w:t>’</w:t>
      </w:r>
      <w:r w:rsidRPr="004313D4">
        <w:rPr>
          <w:sz w:val="24"/>
          <w:szCs w:val="24"/>
        </w:rPr>
        <w:t xml:space="preserve">s Basel III preparedness and feasibility of the projections and plans submitted in the annual </w:t>
      </w:r>
      <w:r w:rsidR="00705308">
        <w:rPr>
          <w:sz w:val="24"/>
          <w:szCs w:val="24"/>
        </w:rPr>
        <w:t>schedule</w:t>
      </w:r>
      <w:r w:rsidRPr="004313D4">
        <w:rPr>
          <w:sz w:val="24"/>
          <w:szCs w:val="24"/>
        </w:rPr>
        <w:t>.</w:t>
      </w:r>
    </w:p>
    <w:p w:rsidR="00402D41" w:rsidRDefault="00402D41" w:rsidP="006A3AF7">
      <w:pPr>
        <w:ind w:firstLine="720"/>
        <w:rPr>
          <w:sz w:val="24"/>
          <w:szCs w:val="24"/>
        </w:rPr>
      </w:pPr>
    </w:p>
    <w:p w:rsidR="00402D41" w:rsidRPr="00EC215F" w:rsidRDefault="00402D41" w:rsidP="00402D41">
      <w:pPr>
        <w:ind w:firstLine="720"/>
        <w:rPr>
          <w:b/>
          <w:sz w:val="24"/>
          <w:szCs w:val="24"/>
        </w:rPr>
      </w:pPr>
      <w:r w:rsidRPr="0097695A">
        <w:rPr>
          <w:b/>
          <w:sz w:val="24"/>
          <w:szCs w:val="24"/>
        </w:rPr>
        <w:t>Regulatory Capital Instrument</w:t>
      </w:r>
      <w:r w:rsidR="00EF0346">
        <w:rPr>
          <w:b/>
          <w:sz w:val="24"/>
          <w:szCs w:val="24"/>
        </w:rPr>
        <w:t>s</w:t>
      </w:r>
      <w:r w:rsidRPr="0097695A">
        <w:rPr>
          <w:b/>
          <w:sz w:val="24"/>
          <w:szCs w:val="24"/>
        </w:rPr>
        <w:t xml:space="preserve"> </w:t>
      </w:r>
      <w:r w:rsidR="00705308">
        <w:rPr>
          <w:b/>
          <w:sz w:val="24"/>
          <w:szCs w:val="24"/>
        </w:rPr>
        <w:t>Schedule</w:t>
      </w:r>
    </w:p>
    <w:p w:rsidR="00402D41" w:rsidRDefault="00402D41" w:rsidP="00402D41">
      <w:pPr>
        <w:ind w:firstLine="720"/>
      </w:pPr>
    </w:p>
    <w:p w:rsidR="00402D41" w:rsidRPr="001052AA" w:rsidRDefault="00402D41" w:rsidP="006A3AF7">
      <w:pPr>
        <w:ind w:firstLine="720"/>
        <w:rPr>
          <w:sz w:val="24"/>
          <w:szCs w:val="24"/>
        </w:rPr>
      </w:pPr>
      <w:r w:rsidRPr="001052AA">
        <w:rPr>
          <w:sz w:val="24"/>
          <w:szCs w:val="24"/>
        </w:rPr>
        <w:t xml:space="preserve">The proposed quarterly collection would ask BHCs to confirm the execution of proposed redemptions and issuances of specific instruments and identify any deviations from the projections submitted in the annual </w:t>
      </w:r>
      <w:r w:rsidR="00B36702" w:rsidRPr="001052AA">
        <w:rPr>
          <w:sz w:val="24"/>
          <w:szCs w:val="24"/>
        </w:rPr>
        <w:t>schedule</w:t>
      </w:r>
      <w:r w:rsidRPr="001052AA">
        <w:rPr>
          <w:sz w:val="24"/>
          <w:szCs w:val="24"/>
        </w:rPr>
        <w:t xml:space="preserve">. The quarterly monitoring effort </w:t>
      </w:r>
      <w:r w:rsidR="00C34DD4" w:rsidRPr="001052AA">
        <w:rPr>
          <w:sz w:val="24"/>
          <w:szCs w:val="24"/>
        </w:rPr>
        <w:t>would</w:t>
      </w:r>
      <w:r w:rsidRPr="001052AA">
        <w:rPr>
          <w:sz w:val="24"/>
          <w:szCs w:val="24"/>
        </w:rPr>
        <w:t xml:space="preserve"> facilitate the maintenance and updating of the centralized Regulatory Capital Instruments data in order to support future capital requests and to produce horizontal and BHC-specific reports on the composition of Tier 1 and Tier 2 capital.</w:t>
      </w:r>
    </w:p>
    <w:p w:rsidR="006A3AF7" w:rsidRPr="001052AA" w:rsidRDefault="006A3AF7" w:rsidP="003C496C">
      <w:pPr>
        <w:tabs>
          <w:tab w:val="left" w:pos="-1080"/>
          <w:tab w:val="left" w:pos="-90"/>
          <w:tab w:val="left" w:pos="720"/>
          <w:tab w:val="left" w:pos="1440"/>
          <w:tab w:val="left" w:pos="1980"/>
          <w:tab w:val="left" w:pos="3960"/>
          <w:tab w:val="left" w:pos="5760"/>
          <w:tab w:val="left" w:pos="7740"/>
          <w:tab w:val="left" w:pos="8640"/>
        </w:tabs>
        <w:rPr>
          <w:b/>
          <w:sz w:val="24"/>
          <w:szCs w:val="24"/>
        </w:rPr>
      </w:pPr>
    </w:p>
    <w:p w:rsidR="00FA1DC5" w:rsidRDefault="00FA1DC5">
      <w:pPr>
        <w:rPr>
          <w:b/>
          <w:sz w:val="24"/>
          <w:szCs w:val="24"/>
        </w:rPr>
      </w:pPr>
      <w:r>
        <w:rPr>
          <w:b/>
          <w:sz w:val="24"/>
          <w:szCs w:val="24"/>
        </w:rPr>
        <w:br w:type="page"/>
      </w:r>
    </w:p>
    <w:p w:rsidR="00B014F5" w:rsidRPr="001052AA" w:rsidRDefault="00B014F5" w:rsidP="009447A1">
      <w:pPr>
        <w:tabs>
          <w:tab w:val="left" w:pos="-1080"/>
          <w:tab w:val="left" w:pos="-90"/>
          <w:tab w:val="left" w:pos="720"/>
          <w:tab w:val="left" w:pos="1440"/>
          <w:tab w:val="left" w:pos="1980"/>
          <w:tab w:val="left" w:pos="3960"/>
          <w:tab w:val="left" w:pos="5760"/>
          <w:tab w:val="left" w:pos="7740"/>
          <w:tab w:val="left" w:pos="8640"/>
        </w:tabs>
        <w:jc w:val="center"/>
        <w:rPr>
          <w:b/>
          <w:sz w:val="24"/>
          <w:szCs w:val="24"/>
        </w:rPr>
      </w:pPr>
      <w:r w:rsidRPr="001052AA">
        <w:rPr>
          <w:b/>
          <w:sz w:val="24"/>
          <w:szCs w:val="24"/>
        </w:rPr>
        <w:lastRenderedPageBreak/>
        <w:t>FR Y-14A/Q Instructions</w:t>
      </w:r>
    </w:p>
    <w:p w:rsidR="00B014F5" w:rsidRPr="001052AA" w:rsidRDefault="00B014F5" w:rsidP="003C496C">
      <w:pPr>
        <w:tabs>
          <w:tab w:val="left" w:pos="-1080"/>
          <w:tab w:val="left" w:pos="-90"/>
          <w:tab w:val="left" w:pos="720"/>
          <w:tab w:val="left" w:pos="1440"/>
          <w:tab w:val="left" w:pos="1980"/>
          <w:tab w:val="left" w:pos="3960"/>
          <w:tab w:val="left" w:pos="5760"/>
          <w:tab w:val="left" w:pos="7740"/>
          <w:tab w:val="left" w:pos="8640"/>
        </w:tabs>
        <w:rPr>
          <w:b/>
          <w:sz w:val="24"/>
          <w:szCs w:val="24"/>
        </w:rPr>
      </w:pPr>
    </w:p>
    <w:p w:rsidR="00B014F5" w:rsidRPr="001052AA" w:rsidRDefault="00B014F5" w:rsidP="003C496C">
      <w:pPr>
        <w:tabs>
          <w:tab w:val="left" w:pos="-1080"/>
          <w:tab w:val="left" w:pos="-90"/>
          <w:tab w:val="left" w:pos="720"/>
          <w:tab w:val="left" w:pos="1440"/>
          <w:tab w:val="left" w:pos="1980"/>
          <w:tab w:val="left" w:pos="3960"/>
          <w:tab w:val="left" w:pos="5760"/>
          <w:tab w:val="left" w:pos="7740"/>
          <w:tab w:val="left" w:pos="8640"/>
        </w:tabs>
        <w:rPr>
          <w:sz w:val="24"/>
          <w:szCs w:val="24"/>
        </w:rPr>
      </w:pPr>
      <w:r w:rsidRPr="001052AA">
        <w:rPr>
          <w:b/>
          <w:sz w:val="24"/>
          <w:szCs w:val="24"/>
        </w:rPr>
        <w:tab/>
      </w:r>
      <w:r w:rsidR="00A76504" w:rsidRPr="001052AA">
        <w:rPr>
          <w:sz w:val="24"/>
          <w:szCs w:val="24"/>
        </w:rPr>
        <w:t>The reporting instructions,</w:t>
      </w:r>
      <w:r w:rsidRPr="001052AA">
        <w:rPr>
          <w:b/>
          <w:sz w:val="24"/>
          <w:szCs w:val="24"/>
        </w:rPr>
        <w:t xml:space="preserve"> </w:t>
      </w:r>
      <w:r w:rsidR="00A76504" w:rsidRPr="001052AA">
        <w:rPr>
          <w:sz w:val="24"/>
          <w:szCs w:val="24"/>
        </w:rPr>
        <w:t xml:space="preserve">to the extent </w:t>
      </w:r>
      <w:r w:rsidRPr="001052AA">
        <w:rPr>
          <w:sz w:val="24"/>
          <w:szCs w:val="24"/>
        </w:rPr>
        <w:t>appropriate</w:t>
      </w:r>
      <w:r w:rsidR="00A76504" w:rsidRPr="001052AA">
        <w:rPr>
          <w:sz w:val="24"/>
          <w:szCs w:val="24"/>
        </w:rPr>
        <w:t xml:space="preserve">, </w:t>
      </w:r>
      <w:r w:rsidRPr="001052AA">
        <w:rPr>
          <w:sz w:val="24"/>
          <w:szCs w:val="24"/>
        </w:rPr>
        <w:t>would</w:t>
      </w:r>
      <w:r w:rsidR="00A76504" w:rsidRPr="001052AA">
        <w:rPr>
          <w:sz w:val="24"/>
          <w:szCs w:val="24"/>
        </w:rPr>
        <w:t xml:space="preserve"> use definitions already included in the FR Y-9C</w:t>
      </w:r>
      <w:r w:rsidRPr="001052AA">
        <w:rPr>
          <w:sz w:val="24"/>
          <w:szCs w:val="24"/>
        </w:rPr>
        <w:t xml:space="preserve"> instructions</w:t>
      </w:r>
      <w:r w:rsidR="00A76504" w:rsidRPr="001052AA">
        <w:rPr>
          <w:sz w:val="24"/>
          <w:szCs w:val="24"/>
        </w:rPr>
        <w:t>, and total amounts</w:t>
      </w:r>
      <w:r w:rsidRPr="001052AA">
        <w:rPr>
          <w:sz w:val="24"/>
          <w:szCs w:val="24"/>
        </w:rPr>
        <w:t xml:space="preserve"> (for example</w:t>
      </w:r>
      <w:r w:rsidR="00A76504" w:rsidRPr="001052AA">
        <w:rPr>
          <w:sz w:val="24"/>
          <w:szCs w:val="24"/>
        </w:rPr>
        <w:t>, total AFS or HTM securities</w:t>
      </w:r>
      <w:r w:rsidRPr="001052AA">
        <w:rPr>
          <w:sz w:val="24"/>
          <w:szCs w:val="24"/>
        </w:rPr>
        <w:t>), to the extent appropriate, w</w:t>
      </w:r>
      <w:r w:rsidR="00A76504" w:rsidRPr="001052AA">
        <w:rPr>
          <w:sz w:val="24"/>
          <w:szCs w:val="24"/>
        </w:rPr>
        <w:t xml:space="preserve">ould agree </w:t>
      </w:r>
      <w:r w:rsidRPr="001052AA">
        <w:rPr>
          <w:sz w:val="24"/>
          <w:szCs w:val="24"/>
        </w:rPr>
        <w:t>with</w:t>
      </w:r>
      <w:r w:rsidR="00A76504" w:rsidRPr="001052AA">
        <w:rPr>
          <w:sz w:val="24"/>
          <w:szCs w:val="24"/>
        </w:rPr>
        <w:t xml:space="preserve"> total</w:t>
      </w:r>
      <w:r w:rsidRPr="001052AA">
        <w:rPr>
          <w:sz w:val="24"/>
          <w:szCs w:val="24"/>
        </w:rPr>
        <w:t xml:space="preserve"> amounts</w:t>
      </w:r>
      <w:r w:rsidR="00A76504" w:rsidRPr="001052AA">
        <w:rPr>
          <w:sz w:val="24"/>
          <w:szCs w:val="24"/>
        </w:rPr>
        <w:t xml:space="preserve"> </w:t>
      </w:r>
      <w:r w:rsidRPr="001052AA">
        <w:rPr>
          <w:sz w:val="24"/>
          <w:szCs w:val="24"/>
        </w:rPr>
        <w:t>reported on</w:t>
      </w:r>
      <w:r w:rsidR="00A76504" w:rsidRPr="001052AA">
        <w:rPr>
          <w:sz w:val="24"/>
          <w:szCs w:val="24"/>
        </w:rPr>
        <w:t xml:space="preserve"> the FR Y-9C.  </w:t>
      </w:r>
    </w:p>
    <w:p w:rsidR="00B014F5" w:rsidRPr="001052AA" w:rsidRDefault="00B014F5" w:rsidP="003C496C">
      <w:pPr>
        <w:tabs>
          <w:tab w:val="left" w:pos="-1080"/>
          <w:tab w:val="left" w:pos="-90"/>
          <w:tab w:val="left" w:pos="720"/>
          <w:tab w:val="left" w:pos="1440"/>
          <w:tab w:val="left" w:pos="1980"/>
          <w:tab w:val="left" w:pos="3960"/>
          <w:tab w:val="left" w:pos="5760"/>
          <w:tab w:val="left" w:pos="7740"/>
          <w:tab w:val="left" w:pos="8640"/>
        </w:tabs>
        <w:rPr>
          <w:b/>
          <w:sz w:val="24"/>
          <w:szCs w:val="24"/>
        </w:rPr>
      </w:pPr>
    </w:p>
    <w:p w:rsidR="003D6BD0" w:rsidRPr="001052AA" w:rsidRDefault="003C421A">
      <w:pPr>
        <w:tabs>
          <w:tab w:val="left" w:pos="-1080"/>
          <w:tab w:val="left" w:pos="-90"/>
          <w:tab w:val="left" w:pos="720"/>
          <w:tab w:val="left" w:pos="1440"/>
          <w:tab w:val="left" w:pos="1980"/>
          <w:tab w:val="left" w:pos="3960"/>
          <w:tab w:val="left" w:pos="5760"/>
          <w:tab w:val="left" w:pos="7740"/>
          <w:tab w:val="left" w:pos="8640"/>
        </w:tabs>
        <w:rPr>
          <w:b/>
          <w:sz w:val="24"/>
          <w:szCs w:val="24"/>
        </w:rPr>
      </w:pPr>
      <w:r w:rsidRPr="001052AA">
        <w:rPr>
          <w:b/>
          <w:sz w:val="24"/>
          <w:szCs w:val="24"/>
        </w:rPr>
        <w:t xml:space="preserve">Time Schedule for Information Collection </w:t>
      </w:r>
      <w:r w:rsidR="00190549" w:rsidRPr="001052AA">
        <w:rPr>
          <w:b/>
          <w:sz w:val="24"/>
          <w:szCs w:val="24"/>
        </w:rPr>
        <w:t>and Publication</w:t>
      </w:r>
    </w:p>
    <w:p w:rsidR="009A2BC2" w:rsidRPr="001052AA" w:rsidRDefault="009A2BC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0"/>
          <w:szCs w:val="24"/>
        </w:rPr>
      </w:pPr>
    </w:p>
    <w:p w:rsidR="00A21001" w:rsidRPr="001052AA" w:rsidRDefault="008750E1" w:rsidP="00235E3D">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0"/>
          <w:szCs w:val="24"/>
        </w:rPr>
      </w:pPr>
      <w:r w:rsidRPr="001052AA">
        <w:rPr>
          <w:rFonts w:ascii="Times New Roman" w:hAnsi="Times New Roman"/>
          <w:b w:val="0"/>
          <w:szCs w:val="24"/>
        </w:rPr>
        <w:tab/>
      </w:r>
      <w:r w:rsidR="00A21001" w:rsidRPr="001052AA">
        <w:rPr>
          <w:rFonts w:ascii="Times New Roman" w:hAnsi="Times New Roman"/>
          <w:szCs w:val="24"/>
        </w:rPr>
        <w:t xml:space="preserve">FR </w:t>
      </w:r>
      <w:r w:rsidR="001934AD" w:rsidRPr="001052AA">
        <w:rPr>
          <w:rFonts w:ascii="Times New Roman" w:hAnsi="Times New Roman"/>
          <w:szCs w:val="24"/>
        </w:rPr>
        <w:t>Y-14</w:t>
      </w:r>
      <w:r w:rsidR="00A21001" w:rsidRPr="001052AA">
        <w:rPr>
          <w:rFonts w:ascii="Times New Roman" w:hAnsi="Times New Roman"/>
          <w:szCs w:val="24"/>
        </w:rPr>
        <w:t>A</w:t>
      </w:r>
      <w:r w:rsidR="00281266" w:rsidRPr="001052AA">
        <w:rPr>
          <w:rFonts w:ascii="Times New Roman" w:hAnsi="Times New Roman"/>
          <w:szCs w:val="24"/>
        </w:rPr>
        <w:t xml:space="preserve"> Time Schedule</w:t>
      </w:r>
      <w:r w:rsidR="00A21001" w:rsidRPr="001052AA">
        <w:rPr>
          <w:rFonts w:ascii="Times New Roman" w:hAnsi="Times New Roman"/>
          <w:szCs w:val="24"/>
        </w:rPr>
        <w:t xml:space="preserve">. </w:t>
      </w:r>
      <w:r w:rsidR="00A21001" w:rsidRPr="001052AA">
        <w:rPr>
          <w:rFonts w:ascii="Times New Roman" w:hAnsi="Times New Roman"/>
          <w:b w:val="0"/>
          <w:szCs w:val="24"/>
        </w:rPr>
        <w:t xml:space="preserve"> </w:t>
      </w:r>
      <w:r w:rsidR="00235E3D" w:rsidRPr="001052AA">
        <w:rPr>
          <w:rFonts w:ascii="Times New Roman" w:hAnsi="Times New Roman"/>
          <w:b w:val="0"/>
          <w:szCs w:val="24"/>
        </w:rPr>
        <w:t xml:space="preserve"> </w:t>
      </w:r>
      <w:r w:rsidR="00C517C1">
        <w:rPr>
          <w:rFonts w:ascii="Times New Roman" w:hAnsi="Times New Roman"/>
          <w:b w:val="0"/>
          <w:szCs w:val="24"/>
        </w:rPr>
        <w:t>T</w:t>
      </w:r>
      <w:r w:rsidR="00235E3D" w:rsidRPr="001052AA">
        <w:rPr>
          <w:rFonts w:ascii="Times New Roman" w:hAnsi="Times New Roman"/>
          <w:b w:val="0"/>
          <w:szCs w:val="24"/>
        </w:rPr>
        <w:t>he Federal Reserve distribute</w:t>
      </w:r>
      <w:r w:rsidR="00C517C1">
        <w:rPr>
          <w:rFonts w:ascii="Times New Roman" w:hAnsi="Times New Roman"/>
          <w:b w:val="0"/>
          <w:szCs w:val="24"/>
        </w:rPr>
        <w:t>d</w:t>
      </w:r>
      <w:r w:rsidR="00235E3D" w:rsidRPr="001052AA">
        <w:rPr>
          <w:rFonts w:ascii="Times New Roman" w:hAnsi="Times New Roman"/>
          <w:b w:val="0"/>
          <w:szCs w:val="24"/>
        </w:rPr>
        <w:t xml:space="preserve"> schedules to the BHCs in late-November and </w:t>
      </w:r>
      <w:r w:rsidR="00C517C1">
        <w:rPr>
          <w:rFonts w:ascii="Times New Roman" w:hAnsi="Times New Roman"/>
          <w:b w:val="0"/>
          <w:szCs w:val="24"/>
        </w:rPr>
        <w:t>should</w:t>
      </w:r>
      <w:r w:rsidR="00C517C1" w:rsidRPr="001052AA">
        <w:rPr>
          <w:rFonts w:ascii="Times New Roman" w:hAnsi="Times New Roman"/>
          <w:b w:val="0"/>
          <w:szCs w:val="24"/>
        </w:rPr>
        <w:t xml:space="preserve"> </w:t>
      </w:r>
      <w:r w:rsidR="00235E3D" w:rsidRPr="001052AA">
        <w:rPr>
          <w:rFonts w:ascii="Times New Roman" w:hAnsi="Times New Roman"/>
          <w:b w:val="0"/>
          <w:szCs w:val="24"/>
        </w:rPr>
        <w:t>receive the completed data by early-January 2012.  With the exception of the trading and counterparty collections, the data collected would be reported as of September 30, 2011.  Due to the unique role that timing plays in any market shock exercise, the annual trading and CCR data would be collected as-of a specified date in the 3</w:t>
      </w:r>
      <w:r w:rsidR="00235E3D" w:rsidRPr="001052AA">
        <w:rPr>
          <w:rFonts w:ascii="Times New Roman" w:hAnsi="Times New Roman"/>
          <w:b w:val="0"/>
          <w:szCs w:val="24"/>
          <w:vertAlign w:val="superscript"/>
        </w:rPr>
        <w:t>rd</w:t>
      </w:r>
      <w:r w:rsidR="00235E3D" w:rsidRPr="001052AA">
        <w:rPr>
          <w:rFonts w:ascii="Times New Roman" w:hAnsi="Times New Roman"/>
          <w:b w:val="0"/>
          <w:szCs w:val="24"/>
        </w:rPr>
        <w:t xml:space="preserve"> or 4</w:t>
      </w:r>
      <w:r w:rsidR="00235E3D" w:rsidRPr="001052AA">
        <w:rPr>
          <w:rFonts w:ascii="Times New Roman" w:hAnsi="Times New Roman"/>
          <w:b w:val="0"/>
          <w:szCs w:val="24"/>
          <w:vertAlign w:val="superscript"/>
        </w:rPr>
        <w:t>th</w:t>
      </w:r>
      <w:r w:rsidR="00235E3D" w:rsidRPr="001052AA">
        <w:rPr>
          <w:rFonts w:ascii="Times New Roman" w:hAnsi="Times New Roman"/>
          <w:b w:val="0"/>
          <w:szCs w:val="24"/>
        </w:rPr>
        <w:t xml:space="preserve"> quarter.  That as-of-date would be communicated to the BHCs after it had occurred but before year-end.  </w:t>
      </w:r>
    </w:p>
    <w:p w:rsidR="008F3901" w:rsidRPr="001052AA" w:rsidRDefault="008F3901">
      <w:pPr>
        <w:rPr>
          <w:sz w:val="24"/>
          <w:szCs w:val="24"/>
        </w:rPr>
      </w:pPr>
    </w:p>
    <w:p w:rsidR="008F3901" w:rsidRPr="001052AA" w:rsidRDefault="001B4E32">
      <w:pPr>
        <w:ind w:firstLine="720"/>
        <w:rPr>
          <w:sz w:val="24"/>
          <w:szCs w:val="24"/>
        </w:rPr>
      </w:pPr>
      <w:r w:rsidRPr="001052AA">
        <w:rPr>
          <w:sz w:val="24"/>
          <w:szCs w:val="24"/>
        </w:rPr>
        <w:t>Annually thereafter the Federal Reserve expects to distribute schedules to the BHCs during the fourth quarter and to receive completed data by early-January the following year, beginning in 2013.  With the exception of the trading and counterparty collections, the data collected would be as of September 30.  The as-of</w:t>
      </w:r>
      <w:r w:rsidR="00235E3D" w:rsidRPr="001052AA">
        <w:rPr>
          <w:sz w:val="24"/>
          <w:szCs w:val="24"/>
        </w:rPr>
        <w:t>-</w:t>
      </w:r>
      <w:r w:rsidRPr="001052AA">
        <w:rPr>
          <w:sz w:val="24"/>
          <w:szCs w:val="24"/>
        </w:rPr>
        <w:t>date for the trading and CCR data would be during the 3</w:t>
      </w:r>
      <w:r w:rsidRPr="001052AA">
        <w:rPr>
          <w:sz w:val="24"/>
          <w:szCs w:val="24"/>
          <w:vertAlign w:val="superscript"/>
        </w:rPr>
        <w:t>rd</w:t>
      </w:r>
      <w:r w:rsidRPr="001052AA">
        <w:rPr>
          <w:sz w:val="24"/>
          <w:szCs w:val="24"/>
        </w:rPr>
        <w:t xml:space="preserve"> or 4</w:t>
      </w:r>
      <w:r w:rsidRPr="001052AA">
        <w:rPr>
          <w:sz w:val="24"/>
          <w:szCs w:val="24"/>
          <w:vertAlign w:val="superscript"/>
        </w:rPr>
        <w:t>th</w:t>
      </w:r>
      <w:r w:rsidRPr="001052AA">
        <w:rPr>
          <w:sz w:val="24"/>
          <w:szCs w:val="24"/>
        </w:rPr>
        <w:t xml:space="preserve"> quarter.  The as-of</w:t>
      </w:r>
      <w:r w:rsidR="00235E3D" w:rsidRPr="001052AA">
        <w:rPr>
          <w:sz w:val="24"/>
          <w:szCs w:val="24"/>
        </w:rPr>
        <w:t>-</w:t>
      </w:r>
      <w:r w:rsidRPr="001052AA">
        <w:rPr>
          <w:sz w:val="24"/>
          <w:szCs w:val="24"/>
        </w:rPr>
        <w:t>date would be communicated to the BHCs after it had occurred but before year-end.</w:t>
      </w:r>
    </w:p>
    <w:p w:rsidR="00A21001" w:rsidRPr="001052AA" w:rsidRDefault="00A21001">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0"/>
          <w:szCs w:val="24"/>
        </w:rPr>
      </w:pPr>
    </w:p>
    <w:p w:rsidR="00235E3D" w:rsidRPr="001052AA" w:rsidRDefault="00A21001" w:rsidP="00235E3D">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0"/>
          <w:szCs w:val="24"/>
        </w:rPr>
      </w:pPr>
      <w:r w:rsidRPr="001052AA">
        <w:rPr>
          <w:rFonts w:ascii="Times New Roman" w:hAnsi="Times New Roman"/>
          <w:b w:val="0"/>
          <w:szCs w:val="24"/>
        </w:rPr>
        <w:tab/>
      </w:r>
      <w:r w:rsidRPr="001052AA">
        <w:rPr>
          <w:rFonts w:ascii="Times New Roman" w:hAnsi="Times New Roman"/>
          <w:szCs w:val="24"/>
        </w:rPr>
        <w:t xml:space="preserve">FR </w:t>
      </w:r>
      <w:r w:rsidR="001934AD" w:rsidRPr="001052AA">
        <w:rPr>
          <w:rFonts w:ascii="Times New Roman" w:hAnsi="Times New Roman"/>
          <w:szCs w:val="24"/>
        </w:rPr>
        <w:t>Y-14</w:t>
      </w:r>
      <w:r w:rsidR="005D6D9C" w:rsidRPr="001052AA">
        <w:rPr>
          <w:rFonts w:ascii="Times New Roman" w:hAnsi="Times New Roman"/>
          <w:szCs w:val="24"/>
        </w:rPr>
        <w:t>Q</w:t>
      </w:r>
      <w:r w:rsidR="00281266" w:rsidRPr="001052AA">
        <w:rPr>
          <w:rFonts w:ascii="Times New Roman" w:hAnsi="Times New Roman"/>
          <w:szCs w:val="24"/>
        </w:rPr>
        <w:t xml:space="preserve"> Time Schedule</w:t>
      </w:r>
      <w:r w:rsidRPr="001052AA">
        <w:rPr>
          <w:rFonts w:ascii="Times New Roman" w:hAnsi="Times New Roman"/>
          <w:szCs w:val="24"/>
        </w:rPr>
        <w:t>.</w:t>
      </w:r>
      <w:r w:rsidRPr="001052AA">
        <w:rPr>
          <w:rFonts w:ascii="Times New Roman" w:hAnsi="Times New Roman"/>
          <w:b w:val="0"/>
          <w:szCs w:val="24"/>
        </w:rPr>
        <w:t xml:space="preserve">  </w:t>
      </w:r>
      <w:r w:rsidR="00235E3D" w:rsidRPr="001052AA">
        <w:rPr>
          <w:rFonts w:ascii="Times New Roman" w:hAnsi="Times New Roman"/>
          <w:b w:val="0"/>
          <w:szCs w:val="24"/>
        </w:rPr>
        <w:t xml:space="preserve"> </w:t>
      </w:r>
      <w:r w:rsidR="00C517C1">
        <w:rPr>
          <w:rFonts w:ascii="Times New Roman" w:hAnsi="Times New Roman"/>
          <w:b w:val="0"/>
          <w:szCs w:val="24"/>
        </w:rPr>
        <w:t>T</w:t>
      </w:r>
      <w:r w:rsidR="00235E3D" w:rsidRPr="001052AA">
        <w:rPr>
          <w:rFonts w:ascii="Times New Roman" w:hAnsi="Times New Roman"/>
          <w:b w:val="0"/>
          <w:szCs w:val="24"/>
        </w:rPr>
        <w:t>he Federal Reserve distribute</w:t>
      </w:r>
      <w:r w:rsidR="00C517C1">
        <w:rPr>
          <w:rFonts w:ascii="Times New Roman" w:hAnsi="Times New Roman"/>
          <w:b w:val="0"/>
          <w:szCs w:val="24"/>
        </w:rPr>
        <w:t>d</w:t>
      </w:r>
      <w:r w:rsidR="00235E3D" w:rsidRPr="001052AA">
        <w:rPr>
          <w:rFonts w:ascii="Times New Roman" w:hAnsi="Times New Roman"/>
          <w:b w:val="0"/>
          <w:szCs w:val="24"/>
        </w:rPr>
        <w:t xml:space="preserve"> schedules to the BHCs in late-November and </w:t>
      </w:r>
      <w:r w:rsidR="00C517C1">
        <w:rPr>
          <w:rFonts w:ascii="Times New Roman" w:hAnsi="Times New Roman"/>
          <w:b w:val="0"/>
          <w:szCs w:val="24"/>
        </w:rPr>
        <w:t>should</w:t>
      </w:r>
      <w:r w:rsidR="00C517C1" w:rsidRPr="001052AA">
        <w:rPr>
          <w:rFonts w:ascii="Times New Roman" w:hAnsi="Times New Roman"/>
          <w:b w:val="0"/>
          <w:szCs w:val="24"/>
        </w:rPr>
        <w:t xml:space="preserve"> </w:t>
      </w:r>
      <w:r w:rsidR="00235E3D" w:rsidRPr="001052AA">
        <w:rPr>
          <w:rFonts w:ascii="Times New Roman" w:hAnsi="Times New Roman"/>
          <w:b w:val="0"/>
          <w:szCs w:val="24"/>
        </w:rPr>
        <w:t>receive the completed data by mid-December 2011.  With the exception of the trading collection, the data collected during this first submission would be reported as of September 30, 2011.  Similar to the annual collection, as-of-date for the trading data would be during the 3</w:t>
      </w:r>
      <w:r w:rsidR="00235E3D" w:rsidRPr="001052AA">
        <w:rPr>
          <w:rFonts w:ascii="Times New Roman" w:hAnsi="Times New Roman"/>
          <w:b w:val="0"/>
          <w:szCs w:val="24"/>
          <w:vertAlign w:val="superscript"/>
        </w:rPr>
        <w:t>rd</w:t>
      </w:r>
      <w:r w:rsidR="00235E3D" w:rsidRPr="001052AA">
        <w:rPr>
          <w:rFonts w:ascii="Times New Roman" w:hAnsi="Times New Roman"/>
          <w:b w:val="0"/>
          <w:szCs w:val="24"/>
        </w:rPr>
        <w:t xml:space="preserve"> or 4</w:t>
      </w:r>
      <w:r w:rsidR="00235E3D" w:rsidRPr="001052AA">
        <w:rPr>
          <w:rFonts w:ascii="Times New Roman" w:hAnsi="Times New Roman"/>
          <w:b w:val="0"/>
          <w:szCs w:val="24"/>
          <w:vertAlign w:val="superscript"/>
        </w:rPr>
        <w:t>th</w:t>
      </w:r>
      <w:r w:rsidR="00235E3D" w:rsidRPr="001052AA">
        <w:rPr>
          <w:rFonts w:ascii="Times New Roman" w:hAnsi="Times New Roman"/>
          <w:b w:val="0"/>
          <w:szCs w:val="24"/>
        </w:rPr>
        <w:t xml:space="preserve"> quarter.</w:t>
      </w:r>
    </w:p>
    <w:p w:rsidR="00235E3D" w:rsidRPr="001052AA" w:rsidRDefault="00235E3D" w:rsidP="00235E3D">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0"/>
          <w:szCs w:val="24"/>
        </w:rPr>
      </w:pPr>
    </w:p>
    <w:p w:rsidR="00235E3D" w:rsidRPr="001052AA" w:rsidRDefault="00235E3D" w:rsidP="00235E3D">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0"/>
          <w:szCs w:val="24"/>
        </w:rPr>
      </w:pPr>
      <w:r w:rsidRPr="001052AA">
        <w:rPr>
          <w:rFonts w:ascii="Times New Roman" w:hAnsi="Times New Roman"/>
          <w:b w:val="0"/>
          <w:szCs w:val="24"/>
        </w:rPr>
        <w:tab/>
        <w:t xml:space="preserve">Quarterly thereafter the Federal Reserve expects to distribute schedules to the BHCs and to receive completed data on the same time schedule as the FR Y-9C reported data (40 calendar days after the calendar quarter-end for March, June, and September and 45 calendar days after the calendar quarter-end for December). </w:t>
      </w:r>
    </w:p>
    <w:p w:rsidR="00235E3D" w:rsidRPr="001052AA" w:rsidRDefault="00235E3D" w:rsidP="00235E3D">
      <w:pPr>
        <w:rPr>
          <w:sz w:val="24"/>
          <w:szCs w:val="24"/>
        </w:rPr>
      </w:pPr>
    </w:p>
    <w:p w:rsidR="0013676F" w:rsidRPr="001052AA" w:rsidRDefault="001B4E32" w:rsidP="00235E3D">
      <w:pPr>
        <w:ind w:firstLine="720"/>
        <w:rPr>
          <w:sz w:val="24"/>
          <w:szCs w:val="24"/>
        </w:rPr>
      </w:pPr>
      <w:r w:rsidRPr="001052AA">
        <w:rPr>
          <w:sz w:val="24"/>
          <w:szCs w:val="24"/>
        </w:rPr>
        <w:t>Beginning in 2012, the quarterly Trading schedule as-of-date for the first, second, and fourth quarters would be the same as the as-of dates for the other reported schedules. For the 3</w:t>
      </w:r>
      <w:r w:rsidRPr="001052AA">
        <w:rPr>
          <w:sz w:val="24"/>
          <w:szCs w:val="24"/>
          <w:vertAlign w:val="superscript"/>
        </w:rPr>
        <w:t>rd</w:t>
      </w:r>
      <w:r w:rsidRPr="001052AA">
        <w:rPr>
          <w:sz w:val="24"/>
          <w:szCs w:val="24"/>
        </w:rPr>
        <w:t xml:space="preserve"> quarter, the BHCs would be required to report data as part of a market shock exercise.  Due to the nature of a shock exercise, the Federal Reserve would communicate to the BHCs the as-of-date for trading data on a future date in the 3</w:t>
      </w:r>
      <w:r w:rsidRPr="001052AA">
        <w:rPr>
          <w:sz w:val="24"/>
          <w:szCs w:val="24"/>
          <w:vertAlign w:val="superscript"/>
        </w:rPr>
        <w:t>rd</w:t>
      </w:r>
      <w:r w:rsidRPr="001052AA">
        <w:rPr>
          <w:sz w:val="24"/>
          <w:szCs w:val="24"/>
        </w:rPr>
        <w:t xml:space="preserve"> or 4</w:t>
      </w:r>
      <w:r w:rsidRPr="001052AA">
        <w:rPr>
          <w:sz w:val="24"/>
          <w:szCs w:val="24"/>
          <w:vertAlign w:val="superscript"/>
        </w:rPr>
        <w:t>th</w:t>
      </w:r>
      <w:r w:rsidRPr="001052AA">
        <w:rPr>
          <w:sz w:val="24"/>
          <w:szCs w:val="24"/>
        </w:rPr>
        <w:t xml:space="preserve"> quarter.  These data would be due 40</w:t>
      </w:r>
      <w:r w:rsidRPr="001B4E32">
        <w:rPr>
          <w:sz w:val="24"/>
          <w:szCs w:val="24"/>
        </w:rPr>
        <w:t xml:space="preserve"> </w:t>
      </w:r>
      <w:r w:rsidRPr="001052AA">
        <w:rPr>
          <w:sz w:val="24"/>
          <w:szCs w:val="24"/>
        </w:rPr>
        <w:t xml:space="preserve">calendar days after the calendar quarter-end or 40 calendar days after the notification date (notifying respondents of the as-of-date), whichever comes later.  </w:t>
      </w:r>
    </w:p>
    <w:p w:rsidR="0013676F" w:rsidRPr="001052AA" w:rsidRDefault="0013676F">
      <w:pPr>
        <w:ind w:firstLine="720"/>
        <w:rPr>
          <w:szCs w:val="24"/>
        </w:rPr>
      </w:pPr>
    </w:p>
    <w:p w:rsidR="0013676F" w:rsidRPr="001052AA" w:rsidRDefault="00190549">
      <w:pPr>
        <w:rPr>
          <w:sz w:val="24"/>
          <w:szCs w:val="24"/>
        </w:rPr>
      </w:pPr>
      <w:r w:rsidRPr="001052AA">
        <w:tab/>
      </w:r>
      <w:r w:rsidR="00285B5D" w:rsidRPr="001052AA">
        <w:rPr>
          <w:b/>
          <w:sz w:val="24"/>
          <w:szCs w:val="24"/>
        </w:rPr>
        <w:t>FR Y-14A/Q Publication.</w:t>
      </w:r>
      <w:r w:rsidR="00281266" w:rsidRPr="001052AA">
        <w:t xml:space="preserve"> </w:t>
      </w:r>
      <w:r w:rsidR="005F0A78" w:rsidRPr="001052AA">
        <w:rPr>
          <w:sz w:val="24"/>
          <w:szCs w:val="24"/>
        </w:rPr>
        <w:t xml:space="preserve"> In connection with the overall implementation of the CCAR, the Federal Reserve may, in the future, release</w:t>
      </w:r>
      <w:r w:rsidR="009838F2" w:rsidRPr="001052AA">
        <w:rPr>
          <w:sz w:val="24"/>
          <w:szCs w:val="24"/>
        </w:rPr>
        <w:t xml:space="preserve"> </w:t>
      </w:r>
      <w:r w:rsidR="009838F2" w:rsidRPr="001052AA">
        <w:rPr>
          <w:color w:val="000000"/>
          <w:sz w:val="24"/>
          <w:szCs w:val="24"/>
        </w:rPr>
        <w:t>results of the supervisory stress testing associated with CCAR</w:t>
      </w:r>
      <w:r w:rsidR="00A76504" w:rsidRPr="001052AA">
        <w:rPr>
          <w:sz w:val="24"/>
          <w:szCs w:val="24"/>
        </w:rPr>
        <w:t>.</w:t>
      </w:r>
    </w:p>
    <w:p w:rsidR="0013676F" w:rsidRPr="001052AA" w:rsidRDefault="0013676F"/>
    <w:p w:rsidR="00FA1DC5" w:rsidRDefault="00FA1DC5">
      <w:pPr>
        <w:rPr>
          <w:b/>
          <w:bCs/>
          <w:color w:val="000000"/>
          <w:sz w:val="24"/>
          <w:szCs w:val="24"/>
        </w:rPr>
      </w:pPr>
      <w:r>
        <w:rPr>
          <w:b/>
          <w:bCs/>
          <w:color w:val="000000"/>
          <w:sz w:val="24"/>
          <w:szCs w:val="24"/>
        </w:rPr>
        <w:br w:type="page"/>
      </w:r>
    </w:p>
    <w:p w:rsidR="00CC1D69" w:rsidRPr="001052AA" w:rsidRDefault="00CC1D69" w:rsidP="00CC1D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1052AA">
        <w:rPr>
          <w:b/>
          <w:bCs/>
          <w:color w:val="000000"/>
          <w:sz w:val="24"/>
          <w:szCs w:val="24"/>
        </w:rPr>
        <w:lastRenderedPageBreak/>
        <w:t>Sensitive Questions</w:t>
      </w:r>
    </w:p>
    <w:p w:rsidR="00CC1D69" w:rsidRPr="001052AA" w:rsidRDefault="00CC1D69" w:rsidP="00CC1D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CC1D69" w:rsidRPr="001052AA" w:rsidRDefault="003C421A" w:rsidP="00CC1D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1052AA">
        <w:rPr>
          <w:color w:val="000000"/>
          <w:sz w:val="24"/>
          <w:szCs w:val="24"/>
        </w:rPr>
        <w:tab/>
      </w:r>
      <w:r w:rsidRPr="001052AA">
        <w:rPr>
          <w:color w:val="000000"/>
          <w:sz w:val="24"/>
          <w:szCs w:val="24"/>
        </w:rPr>
        <w:tab/>
        <w:t>This collection of information contains no questions of a sensitive nature, as defined by OMB guidelines.</w:t>
      </w:r>
    </w:p>
    <w:p w:rsidR="00CC1D69" w:rsidRPr="00057800" w:rsidRDefault="00CC1D69" w:rsidP="00CC1D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CC1D69" w:rsidRPr="00057800" w:rsidRDefault="003C421A" w:rsidP="00CC1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57800">
        <w:rPr>
          <w:b/>
          <w:sz w:val="24"/>
          <w:szCs w:val="24"/>
        </w:rPr>
        <w:t>Consultation Outside the Agency</w:t>
      </w:r>
      <w:r w:rsidR="00FA7697">
        <w:rPr>
          <w:b/>
          <w:sz w:val="24"/>
          <w:szCs w:val="24"/>
        </w:rPr>
        <w:t xml:space="preserve"> and Discussion of Public Comments</w:t>
      </w:r>
    </w:p>
    <w:p w:rsidR="00CC1D69" w:rsidRPr="00057800" w:rsidRDefault="00CC1D69" w:rsidP="00CC1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84E7A" w:rsidRPr="00057800" w:rsidRDefault="004B4B16" w:rsidP="004B4B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57800">
        <w:rPr>
          <w:sz w:val="24"/>
          <w:szCs w:val="24"/>
        </w:rPr>
        <w:tab/>
      </w:r>
      <w:r w:rsidR="00057800" w:rsidRPr="00057800">
        <w:rPr>
          <w:sz w:val="24"/>
          <w:szCs w:val="24"/>
        </w:rPr>
        <w:t>On September 7, 2011, t</w:t>
      </w:r>
      <w:r w:rsidRPr="00057800">
        <w:rPr>
          <w:sz w:val="24"/>
          <w:szCs w:val="24"/>
        </w:rPr>
        <w:t>he Federal Reserve publish</w:t>
      </w:r>
      <w:r w:rsidR="004512E2" w:rsidRPr="00057800">
        <w:rPr>
          <w:sz w:val="24"/>
          <w:szCs w:val="24"/>
        </w:rPr>
        <w:t>ed</w:t>
      </w:r>
      <w:r w:rsidRPr="00057800">
        <w:rPr>
          <w:sz w:val="24"/>
          <w:szCs w:val="24"/>
        </w:rPr>
        <w:t xml:space="preserve"> a notice for public comment in the </w:t>
      </w:r>
      <w:r w:rsidRPr="00057800">
        <w:rPr>
          <w:i/>
          <w:sz w:val="24"/>
          <w:szCs w:val="24"/>
        </w:rPr>
        <w:t>Federal Register</w:t>
      </w:r>
      <w:r w:rsidRPr="00057800">
        <w:rPr>
          <w:sz w:val="24"/>
          <w:szCs w:val="24"/>
        </w:rPr>
        <w:t xml:space="preserve"> </w:t>
      </w:r>
      <w:r w:rsidR="00057800" w:rsidRPr="00057800">
        <w:rPr>
          <w:sz w:val="24"/>
          <w:szCs w:val="24"/>
        </w:rPr>
        <w:t>(76 FR 55288)</w:t>
      </w:r>
      <w:r w:rsidR="004512E2" w:rsidRPr="00057800">
        <w:rPr>
          <w:sz w:val="24"/>
          <w:szCs w:val="24"/>
        </w:rPr>
        <w:t>,</w:t>
      </w:r>
      <w:r w:rsidR="00D95C1D" w:rsidRPr="00057800">
        <w:rPr>
          <w:sz w:val="24"/>
          <w:szCs w:val="24"/>
        </w:rPr>
        <w:t xml:space="preserve"> </w:t>
      </w:r>
      <w:r w:rsidRPr="00057800">
        <w:rPr>
          <w:sz w:val="24"/>
          <w:szCs w:val="24"/>
        </w:rPr>
        <w:t>the 60-day public comment period end</w:t>
      </w:r>
      <w:r w:rsidR="00293DAE">
        <w:rPr>
          <w:sz w:val="24"/>
          <w:szCs w:val="24"/>
        </w:rPr>
        <w:t>ed</w:t>
      </w:r>
      <w:r w:rsidRPr="00057800">
        <w:rPr>
          <w:sz w:val="24"/>
          <w:szCs w:val="24"/>
        </w:rPr>
        <w:t xml:space="preserve"> </w:t>
      </w:r>
      <w:r w:rsidR="004512E2" w:rsidRPr="00057800">
        <w:rPr>
          <w:sz w:val="24"/>
          <w:szCs w:val="24"/>
        </w:rPr>
        <w:t>on</w:t>
      </w:r>
      <w:r w:rsidRPr="00057800">
        <w:rPr>
          <w:sz w:val="24"/>
          <w:szCs w:val="24"/>
        </w:rPr>
        <w:t xml:space="preserve"> November</w:t>
      </w:r>
      <w:r w:rsidR="004512E2" w:rsidRPr="00057800">
        <w:rPr>
          <w:sz w:val="24"/>
          <w:szCs w:val="24"/>
        </w:rPr>
        <w:t xml:space="preserve"> 7, 2011</w:t>
      </w:r>
      <w:r w:rsidRPr="00057800">
        <w:rPr>
          <w:sz w:val="24"/>
          <w:szCs w:val="24"/>
        </w:rPr>
        <w:t>.  During the public comment period,</w:t>
      </w:r>
      <w:r w:rsidR="001D6108" w:rsidRPr="00057800">
        <w:rPr>
          <w:sz w:val="24"/>
          <w:szCs w:val="24"/>
        </w:rPr>
        <w:t xml:space="preserve"> the Federal Reserve engage</w:t>
      </w:r>
      <w:r w:rsidR="00FA7697">
        <w:rPr>
          <w:sz w:val="24"/>
          <w:szCs w:val="24"/>
        </w:rPr>
        <w:t>d</w:t>
      </w:r>
      <w:r w:rsidR="001D6108" w:rsidRPr="00057800">
        <w:rPr>
          <w:sz w:val="24"/>
          <w:szCs w:val="24"/>
        </w:rPr>
        <w:t xml:space="preserve"> industry groups and respondents</w:t>
      </w:r>
      <w:r w:rsidR="00F629B5" w:rsidRPr="00057800">
        <w:rPr>
          <w:sz w:val="24"/>
          <w:szCs w:val="24"/>
        </w:rPr>
        <w:t>; this effort</w:t>
      </w:r>
      <w:r w:rsidR="001D6108" w:rsidRPr="00057800">
        <w:rPr>
          <w:sz w:val="24"/>
          <w:szCs w:val="24"/>
        </w:rPr>
        <w:t xml:space="preserve"> include</w:t>
      </w:r>
      <w:r w:rsidR="00FA7697">
        <w:rPr>
          <w:sz w:val="24"/>
          <w:szCs w:val="24"/>
        </w:rPr>
        <w:t>d</w:t>
      </w:r>
      <w:r w:rsidR="001D6108" w:rsidRPr="00057800">
        <w:rPr>
          <w:sz w:val="24"/>
          <w:szCs w:val="24"/>
        </w:rPr>
        <w:t xml:space="preserve"> discussions between the </w:t>
      </w:r>
      <w:r w:rsidR="004512E2" w:rsidRPr="00057800">
        <w:rPr>
          <w:sz w:val="24"/>
          <w:szCs w:val="24"/>
        </w:rPr>
        <w:t xml:space="preserve">Federal Reserve </w:t>
      </w:r>
      <w:r w:rsidR="001D6108" w:rsidRPr="00057800">
        <w:rPr>
          <w:sz w:val="24"/>
          <w:szCs w:val="24"/>
        </w:rPr>
        <w:t>and the respective respondents</w:t>
      </w:r>
      <w:r w:rsidR="003C421A" w:rsidRPr="00057800">
        <w:rPr>
          <w:sz w:val="24"/>
          <w:szCs w:val="24"/>
        </w:rPr>
        <w:t>.  This outreach help</w:t>
      </w:r>
      <w:r w:rsidR="00FA7697">
        <w:rPr>
          <w:sz w:val="24"/>
          <w:szCs w:val="24"/>
        </w:rPr>
        <w:t>ed</w:t>
      </w:r>
      <w:r w:rsidR="003C421A" w:rsidRPr="00057800">
        <w:rPr>
          <w:sz w:val="24"/>
          <w:szCs w:val="24"/>
        </w:rPr>
        <w:t xml:space="preserve"> </w:t>
      </w:r>
      <w:r w:rsidR="004512E2" w:rsidRPr="00057800">
        <w:rPr>
          <w:sz w:val="24"/>
          <w:szCs w:val="24"/>
        </w:rPr>
        <w:t xml:space="preserve">the Federal Reserve </w:t>
      </w:r>
      <w:r w:rsidR="003C421A" w:rsidRPr="00057800">
        <w:rPr>
          <w:sz w:val="24"/>
          <w:szCs w:val="24"/>
        </w:rPr>
        <w:t xml:space="preserve">refine the data items in the final </w:t>
      </w:r>
      <w:r w:rsidR="00705308" w:rsidRPr="00057800">
        <w:rPr>
          <w:sz w:val="24"/>
          <w:szCs w:val="24"/>
        </w:rPr>
        <w:t>schedules</w:t>
      </w:r>
      <w:r w:rsidR="003C421A" w:rsidRPr="00057800">
        <w:rPr>
          <w:sz w:val="24"/>
          <w:szCs w:val="24"/>
        </w:rPr>
        <w:t xml:space="preserve"> and clarify the accompanying instructions.</w:t>
      </w:r>
      <w:r w:rsidR="00FA7697">
        <w:rPr>
          <w:sz w:val="24"/>
          <w:szCs w:val="24"/>
        </w:rPr>
        <w:t xml:space="preserve">  </w:t>
      </w:r>
    </w:p>
    <w:p w:rsidR="00384E7A" w:rsidRPr="00057800" w:rsidRDefault="00384E7A" w:rsidP="00384E7A">
      <w:pPr>
        <w:tabs>
          <w:tab w:val="left" w:pos="-1080"/>
          <w:tab w:val="left" w:pos="-90"/>
          <w:tab w:val="left" w:pos="720"/>
          <w:tab w:val="left" w:pos="1440"/>
          <w:tab w:val="left" w:pos="1980"/>
          <w:tab w:val="left" w:pos="3960"/>
          <w:tab w:val="left" w:pos="5760"/>
          <w:tab w:val="left" w:pos="7740"/>
          <w:tab w:val="left" w:pos="8640"/>
        </w:tabs>
        <w:rPr>
          <w:sz w:val="24"/>
          <w:szCs w:val="24"/>
        </w:rPr>
      </w:pPr>
    </w:p>
    <w:p w:rsidR="00AB37B4" w:rsidRDefault="00384E7A">
      <w:pPr>
        <w:tabs>
          <w:tab w:val="left" w:pos="-1080"/>
          <w:tab w:val="left" w:pos="-90"/>
          <w:tab w:val="left" w:pos="720"/>
          <w:tab w:val="left" w:pos="1440"/>
          <w:tab w:val="left" w:pos="1980"/>
          <w:tab w:val="left" w:pos="3960"/>
          <w:tab w:val="left" w:pos="5760"/>
          <w:tab w:val="left" w:pos="7740"/>
          <w:tab w:val="left" w:pos="8640"/>
        </w:tabs>
        <w:rPr>
          <w:color w:val="000000"/>
          <w:sz w:val="24"/>
          <w:szCs w:val="24"/>
        </w:rPr>
      </w:pPr>
      <w:r w:rsidRPr="00057800">
        <w:rPr>
          <w:sz w:val="24"/>
          <w:szCs w:val="24"/>
        </w:rPr>
        <w:tab/>
      </w:r>
      <w:r w:rsidR="00486C62" w:rsidRPr="00057800">
        <w:rPr>
          <w:sz w:val="24"/>
          <w:szCs w:val="24"/>
        </w:rPr>
        <w:t>The</w:t>
      </w:r>
      <w:r w:rsidR="003C421A" w:rsidRPr="00057800">
        <w:rPr>
          <w:color w:val="000000"/>
          <w:sz w:val="24"/>
          <w:szCs w:val="24"/>
        </w:rPr>
        <w:t xml:space="preserve"> </w:t>
      </w:r>
      <w:r w:rsidR="007E5B7D" w:rsidRPr="00057800">
        <w:rPr>
          <w:color w:val="000000"/>
          <w:sz w:val="24"/>
          <w:szCs w:val="24"/>
        </w:rPr>
        <w:t>Federal Reserve</w:t>
      </w:r>
      <w:r w:rsidR="00D51494" w:rsidRPr="00057800">
        <w:rPr>
          <w:b/>
          <w:bCs/>
          <w:color w:val="000000"/>
          <w:sz w:val="24"/>
          <w:szCs w:val="24"/>
        </w:rPr>
        <w:t xml:space="preserve"> </w:t>
      </w:r>
      <w:r w:rsidR="00563634" w:rsidRPr="00563634">
        <w:rPr>
          <w:bCs/>
          <w:color w:val="000000"/>
          <w:sz w:val="24"/>
          <w:szCs w:val="24"/>
        </w:rPr>
        <w:t>also</w:t>
      </w:r>
      <w:r w:rsidR="00293DAE">
        <w:rPr>
          <w:b/>
          <w:bCs/>
          <w:color w:val="000000"/>
          <w:sz w:val="24"/>
          <w:szCs w:val="24"/>
        </w:rPr>
        <w:t xml:space="preserve"> </w:t>
      </w:r>
      <w:r w:rsidR="003C421A" w:rsidRPr="00057800">
        <w:rPr>
          <w:color w:val="000000"/>
          <w:sz w:val="24"/>
          <w:szCs w:val="24"/>
        </w:rPr>
        <w:t>conduct</w:t>
      </w:r>
      <w:r w:rsidR="00486C62" w:rsidRPr="00057800">
        <w:rPr>
          <w:color w:val="000000"/>
          <w:sz w:val="24"/>
          <w:szCs w:val="24"/>
        </w:rPr>
        <w:t>ed</w:t>
      </w:r>
      <w:r w:rsidR="003C421A" w:rsidRPr="00057800">
        <w:rPr>
          <w:color w:val="000000"/>
          <w:sz w:val="24"/>
          <w:szCs w:val="24"/>
        </w:rPr>
        <w:t xml:space="preserve"> due diligence on the </w:t>
      </w:r>
      <w:r w:rsidR="00293DAE">
        <w:rPr>
          <w:color w:val="000000"/>
          <w:sz w:val="24"/>
          <w:szCs w:val="24"/>
        </w:rPr>
        <w:t xml:space="preserve">Wholesale </w:t>
      </w:r>
      <w:r w:rsidR="00705308" w:rsidRPr="00057800">
        <w:rPr>
          <w:color w:val="000000"/>
          <w:sz w:val="24"/>
          <w:szCs w:val="24"/>
        </w:rPr>
        <w:t>schedule</w:t>
      </w:r>
      <w:r w:rsidR="003C421A" w:rsidRPr="00057800">
        <w:rPr>
          <w:color w:val="000000"/>
          <w:sz w:val="24"/>
          <w:szCs w:val="24"/>
        </w:rPr>
        <w:t xml:space="preserve"> </w:t>
      </w:r>
      <w:r w:rsidR="00293DAE">
        <w:rPr>
          <w:color w:val="000000"/>
          <w:sz w:val="24"/>
          <w:szCs w:val="24"/>
        </w:rPr>
        <w:t>(</w:t>
      </w:r>
      <w:r w:rsidR="00293DAE" w:rsidRPr="00057800">
        <w:rPr>
          <w:color w:val="000000"/>
          <w:sz w:val="24"/>
          <w:szCs w:val="24"/>
        </w:rPr>
        <w:t xml:space="preserve">Corporate Loan </w:t>
      </w:r>
      <w:r w:rsidR="00293DAE">
        <w:rPr>
          <w:color w:val="000000"/>
          <w:sz w:val="24"/>
          <w:szCs w:val="24"/>
        </w:rPr>
        <w:t xml:space="preserve">data collection) </w:t>
      </w:r>
      <w:r w:rsidR="003C421A" w:rsidRPr="00057800">
        <w:rPr>
          <w:color w:val="000000"/>
          <w:sz w:val="24"/>
          <w:szCs w:val="24"/>
        </w:rPr>
        <w:t>with four BHCs to ascertain the ability of the BHCs to provide both the accounting data requested for the</w:t>
      </w:r>
      <w:r w:rsidR="003C421A" w:rsidRPr="001052AA">
        <w:rPr>
          <w:color w:val="000000"/>
          <w:sz w:val="24"/>
          <w:szCs w:val="24"/>
        </w:rPr>
        <w:t xml:space="preserve"> CCAR 2012 and the credit data that </w:t>
      </w:r>
      <w:r w:rsidR="008658D3" w:rsidRPr="001052AA">
        <w:rPr>
          <w:color w:val="000000"/>
          <w:sz w:val="24"/>
          <w:szCs w:val="24"/>
        </w:rPr>
        <w:t xml:space="preserve">would </w:t>
      </w:r>
      <w:r w:rsidR="003C421A" w:rsidRPr="001052AA">
        <w:rPr>
          <w:color w:val="000000"/>
          <w:sz w:val="24"/>
          <w:szCs w:val="24"/>
        </w:rPr>
        <w:t xml:space="preserve">be requested in the future.  The </w:t>
      </w:r>
      <w:r w:rsidR="007E5B7D" w:rsidRPr="001052AA">
        <w:rPr>
          <w:color w:val="000000"/>
          <w:sz w:val="24"/>
          <w:szCs w:val="24"/>
        </w:rPr>
        <w:t xml:space="preserve">Federal Reserve </w:t>
      </w:r>
      <w:r w:rsidR="00486C62" w:rsidRPr="001052AA">
        <w:rPr>
          <w:color w:val="000000"/>
          <w:sz w:val="24"/>
          <w:szCs w:val="24"/>
        </w:rPr>
        <w:t>review</w:t>
      </w:r>
      <w:r w:rsidR="00293DAE">
        <w:rPr>
          <w:color w:val="000000"/>
          <w:sz w:val="24"/>
          <w:szCs w:val="24"/>
        </w:rPr>
        <w:t>ed</w:t>
      </w:r>
      <w:r w:rsidR="00486C62" w:rsidRPr="001052AA">
        <w:rPr>
          <w:color w:val="000000"/>
          <w:sz w:val="24"/>
          <w:szCs w:val="24"/>
        </w:rPr>
        <w:t xml:space="preserve"> the feedback from the BHCs in order to</w:t>
      </w:r>
      <w:r w:rsidR="003C421A" w:rsidRPr="001052AA">
        <w:rPr>
          <w:color w:val="000000"/>
          <w:sz w:val="24"/>
          <w:szCs w:val="24"/>
        </w:rPr>
        <w:t xml:space="preserve"> refine the </w:t>
      </w:r>
      <w:r w:rsidR="00293DAE">
        <w:rPr>
          <w:color w:val="000000"/>
          <w:sz w:val="24"/>
          <w:szCs w:val="24"/>
        </w:rPr>
        <w:t xml:space="preserve">final </w:t>
      </w:r>
      <w:r w:rsidR="003C421A" w:rsidRPr="001052AA">
        <w:rPr>
          <w:color w:val="000000"/>
          <w:sz w:val="24"/>
          <w:szCs w:val="24"/>
        </w:rPr>
        <w:t xml:space="preserve">definitions and requirements for collection.  </w:t>
      </w:r>
    </w:p>
    <w:p w:rsidR="000A0E80" w:rsidRDefault="000A0E80">
      <w:pPr>
        <w:tabs>
          <w:tab w:val="left" w:pos="-1080"/>
          <w:tab w:val="left" w:pos="-90"/>
          <w:tab w:val="left" w:pos="720"/>
          <w:tab w:val="left" w:pos="1440"/>
          <w:tab w:val="left" w:pos="1980"/>
          <w:tab w:val="left" w:pos="3960"/>
          <w:tab w:val="left" w:pos="5760"/>
          <w:tab w:val="left" w:pos="7740"/>
          <w:tab w:val="left" w:pos="8640"/>
        </w:tabs>
        <w:rPr>
          <w:color w:val="000000"/>
          <w:sz w:val="24"/>
          <w:szCs w:val="24"/>
        </w:rPr>
      </w:pPr>
    </w:p>
    <w:p w:rsidR="00CC1F69" w:rsidRDefault="00293DAE" w:rsidP="00293DAE">
      <w:pPr>
        <w:tabs>
          <w:tab w:val="left" w:pos="-1080"/>
          <w:tab w:val="left" w:pos="-90"/>
          <w:tab w:val="left" w:pos="720"/>
          <w:tab w:val="left" w:pos="1440"/>
          <w:tab w:val="left" w:pos="1980"/>
          <w:tab w:val="left" w:pos="3960"/>
          <w:tab w:val="left" w:pos="5760"/>
          <w:tab w:val="left" w:pos="7740"/>
          <w:tab w:val="left" w:pos="8640"/>
        </w:tabs>
        <w:rPr>
          <w:color w:val="000000"/>
          <w:sz w:val="24"/>
          <w:szCs w:val="24"/>
        </w:rPr>
      </w:pPr>
      <w:r>
        <w:rPr>
          <w:sz w:val="24"/>
          <w:szCs w:val="24"/>
        </w:rPr>
        <w:tab/>
        <w:t xml:space="preserve">A discussion of the substantive public comments is provided in </w:t>
      </w:r>
      <w:r w:rsidR="00C517C1">
        <w:rPr>
          <w:sz w:val="24"/>
          <w:szCs w:val="24"/>
        </w:rPr>
        <w:t>an</w:t>
      </w:r>
      <w:r>
        <w:rPr>
          <w:sz w:val="24"/>
          <w:szCs w:val="24"/>
        </w:rPr>
        <w:t xml:space="preserve"> attachment to this supporting statement.  After assessing the public comments</w:t>
      </w:r>
      <w:r w:rsidR="00C517C1">
        <w:rPr>
          <w:sz w:val="24"/>
          <w:szCs w:val="24"/>
        </w:rPr>
        <w:t>,</w:t>
      </w:r>
      <w:r w:rsidRPr="00293DAE">
        <w:rPr>
          <w:color w:val="000000"/>
          <w:szCs w:val="24"/>
        </w:rPr>
        <w:t xml:space="preserve"> </w:t>
      </w:r>
      <w:r w:rsidR="00563634" w:rsidRPr="00563634">
        <w:rPr>
          <w:color w:val="000000"/>
          <w:sz w:val="24"/>
          <w:szCs w:val="24"/>
        </w:rPr>
        <w:t>a press release was published, on November 22, 2011, announcing</w:t>
      </w:r>
      <w:r>
        <w:rPr>
          <w:color w:val="000000"/>
          <w:sz w:val="24"/>
          <w:szCs w:val="24"/>
        </w:rPr>
        <w:t xml:space="preserve"> </w:t>
      </w:r>
      <w:r w:rsidR="00563634" w:rsidRPr="00563634">
        <w:rPr>
          <w:color w:val="000000"/>
          <w:sz w:val="24"/>
          <w:szCs w:val="24"/>
        </w:rPr>
        <w:t xml:space="preserve">the launch of the 2012 </w:t>
      </w:r>
      <w:r w:rsidR="000A0E80">
        <w:rPr>
          <w:color w:val="000000"/>
          <w:sz w:val="24"/>
          <w:szCs w:val="24"/>
        </w:rPr>
        <w:t xml:space="preserve">CCAR </w:t>
      </w:r>
      <w:r w:rsidR="00563634" w:rsidRPr="00563634">
        <w:rPr>
          <w:color w:val="000000"/>
          <w:sz w:val="24"/>
          <w:szCs w:val="24"/>
        </w:rPr>
        <w:t>review</w:t>
      </w:r>
      <w:r w:rsidR="00C517C1">
        <w:rPr>
          <w:color w:val="000000"/>
          <w:sz w:val="24"/>
          <w:szCs w:val="24"/>
        </w:rPr>
        <w:t>,</w:t>
      </w:r>
      <w:r w:rsidR="00563634" w:rsidRPr="00563634">
        <w:rPr>
          <w:rStyle w:val="FootnoteReference"/>
          <w:color w:val="000000"/>
          <w:sz w:val="24"/>
          <w:szCs w:val="24"/>
          <w:vertAlign w:val="superscript"/>
        </w:rPr>
        <w:footnoteReference w:id="6"/>
      </w:r>
      <w:r w:rsidR="00C517C1">
        <w:rPr>
          <w:color w:val="000000"/>
          <w:sz w:val="24"/>
          <w:szCs w:val="24"/>
        </w:rPr>
        <w:t xml:space="preserve"> </w:t>
      </w:r>
      <w:r w:rsidR="00563634" w:rsidRPr="00563634">
        <w:rPr>
          <w:color w:val="000000"/>
          <w:sz w:val="24"/>
          <w:szCs w:val="24"/>
        </w:rPr>
        <w:t>the implementation of the FR Y-14A/Q</w:t>
      </w:r>
      <w:r w:rsidR="00C517C1">
        <w:rPr>
          <w:color w:val="000000"/>
          <w:sz w:val="24"/>
          <w:szCs w:val="24"/>
        </w:rPr>
        <w:t xml:space="preserve">, and </w:t>
      </w:r>
      <w:r w:rsidR="00563634" w:rsidRPr="00563634">
        <w:rPr>
          <w:color w:val="000000"/>
          <w:sz w:val="24"/>
          <w:szCs w:val="24"/>
        </w:rPr>
        <w:t xml:space="preserve">the implementation of the </w:t>
      </w:r>
      <w:r w:rsidR="00563634" w:rsidRPr="00563634">
        <w:rPr>
          <w:iCs/>
          <w:color w:val="000000"/>
          <w:sz w:val="24"/>
          <w:szCs w:val="24"/>
        </w:rPr>
        <w:t>Capital Plans</w:t>
      </w:r>
      <w:r w:rsidR="00563634" w:rsidRPr="00563634">
        <w:rPr>
          <w:color w:val="000000"/>
          <w:sz w:val="24"/>
          <w:szCs w:val="24"/>
        </w:rPr>
        <w:t xml:space="preserve"> information collection (Reg Y-13</w:t>
      </w:r>
      <w:r w:rsidR="000A0E80">
        <w:rPr>
          <w:color w:val="000000"/>
          <w:sz w:val="24"/>
          <w:szCs w:val="24"/>
        </w:rPr>
        <w:t>; OMB No. 7100-0342</w:t>
      </w:r>
      <w:r w:rsidR="00563634" w:rsidRPr="00563634">
        <w:rPr>
          <w:color w:val="000000"/>
          <w:sz w:val="24"/>
          <w:szCs w:val="24"/>
        </w:rPr>
        <w:t>).  Th</w:t>
      </w:r>
      <w:r w:rsidR="000A0E80">
        <w:rPr>
          <w:color w:val="000000"/>
          <w:sz w:val="24"/>
          <w:szCs w:val="24"/>
        </w:rPr>
        <w:t>e</w:t>
      </w:r>
      <w:r w:rsidR="00563634" w:rsidRPr="00563634">
        <w:rPr>
          <w:color w:val="000000"/>
          <w:sz w:val="24"/>
          <w:szCs w:val="24"/>
        </w:rPr>
        <w:t xml:space="preserve"> press release include</w:t>
      </w:r>
      <w:r w:rsidR="000A0E80">
        <w:rPr>
          <w:color w:val="000000"/>
          <w:sz w:val="24"/>
          <w:szCs w:val="24"/>
        </w:rPr>
        <w:t>d</w:t>
      </w:r>
      <w:r w:rsidR="00563634" w:rsidRPr="00563634">
        <w:rPr>
          <w:color w:val="000000"/>
          <w:sz w:val="24"/>
          <w:szCs w:val="24"/>
        </w:rPr>
        <w:t xml:space="preserve"> links to the </w:t>
      </w:r>
      <w:r w:rsidR="000A0E80">
        <w:rPr>
          <w:color w:val="000000"/>
          <w:sz w:val="24"/>
          <w:szCs w:val="24"/>
        </w:rPr>
        <w:t>FR Y-14A/Q</w:t>
      </w:r>
      <w:r w:rsidR="00563634" w:rsidRPr="00563634">
        <w:rPr>
          <w:color w:val="000000"/>
          <w:sz w:val="24"/>
          <w:szCs w:val="24"/>
        </w:rPr>
        <w:t xml:space="preserve"> </w:t>
      </w:r>
      <w:r w:rsidR="00563634" w:rsidRPr="00563634">
        <w:rPr>
          <w:i/>
          <w:iCs/>
          <w:color w:val="000000"/>
          <w:sz w:val="24"/>
          <w:szCs w:val="24"/>
        </w:rPr>
        <w:t>Federal Register</w:t>
      </w:r>
      <w:r w:rsidR="00563634" w:rsidRPr="00563634">
        <w:rPr>
          <w:color w:val="000000"/>
          <w:sz w:val="24"/>
          <w:szCs w:val="24"/>
        </w:rPr>
        <w:t xml:space="preserve"> notice</w:t>
      </w:r>
      <w:r w:rsidR="000A0E80">
        <w:rPr>
          <w:color w:val="000000"/>
          <w:sz w:val="24"/>
          <w:szCs w:val="24"/>
        </w:rPr>
        <w:t xml:space="preserve"> </w:t>
      </w:r>
      <w:r w:rsidR="00CC1F69">
        <w:rPr>
          <w:color w:val="000000"/>
          <w:sz w:val="24"/>
          <w:szCs w:val="24"/>
        </w:rPr>
        <w:t>(76 FR 73634)</w:t>
      </w:r>
      <w:r w:rsidR="00CC5222">
        <w:rPr>
          <w:color w:val="000000"/>
          <w:sz w:val="24"/>
          <w:szCs w:val="24"/>
        </w:rPr>
        <w:t>,</w:t>
      </w:r>
      <w:r w:rsidR="00CC1F69">
        <w:rPr>
          <w:color w:val="000000"/>
          <w:sz w:val="24"/>
          <w:szCs w:val="24"/>
        </w:rPr>
        <w:t xml:space="preserve"> </w:t>
      </w:r>
      <w:r w:rsidR="000A0E80">
        <w:rPr>
          <w:color w:val="000000"/>
          <w:sz w:val="24"/>
          <w:szCs w:val="24"/>
        </w:rPr>
        <w:t xml:space="preserve">the </w:t>
      </w:r>
      <w:r w:rsidR="000A0E80" w:rsidRPr="00CB153F">
        <w:rPr>
          <w:color w:val="000000"/>
          <w:sz w:val="24"/>
          <w:szCs w:val="24"/>
        </w:rPr>
        <w:t>Capital Plan</w:t>
      </w:r>
      <w:r w:rsidR="00563634" w:rsidRPr="00563634">
        <w:rPr>
          <w:color w:val="000000"/>
          <w:sz w:val="24"/>
          <w:szCs w:val="24"/>
        </w:rPr>
        <w:t>s</w:t>
      </w:r>
      <w:r w:rsidR="000A0E80">
        <w:rPr>
          <w:color w:val="000000"/>
          <w:sz w:val="24"/>
          <w:szCs w:val="24"/>
        </w:rPr>
        <w:t xml:space="preserve"> final rulemaking</w:t>
      </w:r>
      <w:r w:rsidR="00563634" w:rsidRPr="00563634">
        <w:rPr>
          <w:color w:val="000000"/>
          <w:sz w:val="24"/>
          <w:szCs w:val="24"/>
        </w:rPr>
        <w:t xml:space="preserve"> (</w:t>
      </w:r>
      <w:r w:rsidR="00CC5222">
        <w:rPr>
          <w:color w:val="000000"/>
          <w:sz w:val="24"/>
          <w:szCs w:val="24"/>
        </w:rPr>
        <w:t>76 FR 74631</w:t>
      </w:r>
      <w:r w:rsidR="00563634" w:rsidRPr="00563634">
        <w:rPr>
          <w:color w:val="000000"/>
          <w:sz w:val="24"/>
          <w:szCs w:val="24"/>
        </w:rPr>
        <w:t>), a</w:t>
      </w:r>
      <w:r w:rsidR="00CB153F">
        <w:rPr>
          <w:color w:val="000000"/>
          <w:sz w:val="24"/>
          <w:szCs w:val="24"/>
        </w:rPr>
        <w:t xml:space="preserve"> Frequently Asked Questions </w:t>
      </w:r>
      <w:r w:rsidR="00563634" w:rsidRPr="00563634">
        <w:rPr>
          <w:color w:val="000000"/>
          <w:sz w:val="24"/>
          <w:szCs w:val="24"/>
        </w:rPr>
        <w:t xml:space="preserve">document, and instructions.  </w:t>
      </w:r>
    </w:p>
    <w:p w:rsidR="004723B4" w:rsidRPr="000A0E80" w:rsidRDefault="004723B4" w:rsidP="00384E7A">
      <w:pPr>
        <w:tabs>
          <w:tab w:val="left" w:pos="-1080"/>
          <w:tab w:val="left" w:pos="-90"/>
          <w:tab w:val="left" w:pos="720"/>
          <w:tab w:val="left" w:pos="1440"/>
          <w:tab w:val="left" w:pos="1980"/>
          <w:tab w:val="left" w:pos="3960"/>
          <w:tab w:val="left" w:pos="5760"/>
          <w:tab w:val="left" w:pos="7740"/>
          <w:tab w:val="left" w:pos="8640"/>
        </w:tabs>
        <w:rPr>
          <w:b/>
          <w:sz w:val="24"/>
          <w:szCs w:val="24"/>
        </w:rPr>
      </w:pPr>
    </w:p>
    <w:p w:rsidR="00AB37B4" w:rsidRPr="001052AA" w:rsidRDefault="003C421A" w:rsidP="004803FC">
      <w:pPr>
        <w:rPr>
          <w:sz w:val="24"/>
          <w:szCs w:val="24"/>
        </w:rPr>
      </w:pPr>
      <w:r w:rsidRPr="001052AA">
        <w:rPr>
          <w:b/>
          <w:sz w:val="24"/>
          <w:szCs w:val="24"/>
        </w:rPr>
        <w:t>Legal Status</w:t>
      </w:r>
      <w:r w:rsidRPr="001052AA">
        <w:rPr>
          <w:sz w:val="24"/>
          <w:szCs w:val="24"/>
        </w:rPr>
        <w:t xml:space="preserve"> </w:t>
      </w:r>
    </w:p>
    <w:p w:rsidR="004130DC" w:rsidRPr="001052AA" w:rsidRDefault="004130DC" w:rsidP="004130DC"/>
    <w:p w:rsidR="00D0046F" w:rsidRPr="001052AA" w:rsidRDefault="003C421A">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rPr>
      </w:pPr>
      <w:r w:rsidRPr="001052AA">
        <w:rPr>
          <w:rFonts w:ascii="Times New Roman" w:hAnsi="Times New Roman"/>
        </w:rPr>
        <w:tab/>
        <w:t xml:space="preserve">The Board’s Legal Division has </w:t>
      </w:r>
      <w:r w:rsidR="004F0905" w:rsidRPr="001052AA">
        <w:rPr>
          <w:rFonts w:ascii="Times New Roman" w:hAnsi="Times New Roman"/>
        </w:rPr>
        <w:t>determined that the FR Y-14A and Q are authorized by section 165 of the Dodd-Frank Act</w:t>
      </w:r>
      <w:r w:rsidR="00706C36" w:rsidRPr="001052AA">
        <w:rPr>
          <w:rFonts w:ascii="Times New Roman" w:hAnsi="Times New Roman"/>
        </w:rPr>
        <w:t>,</w:t>
      </w:r>
      <w:r w:rsidR="004F0905" w:rsidRPr="001052AA">
        <w:rPr>
          <w:rFonts w:ascii="Times New Roman" w:hAnsi="Times New Roman"/>
        </w:rPr>
        <w:t xml:space="preserve"> which requires the Board to ensure that certain BHCs and nonbank financial companies supervised by the Board are subject to enhanced risk-based and leverage standards in order to mitigate risks to the financial stability of the United States</w:t>
      </w:r>
      <w:r w:rsidR="004B4B16" w:rsidRPr="001052AA">
        <w:rPr>
          <w:rFonts w:ascii="Times New Roman" w:hAnsi="Times New Roman"/>
        </w:rPr>
        <w:t>.</w:t>
      </w:r>
      <w:r w:rsidR="00FA1DC5">
        <w:rPr>
          <w:rFonts w:ascii="Times New Roman" w:hAnsi="Times New Roman"/>
        </w:rPr>
        <w:t xml:space="preserve">  12 </w:t>
      </w:r>
      <w:r w:rsidR="00D4642E" w:rsidRPr="001052AA">
        <w:rPr>
          <w:rFonts w:ascii="Times New Roman" w:hAnsi="Times New Roman"/>
        </w:rPr>
        <w:t>U.S.C</w:t>
      </w:r>
      <w:r w:rsidR="00565696">
        <w:rPr>
          <w:rFonts w:ascii="Times New Roman" w:hAnsi="Times New Roman"/>
        </w:rPr>
        <w:t>.</w:t>
      </w:r>
      <w:r w:rsidR="00D4642E" w:rsidRPr="001052AA">
        <w:rPr>
          <w:rFonts w:ascii="Times New Roman" w:hAnsi="Times New Roman"/>
        </w:rPr>
        <w:t xml:space="preserve"> </w:t>
      </w:r>
      <w:r w:rsidR="00570C7B" w:rsidRPr="001052AA">
        <w:rPr>
          <w:rFonts w:ascii="Times New Roman" w:hAnsi="Times New Roman"/>
        </w:rPr>
        <w:t xml:space="preserve">§ </w:t>
      </w:r>
      <w:r w:rsidR="00D4642E" w:rsidRPr="001052AA">
        <w:rPr>
          <w:rFonts w:ascii="Times New Roman" w:hAnsi="Times New Roman"/>
        </w:rPr>
        <w:t xml:space="preserve">5365.  Additionally, </w:t>
      </w:r>
      <w:r w:rsidR="00570C7B" w:rsidRPr="001052AA">
        <w:rPr>
          <w:rFonts w:ascii="Times New Roman" w:hAnsi="Times New Roman"/>
        </w:rPr>
        <w:t>s</w:t>
      </w:r>
      <w:r w:rsidR="00D4642E" w:rsidRPr="001052AA">
        <w:rPr>
          <w:rFonts w:ascii="Times New Roman" w:hAnsi="Times New Roman"/>
        </w:rPr>
        <w:t>ection 5 of the B</w:t>
      </w:r>
      <w:r w:rsidR="00FC1A88" w:rsidRPr="001052AA">
        <w:rPr>
          <w:rFonts w:ascii="Times New Roman" w:hAnsi="Times New Roman"/>
        </w:rPr>
        <w:t xml:space="preserve">ank </w:t>
      </w:r>
      <w:r w:rsidR="00D4642E" w:rsidRPr="001052AA">
        <w:rPr>
          <w:rFonts w:ascii="Times New Roman" w:hAnsi="Times New Roman"/>
        </w:rPr>
        <w:t>H</w:t>
      </w:r>
      <w:r w:rsidR="00FC1A88" w:rsidRPr="001052AA">
        <w:rPr>
          <w:rFonts w:ascii="Times New Roman" w:hAnsi="Times New Roman"/>
        </w:rPr>
        <w:t xml:space="preserve">olding </w:t>
      </w:r>
      <w:r w:rsidR="00D4642E" w:rsidRPr="001052AA">
        <w:rPr>
          <w:rFonts w:ascii="Times New Roman" w:hAnsi="Times New Roman"/>
        </w:rPr>
        <w:t>C</w:t>
      </w:r>
      <w:r w:rsidR="00FC1A88" w:rsidRPr="001052AA">
        <w:rPr>
          <w:rFonts w:ascii="Times New Roman" w:hAnsi="Times New Roman"/>
        </w:rPr>
        <w:t>ompany</w:t>
      </w:r>
      <w:r w:rsidR="00D4642E" w:rsidRPr="001052AA">
        <w:rPr>
          <w:rFonts w:ascii="Times New Roman" w:hAnsi="Times New Roman"/>
        </w:rPr>
        <w:t xml:space="preserve"> Act authorizes the Board to issue regulations and conduct information collections with regard to the supervision of BHCs.  12 U.S.C. § 1844.</w:t>
      </w:r>
    </w:p>
    <w:p w:rsidR="00D4642E" w:rsidRPr="001052AA" w:rsidRDefault="00D4642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rPr>
      </w:pPr>
    </w:p>
    <w:p w:rsidR="00D4642E" w:rsidRPr="001052AA" w:rsidRDefault="00D4642E" w:rsidP="00D4642E">
      <w:pPr>
        <w:pStyle w:val="BodyTextIndent"/>
        <w:ind w:firstLine="0"/>
        <w:rPr>
          <w:rFonts w:ascii="Times New Roman" w:hAnsi="Times New Roman"/>
        </w:rPr>
      </w:pPr>
      <w:r w:rsidRPr="001052AA">
        <w:rPr>
          <w:rFonts w:ascii="Times New Roman" w:hAnsi="Times New Roman"/>
        </w:rPr>
        <w:tab/>
        <w:t xml:space="preserve">As these data will be collected as part of the supervisory process, </w:t>
      </w:r>
      <w:r w:rsidR="00B81989">
        <w:rPr>
          <w:rFonts w:ascii="Times New Roman" w:hAnsi="Times New Roman"/>
        </w:rPr>
        <w:t>they are subject to</w:t>
      </w:r>
      <w:r w:rsidRPr="001052AA">
        <w:rPr>
          <w:rFonts w:ascii="Times New Roman" w:hAnsi="Times New Roman"/>
        </w:rPr>
        <w:t xml:space="preserve"> confidential treatment under exemption 8 of the Freedom of Information Act.  5 U.S.C. § 552(b)(8).  In addition, commercial and financial information contained in these information collections may be exempt disclosure under Exemption 4. 5 U.S.C. § 552(b)(4).  Disclosure determinations would be made on a case-by-case basis.</w:t>
      </w:r>
    </w:p>
    <w:p w:rsidR="000B2E81" w:rsidRPr="001052AA" w:rsidRDefault="000B2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D0046F" w:rsidRPr="001052AA" w:rsidRDefault="003C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052AA">
        <w:rPr>
          <w:b/>
          <w:sz w:val="24"/>
        </w:rPr>
        <w:lastRenderedPageBreak/>
        <w:t>Estimate of Respondent Burden</w:t>
      </w:r>
    </w:p>
    <w:p w:rsidR="00D0046F" w:rsidRPr="001052AA" w:rsidRDefault="003C421A">
      <w:pPr>
        <w:pStyle w:val="BodyText"/>
        <w:tabs>
          <w:tab w:val="left" w:pos="0"/>
        </w:tabs>
        <w:rPr>
          <w:rFonts w:ascii="Times New Roman" w:hAnsi="Times New Roman"/>
        </w:rPr>
      </w:pPr>
      <w:r w:rsidRPr="001052AA">
        <w:rPr>
          <w:rFonts w:ascii="Times New Roman" w:hAnsi="Times New Roman"/>
        </w:rPr>
        <w:tab/>
      </w:r>
    </w:p>
    <w:p w:rsidR="004C0A9B" w:rsidRDefault="004C0A9B">
      <w:pPr>
        <w:pStyle w:val="BodyText"/>
        <w:tabs>
          <w:tab w:val="left" w:pos="0"/>
        </w:tabs>
        <w:rPr>
          <w:szCs w:val="24"/>
        </w:rPr>
      </w:pPr>
      <w:r w:rsidRPr="001052AA">
        <w:rPr>
          <w:rFonts w:ascii="Times New Roman" w:hAnsi="Times New Roman"/>
        </w:rPr>
        <w:tab/>
      </w:r>
      <w:r w:rsidRPr="001052AA">
        <w:rPr>
          <w:rFonts w:ascii="Times New Roman" w:hAnsi="Times New Roman"/>
          <w:szCs w:val="24"/>
        </w:rPr>
        <w:t xml:space="preserve">The total annual burden for the </w:t>
      </w:r>
      <w:r w:rsidR="00DC1EBD" w:rsidRPr="001052AA">
        <w:rPr>
          <w:rFonts w:ascii="Times New Roman" w:hAnsi="Times New Roman"/>
          <w:szCs w:val="24"/>
        </w:rPr>
        <w:t xml:space="preserve">annual and quarterly </w:t>
      </w:r>
      <w:r w:rsidRPr="001052AA">
        <w:rPr>
          <w:rFonts w:ascii="Times New Roman" w:hAnsi="Times New Roman"/>
          <w:szCs w:val="24"/>
        </w:rPr>
        <w:t>reporting requirements of this information collection is</w:t>
      </w:r>
      <w:r w:rsidR="00057800">
        <w:rPr>
          <w:rFonts w:ascii="Times New Roman" w:hAnsi="Times New Roman"/>
          <w:szCs w:val="24"/>
        </w:rPr>
        <w:t xml:space="preserve"> estimated to be</w:t>
      </w:r>
      <w:r w:rsidRPr="001052AA">
        <w:rPr>
          <w:rFonts w:ascii="Times New Roman" w:hAnsi="Times New Roman"/>
          <w:szCs w:val="24"/>
        </w:rPr>
        <w:t xml:space="preserve"> </w:t>
      </w:r>
      <w:r w:rsidR="000F74EA" w:rsidRPr="001052AA">
        <w:rPr>
          <w:rFonts w:ascii="Times New Roman" w:hAnsi="Times New Roman"/>
          <w:szCs w:val="24"/>
        </w:rPr>
        <w:t>5</w:t>
      </w:r>
      <w:r w:rsidR="0062683A" w:rsidRPr="001052AA">
        <w:rPr>
          <w:rFonts w:ascii="Times New Roman" w:hAnsi="Times New Roman"/>
          <w:szCs w:val="24"/>
        </w:rPr>
        <w:t>5</w:t>
      </w:r>
      <w:r w:rsidR="000F74EA" w:rsidRPr="001052AA">
        <w:rPr>
          <w:rFonts w:ascii="Times New Roman" w:hAnsi="Times New Roman"/>
          <w:szCs w:val="24"/>
        </w:rPr>
        <w:t>3</w:t>
      </w:r>
      <w:r w:rsidR="0062683A" w:rsidRPr="001052AA">
        <w:rPr>
          <w:rFonts w:ascii="Times New Roman" w:hAnsi="Times New Roman"/>
          <w:szCs w:val="24"/>
        </w:rPr>
        <w:t>,629</w:t>
      </w:r>
      <w:r w:rsidRPr="001052AA">
        <w:rPr>
          <w:rFonts w:ascii="Times New Roman" w:hAnsi="Times New Roman"/>
          <w:szCs w:val="24"/>
        </w:rPr>
        <w:t xml:space="preserve"> hours, as shown in the table below.  </w:t>
      </w:r>
      <w:r w:rsidR="00DD55FC" w:rsidRPr="001052AA">
        <w:rPr>
          <w:rFonts w:ascii="Times New Roman" w:hAnsi="Times New Roman"/>
        </w:rPr>
        <w:t>The annual burden for</w:t>
      </w:r>
      <w:r w:rsidR="00DD55FC">
        <w:rPr>
          <w:rFonts w:ascii="Times New Roman" w:hAnsi="Times New Roman"/>
        </w:rPr>
        <w:t xml:space="preserve"> the FR </w:t>
      </w:r>
      <w:r w:rsidR="001934AD">
        <w:rPr>
          <w:rFonts w:ascii="Times New Roman" w:hAnsi="Times New Roman"/>
        </w:rPr>
        <w:t>Y-14</w:t>
      </w:r>
      <w:r w:rsidR="00DD55FC">
        <w:rPr>
          <w:rFonts w:ascii="Times New Roman" w:hAnsi="Times New Roman"/>
        </w:rPr>
        <w:t xml:space="preserve">A and </w:t>
      </w:r>
      <w:r w:rsidR="005D6D9C">
        <w:rPr>
          <w:rFonts w:ascii="Times New Roman" w:hAnsi="Times New Roman"/>
        </w:rPr>
        <w:t xml:space="preserve">FR </w:t>
      </w:r>
      <w:r w:rsidR="001934AD">
        <w:rPr>
          <w:rFonts w:ascii="Times New Roman" w:hAnsi="Times New Roman"/>
        </w:rPr>
        <w:t>Y-14</w:t>
      </w:r>
      <w:r w:rsidR="00DD55FC">
        <w:rPr>
          <w:rFonts w:ascii="Times New Roman" w:hAnsi="Times New Roman"/>
        </w:rPr>
        <w:t xml:space="preserve">Q would represent </w:t>
      </w:r>
      <w:r w:rsidR="00B218C0">
        <w:rPr>
          <w:rFonts w:ascii="Times New Roman" w:hAnsi="Times New Roman"/>
        </w:rPr>
        <w:t xml:space="preserve">approximately 5 </w:t>
      </w:r>
      <w:r w:rsidR="00DD55FC">
        <w:rPr>
          <w:rFonts w:ascii="Times New Roman" w:hAnsi="Times New Roman"/>
        </w:rPr>
        <w:t>percent of total Federal Reserve System paperwork burden.</w:t>
      </w:r>
    </w:p>
    <w:p w:rsidR="000C63CC" w:rsidRDefault="000C63CC">
      <w:pPr>
        <w:pStyle w:val="BodyText"/>
        <w:tabs>
          <w:tab w:val="left" w:pos="0"/>
        </w:tabs>
        <w:rPr>
          <w:szCs w:val="24"/>
        </w:rPr>
      </w:pPr>
    </w:p>
    <w:p w:rsidR="00B83DF1" w:rsidRDefault="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b/>
          <w:sz w:val="24"/>
          <w:szCs w:val="24"/>
        </w:rPr>
      </w:pPr>
      <w:r>
        <w:rPr>
          <w:color w:val="0070C0"/>
          <w:sz w:val="24"/>
          <w:szCs w:val="24"/>
        </w:rPr>
        <w:tab/>
      </w:r>
      <w:r>
        <w:rPr>
          <w:color w:val="0070C0"/>
          <w:sz w:val="24"/>
          <w:szCs w:val="24"/>
        </w:rPr>
        <w:tab/>
      </w:r>
      <w:r w:rsidR="007C1B0E" w:rsidRPr="001052AA">
        <w:rPr>
          <w:b/>
          <w:sz w:val="24"/>
          <w:szCs w:val="24"/>
        </w:rPr>
        <w:t xml:space="preserve">FR </w:t>
      </w:r>
      <w:r w:rsidR="001934AD" w:rsidRPr="001052AA">
        <w:rPr>
          <w:b/>
          <w:sz w:val="24"/>
          <w:szCs w:val="24"/>
        </w:rPr>
        <w:t>Y-14</w:t>
      </w:r>
      <w:r w:rsidR="007C1B0E" w:rsidRPr="001052AA">
        <w:rPr>
          <w:b/>
          <w:sz w:val="24"/>
          <w:szCs w:val="24"/>
        </w:rPr>
        <w:t>A B</w:t>
      </w:r>
      <w:r w:rsidRPr="001052AA">
        <w:rPr>
          <w:b/>
          <w:sz w:val="24"/>
          <w:szCs w:val="24"/>
        </w:rPr>
        <w:t>urden</w:t>
      </w:r>
    </w:p>
    <w:p w:rsidR="000C63CC" w:rsidRPr="001052AA" w:rsidRDefault="000C63CC" w:rsidP="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color w:val="0070C0"/>
          <w:sz w:val="24"/>
          <w:szCs w:val="24"/>
        </w:rPr>
      </w:pPr>
    </w:p>
    <w:p w:rsidR="00C34DD4" w:rsidRPr="001052AA" w:rsidRDefault="00DC1EBD" w:rsidP="00C34DD4">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1052AA">
        <w:rPr>
          <w:color w:val="0070C0"/>
          <w:sz w:val="24"/>
          <w:szCs w:val="24"/>
        </w:rPr>
        <w:tab/>
      </w:r>
      <w:r w:rsidRPr="001052AA">
        <w:rPr>
          <w:color w:val="0070C0"/>
          <w:sz w:val="24"/>
          <w:szCs w:val="24"/>
        </w:rPr>
        <w:tab/>
      </w:r>
      <w:r w:rsidR="003C4105" w:rsidRPr="001052AA">
        <w:rPr>
          <w:color w:val="000000"/>
          <w:sz w:val="24"/>
          <w:szCs w:val="24"/>
        </w:rPr>
        <w:t xml:space="preserve">The burden </w:t>
      </w:r>
      <w:r w:rsidR="00F2397E" w:rsidRPr="001052AA">
        <w:rPr>
          <w:color w:val="000000"/>
          <w:sz w:val="24"/>
          <w:szCs w:val="24"/>
        </w:rPr>
        <w:t>for each</w:t>
      </w:r>
      <w:r w:rsidR="003C4105" w:rsidRPr="001052AA">
        <w:rPr>
          <w:color w:val="000000"/>
          <w:sz w:val="24"/>
          <w:szCs w:val="24"/>
        </w:rPr>
        <w:t xml:space="preserve"> BHC that would complete the </w:t>
      </w:r>
      <w:r w:rsidR="00CF2E4D" w:rsidRPr="001052AA">
        <w:rPr>
          <w:color w:val="000000"/>
          <w:sz w:val="24"/>
          <w:szCs w:val="24"/>
        </w:rPr>
        <w:t xml:space="preserve">annual </w:t>
      </w:r>
      <w:r w:rsidR="003C4105" w:rsidRPr="001052AA">
        <w:rPr>
          <w:color w:val="000000"/>
          <w:sz w:val="24"/>
          <w:szCs w:val="24"/>
        </w:rPr>
        <w:t xml:space="preserve">Summary </w:t>
      </w:r>
      <w:r w:rsidR="00705308" w:rsidRPr="001052AA">
        <w:rPr>
          <w:color w:val="000000"/>
          <w:sz w:val="24"/>
          <w:szCs w:val="24"/>
        </w:rPr>
        <w:t>schedule</w:t>
      </w:r>
      <w:r w:rsidR="003C4105" w:rsidRPr="001052AA">
        <w:rPr>
          <w:color w:val="000000"/>
          <w:sz w:val="24"/>
          <w:szCs w:val="24"/>
        </w:rPr>
        <w:t xml:space="preserve"> is estimated to be </w:t>
      </w:r>
      <w:r w:rsidR="00D4692A" w:rsidRPr="001052AA">
        <w:rPr>
          <w:color w:val="000000"/>
          <w:sz w:val="24"/>
          <w:szCs w:val="24"/>
        </w:rPr>
        <w:t>8</w:t>
      </w:r>
      <w:r w:rsidR="003C4105" w:rsidRPr="001052AA">
        <w:rPr>
          <w:color w:val="000000"/>
          <w:sz w:val="24"/>
          <w:szCs w:val="24"/>
        </w:rPr>
        <w:t xml:space="preserve">20 hours for a total of </w:t>
      </w:r>
      <w:r w:rsidR="00D4692A" w:rsidRPr="001052AA">
        <w:rPr>
          <w:color w:val="000000"/>
          <w:sz w:val="24"/>
          <w:szCs w:val="24"/>
        </w:rPr>
        <w:t>15,580</w:t>
      </w:r>
      <w:r w:rsidR="00EA370B" w:rsidRPr="001052AA">
        <w:rPr>
          <w:color w:val="000000"/>
          <w:sz w:val="24"/>
          <w:szCs w:val="24"/>
        </w:rPr>
        <w:t xml:space="preserve"> </w:t>
      </w:r>
      <w:r w:rsidR="003C4105" w:rsidRPr="001052AA">
        <w:rPr>
          <w:color w:val="000000"/>
          <w:sz w:val="24"/>
          <w:szCs w:val="24"/>
        </w:rPr>
        <w:t>hours.</w:t>
      </w:r>
      <w:r w:rsidR="00D4692A" w:rsidRPr="001052AA">
        <w:rPr>
          <w:color w:val="000000"/>
          <w:sz w:val="24"/>
          <w:szCs w:val="24"/>
        </w:rPr>
        <w:t xml:space="preserve">  This burden includes 20 hours to input these data and 800 hours for work related to modeling efforts</w:t>
      </w:r>
      <w:r w:rsidR="004E7DB7" w:rsidRPr="001052AA">
        <w:rPr>
          <w:color w:val="000000"/>
          <w:sz w:val="24"/>
          <w:szCs w:val="24"/>
        </w:rPr>
        <w:t>.</w:t>
      </w:r>
      <w:r w:rsidR="004E7DB7" w:rsidRPr="001052AA">
        <w:rPr>
          <w:color w:val="0070C0"/>
          <w:sz w:val="24"/>
          <w:szCs w:val="24"/>
        </w:rPr>
        <w:t xml:space="preserve">  </w:t>
      </w:r>
      <w:r w:rsidR="00D31F2A" w:rsidRPr="001052AA">
        <w:rPr>
          <w:color w:val="000000"/>
          <w:sz w:val="24"/>
          <w:szCs w:val="24"/>
        </w:rPr>
        <w:t>T</w:t>
      </w:r>
      <w:r w:rsidR="00A07A01" w:rsidRPr="001052AA">
        <w:rPr>
          <w:color w:val="000000"/>
          <w:sz w:val="24"/>
          <w:szCs w:val="24"/>
        </w:rPr>
        <w:t xml:space="preserve">he </w:t>
      </w:r>
      <w:r w:rsidR="00CF2E4D" w:rsidRPr="001052AA">
        <w:rPr>
          <w:color w:val="000000"/>
          <w:sz w:val="24"/>
          <w:szCs w:val="24"/>
        </w:rPr>
        <w:t xml:space="preserve">estimated </w:t>
      </w:r>
      <w:r w:rsidR="00D31F2A" w:rsidRPr="001052AA">
        <w:rPr>
          <w:color w:val="000000"/>
          <w:sz w:val="24"/>
          <w:szCs w:val="24"/>
        </w:rPr>
        <w:t xml:space="preserve">burden for </w:t>
      </w:r>
      <w:r w:rsidR="00F2397E" w:rsidRPr="001052AA">
        <w:rPr>
          <w:color w:val="000000"/>
          <w:sz w:val="24"/>
          <w:szCs w:val="24"/>
        </w:rPr>
        <w:t>each</w:t>
      </w:r>
      <w:r w:rsidR="00A07A01" w:rsidRPr="001052AA">
        <w:rPr>
          <w:color w:val="000000"/>
          <w:sz w:val="24"/>
          <w:szCs w:val="24"/>
        </w:rPr>
        <w:t xml:space="preserve"> </w:t>
      </w:r>
      <w:r w:rsidR="00D31F2A" w:rsidRPr="001052AA">
        <w:rPr>
          <w:color w:val="000000"/>
          <w:sz w:val="24"/>
          <w:szCs w:val="24"/>
        </w:rPr>
        <w:t>BHC</w:t>
      </w:r>
      <w:r w:rsidR="00041B92" w:rsidRPr="001052AA">
        <w:rPr>
          <w:color w:val="000000"/>
          <w:sz w:val="24"/>
          <w:szCs w:val="24"/>
        </w:rPr>
        <w:t xml:space="preserve"> that would complete the </w:t>
      </w:r>
      <w:r w:rsidR="00CF2E4D" w:rsidRPr="001052AA">
        <w:rPr>
          <w:color w:val="000000"/>
          <w:sz w:val="24"/>
          <w:szCs w:val="24"/>
        </w:rPr>
        <w:t xml:space="preserve">annual </w:t>
      </w:r>
      <w:r w:rsidR="00041B92" w:rsidRPr="001052AA">
        <w:rPr>
          <w:color w:val="000000"/>
          <w:sz w:val="24"/>
          <w:szCs w:val="24"/>
        </w:rPr>
        <w:t xml:space="preserve">Macro Scenario </w:t>
      </w:r>
      <w:r w:rsidR="00705308" w:rsidRPr="001052AA">
        <w:rPr>
          <w:color w:val="000000"/>
          <w:sz w:val="24"/>
          <w:szCs w:val="24"/>
        </w:rPr>
        <w:t>schedule</w:t>
      </w:r>
      <w:r w:rsidR="00A07A01" w:rsidRPr="001052AA">
        <w:rPr>
          <w:color w:val="000000"/>
          <w:sz w:val="24"/>
          <w:szCs w:val="24"/>
        </w:rPr>
        <w:t xml:space="preserve"> </w:t>
      </w:r>
      <w:r w:rsidR="00041B92" w:rsidRPr="001052AA">
        <w:rPr>
          <w:color w:val="000000"/>
          <w:sz w:val="24"/>
          <w:szCs w:val="24"/>
        </w:rPr>
        <w:t>is</w:t>
      </w:r>
      <w:r w:rsidR="00A07A01" w:rsidRPr="001052AA">
        <w:rPr>
          <w:color w:val="000000"/>
          <w:sz w:val="24"/>
          <w:szCs w:val="24"/>
        </w:rPr>
        <w:t xml:space="preserve"> estimate</w:t>
      </w:r>
      <w:r w:rsidR="00041B92" w:rsidRPr="001052AA">
        <w:rPr>
          <w:color w:val="000000"/>
          <w:sz w:val="24"/>
          <w:szCs w:val="24"/>
        </w:rPr>
        <w:t>d</w:t>
      </w:r>
      <w:r w:rsidR="00A07A01" w:rsidRPr="001052AA">
        <w:rPr>
          <w:color w:val="000000"/>
          <w:sz w:val="24"/>
          <w:szCs w:val="24"/>
        </w:rPr>
        <w:t xml:space="preserve"> </w:t>
      </w:r>
      <w:r w:rsidR="00D31F2A" w:rsidRPr="001052AA">
        <w:rPr>
          <w:color w:val="000000"/>
          <w:sz w:val="24"/>
          <w:szCs w:val="24"/>
        </w:rPr>
        <w:t>to</w:t>
      </w:r>
      <w:r w:rsidR="00A07A01" w:rsidRPr="001052AA">
        <w:rPr>
          <w:color w:val="000000"/>
          <w:sz w:val="24"/>
          <w:szCs w:val="24"/>
        </w:rPr>
        <w:t xml:space="preserve"> be 31 hours </w:t>
      </w:r>
      <w:r w:rsidR="00041B92" w:rsidRPr="001052AA">
        <w:rPr>
          <w:color w:val="000000"/>
          <w:sz w:val="24"/>
          <w:szCs w:val="24"/>
        </w:rPr>
        <w:t>for a total of 589 hours</w:t>
      </w:r>
      <w:r w:rsidR="00A07A01" w:rsidRPr="001052AA">
        <w:rPr>
          <w:color w:val="000000"/>
          <w:sz w:val="24"/>
          <w:szCs w:val="24"/>
        </w:rPr>
        <w:t>.</w:t>
      </w:r>
      <w:r w:rsidR="00D4692A" w:rsidRPr="001052AA">
        <w:rPr>
          <w:color w:val="000000"/>
          <w:sz w:val="24"/>
          <w:szCs w:val="24"/>
        </w:rPr>
        <w:t xml:space="preserve">  This burden estimate includes 5 hours to input baseline scenario data and 13 hours inputting data for</w:t>
      </w:r>
      <w:r w:rsidR="00293782" w:rsidRPr="001052AA">
        <w:rPr>
          <w:color w:val="000000"/>
          <w:sz w:val="24"/>
          <w:szCs w:val="24"/>
        </w:rPr>
        <w:t xml:space="preserve"> </w:t>
      </w:r>
      <w:r w:rsidR="00A76504" w:rsidRPr="001052AA">
        <w:rPr>
          <w:sz w:val="24"/>
          <w:szCs w:val="24"/>
        </w:rPr>
        <w:t>the baseline and stress scenarios</w:t>
      </w:r>
      <w:r w:rsidR="00D4692A" w:rsidRPr="001052AA">
        <w:rPr>
          <w:color w:val="000000"/>
          <w:sz w:val="24"/>
          <w:szCs w:val="24"/>
        </w:rPr>
        <w:t>.</w:t>
      </w:r>
      <w:r w:rsidR="004E7DB7" w:rsidRPr="001052AA">
        <w:rPr>
          <w:color w:val="0070C0"/>
          <w:sz w:val="24"/>
          <w:szCs w:val="24"/>
        </w:rPr>
        <w:t xml:space="preserve">  </w:t>
      </w:r>
      <w:r w:rsidR="009E3545" w:rsidRPr="001052AA">
        <w:rPr>
          <w:sz w:val="24"/>
          <w:szCs w:val="24"/>
        </w:rPr>
        <w:t>The burden for the six BHCs</w:t>
      </w:r>
      <w:r w:rsidR="009E3545" w:rsidRPr="001052AA">
        <w:rPr>
          <w:rStyle w:val="FootnoteReference"/>
          <w:sz w:val="24"/>
          <w:szCs w:val="24"/>
          <w:vertAlign w:val="superscript"/>
        </w:rPr>
        <w:footnoteReference w:id="7"/>
      </w:r>
      <w:r w:rsidR="009E3545" w:rsidRPr="001052AA">
        <w:rPr>
          <w:sz w:val="24"/>
          <w:szCs w:val="24"/>
        </w:rPr>
        <w:t xml:space="preserve"> that </w:t>
      </w:r>
      <w:bookmarkStart w:id="0" w:name="_GoBack"/>
      <w:r w:rsidR="009E3545" w:rsidRPr="001052AA">
        <w:rPr>
          <w:sz w:val="24"/>
          <w:szCs w:val="24"/>
        </w:rPr>
        <w:t xml:space="preserve">would complete the CCR schedule would vary across BHCs, ranging from 123 hours to 640 </w:t>
      </w:r>
      <w:bookmarkEnd w:id="0"/>
      <w:r w:rsidR="009E3545" w:rsidRPr="001052AA">
        <w:rPr>
          <w:sz w:val="24"/>
          <w:szCs w:val="24"/>
        </w:rPr>
        <w:t xml:space="preserve">hours. On average the annual burden per BHC </w:t>
      </w:r>
      <w:r w:rsidR="00F629B5" w:rsidRPr="001052AA">
        <w:rPr>
          <w:sz w:val="24"/>
          <w:szCs w:val="24"/>
        </w:rPr>
        <w:t xml:space="preserve">is estimated to </w:t>
      </w:r>
      <w:r w:rsidR="009E3545" w:rsidRPr="001052AA">
        <w:rPr>
          <w:sz w:val="24"/>
          <w:szCs w:val="24"/>
        </w:rPr>
        <w:t xml:space="preserve">be 382 hours for a total of 2,292 hours.  </w:t>
      </w:r>
      <w:r w:rsidRPr="001052AA">
        <w:rPr>
          <w:sz w:val="24"/>
          <w:szCs w:val="24"/>
        </w:rPr>
        <w:t xml:space="preserve">The </w:t>
      </w:r>
      <w:r w:rsidR="00B40A6B" w:rsidRPr="001052AA">
        <w:rPr>
          <w:sz w:val="24"/>
          <w:szCs w:val="24"/>
        </w:rPr>
        <w:t xml:space="preserve">estimated </w:t>
      </w:r>
      <w:r w:rsidRPr="001052AA">
        <w:rPr>
          <w:sz w:val="24"/>
          <w:szCs w:val="24"/>
        </w:rPr>
        <w:t xml:space="preserve">burden for </w:t>
      </w:r>
      <w:r w:rsidR="00F2397E" w:rsidRPr="001052AA">
        <w:rPr>
          <w:sz w:val="24"/>
          <w:szCs w:val="24"/>
        </w:rPr>
        <w:t>each</w:t>
      </w:r>
      <w:r w:rsidR="00B40A6B" w:rsidRPr="001052AA">
        <w:rPr>
          <w:sz w:val="24"/>
          <w:szCs w:val="24"/>
        </w:rPr>
        <w:t xml:space="preserve"> BHC that would complete the </w:t>
      </w:r>
      <w:r w:rsidR="00CF2E4D" w:rsidRPr="001052AA">
        <w:rPr>
          <w:sz w:val="24"/>
          <w:szCs w:val="24"/>
        </w:rPr>
        <w:t xml:space="preserve">annual </w:t>
      </w:r>
      <w:r w:rsidRPr="001052AA">
        <w:rPr>
          <w:sz w:val="24"/>
          <w:szCs w:val="24"/>
        </w:rPr>
        <w:t>Basel III</w:t>
      </w:r>
      <w:r w:rsidR="00A07A01" w:rsidRPr="001052AA">
        <w:rPr>
          <w:sz w:val="24"/>
          <w:szCs w:val="24"/>
        </w:rPr>
        <w:t xml:space="preserve"> </w:t>
      </w:r>
      <w:r w:rsidR="00705308" w:rsidRPr="001052AA">
        <w:rPr>
          <w:sz w:val="24"/>
          <w:szCs w:val="24"/>
        </w:rPr>
        <w:t>schedule</w:t>
      </w:r>
      <w:r w:rsidR="00B40A6B" w:rsidRPr="001052AA">
        <w:rPr>
          <w:sz w:val="24"/>
          <w:szCs w:val="24"/>
        </w:rPr>
        <w:t xml:space="preserve"> is 20 hours for a total of </w:t>
      </w:r>
      <w:r w:rsidR="00C34DD4" w:rsidRPr="001052AA">
        <w:rPr>
          <w:sz w:val="24"/>
          <w:szCs w:val="24"/>
        </w:rPr>
        <w:t>380</w:t>
      </w:r>
      <w:r w:rsidR="00B40A6B" w:rsidRPr="001052AA">
        <w:rPr>
          <w:sz w:val="24"/>
          <w:szCs w:val="24"/>
        </w:rPr>
        <w:t xml:space="preserve"> hours.</w:t>
      </w:r>
      <w:r w:rsidR="00C34DD4" w:rsidRPr="001052AA">
        <w:rPr>
          <w:sz w:val="24"/>
          <w:szCs w:val="24"/>
        </w:rPr>
        <w:t xml:space="preserve">  The estimated burden for </w:t>
      </w:r>
      <w:r w:rsidR="00F2397E" w:rsidRPr="001052AA">
        <w:rPr>
          <w:sz w:val="24"/>
          <w:szCs w:val="24"/>
        </w:rPr>
        <w:t>each</w:t>
      </w:r>
      <w:r w:rsidR="00C34DD4" w:rsidRPr="001052AA">
        <w:rPr>
          <w:sz w:val="24"/>
          <w:szCs w:val="24"/>
        </w:rPr>
        <w:t xml:space="preserve"> BHC that would complete the Regulatory Capital Instruments annual </w:t>
      </w:r>
      <w:r w:rsidR="00705308" w:rsidRPr="001052AA">
        <w:rPr>
          <w:sz w:val="24"/>
          <w:szCs w:val="24"/>
        </w:rPr>
        <w:t>schedule</w:t>
      </w:r>
      <w:r w:rsidR="00C34DD4" w:rsidRPr="001052AA">
        <w:rPr>
          <w:sz w:val="24"/>
          <w:szCs w:val="24"/>
        </w:rPr>
        <w:t xml:space="preserve"> is </w:t>
      </w:r>
      <w:r w:rsidR="00F2397E" w:rsidRPr="001052AA">
        <w:rPr>
          <w:sz w:val="24"/>
          <w:szCs w:val="24"/>
        </w:rPr>
        <w:t>2</w:t>
      </w:r>
      <w:r w:rsidR="00C34DD4" w:rsidRPr="001052AA">
        <w:rPr>
          <w:sz w:val="24"/>
          <w:szCs w:val="24"/>
        </w:rPr>
        <w:t xml:space="preserve">0 hours for a total of </w:t>
      </w:r>
      <w:r w:rsidR="00F2397E" w:rsidRPr="001052AA">
        <w:rPr>
          <w:sz w:val="24"/>
          <w:szCs w:val="24"/>
        </w:rPr>
        <w:t>380</w:t>
      </w:r>
      <w:r w:rsidR="00C34DD4" w:rsidRPr="001052AA">
        <w:rPr>
          <w:sz w:val="24"/>
          <w:szCs w:val="24"/>
        </w:rPr>
        <w:t xml:space="preserve"> hours.</w:t>
      </w:r>
    </w:p>
    <w:p w:rsidR="00DC1EBD" w:rsidRPr="001052AA" w:rsidRDefault="00DC1EBD" w:rsidP="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rsidR="000C63CC" w:rsidRPr="001052AA" w:rsidRDefault="000C63CC" w:rsidP="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b/>
          <w:sz w:val="24"/>
          <w:szCs w:val="24"/>
        </w:rPr>
      </w:pPr>
      <w:r w:rsidRPr="001052AA">
        <w:rPr>
          <w:sz w:val="24"/>
          <w:szCs w:val="24"/>
        </w:rPr>
        <w:tab/>
      </w:r>
      <w:r w:rsidRPr="001052AA">
        <w:rPr>
          <w:sz w:val="24"/>
          <w:szCs w:val="24"/>
        </w:rPr>
        <w:tab/>
      </w:r>
      <w:r w:rsidRPr="001052AA">
        <w:rPr>
          <w:b/>
          <w:sz w:val="24"/>
          <w:szCs w:val="24"/>
        </w:rPr>
        <w:t xml:space="preserve">FR </w:t>
      </w:r>
      <w:r w:rsidR="001934AD" w:rsidRPr="001052AA">
        <w:rPr>
          <w:b/>
          <w:sz w:val="24"/>
          <w:szCs w:val="24"/>
        </w:rPr>
        <w:t>Y-14</w:t>
      </w:r>
      <w:r w:rsidR="00041B92" w:rsidRPr="001052AA">
        <w:rPr>
          <w:b/>
          <w:sz w:val="24"/>
          <w:szCs w:val="24"/>
        </w:rPr>
        <w:t>Q</w:t>
      </w:r>
      <w:r w:rsidRPr="001052AA">
        <w:rPr>
          <w:b/>
          <w:sz w:val="24"/>
          <w:szCs w:val="24"/>
        </w:rPr>
        <w:t xml:space="preserve"> Burden</w:t>
      </w:r>
    </w:p>
    <w:p w:rsidR="000C63CC" w:rsidRPr="001052AA" w:rsidRDefault="000C63CC" w:rsidP="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rsidR="00A07A01" w:rsidRPr="001052AA" w:rsidRDefault="00A07A01" w:rsidP="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1052AA">
        <w:rPr>
          <w:sz w:val="24"/>
          <w:szCs w:val="24"/>
        </w:rPr>
        <w:tab/>
      </w:r>
      <w:r w:rsidRPr="001052AA">
        <w:rPr>
          <w:sz w:val="24"/>
          <w:szCs w:val="24"/>
        </w:rPr>
        <w:tab/>
        <w:t xml:space="preserve">The burden for </w:t>
      </w:r>
      <w:r w:rsidR="00F2397E" w:rsidRPr="001052AA">
        <w:rPr>
          <w:sz w:val="24"/>
          <w:szCs w:val="24"/>
        </w:rPr>
        <w:t>each</w:t>
      </w:r>
      <w:r w:rsidR="00D31F2A" w:rsidRPr="001052AA">
        <w:rPr>
          <w:sz w:val="24"/>
          <w:szCs w:val="24"/>
        </w:rPr>
        <w:t xml:space="preserve"> BHC that would complete the </w:t>
      </w:r>
      <w:r w:rsidRPr="001052AA">
        <w:rPr>
          <w:sz w:val="24"/>
          <w:szCs w:val="24"/>
        </w:rPr>
        <w:t xml:space="preserve">Securities </w:t>
      </w:r>
      <w:r w:rsidR="003527F8" w:rsidRPr="001052AA">
        <w:rPr>
          <w:sz w:val="24"/>
          <w:szCs w:val="24"/>
        </w:rPr>
        <w:t xml:space="preserve">Risk </w:t>
      </w:r>
      <w:r w:rsidR="00705308" w:rsidRPr="001052AA">
        <w:rPr>
          <w:sz w:val="24"/>
          <w:szCs w:val="24"/>
        </w:rPr>
        <w:t>schedule</w:t>
      </w:r>
      <w:r w:rsidR="00D31F2A" w:rsidRPr="001052AA">
        <w:rPr>
          <w:sz w:val="24"/>
          <w:szCs w:val="24"/>
        </w:rPr>
        <w:t xml:space="preserve"> is estimated to be 10 hours per quarter for a total of </w:t>
      </w:r>
      <w:r w:rsidR="00B70336" w:rsidRPr="001052AA">
        <w:rPr>
          <w:sz w:val="24"/>
          <w:szCs w:val="24"/>
        </w:rPr>
        <w:t>760</w:t>
      </w:r>
      <w:r w:rsidR="00D31F2A" w:rsidRPr="001052AA">
        <w:rPr>
          <w:sz w:val="24"/>
          <w:szCs w:val="24"/>
        </w:rPr>
        <w:t xml:space="preserve"> hours.</w:t>
      </w:r>
      <w:r w:rsidR="00D31F2A" w:rsidRPr="001052AA">
        <w:rPr>
          <w:color w:val="0070C0"/>
          <w:sz w:val="24"/>
          <w:szCs w:val="24"/>
        </w:rPr>
        <w:t xml:space="preserve">  </w:t>
      </w:r>
      <w:r w:rsidRPr="001052AA">
        <w:rPr>
          <w:sz w:val="24"/>
          <w:szCs w:val="24"/>
        </w:rPr>
        <w:t xml:space="preserve">The data </w:t>
      </w:r>
      <w:r w:rsidR="00705308" w:rsidRPr="001052AA">
        <w:rPr>
          <w:sz w:val="24"/>
          <w:szCs w:val="24"/>
        </w:rPr>
        <w:t>schedule</w:t>
      </w:r>
      <w:r w:rsidRPr="001052AA">
        <w:rPr>
          <w:sz w:val="24"/>
          <w:szCs w:val="24"/>
        </w:rPr>
        <w:t xml:space="preserve"> </w:t>
      </w:r>
      <w:r w:rsidR="00D31F2A" w:rsidRPr="001052AA">
        <w:rPr>
          <w:sz w:val="24"/>
          <w:szCs w:val="24"/>
        </w:rPr>
        <w:t>has been</w:t>
      </w:r>
      <w:r w:rsidRPr="001052AA">
        <w:rPr>
          <w:sz w:val="24"/>
          <w:szCs w:val="24"/>
        </w:rPr>
        <w:t xml:space="preserve"> designed based on </w:t>
      </w:r>
      <w:r w:rsidR="00D31F2A" w:rsidRPr="001052AA">
        <w:rPr>
          <w:sz w:val="24"/>
          <w:szCs w:val="24"/>
        </w:rPr>
        <w:t>how</w:t>
      </w:r>
      <w:r w:rsidRPr="001052AA">
        <w:rPr>
          <w:sz w:val="24"/>
          <w:szCs w:val="24"/>
        </w:rPr>
        <w:t xml:space="preserve"> some BHCs report their information internally.  </w:t>
      </w:r>
      <w:r w:rsidR="002C5486" w:rsidRPr="001052AA">
        <w:rPr>
          <w:sz w:val="24"/>
          <w:szCs w:val="24"/>
        </w:rPr>
        <w:t xml:space="preserve">The burden for </w:t>
      </w:r>
      <w:r w:rsidR="00F2397E" w:rsidRPr="001052AA">
        <w:rPr>
          <w:sz w:val="24"/>
          <w:szCs w:val="24"/>
        </w:rPr>
        <w:t>each</w:t>
      </w:r>
      <w:r w:rsidR="002C5486" w:rsidRPr="001052AA">
        <w:rPr>
          <w:sz w:val="24"/>
          <w:szCs w:val="24"/>
        </w:rPr>
        <w:t xml:space="preserve"> BHC that would complete the Retail </w:t>
      </w:r>
      <w:r w:rsidR="003527F8" w:rsidRPr="001052AA">
        <w:rPr>
          <w:sz w:val="24"/>
          <w:szCs w:val="24"/>
        </w:rPr>
        <w:t xml:space="preserve">Risk </w:t>
      </w:r>
      <w:r w:rsidR="00705308" w:rsidRPr="001052AA">
        <w:rPr>
          <w:sz w:val="24"/>
          <w:szCs w:val="24"/>
        </w:rPr>
        <w:t>schedule</w:t>
      </w:r>
      <w:r w:rsidR="002C5486" w:rsidRPr="001052AA">
        <w:rPr>
          <w:sz w:val="24"/>
          <w:szCs w:val="24"/>
        </w:rPr>
        <w:t xml:space="preserve"> would vary across BHCs, ranging from 3,760 hours to 7,605 hours. </w:t>
      </w:r>
      <w:r w:rsidR="00057800">
        <w:rPr>
          <w:sz w:val="24"/>
          <w:szCs w:val="24"/>
        </w:rPr>
        <w:t xml:space="preserve"> </w:t>
      </w:r>
      <w:r w:rsidR="002C5486" w:rsidRPr="001052AA">
        <w:rPr>
          <w:sz w:val="24"/>
          <w:szCs w:val="24"/>
        </w:rPr>
        <w:t xml:space="preserve">On average the quarterly burden per BHC would be 5,683 hours for a total of 431,908 hours.  </w:t>
      </w:r>
    </w:p>
    <w:p w:rsidR="00A07A01" w:rsidRPr="001052AA" w:rsidRDefault="00A07A01" w:rsidP="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rsidR="000C63CC" w:rsidRPr="001052AA" w:rsidRDefault="000C63CC" w:rsidP="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1052AA">
        <w:rPr>
          <w:sz w:val="24"/>
          <w:szCs w:val="24"/>
        </w:rPr>
        <w:tab/>
      </w:r>
      <w:r w:rsidRPr="001052AA">
        <w:rPr>
          <w:sz w:val="24"/>
          <w:szCs w:val="24"/>
        </w:rPr>
        <w:tab/>
        <w:t xml:space="preserve">The burden for </w:t>
      </w:r>
      <w:r w:rsidR="00F2397E" w:rsidRPr="001052AA">
        <w:rPr>
          <w:sz w:val="24"/>
          <w:szCs w:val="24"/>
        </w:rPr>
        <w:t>each</w:t>
      </w:r>
      <w:r w:rsidR="00D31F2A" w:rsidRPr="001052AA">
        <w:rPr>
          <w:sz w:val="24"/>
          <w:szCs w:val="24"/>
        </w:rPr>
        <w:t xml:space="preserve"> BHC that would complete the </w:t>
      </w:r>
      <w:r w:rsidRPr="001052AA">
        <w:rPr>
          <w:sz w:val="24"/>
          <w:szCs w:val="24"/>
        </w:rPr>
        <w:t xml:space="preserve">PPNR </w:t>
      </w:r>
      <w:r w:rsidR="00706ADF" w:rsidRPr="001052AA">
        <w:rPr>
          <w:sz w:val="24"/>
          <w:szCs w:val="24"/>
        </w:rPr>
        <w:t xml:space="preserve">Risk </w:t>
      </w:r>
      <w:r w:rsidR="00705308" w:rsidRPr="001052AA">
        <w:rPr>
          <w:sz w:val="24"/>
          <w:szCs w:val="24"/>
        </w:rPr>
        <w:t>schedule</w:t>
      </w:r>
      <w:r w:rsidRPr="001052AA">
        <w:rPr>
          <w:sz w:val="24"/>
          <w:szCs w:val="24"/>
        </w:rPr>
        <w:t xml:space="preserve"> would vary across BHCs</w:t>
      </w:r>
      <w:r w:rsidR="002C5486" w:rsidRPr="001052AA">
        <w:rPr>
          <w:sz w:val="24"/>
          <w:szCs w:val="24"/>
        </w:rPr>
        <w:t>,</w:t>
      </w:r>
      <w:r w:rsidRPr="001052AA">
        <w:rPr>
          <w:sz w:val="24"/>
          <w:szCs w:val="24"/>
        </w:rPr>
        <w:t xml:space="preserve"> rang</w:t>
      </w:r>
      <w:r w:rsidR="002C5486" w:rsidRPr="001052AA">
        <w:rPr>
          <w:sz w:val="24"/>
          <w:szCs w:val="24"/>
        </w:rPr>
        <w:t>ing</w:t>
      </w:r>
      <w:r w:rsidRPr="001052AA">
        <w:rPr>
          <w:sz w:val="24"/>
          <w:szCs w:val="24"/>
        </w:rPr>
        <w:t xml:space="preserve"> from 360 hours to 1,200 hours. </w:t>
      </w:r>
      <w:r w:rsidR="00D31F2A" w:rsidRPr="001052AA">
        <w:rPr>
          <w:sz w:val="24"/>
          <w:szCs w:val="24"/>
        </w:rPr>
        <w:t xml:space="preserve">On average the quarterly burden per BHC would be 625 hours for a total of 47,500 hours.  </w:t>
      </w:r>
      <w:r w:rsidRPr="001052AA">
        <w:rPr>
          <w:sz w:val="24"/>
          <w:szCs w:val="24"/>
        </w:rPr>
        <w:t>The reporting burden would vary in part based on the diversity operations and the structure and capability of internal reporting systems. Some BHCs may report the data for only a few business lines, while others with more diversified operations may need to complete the majority of the data items. Additionally, not all BHCs would provide supplemental information on net interest income.</w:t>
      </w:r>
    </w:p>
    <w:p w:rsidR="000C63CC" w:rsidRPr="001052AA" w:rsidRDefault="000C63CC">
      <w:pPr>
        <w:pStyle w:val="BodyText"/>
        <w:tabs>
          <w:tab w:val="left" w:pos="0"/>
        </w:tabs>
        <w:rPr>
          <w:rFonts w:ascii="Times New Roman" w:hAnsi="Times New Roman"/>
          <w:szCs w:val="24"/>
        </w:rPr>
      </w:pPr>
    </w:p>
    <w:p w:rsidR="00EA540A" w:rsidRPr="001052AA" w:rsidRDefault="00A07A01">
      <w:pPr>
        <w:pStyle w:val="BodyText"/>
        <w:tabs>
          <w:tab w:val="left" w:pos="0"/>
        </w:tabs>
        <w:rPr>
          <w:rFonts w:ascii="Times New Roman" w:hAnsi="Times New Roman"/>
          <w:color w:val="000000"/>
          <w:szCs w:val="24"/>
        </w:rPr>
      </w:pPr>
      <w:r w:rsidRPr="001052AA">
        <w:rPr>
          <w:rFonts w:ascii="Times New Roman" w:hAnsi="Times New Roman"/>
          <w:szCs w:val="24"/>
        </w:rPr>
        <w:tab/>
      </w:r>
      <w:r w:rsidR="00CF2E4D" w:rsidRPr="001052AA">
        <w:rPr>
          <w:rFonts w:ascii="Times New Roman" w:hAnsi="Times New Roman"/>
          <w:color w:val="000000"/>
          <w:szCs w:val="24"/>
        </w:rPr>
        <w:t xml:space="preserve"> The total </w:t>
      </w:r>
      <w:r w:rsidR="00057800">
        <w:rPr>
          <w:rFonts w:ascii="Times New Roman" w:hAnsi="Times New Roman"/>
          <w:color w:val="000000"/>
          <w:szCs w:val="24"/>
        </w:rPr>
        <w:t>annual</w:t>
      </w:r>
      <w:r w:rsidR="00057800" w:rsidRPr="001052AA">
        <w:rPr>
          <w:rFonts w:ascii="Times New Roman" w:hAnsi="Times New Roman"/>
          <w:color w:val="000000"/>
          <w:szCs w:val="24"/>
        </w:rPr>
        <w:t xml:space="preserve"> </w:t>
      </w:r>
      <w:r w:rsidR="00CF2E4D" w:rsidRPr="001052AA">
        <w:rPr>
          <w:rFonts w:ascii="Times New Roman" w:hAnsi="Times New Roman"/>
          <w:color w:val="000000"/>
          <w:szCs w:val="24"/>
        </w:rPr>
        <w:t xml:space="preserve">burden for the BHCs that would complete the quarterly Wholesale </w:t>
      </w:r>
      <w:r w:rsidR="003527F8" w:rsidRPr="001052AA">
        <w:rPr>
          <w:rFonts w:ascii="Times New Roman" w:hAnsi="Times New Roman"/>
          <w:color w:val="000000"/>
          <w:szCs w:val="24"/>
        </w:rPr>
        <w:t xml:space="preserve">Risk </w:t>
      </w:r>
      <w:r w:rsidR="00CF2E4D" w:rsidRPr="001052AA">
        <w:rPr>
          <w:rFonts w:ascii="Times New Roman" w:hAnsi="Times New Roman"/>
          <w:color w:val="000000"/>
          <w:szCs w:val="24"/>
        </w:rPr>
        <w:t xml:space="preserve">schedule is estimated to be </w:t>
      </w:r>
      <w:r w:rsidR="000F74EA" w:rsidRPr="001052AA">
        <w:rPr>
          <w:rFonts w:ascii="Times New Roman" w:hAnsi="Times New Roman"/>
          <w:color w:val="000000"/>
          <w:szCs w:val="24"/>
        </w:rPr>
        <w:t>8,400</w:t>
      </w:r>
      <w:r w:rsidR="00CF2E4D" w:rsidRPr="001052AA">
        <w:rPr>
          <w:rFonts w:ascii="Times New Roman" w:hAnsi="Times New Roman"/>
          <w:color w:val="000000"/>
          <w:szCs w:val="24"/>
        </w:rPr>
        <w:t xml:space="preserve"> hours.  This burden estimate includes 60 hours for </w:t>
      </w:r>
      <w:r w:rsidR="00F2397E" w:rsidRPr="001052AA">
        <w:rPr>
          <w:rFonts w:ascii="Times New Roman" w:hAnsi="Times New Roman"/>
          <w:color w:val="000000"/>
          <w:szCs w:val="24"/>
        </w:rPr>
        <w:t xml:space="preserve">each </w:t>
      </w:r>
      <w:r w:rsidR="00F629B5" w:rsidRPr="001052AA">
        <w:rPr>
          <w:rFonts w:ascii="Times New Roman" w:hAnsi="Times New Roman"/>
          <w:color w:val="000000"/>
          <w:szCs w:val="24"/>
        </w:rPr>
        <w:lastRenderedPageBreak/>
        <w:t>corporate loan</w:t>
      </w:r>
      <w:r w:rsidR="00CF2E4D" w:rsidRPr="001052AA">
        <w:rPr>
          <w:rFonts w:ascii="Times New Roman" w:hAnsi="Times New Roman"/>
          <w:color w:val="000000"/>
          <w:szCs w:val="24"/>
        </w:rPr>
        <w:t xml:space="preserve"> respondents and 60 hours for </w:t>
      </w:r>
      <w:r w:rsidR="00F2397E" w:rsidRPr="001052AA">
        <w:rPr>
          <w:rFonts w:ascii="Times New Roman" w:hAnsi="Times New Roman"/>
          <w:color w:val="000000"/>
          <w:szCs w:val="24"/>
        </w:rPr>
        <w:t xml:space="preserve">each </w:t>
      </w:r>
      <w:r w:rsidR="00CF2E4D" w:rsidRPr="001052AA">
        <w:rPr>
          <w:rFonts w:ascii="Times New Roman" w:hAnsi="Times New Roman"/>
          <w:color w:val="000000"/>
          <w:szCs w:val="24"/>
        </w:rPr>
        <w:t>CRE respondent to complete the data submission.</w:t>
      </w:r>
    </w:p>
    <w:p w:rsidR="00EA540A" w:rsidRPr="001052AA" w:rsidRDefault="00EA540A" w:rsidP="00EA540A">
      <w:pPr>
        <w:autoSpaceDE w:val="0"/>
        <w:autoSpaceDN w:val="0"/>
        <w:adjustRightInd w:val="0"/>
        <w:rPr>
          <w:sz w:val="24"/>
          <w:szCs w:val="24"/>
        </w:rPr>
      </w:pPr>
    </w:p>
    <w:p w:rsidR="004803FC" w:rsidRDefault="00A07A01" w:rsidP="004803F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1052AA">
        <w:rPr>
          <w:sz w:val="24"/>
          <w:szCs w:val="24"/>
        </w:rPr>
        <w:tab/>
      </w:r>
      <w:r w:rsidR="00C34DD4" w:rsidRPr="001052AA">
        <w:rPr>
          <w:sz w:val="24"/>
          <w:szCs w:val="24"/>
        </w:rPr>
        <w:tab/>
      </w:r>
      <w:r w:rsidRPr="001052AA">
        <w:rPr>
          <w:sz w:val="24"/>
          <w:szCs w:val="24"/>
        </w:rPr>
        <w:t xml:space="preserve">The burden for </w:t>
      </w:r>
      <w:r w:rsidR="00F2397E" w:rsidRPr="001052AA">
        <w:rPr>
          <w:sz w:val="24"/>
          <w:szCs w:val="24"/>
        </w:rPr>
        <w:t xml:space="preserve">each </w:t>
      </w:r>
      <w:r w:rsidR="00E36D19" w:rsidRPr="001052AA">
        <w:rPr>
          <w:sz w:val="24"/>
          <w:szCs w:val="24"/>
        </w:rPr>
        <w:t xml:space="preserve">BHC that would complete the </w:t>
      </w:r>
      <w:r w:rsidRPr="001052AA">
        <w:rPr>
          <w:sz w:val="24"/>
          <w:szCs w:val="24"/>
        </w:rPr>
        <w:t xml:space="preserve">Trading </w:t>
      </w:r>
      <w:r w:rsidR="003527F8" w:rsidRPr="001052AA">
        <w:rPr>
          <w:sz w:val="24"/>
          <w:szCs w:val="24"/>
        </w:rPr>
        <w:t xml:space="preserve">Risk </w:t>
      </w:r>
      <w:r w:rsidR="00705308" w:rsidRPr="001052AA">
        <w:rPr>
          <w:sz w:val="24"/>
          <w:szCs w:val="24"/>
        </w:rPr>
        <w:t>schedule</w:t>
      </w:r>
      <w:r w:rsidR="00E36D19" w:rsidRPr="001052AA">
        <w:rPr>
          <w:sz w:val="24"/>
          <w:szCs w:val="24"/>
        </w:rPr>
        <w:t xml:space="preserve"> would vary across BHCs, ranging from 800 hours to 2,640 hours. </w:t>
      </w:r>
      <w:r w:rsidR="00057800">
        <w:rPr>
          <w:sz w:val="24"/>
          <w:szCs w:val="24"/>
        </w:rPr>
        <w:t xml:space="preserve"> </w:t>
      </w:r>
      <w:r w:rsidR="00E36D19" w:rsidRPr="001052AA">
        <w:rPr>
          <w:sz w:val="24"/>
          <w:szCs w:val="24"/>
        </w:rPr>
        <w:t>On average the quarterly burden per BHC would be 1,720 hours for a total of 41,280 hours.</w:t>
      </w:r>
      <w:r w:rsidR="006A3AF7" w:rsidRPr="001052AA">
        <w:rPr>
          <w:sz w:val="24"/>
          <w:szCs w:val="24"/>
        </w:rPr>
        <w:t xml:space="preserve">  </w:t>
      </w:r>
      <w:r w:rsidRPr="001052AA">
        <w:rPr>
          <w:sz w:val="24"/>
          <w:szCs w:val="24"/>
        </w:rPr>
        <w:t xml:space="preserve">The burden for </w:t>
      </w:r>
      <w:r w:rsidR="00F2397E" w:rsidRPr="001052AA">
        <w:rPr>
          <w:sz w:val="24"/>
          <w:szCs w:val="24"/>
        </w:rPr>
        <w:t xml:space="preserve">each </w:t>
      </w:r>
      <w:r w:rsidR="00B40A6B" w:rsidRPr="001052AA">
        <w:rPr>
          <w:sz w:val="24"/>
          <w:szCs w:val="24"/>
        </w:rPr>
        <w:t xml:space="preserve">BHC that would complete the </w:t>
      </w:r>
      <w:r w:rsidRPr="001052AA">
        <w:rPr>
          <w:sz w:val="24"/>
          <w:szCs w:val="24"/>
        </w:rPr>
        <w:t xml:space="preserve">Basel III quarterly </w:t>
      </w:r>
      <w:r w:rsidR="00705308" w:rsidRPr="001052AA">
        <w:rPr>
          <w:sz w:val="24"/>
          <w:szCs w:val="24"/>
        </w:rPr>
        <w:t>schedule</w:t>
      </w:r>
      <w:r w:rsidR="00B40A6B" w:rsidRPr="001052AA">
        <w:rPr>
          <w:sz w:val="24"/>
          <w:szCs w:val="24"/>
        </w:rPr>
        <w:t xml:space="preserve"> </w:t>
      </w:r>
      <w:r w:rsidR="00DD55FC" w:rsidRPr="001052AA">
        <w:rPr>
          <w:sz w:val="24"/>
          <w:szCs w:val="24"/>
        </w:rPr>
        <w:t xml:space="preserve">would take on average 20 hours to complete for a total of </w:t>
      </w:r>
      <w:r w:rsidR="00C34DD4" w:rsidRPr="001052AA">
        <w:rPr>
          <w:sz w:val="24"/>
          <w:szCs w:val="24"/>
        </w:rPr>
        <w:t>1,520</w:t>
      </w:r>
      <w:r w:rsidR="00DD55FC" w:rsidRPr="001052AA">
        <w:rPr>
          <w:sz w:val="24"/>
          <w:szCs w:val="24"/>
        </w:rPr>
        <w:t xml:space="preserve"> </w:t>
      </w:r>
      <w:r w:rsidR="00B40A6B" w:rsidRPr="001052AA">
        <w:rPr>
          <w:sz w:val="24"/>
          <w:szCs w:val="24"/>
        </w:rPr>
        <w:t>hours.</w:t>
      </w:r>
      <w:r w:rsidR="00AF1542" w:rsidRPr="001052AA">
        <w:rPr>
          <w:sz w:val="24"/>
          <w:szCs w:val="24"/>
        </w:rPr>
        <w:t xml:space="preserve">  </w:t>
      </w:r>
      <w:bookmarkStart w:id="1" w:name="OLE_LINK1"/>
      <w:bookmarkStart w:id="2" w:name="OLE_LINK2"/>
      <w:r w:rsidR="00AF1542" w:rsidRPr="001052AA">
        <w:rPr>
          <w:sz w:val="24"/>
          <w:szCs w:val="24"/>
        </w:rPr>
        <w:t xml:space="preserve">The estimated burden for </w:t>
      </w:r>
      <w:r w:rsidR="00F2397E" w:rsidRPr="001052AA">
        <w:rPr>
          <w:sz w:val="24"/>
          <w:szCs w:val="24"/>
        </w:rPr>
        <w:t>each</w:t>
      </w:r>
      <w:r w:rsidR="00AF1542" w:rsidRPr="001052AA">
        <w:rPr>
          <w:sz w:val="24"/>
          <w:szCs w:val="24"/>
        </w:rPr>
        <w:t xml:space="preserve"> BHC that would complete the Regulatory Capital Instruments </w:t>
      </w:r>
      <w:r w:rsidR="00C34DD4" w:rsidRPr="001052AA">
        <w:rPr>
          <w:sz w:val="24"/>
          <w:szCs w:val="24"/>
        </w:rPr>
        <w:t>quarterly</w:t>
      </w:r>
      <w:r w:rsidR="00AF1542" w:rsidRPr="001052AA">
        <w:rPr>
          <w:sz w:val="24"/>
          <w:szCs w:val="24"/>
        </w:rPr>
        <w:t xml:space="preserve"> </w:t>
      </w:r>
      <w:r w:rsidR="00705308" w:rsidRPr="001052AA">
        <w:rPr>
          <w:sz w:val="24"/>
          <w:szCs w:val="24"/>
        </w:rPr>
        <w:t>schedule</w:t>
      </w:r>
      <w:r w:rsidR="00AF1542" w:rsidRPr="001052AA">
        <w:rPr>
          <w:sz w:val="24"/>
          <w:szCs w:val="24"/>
        </w:rPr>
        <w:t xml:space="preserve"> is 40 hours for a total of 3,040 hours.</w:t>
      </w:r>
      <w:bookmarkEnd w:id="1"/>
      <w:bookmarkEnd w:id="2"/>
    </w:p>
    <w:p w:rsidR="00A601FE" w:rsidRPr="001052AA" w:rsidRDefault="00A601FE" w:rsidP="004803F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tbl>
      <w:tblPr>
        <w:tblW w:w="0" w:type="auto"/>
        <w:tblInd w:w="134" w:type="dxa"/>
        <w:tblLayout w:type="fixed"/>
        <w:tblCellMar>
          <w:left w:w="120" w:type="dxa"/>
          <w:right w:w="120" w:type="dxa"/>
        </w:tblCellMar>
        <w:tblLook w:val="0000"/>
      </w:tblPr>
      <w:tblGrid>
        <w:gridCol w:w="2596"/>
        <w:gridCol w:w="90"/>
        <w:gridCol w:w="1530"/>
        <w:gridCol w:w="1260"/>
        <w:gridCol w:w="90"/>
        <w:gridCol w:w="1170"/>
        <w:gridCol w:w="270"/>
        <w:gridCol w:w="1260"/>
      </w:tblGrid>
      <w:tr w:rsidR="00D0046F" w:rsidRPr="00D51494" w:rsidTr="00E15FFE">
        <w:tc>
          <w:tcPr>
            <w:tcW w:w="2596" w:type="dxa"/>
            <w:tcBorders>
              <w:top w:val="single" w:sz="8" w:space="0" w:color="000000"/>
              <w:left w:val="single" w:sz="6" w:space="0" w:color="FFFFFF"/>
              <w:bottom w:val="single" w:sz="6" w:space="0" w:color="FFFFFF"/>
              <w:right w:val="single" w:sz="6" w:space="0" w:color="FFFFFF"/>
            </w:tcBorders>
          </w:tcPr>
          <w:p w:rsidR="00D0046F" w:rsidRPr="00D51494" w:rsidRDefault="004803FC" w:rsidP="004167F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szCs w:val="24"/>
              </w:rPr>
              <w:br w:type="page"/>
            </w:r>
          </w:p>
          <w:p w:rsidR="004167F7" w:rsidRPr="00D51494" w:rsidRDefault="004167F7" w:rsidP="004167F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4167F7" w:rsidRPr="00D51494" w:rsidRDefault="004167F7" w:rsidP="004167F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4167F7" w:rsidRPr="00D51494" w:rsidRDefault="004167F7" w:rsidP="004167F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4167F7" w:rsidRPr="00D51494" w:rsidRDefault="004167F7" w:rsidP="004167F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620" w:type="dxa"/>
            <w:gridSpan w:val="2"/>
            <w:tcBorders>
              <w:top w:val="single" w:sz="8" w:space="0" w:color="000000"/>
              <w:left w:val="single" w:sz="6" w:space="0" w:color="FFFFFF"/>
              <w:bottom w:val="single" w:sz="6" w:space="0" w:color="FFFFFF"/>
              <w:right w:val="single" w:sz="6" w:space="0" w:color="FFFFFF"/>
            </w:tcBorders>
          </w:tcPr>
          <w:p w:rsidR="00D0046F" w:rsidRPr="00D51494" w:rsidRDefault="00D0046F">
            <w:pPr>
              <w:spacing w:line="163" w:lineRule="exact"/>
              <w:rPr>
                <w:sz w:val="24"/>
              </w:rPr>
            </w:pPr>
          </w:p>
          <w:p w:rsidR="00D0046F" w:rsidRPr="00D51494" w:rsidRDefault="00D0046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D0046F" w:rsidRPr="00D51494" w:rsidRDefault="00854D48" w:rsidP="00854D4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i/>
                <w:sz w:val="24"/>
              </w:rPr>
              <w:t>N</w:t>
            </w:r>
            <w:r w:rsidR="003C421A" w:rsidRPr="003C421A">
              <w:rPr>
                <w:i/>
                <w:sz w:val="24"/>
              </w:rPr>
              <w:t>umber of respondents</w:t>
            </w:r>
            <w:r w:rsidRPr="00854D48">
              <w:rPr>
                <w:rStyle w:val="FootnoteReference"/>
                <w:i/>
                <w:sz w:val="24"/>
                <w:vertAlign w:val="superscript"/>
              </w:rPr>
              <w:footnoteReference w:id="8"/>
            </w:r>
          </w:p>
        </w:tc>
        <w:tc>
          <w:tcPr>
            <w:tcW w:w="1350" w:type="dxa"/>
            <w:gridSpan w:val="2"/>
            <w:tcBorders>
              <w:top w:val="single" w:sz="8" w:space="0" w:color="000000"/>
              <w:left w:val="single" w:sz="6" w:space="0" w:color="FFFFFF"/>
              <w:bottom w:val="single" w:sz="6" w:space="0" w:color="FFFFFF"/>
              <w:right w:val="single" w:sz="6" w:space="0" w:color="FFFFFF"/>
            </w:tcBorders>
          </w:tcPr>
          <w:p w:rsidR="00D0046F" w:rsidRPr="00D51494" w:rsidRDefault="00D0046F">
            <w:pPr>
              <w:spacing w:line="163" w:lineRule="exact"/>
              <w:rPr>
                <w:sz w:val="24"/>
              </w:rPr>
            </w:pPr>
          </w:p>
          <w:p w:rsidR="00D0046F" w:rsidRPr="00D51494" w:rsidRDefault="00D0046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sz w:val="24"/>
              </w:rPr>
            </w:pPr>
          </w:p>
          <w:p w:rsidR="00D0046F" w:rsidRPr="00D51494" w:rsidRDefault="003C421A" w:rsidP="00854D4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sz w:val="24"/>
              </w:rPr>
            </w:pPr>
            <w:r w:rsidRPr="003C421A">
              <w:rPr>
                <w:i/>
                <w:sz w:val="24"/>
              </w:rPr>
              <w:t>Annual</w:t>
            </w:r>
          </w:p>
          <w:p w:rsidR="00D0046F" w:rsidRPr="00D51494" w:rsidRDefault="003C421A" w:rsidP="00854D4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3C421A">
              <w:rPr>
                <w:i/>
                <w:sz w:val="24"/>
              </w:rPr>
              <w:t>frequency</w:t>
            </w:r>
          </w:p>
        </w:tc>
        <w:tc>
          <w:tcPr>
            <w:tcW w:w="1440" w:type="dxa"/>
            <w:gridSpan w:val="2"/>
            <w:tcBorders>
              <w:top w:val="single" w:sz="8" w:space="0" w:color="000000"/>
              <w:left w:val="single" w:sz="6" w:space="0" w:color="FFFFFF"/>
              <w:bottom w:val="single" w:sz="6" w:space="0" w:color="FFFFFF"/>
              <w:right w:val="single" w:sz="6" w:space="0" w:color="FFFFFF"/>
            </w:tcBorders>
          </w:tcPr>
          <w:p w:rsidR="00D0046F" w:rsidRPr="00D51494" w:rsidRDefault="00D0046F">
            <w:pPr>
              <w:spacing w:line="163" w:lineRule="exact"/>
              <w:rPr>
                <w:sz w:val="24"/>
              </w:rPr>
            </w:pPr>
          </w:p>
          <w:p w:rsidR="00D0046F" w:rsidRPr="00D51494" w:rsidRDefault="00D0046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51494">
              <w:rPr>
                <w:i/>
                <w:sz w:val="24"/>
              </w:rPr>
              <w:t>Estimated average hours per response</w:t>
            </w:r>
          </w:p>
        </w:tc>
        <w:tc>
          <w:tcPr>
            <w:tcW w:w="1260" w:type="dxa"/>
            <w:tcBorders>
              <w:top w:val="single" w:sz="8" w:space="0" w:color="000000"/>
              <w:left w:val="single" w:sz="6" w:space="0" w:color="FFFFFF"/>
              <w:bottom w:val="single" w:sz="6" w:space="0" w:color="FFFFFF"/>
              <w:right w:val="single" w:sz="6" w:space="0" w:color="FFFFFF"/>
            </w:tcBorders>
          </w:tcPr>
          <w:p w:rsidR="00D0046F" w:rsidRPr="00D51494" w:rsidRDefault="00D0046F">
            <w:pPr>
              <w:spacing w:line="163" w:lineRule="exact"/>
              <w:rPr>
                <w:sz w:val="24"/>
              </w:rPr>
            </w:pPr>
          </w:p>
          <w:p w:rsidR="00D0046F" w:rsidRPr="00D51494" w:rsidRDefault="003C421A" w:rsidP="00854D4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3C421A">
              <w:rPr>
                <w:i/>
                <w:sz w:val="24"/>
              </w:rPr>
              <w:t>Estimated annual burden hours</w:t>
            </w:r>
          </w:p>
        </w:tc>
      </w:tr>
      <w:tr w:rsidR="004B4B16" w:rsidRPr="00D51494" w:rsidTr="00E15FFE">
        <w:tc>
          <w:tcPr>
            <w:tcW w:w="2686" w:type="dxa"/>
            <w:gridSpan w:val="2"/>
            <w:tcBorders>
              <w:top w:val="single" w:sz="6" w:space="0" w:color="FFFFFF"/>
              <w:left w:val="single" w:sz="6" w:space="0" w:color="FFFFFF"/>
              <w:right w:val="single" w:sz="6" w:space="0" w:color="FFFFFF"/>
            </w:tcBorders>
          </w:tcPr>
          <w:p w:rsidR="004B4B16" w:rsidRPr="005D6D9C" w:rsidRDefault="005D6D9C">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sz w:val="24"/>
                <w:u w:val="single"/>
              </w:rPr>
            </w:pPr>
            <w:r>
              <w:rPr>
                <w:b/>
                <w:sz w:val="24"/>
                <w:u w:val="single"/>
              </w:rPr>
              <w:t xml:space="preserve">FR </w:t>
            </w:r>
            <w:r w:rsidR="001934AD">
              <w:rPr>
                <w:b/>
                <w:sz w:val="24"/>
                <w:u w:val="single"/>
              </w:rPr>
              <w:t>Y-14</w:t>
            </w:r>
            <w:r>
              <w:rPr>
                <w:b/>
                <w:sz w:val="24"/>
                <w:u w:val="single"/>
              </w:rPr>
              <w:t>A</w:t>
            </w:r>
          </w:p>
        </w:tc>
        <w:tc>
          <w:tcPr>
            <w:tcW w:w="1530" w:type="dxa"/>
            <w:tcBorders>
              <w:top w:val="single" w:sz="6" w:space="0" w:color="FFFFFF"/>
              <w:left w:val="single" w:sz="6" w:space="0" w:color="FFFFFF"/>
              <w:right w:val="single" w:sz="6" w:space="0" w:color="FFFFFF"/>
            </w:tcBorders>
          </w:tcPr>
          <w:p w:rsidR="004B4B16" w:rsidRPr="00D51494" w:rsidRDefault="004B4B16">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p>
        </w:tc>
        <w:tc>
          <w:tcPr>
            <w:tcW w:w="1260" w:type="dxa"/>
            <w:tcBorders>
              <w:top w:val="single" w:sz="6" w:space="0" w:color="FFFFFF"/>
              <w:left w:val="single" w:sz="6" w:space="0" w:color="FFFFFF"/>
              <w:right w:val="single" w:sz="6" w:space="0" w:color="FFFFFF"/>
            </w:tcBorders>
          </w:tcPr>
          <w:p w:rsidR="004B4B16" w:rsidRPr="00D51494" w:rsidRDefault="004B4B16">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rPr>
            </w:pPr>
          </w:p>
        </w:tc>
        <w:tc>
          <w:tcPr>
            <w:tcW w:w="1260" w:type="dxa"/>
            <w:gridSpan w:val="2"/>
            <w:tcBorders>
              <w:top w:val="single" w:sz="6" w:space="0" w:color="FFFFFF"/>
              <w:left w:val="single" w:sz="6" w:space="0" w:color="FFFFFF"/>
              <w:right w:val="single" w:sz="6" w:space="0" w:color="FFFFFF"/>
            </w:tcBorders>
          </w:tcPr>
          <w:p w:rsidR="004B4B16" w:rsidRPr="00D51494" w:rsidRDefault="004B4B16">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p>
        </w:tc>
        <w:tc>
          <w:tcPr>
            <w:tcW w:w="1530" w:type="dxa"/>
            <w:gridSpan w:val="2"/>
            <w:tcBorders>
              <w:top w:val="single" w:sz="6" w:space="0" w:color="FFFFFF"/>
              <w:left w:val="single" w:sz="6" w:space="0" w:color="FFFFFF"/>
              <w:right w:val="single" w:sz="6" w:space="0" w:color="FFFFFF"/>
            </w:tcBorders>
          </w:tcPr>
          <w:p w:rsidR="004B4B16" w:rsidRPr="00D51494" w:rsidRDefault="004B4B16">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p>
        </w:tc>
      </w:tr>
      <w:tr w:rsidR="00D0046F" w:rsidRPr="00D51494" w:rsidTr="00E15FFE">
        <w:tc>
          <w:tcPr>
            <w:tcW w:w="2686" w:type="dxa"/>
            <w:gridSpan w:val="2"/>
            <w:tcBorders>
              <w:top w:val="single" w:sz="6" w:space="0" w:color="FFFFFF"/>
              <w:left w:val="single" w:sz="6" w:space="0" w:color="FFFFFF"/>
              <w:right w:val="single" w:sz="6" w:space="0" w:color="FFFFFF"/>
            </w:tcBorders>
          </w:tcPr>
          <w:p w:rsidR="006B107E" w:rsidRPr="00D51494" w:rsidRDefault="003C421A" w:rsidP="00026F19">
            <w:pPr>
              <w:tabs>
                <w:tab w:val="left" w:pos="-1440"/>
                <w:tab w:val="left" w:pos="-720"/>
                <w:tab w:val="left" w:pos="240"/>
                <w:tab w:val="left" w:pos="5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586" w:hanging="586"/>
              <w:rPr>
                <w:sz w:val="24"/>
              </w:rPr>
            </w:pPr>
            <w:r w:rsidRPr="003C421A">
              <w:rPr>
                <w:sz w:val="24"/>
              </w:rPr>
              <w:t>Summary</w:t>
            </w:r>
          </w:p>
        </w:tc>
        <w:tc>
          <w:tcPr>
            <w:tcW w:w="1530" w:type="dxa"/>
            <w:tcBorders>
              <w:top w:val="single" w:sz="6" w:space="0" w:color="FFFFFF"/>
              <w:left w:val="single" w:sz="6" w:space="0" w:color="FFFFFF"/>
              <w:right w:val="single" w:sz="6" w:space="0" w:color="FFFFFF"/>
            </w:tcBorders>
          </w:tcPr>
          <w:p w:rsidR="006B107E" w:rsidRPr="00026F19" w:rsidRDefault="00EA370B"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r>
              <w:rPr>
                <w:sz w:val="24"/>
              </w:rPr>
              <w:t>19</w:t>
            </w:r>
          </w:p>
        </w:tc>
        <w:tc>
          <w:tcPr>
            <w:tcW w:w="1260" w:type="dxa"/>
            <w:tcBorders>
              <w:top w:val="single" w:sz="6" w:space="0" w:color="FFFFFF"/>
              <w:left w:val="single" w:sz="6" w:space="0" w:color="FFFFFF"/>
              <w:right w:val="single" w:sz="6" w:space="0" w:color="FFFFFF"/>
            </w:tcBorders>
          </w:tcPr>
          <w:p w:rsidR="006B107E" w:rsidRPr="00026F19" w:rsidRDefault="00026F19" w:rsidP="00026F19">
            <w:pPr>
              <w:jc w:val="center"/>
              <w:rPr>
                <w:sz w:val="24"/>
                <w:szCs w:val="24"/>
              </w:rPr>
            </w:pPr>
            <w:r w:rsidRPr="00026F19">
              <w:rPr>
                <w:smallCaps/>
              </w:rPr>
              <w:t>1</w:t>
            </w:r>
          </w:p>
        </w:tc>
        <w:tc>
          <w:tcPr>
            <w:tcW w:w="1260" w:type="dxa"/>
            <w:gridSpan w:val="2"/>
            <w:tcBorders>
              <w:top w:val="single" w:sz="6" w:space="0" w:color="FFFFFF"/>
              <w:left w:val="single" w:sz="6" w:space="0" w:color="FFFFFF"/>
              <w:right w:val="single" w:sz="6" w:space="0" w:color="FFFFFF"/>
            </w:tcBorders>
          </w:tcPr>
          <w:p w:rsidR="006B107E" w:rsidRPr="00026F19" w:rsidRDefault="006C4572"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r>
              <w:rPr>
                <w:sz w:val="24"/>
              </w:rPr>
              <w:t>8</w:t>
            </w:r>
            <w:r w:rsidR="003C4105">
              <w:rPr>
                <w:sz w:val="24"/>
              </w:rPr>
              <w:t>20</w:t>
            </w:r>
          </w:p>
        </w:tc>
        <w:tc>
          <w:tcPr>
            <w:tcW w:w="1530" w:type="dxa"/>
            <w:gridSpan w:val="2"/>
            <w:tcBorders>
              <w:top w:val="single" w:sz="6" w:space="0" w:color="FFFFFF"/>
              <w:left w:val="single" w:sz="6" w:space="0" w:color="FFFFFF"/>
              <w:right w:val="single" w:sz="6" w:space="0" w:color="FFFFFF"/>
            </w:tcBorders>
          </w:tcPr>
          <w:p w:rsidR="006B107E" w:rsidRPr="00EA370B" w:rsidRDefault="00D4692A" w:rsidP="003C410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Pr>
                <w:sz w:val="24"/>
              </w:rPr>
              <w:t>15,580</w:t>
            </w:r>
          </w:p>
        </w:tc>
      </w:tr>
      <w:tr w:rsidR="004B4B16" w:rsidRPr="00D51494" w:rsidTr="00E15FFE">
        <w:tc>
          <w:tcPr>
            <w:tcW w:w="2686" w:type="dxa"/>
            <w:gridSpan w:val="2"/>
            <w:tcBorders>
              <w:top w:val="single" w:sz="6" w:space="0" w:color="FFFFFF"/>
              <w:left w:val="single" w:sz="6" w:space="0" w:color="FFFFFF"/>
              <w:right w:val="single" w:sz="6" w:space="0" w:color="FFFFFF"/>
            </w:tcBorders>
          </w:tcPr>
          <w:p w:rsidR="004B4B16" w:rsidRPr="00D51494" w:rsidDel="004B4B16" w:rsidRDefault="004B4B16">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r>
              <w:rPr>
                <w:sz w:val="24"/>
              </w:rPr>
              <w:t>Macro scenario</w:t>
            </w:r>
          </w:p>
        </w:tc>
        <w:tc>
          <w:tcPr>
            <w:tcW w:w="1530" w:type="dxa"/>
            <w:tcBorders>
              <w:top w:val="single" w:sz="6" w:space="0" w:color="FFFFFF"/>
              <w:left w:val="single" w:sz="6" w:space="0" w:color="FFFFFF"/>
              <w:right w:val="single" w:sz="6" w:space="0" w:color="FFFFFF"/>
            </w:tcBorders>
          </w:tcPr>
          <w:p w:rsidR="004B4B16" w:rsidRPr="00026F19" w:rsidRDefault="00041B92"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r>
              <w:rPr>
                <w:sz w:val="24"/>
              </w:rPr>
              <w:t>19</w:t>
            </w:r>
          </w:p>
        </w:tc>
        <w:tc>
          <w:tcPr>
            <w:tcW w:w="1260" w:type="dxa"/>
            <w:tcBorders>
              <w:top w:val="single" w:sz="6" w:space="0" w:color="FFFFFF"/>
              <w:left w:val="single" w:sz="6" w:space="0" w:color="FFFFFF"/>
              <w:right w:val="single" w:sz="6" w:space="0" w:color="FFFFFF"/>
            </w:tcBorders>
          </w:tcPr>
          <w:p w:rsidR="004B4B16" w:rsidRPr="00026F19" w:rsidRDefault="00026F19" w:rsidP="00026F19">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rPr>
            </w:pPr>
            <w:r w:rsidRPr="00026F19">
              <w:rPr>
                <w:rFonts w:ascii="Times New Roman" w:hAnsi="Times New Roman"/>
                <w:smallCaps w:val="0"/>
              </w:rPr>
              <w:t>1</w:t>
            </w:r>
          </w:p>
        </w:tc>
        <w:tc>
          <w:tcPr>
            <w:tcW w:w="1260" w:type="dxa"/>
            <w:gridSpan w:val="2"/>
            <w:tcBorders>
              <w:top w:val="single" w:sz="6" w:space="0" w:color="FFFFFF"/>
              <w:left w:val="single" w:sz="6" w:space="0" w:color="FFFFFF"/>
              <w:right w:val="single" w:sz="6" w:space="0" w:color="FFFFFF"/>
            </w:tcBorders>
          </w:tcPr>
          <w:p w:rsidR="004B4B16" w:rsidRPr="00026F19" w:rsidRDefault="00041B92"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r>
              <w:rPr>
                <w:sz w:val="24"/>
              </w:rPr>
              <w:t>31</w:t>
            </w:r>
          </w:p>
        </w:tc>
        <w:tc>
          <w:tcPr>
            <w:tcW w:w="1530" w:type="dxa"/>
            <w:gridSpan w:val="2"/>
            <w:tcBorders>
              <w:top w:val="single" w:sz="6" w:space="0" w:color="FFFFFF"/>
              <w:left w:val="single" w:sz="6" w:space="0" w:color="FFFFFF"/>
              <w:right w:val="single" w:sz="6" w:space="0" w:color="FFFFFF"/>
            </w:tcBorders>
          </w:tcPr>
          <w:p w:rsidR="004B4B16" w:rsidRPr="00026F19" w:rsidRDefault="00041B92" w:rsidP="00D31F2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Pr>
                <w:sz w:val="24"/>
              </w:rPr>
              <w:t>589</w:t>
            </w:r>
          </w:p>
        </w:tc>
      </w:tr>
      <w:tr w:rsidR="00814542" w:rsidRPr="00D51494" w:rsidTr="00E15FFE">
        <w:tc>
          <w:tcPr>
            <w:tcW w:w="2686" w:type="dxa"/>
            <w:gridSpan w:val="2"/>
            <w:tcBorders>
              <w:top w:val="single" w:sz="6" w:space="0" w:color="FFFFFF"/>
              <w:left w:val="single" w:sz="6" w:space="0" w:color="FFFFFF"/>
              <w:right w:val="single" w:sz="6" w:space="0" w:color="FFFFFF"/>
            </w:tcBorders>
          </w:tcPr>
          <w:p w:rsidR="00814542" w:rsidRDefault="0081454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r>
              <w:rPr>
                <w:sz w:val="24"/>
              </w:rPr>
              <w:t>CCR</w:t>
            </w:r>
          </w:p>
        </w:tc>
        <w:tc>
          <w:tcPr>
            <w:tcW w:w="1530" w:type="dxa"/>
            <w:tcBorders>
              <w:top w:val="single" w:sz="6" w:space="0" w:color="FFFFFF"/>
              <w:left w:val="single" w:sz="6" w:space="0" w:color="FFFFFF"/>
              <w:right w:val="single" w:sz="6" w:space="0" w:color="FFFFFF"/>
            </w:tcBorders>
          </w:tcPr>
          <w:p w:rsidR="00814542" w:rsidRDefault="00814542"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r>
              <w:rPr>
                <w:sz w:val="24"/>
              </w:rPr>
              <w:t>6</w:t>
            </w:r>
          </w:p>
        </w:tc>
        <w:tc>
          <w:tcPr>
            <w:tcW w:w="1260" w:type="dxa"/>
            <w:tcBorders>
              <w:top w:val="single" w:sz="6" w:space="0" w:color="FFFFFF"/>
              <w:left w:val="single" w:sz="6" w:space="0" w:color="FFFFFF"/>
              <w:right w:val="single" w:sz="6" w:space="0" w:color="FFFFFF"/>
            </w:tcBorders>
          </w:tcPr>
          <w:p w:rsidR="00814542" w:rsidRPr="00026F19" w:rsidRDefault="00814542" w:rsidP="00026F19">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rPr>
            </w:pPr>
            <w:r>
              <w:rPr>
                <w:rFonts w:ascii="Times New Roman" w:hAnsi="Times New Roman"/>
                <w:smallCaps w:val="0"/>
              </w:rPr>
              <w:t>1</w:t>
            </w:r>
          </w:p>
        </w:tc>
        <w:tc>
          <w:tcPr>
            <w:tcW w:w="1260" w:type="dxa"/>
            <w:gridSpan w:val="2"/>
            <w:tcBorders>
              <w:top w:val="single" w:sz="6" w:space="0" w:color="FFFFFF"/>
              <w:left w:val="single" w:sz="6" w:space="0" w:color="FFFFFF"/>
              <w:right w:val="single" w:sz="6" w:space="0" w:color="FFFFFF"/>
            </w:tcBorders>
          </w:tcPr>
          <w:p w:rsidR="00814542" w:rsidRDefault="00814542"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r>
              <w:rPr>
                <w:sz w:val="24"/>
              </w:rPr>
              <w:t>382</w:t>
            </w:r>
          </w:p>
        </w:tc>
        <w:tc>
          <w:tcPr>
            <w:tcW w:w="1530" w:type="dxa"/>
            <w:gridSpan w:val="2"/>
            <w:tcBorders>
              <w:top w:val="single" w:sz="6" w:space="0" w:color="FFFFFF"/>
              <w:left w:val="single" w:sz="6" w:space="0" w:color="FFFFFF"/>
              <w:right w:val="single" w:sz="6" w:space="0" w:color="FFFFFF"/>
            </w:tcBorders>
          </w:tcPr>
          <w:p w:rsidR="00814542" w:rsidRDefault="00814542" w:rsidP="00D31F2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Pr>
                <w:sz w:val="24"/>
              </w:rPr>
              <w:t>2,292</w:t>
            </w:r>
          </w:p>
        </w:tc>
      </w:tr>
      <w:tr w:rsidR="004B4B16" w:rsidRPr="00D51494" w:rsidTr="00E15FFE">
        <w:tc>
          <w:tcPr>
            <w:tcW w:w="2686" w:type="dxa"/>
            <w:gridSpan w:val="2"/>
            <w:tcBorders>
              <w:top w:val="single" w:sz="6" w:space="0" w:color="FFFFFF"/>
              <w:left w:val="single" w:sz="6" w:space="0" w:color="FFFFFF"/>
              <w:right w:val="single" w:sz="6" w:space="0" w:color="FFFFFF"/>
            </w:tcBorders>
          </w:tcPr>
          <w:p w:rsidR="004B4B16" w:rsidRPr="00D51494" w:rsidDel="004B4B16" w:rsidRDefault="004B4B16">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r>
              <w:rPr>
                <w:sz w:val="24"/>
              </w:rPr>
              <w:t>Basel III</w:t>
            </w:r>
            <w:r w:rsidR="00B40A6B">
              <w:rPr>
                <w:sz w:val="24"/>
              </w:rPr>
              <w:t xml:space="preserve"> - annual</w:t>
            </w:r>
          </w:p>
        </w:tc>
        <w:tc>
          <w:tcPr>
            <w:tcW w:w="1530" w:type="dxa"/>
            <w:tcBorders>
              <w:top w:val="single" w:sz="6" w:space="0" w:color="FFFFFF"/>
              <w:left w:val="single" w:sz="6" w:space="0" w:color="FFFFFF"/>
              <w:right w:val="single" w:sz="6" w:space="0" w:color="FFFFFF"/>
            </w:tcBorders>
          </w:tcPr>
          <w:p w:rsidR="004B4B16" w:rsidRPr="00026F19" w:rsidRDefault="00EA370B"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r>
              <w:rPr>
                <w:sz w:val="24"/>
              </w:rPr>
              <w:t>19</w:t>
            </w:r>
          </w:p>
        </w:tc>
        <w:tc>
          <w:tcPr>
            <w:tcW w:w="1260" w:type="dxa"/>
            <w:tcBorders>
              <w:top w:val="single" w:sz="6" w:space="0" w:color="FFFFFF"/>
              <w:left w:val="single" w:sz="6" w:space="0" w:color="FFFFFF"/>
              <w:right w:val="single" w:sz="6" w:space="0" w:color="FFFFFF"/>
            </w:tcBorders>
          </w:tcPr>
          <w:p w:rsidR="004B4B16" w:rsidRPr="00026F19" w:rsidRDefault="00026F19" w:rsidP="00026F19">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rPr>
            </w:pPr>
            <w:r w:rsidRPr="00026F19">
              <w:rPr>
                <w:rFonts w:ascii="Times New Roman" w:hAnsi="Times New Roman"/>
                <w:smallCaps w:val="0"/>
              </w:rPr>
              <w:t>1</w:t>
            </w:r>
          </w:p>
        </w:tc>
        <w:tc>
          <w:tcPr>
            <w:tcW w:w="1260" w:type="dxa"/>
            <w:gridSpan w:val="2"/>
            <w:tcBorders>
              <w:top w:val="single" w:sz="6" w:space="0" w:color="FFFFFF"/>
              <w:left w:val="single" w:sz="6" w:space="0" w:color="FFFFFF"/>
              <w:right w:val="single" w:sz="6" w:space="0" w:color="FFFFFF"/>
            </w:tcBorders>
          </w:tcPr>
          <w:p w:rsidR="004B4B16" w:rsidRPr="00026F19" w:rsidRDefault="00B40A6B"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r>
              <w:rPr>
                <w:sz w:val="24"/>
              </w:rPr>
              <w:t>20</w:t>
            </w:r>
          </w:p>
        </w:tc>
        <w:tc>
          <w:tcPr>
            <w:tcW w:w="1530" w:type="dxa"/>
            <w:gridSpan w:val="2"/>
            <w:tcBorders>
              <w:top w:val="single" w:sz="6" w:space="0" w:color="FFFFFF"/>
              <w:left w:val="single" w:sz="6" w:space="0" w:color="FFFFFF"/>
              <w:right w:val="single" w:sz="6" w:space="0" w:color="FFFFFF"/>
            </w:tcBorders>
          </w:tcPr>
          <w:p w:rsidR="00B40A6B" w:rsidRPr="00026F19" w:rsidRDefault="00AF1542" w:rsidP="00C34DD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Pr>
                <w:sz w:val="24"/>
              </w:rPr>
              <w:t>380</w:t>
            </w:r>
          </w:p>
        </w:tc>
      </w:tr>
      <w:tr w:rsidR="00AF1542" w:rsidRPr="00D51494" w:rsidTr="00E15FFE">
        <w:tc>
          <w:tcPr>
            <w:tcW w:w="2686" w:type="dxa"/>
            <w:gridSpan w:val="2"/>
            <w:tcBorders>
              <w:top w:val="single" w:sz="6" w:space="0" w:color="FFFFFF"/>
              <w:left w:val="single" w:sz="6" w:space="0" w:color="FFFFFF"/>
              <w:right w:val="single" w:sz="6" w:space="0" w:color="FFFFFF"/>
            </w:tcBorders>
          </w:tcPr>
          <w:p w:rsidR="00AF1542" w:rsidRDefault="00AF154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r>
              <w:rPr>
                <w:sz w:val="24"/>
              </w:rPr>
              <w:t>Regulatory capital instruments - annual</w:t>
            </w:r>
          </w:p>
        </w:tc>
        <w:tc>
          <w:tcPr>
            <w:tcW w:w="1530" w:type="dxa"/>
            <w:tcBorders>
              <w:top w:val="single" w:sz="6" w:space="0" w:color="FFFFFF"/>
              <w:left w:val="single" w:sz="6" w:space="0" w:color="FFFFFF"/>
              <w:right w:val="single" w:sz="6" w:space="0" w:color="FFFFFF"/>
            </w:tcBorders>
          </w:tcPr>
          <w:p w:rsidR="00AF1542" w:rsidRDefault="00AF1542"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r>
              <w:rPr>
                <w:sz w:val="24"/>
              </w:rPr>
              <w:t>19</w:t>
            </w:r>
          </w:p>
        </w:tc>
        <w:tc>
          <w:tcPr>
            <w:tcW w:w="1260" w:type="dxa"/>
            <w:tcBorders>
              <w:top w:val="single" w:sz="6" w:space="0" w:color="FFFFFF"/>
              <w:left w:val="single" w:sz="6" w:space="0" w:color="FFFFFF"/>
              <w:right w:val="single" w:sz="6" w:space="0" w:color="FFFFFF"/>
            </w:tcBorders>
          </w:tcPr>
          <w:p w:rsidR="00AF1542" w:rsidRPr="00026F19" w:rsidRDefault="00AF1542" w:rsidP="00026F19">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rPr>
            </w:pPr>
            <w:r>
              <w:rPr>
                <w:rFonts w:ascii="Times New Roman" w:hAnsi="Times New Roman"/>
                <w:smallCaps w:val="0"/>
              </w:rPr>
              <w:t>1</w:t>
            </w:r>
          </w:p>
        </w:tc>
        <w:tc>
          <w:tcPr>
            <w:tcW w:w="1260" w:type="dxa"/>
            <w:gridSpan w:val="2"/>
            <w:tcBorders>
              <w:top w:val="single" w:sz="6" w:space="0" w:color="FFFFFF"/>
              <w:left w:val="single" w:sz="6" w:space="0" w:color="FFFFFF"/>
              <w:right w:val="single" w:sz="6" w:space="0" w:color="FFFFFF"/>
            </w:tcBorders>
          </w:tcPr>
          <w:p w:rsidR="00AF1542" w:rsidRDefault="00AF1542"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r>
              <w:rPr>
                <w:sz w:val="24"/>
              </w:rPr>
              <w:t>20</w:t>
            </w:r>
          </w:p>
        </w:tc>
        <w:tc>
          <w:tcPr>
            <w:tcW w:w="1530" w:type="dxa"/>
            <w:gridSpan w:val="2"/>
            <w:tcBorders>
              <w:top w:val="single" w:sz="6" w:space="0" w:color="FFFFFF"/>
              <w:left w:val="single" w:sz="6" w:space="0" w:color="FFFFFF"/>
              <w:right w:val="single" w:sz="6" w:space="0" w:color="FFFFFF"/>
            </w:tcBorders>
          </w:tcPr>
          <w:p w:rsidR="00AF1542" w:rsidRPr="00B70336" w:rsidDel="00EA370B" w:rsidRDefault="00AF1542" w:rsidP="00D31F2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u w:val="single"/>
              </w:rPr>
            </w:pPr>
            <w:r w:rsidRPr="00B70336">
              <w:rPr>
                <w:sz w:val="24"/>
                <w:u w:val="single"/>
              </w:rPr>
              <w:t>380</w:t>
            </w:r>
          </w:p>
        </w:tc>
      </w:tr>
      <w:tr w:rsidR="00AF1542" w:rsidRPr="00D51494" w:rsidTr="00E15FFE">
        <w:tc>
          <w:tcPr>
            <w:tcW w:w="2686" w:type="dxa"/>
            <w:gridSpan w:val="2"/>
            <w:tcBorders>
              <w:top w:val="single" w:sz="6" w:space="0" w:color="FFFFFF"/>
              <w:left w:val="single" w:sz="6" w:space="0" w:color="FFFFFF"/>
              <w:right w:val="single" w:sz="6" w:space="0" w:color="FFFFFF"/>
            </w:tcBorders>
          </w:tcPr>
          <w:p w:rsidR="00AF1542" w:rsidRPr="00AF1542" w:rsidRDefault="00C34DD4" w:rsidP="00AF154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
                <w:sz w:val="24"/>
              </w:rPr>
            </w:pPr>
            <w:r>
              <w:rPr>
                <w:i/>
                <w:sz w:val="24"/>
              </w:rPr>
              <w:t xml:space="preserve">FR </w:t>
            </w:r>
            <w:r w:rsidR="001934AD">
              <w:rPr>
                <w:i/>
                <w:sz w:val="24"/>
              </w:rPr>
              <w:t>Y-14</w:t>
            </w:r>
            <w:r>
              <w:rPr>
                <w:i/>
                <w:sz w:val="24"/>
              </w:rPr>
              <w:t>A</w:t>
            </w:r>
            <w:r w:rsidR="00AF1542" w:rsidRPr="00AF1542">
              <w:rPr>
                <w:i/>
                <w:sz w:val="24"/>
              </w:rPr>
              <w:t xml:space="preserve"> total</w:t>
            </w:r>
          </w:p>
        </w:tc>
        <w:tc>
          <w:tcPr>
            <w:tcW w:w="1530" w:type="dxa"/>
            <w:tcBorders>
              <w:top w:val="single" w:sz="6" w:space="0" w:color="FFFFFF"/>
              <w:left w:val="single" w:sz="6" w:space="0" w:color="FFFFFF"/>
              <w:right w:val="single" w:sz="6" w:space="0" w:color="FFFFFF"/>
            </w:tcBorders>
          </w:tcPr>
          <w:p w:rsidR="00AF1542" w:rsidRDefault="00AF1542"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p>
        </w:tc>
        <w:tc>
          <w:tcPr>
            <w:tcW w:w="1260" w:type="dxa"/>
            <w:tcBorders>
              <w:top w:val="single" w:sz="6" w:space="0" w:color="FFFFFF"/>
              <w:left w:val="single" w:sz="6" w:space="0" w:color="FFFFFF"/>
              <w:right w:val="single" w:sz="6" w:space="0" w:color="FFFFFF"/>
            </w:tcBorders>
          </w:tcPr>
          <w:p w:rsidR="00AF1542" w:rsidRPr="00026F19" w:rsidRDefault="00AF1542" w:rsidP="00026F19">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rPr>
            </w:pPr>
          </w:p>
        </w:tc>
        <w:tc>
          <w:tcPr>
            <w:tcW w:w="1260" w:type="dxa"/>
            <w:gridSpan w:val="2"/>
            <w:tcBorders>
              <w:top w:val="single" w:sz="6" w:space="0" w:color="FFFFFF"/>
              <w:left w:val="single" w:sz="6" w:space="0" w:color="FFFFFF"/>
              <w:right w:val="single" w:sz="6" w:space="0" w:color="FFFFFF"/>
            </w:tcBorders>
          </w:tcPr>
          <w:p w:rsidR="00AF1542" w:rsidRDefault="00AF1542"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p>
        </w:tc>
        <w:tc>
          <w:tcPr>
            <w:tcW w:w="1530" w:type="dxa"/>
            <w:gridSpan w:val="2"/>
            <w:tcBorders>
              <w:top w:val="single" w:sz="6" w:space="0" w:color="FFFFFF"/>
              <w:left w:val="single" w:sz="6" w:space="0" w:color="FFFFFF"/>
              <w:right w:val="single" w:sz="6" w:space="0" w:color="FFFFFF"/>
            </w:tcBorders>
          </w:tcPr>
          <w:p w:rsidR="00AF1542" w:rsidRPr="00814542" w:rsidDel="00EA370B" w:rsidRDefault="002F359E" w:rsidP="00D31F2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u w:val="single"/>
              </w:rPr>
            </w:pPr>
            <w:r>
              <w:rPr>
                <w:sz w:val="24"/>
                <w:u w:val="single"/>
              </w:rPr>
              <w:t>19,221</w:t>
            </w:r>
          </w:p>
        </w:tc>
      </w:tr>
      <w:tr w:rsidR="004B4B16" w:rsidRPr="00D51494" w:rsidTr="00E15FFE">
        <w:trPr>
          <w:trHeight w:val="57"/>
        </w:trPr>
        <w:tc>
          <w:tcPr>
            <w:tcW w:w="2686" w:type="dxa"/>
            <w:gridSpan w:val="2"/>
            <w:tcBorders>
              <w:top w:val="single" w:sz="6" w:space="0" w:color="FFFFFF"/>
              <w:left w:val="single" w:sz="6" w:space="0" w:color="FFFFFF"/>
              <w:bottom w:val="single" w:sz="6" w:space="0" w:color="FFFFFF"/>
              <w:right w:val="single" w:sz="6" w:space="0" w:color="FFFFFF"/>
            </w:tcBorders>
          </w:tcPr>
          <w:p w:rsidR="004B4B16" w:rsidRPr="005D6D9C" w:rsidRDefault="004B4B16">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b/>
                <w:sz w:val="24"/>
                <w:u w:val="single"/>
              </w:rPr>
            </w:pPr>
            <w:r w:rsidRPr="005D6D9C">
              <w:rPr>
                <w:b/>
                <w:sz w:val="24"/>
                <w:u w:val="single"/>
              </w:rPr>
              <w:t xml:space="preserve">FR </w:t>
            </w:r>
            <w:r w:rsidR="001934AD">
              <w:rPr>
                <w:b/>
                <w:sz w:val="24"/>
                <w:u w:val="single"/>
              </w:rPr>
              <w:t>Y-14</w:t>
            </w:r>
            <w:r w:rsidR="00DC1EBD" w:rsidRPr="005D6D9C">
              <w:rPr>
                <w:b/>
                <w:sz w:val="24"/>
                <w:u w:val="single"/>
              </w:rPr>
              <w:t>Q</w:t>
            </w:r>
          </w:p>
        </w:tc>
        <w:tc>
          <w:tcPr>
            <w:tcW w:w="1530" w:type="dxa"/>
            <w:tcBorders>
              <w:top w:val="single" w:sz="6" w:space="0" w:color="FFFFFF"/>
              <w:left w:val="single" w:sz="6" w:space="0" w:color="FFFFFF"/>
              <w:bottom w:val="single" w:sz="6" w:space="0" w:color="FFFFFF"/>
              <w:right w:val="single" w:sz="6" w:space="0" w:color="FFFFFF"/>
            </w:tcBorders>
          </w:tcPr>
          <w:p w:rsidR="004B4B16" w:rsidRPr="00026F19" w:rsidRDefault="004B4B16"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p>
        </w:tc>
        <w:tc>
          <w:tcPr>
            <w:tcW w:w="1260" w:type="dxa"/>
            <w:tcBorders>
              <w:top w:val="single" w:sz="6" w:space="0" w:color="FFFFFF"/>
              <w:left w:val="single" w:sz="6" w:space="0" w:color="FFFFFF"/>
              <w:bottom w:val="single" w:sz="6" w:space="0" w:color="FFFFFF"/>
              <w:right w:val="single" w:sz="6" w:space="0" w:color="FFFFFF"/>
            </w:tcBorders>
          </w:tcPr>
          <w:p w:rsidR="004B4B16" w:rsidRPr="00026F19" w:rsidRDefault="004B4B16"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p>
        </w:tc>
        <w:tc>
          <w:tcPr>
            <w:tcW w:w="1260" w:type="dxa"/>
            <w:gridSpan w:val="2"/>
            <w:tcBorders>
              <w:top w:val="single" w:sz="6" w:space="0" w:color="FFFFFF"/>
              <w:left w:val="single" w:sz="6" w:space="0" w:color="FFFFFF"/>
              <w:bottom w:val="single" w:sz="6" w:space="0" w:color="FFFFFF"/>
              <w:right w:val="single" w:sz="6" w:space="0" w:color="FFFFFF"/>
            </w:tcBorders>
          </w:tcPr>
          <w:p w:rsidR="004B4B16" w:rsidRPr="00026F19" w:rsidRDefault="004B4B16"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p>
        </w:tc>
        <w:tc>
          <w:tcPr>
            <w:tcW w:w="1530" w:type="dxa"/>
            <w:gridSpan w:val="2"/>
            <w:tcBorders>
              <w:top w:val="single" w:sz="6" w:space="0" w:color="FFFFFF"/>
              <w:left w:val="single" w:sz="6" w:space="0" w:color="FFFFFF"/>
              <w:bottom w:val="single" w:sz="6" w:space="0" w:color="FFFFFF"/>
              <w:right w:val="single" w:sz="6" w:space="0" w:color="FFFFFF"/>
            </w:tcBorders>
          </w:tcPr>
          <w:p w:rsidR="004B4B16" w:rsidRPr="00026F19" w:rsidRDefault="004B4B16" w:rsidP="00D31F2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u w:val="single"/>
              </w:rPr>
            </w:pPr>
          </w:p>
        </w:tc>
      </w:tr>
      <w:tr w:rsidR="00026F19" w:rsidRPr="00D51494" w:rsidTr="00E15FFE">
        <w:trPr>
          <w:trHeight w:val="57"/>
        </w:trPr>
        <w:tc>
          <w:tcPr>
            <w:tcW w:w="2686" w:type="dxa"/>
            <w:gridSpan w:val="2"/>
            <w:tcBorders>
              <w:top w:val="single" w:sz="6" w:space="0" w:color="FFFFFF"/>
              <w:left w:val="single" w:sz="6" w:space="0" w:color="FFFFFF"/>
              <w:bottom w:val="single" w:sz="6" w:space="0" w:color="FFFFFF"/>
              <w:right w:val="single" w:sz="6" w:space="0" w:color="FFFFFF"/>
            </w:tcBorders>
          </w:tcPr>
          <w:p w:rsidR="00026F19" w:rsidRPr="003C421A" w:rsidRDefault="00026F19"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24"/>
              </w:rPr>
            </w:pPr>
            <w:r>
              <w:rPr>
                <w:sz w:val="24"/>
              </w:rPr>
              <w:t>Securities risk</w:t>
            </w:r>
          </w:p>
        </w:tc>
        <w:tc>
          <w:tcPr>
            <w:tcW w:w="1530" w:type="dxa"/>
            <w:tcBorders>
              <w:top w:val="single" w:sz="6" w:space="0" w:color="FFFFFF"/>
              <w:left w:val="single" w:sz="6" w:space="0" w:color="FFFFFF"/>
              <w:bottom w:val="single" w:sz="6" w:space="0" w:color="FFFFFF"/>
              <w:right w:val="single" w:sz="6" w:space="0" w:color="FFFFFF"/>
            </w:tcBorders>
          </w:tcPr>
          <w:p w:rsidR="00026F19" w:rsidRPr="00026F19" w:rsidRDefault="00EA370B"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Pr>
                <w:sz w:val="24"/>
              </w:rPr>
              <w:t>19</w:t>
            </w:r>
          </w:p>
        </w:tc>
        <w:tc>
          <w:tcPr>
            <w:tcW w:w="1260" w:type="dxa"/>
            <w:tcBorders>
              <w:top w:val="single" w:sz="6" w:space="0" w:color="FFFFFF"/>
              <w:left w:val="single" w:sz="6" w:space="0" w:color="FFFFFF"/>
              <w:bottom w:val="single" w:sz="6" w:space="0" w:color="FFFFFF"/>
              <w:right w:val="single" w:sz="6" w:space="0" w:color="FFFFFF"/>
            </w:tcBorders>
          </w:tcPr>
          <w:p w:rsidR="00026F19" w:rsidRPr="00026F19" w:rsidRDefault="00026F19"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sidRPr="00026F19">
              <w:rPr>
                <w:sz w:val="24"/>
              </w:rPr>
              <w:t>4</w:t>
            </w:r>
          </w:p>
        </w:tc>
        <w:tc>
          <w:tcPr>
            <w:tcW w:w="1260" w:type="dxa"/>
            <w:gridSpan w:val="2"/>
            <w:tcBorders>
              <w:top w:val="single" w:sz="6" w:space="0" w:color="FFFFFF"/>
              <w:left w:val="single" w:sz="6" w:space="0" w:color="FFFFFF"/>
              <w:bottom w:val="single" w:sz="6" w:space="0" w:color="FFFFFF"/>
              <w:right w:val="single" w:sz="6" w:space="0" w:color="FFFFFF"/>
            </w:tcBorders>
          </w:tcPr>
          <w:p w:rsidR="00026F19" w:rsidRPr="00026F19" w:rsidRDefault="00D31F2A"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Pr>
                <w:sz w:val="24"/>
              </w:rPr>
              <w:t>10</w:t>
            </w:r>
          </w:p>
        </w:tc>
        <w:tc>
          <w:tcPr>
            <w:tcW w:w="1530" w:type="dxa"/>
            <w:gridSpan w:val="2"/>
            <w:tcBorders>
              <w:top w:val="single" w:sz="6" w:space="0" w:color="FFFFFF"/>
              <w:left w:val="single" w:sz="6" w:space="0" w:color="FFFFFF"/>
              <w:bottom w:val="single" w:sz="6" w:space="0" w:color="FFFFFF"/>
              <w:right w:val="single" w:sz="6" w:space="0" w:color="FFFFFF"/>
            </w:tcBorders>
          </w:tcPr>
          <w:p w:rsidR="00026F19" w:rsidRPr="00760BAA" w:rsidRDefault="00B70336" w:rsidP="00D31F2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sidRPr="00760BAA">
              <w:rPr>
                <w:sz w:val="24"/>
              </w:rPr>
              <w:t>760</w:t>
            </w:r>
          </w:p>
        </w:tc>
      </w:tr>
      <w:tr w:rsidR="00026F19" w:rsidRPr="00D51494" w:rsidTr="00E15FFE">
        <w:trPr>
          <w:trHeight w:val="57"/>
        </w:trPr>
        <w:tc>
          <w:tcPr>
            <w:tcW w:w="2686" w:type="dxa"/>
            <w:gridSpan w:val="2"/>
            <w:tcBorders>
              <w:top w:val="single" w:sz="6" w:space="0" w:color="FFFFFF"/>
              <w:left w:val="single" w:sz="6" w:space="0" w:color="FFFFFF"/>
              <w:bottom w:val="single" w:sz="6" w:space="0" w:color="FFFFFF"/>
              <w:right w:val="single" w:sz="6" w:space="0" w:color="FFFFFF"/>
            </w:tcBorders>
          </w:tcPr>
          <w:p w:rsidR="00026F19" w:rsidRPr="003C421A" w:rsidRDefault="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24"/>
              </w:rPr>
            </w:pPr>
            <w:r>
              <w:rPr>
                <w:sz w:val="24"/>
              </w:rPr>
              <w:t>Retail risk</w:t>
            </w:r>
          </w:p>
        </w:tc>
        <w:tc>
          <w:tcPr>
            <w:tcW w:w="1530" w:type="dxa"/>
            <w:tcBorders>
              <w:top w:val="single" w:sz="6" w:space="0" w:color="FFFFFF"/>
              <w:left w:val="single" w:sz="6" w:space="0" w:color="FFFFFF"/>
              <w:bottom w:val="single" w:sz="6" w:space="0" w:color="FFFFFF"/>
              <w:right w:val="single" w:sz="6" w:space="0" w:color="FFFFFF"/>
            </w:tcBorders>
          </w:tcPr>
          <w:p w:rsidR="00026F19" w:rsidRPr="00026F19" w:rsidRDefault="006D4CFA"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Pr>
                <w:sz w:val="24"/>
              </w:rPr>
              <w:t>19</w:t>
            </w:r>
          </w:p>
        </w:tc>
        <w:tc>
          <w:tcPr>
            <w:tcW w:w="1260" w:type="dxa"/>
            <w:tcBorders>
              <w:top w:val="single" w:sz="6" w:space="0" w:color="FFFFFF"/>
              <w:left w:val="single" w:sz="6" w:space="0" w:color="FFFFFF"/>
              <w:bottom w:val="single" w:sz="6" w:space="0" w:color="FFFFFF"/>
              <w:right w:val="single" w:sz="6" w:space="0" w:color="FFFFFF"/>
            </w:tcBorders>
          </w:tcPr>
          <w:p w:rsidR="00026F19" w:rsidRPr="00026F19" w:rsidRDefault="00026F19"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sidRPr="00026F19">
              <w:rPr>
                <w:sz w:val="24"/>
              </w:rPr>
              <w:t>4</w:t>
            </w:r>
          </w:p>
        </w:tc>
        <w:tc>
          <w:tcPr>
            <w:tcW w:w="1260" w:type="dxa"/>
            <w:gridSpan w:val="2"/>
            <w:tcBorders>
              <w:top w:val="single" w:sz="6" w:space="0" w:color="FFFFFF"/>
              <w:left w:val="single" w:sz="6" w:space="0" w:color="FFFFFF"/>
              <w:bottom w:val="single" w:sz="6" w:space="0" w:color="FFFFFF"/>
              <w:right w:val="single" w:sz="6" w:space="0" w:color="FFFFFF"/>
            </w:tcBorders>
          </w:tcPr>
          <w:p w:rsidR="00026F19" w:rsidRPr="00026F19" w:rsidRDefault="002C5486"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Pr>
                <w:sz w:val="24"/>
              </w:rPr>
              <w:t>5,683</w:t>
            </w:r>
          </w:p>
        </w:tc>
        <w:tc>
          <w:tcPr>
            <w:tcW w:w="1530" w:type="dxa"/>
            <w:gridSpan w:val="2"/>
            <w:tcBorders>
              <w:top w:val="single" w:sz="6" w:space="0" w:color="FFFFFF"/>
              <w:left w:val="single" w:sz="6" w:space="0" w:color="FFFFFF"/>
              <w:bottom w:val="single" w:sz="6" w:space="0" w:color="FFFFFF"/>
              <w:right w:val="single" w:sz="6" w:space="0" w:color="FFFFFF"/>
            </w:tcBorders>
          </w:tcPr>
          <w:p w:rsidR="00026F19" w:rsidRPr="00EA370B" w:rsidRDefault="006905D8" w:rsidP="00D31F2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sidRPr="006905D8">
              <w:rPr>
                <w:sz w:val="24"/>
              </w:rPr>
              <w:t>431,908</w:t>
            </w:r>
          </w:p>
        </w:tc>
      </w:tr>
      <w:tr w:rsidR="00D0046F" w:rsidRPr="00D51494" w:rsidTr="00E15FFE">
        <w:trPr>
          <w:trHeight w:val="57"/>
        </w:trPr>
        <w:tc>
          <w:tcPr>
            <w:tcW w:w="2686" w:type="dxa"/>
            <w:gridSpan w:val="2"/>
            <w:tcBorders>
              <w:top w:val="single" w:sz="6" w:space="0" w:color="FFFFFF"/>
              <w:left w:val="single" w:sz="6" w:space="0" w:color="FFFFFF"/>
              <w:bottom w:val="single" w:sz="6" w:space="0" w:color="FFFFFF"/>
              <w:right w:val="single" w:sz="6" w:space="0" w:color="FFFFFF"/>
            </w:tcBorders>
          </w:tcPr>
          <w:p w:rsidR="00D0046F" w:rsidRPr="00D51494" w:rsidRDefault="003C421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i/>
                <w:sz w:val="24"/>
              </w:rPr>
            </w:pPr>
            <w:r w:rsidRPr="003C421A">
              <w:rPr>
                <w:sz w:val="24"/>
              </w:rPr>
              <w:t>PPNR</w:t>
            </w:r>
            <w:r w:rsidR="00026F19">
              <w:rPr>
                <w:sz w:val="24"/>
              </w:rPr>
              <w:t xml:space="preserve"> risk</w:t>
            </w:r>
          </w:p>
        </w:tc>
        <w:tc>
          <w:tcPr>
            <w:tcW w:w="1530" w:type="dxa"/>
            <w:tcBorders>
              <w:top w:val="single" w:sz="6" w:space="0" w:color="FFFFFF"/>
              <w:left w:val="single" w:sz="6" w:space="0" w:color="FFFFFF"/>
              <w:bottom w:val="single" w:sz="6" w:space="0" w:color="FFFFFF"/>
              <w:right w:val="single" w:sz="6" w:space="0" w:color="FFFFFF"/>
            </w:tcBorders>
          </w:tcPr>
          <w:p w:rsidR="00D0046F" w:rsidRPr="00026F19" w:rsidRDefault="003C421A"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sidRPr="00026F19">
              <w:rPr>
                <w:sz w:val="24"/>
              </w:rPr>
              <w:t>19</w:t>
            </w:r>
          </w:p>
        </w:tc>
        <w:tc>
          <w:tcPr>
            <w:tcW w:w="1260" w:type="dxa"/>
            <w:tcBorders>
              <w:top w:val="single" w:sz="6" w:space="0" w:color="FFFFFF"/>
              <w:left w:val="single" w:sz="6" w:space="0" w:color="FFFFFF"/>
              <w:bottom w:val="single" w:sz="6" w:space="0" w:color="FFFFFF"/>
              <w:right w:val="single" w:sz="6" w:space="0" w:color="FFFFFF"/>
            </w:tcBorders>
          </w:tcPr>
          <w:p w:rsidR="00D0046F" w:rsidRPr="00026F19" w:rsidRDefault="00026F19"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sidRPr="00026F19">
              <w:rPr>
                <w:sz w:val="24"/>
              </w:rPr>
              <w:t>4</w:t>
            </w:r>
          </w:p>
        </w:tc>
        <w:tc>
          <w:tcPr>
            <w:tcW w:w="1260" w:type="dxa"/>
            <w:gridSpan w:val="2"/>
            <w:tcBorders>
              <w:top w:val="single" w:sz="6" w:space="0" w:color="FFFFFF"/>
              <w:left w:val="single" w:sz="6" w:space="0" w:color="FFFFFF"/>
              <w:bottom w:val="single" w:sz="6" w:space="0" w:color="FFFFFF"/>
              <w:right w:val="single" w:sz="6" w:space="0" w:color="FFFFFF"/>
            </w:tcBorders>
          </w:tcPr>
          <w:p w:rsidR="00D0046F" w:rsidRPr="00026F19" w:rsidRDefault="000C63CC"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Pr>
                <w:sz w:val="24"/>
              </w:rPr>
              <w:t>625</w:t>
            </w:r>
          </w:p>
        </w:tc>
        <w:tc>
          <w:tcPr>
            <w:tcW w:w="1530" w:type="dxa"/>
            <w:gridSpan w:val="2"/>
            <w:tcBorders>
              <w:top w:val="single" w:sz="6" w:space="0" w:color="FFFFFF"/>
              <w:left w:val="single" w:sz="6" w:space="0" w:color="FFFFFF"/>
              <w:bottom w:val="single" w:sz="6" w:space="0" w:color="FFFFFF"/>
              <w:right w:val="single" w:sz="6" w:space="0" w:color="FFFFFF"/>
            </w:tcBorders>
          </w:tcPr>
          <w:p w:rsidR="00D0046F" w:rsidRPr="00026F19" w:rsidRDefault="00D31F2A" w:rsidP="00D31F2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24"/>
              </w:rPr>
            </w:pPr>
            <w:r>
              <w:rPr>
                <w:sz w:val="24"/>
              </w:rPr>
              <w:t>47,500</w:t>
            </w:r>
          </w:p>
        </w:tc>
      </w:tr>
      <w:tr w:rsidR="00150002" w:rsidRPr="00D51494" w:rsidTr="00E15FFE">
        <w:trPr>
          <w:trHeight w:val="57"/>
        </w:trPr>
        <w:tc>
          <w:tcPr>
            <w:tcW w:w="2686" w:type="dxa"/>
            <w:gridSpan w:val="2"/>
            <w:tcBorders>
              <w:top w:val="single" w:sz="6" w:space="0" w:color="FFFFFF"/>
              <w:left w:val="single" w:sz="6" w:space="0" w:color="FFFFFF"/>
              <w:bottom w:val="single" w:sz="6" w:space="0" w:color="FFFFFF"/>
              <w:right w:val="single" w:sz="6" w:space="0" w:color="FFFFFF"/>
            </w:tcBorders>
          </w:tcPr>
          <w:p w:rsidR="00150002" w:rsidRDefault="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24"/>
              </w:rPr>
            </w:pPr>
            <w:r>
              <w:rPr>
                <w:sz w:val="24"/>
              </w:rPr>
              <w:t>Wholesale risk</w:t>
            </w:r>
          </w:p>
          <w:p w:rsidR="00047499" w:rsidRPr="00047499" w:rsidRDefault="00293782" w:rsidP="00047499">
            <w:pPr>
              <w:pStyle w:val="ListParagraph"/>
              <w:numPr>
                <w:ilvl w:val="0"/>
                <w:numId w:val="16"/>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4"/>
              </w:rPr>
            </w:pPr>
            <w:r>
              <w:rPr>
                <w:rFonts w:ascii="Times New Roman" w:hAnsi="Times New Roman" w:cs="Times New Roman"/>
                <w:sz w:val="24"/>
              </w:rPr>
              <w:t>Corporate loans</w:t>
            </w:r>
          </w:p>
          <w:p w:rsidR="0013676F" w:rsidRDefault="00047499">
            <w:pPr>
              <w:pStyle w:val="ListParagraph"/>
              <w:numPr>
                <w:ilvl w:val="0"/>
                <w:numId w:val="16"/>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24"/>
              </w:rPr>
            </w:pPr>
            <w:r w:rsidRPr="00047499">
              <w:rPr>
                <w:rFonts w:ascii="Times New Roman" w:hAnsi="Times New Roman" w:cs="Times New Roman"/>
                <w:sz w:val="24"/>
              </w:rPr>
              <w:t>CRE</w:t>
            </w:r>
          </w:p>
        </w:tc>
        <w:tc>
          <w:tcPr>
            <w:tcW w:w="1530" w:type="dxa"/>
            <w:tcBorders>
              <w:top w:val="single" w:sz="6" w:space="0" w:color="FFFFFF"/>
              <w:left w:val="single" w:sz="6" w:space="0" w:color="FFFFFF"/>
              <w:bottom w:val="single" w:sz="6" w:space="0" w:color="FFFFFF"/>
              <w:right w:val="single" w:sz="6" w:space="0" w:color="FFFFFF"/>
            </w:tcBorders>
          </w:tcPr>
          <w:p w:rsidR="00047499" w:rsidRDefault="00047499" w:rsidP="0004749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p>
          <w:p w:rsidR="00047499" w:rsidRDefault="00047499" w:rsidP="0004749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Pr>
                <w:sz w:val="24"/>
              </w:rPr>
              <w:t>16</w:t>
            </w:r>
          </w:p>
          <w:p w:rsidR="00150002" w:rsidRPr="00026F19" w:rsidRDefault="00047499" w:rsidP="0004749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Pr>
                <w:sz w:val="24"/>
              </w:rPr>
              <w:t>19</w:t>
            </w:r>
          </w:p>
        </w:tc>
        <w:tc>
          <w:tcPr>
            <w:tcW w:w="1260" w:type="dxa"/>
            <w:tcBorders>
              <w:top w:val="single" w:sz="6" w:space="0" w:color="FFFFFF"/>
              <w:left w:val="single" w:sz="6" w:space="0" w:color="FFFFFF"/>
              <w:bottom w:val="single" w:sz="6" w:space="0" w:color="FFFFFF"/>
              <w:right w:val="single" w:sz="6" w:space="0" w:color="FFFFFF"/>
            </w:tcBorders>
          </w:tcPr>
          <w:p w:rsidR="00047499" w:rsidRDefault="00047499" w:rsidP="0004749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p>
          <w:p w:rsidR="00047499" w:rsidRDefault="00047499" w:rsidP="0004749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Pr>
                <w:sz w:val="24"/>
              </w:rPr>
              <w:t>4</w:t>
            </w:r>
          </w:p>
          <w:p w:rsidR="00150002" w:rsidRPr="00026F19" w:rsidRDefault="00047499" w:rsidP="0004749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Pr>
                <w:sz w:val="24"/>
              </w:rPr>
              <w:t>4</w:t>
            </w:r>
          </w:p>
        </w:tc>
        <w:tc>
          <w:tcPr>
            <w:tcW w:w="1260" w:type="dxa"/>
            <w:gridSpan w:val="2"/>
            <w:tcBorders>
              <w:top w:val="single" w:sz="6" w:space="0" w:color="FFFFFF"/>
              <w:left w:val="single" w:sz="6" w:space="0" w:color="FFFFFF"/>
              <w:bottom w:val="single" w:sz="6" w:space="0" w:color="FFFFFF"/>
              <w:right w:val="single" w:sz="6" w:space="0" w:color="FFFFFF"/>
            </w:tcBorders>
          </w:tcPr>
          <w:p w:rsidR="00150002" w:rsidRDefault="00150002" w:rsidP="0004749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p>
          <w:p w:rsidR="00047499" w:rsidRDefault="00047499" w:rsidP="0004749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Pr>
                <w:sz w:val="24"/>
              </w:rPr>
              <w:t>60</w:t>
            </w:r>
          </w:p>
          <w:p w:rsidR="00047499" w:rsidRPr="00026F19" w:rsidRDefault="00047499" w:rsidP="0004749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Pr>
                <w:sz w:val="24"/>
              </w:rPr>
              <w:t>60</w:t>
            </w:r>
          </w:p>
        </w:tc>
        <w:tc>
          <w:tcPr>
            <w:tcW w:w="1530" w:type="dxa"/>
            <w:gridSpan w:val="2"/>
            <w:tcBorders>
              <w:top w:val="single" w:sz="6" w:space="0" w:color="FFFFFF"/>
              <w:left w:val="single" w:sz="6" w:space="0" w:color="FFFFFF"/>
              <w:bottom w:val="single" w:sz="6" w:space="0" w:color="FFFFFF"/>
              <w:right w:val="single" w:sz="6" w:space="0" w:color="FFFFFF"/>
            </w:tcBorders>
          </w:tcPr>
          <w:p w:rsidR="00150002" w:rsidRDefault="00150002" w:rsidP="00D31F2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u w:val="single"/>
              </w:rPr>
            </w:pPr>
          </w:p>
          <w:p w:rsidR="00047499" w:rsidRPr="00047499" w:rsidRDefault="00047499" w:rsidP="00D31F2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sidRPr="00047499">
              <w:rPr>
                <w:sz w:val="24"/>
              </w:rPr>
              <w:t>3,840</w:t>
            </w:r>
          </w:p>
          <w:p w:rsidR="00047499" w:rsidRPr="00026F19" w:rsidRDefault="00047499" w:rsidP="00D31F2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u w:val="single"/>
              </w:rPr>
            </w:pPr>
            <w:r w:rsidRPr="00047499">
              <w:rPr>
                <w:sz w:val="24"/>
              </w:rPr>
              <w:t>4,560</w:t>
            </w:r>
          </w:p>
        </w:tc>
      </w:tr>
      <w:tr w:rsidR="00026F19" w:rsidRPr="00D51494" w:rsidTr="00E15FFE">
        <w:trPr>
          <w:trHeight w:val="57"/>
        </w:trPr>
        <w:tc>
          <w:tcPr>
            <w:tcW w:w="2686" w:type="dxa"/>
            <w:gridSpan w:val="2"/>
            <w:tcBorders>
              <w:top w:val="single" w:sz="6" w:space="0" w:color="FFFFFF"/>
              <w:left w:val="single" w:sz="6" w:space="0" w:color="FFFFFF"/>
              <w:bottom w:val="single" w:sz="6" w:space="0" w:color="FFFFFF"/>
              <w:right w:val="single" w:sz="6" w:space="0" w:color="FFFFFF"/>
            </w:tcBorders>
          </w:tcPr>
          <w:p w:rsidR="00026F19" w:rsidRDefault="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24"/>
              </w:rPr>
            </w:pPr>
            <w:r>
              <w:rPr>
                <w:sz w:val="24"/>
              </w:rPr>
              <w:t>Trading risk</w:t>
            </w:r>
          </w:p>
        </w:tc>
        <w:tc>
          <w:tcPr>
            <w:tcW w:w="1530" w:type="dxa"/>
            <w:tcBorders>
              <w:top w:val="single" w:sz="6" w:space="0" w:color="FFFFFF"/>
              <w:left w:val="single" w:sz="6" w:space="0" w:color="FFFFFF"/>
              <w:bottom w:val="single" w:sz="6" w:space="0" w:color="FFFFFF"/>
              <w:right w:val="single" w:sz="6" w:space="0" w:color="FFFFFF"/>
            </w:tcBorders>
          </w:tcPr>
          <w:p w:rsidR="00026F19" w:rsidRPr="00026F19" w:rsidRDefault="00026F19" w:rsidP="0092161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sidRPr="00026F19">
              <w:rPr>
                <w:sz w:val="24"/>
              </w:rPr>
              <w:t>6</w:t>
            </w:r>
          </w:p>
        </w:tc>
        <w:tc>
          <w:tcPr>
            <w:tcW w:w="1260" w:type="dxa"/>
            <w:tcBorders>
              <w:top w:val="single" w:sz="6" w:space="0" w:color="FFFFFF"/>
              <w:left w:val="single" w:sz="6" w:space="0" w:color="FFFFFF"/>
              <w:bottom w:val="single" w:sz="6" w:space="0" w:color="FFFFFF"/>
              <w:right w:val="single" w:sz="6" w:space="0" w:color="FFFFFF"/>
            </w:tcBorders>
          </w:tcPr>
          <w:p w:rsidR="00026F19" w:rsidRPr="00026F19" w:rsidRDefault="00026F19" w:rsidP="0092161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sidRPr="00026F19">
              <w:rPr>
                <w:sz w:val="24"/>
              </w:rPr>
              <w:t>4</w:t>
            </w:r>
          </w:p>
        </w:tc>
        <w:tc>
          <w:tcPr>
            <w:tcW w:w="1260" w:type="dxa"/>
            <w:gridSpan w:val="2"/>
            <w:tcBorders>
              <w:top w:val="single" w:sz="6" w:space="0" w:color="FFFFFF"/>
              <w:left w:val="single" w:sz="6" w:space="0" w:color="FFFFFF"/>
              <w:bottom w:val="single" w:sz="6" w:space="0" w:color="FFFFFF"/>
              <w:right w:val="single" w:sz="6" w:space="0" w:color="FFFFFF"/>
            </w:tcBorders>
          </w:tcPr>
          <w:p w:rsidR="00791432" w:rsidRDefault="00E36D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Pr>
                <w:sz w:val="24"/>
              </w:rPr>
              <w:t>1,720</w:t>
            </w:r>
          </w:p>
        </w:tc>
        <w:tc>
          <w:tcPr>
            <w:tcW w:w="1530" w:type="dxa"/>
            <w:gridSpan w:val="2"/>
            <w:tcBorders>
              <w:top w:val="single" w:sz="6" w:space="0" w:color="FFFFFF"/>
              <w:left w:val="single" w:sz="6" w:space="0" w:color="FFFFFF"/>
              <w:bottom w:val="single" w:sz="6" w:space="0" w:color="FFFFFF"/>
              <w:right w:val="single" w:sz="6" w:space="0" w:color="FFFFFF"/>
            </w:tcBorders>
          </w:tcPr>
          <w:p w:rsidR="00791432" w:rsidRDefault="006905D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sidRPr="006905D8">
              <w:rPr>
                <w:sz w:val="24"/>
              </w:rPr>
              <w:t>41,280</w:t>
            </w:r>
          </w:p>
        </w:tc>
      </w:tr>
      <w:tr w:rsidR="00B40A6B" w:rsidRPr="00D51494" w:rsidTr="00E15FFE">
        <w:trPr>
          <w:trHeight w:val="57"/>
        </w:trPr>
        <w:tc>
          <w:tcPr>
            <w:tcW w:w="2686" w:type="dxa"/>
            <w:gridSpan w:val="2"/>
            <w:tcBorders>
              <w:top w:val="single" w:sz="6" w:space="0" w:color="FFFFFF"/>
              <w:left w:val="single" w:sz="6" w:space="0" w:color="FFFFFF"/>
              <w:bottom w:val="single" w:sz="6" w:space="0" w:color="FFFFFF"/>
              <w:right w:val="single" w:sz="6" w:space="0" w:color="FFFFFF"/>
            </w:tcBorders>
          </w:tcPr>
          <w:p w:rsidR="00B40A6B" w:rsidRDefault="00B40A6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24"/>
              </w:rPr>
            </w:pPr>
            <w:r>
              <w:rPr>
                <w:sz w:val="24"/>
              </w:rPr>
              <w:t>Basel III - quarterly</w:t>
            </w:r>
          </w:p>
        </w:tc>
        <w:tc>
          <w:tcPr>
            <w:tcW w:w="1530" w:type="dxa"/>
            <w:tcBorders>
              <w:top w:val="single" w:sz="6" w:space="0" w:color="FFFFFF"/>
              <w:left w:val="single" w:sz="6" w:space="0" w:color="FFFFFF"/>
              <w:bottom w:val="single" w:sz="6" w:space="0" w:color="FFFFFF"/>
              <w:right w:val="single" w:sz="6" w:space="0" w:color="FFFFFF"/>
            </w:tcBorders>
          </w:tcPr>
          <w:p w:rsidR="00B40A6B" w:rsidRDefault="00EA370B"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Pr>
                <w:sz w:val="24"/>
              </w:rPr>
              <w:t>19</w:t>
            </w:r>
          </w:p>
        </w:tc>
        <w:tc>
          <w:tcPr>
            <w:tcW w:w="1260" w:type="dxa"/>
            <w:tcBorders>
              <w:top w:val="single" w:sz="6" w:space="0" w:color="FFFFFF"/>
              <w:left w:val="single" w:sz="6" w:space="0" w:color="FFFFFF"/>
              <w:bottom w:val="single" w:sz="6" w:space="0" w:color="FFFFFF"/>
              <w:right w:val="single" w:sz="6" w:space="0" w:color="FFFFFF"/>
            </w:tcBorders>
          </w:tcPr>
          <w:p w:rsidR="00B40A6B" w:rsidRDefault="00B40A6B"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Pr>
                <w:sz w:val="24"/>
              </w:rPr>
              <w:t>4</w:t>
            </w:r>
          </w:p>
        </w:tc>
        <w:tc>
          <w:tcPr>
            <w:tcW w:w="1260" w:type="dxa"/>
            <w:gridSpan w:val="2"/>
            <w:tcBorders>
              <w:top w:val="single" w:sz="6" w:space="0" w:color="FFFFFF"/>
              <w:left w:val="single" w:sz="6" w:space="0" w:color="FFFFFF"/>
              <w:bottom w:val="single" w:sz="6" w:space="0" w:color="FFFFFF"/>
              <w:right w:val="single" w:sz="6" w:space="0" w:color="FFFFFF"/>
            </w:tcBorders>
          </w:tcPr>
          <w:p w:rsidR="00B40A6B" w:rsidRDefault="00B40A6B"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Pr>
                <w:sz w:val="24"/>
              </w:rPr>
              <w:t>20</w:t>
            </w:r>
          </w:p>
        </w:tc>
        <w:tc>
          <w:tcPr>
            <w:tcW w:w="1530" w:type="dxa"/>
            <w:gridSpan w:val="2"/>
            <w:tcBorders>
              <w:top w:val="single" w:sz="6" w:space="0" w:color="FFFFFF"/>
              <w:left w:val="single" w:sz="6" w:space="0" w:color="FFFFFF"/>
              <w:bottom w:val="single" w:sz="6" w:space="0" w:color="FFFFFF"/>
              <w:right w:val="single" w:sz="6" w:space="0" w:color="FFFFFF"/>
            </w:tcBorders>
          </w:tcPr>
          <w:p w:rsidR="00B40A6B" w:rsidRPr="00814542" w:rsidRDefault="00A76504" w:rsidP="00D31F2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sidRPr="00A76504">
              <w:rPr>
                <w:sz w:val="24"/>
              </w:rPr>
              <w:t>1,520</w:t>
            </w:r>
          </w:p>
        </w:tc>
      </w:tr>
      <w:tr w:rsidR="00AF1542" w:rsidRPr="00D51494" w:rsidTr="00E15FFE">
        <w:trPr>
          <w:trHeight w:val="57"/>
        </w:trPr>
        <w:tc>
          <w:tcPr>
            <w:tcW w:w="2686" w:type="dxa"/>
            <w:gridSpan w:val="2"/>
            <w:tcBorders>
              <w:top w:val="single" w:sz="6" w:space="0" w:color="FFFFFF"/>
              <w:left w:val="single" w:sz="6" w:space="0" w:color="FFFFFF"/>
              <w:bottom w:val="single" w:sz="6" w:space="0" w:color="FFFFFF"/>
              <w:right w:val="single" w:sz="6" w:space="0" w:color="FFFFFF"/>
            </w:tcBorders>
          </w:tcPr>
          <w:p w:rsidR="00AF1542" w:rsidRDefault="00AF154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24"/>
              </w:rPr>
            </w:pPr>
            <w:r>
              <w:rPr>
                <w:sz w:val="24"/>
              </w:rPr>
              <w:t>Regulatory capital instruments - quarterly</w:t>
            </w:r>
          </w:p>
        </w:tc>
        <w:tc>
          <w:tcPr>
            <w:tcW w:w="1530" w:type="dxa"/>
            <w:tcBorders>
              <w:top w:val="single" w:sz="6" w:space="0" w:color="FFFFFF"/>
              <w:left w:val="single" w:sz="6" w:space="0" w:color="FFFFFF"/>
              <w:bottom w:val="single" w:sz="6" w:space="0" w:color="FFFFFF"/>
              <w:right w:val="single" w:sz="6" w:space="0" w:color="FFFFFF"/>
            </w:tcBorders>
          </w:tcPr>
          <w:p w:rsidR="00AF1542" w:rsidRDefault="00AF1542"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Pr>
                <w:sz w:val="24"/>
              </w:rPr>
              <w:t>19</w:t>
            </w:r>
          </w:p>
        </w:tc>
        <w:tc>
          <w:tcPr>
            <w:tcW w:w="1260" w:type="dxa"/>
            <w:tcBorders>
              <w:top w:val="single" w:sz="6" w:space="0" w:color="FFFFFF"/>
              <w:left w:val="single" w:sz="6" w:space="0" w:color="FFFFFF"/>
              <w:bottom w:val="single" w:sz="6" w:space="0" w:color="FFFFFF"/>
              <w:right w:val="single" w:sz="6" w:space="0" w:color="FFFFFF"/>
            </w:tcBorders>
          </w:tcPr>
          <w:p w:rsidR="00AF1542" w:rsidRDefault="00AF1542"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Pr>
                <w:sz w:val="24"/>
              </w:rPr>
              <w:t>4</w:t>
            </w:r>
          </w:p>
        </w:tc>
        <w:tc>
          <w:tcPr>
            <w:tcW w:w="1260" w:type="dxa"/>
            <w:gridSpan w:val="2"/>
            <w:tcBorders>
              <w:top w:val="single" w:sz="6" w:space="0" w:color="FFFFFF"/>
              <w:left w:val="single" w:sz="6" w:space="0" w:color="FFFFFF"/>
              <w:bottom w:val="single" w:sz="6" w:space="0" w:color="FFFFFF"/>
              <w:right w:val="single" w:sz="6" w:space="0" w:color="FFFFFF"/>
            </w:tcBorders>
          </w:tcPr>
          <w:p w:rsidR="00AF1542" w:rsidRDefault="00AF1542"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r>
              <w:rPr>
                <w:sz w:val="24"/>
              </w:rPr>
              <w:t>40</w:t>
            </w:r>
          </w:p>
        </w:tc>
        <w:tc>
          <w:tcPr>
            <w:tcW w:w="1530" w:type="dxa"/>
            <w:gridSpan w:val="2"/>
            <w:tcBorders>
              <w:top w:val="single" w:sz="6" w:space="0" w:color="FFFFFF"/>
              <w:left w:val="single" w:sz="6" w:space="0" w:color="FFFFFF"/>
              <w:bottom w:val="single" w:sz="6" w:space="0" w:color="FFFFFF"/>
              <w:right w:val="single" w:sz="6" w:space="0" w:color="FFFFFF"/>
            </w:tcBorders>
          </w:tcPr>
          <w:p w:rsidR="00AF1542" w:rsidRPr="00650659" w:rsidDel="00EA370B" w:rsidRDefault="00AF1542" w:rsidP="00D31F2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u w:val="single"/>
              </w:rPr>
            </w:pPr>
            <w:r w:rsidRPr="00650659">
              <w:rPr>
                <w:sz w:val="24"/>
                <w:u w:val="single"/>
              </w:rPr>
              <w:t>3,040</w:t>
            </w:r>
          </w:p>
        </w:tc>
      </w:tr>
      <w:tr w:rsidR="00AF1542" w:rsidRPr="00D51494" w:rsidTr="00E15FFE">
        <w:trPr>
          <w:trHeight w:val="57"/>
        </w:trPr>
        <w:tc>
          <w:tcPr>
            <w:tcW w:w="2686" w:type="dxa"/>
            <w:gridSpan w:val="2"/>
            <w:tcBorders>
              <w:top w:val="single" w:sz="6" w:space="0" w:color="FFFFFF"/>
              <w:left w:val="single" w:sz="6" w:space="0" w:color="FFFFFF"/>
              <w:bottom w:val="single" w:sz="6" w:space="0" w:color="FFFFFF"/>
              <w:right w:val="single" w:sz="6" w:space="0" w:color="FFFFFF"/>
            </w:tcBorders>
          </w:tcPr>
          <w:p w:rsidR="00AF1542" w:rsidRPr="00AF1542" w:rsidRDefault="00C34DD4" w:rsidP="00AF154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i/>
                <w:sz w:val="24"/>
              </w:rPr>
            </w:pPr>
            <w:r>
              <w:rPr>
                <w:i/>
                <w:sz w:val="24"/>
              </w:rPr>
              <w:t xml:space="preserve">FR </w:t>
            </w:r>
            <w:r w:rsidR="001934AD">
              <w:rPr>
                <w:i/>
                <w:sz w:val="24"/>
              </w:rPr>
              <w:t>Y-14</w:t>
            </w:r>
            <w:r>
              <w:rPr>
                <w:i/>
                <w:sz w:val="24"/>
              </w:rPr>
              <w:t>Q</w:t>
            </w:r>
            <w:r w:rsidR="00AF1542" w:rsidRPr="00AF1542">
              <w:rPr>
                <w:i/>
                <w:sz w:val="24"/>
              </w:rPr>
              <w:t xml:space="preserve"> total</w:t>
            </w:r>
          </w:p>
        </w:tc>
        <w:tc>
          <w:tcPr>
            <w:tcW w:w="1530" w:type="dxa"/>
            <w:tcBorders>
              <w:top w:val="single" w:sz="6" w:space="0" w:color="FFFFFF"/>
              <w:left w:val="single" w:sz="6" w:space="0" w:color="FFFFFF"/>
              <w:bottom w:val="single" w:sz="6" w:space="0" w:color="FFFFFF"/>
              <w:right w:val="single" w:sz="6" w:space="0" w:color="FFFFFF"/>
            </w:tcBorders>
          </w:tcPr>
          <w:p w:rsidR="00AF1542" w:rsidRDefault="00AF1542"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p>
        </w:tc>
        <w:tc>
          <w:tcPr>
            <w:tcW w:w="1260" w:type="dxa"/>
            <w:tcBorders>
              <w:top w:val="single" w:sz="6" w:space="0" w:color="FFFFFF"/>
              <w:left w:val="single" w:sz="6" w:space="0" w:color="FFFFFF"/>
              <w:bottom w:val="single" w:sz="6" w:space="0" w:color="FFFFFF"/>
              <w:right w:val="single" w:sz="6" w:space="0" w:color="FFFFFF"/>
            </w:tcBorders>
          </w:tcPr>
          <w:p w:rsidR="00AF1542" w:rsidRDefault="00AF1542"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p>
        </w:tc>
        <w:tc>
          <w:tcPr>
            <w:tcW w:w="1260" w:type="dxa"/>
            <w:gridSpan w:val="2"/>
            <w:tcBorders>
              <w:top w:val="single" w:sz="6" w:space="0" w:color="FFFFFF"/>
              <w:left w:val="single" w:sz="6" w:space="0" w:color="FFFFFF"/>
              <w:bottom w:val="single" w:sz="6" w:space="0" w:color="FFFFFF"/>
              <w:right w:val="single" w:sz="6" w:space="0" w:color="FFFFFF"/>
            </w:tcBorders>
          </w:tcPr>
          <w:p w:rsidR="00AF1542" w:rsidRDefault="00AF1542" w:rsidP="00026F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4"/>
              </w:rPr>
            </w:pPr>
          </w:p>
        </w:tc>
        <w:tc>
          <w:tcPr>
            <w:tcW w:w="1530" w:type="dxa"/>
            <w:gridSpan w:val="2"/>
            <w:tcBorders>
              <w:top w:val="single" w:sz="6" w:space="0" w:color="FFFFFF"/>
              <w:left w:val="single" w:sz="6" w:space="0" w:color="FFFFFF"/>
              <w:bottom w:val="single" w:sz="6" w:space="0" w:color="FFFFFF"/>
              <w:right w:val="single" w:sz="6" w:space="0" w:color="FFFFFF"/>
            </w:tcBorders>
          </w:tcPr>
          <w:p w:rsidR="00AF1542" w:rsidDel="00EA370B" w:rsidRDefault="00974025" w:rsidP="002F359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u w:val="single"/>
              </w:rPr>
            </w:pPr>
            <w:r>
              <w:rPr>
                <w:sz w:val="24"/>
                <w:u w:val="single"/>
              </w:rPr>
              <w:t>5</w:t>
            </w:r>
            <w:r w:rsidR="002F359E">
              <w:rPr>
                <w:sz w:val="24"/>
                <w:u w:val="single"/>
              </w:rPr>
              <w:t>34</w:t>
            </w:r>
            <w:r>
              <w:rPr>
                <w:sz w:val="24"/>
                <w:u w:val="single"/>
              </w:rPr>
              <w:t>,4</w:t>
            </w:r>
            <w:r w:rsidR="002F359E">
              <w:rPr>
                <w:sz w:val="24"/>
                <w:u w:val="single"/>
              </w:rPr>
              <w:t>08</w:t>
            </w:r>
          </w:p>
        </w:tc>
      </w:tr>
      <w:tr w:rsidR="004167F7" w:rsidRPr="00D51494" w:rsidTr="00E15FFE">
        <w:trPr>
          <w:trHeight w:val="57"/>
        </w:trPr>
        <w:tc>
          <w:tcPr>
            <w:tcW w:w="2686" w:type="dxa"/>
            <w:gridSpan w:val="2"/>
            <w:tcBorders>
              <w:top w:val="single" w:sz="6" w:space="0" w:color="FFFFFF"/>
              <w:left w:val="single" w:sz="6" w:space="0" w:color="FFFFFF"/>
              <w:bottom w:val="single" w:sz="8" w:space="0" w:color="000000"/>
              <w:right w:val="single" w:sz="6" w:space="0" w:color="FFFFFF"/>
            </w:tcBorders>
          </w:tcPr>
          <w:p w:rsidR="004167F7" w:rsidRPr="00D51494" w:rsidRDefault="00BD54C8" w:rsidP="00752B8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i/>
                <w:sz w:val="24"/>
              </w:rPr>
            </w:pPr>
            <w:r>
              <w:rPr>
                <w:i/>
                <w:sz w:val="24"/>
              </w:rPr>
              <w:t>t</w:t>
            </w:r>
            <w:r w:rsidR="003C421A" w:rsidRPr="003C421A">
              <w:rPr>
                <w:i/>
                <w:sz w:val="24"/>
              </w:rPr>
              <w:t>otal</w:t>
            </w:r>
          </w:p>
        </w:tc>
        <w:tc>
          <w:tcPr>
            <w:tcW w:w="1530" w:type="dxa"/>
            <w:tcBorders>
              <w:top w:val="single" w:sz="6" w:space="0" w:color="FFFFFF"/>
              <w:left w:val="single" w:sz="6" w:space="0" w:color="FFFFFF"/>
              <w:bottom w:val="single" w:sz="8" w:space="0" w:color="000000"/>
              <w:right w:val="single" w:sz="6" w:space="0" w:color="FFFFFF"/>
            </w:tcBorders>
          </w:tcPr>
          <w:p w:rsidR="004167F7" w:rsidRPr="00D51494" w:rsidRDefault="004167F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24"/>
              </w:rPr>
            </w:pPr>
          </w:p>
        </w:tc>
        <w:tc>
          <w:tcPr>
            <w:tcW w:w="1260" w:type="dxa"/>
            <w:tcBorders>
              <w:top w:val="single" w:sz="6" w:space="0" w:color="FFFFFF"/>
              <w:left w:val="single" w:sz="6" w:space="0" w:color="FFFFFF"/>
              <w:bottom w:val="single" w:sz="8" w:space="0" w:color="000000"/>
              <w:right w:val="single" w:sz="6" w:space="0" w:color="FFFFFF"/>
            </w:tcBorders>
          </w:tcPr>
          <w:p w:rsidR="004167F7" w:rsidRPr="00D51494" w:rsidRDefault="004167F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24"/>
              </w:rPr>
            </w:pPr>
          </w:p>
        </w:tc>
        <w:tc>
          <w:tcPr>
            <w:tcW w:w="1260" w:type="dxa"/>
            <w:gridSpan w:val="2"/>
            <w:tcBorders>
              <w:top w:val="single" w:sz="6" w:space="0" w:color="FFFFFF"/>
              <w:left w:val="single" w:sz="6" w:space="0" w:color="FFFFFF"/>
              <w:bottom w:val="single" w:sz="8" w:space="0" w:color="000000"/>
              <w:right w:val="single" w:sz="6" w:space="0" w:color="FFFFFF"/>
            </w:tcBorders>
          </w:tcPr>
          <w:p w:rsidR="004167F7" w:rsidRPr="00D51494" w:rsidRDefault="004167F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24"/>
              </w:rPr>
            </w:pPr>
          </w:p>
        </w:tc>
        <w:tc>
          <w:tcPr>
            <w:tcW w:w="1530" w:type="dxa"/>
            <w:gridSpan w:val="2"/>
            <w:tcBorders>
              <w:top w:val="single" w:sz="6" w:space="0" w:color="FFFFFF"/>
              <w:left w:val="single" w:sz="6" w:space="0" w:color="FFFFFF"/>
              <w:bottom w:val="single" w:sz="8" w:space="0" w:color="000000"/>
              <w:right w:val="single" w:sz="6" w:space="0" w:color="FFFFFF"/>
            </w:tcBorders>
          </w:tcPr>
          <w:p w:rsidR="004167F7" w:rsidRPr="00974025" w:rsidRDefault="002F359E" w:rsidP="00D31F2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24"/>
                <w:u w:val="single"/>
              </w:rPr>
            </w:pPr>
            <w:r>
              <w:rPr>
                <w:sz w:val="24"/>
                <w:u w:val="single"/>
              </w:rPr>
              <w:t>553,629</w:t>
            </w:r>
          </w:p>
        </w:tc>
      </w:tr>
    </w:tbl>
    <w:p w:rsidR="00D0046F" w:rsidRPr="00D51494" w:rsidRDefault="00D0046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046F" w:rsidRPr="00D51494" w:rsidRDefault="003C421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4"/>
        </w:rPr>
      </w:pPr>
      <w:r w:rsidRPr="003C421A">
        <w:rPr>
          <w:sz w:val="24"/>
          <w:szCs w:val="24"/>
        </w:rPr>
        <w:t xml:space="preserve">The total annual cost to the public for the </w:t>
      </w:r>
      <w:r w:rsidR="00A21001">
        <w:rPr>
          <w:sz w:val="24"/>
          <w:szCs w:val="24"/>
        </w:rPr>
        <w:t xml:space="preserve">FR </w:t>
      </w:r>
      <w:r w:rsidR="001934AD">
        <w:rPr>
          <w:sz w:val="24"/>
          <w:szCs w:val="24"/>
        </w:rPr>
        <w:t>Y-14</w:t>
      </w:r>
      <w:r w:rsidR="00A21001">
        <w:rPr>
          <w:sz w:val="24"/>
          <w:szCs w:val="24"/>
        </w:rPr>
        <w:t xml:space="preserve"> information collection</w:t>
      </w:r>
      <w:r w:rsidRPr="003C421A">
        <w:rPr>
          <w:sz w:val="24"/>
          <w:szCs w:val="24"/>
        </w:rPr>
        <w:t xml:space="preserve"> is </w:t>
      </w:r>
      <w:r w:rsidRPr="003C421A">
        <w:rPr>
          <w:color w:val="000000"/>
          <w:sz w:val="24"/>
          <w:szCs w:val="24"/>
        </w:rPr>
        <w:t xml:space="preserve">estimated to be </w:t>
      </w:r>
      <w:r w:rsidRPr="003C421A">
        <w:rPr>
          <w:sz w:val="24"/>
          <w:szCs w:val="24"/>
        </w:rPr>
        <w:t>$</w:t>
      </w:r>
      <w:r w:rsidR="00974025">
        <w:rPr>
          <w:bCs/>
          <w:sz w:val="24"/>
          <w:szCs w:val="24"/>
        </w:rPr>
        <w:t>2</w:t>
      </w:r>
      <w:r w:rsidR="002F359E">
        <w:rPr>
          <w:bCs/>
          <w:sz w:val="24"/>
          <w:szCs w:val="24"/>
        </w:rPr>
        <w:t>4,027,499</w:t>
      </w:r>
      <w:r w:rsidR="00057800">
        <w:rPr>
          <w:bCs/>
          <w:sz w:val="24"/>
          <w:szCs w:val="24"/>
        </w:rPr>
        <w:t>.</w:t>
      </w:r>
      <w:r w:rsidRPr="003C421A">
        <w:rPr>
          <w:rStyle w:val="FootnoteReference"/>
          <w:sz w:val="24"/>
          <w:vertAlign w:val="superscript"/>
        </w:rPr>
        <w:footnoteReference w:id="9"/>
      </w:r>
      <w:r w:rsidRPr="003C421A">
        <w:rPr>
          <w:color w:val="FF0000"/>
          <w:sz w:val="24"/>
        </w:rPr>
        <w:t xml:space="preserve"> </w:t>
      </w:r>
    </w:p>
    <w:p w:rsidR="00CB153F" w:rsidRDefault="00CB153F">
      <w:pPr>
        <w:rPr>
          <w:b/>
          <w:sz w:val="24"/>
        </w:rPr>
      </w:pPr>
    </w:p>
    <w:p w:rsidR="00B83DF1" w:rsidRDefault="003C421A">
      <w:pPr>
        <w:rPr>
          <w:b/>
          <w:sz w:val="24"/>
        </w:rPr>
      </w:pPr>
      <w:r w:rsidRPr="003C421A">
        <w:rPr>
          <w:b/>
          <w:sz w:val="24"/>
        </w:rPr>
        <w:t>Estimate of Cost to the Federal Reserve System</w:t>
      </w:r>
    </w:p>
    <w:p w:rsidR="00D0046F" w:rsidRPr="00D51494" w:rsidRDefault="00D0046F">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mallCaps w:val="0"/>
        </w:rPr>
      </w:pPr>
    </w:p>
    <w:p w:rsidR="00FA7697" w:rsidRDefault="003C421A" w:rsidP="00C83EA9">
      <w:pPr>
        <w:tabs>
          <w:tab w:val="left" w:pos="-1080"/>
          <w:tab w:val="left" w:pos="-90"/>
          <w:tab w:val="left" w:pos="720"/>
          <w:tab w:val="left" w:pos="1440"/>
          <w:tab w:val="left" w:pos="1980"/>
          <w:tab w:val="left" w:pos="3960"/>
          <w:tab w:val="left" w:pos="5760"/>
          <w:tab w:val="left" w:pos="7740"/>
          <w:tab w:val="left" w:pos="8640"/>
        </w:tabs>
        <w:rPr>
          <w:sz w:val="24"/>
        </w:rPr>
      </w:pPr>
      <w:r w:rsidRPr="003C421A">
        <w:rPr>
          <w:sz w:val="24"/>
        </w:rPr>
        <w:tab/>
      </w:r>
      <w:r w:rsidR="001F3429" w:rsidRPr="001F3429">
        <w:rPr>
          <w:sz w:val="22"/>
          <w:szCs w:val="22"/>
        </w:rPr>
        <w:t xml:space="preserve">The </w:t>
      </w:r>
      <w:r w:rsidR="00A846AE">
        <w:rPr>
          <w:sz w:val="22"/>
          <w:szCs w:val="22"/>
        </w:rPr>
        <w:t>initial</w:t>
      </w:r>
      <w:r w:rsidR="001F3429" w:rsidRPr="001F3429">
        <w:rPr>
          <w:sz w:val="22"/>
          <w:szCs w:val="22"/>
        </w:rPr>
        <w:t xml:space="preserve"> cost to the Federal Reserve System for implementing </w:t>
      </w:r>
      <w:r w:rsidR="00A846AE">
        <w:rPr>
          <w:sz w:val="22"/>
          <w:szCs w:val="22"/>
        </w:rPr>
        <w:t xml:space="preserve">the FR Y-14A/Q and collecting the data submissions </w:t>
      </w:r>
      <w:r w:rsidR="00C642D8">
        <w:rPr>
          <w:sz w:val="22"/>
          <w:szCs w:val="22"/>
        </w:rPr>
        <w:t xml:space="preserve">through June 2012 </w:t>
      </w:r>
      <w:r w:rsidR="001F3429" w:rsidRPr="001F3429">
        <w:rPr>
          <w:sz w:val="22"/>
          <w:szCs w:val="22"/>
        </w:rPr>
        <w:t>is estimated to be $</w:t>
      </w:r>
      <w:r w:rsidR="00C642D8">
        <w:rPr>
          <w:sz w:val="22"/>
          <w:szCs w:val="22"/>
        </w:rPr>
        <w:t>1,305,141</w:t>
      </w:r>
      <w:r w:rsidR="001F3429" w:rsidRPr="001F3429">
        <w:rPr>
          <w:sz w:val="22"/>
          <w:szCs w:val="22"/>
        </w:rPr>
        <w:t xml:space="preserve">.  </w:t>
      </w:r>
    </w:p>
    <w:p w:rsidR="008827FE" w:rsidRPr="003025C7" w:rsidRDefault="008827FE" w:rsidP="002816BB">
      <w:pPr>
        <w:rPr>
          <w:b/>
          <w:sz w:val="24"/>
          <w:szCs w:val="24"/>
        </w:rPr>
      </w:pPr>
    </w:p>
    <w:sectPr w:rsidR="008827FE" w:rsidRPr="003025C7" w:rsidSect="00435830">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429" w:rsidRDefault="001F3429">
      <w:r>
        <w:separator/>
      </w:r>
    </w:p>
  </w:endnote>
  <w:endnote w:type="continuationSeparator" w:id="0">
    <w:p w:rsidR="001F3429" w:rsidRDefault="001F342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429" w:rsidRDefault="0090603C">
    <w:pPr>
      <w:pStyle w:val="Footer"/>
      <w:framePr w:wrap="around" w:vAnchor="text" w:hAnchor="margin" w:xAlign="center" w:y="1"/>
      <w:rPr>
        <w:rStyle w:val="PageNumber"/>
      </w:rPr>
    </w:pPr>
    <w:r>
      <w:rPr>
        <w:rStyle w:val="PageNumber"/>
      </w:rPr>
      <w:fldChar w:fldCharType="begin"/>
    </w:r>
    <w:r w:rsidR="001F3429">
      <w:rPr>
        <w:rStyle w:val="PageNumber"/>
      </w:rPr>
      <w:instrText xml:space="preserve">PAGE  </w:instrText>
    </w:r>
    <w:r>
      <w:rPr>
        <w:rStyle w:val="PageNumber"/>
      </w:rPr>
      <w:fldChar w:fldCharType="end"/>
    </w:r>
  </w:p>
  <w:p w:rsidR="001F3429" w:rsidRDefault="001F34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429" w:rsidRDefault="0090603C">
    <w:pPr>
      <w:pStyle w:val="Footer"/>
      <w:framePr w:wrap="around" w:vAnchor="text" w:hAnchor="margin" w:xAlign="center" w:y="1"/>
      <w:rPr>
        <w:rStyle w:val="PageNumber"/>
      </w:rPr>
    </w:pPr>
    <w:r>
      <w:rPr>
        <w:rStyle w:val="PageNumber"/>
      </w:rPr>
      <w:fldChar w:fldCharType="begin"/>
    </w:r>
    <w:r w:rsidR="001F3429">
      <w:rPr>
        <w:rStyle w:val="PageNumber"/>
      </w:rPr>
      <w:instrText xml:space="preserve">PAGE  </w:instrText>
    </w:r>
    <w:r>
      <w:rPr>
        <w:rStyle w:val="PageNumber"/>
      </w:rPr>
      <w:fldChar w:fldCharType="separate"/>
    </w:r>
    <w:r w:rsidR="00C642D8">
      <w:rPr>
        <w:rStyle w:val="PageNumber"/>
        <w:noProof/>
      </w:rPr>
      <w:t>13</w:t>
    </w:r>
    <w:r>
      <w:rPr>
        <w:rStyle w:val="PageNumber"/>
      </w:rPr>
      <w:fldChar w:fldCharType="end"/>
    </w:r>
  </w:p>
  <w:p w:rsidR="001F3429" w:rsidRDefault="001F34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429" w:rsidRDefault="001F3429">
      <w:r>
        <w:separator/>
      </w:r>
    </w:p>
  </w:footnote>
  <w:footnote w:type="continuationSeparator" w:id="0">
    <w:p w:rsidR="001F3429" w:rsidRDefault="001F3429">
      <w:r>
        <w:continuationSeparator/>
      </w:r>
    </w:p>
  </w:footnote>
  <w:footnote w:id="1">
    <w:p w:rsidR="001F3429" w:rsidRPr="00021EDF" w:rsidRDefault="001F3429">
      <w:pPr>
        <w:pStyle w:val="FootnoteText"/>
        <w:rPr>
          <w:rFonts w:ascii="Times New Roman" w:hAnsi="Times New Roman"/>
        </w:rPr>
      </w:pPr>
      <w:r w:rsidRPr="00A76504">
        <w:rPr>
          <w:rStyle w:val="FootnoteReference"/>
          <w:rFonts w:ascii="Times New Roman" w:hAnsi="Times New Roman"/>
          <w:vertAlign w:val="superscript"/>
        </w:rPr>
        <w:footnoteRef/>
      </w:r>
      <w:r w:rsidRPr="00A76504">
        <w:rPr>
          <w:rFonts w:ascii="Times New Roman" w:hAnsi="Times New Roman"/>
        </w:rPr>
        <w:t xml:space="preserve"> BHCs would be required to submit </w:t>
      </w:r>
      <w:r>
        <w:rPr>
          <w:rFonts w:ascii="Times New Roman" w:hAnsi="Times New Roman"/>
        </w:rPr>
        <w:t xml:space="preserve">both </w:t>
      </w:r>
      <w:r w:rsidRPr="00A76504">
        <w:rPr>
          <w:rFonts w:ascii="Times New Roman" w:hAnsi="Times New Roman"/>
        </w:rPr>
        <w:t>quarterly</w:t>
      </w:r>
      <w:r>
        <w:rPr>
          <w:rFonts w:ascii="Times New Roman" w:hAnsi="Times New Roman"/>
        </w:rPr>
        <w:t xml:space="preserve"> and annual</w:t>
      </w:r>
      <w:r w:rsidRPr="00A76504">
        <w:rPr>
          <w:rFonts w:ascii="Times New Roman" w:hAnsi="Times New Roman"/>
        </w:rPr>
        <w:t xml:space="preserve"> </w:t>
      </w:r>
      <w:r>
        <w:rPr>
          <w:rFonts w:ascii="Times New Roman" w:hAnsi="Times New Roman"/>
        </w:rPr>
        <w:t>schedules</w:t>
      </w:r>
      <w:r w:rsidRPr="00A76504">
        <w:rPr>
          <w:rFonts w:ascii="Times New Roman" w:hAnsi="Times New Roman"/>
        </w:rPr>
        <w:t xml:space="preserve"> </w:t>
      </w:r>
      <w:r>
        <w:rPr>
          <w:rFonts w:ascii="Times New Roman" w:hAnsi="Times New Roman"/>
        </w:rPr>
        <w:t xml:space="preserve">for third </w:t>
      </w:r>
      <w:r w:rsidRPr="00A76504">
        <w:rPr>
          <w:rFonts w:ascii="Times New Roman" w:hAnsi="Times New Roman"/>
        </w:rPr>
        <w:t xml:space="preserve">quarter </w:t>
      </w:r>
      <w:r>
        <w:rPr>
          <w:rFonts w:ascii="Times New Roman" w:hAnsi="Times New Roman"/>
        </w:rPr>
        <w:t>data.</w:t>
      </w:r>
    </w:p>
  </w:footnote>
  <w:footnote w:id="2">
    <w:p w:rsidR="001F3429" w:rsidRPr="00893B4B" w:rsidRDefault="001F3429">
      <w:pPr>
        <w:pStyle w:val="FootnoteText"/>
        <w:rPr>
          <w:rFonts w:ascii="Times New Roman" w:hAnsi="Times New Roman"/>
        </w:rPr>
      </w:pPr>
      <w:r w:rsidRPr="00285B5D">
        <w:rPr>
          <w:rStyle w:val="FootnoteReference"/>
          <w:rFonts w:ascii="Times New Roman" w:hAnsi="Times New Roman"/>
          <w:vertAlign w:val="superscript"/>
        </w:rPr>
        <w:footnoteRef/>
      </w:r>
      <w:r w:rsidRPr="00285B5D">
        <w:rPr>
          <w:rFonts w:ascii="Times New Roman" w:hAnsi="Times New Roman"/>
        </w:rPr>
        <w:t xml:space="preserve"> All </w:t>
      </w:r>
      <w:r>
        <w:rPr>
          <w:rFonts w:ascii="Times New Roman" w:hAnsi="Times New Roman"/>
        </w:rPr>
        <w:t xml:space="preserve">but one </w:t>
      </w:r>
      <w:r w:rsidRPr="00285B5D">
        <w:rPr>
          <w:rFonts w:ascii="Times New Roman" w:hAnsi="Times New Roman"/>
        </w:rPr>
        <w:t>BHC that participated in the SCAP exercise had total assets greater than $100 billion as of year-end 2008.</w:t>
      </w:r>
      <w:r>
        <w:rPr>
          <w:rFonts w:ascii="Times New Roman" w:hAnsi="Times New Roman"/>
        </w:rPr>
        <w:t xml:space="preserve">  In the case of one BHC that participated in the SCAP exercise, the successor BHC participated in the CCAR 2011 exercise. </w:t>
      </w:r>
    </w:p>
  </w:footnote>
  <w:footnote w:id="3">
    <w:p w:rsidR="001F3429" w:rsidRPr="004E7DB7" w:rsidRDefault="001F3429">
      <w:pPr>
        <w:pStyle w:val="FootnoteText"/>
        <w:rPr>
          <w:rFonts w:ascii="Times New Roman" w:hAnsi="Times New Roman"/>
        </w:rPr>
      </w:pPr>
      <w:r w:rsidRPr="004E7DB7">
        <w:rPr>
          <w:rStyle w:val="FootnoteReference"/>
          <w:rFonts w:ascii="Times New Roman" w:hAnsi="Times New Roman"/>
          <w:vertAlign w:val="superscript"/>
        </w:rPr>
        <w:footnoteRef/>
      </w:r>
      <w:r w:rsidRPr="004E7DB7">
        <w:rPr>
          <w:rFonts w:ascii="Times New Roman" w:hAnsi="Times New Roman"/>
          <w:color w:val="000000"/>
        </w:rPr>
        <w:t xml:space="preserve"> </w:t>
      </w:r>
      <w:r w:rsidRPr="00287747">
        <w:rPr>
          <w:rFonts w:ascii="Times New Roman" w:hAnsi="Times New Roman"/>
          <w:color w:val="000000"/>
        </w:rPr>
        <w:t xml:space="preserve">All 19 BHCs would submit the PPNR schedule.  </w:t>
      </w:r>
      <w:r>
        <w:rPr>
          <w:rFonts w:ascii="Times New Roman" w:hAnsi="Times New Roman"/>
          <w:color w:val="000000"/>
        </w:rPr>
        <w:t>BHCs</w:t>
      </w:r>
      <w:r w:rsidRPr="00287747">
        <w:rPr>
          <w:rFonts w:ascii="Times New Roman" w:hAnsi="Times New Roman"/>
          <w:color w:val="000000"/>
        </w:rPr>
        <w:t xml:space="preserve"> </w:t>
      </w:r>
      <w:r w:rsidRPr="001B4E32">
        <w:rPr>
          <w:rFonts w:ascii="Times New Roman" w:hAnsi="Times New Roman"/>
          <w:color w:val="000000"/>
        </w:rPr>
        <w:t>subject to the Board’s advanced approaches risk-based capital rules (12 CFR part 225, Appendix, G)</w:t>
      </w:r>
      <w:r>
        <w:rPr>
          <w:color w:val="000000"/>
        </w:rPr>
        <w:t xml:space="preserve"> </w:t>
      </w:r>
      <w:r w:rsidRPr="00287747">
        <w:rPr>
          <w:rFonts w:ascii="Times New Roman" w:hAnsi="Times New Roman"/>
          <w:color w:val="000000"/>
        </w:rPr>
        <w:t>would submit the Operational Risk schedule</w:t>
      </w:r>
      <w:r>
        <w:rPr>
          <w:rFonts w:ascii="Times New Roman" w:hAnsi="Times New Roman"/>
          <w:color w:val="000000"/>
        </w:rPr>
        <w:t>.</w:t>
      </w:r>
      <w:r w:rsidRPr="00287747">
        <w:rPr>
          <w:rFonts w:ascii="Times New Roman" w:hAnsi="Times New Roman"/>
          <w:color w:val="000000"/>
        </w:rPr>
        <w:t xml:space="preserve">  The six firms that were subject to the market shock in Comprehensive Capital Analysis and Review 2011 would submit the Trading and CCR schedules.  For all other annual and quarterly schedules that would be subject to materiality thresholds, material portfolios would be defined as those with asset balances greater than $5 billion or asset balances relative to Tier 1 capital greater than 5 percent on average for the four quarters preceding the reporting quarter.  For immaterial portfolios, the Federal Reserve would assign scenario losses to these portfolios in a manner consistent with the given scenario.</w:t>
      </w:r>
      <w:r>
        <w:rPr>
          <w:rFonts w:ascii="Times New Roman" w:hAnsi="Times New Roman"/>
          <w:color w:val="000000"/>
        </w:rPr>
        <w:t xml:space="preserve"> </w:t>
      </w:r>
    </w:p>
  </w:footnote>
  <w:footnote w:id="4">
    <w:p w:rsidR="001F3429" w:rsidRDefault="001F3429">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rPr>
      </w:pPr>
      <w:r w:rsidRPr="0034649E">
        <w:rPr>
          <w:rStyle w:val="FootnoteReference"/>
          <w:rFonts w:ascii="Times New Roman" w:hAnsi="Times New Roman"/>
          <w:sz w:val="20"/>
          <w:vertAlign w:val="superscript"/>
        </w:rPr>
        <w:footnoteRef/>
      </w:r>
      <w:r w:rsidRPr="003C421A">
        <w:rPr>
          <w:rFonts w:ascii="Times New Roman" w:hAnsi="Times New Roman"/>
          <w:sz w:val="20"/>
        </w:rPr>
        <w:t xml:space="preserve"> The public comment period for the capital plan rule </w:t>
      </w:r>
      <w:r>
        <w:rPr>
          <w:rFonts w:ascii="Times New Roman" w:hAnsi="Times New Roman"/>
          <w:sz w:val="20"/>
        </w:rPr>
        <w:t>ended</w:t>
      </w:r>
      <w:r w:rsidRPr="003C421A">
        <w:rPr>
          <w:rFonts w:ascii="Times New Roman" w:hAnsi="Times New Roman"/>
          <w:sz w:val="20"/>
        </w:rPr>
        <w:t xml:space="preserve"> on August 5, 2011.</w:t>
      </w:r>
    </w:p>
  </w:footnote>
  <w:footnote w:id="5">
    <w:p w:rsidR="001F3429" w:rsidRDefault="001F3429" w:rsidP="009447A1">
      <w:pPr>
        <w:pStyle w:val="FootnoteText"/>
      </w:pPr>
      <w:r w:rsidRPr="00A76504">
        <w:rPr>
          <w:rStyle w:val="FootnoteReference"/>
          <w:rFonts w:ascii="Times New Roman" w:hAnsi="Times New Roman"/>
          <w:vertAlign w:val="superscript"/>
        </w:rPr>
        <w:footnoteRef/>
      </w:r>
      <w:r>
        <w:t xml:space="preserve"> </w:t>
      </w:r>
      <w:r w:rsidRPr="006A3AF7">
        <w:rPr>
          <w:rFonts w:ascii="Times New Roman" w:hAnsi="Times New Roman"/>
        </w:rPr>
        <w:t xml:space="preserve">CUSIP refers to the </w:t>
      </w:r>
      <w:r w:rsidRPr="006A3AF7">
        <w:rPr>
          <w:rFonts w:ascii="Times New Roman" w:hAnsi="Times New Roman"/>
          <w:color w:val="000000"/>
        </w:rPr>
        <w:t xml:space="preserve">Committee on Uniform Security Identification Procedures.  </w:t>
      </w:r>
      <w:r w:rsidRPr="006A3AF7">
        <w:rPr>
          <w:rFonts w:ascii="Times New Roman" w:hAnsi="Times New Roman"/>
        </w:rPr>
        <w:t xml:space="preserve">This 9-character </w:t>
      </w:r>
      <w:hyperlink r:id="rId1" w:tooltip="Alphanumeric" w:history="1">
        <w:r w:rsidRPr="006A3AF7">
          <w:rPr>
            <w:rStyle w:val="Hyperlink"/>
            <w:rFonts w:ascii="Times New Roman" w:hAnsi="Times New Roman"/>
            <w:color w:val="auto"/>
            <w:u w:val="none"/>
          </w:rPr>
          <w:t>alphanumeric</w:t>
        </w:r>
      </w:hyperlink>
      <w:r w:rsidRPr="006A3AF7">
        <w:rPr>
          <w:rFonts w:ascii="Times New Roman" w:hAnsi="Times New Roman"/>
        </w:rPr>
        <w:t xml:space="preserve"> code identifies any </w:t>
      </w:r>
      <w:hyperlink r:id="rId2" w:tooltip="North America" w:history="1">
        <w:r w:rsidRPr="006A3AF7">
          <w:rPr>
            <w:rStyle w:val="Hyperlink"/>
            <w:rFonts w:ascii="Times New Roman" w:hAnsi="Times New Roman"/>
            <w:color w:val="auto"/>
            <w:u w:val="none"/>
          </w:rPr>
          <w:t>North American</w:t>
        </w:r>
      </w:hyperlink>
      <w:r w:rsidRPr="006A3AF7">
        <w:rPr>
          <w:rFonts w:ascii="Times New Roman" w:hAnsi="Times New Roman"/>
        </w:rPr>
        <w:t xml:space="preserve"> </w:t>
      </w:r>
      <w:hyperlink r:id="rId3" w:tooltip="Security (finance)" w:history="1">
        <w:r w:rsidRPr="006A3AF7">
          <w:rPr>
            <w:rStyle w:val="Hyperlink"/>
            <w:rFonts w:ascii="Times New Roman" w:hAnsi="Times New Roman"/>
            <w:color w:val="auto"/>
            <w:u w:val="none"/>
          </w:rPr>
          <w:t>security</w:t>
        </w:r>
      </w:hyperlink>
      <w:r w:rsidRPr="006A3AF7">
        <w:rPr>
          <w:rFonts w:ascii="Times New Roman" w:hAnsi="Times New Roman"/>
        </w:rPr>
        <w:t xml:space="preserve"> for the purposes of facilitating </w:t>
      </w:r>
      <w:hyperlink r:id="rId4" w:tooltip="Clearing (finance)" w:history="1">
        <w:r w:rsidRPr="006A3AF7">
          <w:rPr>
            <w:rStyle w:val="Hyperlink"/>
            <w:rFonts w:ascii="Times New Roman" w:hAnsi="Times New Roman"/>
            <w:color w:val="auto"/>
            <w:u w:val="none"/>
          </w:rPr>
          <w:t>clearing</w:t>
        </w:r>
      </w:hyperlink>
      <w:r w:rsidRPr="006A3AF7">
        <w:rPr>
          <w:rFonts w:ascii="Times New Roman" w:hAnsi="Times New Roman"/>
        </w:rPr>
        <w:t xml:space="preserve"> and </w:t>
      </w:r>
      <w:hyperlink r:id="rId5" w:tooltip="Settlement (finance)" w:history="1">
        <w:r w:rsidRPr="006A3AF7">
          <w:rPr>
            <w:rStyle w:val="Hyperlink"/>
            <w:rFonts w:ascii="Times New Roman" w:hAnsi="Times New Roman"/>
            <w:color w:val="auto"/>
            <w:u w:val="none"/>
          </w:rPr>
          <w:t>settlement</w:t>
        </w:r>
      </w:hyperlink>
      <w:r w:rsidRPr="006A3AF7">
        <w:rPr>
          <w:rFonts w:ascii="Times New Roman" w:hAnsi="Times New Roman"/>
        </w:rPr>
        <w:t xml:space="preserve"> of trades.</w:t>
      </w:r>
    </w:p>
  </w:footnote>
  <w:footnote w:id="6">
    <w:p w:rsidR="001F3429" w:rsidRPr="00293DAE" w:rsidRDefault="001F3429">
      <w:pPr>
        <w:pStyle w:val="FootnoteText"/>
        <w:rPr>
          <w:rFonts w:ascii="Times New Roman" w:hAnsi="Times New Roman"/>
        </w:rPr>
      </w:pPr>
      <w:r w:rsidRPr="00563634">
        <w:rPr>
          <w:rStyle w:val="FootnoteReference"/>
          <w:rFonts w:ascii="Times New Roman" w:hAnsi="Times New Roman"/>
          <w:vertAlign w:val="superscript"/>
        </w:rPr>
        <w:footnoteRef/>
      </w:r>
      <w:r w:rsidRPr="00563634">
        <w:rPr>
          <w:rFonts w:ascii="Times New Roman" w:hAnsi="Times New Roman"/>
        </w:rPr>
        <w:t xml:space="preserve"> </w:t>
      </w:r>
      <w:r w:rsidRPr="00293DAE">
        <w:rPr>
          <w:rFonts w:ascii="Times New Roman" w:hAnsi="Times New Roman"/>
        </w:rPr>
        <w:t>The press release and attachments are available on the Board’s public website: http://www.federalreserve.gov/newsevents/press/bcreg/20111122a.htm</w:t>
      </w:r>
    </w:p>
  </w:footnote>
  <w:footnote w:id="7">
    <w:p w:rsidR="001F3429" w:rsidRDefault="001F3429" w:rsidP="009E3545">
      <w:pPr>
        <w:pStyle w:val="FootnoteText"/>
      </w:pPr>
      <w:r w:rsidRPr="002C5486">
        <w:rPr>
          <w:rStyle w:val="FootnoteReference"/>
          <w:rFonts w:ascii="Times New Roman" w:hAnsi="Times New Roman"/>
          <w:vertAlign w:val="superscript"/>
        </w:rPr>
        <w:footnoteRef/>
      </w:r>
      <w:r w:rsidRPr="002C5486">
        <w:rPr>
          <w:rFonts w:ascii="Times New Roman" w:hAnsi="Times New Roman"/>
        </w:rPr>
        <w:t xml:space="preserve"> </w:t>
      </w:r>
      <w:r w:rsidRPr="002C5486">
        <w:rPr>
          <w:rFonts w:ascii="Times New Roman" w:hAnsi="Times New Roman"/>
          <w:color w:val="000000"/>
        </w:rPr>
        <w:t>These</w:t>
      </w:r>
      <w:r w:rsidRPr="002C5486">
        <w:rPr>
          <w:rFonts w:ascii="Times New Roman" w:hAnsi="Times New Roman"/>
        </w:rPr>
        <w:t xml:space="preserve"> </w:t>
      </w:r>
      <w:r>
        <w:rPr>
          <w:rFonts w:ascii="Times New Roman" w:hAnsi="Times New Roman"/>
        </w:rPr>
        <w:t xml:space="preserve">six </w:t>
      </w:r>
      <w:r w:rsidRPr="002C5486">
        <w:rPr>
          <w:rFonts w:ascii="Times New Roman" w:hAnsi="Times New Roman"/>
        </w:rPr>
        <w:t>BHCs</w:t>
      </w:r>
      <w:r>
        <w:rPr>
          <w:rFonts w:ascii="Times New Roman" w:hAnsi="Times New Roman"/>
        </w:rPr>
        <w:t xml:space="preserve"> (that would report data on the CCR and Trading Risk schedules)</w:t>
      </w:r>
      <w:r w:rsidRPr="002C5486">
        <w:rPr>
          <w:rFonts w:ascii="Times New Roman" w:hAnsi="Times New Roman"/>
        </w:rPr>
        <w:t xml:space="preserve"> </w:t>
      </w:r>
      <w:r w:rsidRPr="002C5486">
        <w:rPr>
          <w:rFonts w:ascii="Times New Roman" w:eastAsia="Calibri" w:hAnsi="Times New Roman"/>
        </w:rPr>
        <w:t xml:space="preserve">were identified as the largest derivative dealers based on notional value (representing an indicator </w:t>
      </w:r>
      <w:r>
        <w:rPr>
          <w:rFonts w:ascii="Times New Roman" w:eastAsia="Calibri" w:hAnsi="Times New Roman"/>
        </w:rPr>
        <w:t xml:space="preserve">of </w:t>
      </w:r>
      <w:r w:rsidRPr="002C5486">
        <w:rPr>
          <w:rFonts w:ascii="Times New Roman" w:eastAsia="Calibri" w:hAnsi="Times New Roman"/>
        </w:rPr>
        <w:t xml:space="preserve">volume) and credit exposure as defined under the Basel I regulatory definition (as a proxy for the risk that </w:t>
      </w:r>
      <w:r>
        <w:rPr>
          <w:rFonts w:ascii="Times New Roman" w:eastAsia="Calibri" w:hAnsi="Times New Roman"/>
        </w:rPr>
        <w:t>O</w:t>
      </w:r>
      <w:r w:rsidRPr="002C5486">
        <w:rPr>
          <w:rFonts w:ascii="Times New Roman" w:eastAsia="Calibri" w:hAnsi="Times New Roman"/>
        </w:rPr>
        <w:t xml:space="preserve">TC derivatives pose to the BHC).  The six BHCs represented over 95 percent of U.S. notional and </w:t>
      </w:r>
      <w:r>
        <w:rPr>
          <w:rFonts w:ascii="Times New Roman" w:eastAsia="Calibri" w:hAnsi="Times New Roman"/>
        </w:rPr>
        <w:t xml:space="preserve">gross mark-to-market </w:t>
      </w:r>
      <w:r w:rsidRPr="002C5486">
        <w:rPr>
          <w:rFonts w:ascii="Times New Roman" w:eastAsia="Calibri" w:hAnsi="Times New Roman"/>
        </w:rPr>
        <w:t>of OTC derivatives exposure in 2009</w:t>
      </w:r>
      <w:r>
        <w:rPr>
          <w:rFonts w:ascii="Times New Roman" w:eastAsia="Calibri" w:hAnsi="Times New Roman"/>
        </w:rPr>
        <w:t xml:space="preserve"> based on data submitted on the Consolidated Financial Statements for Bank Holding Company (FR Y-9C; OMB No. 7100-0128).</w:t>
      </w:r>
    </w:p>
  </w:footnote>
  <w:footnote w:id="8">
    <w:p w:rsidR="001F3429" w:rsidRDefault="001F3429" w:rsidP="004E7DB7">
      <w:pPr>
        <w:autoSpaceDE w:val="0"/>
        <w:autoSpaceDN w:val="0"/>
        <w:adjustRightInd w:val="0"/>
      </w:pPr>
      <w:r w:rsidRPr="00854D48">
        <w:rPr>
          <w:rStyle w:val="FootnoteReference"/>
          <w:vertAlign w:val="superscript"/>
        </w:rPr>
        <w:footnoteRef/>
      </w:r>
      <w:r>
        <w:t xml:space="preserve"> </w:t>
      </w:r>
      <w:r w:rsidRPr="00BC2D1A">
        <w:t xml:space="preserve">Of the </w:t>
      </w:r>
      <w:r>
        <w:t>19</w:t>
      </w:r>
      <w:r w:rsidRPr="00BC2D1A">
        <w:t xml:space="preserve"> respondents required to comply with th</w:t>
      </w:r>
      <w:r>
        <w:t>is information collection, none</w:t>
      </w:r>
      <w:r w:rsidRPr="00BC2D1A">
        <w:t xml:space="preserve"> are small entities as defined by the Small Business Administration (</w:t>
      </w:r>
      <w:r w:rsidRPr="006905D8">
        <w:rPr>
          <w:i/>
        </w:rPr>
        <w:t>i.e.,</w:t>
      </w:r>
      <w:r w:rsidRPr="00BC2D1A">
        <w:t xml:space="preserve"> entities with less than $175 million in total assets) </w:t>
      </w:r>
      <w:hyperlink r:id="rId6" w:history="1">
        <w:r w:rsidRPr="00BC2D1A">
          <w:rPr>
            <w:rStyle w:val="Hyperlink"/>
          </w:rPr>
          <w:t>www.sba.gov/contractingopportunities/officials/size/table/index.html</w:t>
        </w:r>
      </w:hyperlink>
      <w:r w:rsidRPr="00BC2D1A">
        <w:t xml:space="preserve">.  </w:t>
      </w:r>
    </w:p>
  </w:footnote>
  <w:footnote w:id="9">
    <w:p w:rsidR="001F3429" w:rsidRPr="006D4CFA" w:rsidRDefault="001F3429">
      <w:pPr>
        <w:pStyle w:val="FootnoteText"/>
        <w:rPr>
          <w:rFonts w:ascii="Times New Roman" w:hAnsi="Times New Roman"/>
        </w:rPr>
      </w:pPr>
      <w:r w:rsidRPr="006D4CFA">
        <w:rPr>
          <w:rStyle w:val="FootnoteReference"/>
          <w:rFonts w:ascii="Times New Roman" w:hAnsi="Times New Roman"/>
          <w:vertAlign w:val="superscript"/>
        </w:rPr>
        <w:footnoteRef/>
      </w:r>
      <w:r w:rsidRPr="006D4CFA">
        <w:rPr>
          <w:rFonts w:ascii="Times New Roman" w:hAnsi="Times New Roman"/>
        </w:rPr>
        <w:t xml:space="preserve"> Total cost to the public was estimated using the following formula: percent of staff time, multiplied by annual burden hours, multiplied by hourly rate (30% Office &amp; Administrative Support @ $16, 45% Financial Managers @ $</w:t>
      </w:r>
      <w:r>
        <w:rPr>
          <w:rFonts w:ascii="Times New Roman" w:hAnsi="Times New Roman"/>
        </w:rPr>
        <w:t>50</w:t>
      </w:r>
      <w:r w:rsidRPr="006D4CFA">
        <w:rPr>
          <w:rFonts w:ascii="Times New Roman" w:hAnsi="Times New Roman"/>
        </w:rPr>
        <w:t>, 15% Legal Counsel @ $54, and 10% Chief Executives @ $</w:t>
      </w:r>
      <w:r>
        <w:rPr>
          <w:rFonts w:ascii="Times New Roman" w:hAnsi="Times New Roman"/>
        </w:rPr>
        <w:t>80</w:t>
      </w:r>
      <w:r w:rsidRPr="006D4CFA">
        <w:rPr>
          <w:rFonts w:ascii="Times New Roman" w:hAnsi="Times New Roman"/>
        </w:rPr>
        <w:t>).  Hourly rate for each occupational group are the median hourly wages (rounded up) from the Bureau of Labor and Statistics (BLS), Occupational Employment and Wages 20</w:t>
      </w:r>
      <w:r>
        <w:rPr>
          <w:rFonts w:ascii="Times New Roman" w:hAnsi="Times New Roman"/>
        </w:rPr>
        <w:t>10</w:t>
      </w:r>
      <w:r w:rsidRPr="006D4CFA">
        <w:rPr>
          <w:rFonts w:ascii="Times New Roman" w:hAnsi="Times New Roman"/>
        </w:rPr>
        <w:t>, www.bls.gov/news.release/ocwage.nr0.htm  Occupations are defined using the BLS Occupational Classification System,  www.bls.gov/soc/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FCE7AE"/>
    <w:lvl w:ilvl="0">
      <w:numFmt w:val="bullet"/>
      <w:lvlText w:val="*"/>
      <w:lvlJc w:val="left"/>
    </w:lvl>
  </w:abstractNum>
  <w:abstractNum w:abstractNumId="1">
    <w:nsid w:val="00A32E50"/>
    <w:multiLevelType w:val="hybridMultilevel"/>
    <w:tmpl w:val="FA3EB2BC"/>
    <w:lvl w:ilvl="0" w:tplc="05701338">
      <w:start w:val="1"/>
      <w:numFmt w:val="decimal"/>
      <w:lvlText w:val="%1."/>
      <w:lvlJc w:val="left"/>
      <w:pPr>
        <w:tabs>
          <w:tab w:val="num" w:pos="360"/>
        </w:tabs>
        <w:ind w:left="360" w:hanging="360"/>
      </w:pPr>
    </w:lvl>
    <w:lvl w:ilvl="1" w:tplc="AB4C1722" w:tentative="1">
      <w:start w:val="1"/>
      <w:numFmt w:val="bullet"/>
      <w:lvlText w:val="o"/>
      <w:lvlJc w:val="left"/>
      <w:pPr>
        <w:tabs>
          <w:tab w:val="num" w:pos="1080"/>
        </w:tabs>
        <w:ind w:left="1080" w:hanging="360"/>
      </w:pPr>
      <w:rPr>
        <w:rFonts w:ascii="Courier New" w:hAnsi="Courier New" w:hint="default"/>
      </w:rPr>
    </w:lvl>
    <w:lvl w:ilvl="2" w:tplc="B69E7A8A" w:tentative="1">
      <w:start w:val="1"/>
      <w:numFmt w:val="bullet"/>
      <w:lvlText w:val=""/>
      <w:lvlJc w:val="left"/>
      <w:pPr>
        <w:tabs>
          <w:tab w:val="num" w:pos="1800"/>
        </w:tabs>
        <w:ind w:left="1800" w:hanging="360"/>
      </w:pPr>
      <w:rPr>
        <w:rFonts w:ascii="Wingdings" w:hAnsi="Wingdings" w:hint="default"/>
      </w:rPr>
    </w:lvl>
    <w:lvl w:ilvl="3" w:tplc="6CEC0C3A" w:tentative="1">
      <w:start w:val="1"/>
      <w:numFmt w:val="bullet"/>
      <w:lvlText w:val=""/>
      <w:lvlJc w:val="left"/>
      <w:pPr>
        <w:tabs>
          <w:tab w:val="num" w:pos="2520"/>
        </w:tabs>
        <w:ind w:left="2520" w:hanging="360"/>
      </w:pPr>
      <w:rPr>
        <w:rFonts w:ascii="Symbol" w:hAnsi="Symbol" w:hint="default"/>
      </w:rPr>
    </w:lvl>
    <w:lvl w:ilvl="4" w:tplc="4F9C67A2" w:tentative="1">
      <w:start w:val="1"/>
      <w:numFmt w:val="bullet"/>
      <w:lvlText w:val="o"/>
      <w:lvlJc w:val="left"/>
      <w:pPr>
        <w:tabs>
          <w:tab w:val="num" w:pos="3240"/>
        </w:tabs>
        <w:ind w:left="3240" w:hanging="360"/>
      </w:pPr>
      <w:rPr>
        <w:rFonts w:ascii="Courier New" w:hAnsi="Courier New" w:hint="default"/>
      </w:rPr>
    </w:lvl>
    <w:lvl w:ilvl="5" w:tplc="23EA120C" w:tentative="1">
      <w:start w:val="1"/>
      <w:numFmt w:val="bullet"/>
      <w:lvlText w:val=""/>
      <w:lvlJc w:val="left"/>
      <w:pPr>
        <w:tabs>
          <w:tab w:val="num" w:pos="3960"/>
        </w:tabs>
        <w:ind w:left="3960" w:hanging="360"/>
      </w:pPr>
      <w:rPr>
        <w:rFonts w:ascii="Wingdings" w:hAnsi="Wingdings" w:hint="default"/>
      </w:rPr>
    </w:lvl>
    <w:lvl w:ilvl="6" w:tplc="B4C0D058" w:tentative="1">
      <w:start w:val="1"/>
      <w:numFmt w:val="bullet"/>
      <w:lvlText w:val=""/>
      <w:lvlJc w:val="left"/>
      <w:pPr>
        <w:tabs>
          <w:tab w:val="num" w:pos="4680"/>
        </w:tabs>
        <w:ind w:left="4680" w:hanging="360"/>
      </w:pPr>
      <w:rPr>
        <w:rFonts w:ascii="Symbol" w:hAnsi="Symbol" w:hint="default"/>
      </w:rPr>
    </w:lvl>
    <w:lvl w:ilvl="7" w:tplc="55EA7C82" w:tentative="1">
      <w:start w:val="1"/>
      <w:numFmt w:val="bullet"/>
      <w:lvlText w:val="o"/>
      <w:lvlJc w:val="left"/>
      <w:pPr>
        <w:tabs>
          <w:tab w:val="num" w:pos="5400"/>
        </w:tabs>
        <w:ind w:left="5400" w:hanging="360"/>
      </w:pPr>
      <w:rPr>
        <w:rFonts w:ascii="Courier New" w:hAnsi="Courier New" w:hint="default"/>
      </w:rPr>
    </w:lvl>
    <w:lvl w:ilvl="8" w:tplc="10144492" w:tentative="1">
      <w:start w:val="1"/>
      <w:numFmt w:val="bullet"/>
      <w:lvlText w:val=""/>
      <w:lvlJc w:val="left"/>
      <w:pPr>
        <w:tabs>
          <w:tab w:val="num" w:pos="6120"/>
        </w:tabs>
        <w:ind w:left="6120" w:hanging="360"/>
      </w:pPr>
      <w:rPr>
        <w:rFonts w:ascii="Wingdings" w:hAnsi="Wingdings" w:hint="default"/>
      </w:rPr>
    </w:lvl>
  </w:abstractNum>
  <w:abstractNum w:abstractNumId="2">
    <w:nsid w:val="01DE502E"/>
    <w:multiLevelType w:val="hybridMultilevel"/>
    <w:tmpl w:val="846E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02A4E"/>
    <w:multiLevelType w:val="hybridMultilevel"/>
    <w:tmpl w:val="5192D5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EC651E"/>
    <w:multiLevelType w:val="hybridMultilevel"/>
    <w:tmpl w:val="326CDAE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C20F51"/>
    <w:multiLevelType w:val="hybridMultilevel"/>
    <w:tmpl w:val="899EE83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B740F5"/>
    <w:multiLevelType w:val="multilevel"/>
    <w:tmpl w:val="657CABF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30E573DD"/>
    <w:multiLevelType w:val="hybridMultilevel"/>
    <w:tmpl w:val="7DC8D768"/>
    <w:lvl w:ilvl="0" w:tplc="B8DA311C">
      <w:start w:val="1"/>
      <w:numFmt w:val="bullet"/>
      <w:lvlText w:val=""/>
      <w:lvlJc w:val="left"/>
      <w:pPr>
        <w:tabs>
          <w:tab w:val="num" w:pos="360"/>
        </w:tabs>
        <w:ind w:left="360" w:hanging="360"/>
      </w:pPr>
      <w:rPr>
        <w:rFonts w:ascii="Symbol" w:hAnsi="Symbol" w:hint="default"/>
        <w:color w:val="000000"/>
      </w:rPr>
    </w:lvl>
    <w:lvl w:ilvl="1" w:tplc="7402D3E2" w:tentative="1">
      <w:start w:val="1"/>
      <w:numFmt w:val="bullet"/>
      <w:lvlText w:val="o"/>
      <w:lvlJc w:val="left"/>
      <w:pPr>
        <w:tabs>
          <w:tab w:val="num" w:pos="720"/>
        </w:tabs>
        <w:ind w:left="720" w:hanging="360"/>
      </w:pPr>
      <w:rPr>
        <w:rFonts w:ascii="Courier New" w:hAnsi="Courier New" w:hint="default"/>
      </w:rPr>
    </w:lvl>
    <w:lvl w:ilvl="2" w:tplc="401019FC" w:tentative="1">
      <w:start w:val="1"/>
      <w:numFmt w:val="bullet"/>
      <w:lvlText w:val=""/>
      <w:lvlJc w:val="left"/>
      <w:pPr>
        <w:tabs>
          <w:tab w:val="num" w:pos="1440"/>
        </w:tabs>
        <w:ind w:left="1440" w:hanging="360"/>
      </w:pPr>
      <w:rPr>
        <w:rFonts w:ascii="Wingdings" w:hAnsi="Wingdings" w:hint="default"/>
      </w:rPr>
    </w:lvl>
    <w:lvl w:ilvl="3" w:tplc="3A02B008" w:tentative="1">
      <w:start w:val="1"/>
      <w:numFmt w:val="bullet"/>
      <w:lvlText w:val=""/>
      <w:lvlJc w:val="left"/>
      <w:pPr>
        <w:tabs>
          <w:tab w:val="num" w:pos="2160"/>
        </w:tabs>
        <w:ind w:left="2160" w:hanging="360"/>
      </w:pPr>
      <w:rPr>
        <w:rFonts w:ascii="Symbol" w:hAnsi="Symbol" w:hint="default"/>
      </w:rPr>
    </w:lvl>
    <w:lvl w:ilvl="4" w:tplc="AD88D3E8" w:tentative="1">
      <w:start w:val="1"/>
      <w:numFmt w:val="bullet"/>
      <w:lvlText w:val="o"/>
      <w:lvlJc w:val="left"/>
      <w:pPr>
        <w:tabs>
          <w:tab w:val="num" w:pos="2880"/>
        </w:tabs>
        <w:ind w:left="2880" w:hanging="360"/>
      </w:pPr>
      <w:rPr>
        <w:rFonts w:ascii="Courier New" w:hAnsi="Courier New" w:hint="default"/>
      </w:rPr>
    </w:lvl>
    <w:lvl w:ilvl="5" w:tplc="EAE86584" w:tentative="1">
      <w:start w:val="1"/>
      <w:numFmt w:val="bullet"/>
      <w:lvlText w:val=""/>
      <w:lvlJc w:val="left"/>
      <w:pPr>
        <w:tabs>
          <w:tab w:val="num" w:pos="3600"/>
        </w:tabs>
        <w:ind w:left="3600" w:hanging="360"/>
      </w:pPr>
      <w:rPr>
        <w:rFonts w:ascii="Wingdings" w:hAnsi="Wingdings" w:hint="default"/>
      </w:rPr>
    </w:lvl>
    <w:lvl w:ilvl="6" w:tplc="EAF43F64" w:tentative="1">
      <w:start w:val="1"/>
      <w:numFmt w:val="bullet"/>
      <w:lvlText w:val=""/>
      <w:lvlJc w:val="left"/>
      <w:pPr>
        <w:tabs>
          <w:tab w:val="num" w:pos="4320"/>
        </w:tabs>
        <w:ind w:left="4320" w:hanging="360"/>
      </w:pPr>
      <w:rPr>
        <w:rFonts w:ascii="Symbol" w:hAnsi="Symbol" w:hint="default"/>
      </w:rPr>
    </w:lvl>
    <w:lvl w:ilvl="7" w:tplc="746002EC" w:tentative="1">
      <w:start w:val="1"/>
      <w:numFmt w:val="bullet"/>
      <w:lvlText w:val="o"/>
      <w:lvlJc w:val="left"/>
      <w:pPr>
        <w:tabs>
          <w:tab w:val="num" w:pos="5040"/>
        </w:tabs>
        <w:ind w:left="5040" w:hanging="360"/>
      </w:pPr>
      <w:rPr>
        <w:rFonts w:ascii="Courier New" w:hAnsi="Courier New" w:hint="default"/>
      </w:rPr>
    </w:lvl>
    <w:lvl w:ilvl="8" w:tplc="4F3E5004" w:tentative="1">
      <w:start w:val="1"/>
      <w:numFmt w:val="bullet"/>
      <w:lvlText w:val=""/>
      <w:lvlJc w:val="left"/>
      <w:pPr>
        <w:tabs>
          <w:tab w:val="num" w:pos="5760"/>
        </w:tabs>
        <w:ind w:left="5760" w:hanging="360"/>
      </w:pPr>
      <w:rPr>
        <w:rFonts w:ascii="Wingdings" w:hAnsi="Wingdings" w:hint="default"/>
      </w:rPr>
    </w:lvl>
  </w:abstractNum>
  <w:abstractNum w:abstractNumId="8">
    <w:nsid w:val="446111AB"/>
    <w:multiLevelType w:val="hybridMultilevel"/>
    <w:tmpl w:val="FA3EB2BC"/>
    <w:lvl w:ilvl="0" w:tplc="B8CCE1D2">
      <w:start w:val="1"/>
      <w:numFmt w:val="decimal"/>
      <w:lvlText w:val="%1."/>
      <w:lvlJc w:val="left"/>
      <w:pPr>
        <w:tabs>
          <w:tab w:val="num" w:pos="360"/>
        </w:tabs>
        <w:ind w:left="360" w:hanging="360"/>
      </w:pPr>
    </w:lvl>
    <w:lvl w:ilvl="1" w:tplc="D596980A" w:tentative="1">
      <w:start w:val="1"/>
      <w:numFmt w:val="bullet"/>
      <w:lvlText w:val="o"/>
      <w:lvlJc w:val="left"/>
      <w:pPr>
        <w:tabs>
          <w:tab w:val="num" w:pos="1080"/>
        </w:tabs>
        <w:ind w:left="1080" w:hanging="360"/>
      </w:pPr>
      <w:rPr>
        <w:rFonts w:ascii="Courier New" w:hAnsi="Courier New" w:hint="default"/>
      </w:rPr>
    </w:lvl>
    <w:lvl w:ilvl="2" w:tplc="3B2467A6" w:tentative="1">
      <w:start w:val="1"/>
      <w:numFmt w:val="bullet"/>
      <w:lvlText w:val=""/>
      <w:lvlJc w:val="left"/>
      <w:pPr>
        <w:tabs>
          <w:tab w:val="num" w:pos="1800"/>
        </w:tabs>
        <w:ind w:left="1800" w:hanging="360"/>
      </w:pPr>
      <w:rPr>
        <w:rFonts w:ascii="Wingdings" w:hAnsi="Wingdings" w:hint="default"/>
      </w:rPr>
    </w:lvl>
    <w:lvl w:ilvl="3" w:tplc="C2804F08" w:tentative="1">
      <w:start w:val="1"/>
      <w:numFmt w:val="bullet"/>
      <w:lvlText w:val=""/>
      <w:lvlJc w:val="left"/>
      <w:pPr>
        <w:tabs>
          <w:tab w:val="num" w:pos="2520"/>
        </w:tabs>
        <w:ind w:left="2520" w:hanging="360"/>
      </w:pPr>
      <w:rPr>
        <w:rFonts w:ascii="Symbol" w:hAnsi="Symbol" w:hint="default"/>
      </w:rPr>
    </w:lvl>
    <w:lvl w:ilvl="4" w:tplc="36248DAA" w:tentative="1">
      <w:start w:val="1"/>
      <w:numFmt w:val="bullet"/>
      <w:lvlText w:val="o"/>
      <w:lvlJc w:val="left"/>
      <w:pPr>
        <w:tabs>
          <w:tab w:val="num" w:pos="3240"/>
        </w:tabs>
        <w:ind w:left="3240" w:hanging="360"/>
      </w:pPr>
      <w:rPr>
        <w:rFonts w:ascii="Courier New" w:hAnsi="Courier New" w:hint="default"/>
      </w:rPr>
    </w:lvl>
    <w:lvl w:ilvl="5" w:tplc="495CDD06" w:tentative="1">
      <w:start w:val="1"/>
      <w:numFmt w:val="bullet"/>
      <w:lvlText w:val=""/>
      <w:lvlJc w:val="left"/>
      <w:pPr>
        <w:tabs>
          <w:tab w:val="num" w:pos="3960"/>
        </w:tabs>
        <w:ind w:left="3960" w:hanging="360"/>
      </w:pPr>
      <w:rPr>
        <w:rFonts w:ascii="Wingdings" w:hAnsi="Wingdings" w:hint="default"/>
      </w:rPr>
    </w:lvl>
    <w:lvl w:ilvl="6" w:tplc="A89E56C2" w:tentative="1">
      <w:start w:val="1"/>
      <w:numFmt w:val="bullet"/>
      <w:lvlText w:val=""/>
      <w:lvlJc w:val="left"/>
      <w:pPr>
        <w:tabs>
          <w:tab w:val="num" w:pos="4680"/>
        </w:tabs>
        <w:ind w:left="4680" w:hanging="360"/>
      </w:pPr>
      <w:rPr>
        <w:rFonts w:ascii="Symbol" w:hAnsi="Symbol" w:hint="default"/>
      </w:rPr>
    </w:lvl>
    <w:lvl w:ilvl="7" w:tplc="A12C8A5C" w:tentative="1">
      <w:start w:val="1"/>
      <w:numFmt w:val="bullet"/>
      <w:lvlText w:val="o"/>
      <w:lvlJc w:val="left"/>
      <w:pPr>
        <w:tabs>
          <w:tab w:val="num" w:pos="5400"/>
        </w:tabs>
        <w:ind w:left="5400" w:hanging="360"/>
      </w:pPr>
      <w:rPr>
        <w:rFonts w:ascii="Courier New" w:hAnsi="Courier New" w:hint="default"/>
      </w:rPr>
    </w:lvl>
    <w:lvl w:ilvl="8" w:tplc="969EA5FA" w:tentative="1">
      <w:start w:val="1"/>
      <w:numFmt w:val="bullet"/>
      <w:lvlText w:val=""/>
      <w:lvlJc w:val="left"/>
      <w:pPr>
        <w:tabs>
          <w:tab w:val="num" w:pos="6120"/>
        </w:tabs>
        <w:ind w:left="6120" w:hanging="360"/>
      </w:pPr>
      <w:rPr>
        <w:rFonts w:ascii="Wingdings" w:hAnsi="Wingdings" w:hint="default"/>
      </w:rPr>
    </w:lvl>
  </w:abstractNum>
  <w:abstractNum w:abstractNumId="9">
    <w:nsid w:val="51532CFF"/>
    <w:multiLevelType w:val="hybridMultilevel"/>
    <w:tmpl w:val="E62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5D3597"/>
    <w:multiLevelType w:val="hybridMultilevel"/>
    <w:tmpl w:val="26D65B22"/>
    <w:lvl w:ilvl="0" w:tplc="8ACC1F26">
      <w:start w:val="1"/>
      <w:numFmt w:val="decimal"/>
      <w:lvlText w:val="(%1)"/>
      <w:lvlJc w:val="left"/>
      <w:pPr>
        <w:tabs>
          <w:tab w:val="num" w:pos="360"/>
        </w:tabs>
        <w:ind w:left="36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CC0B30"/>
    <w:multiLevelType w:val="hybridMultilevel"/>
    <w:tmpl w:val="AAC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9733B9"/>
    <w:multiLevelType w:val="hybridMultilevel"/>
    <w:tmpl w:val="67FE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96518E"/>
    <w:multiLevelType w:val="hybridMultilevel"/>
    <w:tmpl w:val="FA3EB2BC"/>
    <w:lvl w:ilvl="0" w:tplc="692A0686">
      <w:start w:val="1"/>
      <w:numFmt w:val="bullet"/>
      <w:lvlText w:val=""/>
      <w:lvlJc w:val="left"/>
      <w:pPr>
        <w:tabs>
          <w:tab w:val="num" w:pos="360"/>
        </w:tabs>
        <w:ind w:left="360" w:hanging="360"/>
      </w:pPr>
      <w:rPr>
        <w:rFonts w:ascii="Symbol" w:hAnsi="Symbol" w:hint="default"/>
      </w:rPr>
    </w:lvl>
    <w:lvl w:ilvl="1" w:tplc="7FD4488A" w:tentative="1">
      <w:start w:val="1"/>
      <w:numFmt w:val="bullet"/>
      <w:lvlText w:val="o"/>
      <w:lvlJc w:val="left"/>
      <w:pPr>
        <w:tabs>
          <w:tab w:val="num" w:pos="1080"/>
        </w:tabs>
        <w:ind w:left="1080" w:hanging="360"/>
      </w:pPr>
      <w:rPr>
        <w:rFonts w:ascii="Courier New" w:hAnsi="Courier New" w:hint="default"/>
      </w:rPr>
    </w:lvl>
    <w:lvl w:ilvl="2" w:tplc="241253DC" w:tentative="1">
      <w:start w:val="1"/>
      <w:numFmt w:val="bullet"/>
      <w:lvlText w:val=""/>
      <w:lvlJc w:val="left"/>
      <w:pPr>
        <w:tabs>
          <w:tab w:val="num" w:pos="1800"/>
        </w:tabs>
        <w:ind w:left="1800" w:hanging="360"/>
      </w:pPr>
      <w:rPr>
        <w:rFonts w:ascii="Wingdings" w:hAnsi="Wingdings" w:hint="default"/>
      </w:rPr>
    </w:lvl>
    <w:lvl w:ilvl="3" w:tplc="7C7627BE" w:tentative="1">
      <w:start w:val="1"/>
      <w:numFmt w:val="bullet"/>
      <w:lvlText w:val=""/>
      <w:lvlJc w:val="left"/>
      <w:pPr>
        <w:tabs>
          <w:tab w:val="num" w:pos="2520"/>
        </w:tabs>
        <w:ind w:left="2520" w:hanging="360"/>
      </w:pPr>
      <w:rPr>
        <w:rFonts w:ascii="Symbol" w:hAnsi="Symbol" w:hint="default"/>
      </w:rPr>
    </w:lvl>
    <w:lvl w:ilvl="4" w:tplc="E8080526" w:tentative="1">
      <w:start w:val="1"/>
      <w:numFmt w:val="bullet"/>
      <w:lvlText w:val="o"/>
      <w:lvlJc w:val="left"/>
      <w:pPr>
        <w:tabs>
          <w:tab w:val="num" w:pos="3240"/>
        </w:tabs>
        <w:ind w:left="3240" w:hanging="360"/>
      </w:pPr>
      <w:rPr>
        <w:rFonts w:ascii="Courier New" w:hAnsi="Courier New" w:hint="default"/>
      </w:rPr>
    </w:lvl>
    <w:lvl w:ilvl="5" w:tplc="F8103814" w:tentative="1">
      <w:start w:val="1"/>
      <w:numFmt w:val="bullet"/>
      <w:lvlText w:val=""/>
      <w:lvlJc w:val="left"/>
      <w:pPr>
        <w:tabs>
          <w:tab w:val="num" w:pos="3960"/>
        </w:tabs>
        <w:ind w:left="3960" w:hanging="360"/>
      </w:pPr>
      <w:rPr>
        <w:rFonts w:ascii="Wingdings" w:hAnsi="Wingdings" w:hint="default"/>
      </w:rPr>
    </w:lvl>
    <w:lvl w:ilvl="6" w:tplc="C29201CA" w:tentative="1">
      <w:start w:val="1"/>
      <w:numFmt w:val="bullet"/>
      <w:lvlText w:val=""/>
      <w:lvlJc w:val="left"/>
      <w:pPr>
        <w:tabs>
          <w:tab w:val="num" w:pos="4680"/>
        </w:tabs>
        <w:ind w:left="4680" w:hanging="360"/>
      </w:pPr>
      <w:rPr>
        <w:rFonts w:ascii="Symbol" w:hAnsi="Symbol" w:hint="default"/>
      </w:rPr>
    </w:lvl>
    <w:lvl w:ilvl="7" w:tplc="EF8A4498" w:tentative="1">
      <w:start w:val="1"/>
      <w:numFmt w:val="bullet"/>
      <w:lvlText w:val="o"/>
      <w:lvlJc w:val="left"/>
      <w:pPr>
        <w:tabs>
          <w:tab w:val="num" w:pos="5400"/>
        </w:tabs>
        <w:ind w:left="5400" w:hanging="360"/>
      </w:pPr>
      <w:rPr>
        <w:rFonts w:ascii="Courier New" w:hAnsi="Courier New" w:hint="default"/>
      </w:rPr>
    </w:lvl>
    <w:lvl w:ilvl="8" w:tplc="FF9EEF00" w:tentative="1">
      <w:start w:val="1"/>
      <w:numFmt w:val="bullet"/>
      <w:lvlText w:val=""/>
      <w:lvlJc w:val="left"/>
      <w:pPr>
        <w:tabs>
          <w:tab w:val="num" w:pos="6120"/>
        </w:tabs>
        <w:ind w:left="6120" w:hanging="360"/>
      </w:pPr>
      <w:rPr>
        <w:rFonts w:ascii="Wingdings" w:hAnsi="Wingdings" w:hint="default"/>
      </w:rPr>
    </w:lvl>
  </w:abstractNum>
  <w:abstractNum w:abstractNumId="14">
    <w:nsid w:val="6D174B8F"/>
    <w:multiLevelType w:val="hybridMultilevel"/>
    <w:tmpl w:val="FA3EB2BC"/>
    <w:lvl w:ilvl="0" w:tplc="B1E8BE0E">
      <w:start w:val="1"/>
      <w:numFmt w:val="bullet"/>
      <w:lvlText w:val=""/>
      <w:lvlJc w:val="left"/>
      <w:pPr>
        <w:tabs>
          <w:tab w:val="num" w:pos="360"/>
        </w:tabs>
        <w:ind w:left="360" w:hanging="360"/>
      </w:pPr>
      <w:rPr>
        <w:rFonts w:ascii="Symbol" w:hAnsi="Symbol" w:hint="default"/>
      </w:rPr>
    </w:lvl>
    <w:lvl w:ilvl="1" w:tplc="9A043074">
      <w:start w:val="1"/>
      <w:numFmt w:val="bullet"/>
      <w:lvlText w:val=""/>
      <w:lvlJc w:val="left"/>
      <w:pPr>
        <w:tabs>
          <w:tab w:val="num" w:pos="1080"/>
        </w:tabs>
        <w:ind w:left="1080" w:hanging="360"/>
      </w:pPr>
      <w:rPr>
        <w:rFonts w:ascii="Symbol" w:hAnsi="Symbol" w:hint="default"/>
        <w:color w:val="000000"/>
      </w:rPr>
    </w:lvl>
    <w:lvl w:ilvl="2" w:tplc="52FE3130" w:tentative="1">
      <w:start w:val="1"/>
      <w:numFmt w:val="bullet"/>
      <w:lvlText w:val=""/>
      <w:lvlJc w:val="left"/>
      <w:pPr>
        <w:tabs>
          <w:tab w:val="num" w:pos="1800"/>
        </w:tabs>
        <w:ind w:left="1800" w:hanging="360"/>
      </w:pPr>
      <w:rPr>
        <w:rFonts w:ascii="Wingdings" w:hAnsi="Wingdings" w:hint="default"/>
      </w:rPr>
    </w:lvl>
    <w:lvl w:ilvl="3" w:tplc="8ECA69E0" w:tentative="1">
      <w:start w:val="1"/>
      <w:numFmt w:val="bullet"/>
      <w:lvlText w:val=""/>
      <w:lvlJc w:val="left"/>
      <w:pPr>
        <w:tabs>
          <w:tab w:val="num" w:pos="2520"/>
        </w:tabs>
        <w:ind w:left="2520" w:hanging="360"/>
      </w:pPr>
      <w:rPr>
        <w:rFonts w:ascii="Symbol" w:hAnsi="Symbol" w:hint="default"/>
      </w:rPr>
    </w:lvl>
    <w:lvl w:ilvl="4" w:tplc="5052D936" w:tentative="1">
      <w:start w:val="1"/>
      <w:numFmt w:val="bullet"/>
      <w:lvlText w:val="o"/>
      <w:lvlJc w:val="left"/>
      <w:pPr>
        <w:tabs>
          <w:tab w:val="num" w:pos="3240"/>
        </w:tabs>
        <w:ind w:left="3240" w:hanging="360"/>
      </w:pPr>
      <w:rPr>
        <w:rFonts w:ascii="Courier New" w:hAnsi="Courier New" w:hint="default"/>
      </w:rPr>
    </w:lvl>
    <w:lvl w:ilvl="5" w:tplc="6554C288" w:tentative="1">
      <w:start w:val="1"/>
      <w:numFmt w:val="bullet"/>
      <w:lvlText w:val=""/>
      <w:lvlJc w:val="left"/>
      <w:pPr>
        <w:tabs>
          <w:tab w:val="num" w:pos="3960"/>
        </w:tabs>
        <w:ind w:left="3960" w:hanging="360"/>
      </w:pPr>
      <w:rPr>
        <w:rFonts w:ascii="Wingdings" w:hAnsi="Wingdings" w:hint="default"/>
      </w:rPr>
    </w:lvl>
    <w:lvl w:ilvl="6" w:tplc="6602C714" w:tentative="1">
      <w:start w:val="1"/>
      <w:numFmt w:val="bullet"/>
      <w:lvlText w:val=""/>
      <w:lvlJc w:val="left"/>
      <w:pPr>
        <w:tabs>
          <w:tab w:val="num" w:pos="4680"/>
        </w:tabs>
        <w:ind w:left="4680" w:hanging="360"/>
      </w:pPr>
      <w:rPr>
        <w:rFonts w:ascii="Symbol" w:hAnsi="Symbol" w:hint="default"/>
      </w:rPr>
    </w:lvl>
    <w:lvl w:ilvl="7" w:tplc="FF1A1AA2" w:tentative="1">
      <w:start w:val="1"/>
      <w:numFmt w:val="bullet"/>
      <w:lvlText w:val="o"/>
      <w:lvlJc w:val="left"/>
      <w:pPr>
        <w:tabs>
          <w:tab w:val="num" w:pos="5400"/>
        </w:tabs>
        <w:ind w:left="5400" w:hanging="360"/>
      </w:pPr>
      <w:rPr>
        <w:rFonts w:ascii="Courier New" w:hAnsi="Courier New" w:hint="default"/>
      </w:rPr>
    </w:lvl>
    <w:lvl w:ilvl="8" w:tplc="2DE28B2C" w:tentative="1">
      <w:start w:val="1"/>
      <w:numFmt w:val="bullet"/>
      <w:lvlText w:val=""/>
      <w:lvlJc w:val="left"/>
      <w:pPr>
        <w:tabs>
          <w:tab w:val="num" w:pos="6120"/>
        </w:tabs>
        <w:ind w:left="6120" w:hanging="360"/>
      </w:pPr>
      <w:rPr>
        <w:rFonts w:ascii="Wingdings" w:hAnsi="Wingdings" w:hint="default"/>
      </w:rPr>
    </w:lvl>
  </w:abstractNum>
  <w:abstractNum w:abstractNumId="15">
    <w:nsid w:val="7A7F2DD5"/>
    <w:multiLevelType w:val="hybridMultilevel"/>
    <w:tmpl w:val="1C207B6E"/>
    <w:lvl w:ilvl="0" w:tplc="640A72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295102"/>
    <w:multiLevelType w:val="hybridMultilevel"/>
    <w:tmpl w:val="FA3EB2BC"/>
    <w:lvl w:ilvl="0" w:tplc="1CCAC4BA">
      <w:start w:val="1"/>
      <w:numFmt w:val="bullet"/>
      <w:lvlText w:val=""/>
      <w:lvlJc w:val="left"/>
      <w:pPr>
        <w:tabs>
          <w:tab w:val="num" w:pos="360"/>
        </w:tabs>
        <w:ind w:left="360" w:hanging="360"/>
      </w:pPr>
      <w:rPr>
        <w:rFonts w:ascii="Symbol" w:hAnsi="Symbol" w:hint="default"/>
      </w:rPr>
    </w:lvl>
    <w:lvl w:ilvl="1" w:tplc="93906534" w:tentative="1">
      <w:start w:val="1"/>
      <w:numFmt w:val="bullet"/>
      <w:lvlText w:val="o"/>
      <w:lvlJc w:val="left"/>
      <w:pPr>
        <w:tabs>
          <w:tab w:val="num" w:pos="1080"/>
        </w:tabs>
        <w:ind w:left="1080" w:hanging="360"/>
      </w:pPr>
      <w:rPr>
        <w:rFonts w:ascii="Courier New" w:hAnsi="Courier New" w:hint="default"/>
      </w:rPr>
    </w:lvl>
    <w:lvl w:ilvl="2" w:tplc="10AAB842" w:tentative="1">
      <w:start w:val="1"/>
      <w:numFmt w:val="bullet"/>
      <w:lvlText w:val=""/>
      <w:lvlJc w:val="left"/>
      <w:pPr>
        <w:tabs>
          <w:tab w:val="num" w:pos="1800"/>
        </w:tabs>
        <w:ind w:left="1800" w:hanging="360"/>
      </w:pPr>
      <w:rPr>
        <w:rFonts w:ascii="Wingdings" w:hAnsi="Wingdings" w:hint="default"/>
      </w:rPr>
    </w:lvl>
    <w:lvl w:ilvl="3" w:tplc="2A4C296C" w:tentative="1">
      <w:start w:val="1"/>
      <w:numFmt w:val="bullet"/>
      <w:lvlText w:val=""/>
      <w:lvlJc w:val="left"/>
      <w:pPr>
        <w:tabs>
          <w:tab w:val="num" w:pos="2520"/>
        </w:tabs>
        <w:ind w:left="2520" w:hanging="360"/>
      </w:pPr>
      <w:rPr>
        <w:rFonts w:ascii="Symbol" w:hAnsi="Symbol" w:hint="default"/>
      </w:rPr>
    </w:lvl>
    <w:lvl w:ilvl="4" w:tplc="655E42A0" w:tentative="1">
      <w:start w:val="1"/>
      <w:numFmt w:val="bullet"/>
      <w:lvlText w:val="o"/>
      <w:lvlJc w:val="left"/>
      <w:pPr>
        <w:tabs>
          <w:tab w:val="num" w:pos="3240"/>
        </w:tabs>
        <w:ind w:left="3240" w:hanging="360"/>
      </w:pPr>
      <w:rPr>
        <w:rFonts w:ascii="Courier New" w:hAnsi="Courier New" w:hint="default"/>
      </w:rPr>
    </w:lvl>
    <w:lvl w:ilvl="5" w:tplc="58E6E6D2" w:tentative="1">
      <w:start w:val="1"/>
      <w:numFmt w:val="bullet"/>
      <w:lvlText w:val=""/>
      <w:lvlJc w:val="left"/>
      <w:pPr>
        <w:tabs>
          <w:tab w:val="num" w:pos="3960"/>
        </w:tabs>
        <w:ind w:left="3960" w:hanging="360"/>
      </w:pPr>
      <w:rPr>
        <w:rFonts w:ascii="Wingdings" w:hAnsi="Wingdings" w:hint="default"/>
      </w:rPr>
    </w:lvl>
    <w:lvl w:ilvl="6" w:tplc="A030BE74" w:tentative="1">
      <w:start w:val="1"/>
      <w:numFmt w:val="bullet"/>
      <w:lvlText w:val=""/>
      <w:lvlJc w:val="left"/>
      <w:pPr>
        <w:tabs>
          <w:tab w:val="num" w:pos="4680"/>
        </w:tabs>
        <w:ind w:left="4680" w:hanging="360"/>
      </w:pPr>
      <w:rPr>
        <w:rFonts w:ascii="Symbol" w:hAnsi="Symbol" w:hint="default"/>
      </w:rPr>
    </w:lvl>
    <w:lvl w:ilvl="7" w:tplc="125CAE50" w:tentative="1">
      <w:start w:val="1"/>
      <w:numFmt w:val="bullet"/>
      <w:lvlText w:val="o"/>
      <w:lvlJc w:val="left"/>
      <w:pPr>
        <w:tabs>
          <w:tab w:val="num" w:pos="5400"/>
        </w:tabs>
        <w:ind w:left="5400" w:hanging="360"/>
      </w:pPr>
      <w:rPr>
        <w:rFonts w:ascii="Courier New" w:hAnsi="Courier New" w:hint="default"/>
      </w:rPr>
    </w:lvl>
    <w:lvl w:ilvl="8" w:tplc="D7C42FDE" w:tentative="1">
      <w:start w:val="1"/>
      <w:numFmt w:val="bullet"/>
      <w:lvlText w:val=""/>
      <w:lvlJc w:val="left"/>
      <w:pPr>
        <w:tabs>
          <w:tab w:val="num" w:pos="6120"/>
        </w:tabs>
        <w:ind w:left="6120" w:hanging="360"/>
      </w:pPr>
      <w:rPr>
        <w:rFonts w:ascii="Wingdings" w:hAnsi="Wingdings" w:hint="default"/>
      </w:rPr>
    </w:lvl>
  </w:abstractNum>
  <w:abstractNum w:abstractNumId="17">
    <w:nsid w:val="7FD1526E"/>
    <w:multiLevelType w:val="hybridMultilevel"/>
    <w:tmpl w:val="F7FE4F60"/>
    <w:lvl w:ilvl="0" w:tplc="4304581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8"/>
  </w:num>
  <w:num w:numId="3">
    <w:abstractNumId w:val="1"/>
  </w:num>
  <w:num w:numId="4">
    <w:abstractNumId w:val="13"/>
  </w:num>
  <w:num w:numId="5">
    <w:abstractNumId w:val="14"/>
  </w:num>
  <w:num w:numId="6">
    <w:abstractNumId w:val="7"/>
  </w:num>
  <w:num w:numId="7">
    <w:abstractNumId w:val="3"/>
  </w:num>
  <w:num w:numId="8">
    <w:abstractNumId w:val="4"/>
  </w:num>
  <w:num w:numId="9">
    <w:abstractNumId w:val="2"/>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15"/>
  </w:num>
  <w:num w:numId="12">
    <w:abstractNumId w:val="6"/>
  </w:num>
  <w:num w:numId="13">
    <w:abstractNumId w:val="10"/>
  </w:num>
  <w:num w:numId="14">
    <w:abstractNumId w:val="17"/>
  </w:num>
  <w:num w:numId="15">
    <w:abstractNumId w:val="12"/>
  </w:num>
  <w:num w:numId="16">
    <w:abstractNumId w:val="11"/>
  </w:num>
  <w:num w:numId="17">
    <w:abstractNumId w:val="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F492F"/>
    <w:rsid w:val="0000452C"/>
    <w:rsid w:val="00005B9F"/>
    <w:rsid w:val="00005F52"/>
    <w:rsid w:val="000126EC"/>
    <w:rsid w:val="00021EDF"/>
    <w:rsid w:val="00026F19"/>
    <w:rsid w:val="0003231D"/>
    <w:rsid w:val="000334DD"/>
    <w:rsid w:val="00033BC8"/>
    <w:rsid w:val="000406F1"/>
    <w:rsid w:val="00041B92"/>
    <w:rsid w:val="00047499"/>
    <w:rsid w:val="000500D3"/>
    <w:rsid w:val="00057800"/>
    <w:rsid w:val="0006689F"/>
    <w:rsid w:val="00074911"/>
    <w:rsid w:val="00076718"/>
    <w:rsid w:val="00076B95"/>
    <w:rsid w:val="0008147F"/>
    <w:rsid w:val="00081EF1"/>
    <w:rsid w:val="000833F4"/>
    <w:rsid w:val="000862B6"/>
    <w:rsid w:val="00086728"/>
    <w:rsid w:val="000869AC"/>
    <w:rsid w:val="000903B9"/>
    <w:rsid w:val="00093087"/>
    <w:rsid w:val="00095B5B"/>
    <w:rsid w:val="000A0E80"/>
    <w:rsid w:val="000A2A44"/>
    <w:rsid w:val="000A2D31"/>
    <w:rsid w:val="000B20ED"/>
    <w:rsid w:val="000B2E81"/>
    <w:rsid w:val="000B34D4"/>
    <w:rsid w:val="000B7B4D"/>
    <w:rsid w:val="000C3E00"/>
    <w:rsid w:val="000C6100"/>
    <w:rsid w:val="000C63CC"/>
    <w:rsid w:val="000C78F8"/>
    <w:rsid w:val="000E09B7"/>
    <w:rsid w:val="000E38CB"/>
    <w:rsid w:val="000E61CE"/>
    <w:rsid w:val="000F5A49"/>
    <w:rsid w:val="000F74EA"/>
    <w:rsid w:val="000F78EC"/>
    <w:rsid w:val="0010484E"/>
    <w:rsid w:val="001052AA"/>
    <w:rsid w:val="00106803"/>
    <w:rsid w:val="00111535"/>
    <w:rsid w:val="0011679E"/>
    <w:rsid w:val="001203C8"/>
    <w:rsid w:val="00121FE8"/>
    <w:rsid w:val="001273E7"/>
    <w:rsid w:val="001302E3"/>
    <w:rsid w:val="0013676F"/>
    <w:rsid w:val="00143671"/>
    <w:rsid w:val="00143FEF"/>
    <w:rsid w:val="001458B5"/>
    <w:rsid w:val="00145DAB"/>
    <w:rsid w:val="00146438"/>
    <w:rsid w:val="00150002"/>
    <w:rsid w:val="00150543"/>
    <w:rsid w:val="00163D3D"/>
    <w:rsid w:val="0016454F"/>
    <w:rsid w:val="001647BD"/>
    <w:rsid w:val="00167718"/>
    <w:rsid w:val="00173C9D"/>
    <w:rsid w:val="00174396"/>
    <w:rsid w:val="00180114"/>
    <w:rsid w:val="0018038C"/>
    <w:rsid w:val="00184CC0"/>
    <w:rsid w:val="00190549"/>
    <w:rsid w:val="001934AD"/>
    <w:rsid w:val="00196556"/>
    <w:rsid w:val="0019682B"/>
    <w:rsid w:val="00197A83"/>
    <w:rsid w:val="001A6565"/>
    <w:rsid w:val="001B200B"/>
    <w:rsid w:val="001B24C3"/>
    <w:rsid w:val="001B4E32"/>
    <w:rsid w:val="001B4E34"/>
    <w:rsid w:val="001B5513"/>
    <w:rsid w:val="001B6046"/>
    <w:rsid w:val="001B6159"/>
    <w:rsid w:val="001C31AC"/>
    <w:rsid w:val="001C44F2"/>
    <w:rsid w:val="001C5331"/>
    <w:rsid w:val="001C7AC8"/>
    <w:rsid w:val="001D32C0"/>
    <w:rsid w:val="001D6075"/>
    <w:rsid w:val="001D6108"/>
    <w:rsid w:val="001D6DD3"/>
    <w:rsid w:val="001E1B7C"/>
    <w:rsid w:val="001E5B68"/>
    <w:rsid w:val="001E69E4"/>
    <w:rsid w:val="001F16E7"/>
    <w:rsid w:val="001F3429"/>
    <w:rsid w:val="002009F9"/>
    <w:rsid w:val="00203DCD"/>
    <w:rsid w:val="0020436F"/>
    <w:rsid w:val="00204BB5"/>
    <w:rsid w:val="00210196"/>
    <w:rsid w:val="0021158C"/>
    <w:rsid w:val="00214FE5"/>
    <w:rsid w:val="00216988"/>
    <w:rsid w:val="00217296"/>
    <w:rsid w:val="00217B44"/>
    <w:rsid w:val="00222156"/>
    <w:rsid w:val="00226887"/>
    <w:rsid w:val="00235E3D"/>
    <w:rsid w:val="00243602"/>
    <w:rsid w:val="00251754"/>
    <w:rsid w:val="00253467"/>
    <w:rsid w:val="0025464C"/>
    <w:rsid w:val="00260814"/>
    <w:rsid w:val="0027179D"/>
    <w:rsid w:val="00272A6E"/>
    <w:rsid w:val="0027573E"/>
    <w:rsid w:val="00281266"/>
    <w:rsid w:val="002816BB"/>
    <w:rsid w:val="00285B5D"/>
    <w:rsid w:val="00286465"/>
    <w:rsid w:val="00287747"/>
    <w:rsid w:val="00293782"/>
    <w:rsid w:val="00293DAE"/>
    <w:rsid w:val="0029669E"/>
    <w:rsid w:val="002A005D"/>
    <w:rsid w:val="002A108A"/>
    <w:rsid w:val="002B52A0"/>
    <w:rsid w:val="002C25C3"/>
    <w:rsid w:val="002C3F36"/>
    <w:rsid w:val="002C5486"/>
    <w:rsid w:val="002D0266"/>
    <w:rsid w:val="002D2A04"/>
    <w:rsid w:val="002F3480"/>
    <w:rsid w:val="002F359E"/>
    <w:rsid w:val="002F5B64"/>
    <w:rsid w:val="002F5EE4"/>
    <w:rsid w:val="002F6CDD"/>
    <w:rsid w:val="003025C7"/>
    <w:rsid w:val="00302FEE"/>
    <w:rsid w:val="00303F45"/>
    <w:rsid w:val="00303F4A"/>
    <w:rsid w:val="00314DE5"/>
    <w:rsid w:val="003261C3"/>
    <w:rsid w:val="00334245"/>
    <w:rsid w:val="0034643C"/>
    <w:rsid w:val="0034649E"/>
    <w:rsid w:val="003527F8"/>
    <w:rsid w:val="00354943"/>
    <w:rsid w:val="00365557"/>
    <w:rsid w:val="003657E0"/>
    <w:rsid w:val="003704ED"/>
    <w:rsid w:val="00370D61"/>
    <w:rsid w:val="00372AB9"/>
    <w:rsid w:val="00376181"/>
    <w:rsid w:val="003762CA"/>
    <w:rsid w:val="00377B3B"/>
    <w:rsid w:val="00382DD0"/>
    <w:rsid w:val="00384E7A"/>
    <w:rsid w:val="00394A0C"/>
    <w:rsid w:val="00396D98"/>
    <w:rsid w:val="003A2E3D"/>
    <w:rsid w:val="003A32CC"/>
    <w:rsid w:val="003A4301"/>
    <w:rsid w:val="003A6C1F"/>
    <w:rsid w:val="003B5982"/>
    <w:rsid w:val="003C1DE5"/>
    <w:rsid w:val="003C4105"/>
    <w:rsid w:val="003C421A"/>
    <w:rsid w:val="003C496C"/>
    <w:rsid w:val="003C578D"/>
    <w:rsid w:val="003C5BC4"/>
    <w:rsid w:val="003C65F4"/>
    <w:rsid w:val="003D1C4E"/>
    <w:rsid w:val="003D623B"/>
    <w:rsid w:val="003D6BD0"/>
    <w:rsid w:val="003D75FC"/>
    <w:rsid w:val="00402D41"/>
    <w:rsid w:val="00407758"/>
    <w:rsid w:val="004130DC"/>
    <w:rsid w:val="00415E61"/>
    <w:rsid w:val="004167F7"/>
    <w:rsid w:val="00417110"/>
    <w:rsid w:val="00422562"/>
    <w:rsid w:val="0042763A"/>
    <w:rsid w:val="00431ED7"/>
    <w:rsid w:val="004321AA"/>
    <w:rsid w:val="00433D49"/>
    <w:rsid w:val="00435830"/>
    <w:rsid w:val="00440703"/>
    <w:rsid w:val="00443B8C"/>
    <w:rsid w:val="004512E2"/>
    <w:rsid w:val="00452AFF"/>
    <w:rsid w:val="00455597"/>
    <w:rsid w:val="00465AF1"/>
    <w:rsid w:val="00471220"/>
    <w:rsid w:val="004723B4"/>
    <w:rsid w:val="004803FC"/>
    <w:rsid w:val="004844FB"/>
    <w:rsid w:val="00486C62"/>
    <w:rsid w:val="0049089B"/>
    <w:rsid w:val="004958F4"/>
    <w:rsid w:val="00497B72"/>
    <w:rsid w:val="004A1A37"/>
    <w:rsid w:val="004B1FBB"/>
    <w:rsid w:val="004B4B16"/>
    <w:rsid w:val="004C054F"/>
    <w:rsid w:val="004C0A9B"/>
    <w:rsid w:val="004C4BFB"/>
    <w:rsid w:val="004C7FA3"/>
    <w:rsid w:val="004D5F3C"/>
    <w:rsid w:val="004E5D3D"/>
    <w:rsid w:val="004E7DB7"/>
    <w:rsid w:val="004F0206"/>
    <w:rsid w:val="004F0905"/>
    <w:rsid w:val="005023DA"/>
    <w:rsid w:val="00503122"/>
    <w:rsid w:val="00512B39"/>
    <w:rsid w:val="00516BD8"/>
    <w:rsid w:val="005201EF"/>
    <w:rsid w:val="00521A78"/>
    <w:rsid w:val="00521B06"/>
    <w:rsid w:val="00522486"/>
    <w:rsid w:val="00533698"/>
    <w:rsid w:val="00535F3B"/>
    <w:rsid w:val="005376CF"/>
    <w:rsid w:val="00542FD2"/>
    <w:rsid w:val="005454DE"/>
    <w:rsid w:val="00547929"/>
    <w:rsid w:val="0055396A"/>
    <w:rsid w:val="00563634"/>
    <w:rsid w:val="00565696"/>
    <w:rsid w:val="00570C7B"/>
    <w:rsid w:val="005769DE"/>
    <w:rsid w:val="0059023D"/>
    <w:rsid w:val="005A08FD"/>
    <w:rsid w:val="005A34F7"/>
    <w:rsid w:val="005A3ABA"/>
    <w:rsid w:val="005A5C81"/>
    <w:rsid w:val="005B430B"/>
    <w:rsid w:val="005C5700"/>
    <w:rsid w:val="005D6D9C"/>
    <w:rsid w:val="005E0914"/>
    <w:rsid w:val="005F0A78"/>
    <w:rsid w:val="005F2CFA"/>
    <w:rsid w:val="005F41AE"/>
    <w:rsid w:val="006025EA"/>
    <w:rsid w:val="006073AE"/>
    <w:rsid w:val="00612857"/>
    <w:rsid w:val="00622066"/>
    <w:rsid w:val="00623957"/>
    <w:rsid w:val="0062683A"/>
    <w:rsid w:val="006326B8"/>
    <w:rsid w:val="006345AA"/>
    <w:rsid w:val="00635F50"/>
    <w:rsid w:val="00643BC2"/>
    <w:rsid w:val="006463E5"/>
    <w:rsid w:val="00650659"/>
    <w:rsid w:val="00663B43"/>
    <w:rsid w:val="006712C0"/>
    <w:rsid w:val="0067666C"/>
    <w:rsid w:val="006821C6"/>
    <w:rsid w:val="006905D8"/>
    <w:rsid w:val="006917BA"/>
    <w:rsid w:val="00692AB6"/>
    <w:rsid w:val="006A1C70"/>
    <w:rsid w:val="006A3AF7"/>
    <w:rsid w:val="006A4A61"/>
    <w:rsid w:val="006B0599"/>
    <w:rsid w:val="006B107E"/>
    <w:rsid w:val="006C2056"/>
    <w:rsid w:val="006C4572"/>
    <w:rsid w:val="006D4CFA"/>
    <w:rsid w:val="006D6929"/>
    <w:rsid w:val="006E1E81"/>
    <w:rsid w:val="006F0F88"/>
    <w:rsid w:val="006F362E"/>
    <w:rsid w:val="006F4282"/>
    <w:rsid w:val="0070312B"/>
    <w:rsid w:val="00705308"/>
    <w:rsid w:val="00706ADF"/>
    <w:rsid w:val="00706C36"/>
    <w:rsid w:val="007121F9"/>
    <w:rsid w:val="00727516"/>
    <w:rsid w:val="007276E3"/>
    <w:rsid w:val="00730BE5"/>
    <w:rsid w:val="00730FD1"/>
    <w:rsid w:val="007373D2"/>
    <w:rsid w:val="007418B4"/>
    <w:rsid w:val="0074354B"/>
    <w:rsid w:val="007469D0"/>
    <w:rsid w:val="00752B8E"/>
    <w:rsid w:val="0075467D"/>
    <w:rsid w:val="00756CD6"/>
    <w:rsid w:val="0076097A"/>
    <w:rsid w:val="00760BAA"/>
    <w:rsid w:val="00761631"/>
    <w:rsid w:val="00772B68"/>
    <w:rsid w:val="00774301"/>
    <w:rsid w:val="007745B2"/>
    <w:rsid w:val="00775558"/>
    <w:rsid w:val="00783A45"/>
    <w:rsid w:val="00786043"/>
    <w:rsid w:val="00791432"/>
    <w:rsid w:val="007918A5"/>
    <w:rsid w:val="00793E79"/>
    <w:rsid w:val="007965AE"/>
    <w:rsid w:val="007A417C"/>
    <w:rsid w:val="007A6336"/>
    <w:rsid w:val="007B2F3C"/>
    <w:rsid w:val="007B5878"/>
    <w:rsid w:val="007C072D"/>
    <w:rsid w:val="007C1B0E"/>
    <w:rsid w:val="007E5B7D"/>
    <w:rsid w:val="007E60BD"/>
    <w:rsid w:val="007E6363"/>
    <w:rsid w:val="0080462D"/>
    <w:rsid w:val="00806F81"/>
    <w:rsid w:val="00814542"/>
    <w:rsid w:val="008227E3"/>
    <w:rsid w:val="008266D3"/>
    <w:rsid w:val="00837E32"/>
    <w:rsid w:val="0084078A"/>
    <w:rsid w:val="00847310"/>
    <w:rsid w:val="00852940"/>
    <w:rsid w:val="00854D48"/>
    <w:rsid w:val="008658D3"/>
    <w:rsid w:val="00872564"/>
    <w:rsid w:val="008738D2"/>
    <w:rsid w:val="008750E1"/>
    <w:rsid w:val="00881B12"/>
    <w:rsid w:val="008827FE"/>
    <w:rsid w:val="00882E84"/>
    <w:rsid w:val="00885F83"/>
    <w:rsid w:val="00886D93"/>
    <w:rsid w:val="00892808"/>
    <w:rsid w:val="00893AAD"/>
    <w:rsid w:val="00893B4B"/>
    <w:rsid w:val="00895747"/>
    <w:rsid w:val="008B2416"/>
    <w:rsid w:val="008C2C17"/>
    <w:rsid w:val="008D12FD"/>
    <w:rsid w:val="008F3901"/>
    <w:rsid w:val="008F6675"/>
    <w:rsid w:val="0090603C"/>
    <w:rsid w:val="009105E3"/>
    <w:rsid w:val="00911060"/>
    <w:rsid w:val="0091621B"/>
    <w:rsid w:val="0092161E"/>
    <w:rsid w:val="00923A1C"/>
    <w:rsid w:val="00927708"/>
    <w:rsid w:val="00930F94"/>
    <w:rsid w:val="00931BAE"/>
    <w:rsid w:val="00933861"/>
    <w:rsid w:val="00933B64"/>
    <w:rsid w:val="00940682"/>
    <w:rsid w:val="009429A8"/>
    <w:rsid w:val="009447A1"/>
    <w:rsid w:val="00955BE0"/>
    <w:rsid w:val="00955DC3"/>
    <w:rsid w:val="009632AA"/>
    <w:rsid w:val="00972BBC"/>
    <w:rsid w:val="00974025"/>
    <w:rsid w:val="009838F2"/>
    <w:rsid w:val="0099350B"/>
    <w:rsid w:val="00994991"/>
    <w:rsid w:val="009974B8"/>
    <w:rsid w:val="009A01BC"/>
    <w:rsid w:val="009A09CC"/>
    <w:rsid w:val="009A2721"/>
    <w:rsid w:val="009A2BC2"/>
    <w:rsid w:val="009B7C11"/>
    <w:rsid w:val="009C65C1"/>
    <w:rsid w:val="009D700B"/>
    <w:rsid w:val="009E3545"/>
    <w:rsid w:val="00A00A13"/>
    <w:rsid w:val="00A02E5B"/>
    <w:rsid w:val="00A06592"/>
    <w:rsid w:val="00A07A01"/>
    <w:rsid w:val="00A13244"/>
    <w:rsid w:val="00A133B0"/>
    <w:rsid w:val="00A169B6"/>
    <w:rsid w:val="00A21001"/>
    <w:rsid w:val="00A2221E"/>
    <w:rsid w:val="00A34AE1"/>
    <w:rsid w:val="00A41D4E"/>
    <w:rsid w:val="00A51CB8"/>
    <w:rsid w:val="00A5503C"/>
    <w:rsid w:val="00A601FE"/>
    <w:rsid w:val="00A60A36"/>
    <w:rsid w:val="00A64536"/>
    <w:rsid w:val="00A65966"/>
    <w:rsid w:val="00A73A4E"/>
    <w:rsid w:val="00A76504"/>
    <w:rsid w:val="00A76552"/>
    <w:rsid w:val="00A846AE"/>
    <w:rsid w:val="00A90B8F"/>
    <w:rsid w:val="00AA0A31"/>
    <w:rsid w:val="00AA2E5B"/>
    <w:rsid w:val="00AB0860"/>
    <w:rsid w:val="00AB37B4"/>
    <w:rsid w:val="00AB57F5"/>
    <w:rsid w:val="00AB71B1"/>
    <w:rsid w:val="00AC5AC3"/>
    <w:rsid w:val="00AD0436"/>
    <w:rsid w:val="00AD11A3"/>
    <w:rsid w:val="00AD3B86"/>
    <w:rsid w:val="00AE3B4F"/>
    <w:rsid w:val="00AE5F79"/>
    <w:rsid w:val="00AF1542"/>
    <w:rsid w:val="00B014F5"/>
    <w:rsid w:val="00B0211D"/>
    <w:rsid w:val="00B127A7"/>
    <w:rsid w:val="00B15ED6"/>
    <w:rsid w:val="00B218C0"/>
    <w:rsid w:val="00B27475"/>
    <w:rsid w:val="00B36702"/>
    <w:rsid w:val="00B40A6B"/>
    <w:rsid w:val="00B51F66"/>
    <w:rsid w:val="00B63602"/>
    <w:rsid w:val="00B665E9"/>
    <w:rsid w:val="00B70336"/>
    <w:rsid w:val="00B7070E"/>
    <w:rsid w:val="00B71379"/>
    <w:rsid w:val="00B81989"/>
    <w:rsid w:val="00B8293A"/>
    <w:rsid w:val="00B83045"/>
    <w:rsid w:val="00B839AA"/>
    <w:rsid w:val="00B83DF1"/>
    <w:rsid w:val="00B84CE2"/>
    <w:rsid w:val="00B86B1F"/>
    <w:rsid w:val="00B959D3"/>
    <w:rsid w:val="00B95F1D"/>
    <w:rsid w:val="00B968B0"/>
    <w:rsid w:val="00B97095"/>
    <w:rsid w:val="00B97AEE"/>
    <w:rsid w:val="00BA07C0"/>
    <w:rsid w:val="00BA443C"/>
    <w:rsid w:val="00BA4C13"/>
    <w:rsid w:val="00BA556B"/>
    <w:rsid w:val="00BB0834"/>
    <w:rsid w:val="00BB2F2F"/>
    <w:rsid w:val="00BB40A8"/>
    <w:rsid w:val="00BC0399"/>
    <w:rsid w:val="00BC3795"/>
    <w:rsid w:val="00BC5CD4"/>
    <w:rsid w:val="00BD54C8"/>
    <w:rsid w:val="00BE3A91"/>
    <w:rsid w:val="00BE3DEF"/>
    <w:rsid w:val="00BF1A35"/>
    <w:rsid w:val="00BF6FC6"/>
    <w:rsid w:val="00BF7122"/>
    <w:rsid w:val="00C21930"/>
    <w:rsid w:val="00C21B49"/>
    <w:rsid w:val="00C34DD4"/>
    <w:rsid w:val="00C35A7F"/>
    <w:rsid w:val="00C41688"/>
    <w:rsid w:val="00C4223E"/>
    <w:rsid w:val="00C5165F"/>
    <w:rsid w:val="00C517C1"/>
    <w:rsid w:val="00C52946"/>
    <w:rsid w:val="00C56281"/>
    <w:rsid w:val="00C57386"/>
    <w:rsid w:val="00C62567"/>
    <w:rsid w:val="00C642D8"/>
    <w:rsid w:val="00C66D6B"/>
    <w:rsid w:val="00C74AD3"/>
    <w:rsid w:val="00C80292"/>
    <w:rsid w:val="00C804B6"/>
    <w:rsid w:val="00C83EA9"/>
    <w:rsid w:val="00C86F8C"/>
    <w:rsid w:val="00C9766E"/>
    <w:rsid w:val="00CA14D2"/>
    <w:rsid w:val="00CA398E"/>
    <w:rsid w:val="00CA6332"/>
    <w:rsid w:val="00CA7E89"/>
    <w:rsid w:val="00CB113F"/>
    <w:rsid w:val="00CB153F"/>
    <w:rsid w:val="00CB2816"/>
    <w:rsid w:val="00CB28B5"/>
    <w:rsid w:val="00CB669E"/>
    <w:rsid w:val="00CB7164"/>
    <w:rsid w:val="00CC1D69"/>
    <w:rsid w:val="00CC1F69"/>
    <w:rsid w:val="00CC5222"/>
    <w:rsid w:val="00CC5D85"/>
    <w:rsid w:val="00CD005B"/>
    <w:rsid w:val="00CD4616"/>
    <w:rsid w:val="00CE3330"/>
    <w:rsid w:val="00CF2DF1"/>
    <w:rsid w:val="00CF2E4D"/>
    <w:rsid w:val="00CF4277"/>
    <w:rsid w:val="00D0046F"/>
    <w:rsid w:val="00D0539F"/>
    <w:rsid w:val="00D20418"/>
    <w:rsid w:val="00D31F2A"/>
    <w:rsid w:val="00D32A41"/>
    <w:rsid w:val="00D34ABA"/>
    <w:rsid w:val="00D361E7"/>
    <w:rsid w:val="00D3782A"/>
    <w:rsid w:val="00D4642E"/>
    <w:rsid w:val="00D4692A"/>
    <w:rsid w:val="00D50EBD"/>
    <w:rsid w:val="00D51494"/>
    <w:rsid w:val="00D534A9"/>
    <w:rsid w:val="00D56558"/>
    <w:rsid w:val="00D62A69"/>
    <w:rsid w:val="00D66B35"/>
    <w:rsid w:val="00D66DF2"/>
    <w:rsid w:val="00D71141"/>
    <w:rsid w:val="00D71B17"/>
    <w:rsid w:val="00D762CB"/>
    <w:rsid w:val="00D878A1"/>
    <w:rsid w:val="00D9509F"/>
    <w:rsid w:val="00D95C1D"/>
    <w:rsid w:val="00DA2364"/>
    <w:rsid w:val="00DA55EC"/>
    <w:rsid w:val="00DA74E7"/>
    <w:rsid w:val="00DB2ACB"/>
    <w:rsid w:val="00DC00CE"/>
    <w:rsid w:val="00DC113C"/>
    <w:rsid w:val="00DC1EBD"/>
    <w:rsid w:val="00DC20C3"/>
    <w:rsid w:val="00DD0794"/>
    <w:rsid w:val="00DD1BAD"/>
    <w:rsid w:val="00DD55FC"/>
    <w:rsid w:val="00DD5F12"/>
    <w:rsid w:val="00DD6202"/>
    <w:rsid w:val="00DE6FEA"/>
    <w:rsid w:val="00DE7695"/>
    <w:rsid w:val="00DE770E"/>
    <w:rsid w:val="00DE7B23"/>
    <w:rsid w:val="00DF3C37"/>
    <w:rsid w:val="00DF3F48"/>
    <w:rsid w:val="00DF6025"/>
    <w:rsid w:val="00E15B31"/>
    <w:rsid w:val="00E15FFE"/>
    <w:rsid w:val="00E24903"/>
    <w:rsid w:val="00E250C1"/>
    <w:rsid w:val="00E25A13"/>
    <w:rsid w:val="00E31954"/>
    <w:rsid w:val="00E36D19"/>
    <w:rsid w:val="00E4681A"/>
    <w:rsid w:val="00E47A17"/>
    <w:rsid w:val="00E52415"/>
    <w:rsid w:val="00E53429"/>
    <w:rsid w:val="00E5355E"/>
    <w:rsid w:val="00E55529"/>
    <w:rsid w:val="00E60DF9"/>
    <w:rsid w:val="00E62051"/>
    <w:rsid w:val="00E72140"/>
    <w:rsid w:val="00E72FD3"/>
    <w:rsid w:val="00E86AC1"/>
    <w:rsid w:val="00EA370B"/>
    <w:rsid w:val="00EA3C9B"/>
    <w:rsid w:val="00EA540A"/>
    <w:rsid w:val="00EA74A3"/>
    <w:rsid w:val="00EC64B3"/>
    <w:rsid w:val="00ED4E13"/>
    <w:rsid w:val="00ED5925"/>
    <w:rsid w:val="00ED74A6"/>
    <w:rsid w:val="00ED7B65"/>
    <w:rsid w:val="00EE08DF"/>
    <w:rsid w:val="00EF0346"/>
    <w:rsid w:val="00EF0551"/>
    <w:rsid w:val="00EF58E8"/>
    <w:rsid w:val="00F17B00"/>
    <w:rsid w:val="00F20F79"/>
    <w:rsid w:val="00F2397E"/>
    <w:rsid w:val="00F3063D"/>
    <w:rsid w:val="00F31065"/>
    <w:rsid w:val="00F31C0E"/>
    <w:rsid w:val="00F33A13"/>
    <w:rsid w:val="00F35BB5"/>
    <w:rsid w:val="00F36A4E"/>
    <w:rsid w:val="00F417CC"/>
    <w:rsid w:val="00F456C9"/>
    <w:rsid w:val="00F52F6D"/>
    <w:rsid w:val="00F537AA"/>
    <w:rsid w:val="00F629B5"/>
    <w:rsid w:val="00F64E1D"/>
    <w:rsid w:val="00F65276"/>
    <w:rsid w:val="00F65CDD"/>
    <w:rsid w:val="00F75A79"/>
    <w:rsid w:val="00F83CCA"/>
    <w:rsid w:val="00F85C59"/>
    <w:rsid w:val="00F938A7"/>
    <w:rsid w:val="00FA1DC5"/>
    <w:rsid w:val="00FA2A5E"/>
    <w:rsid w:val="00FA2D4A"/>
    <w:rsid w:val="00FA3DF4"/>
    <w:rsid w:val="00FA7697"/>
    <w:rsid w:val="00FB0274"/>
    <w:rsid w:val="00FB327A"/>
    <w:rsid w:val="00FB7CC9"/>
    <w:rsid w:val="00FC1A88"/>
    <w:rsid w:val="00FC362E"/>
    <w:rsid w:val="00FD7342"/>
    <w:rsid w:val="00FE54AC"/>
    <w:rsid w:val="00FF492F"/>
    <w:rsid w:val="00FF4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E7A"/>
  </w:style>
  <w:style w:type="paragraph" w:styleId="Heading1">
    <w:name w:val="heading 1"/>
    <w:basedOn w:val="Normal"/>
    <w:next w:val="Normal"/>
    <w:link w:val="Heading1Char"/>
    <w:qFormat/>
    <w:rsid w:val="00D20418"/>
    <w:pPr>
      <w:keepNext/>
      <w:outlineLvl w:val="0"/>
    </w:pPr>
    <w:rPr>
      <w:rFonts w:ascii="Times" w:hAnsi="Times"/>
      <w:b/>
      <w:sz w:val="24"/>
    </w:rPr>
  </w:style>
  <w:style w:type="paragraph" w:styleId="Heading2">
    <w:name w:val="heading 2"/>
    <w:basedOn w:val="Normal"/>
    <w:next w:val="Normal"/>
    <w:qFormat/>
    <w:rsid w:val="00D20418"/>
    <w:pPr>
      <w:keepNext/>
      <w:outlineLvl w:val="1"/>
    </w:pPr>
    <w:rPr>
      <w:rFonts w:ascii="Times" w:hAnsi="Times"/>
      <w:i/>
      <w:iCs/>
      <w:sz w:val="24"/>
    </w:rPr>
  </w:style>
  <w:style w:type="paragraph" w:styleId="Heading3">
    <w:name w:val="heading 3"/>
    <w:basedOn w:val="Normal"/>
    <w:next w:val="Normal"/>
    <w:qFormat/>
    <w:rsid w:val="00D20418"/>
    <w:pPr>
      <w:keepNext/>
      <w:ind w:firstLine="720"/>
      <w:outlineLvl w:val="2"/>
    </w:pPr>
    <w:rPr>
      <w:b/>
      <w:bCs/>
      <w:sz w:val="24"/>
    </w:rPr>
  </w:style>
  <w:style w:type="paragraph" w:styleId="Heading4">
    <w:name w:val="heading 4"/>
    <w:basedOn w:val="Normal"/>
    <w:next w:val="Normal"/>
    <w:qFormat/>
    <w:rsid w:val="00D20418"/>
    <w:pPr>
      <w:keepNext/>
      <w:ind w:left="-360" w:firstLine="360"/>
      <w:jc w:val="right"/>
      <w:outlineLvl w:val="3"/>
    </w:pPr>
    <w:rPr>
      <w:rFonts w:ascii="Times" w:hAnsi="Times"/>
      <w:sz w:val="24"/>
    </w:rPr>
  </w:style>
  <w:style w:type="paragraph" w:styleId="Heading5">
    <w:name w:val="heading 5"/>
    <w:basedOn w:val="Normal"/>
    <w:next w:val="Normal"/>
    <w:qFormat/>
    <w:rsid w:val="00D20418"/>
    <w:pPr>
      <w:keepNext/>
      <w:jc w:val="center"/>
      <w:outlineLvl w:val="4"/>
    </w:pPr>
    <w:rPr>
      <w:b/>
      <w:bCs/>
      <w:sz w:val="28"/>
    </w:rPr>
  </w:style>
  <w:style w:type="paragraph" w:styleId="Heading6">
    <w:name w:val="heading 6"/>
    <w:basedOn w:val="Normal"/>
    <w:next w:val="Normal"/>
    <w:qFormat/>
    <w:rsid w:val="00D20418"/>
    <w:pPr>
      <w:keepNext/>
      <w:jc w:val="right"/>
      <w:outlineLvl w:val="5"/>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20418"/>
  </w:style>
  <w:style w:type="paragraph" w:styleId="FootnoteText">
    <w:name w:val="footnote text"/>
    <w:basedOn w:val="Normal"/>
    <w:link w:val="FootnoteTextChar"/>
    <w:uiPriority w:val="99"/>
    <w:rsid w:val="00D20418"/>
    <w:pPr>
      <w:widowControl w:val="0"/>
    </w:pPr>
    <w:rPr>
      <w:rFonts w:ascii="Courier" w:hAnsi="Courier"/>
      <w:snapToGrid w:val="0"/>
    </w:rPr>
  </w:style>
  <w:style w:type="paragraph" w:styleId="BodyTextIndent">
    <w:name w:val="Body Text Indent"/>
    <w:basedOn w:val="Normal"/>
    <w:rsid w:val="00D20418"/>
    <w:pPr>
      <w:ind w:firstLine="720"/>
    </w:pPr>
    <w:rPr>
      <w:rFonts w:ascii="Times" w:hAnsi="Times"/>
      <w:sz w:val="24"/>
    </w:rPr>
  </w:style>
  <w:style w:type="paragraph" w:styleId="BodyText">
    <w:name w:val="Body Text"/>
    <w:basedOn w:val="Normal"/>
    <w:link w:val="BodyTextChar"/>
    <w:uiPriority w:val="99"/>
    <w:rsid w:val="00D20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w:hAnsi="Times"/>
      <w:sz w:val="24"/>
    </w:rPr>
  </w:style>
  <w:style w:type="paragraph" w:customStyle="1" w:styleId="MemoHeader">
    <w:name w:val="Memo Header"/>
    <w:basedOn w:val="Normal"/>
    <w:next w:val="Normal"/>
    <w:rsid w:val="00D20418"/>
    <w:rPr>
      <w:rFonts w:ascii="Arial" w:hAnsi="Arial"/>
      <w:smallCaps/>
      <w:sz w:val="24"/>
    </w:rPr>
  </w:style>
  <w:style w:type="paragraph" w:styleId="BodyTextIndent2">
    <w:name w:val="Body Text Indent 2"/>
    <w:basedOn w:val="Normal"/>
    <w:rsid w:val="00D20418"/>
    <w:pPr>
      <w:ind w:left="60"/>
    </w:pPr>
    <w:rPr>
      <w:rFonts w:ascii="Times" w:hAnsi="Times"/>
      <w:sz w:val="24"/>
    </w:rPr>
  </w:style>
  <w:style w:type="paragraph" w:styleId="Footer">
    <w:name w:val="footer"/>
    <w:basedOn w:val="Normal"/>
    <w:rsid w:val="00D20418"/>
    <w:pPr>
      <w:tabs>
        <w:tab w:val="center" w:pos="4320"/>
        <w:tab w:val="right" w:pos="8640"/>
      </w:tabs>
    </w:pPr>
  </w:style>
  <w:style w:type="character" w:styleId="PageNumber">
    <w:name w:val="page number"/>
    <w:basedOn w:val="DefaultParagraphFont"/>
    <w:rsid w:val="00D20418"/>
  </w:style>
  <w:style w:type="paragraph" w:styleId="BodyTextIndent3">
    <w:name w:val="Body Text Indent 3"/>
    <w:basedOn w:val="Normal"/>
    <w:rsid w:val="00D20418"/>
    <w:pPr>
      <w:tabs>
        <w:tab w:val="left" w:pos="-1440"/>
      </w:tabs>
      <w:ind w:left="720" w:hanging="720"/>
    </w:pPr>
    <w:rPr>
      <w:sz w:val="24"/>
    </w:rPr>
  </w:style>
  <w:style w:type="paragraph" w:styleId="BalloonText">
    <w:name w:val="Balloon Text"/>
    <w:basedOn w:val="Normal"/>
    <w:semiHidden/>
    <w:rsid w:val="002F5B64"/>
    <w:rPr>
      <w:rFonts w:ascii="Tahoma" w:hAnsi="Tahoma" w:cs="Tahoma"/>
      <w:sz w:val="16"/>
      <w:szCs w:val="16"/>
    </w:rPr>
  </w:style>
  <w:style w:type="character" w:styleId="CommentReference">
    <w:name w:val="annotation reference"/>
    <w:basedOn w:val="DefaultParagraphFont"/>
    <w:semiHidden/>
    <w:rsid w:val="003261C3"/>
    <w:rPr>
      <w:sz w:val="16"/>
      <w:szCs w:val="16"/>
    </w:rPr>
  </w:style>
  <w:style w:type="paragraph" w:styleId="CommentText">
    <w:name w:val="annotation text"/>
    <w:basedOn w:val="Normal"/>
    <w:link w:val="CommentTextChar"/>
    <w:semiHidden/>
    <w:rsid w:val="003261C3"/>
  </w:style>
  <w:style w:type="paragraph" w:styleId="CommentSubject">
    <w:name w:val="annotation subject"/>
    <w:basedOn w:val="CommentText"/>
    <w:next w:val="CommentText"/>
    <w:semiHidden/>
    <w:rsid w:val="003261C3"/>
    <w:rPr>
      <w:b/>
      <w:bCs/>
    </w:rPr>
  </w:style>
  <w:style w:type="paragraph" w:customStyle="1" w:styleId="p5">
    <w:name w:val="p5"/>
    <w:basedOn w:val="Normal"/>
    <w:rsid w:val="00C41688"/>
    <w:pPr>
      <w:widowControl w:val="0"/>
      <w:tabs>
        <w:tab w:val="left" w:pos="725"/>
      </w:tabs>
      <w:autoSpaceDE w:val="0"/>
      <w:autoSpaceDN w:val="0"/>
      <w:adjustRightInd w:val="0"/>
      <w:ind w:firstLine="725"/>
    </w:pPr>
    <w:rPr>
      <w:sz w:val="24"/>
      <w:szCs w:val="24"/>
    </w:rPr>
  </w:style>
  <w:style w:type="paragraph" w:styleId="Header">
    <w:name w:val="header"/>
    <w:basedOn w:val="Normal"/>
    <w:rsid w:val="00D534A9"/>
    <w:pPr>
      <w:tabs>
        <w:tab w:val="center" w:pos="4320"/>
        <w:tab w:val="right" w:pos="8640"/>
      </w:tabs>
    </w:pPr>
  </w:style>
  <w:style w:type="paragraph" w:styleId="ListParagraph">
    <w:name w:val="List Paragraph"/>
    <w:basedOn w:val="Normal"/>
    <w:uiPriority w:val="34"/>
    <w:qFormat/>
    <w:rsid w:val="00AE3B4F"/>
    <w:pPr>
      <w:spacing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rsid w:val="00AE3B4F"/>
    <w:rPr>
      <w:rFonts w:ascii="Courier" w:hAnsi="Courier"/>
      <w:snapToGrid w:val="0"/>
    </w:rPr>
  </w:style>
  <w:style w:type="character" w:customStyle="1" w:styleId="BodyTextChar">
    <w:name w:val="Body Text Char"/>
    <w:basedOn w:val="DefaultParagraphFont"/>
    <w:link w:val="BodyText"/>
    <w:uiPriority w:val="99"/>
    <w:rsid w:val="00150002"/>
    <w:rPr>
      <w:rFonts w:ascii="Times" w:hAnsi="Times"/>
      <w:sz w:val="24"/>
    </w:rPr>
  </w:style>
  <w:style w:type="character" w:styleId="Hyperlink">
    <w:name w:val="Hyperlink"/>
    <w:basedOn w:val="DefaultParagraphFont"/>
    <w:uiPriority w:val="99"/>
    <w:rsid w:val="00854D48"/>
    <w:rPr>
      <w:color w:val="0000FF"/>
      <w:u w:val="single"/>
    </w:rPr>
  </w:style>
  <w:style w:type="paragraph" w:styleId="Revision">
    <w:name w:val="Revision"/>
    <w:hidden/>
    <w:uiPriority w:val="99"/>
    <w:semiHidden/>
    <w:rsid w:val="00A07A01"/>
  </w:style>
  <w:style w:type="character" w:customStyle="1" w:styleId="CommentTextChar">
    <w:name w:val="Comment Text Char"/>
    <w:basedOn w:val="DefaultParagraphFont"/>
    <w:link w:val="CommentText"/>
    <w:semiHidden/>
    <w:rsid w:val="006A3AF7"/>
  </w:style>
  <w:style w:type="character" w:customStyle="1" w:styleId="Heading1Char">
    <w:name w:val="Heading 1 Char"/>
    <w:basedOn w:val="DefaultParagraphFont"/>
    <w:link w:val="Heading1"/>
    <w:rsid w:val="00235E3D"/>
    <w:rPr>
      <w:rFonts w:ascii="Times" w:hAnsi="Times"/>
      <w:b/>
      <w:sz w:val="24"/>
    </w:rPr>
  </w:style>
  <w:style w:type="character" w:styleId="Strong">
    <w:name w:val="Strong"/>
    <w:basedOn w:val="DefaultParagraphFont"/>
    <w:uiPriority w:val="22"/>
    <w:qFormat/>
    <w:rsid w:val="003025C7"/>
    <w:rPr>
      <w:b/>
      <w:bCs/>
    </w:rPr>
  </w:style>
  <w:style w:type="paragraph" w:styleId="NoSpacing">
    <w:name w:val="No Spacing"/>
    <w:basedOn w:val="Normal"/>
    <w:uiPriority w:val="1"/>
    <w:qFormat/>
    <w:rsid w:val="003025C7"/>
    <w:rPr>
      <w:rFonts w:asciiTheme="minorHAnsi" w:eastAsiaTheme="minorEastAsia" w:hAnsiTheme="minorHAnsi" w:cstheme="minorBidi"/>
      <w:sz w:val="22"/>
      <w:szCs w:val="22"/>
      <w:lang w:bidi="en-US"/>
    </w:rPr>
  </w:style>
  <w:style w:type="paragraph" w:customStyle="1" w:styleId="Default">
    <w:name w:val="Default"/>
    <w:rsid w:val="003025C7"/>
    <w:pPr>
      <w:autoSpaceDE w:val="0"/>
      <w:autoSpaceDN w:val="0"/>
      <w:adjustRightInd w:val="0"/>
    </w:pPr>
    <w:rPr>
      <w:rFonts w:ascii="Calibri" w:eastAsiaTheme="minorEastAsia"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E7A"/>
  </w:style>
  <w:style w:type="paragraph" w:styleId="Heading1">
    <w:name w:val="heading 1"/>
    <w:basedOn w:val="Normal"/>
    <w:next w:val="Normal"/>
    <w:link w:val="Heading1Char"/>
    <w:qFormat/>
    <w:rsid w:val="00D20418"/>
    <w:pPr>
      <w:keepNext/>
      <w:outlineLvl w:val="0"/>
    </w:pPr>
    <w:rPr>
      <w:rFonts w:ascii="Times" w:hAnsi="Times"/>
      <w:b/>
      <w:sz w:val="24"/>
    </w:rPr>
  </w:style>
  <w:style w:type="paragraph" w:styleId="Heading2">
    <w:name w:val="heading 2"/>
    <w:basedOn w:val="Normal"/>
    <w:next w:val="Normal"/>
    <w:qFormat/>
    <w:rsid w:val="00D20418"/>
    <w:pPr>
      <w:keepNext/>
      <w:outlineLvl w:val="1"/>
    </w:pPr>
    <w:rPr>
      <w:rFonts w:ascii="Times" w:hAnsi="Times"/>
      <w:i/>
      <w:iCs/>
      <w:sz w:val="24"/>
    </w:rPr>
  </w:style>
  <w:style w:type="paragraph" w:styleId="Heading3">
    <w:name w:val="heading 3"/>
    <w:basedOn w:val="Normal"/>
    <w:next w:val="Normal"/>
    <w:qFormat/>
    <w:rsid w:val="00D20418"/>
    <w:pPr>
      <w:keepNext/>
      <w:ind w:firstLine="720"/>
      <w:outlineLvl w:val="2"/>
    </w:pPr>
    <w:rPr>
      <w:b/>
      <w:bCs/>
      <w:sz w:val="24"/>
    </w:rPr>
  </w:style>
  <w:style w:type="paragraph" w:styleId="Heading4">
    <w:name w:val="heading 4"/>
    <w:basedOn w:val="Normal"/>
    <w:next w:val="Normal"/>
    <w:qFormat/>
    <w:rsid w:val="00D20418"/>
    <w:pPr>
      <w:keepNext/>
      <w:ind w:left="-360" w:firstLine="360"/>
      <w:jc w:val="right"/>
      <w:outlineLvl w:val="3"/>
    </w:pPr>
    <w:rPr>
      <w:rFonts w:ascii="Times" w:hAnsi="Times"/>
      <w:sz w:val="24"/>
    </w:rPr>
  </w:style>
  <w:style w:type="paragraph" w:styleId="Heading5">
    <w:name w:val="heading 5"/>
    <w:basedOn w:val="Normal"/>
    <w:next w:val="Normal"/>
    <w:qFormat/>
    <w:rsid w:val="00D20418"/>
    <w:pPr>
      <w:keepNext/>
      <w:jc w:val="center"/>
      <w:outlineLvl w:val="4"/>
    </w:pPr>
    <w:rPr>
      <w:b/>
      <w:bCs/>
      <w:sz w:val="28"/>
    </w:rPr>
  </w:style>
  <w:style w:type="paragraph" w:styleId="Heading6">
    <w:name w:val="heading 6"/>
    <w:basedOn w:val="Normal"/>
    <w:next w:val="Normal"/>
    <w:qFormat/>
    <w:rsid w:val="00D20418"/>
    <w:pPr>
      <w:keepNext/>
      <w:jc w:val="right"/>
      <w:outlineLvl w:val="5"/>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20418"/>
  </w:style>
  <w:style w:type="paragraph" w:styleId="FootnoteText">
    <w:name w:val="footnote text"/>
    <w:basedOn w:val="Normal"/>
    <w:link w:val="FootnoteTextChar"/>
    <w:uiPriority w:val="99"/>
    <w:rsid w:val="00D20418"/>
    <w:pPr>
      <w:widowControl w:val="0"/>
    </w:pPr>
    <w:rPr>
      <w:rFonts w:ascii="Courier" w:hAnsi="Courier"/>
      <w:snapToGrid w:val="0"/>
    </w:rPr>
  </w:style>
  <w:style w:type="paragraph" w:styleId="BodyTextIndent">
    <w:name w:val="Body Text Indent"/>
    <w:basedOn w:val="Normal"/>
    <w:rsid w:val="00D20418"/>
    <w:pPr>
      <w:ind w:firstLine="720"/>
    </w:pPr>
    <w:rPr>
      <w:rFonts w:ascii="Times" w:hAnsi="Times"/>
      <w:sz w:val="24"/>
    </w:rPr>
  </w:style>
  <w:style w:type="paragraph" w:styleId="BodyText">
    <w:name w:val="Body Text"/>
    <w:basedOn w:val="Normal"/>
    <w:link w:val="BodyTextChar"/>
    <w:uiPriority w:val="99"/>
    <w:rsid w:val="00D20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w:hAnsi="Times"/>
      <w:sz w:val="24"/>
    </w:rPr>
  </w:style>
  <w:style w:type="paragraph" w:customStyle="1" w:styleId="MemoHeader">
    <w:name w:val="Memo Header"/>
    <w:basedOn w:val="Normal"/>
    <w:next w:val="Normal"/>
    <w:rsid w:val="00D20418"/>
    <w:rPr>
      <w:rFonts w:ascii="Arial" w:hAnsi="Arial"/>
      <w:smallCaps/>
      <w:sz w:val="24"/>
    </w:rPr>
  </w:style>
  <w:style w:type="paragraph" w:styleId="BodyTextIndent2">
    <w:name w:val="Body Text Indent 2"/>
    <w:basedOn w:val="Normal"/>
    <w:rsid w:val="00D20418"/>
    <w:pPr>
      <w:ind w:left="60"/>
    </w:pPr>
    <w:rPr>
      <w:rFonts w:ascii="Times" w:hAnsi="Times"/>
      <w:sz w:val="24"/>
    </w:rPr>
  </w:style>
  <w:style w:type="paragraph" w:styleId="Footer">
    <w:name w:val="footer"/>
    <w:basedOn w:val="Normal"/>
    <w:rsid w:val="00D20418"/>
    <w:pPr>
      <w:tabs>
        <w:tab w:val="center" w:pos="4320"/>
        <w:tab w:val="right" w:pos="8640"/>
      </w:tabs>
    </w:pPr>
  </w:style>
  <w:style w:type="character" w:styleId="PageNumber">
    <w:name w:val="page number"/>
    <w:basedOn w:val="DefaultParagraphFont"/>
    <w:rsid w:val="00D20418"/>
  </w:style>
  <w:style w:type="paragraph" w:styleId="BodyTextIndent3">
    <w:name w:val="Body Text Indent 3"/>
    <w:basedOn w:val="Normal"/>
    <w:rsid w:val="00D20418"/>
    <w:pPr>
      <w:tabs>
        <w:tab w:val="left" w:pos="-1440"/>
      </w:tabs>
      <w:ind w:left="720" w:hanging="720"/>
    </w:pPr>
    <w:rPr>
      <w:sz w:val="24"/>
    </w:rPr>
  </w:style>
  <w:style w:type="paragraph" w:styleId="BalloonText">
    <w:name w:val="Balloon Text"/>
    <w:basedOn w:val="Normal"/>
    <w:semiHidden/>
    <w:rsid w:val="002F5B64"/>
    <w:rPr>
      <w:rFonts w:ascii="Tahoma" w:hAnsi="Tahoma" w:cs="Tahoma"/>
      <w:sz w:val="16"/>
      <w:szCs w:val="16"/>
    </w:rPr>
  </w:style>
  <w:style w:type="character" w:styleId="CommentReference">
    <w:name w:val="annotation reference"/>
    <w:basedOn w:val="DefaultParagraphFont"/>
    <w:semiHidden/>
    <w:rsid w:val="003261C3"/>
    <w:rPr>
      <w:sz w:val="16"/>
      <w:szCs w:val="16"/>
    </w:rPr>
  </w:style>
  <w:style w:type="paragraph" w:styleId="CommentText">
    <w:name w:val="annotation text"/>
    <w:basedOn w:val="Normal"/>
    <w:link w:val="CommentTextChar"/>
    <w:semiHidden/>
    <w:rsid w:val="003261C3"/>
  </w:style>
  <w:style w:type="paragraph" w:styleId="CommentSubject">
    <w:name w:val="annotation subject"/>
    <w:basedOn w:val="CommentText"/>
    <w:next w:val="CommentText"/>
    <w:semiHidden/>
    <w:rsid w:val="003261C3"/>
    <w:rPr>
      <w:b/>
      <w:bCs/>
    </w:rPr>
  </w:style>
  <w:style w:type="paragraph" w:customStyle="1" w:styleId="p5">
    <w:name w:val="p5"/>
    <w:basedOn w:val="Normal"/>
    <w:rsid w:val="00C41688"/>
    <w:pPr>
      <w:widowControl w:val="0"/>
      <w:tabs>
        <w:tab w:val="left" w:pos="725"/>
      </w:tabs>
      <w:autoSpaceDE w:val="0"/>
      <w:autoSpaceDN w:val="0"/>
      <w:adjustRightInd w:val="0"/>
      <w:ind w:firstLine="725"/>
    </w:pPr>
    <w:rPr>
      <w:sz w:val="24"/>
      <w:szCs w:val="24"/>
    </w:rPr>
  </w:style>
  <w:style w:type="paragraph" w:styleId="Header">
    <w:name w:val="header"/>
    <w:basedOn w:val="Normal"/>
    <w:rsid w:val="00D534A9"/>
    <w:pPr>
      <w:tabs>
        <w:tab w:val="center" w:pos="4320"/>
        <w:tab w:val="right" w:pos="8640"/>
      </w:tabs>
    </w:pPr>
  </w:style>
  <w:style w:type="paragraph" w:styleId="ListParagraph">
    <w:name w:val="List Paragraph"/>
    <w:basedOn w:val="Normal"/>
    <w:uiPriority w:val="34"/>
    <w:qFormat/>
    <w:rsid w:val="00AE3B4F"/>
    <w:pPr>
      <w:spacing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rsid w:val="00AE3B4F"/>
    <w:rPr>
      <w:rFonts w:ascii="Courier" w:hAnsi="Courier"/>
      <w:snapToGrid w:val="0"/>
    </w:rPr>
  </w:style>
  <w:style w:type="character" w:customStyle="1" w:styleId="BodyTextChar">
    <w:name w:val="Body Text Char"/>
    <w:basedOn w:val="DefaultParagraphFont"/>
    <w:link w:val="BodyText"/>
    <w:uiPriority w:val="99"/>
    <w:rsid w:val="00150002"/>
    <w:rPr>
      <w:rFonts w:ascii="Times" w:hAnsi="Times"/>
      <w:sz w:val="24"/>
    </w:rPr>
  </w:style>
  <w:style w:type="character" w:styleId="Hyperlink">
    <w:name w:val="Hyperlink"/>
    <w:basedOn w:val="DefaultParagraphFont"/>
    <w:uiPriority w:val="99"/>
    <w:rsid w:val="00854D48"/>
    <w:rPr>
      <w:color w:val="0000FF"/>
      <w:u w:val="single"/>
    </w:rPr>
  </w:style>
  <w:style w:type="paragraph" w:styleId="Revision">
    <w:name w:val="Revision"/>
    <w:hidden/>
    <w:uiPriority w:val="99"/>
    <w:semiHidden/>
    <w:rsid w:val="00A07A01"/>
  </w:style>
  <w:style w:type="character" w:customStyle="1" w:styleId="CommentTextChar">
    <w:name w:val="Comment Text Char"/>
    <w:basedOn w:val="DefaultParagraphFont"/>
    <w:link w:val="CommentText"/>
    <w:semiHidden/>
    <w:rsid w:val="006A3AF7"/>
  </w:style>
  <w:style w:type="character" w:customStyle="1" w:styleId="Heading1Char">
    <w:name w:val="Heading 1 Char"/>
    <w:basedOn w:val="DefaultParagraphFont"/>
    <w:link w:val="Heading1"/>
    <w:rsid w:val="00235E3D"/>
    <w:rPr>
      <w:rFonts w:ascii="Times" w:hAnsi="Times"/>
      <w:b/>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Security_(finance)" TargetMode="External"/><Relationship Id="rId2" Type="http://schemas.openxmlformats.org/officeDocument/2006/relationships/hyperlink" Target="http://en.wikipedia.org/wiki/North_America" TargetMode="External"/><Relationship Id="rId1" Type="http://schemas.openxmlformats.org/officeDocument/2006/relationships/hyperlink" Target="http://en.wikipedia.org/wiki/Alphanumeric" TargetMode="External"/><Relationship Id="rId6" Type="http://schemas.openxmlformats.org/officeDocument/2006/relationships/hyperlink" Target="file:///\\drslx1\fr-misc\fr_documents\proposals\Legal\FR%204025%20(Reg%20R)\www.sba.gov\contractingopportunities\officials\size\table\index.html" TargetMode="External"/><Relationship Id="rId5" Type="http://schemas.openxmlformats.org/officeDocument/2006/relationships/hyperlink" Target="http://en.wikipedia.org/wiki/Settlement_(finance)" TargetMode="External"/><Relationship Id="rId4" Type="http://schemas.openxmlformats.org/officeDocument/2006/relationships/hyperlink" Target="http://en.wikipedia.org/wiki/Clearing_(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1846A-25DE-42C4-A270-CBB1F186B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13</Pages>
  <Words>5259</Words>
  <Characters>29657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The proposed FRY-7S would be a new free-form quarterly supplement to the Annual Report of Foreign Banking Organizations (FR Y-7; OMB No</vt:lpstr>
    </vt:vector>
  </TitlesOfParts>
  <Company>Federal Reserve Board</Company>
  <LinksUpToDate>false</LinksUpToDate>
  <CharactersWithSpaces>34847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proposed FRY-7S would be a new free-form quarterly supplement to the Annual Report of Foreign Banking Organizations (FR Y-7; OMB No</dc:title>
  <dc:creator>Research &amp; Statistics</dc:creator>
  <cp:lastModifiedBy>frbuser</cp:lastModifiedBy>
  <cp:revision>2</cp:revision>
  <cp:lastPrinted>2011-11-30T20:03:00Z</cp:lastPrinted>
  <dcterms:created xsi:type="dcterms:W3CDTF">2011-12-12T15:58:00Z</dcterms:created>
  <dcterms:modified xsi:type="dcterms:W3CDTF">2011-12-12T15:58:00Z</dcterms:modified>
</cp:coreProperties>
</file>